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2"/>
          <w:szCs w:val="52"/>
          <w:lang w:val="en-US" w:eastAsia="zh-CN"/>
        </w:rPr>
      </w:pPr>
      <w:r>
        <w:rPr>
          <w:rFonts w:hint="eastAsia" w:ascii="仿宋" w:hAnsi="仿宋" w:eastAsia="仿宋" w:cs="仿宋"/>
          <w:b/>
          <w:color w:val="auto"/>
          <w:sz w:val="52"/>
          <w:szCs w:val="52"/>
          <w:lang w:val="en-US" w:eastAsia="zh-CN"/>
        </w:rPr>
        <w:t>嵊州市残疾人康复托养中心-厨房设备采购项目</w:t>
      </w:r>
    </w:p>
    <w:p>
      <w:pPr>
        <w:pStyle w:val="22"/>
        <w:rPr>
          <w:rFonts w:hint="eastAsia"/>
          <w:color w:val="auto"/>
          <w:lang w:val="en-US"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pPr>
        <w:jc w:val="center"/>
        <w:rPr>
          <w:rFonts w:hint="eastAsia" w:ascii="仿宋" w:hAnsi="仿宋" w:eastAsia="仿宋" w:cs="仿宋"/>
          <w:b/>
          <w:color w:val="auto"/>
          <w:kern w:val="2"/>
          <w:sz w:val="28"/>
          <w:szCs w:val="28"/>
          <w:lang w:eastAsia="zh-CN"/>
        </w:rPr>
      </w:pPr>
      <w:r>
        <w:rPr>
          <w:rFonts w:hint="eastAsia" w:ascii="仿宋" w:hAnsi="仿宋" w:eastAsia="仿宋" w:cs="仿宋"/>
          <w:b/>
          <w:color w:val="auto"/>
          <w:sz w:val="28"/>
          <w:szCs w:val="28"/>
        </w:rPr>
        <w:t>招标编号:</w:t>
      </w:r>
      <w:r>
        <w:rPr>
          <w:rFonts w:hint="eastAsia" w:ascii="宋体" w:hAnsi="宋体" w:cs="宋体"/>
          <w:b/>
          <w:color w:val="auto"/>
          <w:kern w:val="1"/>
          <w:sz w:val="32"/>
          <w:szCs w:val="32"/>
          <w:highlight w:val="none"/>
          <w:lang w:eastAsia="zh-CN"/>
        </w:rPr>
        <w:t>SXWS20240015</w:t>
      </w:r>
    </w:p>
    <w:p>
      <w:pPr>
        <w:pStyle w:val="6"/>
        <w:rPr>
          <w:rFonts w:hint="eastAsia"/>
          <w:color w:val="auto"/>
        </w:rPr>
      </w:pPr>
    </w:p>
    <w:tbl>
      <w:tblPr>
        <w:tblStyle w:val="14"/>
        <w:tblW w:w="7801"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2356"/>
        <w:gridCol w:w="5445"/>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outlineLvl w:val="9"/>
              <w:rPr>
                <w:rFonts w:hint="eastAsia" w:ascii="仿宋" w:hAnsi="仿宋" w:eastAsia="仿宋" w:cs="仿宋"/>
                <w:color w:val="auto"/>
                <w:spacing w:val="1400"/>
                <w:kern w:val="0"/>
                <w:sz w:val="28"/>
                <w:szCs w:val="28"/>
                <w:fitText w:val="1680" w:id="588733488"/>
                <w:lang w:eastAsia="zh-CN"/>
              </w:rPr>
            </w:pPr>
            <w:r>
              <w:rPr>
                <w:rFonts w:hint="eastAsia" w:ascii="仿宋" w:hAnsi="仿宋" w:eastAsia="仿宋" w:cs="仿宋"/>
                <w:color w:val="auto"/>
                <w:sz w:val="28"/>
                <w:szCs w:val="28"/>
                <w:lang w:eastAsia="zh-CN"/>
              </w:rPr>
              <w:t>嵊州市残疾人联合会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91129504"/>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pacing w:val="1400"/>
                <w:kern w:val="0"/>
                <w:sz w:val="28"/>
                <w:szCs w:val="28"/>
                <w:fitText w:val="1680" w:id="588733488"/>
              </w:rPr>
            </w:pPr>
            <w:r>
              <w:rPr>
                <w:rFonts w:hint="eastAsia" w:ascii="仿宋" w:hAnsi="仿宋" w:eastAsia="仿宋" w:cs="仿宋"/>
                <w:color w:val="auto"/>
                <w:sz w:val="28"/>
                <w:szCs w:val="28"/>
                <w:lang w:eastAsia="zh-CN"/>
              </w:rPr>
              <w:t>绍兴五石项目咨询有限公司</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324619982"/>
              </w:rPr>
              <w:t>监督单</w:t>
            </w:r>
            <w:r>
              <w:rPr>
                <w:rFonts w:hint="eastAsia" w:ascii="仿宋" w:hAnsi="仿宋" w:eastAsia="仿宋" w:cs="仿宋"/>
                <w:color w:val="auto"/>
                <w:spacing w:val="1"/>
                <w:kern w:val="0"/>
                <w:sz w:val="28"/>
                <w:szCs w:val="28"/>
                <w:fitText w:val="1680" w:id="324619982"/>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kern w:val="0"/>
                <w:sz w:val="28"/>
                <w:szCs w:val="28"/>
                <w:fitText w:val="1680" w:id="588733488"/>
              </w:rPr>
            </w:pPr>
            <w:r>
              <w:rPr>
                <w:rFonts w:hint="eastAsia" w:ascii="仿宋" w:hAnsi="仿宋" w:eastAsia="仿宋" w:cs="仿宋"/>
                <w:color w:val="auto"/>
                <w:spacing w:val="0"/>
                <w:kern w:val="0"/>
                <w:sz w:val="28"/>
                <w:szCs w:val="28"/>
                <w:fitText w:val="1680" w:id="921587863"/>
                <w:lang w:eastAsia="zh-CN"/>
              </w:rPr>
              <w:t>嵊州市</w:t>
            </w:r>
            <w:r>
              <w:rPr>
                <w:rFonts w:hint="eastAsia" w:ascii="仿宋" w:hAnsi="仿宋" w:eastAsia="仿宋" w:cs="仿宋"/>
                <w:color w:val="auto"/>
                <w:spacing w:val="0"/>
                <w:kern w:val="0"/>
                <w:sz w:val="28"/>
                <w:szCs w:val="28"/>
                <w:fitText w:val="1680" w:id="921587863"/>
              </w:rPr>
              <w:t>财政局</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月</w:t>
            </w:r>
          </w:p>
        </w:tc>
      </w:tr>
    </w:tbl>
    <w:p>
      <w:pPr>
        <w:pStyle w:val="24"/>
        <w:rPr>
          <w:rFonts w:hint="eastAsia" w:ascii="仿宋" w:hAnsi="仿宋" w:eastAsia="仿宋" w:cs="仿宋"/>
          <w:color w:val="auto"/>
        </w:rPr>
        <w:sectPr>
          <w:headerReference r:id="rId4"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rPr>
          <w:rFonts w:hint="eastAsia" w:ascii="仿宋" w:hAnsi="仿宋" w:eastAsia="仿宋" w:cs="仿宋"/>
          <w:color w:val="auto"/>
          <w:sz w:val="2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2" w:name="_Hlt74707423"/>
      <w:bookmarkEnd w:id="2"/>
      <w:bookmarkStart w:id="3" w:name="_Hlt74729822"/>
      <w:bookmarkEnd w:id="3"/>
      <w:bookmarkStart w:id="4" w:name="_Hlt74649545"/>
      <w:bookmarkEnd w:id="4"/>
      <w:bookmarkStart w:id="5" w:name="_Hlt74728647"/>
      <w:bookmarkEnd w:id="5"/>
      <w:bookmarkStart w:id="6" w:name="第二部分"/>
      <w:bookmarkStart w:id="7" w:name="_Toc91899870"/>
      <w:bookmarkStart w:id="8"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r>
        <w:rPr>
          <w:rFonts w:hint="eastAsia" w:ascii="仿宋" w:hAnsi="仿宋" w:eastAsia="仿宋" w:cs="仿宋"/>
          <w:color w:val="000000" w:themeColor="text1"/>
          <w:sz w:val="24"/>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lang w:val="en-US" w:eastAsia="zh-CN"/>
          <w14:textFill>
            <w14:solidFill>
              <w14:schemeClr w14:val="tx1"/>
            </w14:solidFill>
          </w14:textFill>
        </w:rPr>
        <w:t xml:space="preserve">  嵊州市残疾人康复托养中心-厨房设备采购项目  </w:t>
      </w:r>
      <w:r>
        <w:rPr>
          <w:rFonts w:hint="eastAsia" w:ascii="仿宋" w:hAnsi="仿宋" w:eastAsia="仿宋" w:cs="仿宋"/>
          <w:color w:val="000000" w:themeColor="text1"/>
          <w:sz w:val="24"/>
          <w14:textFill>
            <w14:solidFill>
              <w14:schemeClr w14:val="tx1"/>
            </w14:solidFill>
          </w14:textFill>
        </w:rPr>
        <w:t>的潜在投标人应在政采云平台（</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14:textFill>
            <w14:solidFill>
              <w14:schemeClr w14:val="tx1"/>
            </w14:solidFill>
          </w14:textFill>
        </w:rPr>
        <w:fldChar w:fldCharType="separate"/>
      </w:r>
      <w:r>
        <w:rPr>
          <w:rStyle w:val="19"/>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w:t>
      </w:r>
      <w:r>
        <w:rPr>
          <w:rStyle w:val="19"/>
          <w:rFonts w:hint="eastAsia" w:ascii="仿宋" w:hAnsi="仿宋" w:eastAsia="仿宋" w:cs="仿宋"/>
          <w:snapToGrid/>
          <w:color w:val="000000" w:themeColor="text1"/>
          <w:kern w:val="2"/>
          <w:sz w:val="24"/>
          <w:szCs w:val="24"/>
          <w:lang w:val="en-US" w:eastAsia="zh-CN"/>
          <w14:textFill>
            <w14:solidFill>
              <w14:schemeClr w14:val="tx1"/>
            </w14:solidFill>
          </w14:textFill>
        </w:rPr>
        <w:t>4</w:t>
      </w:r>
      <w:r>
        <w:rPr>
          <w:rStyle w:val="19"/>
          <w:rFonts w:hint="eastAsia" w:ascii="仿宋" w:hAnsi="仿宋" w:eastAsia="仿宋" w:cs="仿宋"/>
          <w:snapToGrid/>
          <w:color w:val="000000" w:themeColor="text1"/>
          <w:kern w:val="2"/>
          <w:sz w:val="24"/>
          <w:szCs w:val="24"/>
          <w14:textFill>
            <w14:solidFill>
              <w14:schemeClr w14:val="tx1"/>
            </w14:solidFill>
          </w14:textFill>
        </w:rPr>
        <w:t>年</w:t>
      </w:r>
      <w:r>
        <w:rPr>
          <w:rStyle w:val="19"/>
          <w:rFonts w:hint="eastAsia" w:ascii="仿宋" w:hAnsi="仿宋" w:eastAsia="仿宋" w:cs="仿宋"/>
          <w:snapToGrid/>
          <w:color w:val="000000" w:themeColor="text1"/>
          <w:kern w:val="2"/>
          <w:sz w:val="24"/>
          <w:szCs w:val="24"/>
          <w:lang w:val="en-US" w:eastAsia="zh-CN"/>
          <w14:textFill>
            <w14:solidFill>
              <w14:schemeClr w14:val="tx1"/>
            </w14:solidFill>
          </w14:textFill>
        </w:rPr>
        <w:t>6</w:t>
      </w:r>
      <w:r>
        <w:rPr>
          <w:rStyle w:val="19"/>
          <w:rFonts w:hint="eastAsia" w:ascii="仿宋" w:hAnsi="仿宋" w:eastAsia="仿宋" w:cs="仿宋"/>
          <w:snapToGrid/>
          <w:color w:val="000000" w:themeColor="text1"/>
          <w:kern w:val="2"/>
          <w:sz w:val="24"/>
          <w:szCs w:val="24"/>
          <w14:textFill>
            <w14:solidFill>
              <w14:schemeClr w14:val="tx1"/>
            </w14:solidFill>
          </w14:textFill>
        </w:rPr>
        <w:t>月</w:t>
      </w:r>
      <w:r>
        <w:rPr>
          <w:rStyle w:val="19"/>
          <w:rFonts w:hint="eastAsia" w:ascii="仿宋" w:hAnsi="仿宋" w:eastAsia="仿宋" w:cs="仿宋"/>
          <w:snapToGrid/>
          <w:color w:val="000000" w:themeColor="text1"/>
          <w:kern w:val="2"/>
          <w:sz w:val="24"/>
          <w:szCs w:val="24"/>
          <w:lang w:val="en-US" w:eastAsia="zh-CN"/>
          <w14:textFill>
            <w14:solidFill>
              <w14:schemeClr w14:val="tx1"/>
            </w14:solidFill>
          </w14:textFill>
        </w:rPr>
        <w:t>4</w:t>
      </w:r>
      <w:r>
        <w:rPr>
          <w:rStyle w:val="19"/>
          <w:rFonts w:hint="eastAsia" w:ascii="仿宋" w:hAnsi="仿宋" w:eastAsia="仿宋" w:cs="仿宋"/>
          <w:snapToGrid/>
          <w:color w:val="000000" w:themeColor="text1"/>
          <w:kern w:val="2"/>
          <w:sz w:val="24"/>
          <w:szCs w:val="24"/>
          <w14:textFill>
            <w14:solidFill>
              <w14:schemeClr w14:val="tx1"/>
            </w14:solidFill>
          </w14:textFill>
        </w:rPr>
        <w:t>日</w:t>
      </w:r>
      <w:r>
        <w:rPr>
          <w:rStyle w:val="19"/>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19"/>
          <w:rFonts w:hint="eastAsia" w:ascii="仿宋" w:hAnsi="仿宋" w:eastAsia="仿宋" w:cs="仿宋"/>
          <w:snapToGrid/>
          <w:color w:val="000000" w:themeColor="text1"/>
          <w:kern w:val="2"/>
          <w:sz w:val="24"/>
          <w:szCs w:val="24"/>
          <w14:textFill>
            <w14:solidFill>
              <w14:schemeClr w14:val="tx1"/>
            </w14:solidFill>
          </w14:textFill>
        </w:rPr>
        <w:t>点</w:t>
      </w:r>
      <w:r>
        <w:rPr>
          <w:rStyle w:val="19"/>
          <w:rFonts w:hint="eastAsia" w:ascii="仿宋" w:hAnsi="仿宋" w:eastAsia="仿宋" w:cs="仿宋"/>
          <w:snapToGrid/>
          <w:color w:val="000000" w:themeColor="text1"/>
          <w:kern w:val="2"/>
          <w:sz w:val="24"/>
          <w:szCs w:val="24"/>
          <w:lang w:val="en-US" w:eastAsia="zh-CN"/>
          <w14:textFill>
            <w14:solidFill>
              <w14:schemeClr w14:val="tx1"/>
            </w14:solidFill>
          </w14:textFill>
        </w:rPr>
        <w:t>30</w:t>
      </w:r>
      <w:r>
        <w:rPr>
          <w:rStyle w:val="19"/>
          <w:rFonts w:hint="eastAsia" w:ascii="仿宋" w:hAnsi="仿宋" w:eastAsia="仿宋" w:cs="仿宋"/>
          <w:snapToGrid/>
          <w:color w:val="000000" w:themeColor="text1"/>
          <w:kern w:val="2"/>
          <w:sz w:val="24"/>
          <w:szCs w:val="24"/>
          <w14:textFill>
            <w14:solidFill>
              <w14:schemeClr w14:val="tx1"/>
            </w14:solidFill>
          </w14:textFill>
        </w:rPr>
        <w:t>分</w:t>
      </w:r>
      <w:r>
        <w:rPr>
          <w:rStyle w:val="19"/>
          <w:rFonts w:hint="eastAsia" w:ascii="仿宋" w:hAnsi="仿宋" w:eastAsia="仿宋" w:cs="仿宋"/>
          <w:bCs/>
          <w:snapToGrid/>
          <w:color w:val="000000" w:themeColor="text1"/>
          <w:kern w:val="2"/>
          <w:sz w:val="24"/>
          <w:szCs w:val="24"/>
          <w14:textFill>
            <w14:solidFill>
              <w14:schemeClr w14:val="tx1"/>
            </w14:solidFill>
          </w14:textFill>
        </w:rPr>
        <w:t>00秒</w:t>
      </w:r>
      <w:r>
        <w:rPr>
          <w:rStyle w:val="19"/>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u w:val="none"/>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
          <w:color w:val="000000" w:themeColor="text1"/>
          <w:sz w:val="24"/>
          <w:u w:val="none"/>
          <w:lang w:val="en-US" w:eastAsia="zh-CN"/>
          <w14:textFill>
            <w14:solidFill>
              <w14:schemeClr w14:val="tx1"/>
            </w14:solidFill>
          </w14:textFill>
        </w:rPr>
        <w:t>SXWS20240015</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
          <w:color w:val="000000" w:themeColor="text1"/>
          <w:sz w:val="24"/>
          <w:u w:val="none"/>
          <w:lang w:val="en-US" w:eastAsia="zh-CN"/>
          <w14:textFill>
            <w14:solidFill>
              <w14:schemeClr w14:val="tx1"/>
            </w14:solidFill>
          </w14:textFill>
        </w:rPr>
        <w:t>嵊州市残疾人康复托养中心-厨房设备采购项目</w:t>
      </w:r>
      <w:r>
        <w:rPr>
          <w:rFonts w:hint="eastAsia" w:ascii="仿宋" w:hAnsi="仿宋" w:eastAsia="仿宋" w:cs="仿宋"/>
          <w:b/>
          <w:color w:val="000000" w:themeColor="text1"/>
          <w:sz w:val="24"/>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
          <w:color w:val="000000" w:themeColor="text1"/>
          <w:sz w:val="24"/>
          <w:lang w:val="en-US" w:eastAsia="zh-CN"/>
          <w14:textFill>
            <w14:solidFill>
              <w14:schemeClr w14:val="tx1"/>
            </w14:solidFill>
          </w14:textFill>
        </w:rPr>
        <w:t>1179000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color w:val="000000" w:themeColor="text1"/>
          <w:sz w:val="24"/>
          <w:lang w:val="en-US" w:eastAsia="zh-CN"/>
          <w14:textFill>
            <w14:solidFill>
              <w14:schemeClr w14:val="tx1"/>
            </w14:solidFill>
          </w14:textFill>
        </w:rPr>
        <w:t>1179000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标项名称：</w:t>
      </w:r>
      <w:r>
        <w:rPr>
          <w:rFonts w:hint="eastAsia" w:ascii="仿宋" w:hAnsi="仿宋" w:eastAsia="仿宋" w:cs="仿宋"/>
          <w:b/>
          <w:color w:val="000000" w:themeColor="text1"/>
          <w:sz w:val="24"/>
          <w:u w:val="none"/>
          <w:lang w:val="en-US" w:eastAsia="zh-CN"/>
          <w14:textFill>
            <w14:solidFill>
              <w14:schemeClr w14:val="tx1"/>
            </w14:solidFill>
          </w14:textFill>
        </w:rPr>
        <w:t>厨房设备</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数量：1批</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预算金额：</w:t>
      </w:r>
      <w:r>
        <w:rPr>
          <w:rFonts w:hint="eastAsia" w:ascii="仿宋" w:hAnsi="仿宋" w:eastAsia="仿宋" w:cs="仿宋"/>
          <w:b/>
          <w:color w:val="000000" w:themeColor="text1"/>
          <w:sz w:val="24"/>
          <w:lang w:val="en-US" w:eastAsia="zh-CN"/>
          <w14:textFill>
            <w14:solidFill>
              <w14:schemeClr w14:val="tx1"/>
            </w14:solidFill>
          </w14:textFill>
        </w:rPr>
        <w:t>1179000</w:t>
      </w:r>
      <w:r>
        <w:rPr>
          <w:rFonts w:hint="eastAsia" w:ascii="仿宋" w:hAnsi="仿宋" w:eastAsia="仿宋" w:cs="仿宋"/>
          <w:bCs/>
          <w:color w:val="000000" w:themeColor="text1"/>
          <w:sz w:val="24"/>
          <w:lang w:val="en-US" w:eastAsia="zh-CN"/>
          <w14:textFill>
            <w14:solidFill>
              <w14:schemeClr w14:val="tx1"/>
            </w14:solidFill>
          </w14:textFill>
        </w:rPr>
        <w:t>元</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主要内容： </w:t>
      </w:r>
      <w:r>
        <w:rPr>
          <w:rFonts w:hint="eastAsia" w:ascii="仿宋" w:hAnsi="仿宋" w:eastAsia="仿宋" w:cs="仿宋"/>
          <w:b/>
          <w:color w:val="000000" w:themeColor="text1"/>
          <w:sz w:val="24"/>
          <w14:textFill>
            <w14:solidFill>
              <w14:schemeClr w14:val="tx1"/>
            </w14:solidFill>
          </w14:textFill>
        </w:rPr>
        <w:t>详见</w:t>
      </w:r>
      <w:r>
        <w:rPr>
          <w:rFonts w:hint="eastAsia" w:ascii="仿宋" w:hAnsi="仿宋" w:eastAsia="仿宋" w:cs="仿宋"/>
          <w:b/>
          <w:color w:val="000000" w:themeColor="text1"/>
          <w:sz w:val="24"/>
          <w:lang w:eastAsia="zh-CN"/>
          <w14:textFill>
            <w14:solidFill>
              <w14:schemeClr w14:val="tx1"/>
            </w14:solidFill>
          </w14:textFill>
        </w:rPr>
        <w:t>招标</w:t>
      </w:r>
      <w:r>
        <w:rPr>
          <w:rFonts w:hint="eastAsia" w:ascii="仿宋" w:hAnsi="仿宋" w:eastAsia="仿宋" w:cs="仿宋"/>
          <w:b/>
          <w:color w:val="000000" w:themeColor="text1"/>
          <w:sz w:val="24"/>
          <w14:textFill>
            <w14:solidFill>
              <w14:schemeClr w14:val="tx1"/>
            </w14:solidFill>
          </w14:textFill>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u w:val="single"/>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lang w:eastAsia="zh-CN"/>
          <w14:textFill>
            <w14:solidFill>
              <w14:schemeClr w14:val="tx1"/>
            </w14:solidFill>
          </w14:textFill>
        </w:rPr>
        <w:t>具备实施条件</w:t>
      </w:r>
      <w:r>
        <w:rPr>
          <w:rFonts w:hint="eastAsia" w:ascii="仿宋" w:hAnsi="仿宋" w:eastAsia="仿宋" w:cs="仿宋"/>
          <w:b/>
          <w:color w:val="000000" w:themeColor="text1"/>
          <w:sz w:val="24"/>
          <w14:textFill>
            <w14:solidFill>
              <w14:schemeClr w14:val="tx1"/>
            </w14:solidFill>
          </w14:textFill>
        </w:rPr>
        <w:t>起</w:t>
      </w:r>
      <w:r>
        <w:rPr>
          <w:rFonts w:hint="eastAsia" w:ascii="仿宋" w:hAnsi="仿宋" w:eastAsia="仿宋" w:cs="仿宋"/>
          <w:b/>
          <w:color w:val="000000" w:themeColor="text1"/>
          <w:sz w:val="24"/>
          <w:lang w:eastAsia="zh-CN"/>
          <w14:textFill>
            <w14:solidFill>
              <w14:schemeClr w14:val="tx1"/>
            </w14:solidFill>
          </w14:textFill>
        </w:rPr>
        <w:t>一</w:t>
      </w:r>
      <w:r>
        <w:rPr>
          <w:rFonts w:hint="eastAsia" w:ascii="仿宋" w:hAnsi="仿宋" w:eastAsia="仿宋" w:cs="仿宋"/>
          <w:b/>
          <w:color w:val="000000" w:themeColor="text1"/>
          <w:sz w:val="24"/>
          <w14:textFill>
            <w14:solidFill>
              <w14:schemeClr w14:val="tx1"/>
            </w14:solidFill>
          </w14:textFill>
        </w:rPr>
        <w:t>个月内</w:t>
      </w:r>
      <w:r>
        <w:rPr>
          <w:rFonts w:hint="eastAsia" w:ascii="仿宋" w:hAnsi="仿宋" w:eastAsia="仿宋" w:cs="仿宋"/>
          <w:b/>
          <w:color w:val="000000" w:themeColor="text1"/>
          <w:sz w:val="24"/>
          <w:u w:val="none"/>
          <w:lang w:eastAsia="zh-CN"/>
          <w14:textFill>
            <w14:solidFill>
              <w14:schemeClr w14:val="tx1"/>
            </w14:solidFill>
          </w14:textFill>
        </w:rPr>
        <w:t>完成供货安装调试验收。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宋体" w:hAnsi="宋体" w:cs="宋体"/>
          <w:color w:val="000000" w:themeColor="text1"/>
          <w:spacing w:val="6"/>
          <w:sz w:val="24"/>
          <w:szCs w:val="24"/>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是，</w:t>
      </w:r>
      <w:r>
        <w:rPr>
          <w:rFonts w:hint="eastAsia" w:ascii="宋体" w:hAnsi="宋体" w:cs="宋体"/>
          <w:color w:val="000000" w:themeColor="text1"/>
          <w:spacing w:val="6"/>
          <w:sz w:val="24"/>
          <w:szCs w:val="24"/>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A8"/>
      </w:r>
      <w:r>
        <w:rPr>
          <w:rFonts w:hint="eastAsia" w:ascii="仿宋" w:hAnsi="仿宋" w:eastAsia="仿宋" w:cs="仿宋"/>
          <w:color w:val="000000" w:themeColor="text1"/>
          <w:sz w:val="24"/>
          <w14:textFill>
            <w14:solidFill>
              <w14:schemeClr w14:val="tx1"/>
            </w14:solidFill>
          </w14:textFill>
        </w:rPr>
        <w:t>无；</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FE"/>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pageBreakBefore w:val="0"/>
        <w:widowControl w:val="0"/>
        <w:kinsoku/>
        <w:wordWrap/>
        <w:overflowPunct/>
        <w:topLinePunct w:val="0"/>
        <w:autoSpaceDE/>
        <w:autoSpaceDN/>
        <w:bidi w:val="0"/>
        <w:spacing w:line="440" w:lineRule="exact"/>
        <w:ind w:firstLine="942" w:firstLineChars="374"/>
        <w:textAlignment w:val="auto"/>
        <w:rPr>
          <w:rFonts w:hint="eastAsia" w:ascii="仿宋" w:hAnsi="仿宋" w:eastAsia="仿宋" w:cs="仿宋"/>
          <w:color w:val="000000" w:themeColor="text1"/>
          <w:sz w:val="24"/>
          <w:u w:val="single"/>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FE"/>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942" w:firstLineChars="374"/>
        <w:textAlignment w:val="auto"/>
        <w:rPr>
          <w:rFonts w:hint="eastAsia" w:ascii="仿宋" w:hAnsi="仿宋" w:eastAsia="仿宋" w:cs="仿宋"/>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FE"/>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A8"/>
      </w:r>
      <w:bookmarkStart w:id="9"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9"/>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A8"/>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宋体" w:hAnsi="宋体" w:cs="Times New Roman"/>
          <w:b/>
          <w:bCs/>
          <w:color w:val="000000" w:themeColor="text1"/>
          <w:sz w:val="21"/>
          <w:szCs w:val="21"/>
          <w:u w:val="single"/>
          <w:lang w:val="en-US" w:eastAsia="zh-CN"/>
          <w14:textFill>
            <w14:solidFill>
              <w14:schemeClr w14:val="tx1"/>
            </w14:solidFill>
          </w14:textFill>
        </w:rPr>
        <w:t>无</w:t>
      </w:r>
      <w:r>
        <w:rPr>
          <w:rFonts w:hint="eastAsia" w:ascii="仿宋" w:hAnsi="仿宋" w:eastAsia="仿宋" w:cs="仿宋"/>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6</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6</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 xml:space="preserve"> 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6</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yellow"/>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000000" w:themeColor="text1"/>
          <w:sz w:val="24"/>
          <w:highlight w:val="none"/>
          <w14:textFill>
            <w14:solidFill>
              <w14:schemeClr w14:val="tx1"/>
            </w14:solidFill>
          </w14:textFill>
        </w:rPr>
        <w:t>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14:textFill>
            <w14:solidFill>
              <w14:schemeClr w14:val="tx1"/>
            </w14:solidFill>
          </w14:textFill>
        </w:rPr>
      </w:pPr>
      <w:bookmarkStart w:id="10" w:name="_Toc35393806"/>
      <w:bookmarkStart w:id="11" w:name="_Toc35393637"/>
      <w:bookmarkStart w:id="12" w:name="_Toc28359096"/>
      <w:bookmarkStart w:id="13" w:name="_Toc28359019"/>
      <w:r>
        <w:rPr>
          <w:rFonts w:hint="eastAsia" w:ascii="仿宋" w:hAnsi="仿宋" w:eastAsia="仿宋" w:cs="仿宋"/>
          <w:color w:val="000000" w:themeColor="text1"/>
          <w:sz w:val="24"/>
          <w:szCs w:val="24"/>
          <w14:textFill>
            <w14:solidFill>
              <w14:schemeClr w14:val="tx1"/>
            </w14:solidFill>
          </w14:textFill>
        </w:rPr>
        <w:t>1.采购人信息</w:t>
      </w:r>
      <w:bookmarkEnd w:id="10"/>
      <w:bookmarkEnd w:id="11"/>
      <w:bookmarkEnd w:id="12"/>
      <w:bookmarkEnd w:id="13"/>
      <w:r>
        <w:rPr>
          <w:rFonts w:hint="eastAsia" w:ascii="仿宋" w:hAnsi="仿宋" w:eastAsia="仿宋" w:cs="仿宋"/>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w:t>
      </w:r>
      <w:r>
        <w:rPr>
          <w:rFonts w:hint="eastAsia" w:ascii="仿宋" w:hAnsi="仿宋" w:eastAsia="仿宋" w:cs="仿宋"/>
          <w:color w:val="000000" w:themeColor="text1"/>
          <w:sz w:val="24"/>
          <w:lang w:eastAsia="zh-CN"/>
          <w14:textFill>
            <w14:solidFill>
              <w14:schemeClr w14:val="tx1"/>
            </w14:solidFill>
          </w14:textFill>
        </w:rPr>
        <w:t>嵊州市残疾人联合会</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lang w:eastAsia="zh-CN"/>
          <w14:textFill>
            <w14:solidFill>
              <w14:schemeClr w14:val="tx1"/>
            </w14:solidFill>
          </w14:textFill>
        </w:rPr>
        <w:t>嵊州市剡湖街道北直街</w:t>
      </w:r>
      <w:r>
        <w:rPr>
          <w:rFonts w:hint="eastAsia" w:ascii="仿宋" w:hAnsi="仿宋" w:eastAsia="仿宋" w:cs="仿宋"/>
          <w:color w:val="000000" w:themeColor="text1"/>
          <w:sz w:val="24"/>
          <w:lang w:val="en-US" w:eastAsia="zh-CN"/>
          <w14:textFill>
            <w14:solidFill>
              <w14:schemeClr w14:val="tx1"/>
            </w14:solidFill>
          </w14:textFill>
        </w:rPr>
        <w:t>390号</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r>
        <w:rPr>
          <w:rFonts w:hint="eastAsia" w:ascii="仿宋" w:hAnsi="仿宋" w:eastAsia="仿宋" w:cs="仿宋"/>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项目联系人（询问）：周先生</w:t>
      </w:r>
      <w:r>
        <w:rPr>
          <w:rFonts w:hint="eastAsia" w:ascii="仿宋" w:hAnsi="仿宋" w:eastAsia="仿宋" w:cs="仿宋"/>
          <w:color w:val="000000" w:themeColor="text1"/>
          <w:sz w:val="24"/>
          <w:lang w:eastAsia="zh-CN"/>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项目联系方式（询问）：0575-</w:t>
      </w:r>
      <w:r>
        <w:rPr>
          <w:rFonts w:hint="default" w:ascii="仿宋" w:hAnsi="仿宋" w:eastAsia="仿宋" w:cs="仿宋"/>
          <w:color w:val="000000" w:themeColor="text1"/>
          <w:sz w:val="24"/>
          <w:lang w:val="en" w:eastAsia="zh-CN"/>
          <w14:textFill>
            <w14:solidFill>
              <w14:schemeClr w14:val="tx1"/>
            </w14:solidFill>
          </w14:textFill>
        </w:rPr>
        <w:t>83790233</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 xml:space="preserve">质疑联系人：王先生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质疑联系方式：0575-83790238</w:t>
      </w:r>
    </w:p>
    <w:p>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14:textFill>
            <w14:solidFill>
              <w14:schemeClr w14:val="tx1"/>
            </w14:solidFill>
          </w14:textFill>
        </w:rPr>
      </w:pPr>
      <w:bookmarkStart w:id="14" w:name="_Toc35393638"/>
      <w:bookmarkStart w:id="15" w:name="_Toc28359097"/>
      <w:bookmarkStart w:id="16" w:name="_Toc28359020"/>
      <w:bookmarkStart w:id="17" w:name="_Toc35393807"/>
      <w:r>
        <w:rPr>
          <w:rFonts w:hint="eastAsia" w:ascii="仿宋" w:hAnsi="仿宋" w:eastAsia="仿宋" w:cs="仿宋"/>
          <w:color w:val="000000" w:themeColor="text1"/>
          <w:sz w:val="24"/>
          <w:szCs w:val="24"/>
          <w14:textFill>
            <w14:solidFill>
              <w14:schemeClr w14:val="tx1"/>
            </w14:solidFill>
          </w14:textFill>
        </w:rPr>
        <w:t>2.采购代理机构信息</w:t>
      </w:r>
      <w:bookmarkEnd w:id="14"/>
      <w:bookmarkEnd w:id="15"/>
      <w:bookmarkEnd w:id="16"/>
      <w:bookmarkEnd w:id="17"/>
      <w:r>
        <w:rPr>
          <w:rFonts w:hint="eastAsia" w:ascii="仿宋" w:hAnsi="仿宋" w:eastAsia="仿宋" w:cs="仿宋"/>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绍兴五石项目咨询有限公司</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嵊州市官河南路339号量子芯座12楼1220室</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lang w:eastAsia="zh-CN"/>
          <w14:textFill>
            <w14:solidFill>
              <w14:schemeClr w14:val="tx1"/>
            </w14:solidFill>
          </w14:textFill>
        </w:rPr>
        <w:t>马龙、胡波</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lang w:val="en-US" w:eastAsia="zh-CN"/>
          <w14:textFill>
            <w14:solidFill>
              <w14:schemeClr w14:val="tx1"/>
            </w14:solidFill>
          </w14:textFill>
        </w:rPr>
        <w:t>18857565501、</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0575-83782288</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刘燕林</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0575-83782288</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14:textFill>
            <w14:solidFill>
              <w14:schemeClr w14:val="tx1"/>
            </w14:solidFill>
          </w14:textFill>
        </w:rPr>
      </w:pPr>
      <w:bookmarkStart w:id="18" w:name="_Toc28359098"/>
      <w:bookmarkStart w:id="19" w:name="_Toc35393808"/>
      <w:bookmarkStart w:id="20" w:name="_Toc28359021"/>
      <w:bookmarkStart w:id="21" w:name="_Toc35393639"/>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 xml:space="preserve"> 同级政府采购监督管理部门：            </w:t>
      </w:r>
    </w:p>
    <w:bookmarkEnd w:id="18"/>
    <w:bookmarkEnd w:id="19"/>
    <w:bookmarkEnd w:id="20"/>
    <w:bookmarkEnd w:id="21"/>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w:t>
      </w:r>
      <w:r>
        <w:rPr>
          <w:rFonts w:hint="eastAsia" w:ascii="仿宋" w:hAnsi="仿宋" w:eastAsia="仿宋" w:cs="仿宋"/>
          <w:i w:val="0"/>
          <w:iCs w:val="0"/>
          <w:caps w:val="0"/>
          <w:color w:val="000000" w:themeColor="text1"/>
          <w:spacing w:val="0"/>
          <w:sz w:val="24"/>
          <w:szCs w:val="24"/>
          <w14:textFill>
            <w14:solidFill>
              <w14:schemeClr w14:val="tx1"/>
            </w14:solidFill>
          </w14:textFill>
        </w:rPr>
        <w:t>嵊州市采购监管</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i w:val="0"/>
          <w:iCs w:val="0"/>
          <w:caps w:val="0"/>
          <w:color w:val="000000" w:themeColor="text1"/>
          <w:spacing w:val="0"/>
          <w:sz w:val="24"/>
          <w:szCs w:val="24"/>
          <w14:textFill>
            <w14:solidFill>
              <w14:schemeClr w14:val="tx1"/>
            </w14:solidFill>
          </w14:textFill>
        </w:rPr>
        <w:t>浙江省绍兴市嵊州市三江街道国资综合大楼1004室</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r>
        <w:rPr>
          <w:rFonts w:hint="eastAsia" w:ascii="仿宋" w:hAnsi="仿宋" w:eastAsia="仿宋" w:cs="仿宋"/>
          <w:color w:val="000000" w:themeColor="text1"/>
          <w:sz w:val="24"/>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 ：</w:t>
      </w:r>
      <w:r>
        <w:rPr>
          <w:rFonts w:hint="eastAsia" w:ascii="仿宋" w:hAnsi="仿宋" w:eastAsia="仿宋" w:cs="仿宋"/>
          <w:i w:val="0"/>
          <w:iCs w:val="0"/>
          <w:caps w:val="0"/>
          <w:color w:val="000000" w:themeColor="text1"/>
          <w:spacing w:val="0"/>
          <w:sz w:val="24"/>
          <w:szCs w:val="24"/>
          <w14:textFill>
            <w14:solidFill>
              <w14:schemeClr w14:val="tx1"/>
            </w14:solidFill>
          </w14:textFill>
        </w:rPr>
        <w:t>郑老师</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r>
        <w:rPr>
          <w:rFonts w:hint="eastAsia" w:ascii="仿宋" w:hAnsi="仿宋" w:eastAsia="仿宋" w:cs="仿宋"/>
          <w:i w:val="0"/>
          <w:iCs w:val="0"/>
          <w:caps w:val="0"/>
          <w:color w:val="000000" w:themeColor="text1"/>
          <w:spacing w:val="0"/>
          <w:sz w:val="24"/>
          <w:szCs w:val="24"/>
          <w14:textFill>
            <w14:solidFill>
              <w14:schemeClr w14:val="tx1"/>
            </w14:solidFill>
          </w14:textFill>
        </w:rPr>
        <w:t>0575-83032507</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6"/>
    <w:bookmarkEnd w:id="7"/>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1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w:t>
            </w:r>
            <w:r>
              <w:rPr>
                <w:rFonts w:hint="eastAsia" w:ascii="仿宋" w:hAnsi="仿宋" w:eastAsia="仿宋" w:cs="仿宋"/>
                <w:b/>
                <w:color w:val="000000" w:themeColor="text1"/>
                <w:sz w:val="24"/>
                <w:highlight w:val="none"/>
                <w14:textFill>
                  <w14:solidFill>
                    <w14:schemeClr w14:val="tx1"/>
                  </w14:solidFill>
                </w14:textFill>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宋体" w:hAnsi="宋体" w:cs="宋体"/>
                <w:color w:val="000000" w:themeColor="text1"/>
                <w:spacing w:val="6"/>
                <w:sz w:val="24"/>
                <w:szCs w:val="24"/>
                <w14:textFill>
                  <w14:solidFill>
                    <w14:schemeClr w14:val="tx1"/>
                  </w14:solidFill>
                </w14:textFill>
              </w:rPr>
              <w:sym w:font="Wingdings" w:char="00A8"/>
            </w:r>
            <w:r>
              <w:rPr>
                <w:rFonts w:hint="eastAsia" w:ascii="仿宋" w:hAnsi="仿宋" w:eastAsia="仿宋" w:cs="仿宋"/>
                <w:color w:val="000000" w:themeColor="text1"/>
                <w:kern w:val="0"/>
                <w:sz w:val="24"/>
                <w14:textFill>
                  <w14:solidFill>
                    <w14:schemeClr w14:val="tx1"/>
                  </w14:solidFill>
                </w14:textFill>
              </w:rPr>
              <w:t xml:space="preserve">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56" w:firstLineChars="300"/>
              <w:rPr>
                <w:rFonts w:hint="eastAsia" w:ascii="仿宋" w:hAnsi="仿宋" w:eastAsia="仿宋" w:cs="仿宋"/>
                <w:b/>
                <w:color w:val="000000" w:themeColor="text1"/>
                <w:sz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sym w:font="Wingdings" w:char="00FE"/>
            </w:r>
            <w:r>
              <w:rPr>
                <w:rFonts w:hint="eastAsia" w:ascii="仿宋" w:hAnsi="仿宋" w:eastAsia="仿宋" w:cs="仿宋"/>
                <w:color w:val="000000" w:themeColor="text1"/>
                <w:kern w:val="0"/>
                <w:sz w:val="24"/>
                <w14:textFill>
                  <w14:solidFill>
                    <w14:schemeClr w14:val="tx1"/>
                  </w14:solidFill>
                </w14:textFill>
              </w:rPr>
              <w:t xml:space="preserve">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u w:val="single"/>
                <w:lang w:val="en-US"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lang w:val="en-US" w:eastAsia="zh-CN"/>
                <w14:textFill>
                  <w14:solidFill>
                    <w14:schemeClr w14:val="tx1"/>
                  </w14:solidFill>
                </w14:textFill>
              </w:rPr>
              <w:t xml:space="preserve"> 1.三层六盘烤箱 规格：1220*940*1695mm； 1台  2.智能型双门蒸饭箱  规格：30盘   1台  3.</w:t>
            </w:r>
            <w:r>
              <w:rPr>
                <w:rFonts w:hint="default" w:ascii="仿宋" w:hAnsi="仿宋" w:eastAsia="仿宋" w:cs="仿宋"/>
                <w:color w:val="000000" w:themeColor="text1"/>
                <w:sz w:val="24"/>
                <w:u w:val="single"/>
                <w:lang w:val="en-US" w:eastAsia="zh-CN"/>
                <w14:textFill>
                  <w14:solidFill>
                    <w14:schemeClr w14:val="tx1"/>
                  </w14:solidFill>
                </w14:textFill>
              </w:rPr>
              <w:t>单门醒发箱</w:t>
            </w:r>
            <w:r>
              <w:rPr>
                <w:rFonts w:hint="eastAsia" w:ascii="仿宋" w:hAnsi="仿宋" w:eastAsia="仿宋" w:cs="仿宋"/>
                <w:color w:val="000000" w:themeColor="text1"/>
                <w:sz w:val="24"/>
                <w:u w:val="single"/>
                <w:lang w:val="en-US" w:eastAsia="zh-CN"/>
                <w14:textFill>
                  <w14:solidFill>
                    <w14:schemeClr w14:val="tx1"/>
                  </w14:solidFill>
                </w14:textFill>
              </w:rPr>
              <w:t xml:space="preserve">  规格：</w:t>
            </w:r>
            <w:r>
              <w:rPr>
                <w:rFonts w:hint="default" w:ascii="仿宋" w:hAnsi="仿宋" w:eastAsia="仿宋" w:cs="仿宋"/>
                <w:color w:val="000000" w:themeColor="text1"/>
                <w:sz w:val="24"/>
                <w:u w:val="single"/>
                <w:lang w:val="en-US" w:eastAsia="zh-CN"/>
                <w14:textFill>
                  <w14:solidFill>
                    <w14:schemeClr w14:val="tx1"/>
                  </w14:solidFill>
                </w14:textFill>
              </w:rPr>
              <w:t>570x990x2000mm</w:t>
            </w:r>
            <w:r>
              <w:rPr>
                <w:rFonts w:hint="eastAsia" w:ascii="仿宋" w:hAnsi="仿宋" w:eastAsia="仿宋" w:cs="仿宋"/>
                <w:color w:val="000000" w:themeColor="text1"/>
                <w:sz w:val="24"/>
                <w:u w:val="single"/>
                <w:lang w:val="en-US" w:eastAsia="zh-CN"/>
                <w14:textFill>
                  <w14:solidFill>
                    <w14:schemeClr w14:val="tx1"/>
                  </w14:solidFill>
                </w14:textFill>
              </w:rPr>
              <w:t xml:space="preserve">  1台 4.厂制品配件及小样：不锈钢板、基脚、水槽及附件、滑门滑轨、台面后挡水板、壁架及天梯、门内外层门板、抽屉滑轨、防水板   1套   ；</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否；</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提交投标文件截止时间</w:t>
            </w:r>
            <w:r>
              <w:rPr>
                <w:rFonts w:hint="eastAsia" w:ascii="仿宋" w:hAnsi="仿宋" w:eastAsia="仿宋" w:cs="仿宋"/>
                <w:color w:val="000000" w:themeColor="text1"/>
                <w:sz w:val="24"/>
                <w:u w:val="single"/>
                <w:lang w:eastAsia="zh-CN"/>
                <w14:textFill>
                  <w14:solidFill>
                    <w14:schemeClr w14:val="tx1"/>
                  </w14:solidFill>
                </w14:textFill>
              </w:rPr>
              <w:t>前</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嵊州市官河南路339号量子芯座1220室</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刘燕林</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15355851444</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kinsoku/>
              <w:wordWrap/>
              <w:overflowPunct/>
              <w:topLinePunct w:val="0"/>
              <w:bidi w:val="0"/>
              <w:adjustRightInd/>
              <w:spacing w:beforeLines="0" w:afterLines="0" w:line="440" w:lineRule="exact"/>
              <w:ind w:left="0" w:leftChars="0" w:right="0" w:rightChars="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9</w:t>
            </w:r>
          </w:p>
        </w:tc>
        <w:tc>
          <w:tcPr>
            <w:tcW w:w="8370" w:type="dxa"/>
            <w:gridSpan w:val="2"/>
            <w:vAlign w:val="center"/>
          </w:tcPr>
          <w:p>
            <w:pPr>
              <w:spacing w:beforeLines="0" w:afterLines="0" w:line="440" w:lineRule="exact"/>
              <w:rPr>
                <w:rFonts w:hint="eastAsia" w:ascii="仿宋" w:hAnsi="仿宋" w:eastAsia="仿宋" w:cs="仿宋"/>
                <w:b w:val="0"/>
                <w:color w:val="000000" w:themeColor="text1"/>
                <w:sz w:val="24"/>
                <w:szCs w:val="24"/>
                <w:lang w:val="zh-CN"/>
                <w14:textFill>
                  <w14:solidFill>
                    <w14:schemeClr w14:val="tx1"/>
                  </w14:solidFill>
                </w14:textFill>
              </w:rPr>
            </w:pPr>
            <w:r>
              <w:rPr>
                <w:rFonts w:hint="eastAsia" w:ascii="仿宋" w:hAnsi="仿宋" w:eastAsia="仿宋" w:cs="仿宋"/>
                <w:b w:val="0"/>
                <w:color w:val="000000" w:themeColor="text1"/>
                <w:sz w:val="24"/>
                <w:szCs w:val="24"/>
                <w:lang w:val="zh-CN"/>
                <w14:textFill>
                  <w14:solidFill>
                    <w14:schemeClr w14:val="tx1"/>
                  </w14:solidFill>
                </w14:textFill>
              </w:rPr>
              <w:t>方案讲解演示：</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A无方案讲解演示。</w:t>
            </w:r>
          </w:p>
          <w:p>
            <w:pPr>
              <w:spacing w:beforeLines="0" w:afterLines="0" w:line="440" w:lineRule="exact"/>
              <w:rPr>
                <w:rFonts w:hint="eastAsia" w:ascii="仿宋" w:hAnsi="仿宋" w:eastAsia="仿宋" w:cs="仿宋"/>
                <w:b w:val="0"/>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B有方案讲解演示：</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u w:val="none"/>
                <w:lang w:val="zh-CN" w:eastAsia="zh-CN"/>
                <w14:textFill>
                  <w14:solidFill>
                    <w14:schemeClr w14:val="tx1"/>
                  </w14:solidFill>
                </w14:textFill>
              </w:rPr>
              <w:t xml:space="preserve"> 12 </w:t>
            </w:r>
            <w:r>
              <w:rPr>
                <w:rFonts w:hint="eastAsia" w:ascii="仿宋" w:hAnsi="仿宋" w:eastAsia="仿宋" w:cs="仿宋"/>
                <w:color w:val="000000" w:themeColor="text1"/>
                <w:sz w:val="24"/>
                <w:szCs w:val="24"/>
                <w:lang w:val="zh-CN"/>
                <w14:textFill>
                  <w14:solidFill>
                    <w14:schemeClr w14:val="tx1"/>
                  </w14:solidFill>
                </w14:textFill>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（2）方案讲解演示方式：</w:t>
            </w:r>
          </w:p>
          <w:p>
            <w:pPr>
              <w:spacing w:beforeLines="0" w:afterLines="0" w:line="440" w:lineRule="exact"/>
              <w:rPr>
                <w:rFonts w:hint="eastAsia" w:ascii="仿宋" w:hAnsi="仿宋" w:eastAsia="仿宋" w:cs="仿宋"/>
                <w:color w:val="000000" w:themeColor="text1"/>
                <w:sz w:val="24"/>
                <w:szCs w:val="24"/>
                <w:lang w:val="zh-CN" w:eastAsia="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演示以电子版形式提供</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lang w:val="zh-CN" w:eastAsia="zh-CN"/>
                <w14:textFill>
                  <w14:solidFill>
                    <w14:schemeClr w14:val="tx1"/>
                  </w14:solidFill>
                </w14:textFill>
              </w:rPr>
              <w:t>电子版需以U盘形式存储，格式为MP4，时间要求控制在1</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zh-CN" w:eastAsia="zh-CN"/>
                <w14:textFill>
                  <w14:solidFill>
                    <w14:schemeClr w14:val="tx1"/>
                  </w14:solidFill>
                </w14:textFill>
              </w:rPr>
              <w:t>分钟以内，演示不能正常进行或未提供演示，演示分为0分。</w:t>
            </w:r>
          </w:p>
          <w:p>
            <w:pPr>
              <w:spacing w:beforeLines="0" w:afterLines="0"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szCs w:val="24"/>
                <w:lang w:val="zh-CN" w:eastAsia="zh-CN"/>
                <w14:textFill>
                  <w14:solidFill>
                    <w14:schemeClr w14:val="tx1"/>
                  </w14:solidFill>
                </w14:textFill>
              </w:rPr>
              <w:t>演示文件开标截止时间前</w:t>
            </w:r>
            <w:r>
              <w:rPr>
                <w:rFonts w:hint="eastAsia" w:ascii="仿宋" w:hAnsi="仿宋" w:eastAsia="仿宋" w:cs="仿宋"/>
                <w:color w:val="000000" w:themeColor="text1"/>
                <w:sz w:val="24"/>
                <w:szCs w:val="24"/>
                <w:lang w:val="zh-CN"/>
                <w14:textFill>
                  <w14:solidFill>
                    <w14:schemeClr w14:val="tx1"/>
                  </w14:solidFill>
                </w14:textFill>
              </w:rPr>
              <w:t>邮寄或送达地址：</w:t>
            </w:r>
            <w:r>
              <w:rPr>
                <w:rFonts w:hint="eastAsia" w:ascii="仿宋" w:hAnsi="仿宋" w:eastAsia="仿宋" w:cs="仿宋"/>
                <w:color w:val="000000" w:themeColor="text1"/>
                <w:sz w:val="24"/>
                <w:szCs w:val="24"/>
                <w:u w:val="single"/>
                <w:lang w:val="en-US" w:eastAsia="zh-CN"/>
                <w14:textFill>
                  <w14:solidFill>
                    <w14:schemeClr w14:val="tx1"/>
                  </w14:solidFill>
                </w14:textFill>
              </w:rPr>
              <w:t>/</w:t>
            </w:r>
            <w:r>
              <w:rPr>
                <w:rFonts w:hint="eastAsia" w:ascii="仿宋" w:hAnsi="仿宋" w:eastAsia="仿宋" w:cs="仿宋"/>
                <w:color w:val="000000" w:themeColor="text1"/>
                <w:sz w:val="24"/>
                <w:szCs w:val="24"/>
                <w:lang w:val="zh-CN"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收件人：</w:t>
            </w:r>
            <w:r>
              <w:rPr>
                <w:rFonts w:hint="eastAsia" w:ascii="仿宋" w:hAnsi="仿宋" w:eastAsia="仿宋" w:cs="仿宋"/>
                <w:color w:val="000000" w:themeColor="text1"/>
                <w:sz w:val="24"/>
                <w:szCs w:val="24"/>
                <w:u w:val="single"/>
                <w:lang w:val="en-US" w:eastAsia="zh-CN"/>
                <w14:textFill>
                  <w14:solidFill>
                    <w14:schemeClr w14:val="tx1"/>
                  </w14:solidFill>
                </w14:textFill>
              </w:rPr>
              <w:t>/</w:t>
            </w:r>
            <w:r>
              <w:rPr>
                <w:rFonts w:hint="eastAsia" w:ascii="仿宋" w:hAnsi="仿宋" w:eastAsia="仿宋" w:cs="仿宋"/>
                <w:color w:val="000000" w:themeColor="text1"/>
                <w:sz w:val="24"/>
                <w:szCs w:val="24"/>
                <w:lang w:val="zh-CN" w:eastAsia="zh-CN"/>
                <w14:textFill>
                  <w14:solidFill>
                    <w14:schemeClr w14:val="tx1"/>
                  </w14:solidFill>
                </w14:textFill>
              </w:rPr>
              <w:t xml:space="preserve"> </w:t>
            </w:r>
            <w:r>
              <w:rPr>
                <w:rFonts w:hint="eastAsia" w:ascii="仿宋" w:hAnsi="仿宋" w:eastAsia="仿宋" w:cs="仿宋"/>
                <w:color w:val="000000" w:themeColor="text1"/>
                <w:sz w:val="24"/>
                <w:szCs w:val="24"/>
                <w:lang w:val="zh-CN"/>
                <w14:textFill>
                  <w14:solidFill>
                    <w14:schemeClr w14:val="tx1"/>
                  </w14:solidFill>
                </w14:textFill>
              </w:rPr>
              <w:t>联系方式：</w:t>
            </w:r>
            <w:r>
              <w:rPr>
                <w:rFonts w:hint="eastAsia" w:ascii="仿宋" w:hAnsi="仿宋" w:eastAsia="仿宋" w:cs="仿宋"/>
                <w:color w:val="000000" w:themeColor="text1"/>
                <w:sz w:val="24"/>
                <w:szCs w:val="24"/>
                <w:u w:val="single"/>
                <w:lang w:val="en-US" w:eastAsia="zh-CN"/>
                <w14:textFill>
                  <w14:solidFill>
                    <w14:schemeClr w14:val="tx1"/>
                  </w14:solidFill>
                </w14:textFill>
              </w:rPr>
              <w:t>/</w:t>
            </w:r>
            <w:r>
              <w:rPr>
                <w:rFonts w:hint="eastAsia" w:ascii="仿宋" w:hAnsi="仿宋" w:eastAsia="仿宋" w:cs="仿宋"/>
                <w:color w:val="000000" w:themeColor="text1"/>
                <w:sz w:val="24"/>
                <w:szCs w:val="24"/>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lang w:val="en-US" w:eastAsia="zh-CN"/>
                <w14:textFill>
                  <w14:solidFill>
                    <w14:schemeClr w14:val="tx1"/>
                  </w14:solidFill>
                </w14:textFill>
              </w:rPr>
              <w:t>厨房设备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kern w:val="0"/>
                <w:sz w:val="24"/>
                <w:u w:val="single"/>
                <w:lang w:val="en-US" w:eastAsia="zh-CN"/>
                <w14:textFill>
                  <w14:solidFill>
                    <w14:schemeClr w14:val="tx1"/>
                  </w14:solidFill>
                </w14:textFill>
              </w:rPr>
              <w:t>厨房设备</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lang w:val="en-US" w:eastAsia="zh-CN"/>
                <w14:textFill>
                  <w14:solidFill>
                    <w14:schemeClr w14:val="tx1"/>
                  </w14:solidFill>
                </w14:textFill>
              </w:rPr>
              <w:t>工业</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lang w:eastAsia="zh-CN"/>
                <w14:textFill>
                  <w14:solidFill>
                    <w14:schemeClr w14:val="tx1"/>
                  </w14:solidFill>
                </w14:textFill>
              </w:rPr>
              <w:t>95763</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特别说明(本项目不适合)：</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19</w:t>
            </w:r>
          </w:p>
        </w:tc>
        <w:tc>
          <w:tcPr>
            <w:tcW w:w="8370" w:type="dxa"/>
            <w:gridSpan w:val="2"/>
            <w:vAlign w:val="center"/>
          </w:tcPr>
          <w:p>
            <w:pPr>
              <w:widowControl/>
              <w:autoSpaceDE/>
              <w:autoSpaceDN/>
              <w:snapToGrid/>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pPr>
              <w:widowControl/>
              <w:autoSpaceDE/>
              <w:autoSpaceDN/>
              <w:snapToGrid/>
              <w:spacing w:line="440" w:lineRule="exact"/>
              <w:textAlignment w:val="auto"/>
              <w:rPr>
                <w:rFonts w:hint="eastAsia" w:ascii="仿宋" w:hAnsi="仿宋" w:eastAsia="仿宋" w:cs="仿宋"/>
                <w:snapToGrid w:val="0"/>
                <w:color w:val="000000" w:themeColor="text1"/>
                <w:kern w:val="28"/>
                <w:sz w:val="24"/>
                <w:szCs w:val="24"/>
                <w:lang w:val="en-US" w:eastAsia="zh-CN"/>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①《国家计委关于印发&lt;招标代理服务费管理暂行办法&gt;的通知》（计价格〔2002〕1980号）、〔2011〕534号的规定执行；</w:t>
            </w:r>
          </w:p>
          <w:p>
            <w:pPr>
              <w:widowControl/>
              <w:autoSpaceDE/>
              <w:autoSpaceDN/>
              <w:snapToGrid/>
              <w:spacing w:line="440" w:lineRule="exact"/>
              <w:textAlignment w:val="auto"/>
              <w:rPr>
                <w:rFonts w:hint="eastAsia" w:ascii="仿宋" w:hAnsi="仿宋" w:eastAsia="仿宋" w:cs="仿宋"/>
                <w:snapToGrid w:val="0"/>
                <w:color w:val="000000" w:themeColor="text1"/>
                <w:kern w:val="28"/>
                <w:sz w:val="24"/>
                <w:szCs w:val="24"/>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②中标服务费的交纳方式：</w:t>
            </w:r>
          </w:p>
          <w:p>
            <w:pPr>
              <w:widowControl/>
              <w:autoSpaceDE/>
              <w:autoSpaceDN/>
              <w:snapToGrid/>
              <w:spacing w:line="440" w:lineRule="exact"/>
              <w:textAlignment w:val="auto"/>
              <w:rPr>
                <w:rFonts w:hint="eastAsia" w:ascii="仿宋" w:hAnsi="仿宋" w:eastAsia="仿宋" w:cs="仿宋"/>
                <w:snapToGrid w:val="0"/>
                <w:color w:val="000000" w:themeColor="text1"/>
                <w:kern w:val="28"/>
                <w:sz w:val="24"/>
                <w:szCs w:val="24"/>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用银行支票、汇票、电汇、现金等付款方式直接交纳中标服务费。</w:t>
            </w:r>
          </w:p>
          <w:p>
            <w:pPr>
              <w:widowControl/>
              <w:autoSpaceDE/>
              <w:autoSpaceDN/>
              <w:snapToGrid/>
              <w:spacing w:line="440" w:lineRule="exact"/>
              <w:textAlignment w:val="auto"/>
              <w:rPr>
                <w:rFonts w:hint="eastAsia" w:ascii="仿宋" w:hAnsi="仿宋" w:eastAsia="仿宋" w:cs="仿宋"/>
                <w:snapToGrid w:val="0"/>
                <w:color w:val="000000" w:themeColor="text1"/>
                <w:kern w:val="28"/>
                <w:sz w:val="24"/>
                <w:szCs w:val="24"/>
                <w:lang w:eastAsia="zh-CN"/>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公司名称：</w:t>
            </w:r>
            <w:r>
              <w:rPr>
                <w:rFonts w:hint="eastAsia" w:ascii="仿宋" w:hAnsi="仿宋" w:eastAsia="仿宋" w:cs="仿宋"/>
                <w:snapToGrid w:val="0"/>
                <w:color w:val="000000" w:themeColor="text1"/>
                <w:kern w:val="28"/>
                <w:sz w:val="24"/>
                <w:szCs w:val="24"/>
                <w:lang w:eastAsia="zh-CN"/>
                <w14:textFill>
                  <w14:solidFill>
                    <w14:schemeClr w14:val="tx1"/>
                  </w14:solidFill>
                </w14:textFill>
              </w:rPr>
              <w:t>绍兴五石项目咨询有限公司</w:t>
            </w:r>
          </w:p>
          <w:p>
            <w:pPr>
              <w:widowControl/>
              <w:autoSpaceDE/>
              <w:autoSpaceDN/>
              <w:snapToGrid/>
              <w:spacing w:line="440" w:lineRule="exact"/>
              <w:textAlignment w:val="auto"/>
              <w:rPr>
                <w:rFonts w:hint="eastAsia" w:ascii="仿宋" w:hAnsi="仿宋" w:eastAsia="仿宋" w:cs="仿宋"/>
                <w:snapToGrid w:val="0"/>
                <w:color w:val="000000" w:themeColor="text1"/>
                <w:kern w:val="28"/>
                <w:sz w:val="24"/>
                <w:szCs w:val="24"/>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开户行：招商银行股份有限公司绍兴嵊州支行</w:t>
            </w:r>
          </w:p>
          <w:p>
            <w:pPr>
              <w:widowControl/>
              <w:autoSpaceDE/>
              <w:autoSpaceDN/>
              <w:snapToGrid/>
              <w:spacing w:line="440" w:lineRule="exact"/>
              <w:textAlignment w:val="auto"/>
              <w:rPr>
                <w:rFonts w:hint="eastAsia" w:ascii="仿宋" w:hAnsi="仿宋" w:eastAsia="仿宋" w:cs="仿宋"/>
                <w:color w:val="000000" w:themeColor="text1"/>
                <w:kern w:val="0"/>
                <w:sz w:val="24"/>
                <w:szCs w:val="21"/>
                <w:lang w:eastAsia="zh-CN"/>
                <w14:textFill>
                  <w14:solidFill>
                    <w14:schemeClr w14:val="tx1"/>
                  </w14:solidFill>
                </w14:textFill>
              </w:rPr>
            </w:pPr>
            <w:r>
              <w:rPr>
                <w:rFonts w:hint="eastAsia" w:ascii="仿宋" w:hAnsi="仿宋" w:eastAsia="仿宋" w:cs="仿宋"/>
                <w:snapToGrid w:val="0"/>
                <w:color w:val="000000" w:themeColor="text1"/>
                <w:kern w:val="28"/>
                <w:sz w:val="24"/>
                <w:szCs w:val="24"/>
                <w14:textFill>
                  <w14:solidFill>
                    <w14:schemeClr w14:val="tx1"/>
                  </w14:solidFill>
                </w14:textFill>
              </w:rPr>
              <w:t>账  号： 5759 0481 5510 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r>
              <w:rPr>
                <w:rFonts w:hint="eastAsia" w:ascii="仿宋" w:hAnsi="仿宋" w:eastAsia="仿宋" w:cs="仿宋"/>
                <w:color w:val="000000" w:themeColor="text1"/>
                <w:sz w:val="24"/>
                <w:lang w:eastAsia="zh-CN"/>
                <w14:textFill>
                  <w14:solidFill>
                    <w14:schemeClr w14:val="tx1"/>
                  </w14:solidFill>
                </w14:textFill>
              </w:rPr>
              <w:t>及招标代理机构</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14:textFill>
            <w14:solidFill>
              <w14:schemeClr w14:val="tx1"/>
            </w14:solidFill>
          </w14:textFill>
        </w:rPr>
      </w:pPr>
      <w:bookmarkStart w:id="22" w:name="_Hlt68057669"/>
      <w:bookmarkEnd w:id="22"/>
      <w:bookmarkStart w:id="23" w:name="_Hlt75236011"/>
      <w:bookmarkEnd w:id="23"/>
      <w:bookmarkStart w:id="24" w:name="_Hlt68072990"/>
      <w:bookmarkEnd w:id="24"/>
      <w:bookmarkStart w:id="25" w:name="_Hlt75236101"/>
      <w:bookmarkEnd w:id="25"/>
      <w:bookmarkStart w:id="26" w:name="_Hlt74707468"/>
      <w:bookmarkEnd w:id="26"/>
      <w:bookmarkStart w:id="27" w:name="_Hlt75236290"/>
      <w:bookmarkEnd w:id="27"/>
      <w:bookmarkStart w:id="28" w:name="_Hlt74729768"/>
      <w:bookmarkEnd w:id="28"/>
      <w:bookmarkStart w:id="29" w:name="_Hlt74730295"/>
      <w:bookmarkEnd w:id="29"/>
      <w:bookmarkStart w:id="30" w:name="_Hlt74714665"/>
      <w:bookmarkEnd w:id="30"/>
      <w:bookmarkStart w:id="31" w:name="_Hlt68403820"/>
      <w:bookmarkEnd w:id="31"/>
      <w:bookmarkStart w:id="32" w:name="_Hlt68073093"/>
      <w:bookmarkEnd w:id="32"/>
      <w:bookmarkStart w:id="33" w:name="_Hlt68072998"/>
      <w:bookmarkEnd w:id="33"/>
      <w:bookmarkStart w:id="34" w:name="_Toc164416483"/>
      <w:bookmarkStart w:id="35" w:name="第三部分"/>
      <w:r>
        <w:rPr>
          <w:rFonts w:hint="eastAsia" w:ascii="仿宋" w:hAnsi="仿宋" w:eastAsia="仿宋" w:cs="仿宋"/>
          <w:b/>
          <w:color w:val="000000" w:themeColor="text1"/>
          <w:sz w:val="32"/>
          <w:szCs w:val="32"/>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”系指招标公告中载明的本项目的</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w:t>
      </w:r>
      <w:r>
        <w:rPr>
          <w:rFonts w:hint="eastAsia" w:ascii="仿宋" w:hAnsi="仿宋" w:eastAsia="仿宋" w:cs="仿宋"/>
          <w:color w:val="000000" w:themeColor="text1"/>
          <w:sz w:val="24"/>
          <w:highlight w:val="none"/>
          <w14:textFill>
            <w14:solidFill>
              <w14:schemeClr w14:val="tx1"/>
            </w14:solidFill>
          </w14:textFill>
        </w:rPr>
        <w:t>“供应商”</w:t>
      </w:r>
      <w:r>
        <w:rPr>
          <w:rFonts w:hint="eastAsia" w:ascii="仿宋" w:hAnsi="仿宋" w:eastAsia="仿宋" w:cs="仿宋"/>
          <w:color w:val="000000" w:themeColor="text1"/>
          <w:sz w:val="24"/>
          <w14:textFill>
            <w14:solidFill>
              <w14:schemeClr w14:val="tx1"/>
            </w14:solidFill>
          </w14:textFill>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2.4</w:t>
      </w:r>
      <w:r>
        <w:rPr>
          <w:rFonts w:hint="eastAsia" w:ascii="仿宋" w:hAnsi="仿宋" w:eastAsia="仿宋" w:cs="仿宋"/>
          <w:color w:val="000000" w:themeColor="text1"/>
          <w:sz w:val="24"/>
          <w14:textFill>
            <w14:solidFill>
              <w14:schemeClr w14:val="tx1"/>
            </w14:solidFill>
          </w14:textFill>
        </w:rPr>
        <w:t>“监督单位”系指政府采购法定义监督管理部门</w:t>
      </w:r>
      <w:r>
        <w:rPr>
          <w:rFonts w:hint="eastAsia" w:ascii="仿宋" w:hAnsi="仿宋" w:eastAsia="仿宋" w:cs="仿宋"/>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“电子交易平台”</w:t>
      </w:r>
      <w:r>
        <w:rPr>
          <w:rFonts w:hint="eastAsia" w:ascii="仿宋" w:hAnsi="仿宋" w:eastAsia="仿宋" w:cs="仿宋"/>
          <w:color w:val="000000" w:themeColor="text1"/>
          <w:sz w:val="24"/>
          <w:lang w:val="en-US" w:eastAsia="zh-CN"/>
          <w14:textFill>
            <w14:solidFill>
              <w14:schemeClr w14:val="tx1"/>
            </w14:solidFill>
          </w14:textFill>
        </w:rPr>
        <w:t>系</w:t>
      </w:r>
      <w:r>
        <w:rPr>
          <w:rFonts w:hint="eastAsia" w:ascii="仿宋" w:hAnsi="仿宋" w:eastAsia="仿宋" w:cs="仿宋"/>
          <w:color w:val="000000" w:themeColor="text1"/>
          <w:sz w:val="24"/>
          <w14:textFill>
            <w14:solidFill>
              <w14:schemeClr w14:val="tx1"/>
            </w14:solidFill>
          </w14:textFill>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“▲”系指实质性指标要求条款，“</w:t>
      </w:r>
      <w:r>
        <w:rPr>
          <w:rFonts w:hint="eastAsia" w:ascii="宋体" w:hAnsi="宋体" w:eastAsia="宋体" w:cs="宋体"/>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系指主要性能指标要求条款。如任意一条打“▲”的指标出现负偏离视为实质性不响应招标文件要求，作无效投标处理；如任意一条打“</w:t>
      </w:r>
      <w:r>
        <w:rPr>
          <w:rFonts w:hint="eastAsia" w:ascii="宋体" w:hAnsi="宋体" w:eastAsia="宋体" w:cs="宋体"/>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”的指标出现负偏离按评分标准作扣分处理。“</w:t>
      </w:r>
      <w:r>
        <w:rPr>
          <w:rFonts w:hint="default" w:ascii="仿宋" w:hAnsi="仿宋" w:eastAsia="仿宋" w:cs="仿宋"/>
          <w:color w:val="000000" w:themeColor="text1"/>
          <w:sz w:val="24"/>
          <w:lang w:val="en"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000000" w:themeColor="text1"/>
          <w:sz w:val="24"/>
          <w:highlight w:val="none"/>
          <w14:textFill>
            <w14:solidFill>
              <w14:schemeClr w14:val="tx1"/>
            </w14:solidFill>
          </w14:textFill>
        </w:rPr>
        <w:t>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的扣除，用扣除后的价格参加评审。</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000000" w:themeColor="text1"/>
          <w:sz w:val="24"/>
          <w:highlight w:val="none"/>
          <w14:textFill>
            <w14:solidFill>
              <w14:schemeClr w14:val="tx1"/>
            </w14:solidFill>
          </w14:textFill>
        </w:rPr>
        <w:t>4</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2"/>
        <w:rPr>
          <w:rFonts w:hint="eastAsia"/>
          <w:color w:val="000000" w:themeColor="text1"/>
          <w14:textFill>
            <w14:solidFill>
              <w14:schemeClr w14:val="tx1"/>
            </w14:solidFill>
          </w14:textFill>
        </w:rPr>
      </w:pPr>
    </w:p>
    <w:p>
      <w:pPr>
        <w:pStyle w:val="2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6"/>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lang w:eastAsia="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w:t>
      </w:r>
      <w:r>
        <w:rPr>
          <w:rFonts w:hint="eastAsia" w:ascii="仿宋" w:hAnsi="仿宋" w:eastAsia="仿宋" w:cs="仿宋"/>
          <w:b/>
          <w:color w:val="000000" w:themeColor="text1"/>
          <w:sz w:val="32"/>
          <w:szCs w:val="32"/>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1.</w:t>
      </w:r>
      <w:r>
        <w:rPr>
          <w:rFonts w:hint="eastAsia" w:ascii="仿宋" w:hAnsi="仿宋" w:eastAsia="仿宋" w:cs="仿宋"/>
          <w:b/>
          <w:bCs/>
          <w:color w:val="000000" w:themeColor="text1"/>
          <w:sz w:val="24"/>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8"/>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2</w:t>
      </w:r>
      <w:r>
        <w:rPr>
          <w:rFonts w:hint="eastAsia" w:ascii="仿宋" w:hAnsi="仿宋" w:eastAsia="仿宋" w:cs="仿宋"/>
          <w:b/>
          <w:color w:val="000000" w:themeColor="text1"/>
          <w:sz w:val="24"/>
          <w:szCs w:val="24"/>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w:t>
      </w:r>
      <w:r>
        <w:rPr>
          <w:rFonts w:hint="eastAsia" w:ascii="仿宋" w:hAnsi="仿宋" w:eastAsia="仿宋" w:cs="仿宋"/>
          <w:color w:val="000000" w:themeColor="text1"/>
          <w:sz w:val="24"/>
          <w:lang w:eastAsia="zh-CN"/>
          <w14:textFill>
            <w14:solidFill>
              <w14:schemeClr w14:val="tx1"/>
            </w14:solidFill>
          </w14:textFill>
        </w:rPr>
        <w:t>“资格文件”、</w:t>
      </w:r>
      <w:r>
        <w:rPr>
          <w:rFonts w:hint="eastAsia" w:ascii="仿宋" w:hAnsi="仿宋" w:eastAsia="仿宋" w:cs="仿宋"/>
          <w:color w:val="000000" w:themeColor="text1"/>
          <w:sz w:val="24"/>
          <w14:textFill>
            <w14:solidFill>
              <w14:schemeClr w14:val="tx1"/>
            </w14:solidFill>
          </w14:textFill>
        </w:rPr>
        <w:t>“商务技术（资信）文件资料”、“报价文件资料”</w:t>
      </w:r>
      <w:r>
        <w:rPr>
          <w:rFonts w:hint="eastAsia" w:ascii="仿宋" w:hAnsi="仿宋" w:eastAsia="仿宋" w:cs="仿宋"/>
          <w:color w:val="000000" w:themeColor="text1"/>
          <w:sz w:val="24"/>
          <w:lang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.3.2中小企业声明函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2.3.3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（如果有）</w:t>
      </w:r>
    </w:p>
    <w:p>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pPr>
        <w:pStyle w:val="25"/>
        <w:snapToGrid w:val="0"/>
        <w:spacing w:before="0" w:line="440" w:lineRule="exact"/>
        <w:ind w:firstLine="0" w:firstLineChars="0"/>
        <w:outlineLvl w:val="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w:t>
      </w:r>
      <w:r>
        <w:rPr>
          <w:rFonts w:hint="eastAsia" w:ascii="仿宋" w:hAnsi="仿宋" w:eastAsia="仿宋" w:cs="仿宋"/>
          <w:b/>
          <w:color w:val="000000" w:themeColor="text1"/>
          <w:szCs w:val="24"/>
          <w:lang w:eastAsia="zh-CN"/>
          <w14:textFill>
            <w14:solidFill>
              <w14:schemeClr w14:val="tx1"/>
            </w14:solidFill>
          </w14:textFill>
        </w:rPr>
        <w:t>和</w:t>
      </w:r>
      <w:r>
        <w:rPr>
          <w:rFonts w:hint="eastAsia" w:ascii="仿宋" w:hAnsi="仿宋" w:eastAsia="仿宋" w:cs="仿宋"/>
          <w:b/>
          <w:color w:val="000000" w:themeColor="text1"/>
          <w:sz w:val="24"/>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25"/>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lang w:val="en-US" w:eastAsia="zh-CN"/>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pPr>
        <w:adjustRightInd w:val="0"/>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pPr>
        <w:pStyle w:val="25"/>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14:textFill>
            <w14:solidFill>
              <w14:schemeClr w14:val="tx1"/>
            </w14:solidFill>
          </w14:textFill>
        </w:rPr>
      </w:pPr>
      <w:bookmarkStart w:id="36" w:name="_Toc91899903"/>
      <w:r>
        <w:rPr>
          <w:rFonts w:hint="eastAsia" w:ascii="仿宋" w:hAnsi="仿宋" w:eastAsia="仿宋" w:cs="仿宋"/>
          <w:b/>
          <w:color w:val="000000" w:themeColor="text1"/>
          <w:sz w:val="32"/>
          <w:szCs w:val="32"/>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1.3资格评审小组对资格响应文件进行评审；评标委员会对商务技术响应文件进行评审。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3.3资格审查小组负责对投标人资格的最终审定。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3.5评审小组组长组织评审人员独立评审。评审小组对拟认定为采购响应文件无效，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4.1.1依据法律、法规和招标文件规定，资格审查小组对投标人进行资格审查，以确定投标人是否具备投标资格。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5"/>
        <w:keepNext w:val="0"/>
        <w:keepLines w:val="0"/>
        <w:pageBreakBefore w:val="0"/>
        <w:widowControl w:val="0"/>
        <w:numPr>
          <w:ilvl w:val="0"/>
          <w:numId w:val="0"/>
        </w:numPr>
        <w:kinsoku/>
        <w:wordWrap/>
        <w:overflowPunct/>
        <w:topLinePunct w:val="0"/>
        <w:autoSpaceDE/>
        <w:autoSpaceDN/>
        <w:bidi w:val="0"/>
        <w:spacing w:after="0" w:line="440" w:lineRule="exact"/>
        <w:ind w:leftChars="0"/>
        <w:textAlignment w:val="auto"/>
        <w:rPr>
          <w:rFonts w:hint="eastAsia" w:ascii="仿宋" w:hAnsi="仿宋" w:eastAsia="仿宋" w:cs="仿宋"/>
          <w:b/>
          <w:snapToGrid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snapToGrid w:val="0"/>
          <w:color w:val="000000" w:themeColor="text1"/>
          <w:kern w:val="2"/>
          <w:sz w:val="24"/>
          <w:szCs w:val="24"/>
          <w:lang w:val="en-US" w:eastAsia="zh-CN" w:bidi="ar-SA"/>
          <w14:textFill>
            <w14:solidFill>
              <w14:schemeClr w14:val="tx1"/>
            </w14:solidFill>
          </w14:textFill>
        </w:rPr>
        <w:t>7.投标文件的澄清</w:t>
      </w:r>
    </w:p>
    <w:p>
      <w:pPr>
        <w:pStyle w:val="5"/>
        <w:keepNext w:val="0"/>
        <w:keepLines w:val="0"/>
        <w:pageBreakBefore w:val="0"/>
        <w:widowControl w:val="0"/>
        <w:numPr>
          <w:ilvl w:val="0"/>
          <w:numId w:val="0"/>
        </w:numPr>
        <w:tabs>
          <w:tab w:val="clear" w:pos="360"/>
        </w:tabs>
        <w:kinsoku/>
        <w:wordWrap/>
        <w:overflowPunct/>
        <w:topLinePunct w:val="0"/>
        <w:autoSpaceDE/>
        <w:autoSpaceDN/>
        <w:bidi w:val="0"/>
        <w:spacing w:after="0" w:line="440" w:lineRule="exact"/>
        <w:ind w:left="0" w:leftChars="0" w:firstLine="480" w:firstLineChars="200"/>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1.对投标文件中含义不明、表述不一致或有明显计算错误等内容，评标委员会将对投标人进行询标，并可要求投标人作澄清，作为投标文件的补充部分，但澄清的内容不得改变投标文件的实质性内容。</w:t>
      </w:r>
    </w:p>
    <w:p>
      <w:pPr>
        <w:pStyle w:val="8"/>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14:textFill>
            <w14:solidFill>
              <w14:schemeClr w14:val="tx1"/>
            </w14:solidFill>
          </w14:textFill>
        </w:rPr>
      </w:pPr>
    </w:p>
    <w:bookmarkEnd w:id="36"/>
    <w:p>
      <w:pPr>
        <w:pStyle w:val="8"/>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14:textFill>
            <w14:solidFill>
              <w14:schemeClr w14:val="tx1"/>
            </w14:solidFill>
          </w14:textFill>
        </w:rPr>
      </w:pPr>
      <w:bookmarkStart w:id="37" w:name="_Toc84325929"/>
      <w:bookmarkStart w:id="38" w:name="_Toc81372953"/>
      <w:bookmarkStart w:id="39"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7"/>
    <w:bookmarkEnd w:id="38"/>
    <w:bookmarkEnd w:id="39"/>
    <w:p>
      <w:pPr>
        <w:pStyle w:val="5"/>
        <w:keepNext w:val="0"/>
        <w:keepLines w:val="0"/>
        <w:pageBreakBefore w:val="0"/>
        <w:numPr>
          <w:ilvl w:val="0"/>
          <w:numId w:val="0"/>
        </w:numPr>
        <w:tabs>
          <w:tab w:val="clear" w:pos="360"/>
        </w:tabs>
        <w:kinsoku/>
        <w:wordWrap/>
        <w:overflowPunct/>
        <w:topLinePunct w:val="0"/>
        <w:autoSpaceDE/>
        <w:autoSpaceDN/>
        <w:bidi w:val="0"/>
        <w:snapToGrid/>
        <w:spacing w:after="0" w:line="440" w:lineRule="exact"/>
        <w:ind w:left="0" w:leftChars="0" w:firstLine="0" w:firstLineChars="0"/>
        <w:textAlignment w:val="auto"/>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2"/>
          <w:sz w:val="21"/>
          <w:szCs w:val="24"/>
          <w:lang w:val="en-US" w:eastAsia="zh-CN" w:bidi="ar-SA"/>
          <w14:textFill>
            <w14:solidFill>
              <w14:schemeClr w14:val="tx1"/>
            </w14:solidFill>
          </w14:textFill>
        </w:rPr>
        <w:t>2.</w:t>
      </w:r>
      <w:r>
        <w:rPr>
          <w:rFonts w:hint="eastAsia" w:ascii="仿宋" w:hAnsi="仿宋" w:eastAsia="仿宋" w:cs="仿宋"/>
          <w:b/>
          <w:color w:val="000000" w:themeColor="text1"/>
          <w:szCs w:val="24"/>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"http://www.zjzfcg.gov.cn"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"http://ggb.sx.gov.cn"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4</w:t>
      </w:r>
      <w:r>
        <w:rPr>
          <w:rFonts w:hint="eastAsia" w:ascii="仿宋" w:hAnsi="仿宋" w:eastAsia="仿宋" w:cs="仿宋"/>
          <w:b/>
          <w:color w:val="000000" w:themeColor="text1"/>
          <w:sz w:val="24"/>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5</w:t>
      </w:r>
      <w:r>
        <w:rPr>
          <w:rFonts w:hint="eastAsia" w:ascii="仿宋" w:hAnsi="仿宋" w:eastAsia="仿宋" w:cs="仿宋"/>
          <w:b/>
          <w:color w:val="000000" w:themeColor="text1"/>
          <w:sz w:val="24"/>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lang w:val="en-US" w:eastAsia="zh-CN"/>
          <w14:textFill>
            <w14:solidFill>
              <w14:schemeClr w14:val="tx1"/>
            </w14:solidFill>
          </w14:textFill>
        </w:rPr>
        <w:t>3个工作日内</w:t>
      </w:r>
      <w:r>
        <w:rPr>
          <w:rFonts w:hint="eastAsia" w:ascii="仿宋" w:hAnsi="仿宋" w:eastAsia="仿宋" w:cs="仿宋"/>
          <w:color w:val="000000" w:themeColor="text1"/>
          <w:sz w:val="24"/>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6</w:t>
      </w:r>
      <w:r>
        <w:rPr>
          <w:rFonts w:hint="eastAsia" w:ascii="仿宋" w:hAnsi="仿宋" w:eastAsia="仿宋" w:cs="仿宋"/>
          <w:b/>
          <w:color w:val="000000" w:themeColor="text1"/>
          <w:sz w:val="24"/>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7</w:t>
      </w:r>
      <w:r>
        <w:rPr>
          <w:rFonts w:hint="eastAsia" w:ascii="仿宋" w:hAnsi="仿宋" w:eastAsia="仿宋" w:cs="仿宋"/>
          <w:b/>
          <w:color w:val="000000" w:themeColor="text1"/>
          <w:sz w:val="24"/>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bookmarkEnd w:id="34"/>
    <w:bookmarkEnd w:id="35"/>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一、采购</w:t>
      </w:r>
      <w:r>
        <w:rPr>
          <w:rFonts w:hint="eastAsia"/>
          <w:b/>
          <w:bCs/>
          <w:color w:val="000000" w:themeColor="text1"/>
          <w:sz w:val="21"/>
          <w:szCs w:val="21"/>
          <w:lang w:eastAsia="zh-CN"/>
          <w14:textFill>
            <w14:solidFill>
              <w14:schemeClr w14:val="tx1"/>
            </w14:solidFill>
          </w14:textFill>
        </w:rPr>
        <w:t>总体要求</w:t>
      </w:r>
    </w:p>
    <w:tbl>
      <w:tblPr>
        <w:tblStyle w:val="14"/>
        <w:tblpPr w:leftFromText="180" w:rightFromText="180" w:vertAnchor="text" w:horzAnchor="margin" w:tblpX="-65" w:tblpY="197"/>
        <w:tblW w:w="9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2189"/>
        <w:gridCol w:w="1116"/>
        <w:gridCol w:w="1350"/>
        <w:gridCol w:w="23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11" w:type="dxa"/>
            <w:noWrap/>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标项</w:t>
            </w:r>
          </w:p>
        </w:tc>
        <w:tc>
          <w:tcPr>
            <w:tcW w:w="2189" w:type="dxa"/>
            <w:noWrap/>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1116" w:type="dxa"/>
            <w:noWrap/>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数量</w:t>
            </w:r>
          </w:p>
        </w:tc>
        <w:tc>
          <w:tcPr>
            <w:tcW w:w="1350" w:type="dxa"/>
            <w:noWrap/>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单位</w:t>
            </w:r>
          </w:p>
        </w:tc>
        <w:tc>
          <w:tcPr>
            <w:tcW w:w="2309" w:type="dxa"/>
            <w:noWrap/>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单价最高限价</w:t>
            </w:r>
            <w:r>
              <w:rPr>
                <w:rFonts w:hint="eastAsia"/>
                <w:color w:val="000000" w:themeColor="text1"/>
                <w:sz w:val="20"/>
                <w14:textFill>
                  <w14:solidFill>
                    <w14:schemeClr w14:val="tx1"/>
                  </w14:solidFill>
                </w14:textFill>
              </w:rPr>
              <w:t>（元）</w:t>
            </w:r>
          </w:p>
        </w:tc>
        <w:tc>
          <w:tcPr>
            <w:tcW w:w="2309" w:type="dxa"/>
            <w:noWrap/>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11" w:type="dxa"/>
            <w:noWrap/>
            <w:vAlign w:val="center"/>
          </w:tcPr>
          <w:p>
            <w:pPr>
              <w:widowControl/>
              <w:spacing w:line="320" w:lineRule="exact"/>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c>
          <w:tcPr>
            <w:tcW w:w="2189" w:type="dxa"/>
            <w:noWrap/>
            <w:vAlign w:val="center"/>
          </w:tcPr>
          <w:p>
            <w:pPr>
              <w:widowControl/>
              <w:spacing w:line="320" w:lineRule="exact"/>
              <w:ind w:left="60" w:leftChars="0" w:right="62" w:rightChars="0"/>
              <w:jc w:val="center"/>
              <w:rPr>
                <w:color w:val="000000" w:themeColor="text1"/>
                <w:sz w:val="21"/>
                <w:szCs w:val="21"/>
                <w14:textFill>
                  <w14:solidFill>
                    <w14:schemeClr w14:val="tx1"/>
                  </w14:solidFill>
                </w14:textFill>
              </w:rPr>
            </w:pPr>
            <w:r>
              <w:rPr>
                <w:rFonts w:hint="eastAsia" w:ascii="宋体" w:hAnsi="宋体" w:cs="宋体"/>
                <w:color w:val="000000" w:themeColor="text1"/>
                <w:spacing w:val="6"/>
                <w:sz w:val="21"/>
                <w:szCs w:val="21"/>
                <w:u w:val="none"/>
                <w:lang w:val="en-US" w:eastAsia="zh-CN"/>
                <w14:textFill>
                  <w14:solidFill>
                    <w14:schemeClr w14:val="tx1"/>
                  </w14:solidFill>
                </w14:textFill>
              </w:rPr>
              <w:t>厨房设备</w:t>
            </w:r>
          </w:p>
        </w:tc>
        <w:tc>
          <w:tcPr>
            <w:tcW w:w="1116" w:type="dxa"/>
            <w:noWrap/>
            <w:vAlign w:val="center"/>
          </w:tcPr>
          <w:p>
            <w:pPr>
              <w:widowControl/>
              <w:spacing w:line="320" w:lineRule="exact"/>
              <w:ind w:left="60" w:leftChars="0" w:right="62" w:rightChars="0"/>
              <w:jc w:val="center"/>
              <w:rPr>
                <w:rFonts w:hint="default"/>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350" w:type="dxa"/>
            <w:noWrap/>
            <w:vAlign w:val="center"/>
          </w:tcPr>
          <w:p>
            <w:pPr>
              <w:widowControl/>
              <w:spacing w:line="320" w:lineRule="exact"/>
              <w:ind w:left="60" w:leftChars="0" w:right="62" w:rightChars="0"/>
              <w:jc w:val="center"/>
              <w:rPr>
                <w:rFonts w:hint="eastAsia"/>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项</w:t>
            </w:r>
          </w:p>
        </w:tc>
        <w:tc>
          <w:tcPr>
            <w:tcW w:w="2309" w:type="dxa"/>
            <w:noWrap/>
            <w:vAlign w:val="center"/>
          </w:tcPr>
          <w:p>
            <w:pPr>
              <w:widowControl/>
              <w:spacing w:line="320" w:lineRule="exact"/>
              <w:ind w:left="60" w:leftChars="0" w:right="62" w:rightChars="0"/>
              <w:jc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1179000</w:t>
            </w:r>
          </w:p>
        </w:tc>
        <w:tc>
          <w:tcPr>
            <w:tcW w:w="2309" w:type="dxa"/>
            <w:noWrap/>
            <w:vAlign w:val="center"/>
          </w:tcPr>
          <w:p>
            <w:pPr>
              <w:widowControl/>
              <w:spacing w:line="320" w:lineRule="exact"/>
              <w:ind w:left="60" w:leftChars="0" w:right="62"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p>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二、技术参数要求</w:t>
      </w:r>
    </w:p>
    <w:tbl>
      <w:tblPr>
        <w:tblStyle w:val="14"/>
        <w:tblW w:w="88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5046"/>
        <w:gridCol w:w="587"/>
        <w:gridCol w:w="625"/>
        <w:gridCol w:w="2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序号</w:t>
            </w:r>
          </w:p>
        </w:tc>
        <w:tc>
          <w:tcPr>
            <w:tcW w:w="50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内容</w:t>
            </w:r>
          </w:p>
        </w:tc>
        <w:tc>
          <w:tcPr>
            <w:tcW w:w="58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单位</w:t>
            </w:r>
          </w:p>
        </w:tc>
        <w:tc>
          <w:tcPr>
            <w:tcW w:w="6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w:t>
            </w:r>
          </w:p>
        </w:tc>
        <w:tc>
          <w:tcPr>
            <w:tcW w:w="20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双层送餐车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斗选用不锈钢制作，板δ=1.2mm，实厚δ≥1.08mm；推手采用28*28*1.0mm不锈钢方管一次成型，厚≥0.88mm；手柄采用φ25*1.0mm不锈钢加厚圆管，实厚δ≥0.88mm；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双层设计，凹槽型浅斗，车斗900*500*20mm；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配重力定轮2只，万向轮1只，万向刹车轮1只；</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规格：900*500*900mm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辆</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36830</wp:posOffset>
                  </wp:positionH>
                  <wp:positionV relativeFrom="paragraph">
                    <wp:posOffset>394970</wp:posOffset>
                  </wp:positionV>
                  <wp:extent cx="963295" cy="521970"/>
                  <wp:effectExtent l="0" t="0" r="8255" b="11430"/>
                  <wp:wrapNone/>
                  <wp:docPr id="123" name="图片_5"/>
                  <wp:cNvGraphicFramePr/>
                  <a:graphic xmlns:a="http://schemas.openxmlformats.org/drawingml/2006/main">
                    <a:graphicData uri="http://schemas.openxmlformats.org/drawingml/2006/picture">
                      <pic:pic xmlns:pic="http://schemas.openxmlformats.org/drawingml/2006/picture">
                        <pic:nvPicPr>
                          <pic:cNvPr id="123" name="图片_5"/>
                          <pic:cNvPicPr/>
                        </pic:nvPicPr>
                        <pic:blipFill>
                          <a:blip r:embed="rId27"/>
                          <a:stretch>
                            <a:fillRect/>
                          </a:stretch>
                        </pic:blipFill>
                        <pic:spPr>
                          <a:xfrm>
                            <a:off x="0" y="0"/>
                            <a:ext cx="963295" cy="5219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双温饮水机                                                                                                        选用优质不锈钢板制作；台面及水斗δ=1.0mm，实厚δ≥0.88mm；二出水，聚氨酯发泡加厚保温层，优质食品级不锈钢热水快开龙头，新型加热技术及控制系统，防干烧、防开盖、防漏电；LED显示屏，触摸开关，随意定制多嘴出水温度。自动反冲洗技术；功率：3KW/380V；                                规格：600x420x1450mm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214630</wp:posOffset>
                  </wp:positionH>
                  <wp:positionV relativeFrom="paragraph">
                    <wp:posOffset>283210</wp:posOffset>
                  </wp:positionV>
                  <wp:extent cx="667385" cy="782320"/>
                  <wp:effectExtent l="0" t="0" r="18415" b="17780"/>
                  <wp:wrapNone/>
                  <wp:docPr id="83" name="图片_14"/>
                  <wp:cNvGraphicFramePr/>
                  <a:graphic xmlns:a="http://schemas.openxmlformats.org/drawingml/2006/main">
                    <a:graphicData uri="http://schemas.openxmlformats.org/drawingml/2006/picture">
                      <pic:pic xmlns:pic="http://schemas.openxmlformats.org/drawingml/2006/picture">
                        <pic:nvPicPr>
                          <pic:cNvPr id="83" name="图片_14"/>
                          <pic:cNvPicPr/>
                        </pic:nvPicPr>
                        <pic:blipFill>
                          <a:blip r:embed="rId28"/>
                          <a:stretch>
                            <a:fillRect/>
                          </a:stretch>
                        </pic:blipFill>
                        <pic:spPr>
                          <a:xfrm>
                            <a:off x="0" y="0"/>
                            <a:ext cx="667385" cy="782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手推式洗地机                                                                                                                                                                                                                                                                           1.刷盘电机功率：0.55kw;吸水电机功率：0.55kw；清水箱容：50L;污水箱容量：50L;电瓶容量(V/AH)：12V100A*2；人性化易操控界面；快速理解清洗流程；大旋钮式操控，多毂方向盘设计；带电量显示。                                        2.整机宽度仅540mm, 通过性强，操控灵活；1.5米转弯半径；独立设计的一体化船型污水箱；污水箱内置过滤器，浮子式开关控制，当污水满时，自动切断抽吸功能。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3.支撑轮</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4.超大注水口；漏斗形设计。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5.清水箱液位提示。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6.吸扒调节带限位控制；通过控制盘轻松调节吸扒。</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7.盘刷偏心结构设计。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8.规格：1200*800*1050mm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129540</wp:posOffset>
                  </wp:positionH>
                  <wp:positionV relativeFrom="paragraph">
                    <wp:posOffset>618490</wp:posOffset>
                  </wp:positionV>
                  <wp:extent cx="854710" cy="845820"/>
                  <wp:effectExtent l="0" t="0" r="2540" b="11430"/>
                  <wp:wrapNone/>
                  <wp:docPr id="82" name="图片_5_SpCnt_1"/>
                  <wp:cNvGraphicFramePr/>
                  <a:graphic xmlns:a="http://schemas.openxmlformats.org/drawingml/2006/main">
                    <a:graphicData uri="http://schemas.openxmlformats.org/drawingml/2006/picture">
                      <pic:pic xmlns:pic="http://schemas.openxmlformats.org/drawingml/2006/picture">
                        <pic:nvPicPr>
                          <pic:cNvPr id="82" name="图片_5_SpCnt_1"/>
                          <pic:cNvPicPr/>
                        </pic:nvPicPr>
                        <pic:blipFill>
                          <a:blip r:embed="rId29"/>
                          <a:stretch>
                            <a:fillRect/>
                          </a:stretch>
                        </pic:blipFill>
                        <pic:spPr>
                          <a:xfrm>
                            <a:off x="0" y="0"/>
                            <a:ext cx="854710" cy="845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液压搬运车带电瓶（半电动）                                                                                                                                                                                                                                                                             电池配置：48V12A电池；货叉最低高度: 1150 ；货叉内宽365mm：50L; 电瓶容量(V/AH)：12V100A*2                规格：1600*685*1150mm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177165</wp:posOffset>
                  </wp:positionH>
                  <wp:positionV relativeFrom="paragraph">
                    <wp:posOffset>88900</wp:posOffset>
                  </wp:positionV>
                  <wp:extent cx="742315" cy="757555"/>
                  <wp:effectExtent l="0" t="0" r="635" b="4445"/>
                  <wp:wrapNone/>
                  <wp:docPr id="81" name="图片_4"/>
                  <wp:cNvGraphicFramePr/>
                  <a:graphic xmlns:a="http://schemas.openxmlformats.org/drawingml/2006/main">
                    <a:graphicData uri="http://schemas.openxmlformats.org/drawingml/2006/picture">
                      <pic:pic xmlns:pic="http://schemas.openxmlformats.org/drawingml/2006/picture">
                        <pic:nvPicPr>
                          <pic:cNvPr id="81" name="图片_4"/>
                          <pic:cNvPicPr/>
                        </pic:nvPicPr>
                        <pic:blipFill>
                          <a:blip r:embed="rId30"/>
                          <a:stretch>
                            <a:fillRect/>
                          </a:stretch>
                        </pic:blipFill>
                        <pic:spPr>
                          <a:xfrm>
                            <a:off x="0" y="0"/>
                            <a:ext cx="742315" cy="757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锯骨机</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本品为骨类加工机械，操作安全方便；与食品接触的零部件均符合国家食品卫生标准；带轮直径：</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210mm；锯带线速度：≥15m/s；工作台(规格)：≥400*430mm；切割厚度：≥4-180mm；功率：≥220V/50HZ/0.5kw；</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规格：520*490*840mm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106680</wp:posOffset>
                  </wp:positionV>
                  <wp:extent cx="603885" cy="640080"/>
                  <wp:effectExtent l="0" t="0" r="5715" b="7620"/>
                  <wp:wrapNone/>
                  <wp:docPr id="80" name="图片_45"/>
                  <wp:cNvGraphicFramePr/>
                  <a:graphic xmlns:a="http://schemas.openxmlformats.org/drawingml/2006/main">
                    <a:graphicData uri="http://schemas.openxmlformats.org/drawingml/2006/picture">
                      <pic:pic xmlns:pic="http://schemas.openxmlformats.org/drawingml/2006/picture">
                        <pic:nvPicPr>
                          <pic:cNvPr id="80" name="图片_45"/>
                          <pic:cNvPicPr/>
                        </pic:nvPicPr>
                        <pic:blipFill>
                          <a:blip r:embed="rId31"/>
                          <a:stretch>
                            <a:fillRect/>
                          </a:stretch>
                        </pic:blipFill>
                        <pic:spPr>
                          <a:xfrm>
                            <a:off x="0" y="0"/>
                            <a:ext cx="603885" cy="640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不锈钢电热汤桶                                                                                                   304不锈钢制；内径：≥800mm，高：≥600mm;外径：≥1000mm，高：≥900mm；功率：≥9KW/380V</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191770</wp:posOffset>
                  </wp:positionH>
                  <wp:positionV relativeFrom="paragraph">
                    <wp:posOffset>219075</wp:posOffset>
                  </wp:positionV>
                  <wp:extent cx="751205" cy="647700"/>
                  <wp:effectExtent l="0" t="0" r="10795" b="0"/>
                  <wp:wrapNone/>
                  <wp:docPr id="79" name="图片_1"/>
                  <wp:cNvGraphicFramePr/>
                  <a:graphic xmlns:a="http://schemas.openxmlformats.org/drawingml/2006/main">
                    <a:graphicData uri="http://schemas.openxmlformats.org/drawingml/2006/picture">
                      <pic:pic xmlns:pic="http://schemas.openxmlformats.org/drawingml/2006/picture">
                        <pic:nvPicPr>
                          <pic:cNvPr id="79" name="图片_1"/>
                          <pic:cNvPicPr/>
                        </pic:nvPicPr>
                        <pic:blipFill>
                          <a:blip r:embed="rId32"/>
                          <a:stretch>
                            <a:fillRect/>
                          </a:stretch>
                        </pic:blipFill>
                        <pic:spPr>
                          <a:xfrm>
                            <a:off x="0" y="0"/>
                            <a:ext cx="751205" cy="647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立式绞切两用机</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所有接触食品的零件都采用高级不锈钢材料制作。易清洁，机身不锈钢制，往复式离合开关，大口径安全进料口，按键式电源防水开关；生产能力：</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150kg/h；功率：≥220V/50HZ/1.5KW</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规格：530*380*740mm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189865</wp:posOffset>
                  </wp:positionV>
                  <wp:extent cx="629285" cy="847725"/>
                  <wp:effectExtent l="0" t="0" r="18415" b="9525"/>
                  <wp:wrapNone/>
                  <wp:docPr id="78" name="Picture_2504"/>
                  <wp:cNvGraphicFramePr/>
                  <a:graphic xmlns:a="http://schemas.openxmlformats.org/drawingml/2006/main">
                    <a:graphicData uri="http://schemas.openxmlformats.org/drawingml/2006/picture">
                      <pic:pic xmlns:pic="http://schemas.openxmlformats.org/drawingml/2006/picture">
                        <pic:nvPicPr>
                          <pic:cNvPr id="78" name="Picture_2504"/>
                          <pic:cNvPicPr/>
                        </pic:nvPicPr>
                        <pic:blipFill>
                          <a:blip r:embed="rId33"/>
                          <a:stretch>
                            <a:fillRect/>
                          </a:stretch>
                        </pic:blipFill>
                        <pic:spPr>
                          <a:xfrm>
                            <a:off x="0" y="0"/>
                            <a:ext cx="629285" cy="847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大豆磨浆机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生产效率：100kg/h</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铸铝机身，不锈钢内胆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规格：375*335*710mm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200660</wp:posOffset>
                  </wp:positionH>
                  <wp:positionV relativeFrom="paragraph">
                    <wp:posOffset>66040</wp:posOffset>
                  </wp:positionV>
                  <wp:extent cx="632460" cy="996315"/>
                  <wp:effectExtent l="0" t="0" r="15240" b="13335"/>
                  <wp:wrapNone/>
                  <wp:docPr id="77" name="图片_31"/>
                  <wp:cNvGraphicFramePr/>
                  <a:graphic xmlns:a="http://schemas.openxmlformats.org/drawingml/2006/main">
                    <a:graphicData uri="http://schemas.openxmlformats.org/drawingml/2006/picture">
                      <pic:pic xmlns:pic="http://schemas.openxmlformats.org/drawingml/2006/picture">
                        <pic:nvPicPr>
                          <pic:cNvPr id="77" name="图片_31"/>
                          <pic:cNvPicPr/>
                        </pic:nvPicPr>
                        <pic:blipFill>
                          <a:blip r:embed="rId34"/>
                          <a:stretch>
                            <a:fillRect/>
                          </a:stretch>
                        </pic:blipFill>
                        <pic:spPr>
                          <a:xfrm>
                            <a:off x="0" y="0"/>
                            <a:ext cx="632460" cy="996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ahoma" w:hAnsi="Tahoma" w:eastAsia="Tahoma" w:cs="Tahoma"/>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男更/女更/洁具间/主食库/副食库</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六格更衣柜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采用优质SUS304-2B不锈钢板制作；门板、背板、侧板δ=1.0mm，实厚δ≥0.88mm；内置挂衣杆，每位配搁物层板，设有放鞋空格；共六门，独立开门带锁；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规格：900*500*1800mm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224155</wp:posOffset>
                  </wp:positionH>
                  <wp:positionV relativeFrom="paragraph">
                    <wp:posOffset>163830</wp:posOffset>
                  </wp:positionV>
                  <wp:extent cx="552450" cy="698500"/>
                  <wp:effectExtent l="0" t="0" r="0" b="6350"/>
                  <wp:wrapNone/>
                  <wp:docPr id="76" name="图片_29"/>
                  <wp:cNvGraphicFramePr/>
                  <a:graphic xmlns:a="http://schemas.openxmlformats.org/drawingml/2006/main">
                    <a:graphicData uri="http://schemas.openxmlformats.org/drawingml/2006/picture">
                      <pic:pic xmlns:pic="http://schemas.openxmlformats.org/drawingml/2006/picture">
                        <pic:nvPicPr>
                          <pic:cNvPr id="76" name="图片_29"/>
                          <pic:cNvPicPr/>
                        </pic:nvPicPr>
                        <pic:blipFill>
                          <a:blip r:embed="rId35"/>
                          <a:stretch>
                            <a:fillRect/>
                          </a:stretch>
                        </pic:blipFill>
                        <pic:spPr>
                          <a:xfrm>
                            <a:off x="0" y="0"/>
                            <a:ext cx="552450" cy="698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挂墙洗手水池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选用SUS304-2B优质不锈钢板制作；台面及水斗δ=1.2mm，实厚δ≥1.08mm；水斗圆角模压成型，配优质不锈钢提笼式落水器、拦渣篮和三角板支架，水龙头另计；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规格：450*450*450mm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183515</wp:posOffset>
                  </wp:positionV>
                  <wp:extent cx="833120" cy="802005"/>
                  <wp:effectExtent l="0" t="0" r="5080" b="17145"/>
                  <wp:wrapNone/>
                  <wp:docPr id="75" name="Picture_479"/>
                  <wp:cNvGraphicFramePr/>
                  <a:graphic xmlns:a="http://schemas.openxmlformats.org/drawingml/2006/main">
                    <a:graphicData uri="http://schemas.openxmlformats.org/drawingml/2006/picture">
                      <pic:pic xmlns:pic="http://schemas.openxmlformats.org/drawingml/2006/picture">
                        <pic:nvPicPr>
                          <pic:cNvPr id="75" name="Picture_479"/>
                          <pic:cNvPicPr/>
                        </pic:nvPicPr>
                        <pic:blipFill>
                          <a:blip r:embed="rId36"/>
                          <a:stretch>
                            <a:fillRect/>
                          </a:stretch>
                        </pic:blipFill>
                        <pic:spPr>
                          <a:xfrm>
                            <a:off x="0" y="0"/>
                            <a:ext cx="833120" cy="802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感应龙头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精铜主体RVD电镀处理，蜂窝起泡器，台式安装、以红外线感应，通过集成线路微电脑处理发送脉冲主导电磁阀工作，功率：3W/220V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规格：H120MM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895"/>
                  <wp:effectExtent l="0" t="0" r="0" b="0"/>
                  <wp:wrapNone/>
                  <wp:docPr id="74" name="AutoShape_7168"/>
                  <wp:cNvGraphicFramePr/>
                  <a:graphic xmlns:a="http://schemas.openxmlformats.org/drawingml/2006/main">
                    <a:graphicData uri="http://schemas.openxmlformats.org/drawingml/2006/picture">
                      <pic:pic xmlns:pic="http://schemas.openxmlformats.org/drawingml/2006/picture">
                        <pic:nvPicPr>
                          <pic:cNvPr id="74" name="AutoShape_7168"/>
                          <pic:cNvPicPr/>
                        </pic:nvPicPr>
                        <pic:blipFill>
                          <a:blip r:embed="rId37"/>
                          <a:stretch>
                            <a:fillRect/>
                          </a:stretch>
                        </pic:blipFill>
                        <pic:spPr>
                          <a:xfrm>
                            <a:off x="0" y="0"/>
                            <a:ext cx="304165" cy="30289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104140</wp:posOffset>
                  </wp:positionH>
                  <wp:positionV relativeFrom="paragraph">
                    <wp:posOffset>215900</wp:posOffset>
                  </wp:positionV>
                  <wp:extent cx="871220" cy="627380"/>
                  <wp:effectExtent l="0" t="0" r="5080" b="1270"/>
                  <wp:wrapNone/>
                  <wp:docPr id="73" name="图片_31_SpCnt_1"/>
                  <wp:cNvGraphicFramePr/>
                  <a:graphic xmlns:a="http://schemas.openxmlformats.org/drawingml/2006/main">
                    <a:graphicData uri="http://schemas.openxmlformats.org/drawingml/2006/picture">
                      <pic:pic xmlns:pic="http://schemas.openxmlformats.org/drawingml/2006/picture">
                        <pic:nvPicPr>
                          <pic:cNvPr id="73" name="图片_31_SpCnt_1"/>
                          <pic:cNvPicPr/>
                        </pic:nvPicPr>
                        <pic:blipFill>
                          <a:blip r:embed="rId38"/>
                          <a:stretch>
                            <a:fillRect/>
                          </a:stretch>
                        </pic:blipFill>
                        <pic:spPr>
                          <a:xfrm>
                            <a:off x="0" y="0"/>
                            <a:ext cx="871220" cy="627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感应烘手器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配备红外自动感应系统和高级芯片控制技术；连续感应测试超过30万次；高速动力设计，干手使用5~9秒；采用防火工程塑料；可切换凉风/热风。</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功率：1.8KW/50Hz/220V；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规格：不大于210*195*235mm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187325</wp:posOffset>
                  </wp:positionV>
                  <wp:extent cx="730250" cy="735330"/>
                  <wp:effectExtent l="0" t="0" r="12700" b="7620"/>
                  <wp:wrapNone/>
                  <wp:docPr id="72" name="图片_16"/>
                  <wp:cNvGraphicFramePr/>
                  <a:graphic xmlns:a="http://schemas.openxmlformats.org/drawingml/2006/main">
                    <a:graphicData uri="http://schemas.openxmlformats.org/drawingml/2006/picture">
                      <pic:pic xmlns:pic="http://schemas.openxmlformats.org/drawingml/2006/picture">
                        <pic:nvPicPr>
                          <pic:cNvPr id="72" name="图片_16"/>
                          <pic:cNvPicPr/>
                        </pic:nvPicPr>
                        <pic:blipFill>
                          <a:blip r:embed="rId39"/>
                          <a:stretch>
                            <a:fillRect/>
                          </a:stretch>
                        </pic:blipFill>
                        <pic:spPr>
                          <a:xfrm>
                            <a:off x="0" y="0"/>
                            <a:ext cx="730250" cy="735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拖把水池连架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选用SUS304-2B优质不锈钢制作；台面及水斗δ=1.2mm，实厚δ≥1.08mm；水斗圆角模压成型，配优质不锈钢提笼式落水器及烂渣篮，水龙头另计；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圆通腿为φ38*1.0mm加厚不锈钢圆管，实厚δ≥0.88mm；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下橫通为φ25*1.0mm加厚不锈钢圆管，实厚δ≥0.88mm；配L型拖把挂钩。规格：930*600*（600+1000）mm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198755</wp:posOffset>
                  </wp:positionH>
                  <wp:positionV relativeFrom="paragraph">
                    <wp:posOffset>156845</wp:posOffset>
                  </wp:positionV>
                  <wp:extent cx="706755" cy="822325"/>
                  <wp:effectExtent l="0" t="0" r="17145" b="15875"/>
                  <wp:wrapNone/>
                  <wp:docPr id="71" name="图片_468"/>
                  <wp:cNvGraphicFramePr/>
                  <a:graphic xmlns:a="http://schemas.openxmlformats.org/drawingml/2006/main">
                    <a:graphicData uri="http://schemas.openxmlformats.org/drawingml/2006/picture">
                      <pic:pic xmlns:pic="http://schemas.openxmlformats.org/drawingml/2006/picture">
                        <pic:nvPicPr>
                          <pic:cNvPr id="71" name="图片_468"/>
                          <pic:cNvPicPr/>
                        </pic:nvPicPr>
                        <pic:blipFill>
                          <a:blip r:embed="rId40"/>
                          <a:stretch>
                            <a:fillRect/>
                          </a:stretch>
                        </pic:blipFill>
                        <pic:spPr>
                          <a:xfrm>
                            <a:off x="0" y="0"/>
                            <a:ext cx="706755" cy="822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四层平板货架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选用SUS304-2B优质不锈钢板制作；层板δ=1.2mm，实厚δ≥0.88mm；立柱为φ38*1.0mm加厚管制，实厚δ≥0.88mm；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层板型，四层结构，下衬不锈钢加强筋，实厚δ≥0.88mm；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规格：1200*500*1800mm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236855</wp:posOffset>
                  </wp:positionV>
                  <wp:extent cx="852170" cy="724535"/>
                  <wp:effectExtent l="0" t="0" r="5080" b="18415"/>
                  <wp:wrapNone/>
                  <wp:docPr id="70" name="图片_29_SpCnt_1"/>
                  <wp:cNvGraphicFramePr/>
                  <a:graphic xmlns:a="http://schemas.openxmlformats.org/drawingml/2006/main">
                    <a:graphicData uri="http://schemas.openxmlformats.org/drawingml/2006/picture">
                      <pic:pic xmlns:pic="http://schemas.openxmlformats.org/drawingml/2006/picture">
                        <pic:nvPicPr>
                          <pic:cNvPr id="70" name="图片_29_SpCnt_1"/>
                          <pic:cNvPicPr/>
                        </pic:nvPicPr>
                        <pic:blipFill>
                          <a:blip r:embed="rId41"/>
                          <a:stretch>
                            <a:fillRect/>
                          </a:stretch>
                        </pic:blipFill>
                        <pic:spPr>
                          <a:xfrm>
                            <a:off x="0" y="0"/>
                            <a:ext cx="852170" cy="724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大米架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选用加厚不锈钢方管制作，管实厚δ≥0.88mm；格栅型，10根档，单层结构。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规格：1200*500*250mm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118745</wp:posOffset>
                  </wp:positionV>
                  <wp:extent cx="819150" cy="340995"/>
                  <wp:effectExtent l="0" t="0" r="0" b="1905"/>
                  <wp:wrapNone/>
                  <wp:docPr id="69" name="图片_31_SpCnt_2"/>
                  <wp:cNvGraphicFramePr/>
                  <a:graphic xmlns:a="http://schemas.openxmlformats.org/drawingml/2006/main">
                    <a:graphicData uri="http://schemas.openxmlformats.org/drawingml/2006/picture">
                      <pic:pic xmlns:pic="http://schemas.openxmlformats.org/drawingml/2006/picture">
                        <pic:nvPicPr>
                          <pic:cNvPr id="69" name="图片_31_SpCnt_2"/>
                          <pic:cNvPicPr/>
                        </pic:nvPicPr>
                        <pic:blipFill>
                          <a:blip r:embed="rId42"/>
                          <a:stretch>
                            <a:fillRect/>
                          </a:stretch>
                        </pic:blipFill>
                        <pic:spPr>
                          <a:xfrm>
                            <a:off x="0" y="0"/>
                            <a:ext cx="819150" cy="340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平板推车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面板选用SUS304-2B不锈钢制作；板δ=1.0mm，实厚δ≥1.08mm；推手采用不锈钢方管一次成型，实厚≥0.88mm；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手柄采用不锈钢加厚圆管，实厚δ≥0.88mm；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配重力定轮2只，万向轮1只，万向刹车轮1只；</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规格：900*500*900mm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辆</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278130</wp:posOffset>
                  </wp:positionV>
                  <wp:extent cx="676275" cy="480060"/>
                  <wp:effectExtent l="0" t="0" r="9525" b="15240"/>
                  <wp:wrapNone/>
                  <wp:docPr id="68" name="Picture_480"/>
                  <wp:cNvGraphicFramePr/>
                  <a:graphic xmlns:a="http://schemas.openxmlformats.org/drawingml/2006/main">
                    <a:graphicData uri="http://schemas.openxmlformats.org/drawingml/2006/picture">
                      <pic:pic xmlns:pic="http://schemas.openxmlformats.org/drawingml/2006/picture">
                        <pic:nvPicPr>
                          <pic:cNvPr id="68" name="Picture_480"/>
                          <pic:cNvPicPr/>
                        </pic:nvPicPr>
                        <pic:blipFill>
                          <a:blip r:embed="rId43"/>
                          <a:stretch>
                            <a:fillRect/>
                          </a:stretch>
                        </pic:blipFill>
                        <pic:spPr>
                          <a:xfrm>
                            <a:off x="0" y="0"/>
                            <a:ext cx="676275" cy="480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504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电子秤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不锈钢秤盘，高清液晶大屏，省电待机；高精准称重计数，轻触大按键，两种蓄电模式；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规格：300kg</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203835</wp:posOffset>
                  </wp:positionH>
                  <wp:positionV relativeFrom="paragraph">
                    <wp:posOffset>248920</wp:posOffset>
                  </wp:positionV>
                  <wp:extent cx="589280" cy="528320"/>
                  <wp:effectExtent l="0" t="0" r="1270" b="5080"/>
                  <wp:wrapNone/>
                  <wp:docPr id="67" name="图片_169"/>
                  <wp:cNvGraphicFramePr/>
                  <a:graphic xmlns:a="http://schemas.openxmlformats.org/drawingml/2006/main">
                    <a:graphicData uri="http://schemas.openxmlformats.org/drawingml/2006/picture">
                      <pic:pic xmlns:pic="http://schemas.openxmlformats.org/drawingml/2006/picture">
                        <pic:nvPicPr>
                          <pic:cNvPr id="67" name="图片_169"/>
                          <pic:cNvPicPr/>
                        </pic:nvPicPr>
                        <pic:blipFill>
                          <a:blip r:embed="rId44"/>
                          <a:stretch>
                            <a:fillRect/>
                          </a:stretch>
                        </pic:blipFill>
                        <pic:spPr>
                          <a:xfrm>
                            <a:off x="0" y="0"/>
                            <a:ext cx="589280" cy="528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低搁架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选用优质38*38*1.0mm加厚不锈钢方管制作，管实厚δ≥0.88mm；格栅型，10根档，单层结构；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规格：1200*500*250mm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242570</wp:posOffset>
                  </wp:positionV>
                  <wp:extent cx="933450" cy="582930"/>
                  <wp:effectExtent l="0" t="0" r="0" b="7620"/>
                  <wp:wrapNone/>
                  <wp:docPr id="66" name="图片_31_SpCnt_3"/>
                  <wp:cNvGraphicFramePr/>
                  <a:graphic xmlns:a="http://schemas.openxmlformats.org/drawingml/2006/main">
                    <a:graphicData uri="http://schemas.openxmlformats.org/drawingml/2006/picture">
                      <pic:pic xmlns:pic="http://schemas.openxmlformats.org/drawingml/2006/picture">
                        <pic:nvPicPr>
                          <pic:cNvPr id="66" name="图片_31_SpCnt_3"/>
                          <pic:cNvPicPr/>
                        </pic:nvPicPr>
                        <pic:blipFill>
                          <a:blip r:embed="rId45"/>
                          <a:stretch>
                            <a:fillRect/>
                          </a:stretch>
                        </pic:blipFill>
                        <pic:spPr>
                          <a:xfrm>
                            <a:off x="0" y="0"/>
                            <a:ext cx="933450" cy="582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粗加工</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选用SUS304-2B优质不锈钢板制作；台面及水斗δ=1.2mm，实厚δ≥1.08mm，水斗圆角模压成型，配优质不锈钢提笼式落水器及烂渣篮，水龙头另计；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圆通腿为φ38*1.0mm加厚不锈钢圆管，实厚δ≥0.88mm；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规格：600*700*(800+150)mm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281305</wp:posOffset>
                  </wp:positionV>
                  <wp:extent cx="875665" cy="562610"/>
                  <wp:effectExtent l="0" t="0" r="635" b="8890"/>
                  <wp:wrapNone/>
                  <wp:docPr id="65" name="Picture_444"/>
                  <wp:cNvGraphicFramePr/>
                  <a:graphic xmlns:a="http://schemas.openxmlformats.org/drawingml/2006/main">
                    <a:graphicData uri="http://schemas.openxmlformats.org/drawingml/2006/picture">
                      <pic:pic xmlns:pic="http://schemas.openxmlformats.org/drawingml/2006/picture">
                        <pic:nvPicPr>
                          <pic:cNvPr id="65" name="Picture_444"/>
                          <pic:cNvPicPr/>
                        </pic:nvPicPr>
                        <pic:blipFill>
                          <a:blip r:embed="rId46"/>
                          <a:stretch>
                            <a:fillRect/>
                          </a:stretch>
                        </pic:blipFill>
                        <pic:spPr>
                          <a:xfrm>
                            <a:off x="0" y="0"/>
                            <a:ext cx="875665" cy="562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选用SUS304-2B优质不锈钢板制作；台面及水斗δ=1.2mm，实厚δ≥1.08mm，水斗圆角模压成型，配优质不锈钢提笼式落水器及烂渣篮，水龙头另计；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圆通腿为φ38*1.0mm加厚不锈钢圆管，实厚δ≥0.88mm；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规格：1500*700*(800+150)mm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109855</wp:posOffset>
                  </wp:positionH>
                  <wp:positionV relativeFrom="paragraph">
                    <wp:posOffset>398780</wp:posOffset>
                  </wp:positionV>
                  <wp:extent cx="900430" cy="492125"/>
                  <wp:effectExtent l="0" t="0" r="13970" b="3175"/>
                  <wp:wrapNone/>
                  <wp:docPr id="64" name="图片_77"/>
                  <wp:cNvGraphicFramePr/>
                  <a:graphic xmlns:a="http://schemas.openxmlformats.org/drawingml/2006/main">
                    <a:graphicData uri="http://schemas.openxmlformats.org/drawingml/2006/picture">
                      <pic:pic xmlns:pic="http://schemas.openxmlformats.org/drawingml/2006/picture">
                        <pic:nvPicPr>
                          <pic:cNvPr id="64" name="图片_77"/>
                          <pic:cNvPicPr/>
                        </pic:nvPicPr>
                        <pic:blipFill>
                          <a:blip r:embed="rId47"/>
                          <a:stretch>
                            <a:fillRect/>
                          </a:stretch>
                        </pic:blipFill>
                        <pic:spPr>
                          <a:xfrm>
                            <a:off x="0" y="0"/>
                            <a:ext cx="900430" cy="492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电热开水器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采用发泡保温结构，使本机保温节能率达30%以上。智能化管理，工作过程全自动； 保温温度高，可精确控制在±1℃ 度范围； 采用高级不锈钢制造，涉水容器用食用级304不锈钢制造；功率：12KW/380V。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规格：120L/h                                       </w:t>
            </w: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★投标人提供产品符合国家GB4706 .1-2005和GB4706 .36-2014产品标准和技术要求的证书。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191770</wp:posOffset>
                  </wp:positionV>
                  <wp:extent cx="790575" cy="899160"/>
                  <wp:effectExtent l="0" t="0" r="9525" b="15240"/>
                  <wp:wrapNone/>
                  <wp:docPr id="63" name="图片_100"/>
                  <wp:cNvGraphicFramePr/>
                  <a:graphic xmlns:a="http://schemas.openxmlformats.org/drawingml/2006/main">
                    <a:graphicData uri="http://schemas.openxmlformats.org/drawingml/2006/picture">
                      <pic:pic xmlns:pic="http://schemas.openxmlformats.org/drawingml/2006/picture">
                        <pic:nvPicPr>
                          <pic:cNvPr id="63" name="图片_100"/>
                          <pic:cNvPicPr/>
                        </pic:nvPicPr>
                        <pic:blipFill>
                          <a:blip r:embed="rId48"/>
                          <a:stretch>
                            <a:fillRect/>
                          </a:stretch>
                        </pic:blipFill>
                        <pic:spPr>
                          <a:xfrm>
                            <a:off x="0" y="0"/>
                            <a:ext cx="790575" cy="899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整理工作台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选用SUS304-2B优质不锈钢制作；台面板δ=1.2mm，实厚δ≥1.08mm，下横通采用φ25*1.0mm圆管，实厚δ≥1.08mm；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方通脚采用50*50*1.0mm不锈钢加厚方管制作，实厚δ≥0.88mm；φ250残物回收孔，配不锈钢加强筋、δ=1.0mm，实厚δ≥0.88mm；配置重力不锈钢可调节子弹脚，车、桶、台配套。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规格：1800*800*800mm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91440</wp:posOffset>
                  </wp:positionH>
                  <wp:positionV relativeFrom="paragraph">
                    <wp:posOffset>412115</wp:posOffset>
                  </wp:positionV>
                  <wp:extent cx="913130" cy="458470"/>
                  <wp:effectExtent l="0" t="0" r="1270" b="17780"/>
                  <wp:wrapNone/>
                  <wp:docPr id="62" name="图片_16_SpCnt_1"/>
                  <wp:cNvGraphicFramePr/>
                  <a:graphic xmlns:a="http://schemas.openxmlformats.org/drawingml/2006/main">
                    <a:graphicData uri="http://schemas.openxmlformats.org/drawingml/2006/picture">
                      <pic:pic xmlns:pic="http://schemas.openxmlformats.org/drawingml/2006/picture">
                        <pic:nvPicPr>
                          <pic:cNvPr id="62" name="图片_16_SpCnt_1"/>
                          <pic:cNvPicPr/>
                        </pic:nvPicPr>
                        <pic:blipFill>
                          <a:blip r:embed="rId49"/>
                          <a:stretch>
                            <a:fillRect/>
                          </a:stretch>
                        </pic:blipFill>
                        <pic:spPr>
                          <a:xfrm>
                            <a:off x="0" y="0"/>
                            <a:ext cx="913130" cy="4584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四层货架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选用优质不锈钢管制作，立柱为38*38*1.0mm加厚圆管，实厚δ≥0.88mm；档为25*38*1.0mm加厚扁管，实厚δ≥0.88mm；格栅型，11根档，四层结构；配配置重力不锈钢可调节子弹脚。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规格：1200*500*1500mm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204470</wp:posOffset>
                  </wp:positionH>
                  <wp:positionV relativeFrom="paragraph">
                    <wp:posOffset>183515</wp:posOffset>
                  </wp:positionV>
                  <wp:extent cx="633730" cy="629920"/>
                  <wp:effectExtent l="0" t="0" r="13970" b="17780"/>
                  <wp:wrapNone/>
                  <wp:docPr id="61" name="Picture_141"/>
                  <wp:cNvGraphicFramePr/>
                  <a:graphic xmlns:a="http://schemas.openxmlformats.org/drawingml/2006/main">
                    <a:graphicData uri="http://schemas.openxmlformats.org/drawingml/2006/picture">
                      <pic:pic xmlns:pic="http://schemas.openxmlformats.org/drawingml/2006/picture">
                        <pic:nvPicPr>
                          <pic:cNvPr id="61" name="Picture_141"/>
                          <pic:cNvPicPr/>
                        </pic:nvPicPr>
                        <pic:blipFill>
                          <a:blip r:embed="rId50"/>
                          <a:stretch>
                            <a:fillRect/>
                          </a:stretch>
                        </pic:blipFill>
                        <pic:spPr>
                          <a:xfrm>
                            <a:off x="0" y="0"/>
                            <a:ext cx="633730" cy="629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双温水龙头                                          外壳不锈钢材质，铜阀铜芯，双脚设计，两孔之间距离为：135mm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160655</wp:posOffset>
                  </wp:positionV>
                  <wp:extent cx="723900" cy="638175"/>
                  <wp:effectExtent l="0" t="0" r="0" b="9525"/>
                  <wp:wrapNone/>
                  <wp:docPr id="60" name="图片_172"/>
                  <wp:cNvGraphicFramePr/>
                  <a:graphic xmlns:a="http://schemas.openxmlformats.org/drawingml/2006/main">
                    <a:graphicData uri="http://schemas.openxmlformats.org/drawingml/2006/picture">
                      <pic:pic xmlns:pic="http://schemas.openxmlformats.org/drawingml/2006/picture">
                        <pic:nvPicPr>
                          <pic:cNvPr id="60" name="图片_172"/>
                          <pic:cNvPicPr/>
                        </pic:nvPicPr>
                        <pic:blipFill>
                          <a:blip r:embed="rId51"/>
                          <a:stretch>
                            <a:fillRect/>
                          </a:stretch>
                        </pic:blipFill>
                        <pic:spPr>
                          <a:xfrm>
                            <a:off x="0" y="0"/>
                            <a:ext cx="723900" cy="638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烹饪间</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 xml:space="preserve">四门双机双温冰箱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1、内外材质为优质不锈钢；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2、制冷压缩机组;安装在顶部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3、发泡密度42Kg/m³；万向轮带刹车；                                                                                4、采用无CFC的环保雪种(R290) ；保温材料环保绝缘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5、纯铜管蒸发、冷凝器；温度均恒无差异；                                                                            6、微电脑数字温控显示器; 精确控温至0.1℃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7、圆角底盘；箱体内圆弧设计；                                                      8、无需冷凝排水；环保吸水蒸发系统；</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9、可承受环境温度38℃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10、可拆卸式密封胶条；</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11、温度：+2~+8℃ / -15~-18℃</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12、电压/频率/额定功率：220v/50HZ/550W;</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13、电源插头：10A</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14、规格：1210*700*1915mm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88265</wp:posOffset>
                  </wp:positionH>
                  <wp:positionV relativeFrom="paragraph">
                    <wp:posOffset>626110</wp:posOffset>
                  </wp:positionV>
                  <wp:extent cx="924560" cy="1216025"/>
                  <wp:effectExtent l="0" t="0" r="8890" b="3175"/>
                  <wp:wrapNone/>
                  <wp:docPr id="59" name="图片_48"/>
                  <wp:cNvGraphicFramePr/>
                  <a:graphic xmlns:a="http://schemas.openxmlformats.org/drawingml/2006/main">
                    <a:graphicData uri="http://schemas.openxmlformats.org/drawingml/2006/picture">
                      <pic:pic xmlns:pic="http://schemas.openxmlformats.org/drawingml/2006/picture">
                        <pic:nvPicPr>
                          <pic:cNvPr id="59" name="图片_48"/>
                          <pic:cNvPicPr/>
                        </pic:nvPicPr>
                        <pic:blipFill>
                          <a:blip r:embed="rId52"/>
                          <a:stretch>
                            <a:fillRect/>
                          </a:stretch>
                        </pic:blipFill>
                        <pic:spPr>
                          <a:xfrm>
                            <a:off x="0" y="0"/>
                            <a:ext cx="924560" cy="1216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选用SUS304-2B优质不锈钢板制作；台面及水斗δ=1.2mm，实厚δ≥1.08mm，水斗圆角模压成型，配优质不锈钢提笼式落水器及烂渣篮，水龙头另计；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圆通腿为φ38*1.0mm加厚不锈钢圆管，实厚δ≥0.88mm；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规格：600*700*(800+150)mm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281305</wp:posOffset>
                  </wp:positionV>
                  <wp:extent cx="875665" cy="562610"/>
                  <wp:effectExtent l="0" t="0" r="635" b="8890"/>
                  <wp:wrapNone/>
                  <wp:docPr id="58" name="Picture_444_SpCnt_1"/>
                  <wp:cNvGraphicFramePr/>
                  <a:graphic xmlns:a="http://schemas.openxmlformats.org/drawingml/2006/main">
                    <a:graphicData uri="http://schemas.openxmlformats.org/drawingml/2006/picture">
                      <pic:pic xmlns:pic="http://schemas.openxmlformats.org/drawingml/2006/picture">
                        <pic:nvPicPr>
                          <pic:cNvPr id="58" name="Picture_444_SpCnt_1"/>
                          <pic:cNvPicPr/>
                        </pic:nvPicPr>
                        <pic:blipFill>
                          <a:blip r:embed="rId46"/>
                          <a:stretch>
                            <a:fillRect/>
                          </a:stretch>
                        </pic:blipFill>
                        <pic:spPr>
                          <a:xfrm>
                            <a:off x="0" y="0"/>
                            <a:ext cx="875665" cy="562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δ=1.2mm，实厚δ≥1.08mm，层板δ=1.0mm，实厚δ≥0.88mm；圆通脚采用φ38*1.0mm不锈钢加厚圆管制作，实厚δ≥0.88mm；下衬12mm密度板减噪，配不锈钢加强筋、板δ=1.0mm，实厚δ≥0.88mm；层板型，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规格：1800*700*800mm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172085</wp:posOffset>
                  </wp:positionH>
                  <wp:positionV relativeFrom="paragraph">
                    <wp:posOffset>348615</wp:posOffset>
                  </wp:positionV>
                  <wp:extent cx="808990" cy="492760"/>
                  <wp:effectExtent l="0" t="0" r="10160" b="2540"/>
                  <wp:wrapNone/>
                  <wp:docPr id="57" name="Picture_116"/>
                  <wp:cNvGraphicFramePr/>
                  <a:graphic xmlns:a="http://schemas.openxmlformats.org/drawingml/2006/main">
                    <a:graphicData uri="http://schemas.openxmlformats.org/drawingml/2006/picture">
                      <pic:pic xmlns:pic="http://schemas.openxmlformats.org/drawingml/2006/picture">
                        <pic:nvPicPr>
                          <pic:cNvPr id="57" name="Picture_116"/>
                          <pic:cNvPicPr/>
                        </pic:nvPicPr>
                        <pic:blipFill>
                          <a:blip r:embed="rId53"/>
                          <a:stretch>
                            <a:fillRect/>
                          </a:stretch>
                        </pic:blipFill>
                        <pic:spPr>
                          <a:xfrm>
                            <a:off x="0" y="0"/>
                            <a:ext cx="808990" cy="492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δ=1.2mm，实厚δ≥1.08mm，层板δ=1.0mm，实厚δ≥0.88mm；圆通脚采用φ38*1.0mm不锈钢加厚圆管制作，实厚δ≥0.88mm；下衬12mm密度板减噪，配不锈钢加强筋、板δ=1.0mm，实厚δ≥0.88mm；层板型，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规格：1000*700*800mm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291465</wp:posOffset>
                  </wp:positionV>
                  <wp:extent cx="808990" cy="705485"/>
                  <wp:effectExtent l="0" t="0" r="10160" b="18415"/>
                  <wp:wrapNone/>
                  <wp:docPr id="56" name="Picture_116_SpCnt_1"/>
                  <wp:cNvGraphicFramePr/>
                  <a:graphic xmlns:a="http://schemas.openxmlformats.org/drawingml/2006/main">
                    <a:graphicData uri="http://schemas.openxmlformats.org/drawingml/2006/picture">
                      <pic:pic xmlns:pic="http://schemas.openxmlformats.org/drawingml/2006/picture">
                        <pic:nvPicPr>
                          <pic:cNvPr id="56" name="Picture_116_SpCnt_1"/>
                          <pic:cNvPicPr/>
                        </pic:nvPicPr>
                        <pic:blipFill>
                          <a:blip r:embed="rId54"/>
                          <a:stretch>
                            <a:fillRect/>
                          </a:stretch>
                        </pic:blipFill>
                        <pic:spPr>
                          <a:xfrm>
                            <a:off x="0" y="0"/>
                            <a:ext cx="808990" cy="705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调料平台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制作；台面δ=1.2mm，实厚δ≥1.08mm，层板δ=1.0mm，实厚δ≥0.88mm；圆通脚采用φ38*1.0mm不锈钢加厚圆管制作，实厚δ≥0.88mm；横通档采用25*38*1.0mm，实厚δ≥0.88mm；下衬12mm密度板减噪，配不锈钢加强筋、板δ=1.0mm，实厚δ≥0.88mm；外形与灶具同款设计，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规格：400*1200*（800+450）mm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108585</wp:posOffset>
                  </wp:positionH>
                  <wp:positionV relativeFrom="paragraph">
                    <wp:posOffset>304800</wp:posOffset>
                  </wp:positionV>
                  <wp:extent cx="909955" cy="593090"/>
                  <wp:effectExtent l="0" t="0" r="4445" b="16510"/>
                  <wp:wrapNone/>
                  <wp:docPr id="55" name="Picture_109"/>
                  <wp:cNvGraphicFramePr/>
                  <a:graphic xmlns:a="http://schemas.openxmlformats.org/drawingml/2006/main">
                    <a:graphicData uri="http://schemas.openxmlformats.org/drawingml/2006/picture">
                      <pic:pic xmlns:pic="http://schemas.openxmlformats.org/drawingml/2006/picture">
                        <pic:nvPicPr>
                          <pic:cNvPr id="55" name="Picture_109"/>
                          <pic:cNvPicPr/>
                        </pic:nvPicPr>
                        <pic:blipFill>
                          <a:blip r:embed="rId55"/>
                          <a:stretch>
                            <a:fillRect/>
                          </a:stretch>
                        </pic:blipFill>
                        <pic:spPr>
                          <a:xfrm>
                            <a:off x="0" y="0"/>
                            <a:ext cx="909955" cy="593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双向移门调理台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SUS304-2B不锈钢板制作；台面为δ=1.2mm，实厚δ≥1.08mm；侧板δ=1.0mm，实厚δ≥0.88mm；门板δ=1.0mm，实厚δ≥0.88mm；底板、层板、背板δ=1.0mm，实厚δ≥0.88mm；双边上挂式尼龙静音滑轮移门，内置一层可调层板，下衬12mm密度板减噪；配不锈钢加强筋δ=1.0mm，实厚δ≥0.88mm；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规格：1800*700*800mm。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137795</wp:posOffset>
                  </wp:positionH>
                  <wp:positionV relativeFrom="paragraph">
                    <wp:posOffset>347345</wp:posOffset>
                  </wp:positionV>
                  <wp:extent cx="884555" cy="709295"/>
                  <wp:effectExtent l="0" t="0" r="10795" b="14605"/>
                  <wp:wrapNone/>
                  <wp:docPr id="54" name="Picture_138"/>
                  <wp:cNvGraphicFramePr/>
                  <a:graphic xmlns:a="http://schemas.openxmlformats.org/drawingml/2006/main">
                    <a:graphicData uri="http://schemas.openxmlformats.org/drawingml/2006/picture">
                      <pic:pic xmlns:pic="http://schemas.openxmlformats.org/drawingml/2006/picture">
                        <pic:nvPicPr>
                          <pic:cNvPr id="54" name="Picture_138"/>
                          <pic:cNvPicPr/>
                        </pic:nvPicPr>
                        <pic:blipFill>
                          <a:blip r:embed="rId56"/>
                          <a:stretch>
                            <a:fillRect/>
                          </a:stretch>
                        </pic:blipFill>
                        <pic:spPr>
                          <a:xfrm>
                            <a:off x="0" y="0"/>
                            <a:ext cx="884555" cy="709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四眼煲仔炉</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面板δ=1.2mm，实厚δ≥1.08mm；后档板、側板δ=1.0mm，实厚δ≥0.88mm；带常明火，脚为φ38*1.0mm不锈钢加厚圆管，实厚δ≥0.88mm；配优质气阀，直径为140mm强力快速炉头，铸铁花板；额定热负荷：4*6k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规格：700*750*(800+150)mm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72390</wp:posOffset>
                  </wp:positionH>
                  <wp:positionV relativeFrom="paragraph">
                    <wp:posOffset>211455</wp:posOffset>
                  </wp:positionV>
                  <wp:extent cx="923290" cy="866775"/>
                  <wp:effectExtent l="0" t="0" r="10160" b="9525"/>
                  <wp:wrapNone/>
                  <wp:docPr id="53" name="图片_31_SpCnt_4"/>
                  <wp:cNvGraphicFramePr/>
                  <a:graphic xmlns:a="http://schemas.openxmlformats.org/drawingml/2006/main">
                    <a:graphicData uri="http://schemas.openxmlformats.org/drawingml/2006/picture">
                      <pic:pic xmlns:pic="http://schemas.openxmlformats.org/drawingml/2006/picture">
                        <pic:nvPicPr>
                          <pic:cNvPr id="53" name="图片_31_SpCnt_4"/>
                          <pic:cNvPicPr/>
                        </pic:nvPicPr>
                        <pic:blipFill>
                          <a:blip r:embed="rId57"/>
                          <a:stretch>
                            <a:fillRect/>
                          </a:stretch>
                        </pic:blipFill>
                        <pic:spPr>
                          <a:xfrm>
                            <a:off x="0" y="0"/>
                            <a:ext cx="923290" cy="866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燃气一大一小灶</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优质SUS304-2B不锈钢板制造，炉面板δ＝1.2mm，实厚δ≥1.08mm，台面一次压制成型；侧板、前脸、后背板δ＝1.2mm，实厚δ≥1.08mm；,龙骨架国标不锈钢方管，厚1.2mm，衬板电解镀锌钢板厚δ＝2.0mm,台面20mm厚陶瓷纤维隔热棉,灶身双层热轧钢板，隔热层厚40mm,炉膛50mm厚耐高温材料；炉膛采用不锈钢材料，40mm厚陶瓷纤维隔热棉外敷40mm高温稀土隔热，加厚度2.0mm内配稀土贵金属聚能网；                                                       配不锈钢节能炉头，80W 220V直流变频风机，节能静音炉头，炉灶噪音在65分贝以下，热效率45%以上，干烟气中CO(a=1)环境排放标准0.002%以下；具有熄火保护装置，                                                                                                               一键启动 ；电量：2*80W/1PH/220V；燃气热负荷</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35kW*2，</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规格：2000×1200×（800+450）mm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585470</wp:posOffset>
                  </wp:positionV>
                  <wp:extent cx="866140" cy="631825"/>
                  <wp:effectExtent l="0" t="0" r="10160" b="15875"/>
                  <wp:wrapNone/>
                  <wp:docPr id="52" name="图片_18"/>
                  <wp:cNvGraphicFramePr/>
                  <a:graphic xmlns:a="http://schemas.openxmlformats.org/drawingml/2006/main">
                    <a:graphicData uri="http://schemas.openxmlformats.org/drawingml/2006/picture">
                      <pic:pic xmlns:pic="http://schemas.openxmlformats.org/drawingml/2006/picture">
                        <pic:nvPicPr>
                          <pic:cNvPr id="52" name="图片_18"/>
                          <pic:cNvPicPr/>
                        </pic:nvPicPr>
                        <pic:blipFill>
                          <a:blip r:embed="rId58"/>
                          <a:stretch>
                            <a:fillRect/>
                          </a:stretch>
                        </pic:blipFill>
                        <pic:spPr>
                          <a:xfrm>
                            <a:off x="0" y="0"/>
                            <a:ext cx="866140" cy="631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 xml:space="preserve">炊用燃气大锅灶（双眼800口径大锅）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优质SUS304-2B不锈钢板制造，炉面板δ＝1.2mm，实厚δ≥1.08mm，台面一次压制成型；侧板、前脸、后背板δ＝1.08mm；龙骨架国标不锈钢方管，衬板电解镀锌钢板厚δ＝1.2mm，炉膛为双层炉膛，隔热层厚40mm，炉膛为50mm厚耐高温材料，后背宽度100mm；炉膛采用不锈钢材料，一次成型，厚度2.0mm内配稀土贵金属聚能网；                                                                                          灶圈口径φ800mm，不锈钢灶圈δ＝1.5mm；</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配不锈钢节能静音炉头，热效率达45%以上，一氧化碳≤0.005%，低于国家标准20倍，炉灶噪音低于65分贝以下；</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标配熄火保护装置；一键启动。</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规格：2000×1200×（800+450）mm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★提供投标人自身具有符合GB35848-2018标准的产品安全认证证书。                                           ★提供投标人自身具有的接触面实验时间在24h大肠杆菌抗菌率≥99%、金黄色葡萄菌抗菌率≥99%，依据GB/T24170.1-2009 《表面抗菌不锈钢 第1部分:电化学法》、GB/T21510-2008《纳米无机材料抗菌性能检测方法》的第三方检测机构出具的带有CMA、CNAS标志检测报告检测报告。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71755</wp:posOffset>
                  </wp:positionH>
                  <wp:positionV relativeFrom="paragraph">
                    <wp:posOffset>776605</wp:posOffset>
                  </wp:positionV>
                  <wp:extent cx="958850" cy="595630"/>
                  <wp:effectExtent l="0" t="0" r="12700" b="13970"/>
                  <wp:wrapNone/>
                  <wp:docPr id="51" name="Picture_223"/>
                  <wp:cNvGraphicFramePr/>
                  <a:graphic xmlns:a="http://schemas.openxmlformats.org/drawingml/2006/main">
                    <a:graphicData uri="http://schemas.openxmlformats.org/drawingml/2006/picture">
                      <pic:pic xmlns:pic="http://schemas.openxmlformats.org/drawingml/2006/picture">
                        <pic:nvPicPr>
                          <pic:cNvPr id="51" name="Picture_223"/>
                          <pic:cNvPicPr/>
                        </pic:nvPicPr>
                        <pic:blipFill>
                          <a:blip r:embed="rId59"/>
                          <a:stretch>
                            <a:fillRect/>
                          </a:stretch>
                        </pic:blipFill>
                        <pic:spPr>
                          <a:xfrm>
                            <a:off x="0" y="0"/>
                            <a:ext cx="958850" cy="5956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智能型双门蒸饭箱</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电热型电量：12kW*2/5PH/380V；选用SUS304-2B优质不锈钢制作；内、外双层板δ=1.2mm，实测≧1.08mm；配螺旋式门把手，每格5公斤的饭盘共30只；定制饭铲、分饭器各两套；</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具有高温保温，设备特定中制系列安全保护系统及操作保护功能，预开放为一体智能专用数码显示微电脑控制系统,面板控制规格：</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160*80mm;标准时间数字显示，工作温度可调节设置；恒温工作时间可自动关闭设置；当前工作时间数字显示，当前温度数字显示；设置蒸饭时间、工作状况数字显示；12V进水电磁阀，自动加水和缺水保护；预约式工作时段可调节设置；功率：2*12kW/3PH/380V</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规格：150kg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75565</wp:posOffset>
                  </wp:positionH>
                  <wp:positionV relativeFrom="paragraph">
                    <wp:posOffset>257810</wp:posOffset>
                  </wp:positionV>
                  <wp:extent cx="944245" cy="1196975"/>
                  <wp:effectExtent l="0" t="0" r="8255" b="3175"/>
                  <wp:wrapNone/>
                  <wp:docPr id="50" name="Picture_110"/>
                  <wp:cNvGraphicFramePr/>
                  <a:graphic xmlns:a="http://schemas.openxmlformats.org/drawingml/2006/main">
                    <a:graphicData uri="http://schemas.openxmlformats.org/drawingml/2006/picture">
                      <pic:pic xmlns:pic="http://schemas.openxmlformats.org/drawingml/2006/picture">
                        <pic:nvPicPr>
                          <pic:cNvPr id="50" name="Picture_110"/>
                          <pic:cNvPicPr/>
                        </pic:nvPicPr>
                        <pic:blipFill>
                          <a:blip r:embed="rId60"/>
                          <a:stretch>
                            <a:fillRect/>
                          </a:stretch>
                        </pic:blipFill>
                        <pic:spPr>
                          <a:xfrm>
                            <a:off x="0" y="0"/>
                            <a:ext cx="944245" cy="1196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可倾式电夹层锅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热可倾型；内、外均采用国加厚不锈钢板制；内胆304不锈钢板制，δ=3.0mm，实厚δ≥2.88mm；外胆201不锈钢板制，δ=2.0mm，实厚δ≥1.88mm；中间防火隔热棉隔热，配有压力表，安全阀，汽阀；支架不锈钢制，δ=2.0mm，实厚δ≥1.88mm；工作压力小于0.2mpa；功率：18-24KW/3PH/380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规格：200L</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122555</wp:posOffset>
                  </wp:positionH>
                  <wp:positionV relativeFrom="paragraph">
                    <wp:posOffset>245745</wp:posOffset>
                  </wp:positionV>
                  <wp:extent cx="836295" cy="850900"/>
                  <wp:effectExtent l="0" t="0" r="1905" b="6350"/>
                  <wp:wrapNone/>
                  <wp:docPr id="49" name="图片_18_SpCnt_1"/>
                  <wp:cNvGraphicFramePr/>
                  <a:graphic xmlns:a="http://schemas.openxmlformats.org/drawingml/2006/main">
                    <a:graphicData uri="http://schemas.openxmlformats.org/drawingml/2006/picture">
                      <pic:pic xmlns:pic="http://schemas.openxmlformats.org/drawingml/2006/picture">
                        <pic:nvPicPr>
                          <pic:cNvPr id="49" name="图片_18_SpCnt_1"/>
                          <pic:cNvPicPr/>
                        </pic:nvPicPr>
                        <pic:blipFill>
                          <a:blip r:embed="rId61"/>
                          <a:stretch>
                            <a:fillRect/>
                          </a:stretch>
                        </pic:blipFill>
                        <pic:spPr>
                          <a:xfrm>
                            <a:off x="0" y="0"/>
                            <a:ext cx="836295" cy="850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燃气蒸箱（三门蒸柜）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优质SUS304-2B不锈钢板制造， 炉面板δ＝1.5mm,实厚δ≥1.38㎜;侧板、前脸、后背板δ＝1.2mm,实厚δ≥1.08㎜;龙骨架国标不锈钢方管，衬板电解镀锌钢板厚δ＝1.2mm；                                 炉膛采用不锈钢合金材料，一次成型，厚度2.0mm内配稀土贵金属聚能网；全新内燃式环保耐火炉头及全不锈钢水胆结构，无风机设计；防干烧功能；设置常明火种；按式电子点火，即时熄火保护设计；炉灶燃烧噪音低于65分贝以下； 一氧化碳≤0.005%；水胆加玻璃纤维保温材料；抽拉式层架，有锁轨道；含水垢磁化管;双联电磁阀分步控制，自动脉冲电子点火，两组燃气开关；火力为3档，每档火力风气自动精确配比，火力大小数字可视化显示器，且故障代码显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规格：910×900×1900mm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375285</wp:posOffset>
                  </wp:positionV>
                  <wp:extent cx="737870" cy="986790"/>
                  <wp:effectExtent l="0" t="0" r="5080" b="3810"/>
                  <wp:wrapNone/>
                  <wp:docPr id="41" name="图片_25"/>
                  <wp:cNvGraphicFramePr/>
                  <a:graphic xmlns:a="http://schemas.openxmlformats.org/drawingml/2006/main">
                    <a:graphicData uri="http://schemas.openxmlformats.org/drawingml/2006/picture">
                      <pic:pic xmlns:pic="http://schemas.openxmlformats.org/drawingml/2006/picture">
                        <pic:nvPicPr>
                          <pic:cNvPr id="41" name="图片_25"/>
                          <pic:cNvPicPr/>
                        </pic:nvPicPr>
                        <pic:blipFill>
                          <a:blip r:embed="rId62"/>
                          <a:stretch>
                            <a:fillRect/>
                          </a:stretch>
                        </pic:blipFill>
                        <pic:spPr>
                          <a:xfrm>
                            <a:off x="0" y="0"/>
                            <a:ext cx="737870" cy="986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双温水龙头                                          外壳不锈钢材质，铜阀铜芯，双脚设计，两孔之间距离为：135mm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189230</wp:posOffset>
                  </wp:positionV>
                  <wp:extent cx="771525" cy="518795"/>
                  <wp:effectExtent l="0" t="0" r="9525" b="14605"/>
                  <wp:wrapNone/>
                  <wp:docPr id="48" name="图片_172_SpCnt_1"/>
                  <wp:cNvGraphicFramePr/>
                  <a:graphic xmlns:a="http://schemas.openxmlformats.org/drawingml/2006/main">
                    <a:graphicData uri="http://schemas.openxmlformats.org/drawingml/2006/picture">
                      <pic:pic xmlns:pic="http://schemas.openxmlformats.org/drawingml/2006/picture">
                        <pic:nvPicPr>
                          <pic:cNvPr id="48" name="图片_172_SpCnt_1"/>
                          <pic:cNvPicPr/>
                        </pic:nvPicPr>
                        <pic:blipFill>
                          <a:blip r:embed="rId63"/>
                          <a:stretch>
                            <a:fillRect/>
                          </a:stretch>
                        </pic:blipFill>
                        <pic:spPr>
                          <a:xfrm>
                            <a:off x="0" y="0"/>
                            <a:ext cx="771525" cy="518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挂墙式集气罩</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选用SUS304-2B不锈钢板制作，δ=1.2mm，实厚δ≥1.08mm，配积水杯，新型防爆灯。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规格：4700*1000*500mm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4.7</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140970</wp:posOffset>
                  </wp:positionV>
                  <wp:extent cx="634365" cy="542290"/>
                  <wp:effectExtent l="0" t="0" r="13335" b="10160"/>
                  <wp:wrapNone/>
                  <wp:docPr id="47" name="Picture_1157"/>
                  <wp:cNvGraphicFramePr/>
                  <a:graphic xmlns:a="http://schemas.openxmlformats.org/drawingml/2006/main">
                    <a:graphicData uri="http://schemas.openxmlformats.org/drawingml/2006/picture">
                      <pic:pic xmlns:pic="http://schemas.openxmlformats.org/drawingml/2006/picture">
                        <pic:nvPicPr>
                          <pic:cNvPr id="47" name="Picture_1157"/>
                          <pic:cNvPicPr/>
                        </pic:nvPicPr>
                        <pic:blipFill>
                          <a:blip r:embed="rId64"/>
                          <a:stretch>
                            <a:fillRect/>
                          </a:stretch>
                        </pic:blipFill>
                        <pic:spPr>
                          <a:xfrm>
                            <a:off x="0" y="0"/>
                            <a:ext cx="634365" cy="542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脱排油烟罩</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不锈钢板制作，δ=1.2mm，实厚δ≥1.08mm，沥油网选用优质不锈钢板制作，实厚δ≥0.68mm；配积油杯，防爆灯，沥油槽、沥油网；罩内隔油网采用优质不锈钢磨砂贴塑板，δ=0.8mm；罩内加强杆采用不锈钢方管固定；国产防爆灯；罩内出风口增设可调式导向板；烟罩等距离设有漏油盅；每小时换气次数为45～50次；罩内灶面风速0.4～0.5m/s,罩内喉部风速4～5m/s。</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规格：4800*1350*500mm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176530</wp:posOffset>
                  </wp:positionH>
                  <wp:positionV relativeFrom="paragraph">
                    <wp:posOffset>474980</wp:posOffset>
                  </wp:positionV>
                  <wp:extent cx="738505" cy="421640"/>
                  <wp:effectExtent l="0" t="0" r="4445" b="16510"/>
                  <wp:wrapNone/>
                  <wp:docPr id="46" name="Picture_158"/>
                  <wp:cNvGraphicFramePr/>
                  <a:graphic xmlns:a="http://schemas.openxmlformats.org/drawingml/2006/main">
                    <a:graphicData uri="http://schemas.openxmlformats.org/drawingml/2006/picture">
                      <pic:pic xmlns:pic="http://schemas.openxmlformats.org/drawingml/2006/picture">
                        <pic:nvPicPr>
                          <pic:cNvPr id="46" name="Picture_158"/>
                          <pic:cNvPicPr/>
                        </pic:nvPicPr>
                        <pic:blipFill>
                          <a:blip r:embed="rId65"/>
                          <a:stretch>
                            <a:fillRect/>
                          </a:stretch>
                        </pic:blipFill>
                        <pic:spPr>
                          <a:xfrm>
                            <a:off x="0" y="0"/>
                            <a:ext cx="738505" cy="421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面点间</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不锈钢板制作；台面及水斗δ=1.2mm，实厚δ≥1.08mm；水斗圆角模压成型，配优质不锈钢提笼式落水器及烂渣篮，水龙头另计；圆通腿为φ38*1.0mm加厚不锈钢圆管，实厚δ≥0.88mm；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规格：600*800*(600+150)mm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256540</wp:posOffset>
                  </wp:positionV>
                  <wp:extent cx="734060" cy="657225"/>
                  <wp:effectExtent l="0" t="0" r="8890" b="9525"/>
                  <wp:wrapNone/>
                  <wp:docPr id="45" name="Picture_524"/>
                  <wp:cNvGraphicFramePr/>
                  <a:graphic xmlns:a="http://schemas.openxmlformats.org/drawingml/2006/main">
                    <a:graphicData uri="http://schemas.openxmlformats.org/drawingml/2006/picture">
                      <pic:pic xmlns:pic="http://schemas.openxmlformats.org/drawingml/2006/picture">
                        <pic:nvPicPr>
                          <pic:cNvPr id="45" name="Picture_524"/>
                          <pic:cNvPicPr/>
                        </pic:nvPicPr>
                        <pic:blipFill>
                          <a:blip r:embed="rId66"/>
                          <a:stretch>
                            <a:fillRect/>
                          </a:stretch>
                        </pic:blipFill>
                        <pic:spPr>
                          <a:xfrm>
                            <a:off x="0" y="0"/>
                            <a:ext cx="734060"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高身饼盘车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搁档选用优质不锈钢板制作，L型折弯，板δ=1.2mm，实厚δ≥1.08mm，框架为优质不锈钢方管，实厚δ≥0.88mm；多层设计，配重力定轮2只，万向轮1只，万向刹车轮1只。</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规格：480*650*1600mm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266065</wp:posOffset>
                  </wp:positionH>
                  <wp:positionV relativeFrom="paragraph">
                    <wp:posOffset>77470</wp:posOffset>
                  </wp:positionV>
                  <wp:extent cx="483235" cy="806450"/>
                  <wp:effectExtent l="0" t="0" r="12065" b="12700"/>
                  <wp:wrapNone/>
                  <wp:docPr id="44" name="Picture_1097"/>
                  <wp:cNvGraphicFramePr/>
                  <a:graphic xmlns:a="http://schemas.openxmlformats.org/drawingml/2006/main">
                    <a:graphicData uri="http://schemas.openxmlformats.org/drawingml/2006/picture">
                      <pic:pic xmlns:pic="http://schemas.openxmlformats.org/drawingml/2006/picture">
                        <pic:nvPicPr>
                          <pic:cNvPr id="44" name="Picture_1097"/>
                          <pic:cNvPicPr/>
                        </pic:nvPicPr>
                        <pic:blipFill>
                          <a:blip r:embed="rId67"/>
                          <a:stretch>
                            <a:fillRect/>
                          </a:stretch>
                        </pic:blipFill>
                        <pic:spPr>
                          <a:xfrm>
                            <a:off x="0" y="0"/>
                            <a:ext cx="483235" cy="806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面粉车</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面斗及盖子选用不锈钢板制作；板δ=1.2mm，实厚δ≥1.08mm；手柄采用φ25*1.0mm不锈钢加厚圆管一次成型，实厚δ≥1.08mm；斗深</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550*550*420mm，配重力万向轮4个。</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规格：600*600*500mm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辆</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170180</wp:posOffset>
                  </wp:positionV>
                  <wp:extent cx="715645" cy="684530"/>
                  <wp:effectExtent l="0" t="0" r="8255" b="1270"/>
                  <wp:wrapNone/>
                  <wp:docPr id="43" name="Picture_1100"/>
                  <wp:cNvGraphicFramePr/>
                  <a:graphic xmlns:a="http://schemas.openxmlformats.org/drawingml/2006/main">
                    <a:graphicData uri="http://schemas.openxmlformats.org/drawingml/2006/picture">
                      <pic:pic xmlns:pic="http://schemas.openxmlformats.org/drawingml/2006/picture">
                        <pic:nvPicPr>
                          <pic:cNvPr id="43" name="Picture_1100"/>
                          <pic:cNvPicPr/>
                        </pic:nvPicPr>
                        <pic:blipFill>
                          <a:blip r:embed="rId68"/>
                          <a:stretch>
                            <a:fillRect/>
                          </a:stretch>
                        </pic:blipFill>
                        <pic:spPr>
                          <a:xfrm>
                            <a:off x="0" y="0"/>
                            <a:ext cx="715645" cy="6845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双门平面冷柜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外胆均采用优质不锈钢板制作，内胆板厚δ=0.8mm，外胆板厚δ=0.6mm；电子式温控数字显示，自动回归门；采用优质高压缩机组；聚胺脂一次发泡成型，R134a无氟环保制冷剂；全铜管冷凝器、蒸发器；单机单温，可选温度范围：冷冻温度：-15℃～-6℃或冷藏温度：-5℃～+10℃</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规格：1800*760*800mm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314325</wp:posOffset>
                  </wp:positionV>
                  <wp:extent cx="774065" cy="403225"/>
                  <wp:effectExtent l="0" t="0" r="6985" b="15875"/>
                  <wp:wrapNone/>
                  <wp:docPr id="42" name="图片_53"/>
                  <wp:cNvGraphicFramePr/>
                  <a:graphic xmlns:a="http://schemas.openxmlformats.org/drawingml/2006/main">
                    <a:graphicData uri="http://schemas.openxmlformats.org/drawingml/2006/picture">
                      <pic:pic xmlns:pic="http://schemas.openxmlformats.org/drawingml/2006/picture">
                        <pic:nvPicPr>
                          <pic:cNvPr id="42" name="图片_53"/>
                          <pic:cNvPicPr/>
                        </pic:nvPicPr>
                        <pic:blipFill>
                          <a:blip r:embed="rId69"/>
                          <a:stretch>
                            <a:fillRect/>
                          </a:stretch>
                        </pic:blipFill>
                        <pic:spPr>
                          <a:xfrm>
                            <a:off x="0" y="0"/>
                            <a:ext cx="774065" cy="403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压面机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压面厚度：0.5-5mm；压面宽度：250mm；生产能力：20-30kg/h；功率：220/50HZ/1.5KW。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规格：450*360*1040mm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93980</wp:posOffset>
                  </wp:positionV>
                  <wp:extent cx="685800" cy="930275"/>
                  <wp:effectExtent l="0" t="0" r="0" b="3175"/>
                  <wp:wrapNone/>
                  <wp:docPr id="40" name="图片_34"/>
                  <wp:cNvGraphicFramePr/>
                  <a:graphic xmlns:a="http://schemas.openxmlformats.org/drawingml/2006/main">
                    <a:graphicData uri="http://schemas.openxmlformats.org/drawingml/2006/picture">
                      <pic:pic xmlns:pic="http://schemas.openxmlformats.org/drawingml/2006/picture">
                        <pic:nvPicPr>
                          <pic:cNvPr id="40" name="图片_34"/>
                          <pic:cNvPicPr/>
                        </pic:nvPicPr>
                        <pic:blipFill>
                          <a:blip r:embed="rId70"/>
                          <a:stretch>
                            <a:fillRect/>
                          </a:stretch>
                        </pic:blipFill>
                        <pic:spPr>
                          <a:xfrm>
                            <a:off x="0" y="0"/>
                            <a:ext cx="685800" cy="930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食品搅拌机</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搅拌钩经过特殊处理，经久不变形；皮带式传动；安全网罩；料筒容积：</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20L；最大和面量：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8kg；搅拌转速：</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220V/50HZ/1.1kw</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规格：520*420*760mm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155575</wp:posOffset>
                  </wp:positionV>
                  <wp:extent cx="619760" cy="1116330"/>
                  <wp:effectExtent l="0" t="0" r="8890" b="7620"/>
                  <wp:wrapNone/>
                  <wp:docPr id="129" name="图片_33"/>
                  <wp:cNvGraphicFramePr/>
                  <a:graphic xmlns:a="http://schemas.openxmlformats.org/drawingml/2006/main">
                    <a:graphicData uri="http://schemas.openxmlformats.org/drawingml/2006/picture">
                      <pic:pic xmlns:pic="http://schemas.openxmlformats.org/drawingml/2006/picture">
                        <pic:nvPicPr>
                          <pic:cNvPr id="129" name="图片_33"/>
                          <pic:cNvPicPr/>
                        </pic:nvPicPr>
                        <pic:blipFill>
                          <a:blip r:embed="rId71"/>
                          <a:stretch>
                            <a:fillRect/>
                          </a:stretch>
                        </pic:blipFill>
                        <pic:spPr>
                          <a:xfrm>
                            <a:off x="0" y="0"/>
                            <a:ext cx="619760" cy="1116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三层电烘箱</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采用微电脑数字控制系统，温度精准±1度；加厚保温层，烤箱内部采用食品级镀铝板材；双层钢化玻璃；磨砂拉手；外观全不锈钢；电压380V/19.8KW，三层六盘，每层两盘；标准盘尺寸400mm*600mm。</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规格：1220*940*1695mm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224790</wp:posOffset>
                  </wp:positionV>
                  <wp:extent cx="803275" cy="848995"/>
                  <wp:effectExtent l="0" t="0" r="15875" b="8255"/>
                  <wp:wrapNone/>
                  <wp:docPr id="122" name="图片_352"/>
                  <wp:cNvGraphicFramePr/>
                  <a:graphic xmlns:a="http://schemas.openxmlformats.org/drawingml/2006/main">
                    <a:graphicData uri="http://schemas.openxmlformats.org/drawingml/2006/picture">
                      <pic:pic xmlns:pic="http://schemas.openxmlformats.org/drawingml/2006/picture">
                        <pic:nvPicPr>
                          <pic:cNvPr id="122" name="图片_352"/>
                          <pic:cNvPicPr/>
                        </pic:nvPicPr>
                        <pic:blipFill>
                          <a:blip r:embed="rId72"/>
                          <a:stretch>
                            <a:fillRect/>
                          </a:stretch>
                        </pic:blipFill>
                        <pic:spPr>
                          <a:xfrm>
                            <a:off x="0" y="0"/>
                            <a:ext cx="803275" cy="848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单门醒发箱（18盘）</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采用喷雾式结构，在机器开始工作后极短时间内产生蒸汽, 全部为双层304不锈钢制作，PU保温层；全自动触摸式控制；热风循环结构；大玻璃门可随时观察醒发情况，电压220V/1.9KW，层数18层，每层一盘；标准盘尺寸400mm*600mm；外尺寸宽*深*高570*990*2000mm。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135255</wp:posOffset>
                  </wp:positionV>
                  <wp:extent cx="726440" cy="1090295"/>
                  <wp:effectExtent l="0" t="0" r="16510" b="14605"/>
                  <wp:wrapNone/>
                  <wp:docPr id="128" name="图片_41"/>
                  <wp:cNvGraphicFramePr/>
                  <a:graphic xmlns:a="http://schemas.openxmlformats.org/drawingml/2006/main">
                    <a:graphicData uri="http://schemas.openxmlformats.org/drawingml/2006/picture">
                      <pic:pic xmlns:pic="http://schemas.openxmlformats.org/drawingml/2006/picture">
                        <pic:nvPicPr>
                          <pic:cNvPr id="128" name="图片_41"/>
                          <pic:cNvPicPr/>
                        </pic:nvPicPr>
                        <pic:blipFill>
                          <a:blip r:embed="rId73"/>
                          <a:stretch>
                            <a:fillRect/>
                          </a:stretch>
                        </pic:blipFill>
                        <pic:spPr>
                          <a:xfrm>
                            <a:off x="0" y="0"/>
                            <a:ext cx="726440" cy="1090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电饼铛</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发热管采用高碳钢制；发热盘一次压铸成型；上下盘同时加热，食物两面同时均匀受热，自动控温，调温装置；机身外壳采用不锈钢板制；温度范围：50-250℃；功率：380V/50HZ/4.8KW。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规格：640*840*760mm                                             ★提供投标人自身具有的符合GB4806.9-2016标准《食品接触产品安全认证证书》；GB4806.9-2016标准《食品接触产品卫生认证证书》。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187325</wp:posOffset>
                  </wp:positionH>
                  <wp:positionV relativeFrom="paragraph">
                    <wp:posOffset>219075</wp:posOffset>
                  </wp:positionV>
                  <wp:extent cx="711835" cy="1037590"/>
                  <wp:effectExtent l="0" t="0" r="12065" b="10160"/>
                  <wp:wrapNone/>
                  <wp:docPr id="126" name="图片_9"/>
                  <wp:cNvGraphicFramePr/>
                  <a:graphic xmlns:a="http://schemas.openxmlformats.org/drawingml/2006/main">
                    <a:graphicData uri="http://schemas.openxmlformats.org/drawingml/2006/picture">
                      <pic:pic xmlns:pic="http://schemas.openxmlformats.org/drawingml/2006/picture">
                        <pic:nvPicPr>
                          <pic:cNvPr id="126" name="图片_9"/>
                          <pic:cNvPicPr/>
                        </pic:nvPicPr>
                        <pic:blipFill>
                          <a:blip r:embed="rId74"/>
                          <a:stretch>
                            <a:fillRect/>
                          </a:stretch>
                        </pic:blipFill>
                        <pic:spPr>
                          <a:xfrm>
                            <a:off x="0" y="0"/>
                            <a:ext cx="711835" cy="1037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双温水龙头                                          外壳不锈钢材质，铜阀铜芯，双脚设计，两孔之间距离为：135mm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163195</wp:posOffset>
                  </wp:positionH>
                  <wp:positionV relativeFrom="paragraph">
                    <wp:posOffset>189230</wp:posOffset>
                  </wp:positionV>
                  <wp:extent cx="714375" cy="629285"/>
                  <wp:effectExtent l="0" t="0" r="9525" b="18415"/>
                  <wp:wrapNone/>
                  <wp:docPr id="127" name="图片_172_SpCnt_2"/>
                  <wp:cNvGraphicFramePr/>
                  <a:graphic xmlns:a="http://schemas.openxmlformats.org/drawingml/2006/main">
                    <a:graphicData uri="http://schemas.openxmlformats.org/drawingml/2006/picture">
                      <pic:pic xmlns:pic="http://schemas.openxmlformats.org/drawingml/2006/picture">
                        <pic:nvPicPr>
                          <pic:cNvPr id="127" name="图片_172_SpCnt_2"/>
                          <pic:cNvPicPr/>
                        </pic:nvPicPr>
                        <pic:blipFill>
                          <a:blip r:embed="rId75"/>
                          <a:stretch>
                            <a:fillRect/>
                          </a:stretch>
                        </pic:blipFill>
                        <pic:spPr>
                          <a:xfrm>
                            <a:off x="0" y="0"/>
                            <a:ext cx="714375" cy="629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挂墙式集气罩</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不锈钢板制作，δ=1.2mm，实厚δ≥1.08mm，配积水杯，新型防爆灯。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规格：2943*1000*500mm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233045</wp:posOffset>
                  </wp:positionH>
                  <wp:positionV relativeFrom="paragraph">
                    <wp:posOffset>207645</wp:posOffset>
                  </wp:positionV>
                  <wp:extent cx="662305" cy="566420"/>
                  <wp:effectExtent l="0" t="0" r="4445" b="5080"/>
                  <wp:wrapNone/>
                  <wp:docPr id="125" name="Picture_1157_SpCnt_1"/>
                  <wp:cNvGraphicFramePr/>
                  <a:graphic xmlns:a="http://schemas.openxmlformats.org/drawingml/2006/main">
                    <a:graphicData uri="http://schemas.openxmlformats.org/drawingml/2006/picture">
                      <pic:pic xmlns:pic="http://schemas.openxmlformats.org/drawingml/2006/picture">
                        <pic:nvPicPr>
                          <pic:cNvPr id="125" name="Picture_1157_SpCnt_1"/>
                          <pic:cNvPicPr/>
                        </pic:nvPicPr>
                        <pic:blipFill>
                          <a:blip r:embed="rId76"/>
                          <a:stretch>
                            <a:fillRect/>
                          </a:stretch>
                        </pic:blipFill>
                        <pic:spPr>
                          <a:xfrm>
                            <a:off x="0" y="0"/>
                            <a:ext cx="662305" cy="566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二更/售卖间</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挂墙洗手水池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优质不锈钢板制作；台面及水斗δ=1.2mm，实厚δ≥1.08mm；水斗圆角模压成型，配优质不锈钢提笼式落水器、拦渣篮和三角板支架，水龙头另计。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规格：450*450*450mm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164465</wp:posOffset>
                  </wp:positionV>
                  <wp:extent cx="683895" cy="658495"/>
                  <wp:effectExtent l="0" t="0" r="1905" b="8255"/>
                  <wp:wrapNone/>
                  <wp:docPr id="124" name="Picture_479_SpCnt_1"/>
                  <wp:cNvGraphicFramePr/>
                  <a:graphic xmlns:a="http://schemas.openxmlformats.org/drawingml/2006/main">
                    <a:graphicData uri="http://schemas.openxmlformats.org/drawingml/2006/picture">
                      <pic:pic xmlns:pic="http://schemas.openxmlformats.org/drawingml/2006/picture">
                        <pic:nvPicPr>
                          <pic:cNvPr id="124" name="Picture_479_SpCnt_1"/>
                          <pic:cNvPicPr/>
                        </pic:nvPicPr>
                        <pic:blipFill>
                          <a:blip r:embed="rId77"/>
                          <a:stretch>
                            <a:fillRect/>
                          </a:stretch>
                        </pic:blipFill>
                        <pic:spPr>
                          <a:xfrm>
                            <a:off x="0" y="0"/>
                            <a:ext cx="683895" cy="6584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感应龙头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精铜主体RVD电镀处理，蜂窝起泡器，台式安装、以红外线感应，通过集成线路微电脑处理发送脉冲主导电磁阀工作，功率：3W/220V。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规格：H120MM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895"/>
                  <wp:effectExtent l="0" t="0" r="0" b="0"/>
                  <wp:wrapNone/>
                  <wp:docPr id="121" name="AutoShape_7168_SpCnt_1"/>
                  <wp:cNvGraphicFramePr/>
                  <a:graphic xmlns:a="http://schemas.openxmlformats.org/drawingml/2006/main">
                    <a:graphicData uri="http://schemas.openxmlformats.org/drawingml/2006/picture">
                      <pic:pic xmlns:pic="http://schemas.openxmlformats.org/drawingml/2006/picture">
                        <pic:nvPicPr>
                          <pic:cNvPr id="121" name="AutoShape_7168_SpCnt_1"/>
                          <pic:cNvPicPr/>
                        </pic:nvPicPr>
                        <pic:blipFill>
                          <a:blip r:embed="rId37"/>
                          <a:stretch>
                            <a:fillRect/>
                          </a:stretch>
                        </pic:blipFill>
                        <pic:spPr>
                          <a:xfrm>
                            <a:off x="0" y="0"/>
                            <a:ext cx="304165" cy="30289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130175</wp:posOffset>
                  </wp:positionV>
                  <wp:extent cx="871220" cy="627380"/>
                  <wp:effectExtent l="0" t="0" r="5080" b="1270"/>
                  <wp:wrapNone/>
                  <wp:docPr id="120" name="图片_31_SpCnt_5"/>
                  <wp:cNvGraphicFramePr/>
                  <a:graphic xmlns:a="http://schemas.openxmlformats.org/drawingml/2006/main">
                    <a:graphicData uri="http://schemas.openxmlformats.org/drawingml/2006/picture">
                      <pic:pic xmlns:pic="http://schemas.openxmlformats.org/drawingml/2006/picture">
                        <pic:nvPicPr>
                          <pic:cNvPr id="120" name="图片_31_SpCnt_5"/>
                          <pic:cNvPicPr/>
                        </pic:nvPicPr>
                        <pic:blipFill>
                          <a:blip r:embed="rId38"/>
                          <a:stretch>
                            <a:fillRect/>
                          </a:stretch>
                        </pic:blipFill>
                        <pic:spPr>
                          <a:xfrm>
                            <a:off x="0" y="0"/>
                            <a:ext cx="871220" cy="627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感应烘手器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配备红外自动感应系统和高级芯片控制技术；连续感应测试超过30万次；高速动力设计，干手使用5~9秒；采用防火工程塑料；可切换凉风/热风。</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功率：1.8KW/50Hz/220V；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规格：不大于210*195*235mm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158750</wp:posOffset>
                  </wp:positionV>
                  <wp:extent cx="786765" cy="791845"/>
                  <wp:effectExtent l="0" t="0" r="13335" b="8255"/>
                  <wp:wrapNone/>
                  <wp:docPr id="119" name="图片_80"/>
                  <wp:cNvGraphicFramePr/>
                  <a:graphic xmlns:a="http://schemas.openxmlformats.org/drawingml/2006/main">
                    <a:graphicData uri="http://schemas.openxmlformats.org/drawingml/2006/picture">
                      <pic:pic xmlns:pic="http://schemas.openxmlformats.org/drawingml/2006/picture">
                        <pic:nvPicPr>
                          <pic:cNvPr id="119" name="图片_80"/>
                          <pic:cNvPicPr/>
                        </pic:nvPicPr>
                        <pic:blipFill>
                          <a:blip r:embed="rId78"/>
                          <a:stretch>
                            <a:fillRect/>
                          </a:stretch>
                        </pic:blipFill>
                        <pic:spPr>
                          <a:xfrm>
                            <a:off x="0" y="0"/>
                            <a:ext cx="786765"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单向移门调理台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板制作；台面为δ=1.2mm，实厚δ≥1.08mm；侧板δ=1.0mm，实厚δ≥0.88mm；门板δ=1.0mm，实厚δ≥0.88mm；底板、层板、背板δ=1.0mm，实厚δ≥0.88mm；双边上挂式尼龙静音滑轮移门，内置一层可调层板，下衬12mm密度板减噪；配不锈钢加强筋δ=1.0mm，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配置Φ50*150*1.0mm重力不锈钢可调节子弹脚。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规格：1300*600*800mm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144145</wp:posOffset>
                  </wp:positionH>
                  <wp:positionV relativeFrom="paragraph">
                    <wp:posOffset>140970</wp:posOffset>
                  </wp:positionV>
                  <wp:extent cx="789305" cy="633095"/>
                  <wp:effectExtent l="0" t="0" r="10795" b="14605"/>
                  <wp:wrapNone/>
                  <wp:docPr id="118" name="Picture_138_SpCnt_1"/>
                  <wp:cNvGraphicFramePr/>
                  <a:graphic xmlns:a="http://schemas.openxmlformats.org/drawingml/2006/main">
                    <a:graphicData uri="http://schemas.openxmlformats.org/drawingml/2006/picture">
                      <pic:pic xmlns:pic="http://schemas.openxmlformats.org/drawingml/2006/picture">
                        <pic:nvPicPr>
                          <pic:cNvPr id="118" name="Picture_138_SpCnt_1"/>
                          <pic:cNvPicPr/>
                        </pic:nvPicPr>
                        <pic:blipFill>
                          <a:blip r:embed="rId79"/>
                          <a:stretch>
                            <a:fillRect/>
                          </a:stretch>
                        </pic:blipFill>
                        <pic:spPr>
                          <a:xfrm>
                            <a:off x="0" y="0"/>
                            <a:ext cx="789305" cy="633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单门留样冰箱（立式）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箱体外面材料是冷轧钢钣、喷漆钣制作，内胆采用优质光铝板喷涂制作，板厚δ=0.6mm；门采用双层中空钢化玻璃，自动回归门；聚胺脂一次发泡成型，R600a无氟环保制冷剂；全铜管冷凝器、蒸发器；单机单温，温度范围：0℃～+10℃；容积：300L；制冷方式：风直冷。</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规格：620*595*1845mm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73025</wp:posOffset>
                  </wp:positionV>
                  <wp:extent cx="509270" cy="1483360"/>
                  <wp:effectExtent l="0" t="0" r="5080" b="2540"/>
                  <wp:wrapNone/>
                  <wp:docPr id="117" name="图片_421"/>
                  <wp:cNvGraphicFramePr/>
                  <a:graphic xmlns:a="http://schemas.openxmlformats.org/drawingml/2006/main">
                    <a:graphicData uri="http://schemas.openxmlformats.org/drawingml/2006/picture">
                      <pic:pic xmlns:pic="http://schemas.openxmlformats.org/drawingml/2006/picture">
                        <pic:nvPicPr>
                          <pic:cNvPr id="117" name="图片_421"/>
                          <pic:cNvPicPr/>
                        </pic:nvPicPr>
                        <pic:blipFill>
                          <a:blip r:embed="rId80"/>
                          <a:stretch>
                            <a:fillRect/>
                          </a:stretch>
                        </pic:blipFill>
                        <pic:spPr>
                          <a:xfrm>
                            <a:off x="0" y="0"/>
                            <a:ext cx="509270" cy="1483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板制作；台面及水斗δ=1.2mm，实厚δ≥1.08mm；水斗圆角模压成型，配优质不锈钢提笼式落水器及烂渣篮，水龙头另计；圆通腿为φ38*1.0mm加厚不锈钢圆管，实厚δ≥0.88mm；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规格：600*700*(600+150)mm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156845</wp:posOffset>
                  </wp:positionH>
                  <wp:positionV relativeFrom="paragraph">
                    <wp:posOffset>266065</wp:posOffset>
                  </wp:positionV>
                  <wp:extent cx="734060" cy="657225"/>
                  <wp:effectExtent l="0" t="0" r="8890" b="9525"/>
                  <wp:wrapNone/>
                  <wp:docPr id="116" name="Picture_524_SpCnt_1"/>
                  <wp:cNvGraphicFramePr/>
                  <a:graphic xmlns:a="http://schemas.openxmlformats.org/drawingml/2006/main">
                    <a:graphicData uri="http://schemas.openxmlformats.org/drawingml/2006/picture">
                      <pic:pic xmlns:pic="http://schemas.openxmlformats.org/drawingml/2006/picture">
                        <pic:nvPicPr>
                          <pic:cNvPr id="116" name="Picture_524_SpCnt_1"/>
                          <pic:cNvPicPr/>
                        </pic:nvPicPr>
                        <pic:blipFill>
                          <a:blip r:embed="rId66"/>
                          <a:stretch>
                            <a:fillRect/>
                          </a:stretch>
                        </pic:blipFill>
                        <pic:spPr>
                          <a:xfrm>
                            <a:off x="0" y="0"/>
                            <a:ext cx="734060" cy="657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五斗保温售菜台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板制造，台面板δ=1.2mm，实厚δ≥1.08mm；围板δ=1.0mm，实厚δ≥0.88mm；圆通脚为Φ38*1.0mm加厚不锈钢圆管，实厚δ≥0.88mm；配有重力可调子弹脚；5只机压不锈钢份数盘，份数盘规格1/1*150，实厚δ≥0.71mm；设备特定中制系列安全保护系统及操作保护功能，预开放为一体智能专用数码显示微电脑控制系统,面板控制规格：160*80mm；标准时间数字显示，工作温度可调节设置；恒温工作时间可自动关闭设置；当前工作时间数字显示，当前温度数字显示；12V进水电磁阀，自动加水和缺水保护；预约式工作时段可调节设置；功率：3KW/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规格：1800×700×800mm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119380</wp:posOffset>
                  </wp:positionH>
                  <wp:positionV relativeFrom="paragraph">
                    <wp:posOffset>503555</wp:posOffset>
                  </wp:positionV>
                  <wp:extent cx="815340" cy="546735"/>
                  <wp:effectExtent l="0" t="0" r="3810" b="5715"/>
                  <wp:wrapNone/>
                  <wp:docPr id="115" name="Picture_497"/>
                  <wp:cNvGraphicFramePr/>
                  <a:graphic xmlns:a="http://schemas.openxmlformats.org/drawingml/2006/main">
                    <a:graphicData uri="http://schemas.openxmlformats.org/drawingml/2006/picture">
                      <pic:pic xmlns:pic="http://schemas.openxmlformats.org/drawingml/2006/picture">
                        <pic:nvPicPr>
                          <pic:cNvPr id="115" name="Picture_497"/>
                          <pic:cNvPicPr/>
                        </pic:nvPicPr>
                        <pic:blipFill>
                          <a:blip r:embed="rId81"/>
                          <a:stretch>
                            <a:fillRect/>
                          </a:stretch>
                        </pic:blipFill>
                        <pic:spPr>
                          <a:xfrm>
                            <a:off x="0" y="0"/>
                            <a:ext cx="815340" cy="546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蒸菜台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板制造，台面板δ=1.2mm，实厚δ≥1.08mm；围板δ=1.0mm，实厚δ≥0.88mm；圆通脚为Φ38*1.0mm加厚不锈钢圆管，实厚δ≥0.88mm；配有重力可调子弹脚；5只机压不锈钢份数盘，份数盘规格1/1*150，实厚δ≥0.71mm；设备特定中制系列安全保护系统及操作保护功能，预开放为一体智能专用数码显示微电脑控制系统；标准时间数字显示，工作温度可调节设置；恒温工作时间可自动关闭设置；当前工作时间数字显示，当前温度数字显示；12V进水电磁阀，自动加水和缺水保护；预约式工作时段可调节设置；功率：3KW/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规格：1800×700×800mm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360045</wp:posOffset>
                  </wp:positionV>
                  <wp:extent cx="814705" cy="955675"/>
                  <wp:effectExtent l="0" t="0" r="4445" b="15875"/>
                  <wp:wrapNone/>
                  <wp:docPr id="114" name="图片_7"/>
                  <wp:cNvGraphicFramePr/>
                  <a:graphic xmlns:a="http://schemas.openxmlformats.org/drawingml/2006/main">
                    <a:graphicData uri="http://schemas.openxmlformats.org/drawingml/2006/picture">
                      <pic:pic xmlns:pic="http://schemas.openxmlformats.org/drawingml/2006/picture">
                        <pic:nvPicPr>
                          <pic:cNvPr id="114" name="图片_7"/>
                          <pic:cNvPicPr/>
                        </pic:nvPicPr>
                        <pic:blipFill>
                          <a:blip r:embed="rId82"/>
                          <a:stretch>
                            <a:fillRect/>
                          </a:stretch>
                        </pic:blipFill>
                        <pic:spPr>
                          <a:xfrm>
                            <a:off x="0" y="0"/>
                            <a:ext cx="814705" cy="955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板制作；台面δ=1.2mm，实厚δ≥1.08mm，层板δ=1.0mm，实厚δ≥0.88mm；圆通脚采用φ38*1.0mm不锈钢加厚圆管制作，实厚δ≥0.88mm；下衬12mm密度板减噪，配不锈钢加强筋、板δ=1.0mm，实厚δ≥0.88mm；层板型，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规格：850*700*800mm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360680</wp:posOffset>
                  </wp:positionV>
                  <wp:extent cx="785495" cy="369570"/>
                  <wp:effectExtent l="0" t="0" r="14605" b="11430"/>
                  <wp:wrapNone/>
                  <wp:docPr id="113" name="Picture_116_SpCnt_2"/>
                  <wp:cNvGraphicFramePr/>
                  <a:graphic xmlns:a="http://schemas.openxmlformats.org/drawingml/2006/main">
                    <a:graphicData uri="http://schemas.openxmlformats.org/drawingml/2006/picture">
                      <pic:pic xmlns:pic="http://schemas.openxmlformats.org/drawingml/2006/picture">
                        <pic:nvPicPr>
                          <pic:cNvPr id="113" name="Picture_116_SpCnt_2"/>
                          <pic:cNvPicPr/>
                        </pic:nvPicPr>
                        <pic:blipFill>
                          <a:blip r:embed="rId83"/>
                          <a:stretch>
                            <a:fillRect/>
                          </a:stretch>
                        </pic:blipFill>
                        <pic:spPr>
                          <a:xfrm>
                            <a:off x="0" y="0"/>
                            <a:ext cx="785495" cy="36957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181610</wp:posOffset>
                  </wp:positionH>
                  <wp:positionV relativeFrom="paragraph">
                    <wp:posOffset>1036955</wp:posOffset>
                  </wp:positionV>
                  <wp:extent cx="832485" cy="0"/>
                  <wp:effectExtent l="0" t="0" r="0" b="0"/>
                  <wp:wrapNone/>
                  <wp:docPr id="112" name="Picture_116_SpCnt_3"/>
                  <wp:cNvGraphicFramePr/>
                  <a:graphic xmlns:a="http://schemas.openxmlformats.org/drawingml/2006/main">
                    <a:graphicData uri="http://schemas.openxmlformats.org/drawingml/2006/picture">
                      <pic:pic xmlns:pic="http://schemas.openxmlformats.org/drawingml/2006/picture">
                        <pic:nvPicPr>
                          <pic:cNvPr id="112" name="Picture_116_SpCnt_3"/>
                          <pic:cNvPicPr/>
                        </pic:nvPicPr>
                        <pic:blipFill>
                          <a:blip r:embed="rId84"/>
                          <a:stretch>
                            <a:fillRect/>
                          </a:stretch>
                        </pic:blipFill>
                        <pic:spPr>
                          <a:xfrm>
                            <a:off x="0" y="0"/>
                            <a:ext cx="832485"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板制作；台面δ=1.2mm，实厚δ≥1.08mm，层板δ=1.0mm，实厚δ≥0.88mm；圆通脚采用φ38*1.0mm不锈钢加厚圆管制作，实厚δ≥0.88mm；下衬12mm密度板减噪，配不锈钢加强筋、板δ=1.0mm，实厚δ≥0.88mm；层板型，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规格：1100*700*800mm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371475</wp:posOffset>
                  </wp:positionV>
                  <wp:extent cx="785495" cy="369570"/>
                  <wp:effectExtent l="0" t="0" r="14605" b="11430"/>
                  <wp:wrapNone/>
                  <wp:docPr id="111" name="Picture_116_SpCnt_4"/>
                  <wp:cNvGraphicFramePr/>
                  <a:graphic xmlns:a="http://schemas.openxmlformats.org/drawingml/2006/main">
                    <a:graphicData uri="http://schemas.openxmlformats.org/drawingml/2006/picture">
                      <pic:pic xmlns:pic="http://schemas.openxmlformats.org/drawingml/2006/picture">
                        <pic:nvPicPr>
                          <pic:cNvPr id="111" name="Picture_116_SpCnt_4"/>
                          <pic:cNvPicPr/>
                        </pic:nvPicPr>
                        <pic:blipFill>
                          <a:blip r:embed="rId83"/>
                          <a:stretch>
                            <a:fillRect/>
                          </a:stretch>
                        </pic:blipFill>
                        <pic:spPr>
                          <a:xfrm>
                            <a:off x="0" y="0"/>
                            <a:ext cx="785495" cy="3695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双温水龙头                                          外壳不锈钢材质，铜阀铜芯，双脚设计，两孔之间距离为：135mm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163195</wp:posOffset>
                  </wp:positionH>
                  <wp:positionV relativeFrom="paragraph">
                    <wp:posOffset>189230</wp:posOffset>
                  </wp:positionV>
                  <wp:extent cx="694690" cy="612140"/>
                  <wp:effectExtent l="0" t="0" r="10160" b="16510"/>
                  <wp:wrapNone/>
                  <wp:docPr id="110" name="图片_172_SpCnt_3"/>
                  <wp:cNvGraphicFramePr/>
                  <a:graphic xmlns:a="http://schemas.openxmlformats.org/drawingml/2006/main">
                    <a:graphicData uri="http://schemas.openxmlformats.org/drawingml/2006/picture">
                      <pic:pic xmlns:pic="http://schemas.openxmlformats.org/drawingml/2006/picture">
                        <pic:nvPicPr>
                          <pic:cNvPr id="110" name="图片_172_SpCnt_3"/>
                          <pic:cNvPicPr/>
                        </pic:nvPicPr>
                        <pic:blipFill>
                          <a:blip r:embed="rId85"/>
                          <a:stretch>
                            <a:fillRect/>
                          </a:stretch>
                        </pic:blipFill>
                        <pic:spPr>
                          <a:xfrm>
                            <a:off x="0" y="0"/>
                            <a:ext cx="694690" cy="612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洗消间/消毒间</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电热开水器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高级不锈钢制造，涉水容器用食用级304不锈钢制造；采用发泡保温结构，使本机保温节能率达30%以上；智能化管理；保温温度高，可精确控制在±1℃ 度范围，供水温度高；功率：12KW/380V。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规格：120L/h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220345</wp:posOffset>
                  </wp:positionV>
                  <wp:extent cx="629285" cy="715645"/>
                  <wp:effectExtent l="0" t="0" r="18415" b="8255"/>
                  <wp:wrapNone/>
                  <wp:docPr id="109" name="图片_100_SpCnt_1"/>
                  <wp:cNvGraphicFramePr/>
                  <a:graphic xmlns:a="http://schemas.openxmlformats.org/drawingml/2006/main">
                    <a:graphicData uri="http://schemas.openxmlformats.org/drawingml/2006/picture">
                      <pic:pic xmlns:pic="http://schemas.openxmlformats.org/drawingml/2006/picture">
                        <pic:nvPicPr>
                          <pic:cNvPr id="109" name="图片_100_SpCnt_1"/>
                          <pic:cNvPicPr/>
                        </pic:nvPicPr>
                        <pic:blipFill>
                          <a:blip r:embed="rId86"/>
                          <a:stretch>
                            <a:fillRect/>
                          </a:stretch>
                        </pic:blipFill>
                        <pic:spPr>
                          <a:xfrm>
                            <a:off x="0" y="0"/>
                            <a:ext cx="629285" cy="715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单孔收残台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优质不锈钢制作；台面板δ=1.2mm，实厚δ≥1.08mm，下横通采用φ25*1.0mm圆管，实厚δ≥1.08mm；圆通脚采用φ38*1.0mm不锈钢加厚圆管制作，实厚δ≥0.88mm；φ250残物回收孔，配不锈钢加强筋，δ=1.0mm，实厚δ≥0.88mm；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配置重力不锈钢可调节子弹脚，车、桶、台配套；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规格：700*700*（800+150）mm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391795</wp:posOffset>
                  </wp:positionV>
                  <wp:extent cx="708660" cy="608330"/>
                  <wp:effectExtent l="0" t="0" r="15240" b="1270"/>
                  <wp:wrapNone/>
                  <wp:docPr id="108" name="Picture_511"/>
                  <wp:cNvGraphicFramePr/>
                  <a:graphic xmlns:a="http://schemas.openxmlformats.org/drawingml/2006/main">
                    <a:graphicData uri="http://schemas.openxmlformats.org/drawingml/2006/picture">
                      <pic:pic xmlns:pic="http://schemas.openxmlformats.org/drawingml/2006/picture">
                        <pic:nvPicPr>
                          <pic:cNvPr id="108" name="Picture_511"/>
                          <pic:cNvPicPr/>
                        </pic:nvPicPr>
                        <pic:blipFill>
                          <a:blip r:embed="rId87"/>
                          <a:stretch>
                            <a:fillRect/>
                          </a:stretch>
                        </pic:blipFill>
                        <pic:spPr>
                          <a:xfrm>
                            <a:off x="0" y="0"/>
                            <a:ext cx="708660" cy="608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优质不锈钢板制作；台面及水斗δ=1.2mm，实厚δ≥1.08mm，水斗圆角模压成型，配优质不锈钢提笼式落水器及烂渣篮，水龙头另计；圆通腿为φ38*1.0mm加厚不锈钢圆管，实厚δ≥0.88mm；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规格：1500*700*(800+150)mm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90805</wp:posOffset>
                  </wp:positionH>
                  <wp:positionV relativeFrom="paragraph">
                    <wp:posOffset>341630</wp:posOffset>
                  </wp:positionV>
                  <wp:extent cx="900430" cy="492125"/>
                  <wp:effectExtent l="0" t="0" r="13970" b="3175"/>
                  <wp:wrapNone/>
                  <wp:docPr id="107" name="图片_77_SpCnt_1"/>
                  <wp:cNvGraphicFramePr/>
                  <a:graphic xmlns:a="http://schemas.openxmlformats.org/drawingml/2006/main">
                    <a:graphicData uri="http://schemas.openxmlformats.org/drawingml/2006/picture">
                      <pic:pic xmlns:pic="http://schemas.openxmlformats.org/drawingml/2006/picture">
                        <pic:nvPicPr>
                          <pic:cNvPr id="107" name="图片_77_SpCnt_1"/>
                          <pic:cNvPicPr/>
                        </pic:nvPicPr>
                        <pic:blipFill>
                          <a:blip r:embed="rId47"/>
                          <a:stretch>
                            <a:fillRect/>
                          </a:stretch>
                        </pic:blipFill>
                        <pic:spPr>
                          <a:xfrm>
                            <a:off x="0" y="0"/>
                            <a:ext cx="900430" cy="492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大单星水池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不锈钢板制作；台面及水斗δ=1.2mm，实厚δ≥1.08mm，水斗圆角模压成型，配优质不锈钢提笼式落水器及烂渣篮，水龙头另计；圆通腿为φ38*1.0mm加厚不锈钢圆管，实厚δ≥0.88mm；下橫通为φ25*1.0mm加厚不锈钢圆管，实厚δ≥0.88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规格：1200*700*(800+150)mm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281305</wp:posOffset>
                  </wp:positionV>
                  <wp:extent cx="875665" cy="562610"/>
                  <wp:effectExtent l="0" t="0" r="635" b="8890"/>
                  <wp:wrapNone/>
                  <wp:docPr id="106" name="Picture_444_SpCnt_2"/>
                  <wp:cNvGraphicFramePr/>
                  <a:graphic xmlns:a="http://schemas.openxmlformats.org/drawingml/2006/main">
                    <a:graphicData uri="http://schemas.openxmlformats.org/drawingml/2006/picture">
                      <pic:pic xmlns:pic="http://schemas.openxmlformats.org/drawingml/2006/picture">
                        <pic:nvPicPr>
                          <pic:cNvPr id="106" name="Picture_444_SpCnt_2"/>
                          <pic:cNvPicPr/>
                        </pic:nvPicPr>
                        <pic:blipFill>
                          <a:blip r:embed="rId46"/>
                          <a:stretch>
                            <a:fillRect/>
                          </a:stretch>
                        </pic:blipFill>
                        <pic:spPr>
                          <a:xfrm>
                            <a:off x="0" y="0"/>
                            <a:ext cx="875665" cy="562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带传式洗碗机（电热型带烘干）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洗涤缸数≥2个，洗涤程序≥3个，烘干程序≥2个；机器传送带速度无极变速可调，最大速度≥3.5米/分钟;洗涤能力3000-4000蝶/小时（6寸）；由入口区、预洗区、主洗区、预漂洗区、清水漂洗区、烘干1区、烘干2区、出口区组成8个部分组成；机器采用模块化设计；入口区长度≥900mm，预洗区长度≥800mm，主洗区长度≥800mm，高温漂洗区（包括：预漂洗、清水漂洗）长度≥600mm，烘干1区长度≥800mm，烘干2区长度≥800mm，出口区长度≥1100mm，洗碗机总长度≥4200mm；机器最大清洗高度≥420mm，机器入口宽度≥605mm，传送网带宽度≥510mm，机器最大宽度≥1015mm；主洗区由5根上洗涤臂和4根下洗涤臂组成，每根喷淋管为不锈钢圆管，管径为38mm±0.5mm,使用55—60℃的循环水在高压下清洗污渍；高温漂洗区由上下各2根漂洗臂组成，使用82—95℃的高温清水进行消毒；洗涤臂采用内凹8字形喷嘴；总功率35KW；配置洗涤剂节省系统，将60%以上的漂洗水直接引到除渣冲洗缸，避免大量漂洗水溢到主洗水缸导致主洗水的清洁剂浓度降低。清洁剂节省最高达到70%。除渣冲洗缸能有效去除餐具大部分食物残渣，此区域滤网能在机器运行中取出；在机器前端设有启动暂停开关；入口区配置抽屉式接渣过滤装置，并且抽屉滤网在机器运行过程中能取出清洁；预漂洗区配置旋转分离器，在机器运行中去除水缸中食物残渣；机器漂洗区设有反虹吸装置；出口区末端配置限位开关；出端传送电机设有过载保护装置。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1415415</wp:posOffset>
                  </wp:positionV>
                  <wp:extent cx="750570" cy="535305"/>
                  <wp:effectExtent l="0" t="0" r="11430" b="17145"/>
                  <wp:wrapNone/>
                  <wp:docPr id="105" name="Picture_5"/>
                  <wp:cNvGraphicFramePr/>
                  <a:graphic xmlns:a="http://schemas.openxmlformats.org/drawingml/2006/main">
                    <a:graphicData uri="http://schemas.openxmlformats.org/drawingml/2006/picture">
                      <pic:pic xmlns:pic="http://schemas.openxmlformats.org/drawingml/2006/picture">
                        <pic:nvPicPr>
                          <pic:cNvPr id="105" name="Picture_5"/>
                          <pic:cNvPicPr/>
                        </pic:nvPicPr>
                        <pic:blipFill>
                          <a:blip r:embed="rId88"/>
                          <a:stretch>
                            <a:fillRect/>
                          </a:stretch>
                        </pic:blipFill>
                        <pic:spPr>
                          <a:xfrm>
                            <a:off x="0" y="0"/>
                            <a:ext cx="750570" cy="535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链片输送带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链板宽度：304mm,传送餐具长度：≤450mm,传送餐具宽度：≤350mm,设备高度: 850mm,设备宽度：600mm；平板式链排结构；系统末端配置光电感应限位开关；配置自清洁系统，持续冲洗传送板正反面；独立的清洗水箱，配有过滤网，对冲洗下的食物残渣进行集中收集；配置启动停止按钮，三档速度调节按钮和急停开关；电源：220V/50Hz/1PH；传输速度：5-20m/min；功率：1KW。                         规格：L*600*850mm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454660</wp:posOffset>
                  </wp:positionV>
                  <wp:extent cx="904875" cy="601980"/>
                  <wp:effectExtent l="0" t="0" r="9525" b="7620"/>
                  <wp:wrapNone/>
                  <wp:docPr id="104" name="Picture_38374"/>
                  <wp:cNvGraphicFramePr/>
                  <a:graphic xmlns:a="http://schemas.openxmlformats.org/drawingml/2006/main">
                    <a:graphicData uri="http://schemas.openxmlformats.org/drawingml/2006/picture">
                      <pic:pic xmlns:pic="http://schemas.openxmlformats.org/drawingml/2006/picture">
                        <pic:nvPicPr>
                          <pic:cNvPr id="104" name="Picture_38374"/>
                          <pic:cNvPicPr/>
                        </pic:nvPicPr>
                        <pic:blipFill>
                          <a:blip r:embed="rId89"/>
                          <a:stretch>
                            <a:fillRect/>
                          </a:stretch>
                        </pic:blipFill>
                        <pic:spPr>
                          <a:xfrm>
                            <a:off x="0" y="0"/>
                            <a:ext cx="904875" cy="601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小件投掷柜                                                                                    采用304不锈钢板材质，台面直段厚δ＝1.5mm，其它部分材料厚度为1.0mm。投掷口为圆形附锥形导向边，可与链板式餐具传送机，圆带式餐盘传送机等产品配套使用；内置塑料垃圾桶用户可自理。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规格：L*250*950（mm)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184785</wp:posOffset>
                  </wp:positionV>
                  <wp:extent cx="850265" cy="537210"/>
                  <wp:effectExtent l="0" t="0" r="6985" b="15240"/>
                  <wp:wrapNone/>
                  <wp:docPr id="103" name="图片_2"/>
                  <wp:cNvGraphicFramePr/>
                  <a:graphic xmlns:a="http://schemas.openxmlformats.org/drawingml/2006/main">
                    <a:graphicData uri="http://schemas.openxmlformats.org/drawingml/2006/picture">
                      <pic:pic xmlns:pic="http://schemas.openxmlformats.org/drawingml/2006/picture">
                        <pic:nvPicPr>
                          <pic:cNvPr id="103" name="图片_2"/>
                          <pic:cNvPicPr/>
                        </pic:nvPicPr>
                        <pic:blipFill>
                          <a:blip r:embed="rId90"/>
                          <a:stretch>
                            <a:fillRect/>
                          </a:stretch>
                        </pic:blipFill>
                        <pic:spPr>
                          <a:xfrm>
                            <a:off x="0" y="0"/>
                            <a:ext cx="850265" cy="537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智能双门热风循环消毒柜                                                                                                                 选用SUS304-2B优质不锈钢板制作；内层板δ=1.0mm，实厚δ≥0.88mm；外层板δ=0.8mm，实厚δ≥0.68mm；内分四层，热风循环消毒；设备特定中制系列安全保护系统及操作保护功能，预开放为一体智能专用数码显示微电脑控制系统；标准时间数字显示，工作温度可调节设置；恒温工作时间可自动关闭设置；当前工作时间数字显示，当前温度数字显示；预约式工作时段可调节设置；面板控制规格：160*80mm；固定螺丝不锈钢制；功率：4KW/220V；</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规格：1100*600*1800mm                              </w:t>
            </w:r>
            <w:r>
              <w:rPr>
                <w:rStyle w:val="46"/>
                <w:rFonts w:hint="eastAsia"/>
                <w:color w:val="000000" w:themeColor="text1"/>
                <w:lang w:val="en-US" w:eastAsia="zh-CN" w:bidi="ar"/>
                <w14:textFill>
                  <w14:solidFill>
                    <w14:schemeClr w14:val="tx1"/>
                  </w14:solidFill>
                </w14:textFill>
              </w:rPr>
              <w:t xml:space="preserve">  </w:t>
            </w:r>
            <w:r>
              <w:rPr>
                <w:rStyle w:val="46"/>
                <w:color w:val="000000" w:themeColor="text1"/>
                <w:lang w:val="en-US" w:eastAsia="zh-CN" w:bidi="ar"/>
                <w14:textFill>
                  <w14:solidFill>
                    <w14:schemeClr w14:val="tx1"/>
                  </w14:solidFill>
                </w14:textFill>
              </w:rPr>
              <w:t xml:space="preserve">★提供投标人自身具有的符合GB/3280-2015《不锈钢冷轧钢板和钢带》、 GB/T10125-2012《人造气氛腐蚀试验 盐雾试验》经不小于480小时乙酸盐雾试验后，表面耐腐蚀等级不小于10级、GB/4806.9-2016《食品安全国家标准 食品接触用金属材料及制品》、GB/11170-2008《不锈钢多元素含量的测定 火花放电原子发射光谱法（常规法）》、 GB/4706.1-2005《家用和类似用途电器的安全 第1部分：通用要求》 、GB14934--2016《食品安全国家标准 消毒餐（饮）具》的标准要求的第三方检测机构出具的带有CMA、CNAS标志检测报告检测报告。                                                                                                                                                                                                                                                                                                                ★提供投标人自身具有的符合GB17988-2008（食具消毒柜安全和卫生要求）标准检验，符合标准并达到二星级，对大肠杆菌的杀灭对数值≥6.4，对脊髓灰质炎病毒I型疫苗株的杀灭对数值≥6.1对金黄色葡萄球菌的杀灭对数值≥6.3要求的第三方检测机构出具的带有CMA、CNAS标志检测报告检测报告。                                                                                                                          </w:t>
            </w:r>
            <w:r>
              <w:rPr>
                <w:rStyle w:val="46"/>
                <w:color w:val="000000" w:themeColor="text1"/>
                <w:lang w:val="en-US" w:eastAsia="zh-CN" w:bidi="ar"/>
                <w14:textFill>
                  <w14:solidFill>
                    <w14:schemeClr w14:val="tx1"/>
                  </w14:solidFill>
                </w14:textFill>
              </w:rPr>
              <w:br w:type="textWrapping"/>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173355</wp:posOffset>
                  </wp:positionH>
                  <wp:positionV relativeFrom="paragraph">
                    <wp:posOffset>1217930</wp:posOffset>
                  </wp:positionV>
                  <wp:extent cx="786765" cy="954405"/>
                  <wp:effectExtent l="0" t="0" r="13335" b="17145"/>
                  <wp:wrapNone/>
                  <wp:docPr id="102" name="Picture_191"/>
                  <wp:cNvGraphicFramePr/>
                  <a:graphic xmlns:a="http://schemas.openxmlformats.org/drawingml/2006/main">
                    <a:graphicData uri="http://schemas.openxmlformats.org/drawingml/2006/picture">
                      <pic:pic xmlns:pic="http://schemas.openxmlformats.org/drawingml/2006/picture">
                        <pic:nvPicPr>
                          <pic:cNvPr id="102" name="Picture_191"/>
                          <pic:cNvPicPr/>
                        </pic:nvPicPr>
                        <pic:blipFill>
                          <a:blip r:embed="rId91"/>
                          <a:stretch>
                            <a:fillRect/>
                          </a:stretch>
                        </pic:blipFill>
                        <pic:spPr>
                          <a:xfrm>
                            <a:off x="0" y="0"/>
                            <a:ext cx="786765" cy="954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高身储物柜（四门保洁柜）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SUS304-2B不锈钢板制作；台面为δ=1.2mm，实厚δ≥1.08mm；侧板δ=1.0mm，实厚δ≥0.88mm；门板δ=1.0mm，实厚δ≥0.88mm；底板、层板、背板δ=1.0mm，实厚δ≥0.88mm；单边上挂式尼龙静音滑轮移门，内置两层可调层板；配不锈钢加强筋δ=1.0mm，实厚δ≥0.88mm；配置Φ50*150*1.0mm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规格：1200*500*1800mm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233680</wp:posOffset>
                  </wp:positionV>
                  <wp:extent cx="742315" cy="737870"/>
                  <wp:effectExtent l="0" t="0" r="635" b="5080"/>
                  <wp:wrapNone/>
                  <wp:docPr id="101" name="Picture_137"/>
                  <wp:cNvGraphicFramePr/>
                  <a:graphic xmlns:a="http://schemas.openxmlformats.org/drawingml/2006/main">
                    <a:graphicData uri="http://schemas.openxmlformats.org/drawingml/2006/picture">
                      <pic:pic xmlns:pic="http://schemas.openxmlformats.org/drawingml/2006/picture">
                        <pic:nvPicPr>
                          <pic:cNvPr id="101" name="Picture_137"/>
                          <pic:cNvPicPr/>
                        </pic:nvPicPr>
                        <pic:blipFill>
                          <a:blip r:embed="rId92"/>
                          <a:stretch>
                            <a:fillRect/>
                          </a:stretch>
                        </pic:blipFill>
                        <pic:spPr>
                          <a:xfrm>
                            <a:off x="0" y="0"/>
                            <a:ext cx="742315" cy="737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双温水龙头                                          外壳不锈钢材质，铜阀铜芯，双脚设计，两孔之间距离为：135mm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160655</wp:posOffset>
                  </wp:positionV>
                  <wp:extent cx="563245" cy="497205"/>
                  <wp:effectExtent l="0" t="0" r="8255" b="17145"/>
                  <wp:wrapNone/>
                  <wp:docPr id="100" name="图片_172_SpCnt_4"/>
                  <wp:cNvGraphicFramePr/>
                  <a:graphic xmlns:a="http://schemas.openxmlformats.org/drawingml/2006/main">
                    <a:graphicData uri="http://schemas.openxmlformats.org/drawingml/2006/picture">
                      <pic:pic xmlns:pic="http://schemas.openxmlformats.org/drawingml/2006/picture">
                        <pic:nvPicPr>
                          <pic:cNvPr id="100" name="图片_172_SpCnt_4"/>
                          <pic:cNvPicPr/>
                        </pic:nvPicPr>
                        <pic:blipFill>
                          <a:blip r:embed="rId93"/>
                          <a:stretch>
                            <a:fillRect/>
                          </a:stretch>
                        </pic:blipFill>
                        <pic:spPr>
                          <a:xfrm>
                            <a:off x="0" y="0"/>
                            <a:ext cx="563245" cy="497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餐厅</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895"/>
                  <wp:effectExtent l="0" t="0" r="0" b="0"/>
                  <wp:wrapNone/>
                  <wp:docPr id="99" name="AutoShape_7168_SpCnt_2"/>
                  <wp:cNvGraphicFramePr/>
                  <a:graphic xmlns:a="http://schemas.openxmlformats.org/drawingml/2006/main">
                    <a:graphicData uri="http://schemas.openxmlformats.org/drawingml/2006/picture">
                      <pic:pic xmlns:pic="http://schemas.openxmlformats.org/drawingml/2006/picture">
                        <pic:nvPicPr>
                          <pic:cNvPr id="99" name="AutoShape_7168_SpCnt_2"/>
                          <pic:cNvPicPr/>
                        </pic:nvPicPr>
                        <pic:blipFill>
                          <a:blip r:embed="rId37"/>
                          <a:stretch>
                            <a:fillRect/>
                          </a:stretch>
                        </pic:blipFill>
                        <pic:spPr>
                          <a:xfrm>
                            <a:off x="0" y="0"/>
                            <a:ext cx="304165" cy="30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-2B优质不锈钢板制作；台面δ=1.2mm，实厚δ≥1.08mm，层板δ=1.0mm，实厚δ≥0.88mm；圆通脚采用φ38*1.0mm不锈钢加厚圆管制作，实厚δ≥0.88mm；下衬12mm密度板减噪，配不锈钢加强筋、板δ=1.0mm，实厚δ≥0.88mm；层板型，配置重力不锈钢可调节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规格：1100*800*800mm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133985</wp:posOffset>
                  </wp:positionH>
                  <wp:positionV relativeFrom="paragraph">
                    <wp:posOffset>446405</wp:posOffset>
                  </wp:positionV>
                  <wp:extent cx="832485" cy="391795"/>
                  <wp:effectExtent l="0" t="0" r="5715" b="8255"/>
                  <wp:wrapNone/>
                  <wp:docPr id="98" name="Picture_116_SpCnt_5"/>
                  <wp:cNvGraphicFramePr/>
                  <a:graphic xmlns:a="http://schemas.openxmlformats.org/drawingml/2006/main">
                    <a:graphicData uri="http://schemas.openxmlformats.org/drawingml/2006/picture">
                      <pic:pic xmlns:pic="http://schemas.openxmlformats.org/drawingml/2006/picture">
                        <pic:nvPicPr>
                          <pic:cNvPr id="98" name="Picture_116_SpCnt_5"/>
                          <pic:cNvPicPr/>
                        </pic:nvPicPr>
                        <pic:blipFill>
                          <a:blip r:embed="rId94"/>
                          <a:stretch>
                            <a:fillRect/>
                          </a:stretch>
                        </pic:blipFill>
                        <pic:spPr>
                          <a:xfrm>
                            <a:off x="0" y="0"/>
                            <a:ext cx="832485" cy="391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加饭加汤柜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采用SUS304-2B不锈钢板制造，台面δ=1.0mm，实厚δ≥0.88mm；脚Φ40*0.8mm(配有可调子弹脚)；脚杯Φ50*100*0.8mm；横通Φ25*0.8mm，配2只不锈钢桶；恒温自动控制 220V/3KW；含不锈钢挂墙擦手纸盒和纸各2套；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规格：1800*800*800mm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198755</wp:posOffset>
                  </wp:positionH>
                  <wp:positionV relativeFrom="paragraph">
                    <wp:posOffset>171450</wp:posOffset>
                  </wp:positionV>
                  <wp:extent cx="638175" cy="516255"/>
                  <wp:effectExtent l="0" t="0" r="9525" b="17145"/>
                  <wp:wrapNone/>
                  <wp:docPr id="97" name="图片_1_SpCnt_1"/>
                  <wp:cNvGraphicFramePr/>
                  <a:graphic xmlns:a="http://schemas.openxmlformats.org/drawingml/2006/main">
                    <a:graphicData uri="http://schemas.openxmlformats.org/drawingml/2006/picture">
                      <pic:pic xmlns:pic="http://schemas.openxmlformats.org/drawingml/2006/picture">
                        <pic:nvPicPr>
                          <pic:cNvPr id="97" name="图片_1_SpCnt_1"/>
                          <pic:cNvPicPr/>
                        </pic:nvPicPr>
                        <pic:blipFill>
                          <a:blip r:embed="rId95"/>
                          <a:stretch>
                            <a:fillRect/>
                          </a:stretch>
                        </pic:blipFill>
                        <pic:spPr>
                          <a:xfrm>
                            <a:off x="0" y="0"/>
                            <a:ext cx="638175" cy="516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其它</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895"/>
                  <wp:effectExtent l="0" t="0" r="0" b="0"/>
                  <wp:wrapNone/>
                  <wp:docPr id="96" name="AutoShape_7168_SpCnt_3"/>
                  <wp:cNvGraphicFramePr/>
                  <a:graphic xmlns:a="http://schemas.openxmlformats.org/drawingml/2006/main">
                    <a:graphicData uri="http://schemas.openxmlformats.org/drawingml/2006/picture">
                      <pic:pic xmlns:pic="http://schemas.openxmlformats.org/drawingml/2006/picture">
                        <pic:nvPicPr>
                          <pic:cNvPr id="96" name="AutoShape_7168_SpCnt_3"/>
                          <pic:cNvPicPr/>
                        </pic:nvPicPr>
                        <pic:blipFill>
                          <a:blip r:embed="rId37"/>
                          <a:stretch>
                            <a:fillRect/>
                          </a:stretch>
                        </pic:blipFill>
                        <pic:spPr>
                          <a:xfrm>
                            <a:off x="0" y="0"/>
                            <a:ext cx="304165" cy="30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洗地龙头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喉管自动回卷装置（棘轮系统，防锁死，棘轮保持放松）</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配软管，喉管止动器，可调节；可安装于天花板、墙壁或台柜下。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规格：10.7米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173355</wp:posOffset>
                  </wp:positionV>
                  <wp:extent cx="581660" cy="588010"/>
                  <wp:effectExtent l="0" t="0" r="0" b="0"/>
                  <wp:wrapNone/>
                  <wp:docPr id="95" name="图片_562"/>
                  <wp:cNvGraphicFramePr/>
                  <a:graphic xmlns:a="http://schemas.openxmlformats.org/drawingml/2006/main">
                    <a:graphicData uri="http://schemas.openxmlformats.org/drawingml/2006/picture">
                      <pic:pic xmlns:pic="http://schemas.openxmlformats.org/drawingml/2006/picture">
                        <pic:nvPicPr>
                          <pic:cNvPr id="95" name="图片_562"/>
                          <pic:cNvPicPr/>
                        </pic:nvPicPr>
                        <pic:blipFill>
                          <a:blip r:embed="rId96"/>
                          <a:stretch>
                            <a:fillRect/>
                          </a:stretch>
                        </pic:blipFill>
                        <pic:spPr>
                          <a:xfrm>
                            <a:off x="0" y="0"/>
                            <a:ext cx="581660" cy="588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粘捕式灭蝇灯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采用ABS阻燃材料，新型粘捕式，无声响、臭味、气体、虫尸不会散落在捕虫灯的外围；可捕杀蚊子、苍蝇、飞蛾等其它虫类，有效防蝇面积20-30㎡。                             功率：9W</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106680</wp:posOffset>
                  </wp:positionV>
                  <wp:extent cx="747395" cy="562610"/>
                  <wp:effectExtent l="0" t="0" r="14605" b="8890"/>
                  <wp:wrapNone/>
                  <wp:docPr id="94" name="图片_31_SpCnt_6"/>
                  <wp:cNvGraphicFramePr/>
                  <a:graphic xmlns:a="http://schemas.openxmlformats.org/drawingml/2006/main">
                    <a:graphicData uri="http://schemas.openxmlformats.org/drawingml/2006/picture">
                      <pic:pic xmlns:pic="http://schemas.openxmlformats.org/drawingml/2006/picture">
                        <pic:nvPicPr>
                          <pic:cNvPr id="94" name="图片_31_SpCnt_6"/>
                          <pic:cNvPicPr/>
                        </pic:nvPicPr>
                        <pic:blipFill>
                          <a:blip r:embed="rId97"/>
                          <a:stretch>
                            <a:fillRect/>
                          </a:stretch>
                        </pic:blipFill>
                        <pic:spPr>
                          <a:xfrm>
                            <a:off x="0" y="0"/>
                            <a:ext cx="747395" cy="562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紫外线消毒灯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通过紫外线杀灭包括细菌繁殖体、芽胞、分支杆菌、冠状病毒、真菌、立克次体和衣原体等；热阴极有效寿命8000小时，冷阴极在20000小时以上；优质石英玻璃管，羟基含量小于等于50ppm、紫外线透过率大于等于90%；锆铝片技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超低汞技术，汞含量小于等于5mg；功率：220V/50HZ/36W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规格：1210*50*30mm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247015</wp:posOffset>
                  </wp:positionV>
                  <wp:extent cx="851535" cy="511175"/>
                  <wp:effectExtent l="0" t="0" r="5715" b="3175"/>
                  <wp:wrapNone/>
                  <wp:docPr id="93" name="图片_140"/>
                  <wp:cNvGraphicFramePr/>
                  <a:graphic xmlns:a="http://schemas.openxmlformats.org/drawingml/2006/main">
                    <a:graphicData uri="http://schemas.openxmlformats.org/drawingml/2006/picture">
                      <pic:pic xmlns:pic="http://schemas.openxmlformats.org/drawingml/2006/picture">
                        <pic:nvPicPr>
                          <pic:cNvPr id="93" name="图片_140"/>
                          <pic:cNvPicPr/>
                        </pic:nvPicPr>
                        <pic:blipFill>
                          <a:blip r:embed="rId98"/>
                          <a:stretch>
                            <a:fillRect/>
                          </a:stretch>
                        </pic:blipFill>
                        <pic:spPr>
                          <a:xfrm>
                            <a:off x="0" y="0"/>
                            <a:ext cx="851535" cy="511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77</w:t>
            </w:r>
          </w:p>
        </w:tc>
        <w:tc>
          <w:tcPr>
            <w:tcW w:w="504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风幕机                                                                         内置可调角度导风板，铝壳铜线电机，二档风速调节，风量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2700m3/h，功率;300W/220V</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规格：L=1500mm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141605</wp:posOffset>
                  </wp:positionH>
                  <wp:positionV relativeFrom="paragraph">
                    <wp:posOffset>187960</wp:posOffset>
                  </wp:positionV>
                  <wp:extent cx="845820" cy="442595"/>
                  <wp:effectExtent l="0" t="0" r="11430" b="15240"/>
                  <wp:wrapNone/>
                  <wp:docPr id="92" name="Picture_233"/>
                  <wp:cNvGraphicFramePr/>
                  <a:graphic xmlns:a="http://schemas.openxmlformats.org/drawingml/2006/main">
                    <a:graphicData uri="http://schemas.openxmlformats.org/drawingml/2006/picture">
                      <pic:pic xmlns:pic="http://schemas.openxmlformats.org/drawingml/2006/picture">
                        <pic:nvPicPr>
                          <pic:cNvPr id="92" name="Picture_233"/>
                          <pic:cNvPicPr/>
                        </pic:nvPicPr>
                        <pic:blipFill>
                          <a:blip r:embed="rId99"/>
                          <a:stretch>
                            <a:fillRect/>
                          </a:stretch>
                        </pic:blipFill>
                        <pic:spPr>
                          <a:xfrm>
                            <a:off x="0" y="0"/>
                            <a:ext cx="845820" cy="442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排烟系统</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895"/>
                  <wp:effectExtent l="0" t="0" r="0" b="0"/>
                  <wp:wrapNone/>
                  <wp:docPr id="91" name="AutoShape_7168_SpCnt_4"/>
                  <wp:cNvGraphicFramePr/>
                  <a:graphic xmlns:a="http://schemas.openxmlformats.org/drawingml/2006/main">
                    <a:graphicData uri="http://schemas.openxmlformats.org/drawingml/2006/picture">
                      <pic:pic xmlns:pic="http://schemas.openxmlformats.org/drawingml/2006/picture">
                        <pic:nvPicPr>
                          <pic:cNvPr id="91" name="AutoShape_7168_SpCnt_4"/>
                          <pic:cNvPicPr/>
                        </pic:nvPicPr>
                        <pic:blipFill>
                          <a:blip r:embed="rId37"/>
                          <a:stretch>
                            <a:fillRect/>
                          </a:stretch>
                        </pic:blipFill>
                        <pic:spPr>
                          <a:xfrm>
                            <a:off x="0" y="0"/>
                            <a:ext cx="304165" cy="30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不锈钢排烟风管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选用SUS304不锈钢板制作，δ=1.0mm，实厚δ≥0.88mm；等距离均匀压筋处理；每节之间用镀锌法兰和镀锌螺丝连接固定。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按现场定制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182880</wp:posOffset>
                  </wp:positionV>
                  <wp:extent cx="820420" cy="483870"/>
                  <wp:effectExtent l="0" t="0" r="17780" b="11430"/>
                  <wp:wrapNone/>
                  <wp:docPr id="90" name="Picture_157"/>
                  <wp:cNvGraphicFramePr/>
                  <a:graphic xmlns:a="http://schemas.openxmlformats.org/drawingml/2006/main">
                    <a:graphicData uri="http://schemas.openxmlformats.org/drawingml/2006/picture">
                      <pic:pic xmlns:pic="http://schemas.openxmlformats.org/drawingml/2006/picture">
                        <pic:nvPicPr>
                          <pic:cNvPr id="90" name="Picture_157"/>
                          <pic:cNvPicPr/>
                        </pic:nvPicPr>
                        <pic:blipFill>
                          <a:blip r:embed="rId100"/>
                          <a:stretch>
                            <a:fillRect/>
                          </a:stretch>
                        </pic:blipFill>
                        <pic:spPr>
                          <a:xfrm>
                            <a:off x="0" y="0"/>
                            <a:ext cx="820420" cy="483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风柜</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采用优质冷轧板一次性拉伸折边成型；可拆装结构；箱体采用双吸式蜗壳吸风钢架柜式结构，多翼式风轮；100%纯铜线电动机，风压为：154-1054Pa，噪音≤75db；处理风量：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38000m3/h。</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功率：11kw/380v                                                                                                                  ★提供所投产品高压风柜，所检测项目符合 GB/T 2888-2008《风机和罗茨鼓风机噪声测量方法》标准，GB/T 1236-2017《工业通风机用标准化风道性能试验》，JB/T 8689-2014《通风机振动检测及其限值》标准、JB/T 8690-2014《通风机噪声限值》标准，JB/T 10563-2006《一般用途离心通风机技术条件》标准，GB/T 1236-2017《工业通风机用标准化风道性能试验》标准，检测报告中包含：空气动力性能试验、机械运转试验、噪声(比 A 声级)(dB)、动 平 衡 品 质 等 级 G （mm/s）、叶轮超速试验等，都符合试验标准，且第三方检测报告带有CMA和CNAS标识。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1003300</wp:posOffset>
                  </wp:positionV>
                  <wp:extent cx="808990" cy="1005205"/>
                  <wp:effectExtent l="0" t="0" r="10160" b="4445"/>
                  <wp:wrapNone/>
                  <wp:docPr id="89" name="图片_551"/>
                  <wp:cNvGraphicFramePr/>
                  <a:graphic xmlns:a="http://schemas.openxmlformats.org/drawingml/2006/main">
                    <a:graphicData uri="http://schemas.openxmlformats.org/drawingml/2006/picture">
                      <pic:pic xmlns:pic="http://schemas.openxmlformats.org/drawingml/2006/picture">
                        <pic:nvPicPr>
                          <pic:cNvPr id="89" name="图片_551"/>
                          <pic:cNvPicPr/>
                        </pic:nvPicPr>
                        <pic:blipFill>
                          <a:blip r:embed="rId101"/>
                          <a:stretch>
                            <a:fillRect/>
                          </a:stretch>
                        </pic:blipFill>
                        <pic:spPr>
                          <a:xfrm>
                            <a:off x="0" y="0"/>
                            <a:ext cx="808990" cy="1005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油烟净化器</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技术参数：采用优质碳钢板拉伸折边成型，可拆装结构；静电型；圆筒蜂巢电场，环氧高频高压变压器；放电跳停保护，电源过载保护和变压器过温保护多重功能；通过降解达到高效率废气清除的目的；恒电流输出，打火保护；电场短路保护；电源过载保护。</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净化风量：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38000m3/h</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规格：0.4-2KW/220V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★须具有温度变化检测报告，所检测已通过GB/T 2423.22-2012《环境试验 第2部分：试验方法 试验N：温度变化》，且检测报告带有CMA和CNAS标识（温度变化）；</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128270</wp:posOffset>
                  </wp:positionH>
                  <wp:positionV relativeFrom="paragraph">
                    <wp:posOffset>754380</wp:posOffset>
                  </wp:positionV>
                  <wp:extent cx="906145" cy="717550"/>
                  <wp:effectExtent l="0" t="0" r="8255" b="6350"/>
                  <wp:wrapNone/>
                  <wp:docPr id="88" name="图片_7_SpCnt_1"/>
                  <wp:cNvGraphicFramePr/>
                  <a:graphic xmlns:a="http://schemas.openxmlformats.org/drawingml/2006/main">
                    <a:graphicData uri="http://schemas.openxmlformats.org/drawingml/2006/picture">
                      <pic:pic xmlns:pic="http://schemas.openxmlformats.org/drawingml/2006/picture">
                        <pic:nvPicPr>
                          <pic:cNvPr id="88" name="图片_7_SpCnt_1"/>
                          <pic:cNvPicPr/>
                        </pic:nvPicPr>
                        <pic:blipFill>
                          <a:blip r:embed="rId102"/>
                          <a:stretch>
                            <a:fillRect/>
                          </a:stretch>
                        </pic:blipFill>
                        <pic:spPr>
                          <a:xfrm>
                            <a:off x="0" y="0"/>
                            <a:ext cx="906145" cy="717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不锈钢送新风风管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选用SUS304不锈钢板制作，δ=1.0mm，实厚δ≥0.88mm；等距离均匀压筋处理；每节之间用镀锌法兰和镀锌螺丝连接固定。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规格：400*400</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144145</wp:posOffset>
                  </wp:positionH>
                  <wp:positionV relativeFrom="paragraph">
                    <wp:posOffset>268605</wp:posOffset>
                  </wp:positionV>
                  <wp:extent cx="831215" cy="505460"/>
                  <wp:effectExtent l="0" t="0" r="6985" b="8890"/>
                  <wp:wrapNone/>
                  <wp:docPr id="87" name="Picture_157_SpCnt_1"/>
                  <wp:cNvGraphicFramePr/>
                  <a:graphic xmlns:a="http://schemas.openxmlformats.org/drawingml/2006/main">
                    <a:graphicData uri="http://schemas.openxmlformats.org/drawingml/2006/picture">
                      <pic:pic xmlns:pic="http://schemas.openxmlformats.org/drawingml/2006/picture">
                        <pic:nvPicPr>
                          <pic:cNvPr id="87" name="Picture_157_SpCnt_1"/>
                          <pic:cNvPicPr/>
                        </pic:nvPicPr>
                        <pic:blipFill>
                          <a:blip r:embed="rId103"/>
                          <a:stretch>
                            <a:fillRect/>
                          </a:stretch>
                        </pic:blipFill>
                        <pic:spPr>
                          <a:xfrm>
                            <a:off x="0" y="0"/>
                            <a:ext cx="831215" cy="505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送新风风柜</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采用优质碳钢板烤漆一次性拉伸折边成型，可拆装结构；</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风机箱体采用双吸式蜗壳吸风钢架柜式结构，多翼式风轮；</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100%纯铜线电动机，风压为：154-1054Pa；噪音≤75db；</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处理风量：18000m3/h。</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功率：4kw/380v</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172720</wp:posOffset>
                  </wp:positionH>
                  <wp:positionV relativeFrom="paragraph">
                    <wp:posOffset>98425</wp:posOffset>
                  </wp:positionV>
                  <wp:extent cx="685800" cy="781685"/>
                  <wp:effectExtent l="0" t="0" r="0" b="18415"/>
                  <wp:wrapNone/>
                  <wp:docPr id="86" name="图片_551_SpCnt_1"/>
                  <wp:cNvGraphicFramePr/>
                  <a:graphic xmlns:a="http://schemas.openxmlformats.org/drawingml/2006/main">
                    <a:graphicData uri="http://schemas.openxmlformats.org/drawingml/2006/picture">
                      <pic:pic xmlns:pic="http://schemas.openxmlformats.org/drawingml/2006/picture">
                        <pic:nvPicPr>
                          <pic:cNvPr id="86" name="图片_551_SpCnt_1"/>
                          <pic:cNvPicPr/>
                        </pic:nvPicPr>
                        <pic:blipFill>
                          <a:blip r:embed="rId104"/>
                          <a:stretch>
                            <a:fillRect/>
                          </a:stretch>
                        </pic:blipFill>
                        <pic:spPr>
                          <a:xfrm>
                            <a:off x="0" y="0"/>
                            <a:ext cx="685800" cy="781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调节阀</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热轧钢板制作；是一种记忆熔合金的温度控制、利用重力作用和弹簧机构的作用关闭的阀门形式；当温度达到熔断器在70℃时熔断，使阀门关闭；输出阀门关闭信号，通风空调系统风机停机；无级调节风量；铆接工艺，机器成型，无焊接痕迹。</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配套风管定做</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290195</wp:posOffset>
                  </wp:positionV>
                  <wp:extent cx="761365" cy="578485"/>
                  <wp:effectExtent l="0" t="0" r="635" b="12065"/>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pic:nvPicPr>
                        <pic:blipFill>
                          <a:blip r:embed="rId105"/>
                          <a:stretch>
                            <a:fillRect/>
                          </a:stretch>
                        </pic:blipFill>
                        <pic:spPr>
                          <a:xfrm>
                            <a:off x="0" y="0"/>
                            <a:ext cx="761365" cy="578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风管法兰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采用30*30*2mm不锈钢制作；焊接成型。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配套风管定做</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294005</wp:posOffset>
                  </wp:positionH>
                  <wp:positionV relativeFrom="paragraph">
                    <wp:posOffset>76835</wp:posOffset>
                  </wp:positionV>
                  <wp:extent cx="500380" cy="421005"/>
                  <wp:effectExtent l="0" t="0" r="13970" b="17145"/>
                  <wp:wrapNone/>
                  <wp:docPr id="84" name="图片_1_SpCnt_2"/>
                  <wp:cNvGraphicFramePr/>
                  <a:graphic xmlns:a="http://schemas.openxmlformats.org/drawingml/2006/main">
                    <a:graphicData uri="http://schemas.openxmlformats.org/drawingml/2006/picture">
                      <pic:pic xmlns:pic="http://schemas.openxmlformats.org/drawingml/2006/picture">
                        <pic:nvPicPr>
                          <pic:cNvPr id="84" name="图片_1_SpCnt_2"/>
                          <pic:cNvPicPr/>
                        </pic:nvPicPr>
                        <pic:blipFill>
                          <a:blip r:embed="rId106"/>
                          <a:stretch>
                            <a:fillRect/>
                          </a:stretch>
                        </pic:blipFill>
                        <pic:spPr>
                          <a:xfrm>
                            <a:off x="0" y="0"/>
                            <a:ext cx="500380" cy="421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风管支架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采用30*30*12mm镀锌角铁制作；焊接成型。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配套风管定做</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114300</wp:posOffset>
                  </wp:positionV>
                  <wp:extent cx="540385" cy="488315"/>
                  <wp:effectExtent l="0" t="0" r="12065" b="6985"/>
                  <wp:wrapNone/>
                  <wp:docPr id="39" name="Picture_533"/>
                  <wp:cNvGraphicFramePr/>
                  <a:graphic xmlns:a="http://schemas.openxmlformats.org/drawingml/2006/main">
                    <a:graphicData uri="http://schemas.openxmlformats.org/drawingml/2006/picture">
                      <pic:pic xmlns:pic="http://schemas.openxmlformats.org/drawingml/2006/picture">
                        <pic:nvPicPr>
                          <pic:cNvPr id="39" name="Picture_533"/>
                          <pic:cNvPicPr/>
                        </pic:nvPicPr>
                        <pic:blipFill>
                          <a:blip r:embed="rId107"/>
                          <a:stretch>
                            <a:fillRect/>
                          </a:stretch>
                        </pic:blipFill>
                        <pic:spPr>
                          <a:xfrm>
                            <a:off x="0" y="0"/>
                            <a:ext cx="540385" cy="488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风柜支架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采用6#槽钢和40*40*3mm镀锌角铁制作；焊接成型。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配套现场定做</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120650</wp:posOffset>
                  </wp:positionV>
                  <wp:extent cx="756285" cy="452755"/>
                  <wp:effectExtent l="0" t="0" r="5715" b="4445"/>
                  <wp:wrapNone/>
                  <wp:docPr id="38" name="Picture_3362"/>
                  <wp:cNvGraphicFramePr/>
                  <a:graphic xmlns:a="http://schemas.openxmlformats.org/drawingml/2006/main">
                    <a:graphicData uri="http://schemas.openxmlformats.org/drawingml/2006/picture">
                      <pic:pic xmlns:pic="http://schemas.openxmlformats.org/drawingml/2006/picture">
                        <pic:nvPicPr>
                          <pic:cNvPr id="38" name="Picture_3362"/>
                          <pic:cNvPicPr/>
                        </pic:nvPicPr>
                        <pic:blipFill>
                          <a:blip r:embed="rId108"/>
                          <a:stretch>
                            <a:fillRect/>
                          </a:stretch>
                        </pic:blipFill>
                        <pic:spPr>
                          <a:xfrm>
                            <a:off x="0" y="0"/>
                            <a:ext cx="756285" cy="452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油烟净化器支架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采用40*40*3mm镀锌角铁制作；焊接成型。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配套净化器现场定制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238125</wp:posOffset>
                  </wp:positionH>
                  <wp:positionV relativeFrom="paragraph">
                    <wp:posOffset>52705</wp:posOffset>
                  </wp:positionV>
                  <wp:extent cx="567055" cy="341630"/>
                  <wp:effectExtent l="0" t="0" r="4445" b="1270"/>
                  <wp:wrapNone/>
                  <wp:docPr id="37" name="Picture_3362_SpCnt_1"/>
                  <wp:cNvGraphicFramePr/>
                  <a:graphic xmlns:a="http://schemas.openxmlformats.org/drawingml/2006/main">
                    <a:graphicData uri="http://schemas.openxmlformats.org/drawingml/2006/picture">
                      <pic:pic xmlns:pic="http://schemas.openxmlformats.org/drawingml/2006/picture">
                        <pic:nvPicPr>
                          <pic:cNvPr id="37" name="Picture_3362_SpCnt_1"/>
                          <pic:cNvPicPr/>
                        </pic:nvPicPr>
                        <pic:blipFill>
                          <a:blip r:embed="rId109"/>
                          <a:stretch>
                            <a:fillRect/>
                          </a:stretch>
                        </pic:blipFill>
                        <pic:spPr>
                          <a:xfrm>
                            <a:off x="0" y="0"/>
                            <a:ext cx="567055" cy="3416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弹簧减震器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采用2.3HZ低自然频率弹簧，有效隔绝因震动产生的低频噪音，防震效率高；悬吊外框和弹簧采用多层防锈处理，并经盐雾试验测试;弹簧防滑橡胶底座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规格：100-300kg</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61595</wp:posOffset>
                  </wp:positionH>
                  <wp:positionV relativeFrom="paragraph">
                    <wp:posOffset>185420</wp:posOffset>
                  </wp:positionV>
                  <wp:extent cx="942340" cy="357505"/>
                  <wp:effectExtent l="0" t="0" r="10160" b="4445"/>
                  <wp:wrapNone/>
                  <wp:docPr id="36" name="图片_28"/>
                  <wp:cNvGraphicFramePr/>
                  <a:graphic xmlns:a="http://schemas.openxmlformats.org/drawingml/2006/main">
                    <a:graphicData uri="http://schemas.openxmlformats.org/drawingml/2006/picture">
                      <pic:pic xmlns:pic="http://schemas.openxmlformats.org/drawingml/2006/picture">
                        <pic:nvPicPr>
                          <pic:cNvPr id="36" name="图片_28"/>
                          <pic:cNvPicPr/>
                        </pic:nvPicPr>
                        <pic:blipFill>
                          <a:blip r:embed="rId110"/>
                          <a:stretch>
                            <a:fillRect/>
                          </a:stretch>
                        </pic:blipFill>
                        <pic:spPr>
                          <a:xfrm>
                            <a:off x="0" y="0"/>
                            <a:ext cx="942340" cy="357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不锈钢降压启动开关箱</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箱体选用采用不锈钢板制作，实厚δ≥0.68mm；缺相保护功能，漏电保护器、继电器及交流接触器等电器类配件选国内知名品牌；配套风柜。</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128905</wp:posOffset>
                  </wp:positionH>
                  <wp:positionV relativeFrom="paragraph">
                    <wp:posOffset>83820</wp:posOffset>
                  </wp:positionV>
                  <wp:extent cx="814070" cy="858520"/>
                  <wp:effectExtent l="0" t="0" r="5080" b="17780"/>
                  <wp:wrapNone/>
                  <wp:docPr id="35" name="图片_16_SpCnt_2"/>
                  <wp:cNvGraphicFramePr/>
                  <a:graphic xmlns:a="http://schemas.openxmlformats.org/drawingml/2006/main">
                    <a:graphicData uri="http://schemas.openxmlformats.org/drawingml/2006/picture">
                      <pic:pic xmlns:pic="http://schemas.openxmlformats.org/drawingml/2006/picture">
                        <pic:nvPicPr>
                          <pic:cNvPr id="35" name="图片_16_SpCnt_2"/>
                          <pic:cNvPicPr/>
                        </pic:nvPicPr>
                        <pic:blipFill>
                          <a:blip r:embed="rId111"/>
                          <a:stretch>
                            <a:fillRect/>
                          </a:stretch>
                        </pic:blipFill>
                        <pic:spPr>
                          <a:xfrm>
                            <a:off x="0" y="0"/>
                            <a:ext cx="814070" cy="858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烟罩灭火系统                                                                        装置具备自动和手动两种操作模式，并能给出报警信号 ；装置需在启动灭火的同时启动机械阀或电磁阀切断燃气，并提供信号给消控中心；装置需与消防水（或者自来水）管路相连，系统启动后自控水阀等灭火剂喷洒完全后，再自动喷水；系统装置包括：控制箱（机械式）、管路、喷嘴、探测器、易熔连接片、金属拉索、滑轮三通、滑轮弯头等组成。其中控制箱由自动释放机构、驱动用高压氮气瓶、水流控制阀、液体药剂罐以及连接软管、单向阀、减压阀等构成。 性能参数：工作温度：4-55℃；最高工作压力：13Mpa；单个喷嘴最大喷洒速率：</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0.22L/s；灭火剂保持期：</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8年；药剂喷洒时间：</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 xml:space="preserve">10秒；灭火时间：3-5秒。            安装规范：水压≥0.25Mpa；下喷喷嘴需采取连续布置，间距600-650mm；角度正对所保护区域的中心位置；安装高度1100-1200mm，对灶台危险区域实现无死角的全覆盖保护；每个烟道口都需布置上喷喷嘴；烟罩内布置水平安装的侧喷喷嘴；感温探测器动作温度183±5℃，相邻两个感温探测器安装距离不能超过1000mm；每一组装置所保护的区域要安装燃气切断阀，在灭火的时候能迅速切断燃气，烟罩有效防火面积≦8㎡。                                                                                      </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★须提供所投机械式水流控制阀依据GB 4806.9-2016检测标准，镉（Cd), 铅（Pb), 砷（As)的迁移量均合格,提供第三方机构出具的检验报告复印件加盖厂家公章。                                                                                                                                        ★须提供所投自动灭火装置喷嘴帽需要满足 ROHS 6项有毒有害物质检测 (铅(Pb)、镉(Cd)、 汞(Hg)、六价铬(Cr6+)、多溴  联苯(PBB)  RoHS 指令限制使用以下六类有害物 质，检测结果需未检出，提供第三方机构出具的检验报告复印件加盖厂家公章。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248285</wp:posOffset>
                  </wp:positionH>
                  <wp:positionV relativeFrom="paragraph">
                    <wp:posOffset>1732915</wp:posOffset>
                  </wp:positionV>
                  <wp:extent cx="734060" cy="483235"/>
                  <wp:effectExtent l="0" t="0" r="8890" b="12065"/>
                  <wp:wrapNone/>
                  <wp:docPr id="34" name="Picture_1027"/>
                  <wp:cNvGraphicFramePr/>
                  <a:graphic xmlns:a="http://schemas.openxmlformats.org/drawingml/2006/main">
                    <a:graphicData uri="http://schemas.openxmlformats.org/drawingml/2006/picture">
                      <pic:pic xmlns:pic="http://schemas.openxmlformats.org/drawingml/2006/picture">
                        <pic:nvPicPr>
                          <pic:cNvPr id="34" name="Picture_1027"/>
                          <pic:cNvPicPr/>
                        </pic:nvPicPr>
                        <pic:blipFill>
                          <a:blip r:embed="rId112"/>
                          <a:stretch>
                            <a:fillRect/>
                          </a:stretch>
                        </pic:blipFill>
                        <pic:spPr>
                          <a:xfrm>
                            <a:off x="0" y="0"/>
                            <a:ext cx="734060" cy="483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餐桌椅</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四人餐桌椅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台面板采用优质实木制作，并加强筋固定，支架采用实木方管脚制作，配4把实木牛角椅子。</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规格：1200*700*760mm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107315</wp:posOffset>
                  </wp:positionV>
                  <wp:extent cx="672465" cy="614680"/>
                  <wp:effectExtent l="0" t="0" r="13335" b="13970"/>
                  <wp:wrapNone/>
                  <wp:docPr id="33" name="图片_11"/>
                  <wp:cNvGraphicFramePr/>
                  <a:graphic xmlns:a="http://schemas.openxmlformats.org/drawingml/2006/main">
                    <a:graphicData uri="http://schemas.openxmlformats.org/drawingml/2006/picture">
                      <pic:pic xmlns:pic="http://schemas.openxmlformats.org/drawingml/2006/picture">
                        <pic:nvPicPr>
                          <pic:cNvPr id="33" name="图片_11"/>
                          <pic:cNvPicPr/>
                        </pic:nvPicPr>
                        <pic:blipFill>
                          <a:blip r:embed="rId113"/>
                          <a:stretch>
                            <a:fillRect/>
                          </a:stretch>
                        </pic:blipFill>
                        <pic:spPr>
                          <a:xfrm>
                            <a:off x="0" y="0"/>
                            <a:ext cx="672465" cy="614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六人餐桌椅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台面板采用优质实木制作，并加强筋固定，支架采用实木方管脚制作，配6把实木牛角椅子。</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规格：1600*700*760mm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240030</wp:posOffset>
                  </wp:positionH>
                  <wp:positionV relativeFrom="paragraph">
                    <wp:posOffset>107315</wp:posOffset>
                  </wp:positionV>
                  <wp:extent cx="596265" cy="544830"/>
                  <wp:effectExtent l="0" t="0" r="13335" b="7620"/>
                  <wp:wrapNone/>
                  <wp:docPr id="32" name="图片_11_SpCnt_1"/>
                  <wp:cNvGraphicFramePr/>
                  <a:graphic xmlns:a="http://schemas.openxmlformats.org/drawingml/2006/main">
                    <a:graphicData uri="http://schemas.openxmlformats.org/drawingml/2006/picture">
                      <pic:pic xmlns:pic="http://schemas.openxmlformats.org/drawingml/2006/picture">
                        <pic:nvPicPr>
                          <pic:cNvPr id="32" name="图片_11_SpCnt_1"/>
                          <pic:cNvPicPr/>
                        </pic:nvPicPr>
                        <pic:blipFill>
                          <a:blip r:embed="rId114"/>
                          <a:stretch>
                            <a:fillRect/>
                          </a:stretch>
                        </pic:blipFill>
                        <pic:spPr>
                          <a:xfrm>
                            <a:off x="0" y="0"/>
                            <a:ext cx="596265" cy="544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电动实木圆桌加转盘</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橡胶木实木制作，环保家具漆；桌面光滑无倒刺，桌角圆润，电动转盘；桌面板直径</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2000mm，配14把实木靠背椅子</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120015</wp:posOffset>
                  </wp:positionV>
                  <wp:extent cx="711200" cy="659765"/>
                  <wp:effectExtent l="0" t="0" r="12700" b="6985"/>
                  <wp:wrapNone/>
                  <wp:docPr id="31" name="图片_68"/>
                  <wp:cNvGraphicFramePr/>
                  <a:graphic xmlns:a="http://schemas.openxmlformats.org/drawingml/2006/main">
                    <a:graphicData uri="http://schemas.openxmlformats.org/drawingml/2006/picture">
                      <pic:pic xmlns:pic="http://schemas.openxmlformats.org/drawingml/2006/picture">
                        <pic:nvPicPr>
                          <pic:cNvPr id="31" name="图片_68"/>
                          <pic:cNvPicPr/>
                        </pic:nvPicPr>
                        <pic:blipFill>
                          <a:blip r:embed="rId115"/>
                          <a:stretch>
                            <a:fillRect/>
                          </a:stretch>
                        </pic:blipFill>
                        <pic:spPr>
                          <a:xfrm>
                            <a:off x="0" y="0"/>
                            <a:ext cx="711200" cy="65976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0"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504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陶瓷餐具20人位</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noWrap/>
            <w:vAlign w:val="center"/>
          </w:tcPr>
          <w:p>
            <w:pPr>
              <w:jc w:val="center"/>
              <w:rPr>
                <w:rFonts w:hint="default" w:ascii="Tahoma" w:hAnsi="Tahoma" w:eastAsia="Tahoma" w:cs="Tahoma"/>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序号</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品名规格</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94</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骨碟</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垫盘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96</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4.5寸翅碗</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97</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金头筷子</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98</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大弯匙</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99</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波浪形筷架</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100</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汉碟</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101</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茶杯</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102</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酱醋壶</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103</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牙签筒</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104</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牙签</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105</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不锈钢汤勺</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106</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不锈钢分菜勺</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107</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玻璃扎壶</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108</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12寸珍珠水果盘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109</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10寸侧螺圆碗</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110</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10寸香叶盘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111</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9寸凤尾碗</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112</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棱形盘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113</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12寸黑煲</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114</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10寸正圆盘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115</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14寸正圆盘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116</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16寸厚边鱼形盘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117</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10寸沙律盘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118</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11寸曲纹盘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119</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12寸平盘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120</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12寸长方翘角盘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121</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11寸品锅</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122</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12寸青花罗碗</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123</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14寸平板</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124</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正方形翘角盘</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125</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12寸铁板</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126</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40g小毛巾</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127</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毛巾夹</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128</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2.8米挖心台布</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129</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3.6米防水垫</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口布</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大理石餐边柜带消毒                                               柜体内外为不锈钢，台面为耐温差大理石材质，柜门为耐热耐冲击钢化玻璃； 两门三层结构；                                                     消毒方式：紫外线+臭氧+中温；功率：600W/220V;                                                       规格：1000*470*900mm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626"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不锈钢餐具</w:t>
            </w:r>
          </w:p>
        </w:tc>
        <w:tc>
          <w:tcPr>
            <w:tcW w:w="587"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5" w:type="dxa"/>
            <w:tcBorders>
              <w:top w:val="single" w:color="000000" w:sz="4" w:space="0"/>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5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序号</w:t>
            </w:r>
          </w:p>
        </w:tc>
        <w:tc>
          <w:tcPr>
            <w:tcW w:w="5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名称</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加深六格快餐盆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采用304不锈钢制作，厚0.8mm。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规格：290*210*40mm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167640</wp:posOffset>
                  </wp:positionV>
                  <wp:extent cx="668020" cy="398145"/>
                  <wp:effectExtent l="0" t="0" r="17780" b="1905"/>
                  <wp:wrapNone/>
                  <wp:docPr id="30" name="图片_151"/>
                  <wp:cNvGraphicFramePr/>
                  <a:graphic xmlns:a="http://schemas.openxmlformats.org/drawingml/2006/main">
                    <a:graphicData uri="http://schemas.openxmlformats.org/drawingml/2006/picture">
                      <pic:pic xmlns:pic="http://schemas.openxmlformats.org/drawingml/2006/picture">
                        <pic:nvPicPr>
                          <pic:cNvPr id="30" name="图片_151"/>
                          <pic:cNvPicPr/>
                        </pic:nvPicPr>
                        <pic:blipFill>
                          <a:blip r:embed="rId116"/>
                          <a:stretch>
                            <a:fillRect/>
                          </a:stretch>
                        </pic:blipFill>
                        <pic:spPr>
                          <a:xfrm>
                            <a:off x="0" y="0"/>
                            <a:ext cx="668020" cy="398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双层汤碗                                                                                      采用304不锈钢制作，厚0.8mm，双层隔热，防烫手。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规格：φ120*500mm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205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226060</wp:posOffset>
                  </wp:positionH>
                  <wp:positionV relativeFrom="paragraph">
                    <wp:posOffset>106680</wp:posOffset>
                  </wp:positionV>
                  <wp:extent cx="629920" cy="469265"/>
                  <wp:effectExtent l="0" t="0" r="17780" b="6985"/>
                  <wp:wrapNone/>
                  <wp:docPr id="29" name="图片_3"/>
                  <wp:cNvGraphicFramePr/>
                  <a:graphic xmlns:a="http://schemas.openxmlformats.org/drawingml/2006/main">
                    <a:graphicData uri="http://schemas.openxmlformats.org/drawingml/2006/picture">
                      <pic:pic xmlns:pic="http://schemas.openxmlformats.org/drawingml/2006/picture">
                        <pic:nvPicPr>
                          <pic:cNvPr id="29" name="图片_3"/>
                          <pic:cNvPicPr/>
                        </pic:nvPicPr>
                        <pic:blipFill>
                          <a:blip r:embed="rId117"/>
                          <a:stretch>
                            <a:fillRect/>
                          </a:stretch>
                        </pic:blipFill>
                        <pic:spPr>
                          <a:xfrm>
                            <a:off x="0" y="0"/>
                            <a:ext cx="629920" cy="469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不锈钢调羹</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选用优质不锈钢板制作，一次性压铸成型，防划处理。                                          加厚型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规格：长180mm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173990</wp:posOffset>
                  </wp:positionV>
                  <wp:extent cx="566420" cy="459105"/>
                  <wp:effectExtent l="0" t="0" r="5080" b="17145"/>
                  <wp:wrapNone/>
                  <wp:docPr id="28" name="图片_2_SpCnt_1"/>
                  <wp:cNvGraphicFramePr/>
                  <a:graphic xmlns:a="http://schemas.openxmlformats.org/drawingml/2006/main">
                    <a:graphicData uri="http://schemas.openxmlformats.org/drawingml/2006/picture">
                      <pic:pic xmlns:pic="http://schemas.openxmlformats.org/drawingml/2006/picture">
                        <pic:nvPicPr>
                          <pic:cNvPr id="28" name="图片_2_SpCnt_1"/>
                          <pic:cNvPicPr/>
                        </pic:nvPicPr>
                        <pic:blipFill>
                          <a:blip r:embed="rId118"/>
                          <a:stretch>
                            <a:fillRect/>
                          </a:stretch>
                        </pic:blipFill>
                        <pic:spPr>
                          <a:xfrm>
                            <a:off x="0" y="0"/>
                            <a:ext cx="566420" cy="459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135</w:t>
            </w:r>
          </w:p>
        </w:tc>
        <w:tc>
          <w:tcPr>
            <w:tcW w:w="504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筷</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优质铁木材料制作                                   规格：250mm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361315</wp:posOffset>
                  </wp:positionH>
                  <wp:positionV relativeFrom="paragraph">
                    <wp:posOffset>77470</wp:posOffset>
                  </wp:positionV>
                  <wp:extent cx="391795" cy="530860"/>
                  <wp:effectExtent l="0" t="0" r="8255" b="2540"/>
                  <wp:wrapNone/>
                  <wp:docPr id="27" name="图片_37"/>
                  <wp:cNvGraphicFramePr/>
                  <a:graphic xmlns:a="http://schemas.openxmlformats.org/drawingml/2006/main">
                    <a:graphicData uri="http://schemas.openxmlformats.org/drawingml/2006/picture">
                      <pic:pic xmlns:pic="http://schemas.openxmlformats.org/drawingml/2006/picture">
                        <pic:nvPicPr>
                          <pic:cNvPr id="27" name="图片_37"/>
                          <pic:cNvPicPr/>
                        </pic:nvPicPr>
                        <pic:blipFill>
                          <a:blip r:embed="rId119"/>
                          <a:stretch>
                            <a:fillRect/>
                          </a:stretch>
                        </pic:blipFill>
                        <pic:spPr>
                          <a:xfrm>
                            <a:off x="0" y="0"/>
                            <a:ext cx="391795" cy="530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饭铲                                                                                                             采用304不锈钢制作，厚1.0mm。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规格：250*100mm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147955</wp:posOffset>
                  </wp:positionV>
                  <wp:extent cx="698500" cy="356870"/>
                  <wp:effectExtent l="0" t="0" r="6350" b="5080"/>
                  <wp:wrapNone/>
                  <wp:docPr id="26" name="图片_8"/>
                  <wp:cNvGraphicFramePr/>
                  <a:graphic xmlns:a="http://schemas.openxmlformats.org/drawingml/2006/main">
                    <a:graphicData uri="http://schemas.openxmlformats.org/drawingml/2006/picture">
                      <pic:pic xmlns:pic="http://schemas.openxmlformats.org/drawingml/2006/picture">
                        <pic:nvPicPr>
                          <pic:cNvPr id="26" name="图片_8"/>
                          <pic:cNvPicPr/>
                        </pic:nvPicPr>
                        <pic:blipFill>
                          <a:blip r:embed="rId120"/>
                          <a:stretch>
                            <a:fillRect/>
                          </a:stretch>
                        </pic:blipFill>
                        <pic:spPr>
                          <a:xfrm>
                            <a:off x="0" y="0"/>
                            <a:ext cx="698500" cy="356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餐具箱                                                                                           采用304不锈钢制作，厚0.8mm，双耳且带盖。餐具消毒好了分装快餐盘、汤碗、调羹和筷子。</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规格：350*250*200mm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231775</wp:posOffset>
                  </wp:positionH>
                  <wp:positionV relativeFrom="paragraph">
                    <wp:posOffset>71755</wp:posOffset>
                  </wp:positionV>
                  <wp:extent cx="619125" cy="503555"/>
                  <wp:effectExtent l="0" t="0" r="9525" b="10795"/>
                  <wp:wrapNone/>
                  <wp:docPr id="25" name="图片_9_SpCnt_1"/>
                  <wp:cNvGraphicFramePr/>
                  <a:graphic xmlns:a="http://schemas.openxmlformats.org/drawingml/2006/main">
                    <a:graphicData uri="http://schemas.openxmlformats.org/drawingml/2006/picture">
                      <pic:pic xmlns:pic="http://schemas.openxmlformats.org/drawingml/2006/picture">
                        <pic:nvPicPr>
                          <pic:cNvPr id="25" name="图片_9_SpCnt_1"/>
                          <pic:cNvPicPr/>
                        </pic:nvPicPr>
                        <pic:blipFill>
                          <a:blip r:embed="rId121"/>
                          <a:stretch>
                            <a:fillRect/>
                          </a:stretch>
                        </pic:blipFill>
                        <pic:spPr>
                          <a:xfrm>
                            <a:off x="0" y="0"/>
                            <a:ext cx="619125" cy="503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低搁架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选用优质加厚不锈钢方管制作，管实厚δ≥0.88mm；格栅型，10根档，单层结构；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规格：1200*500*250mm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219710</wp:posOffset>
                  </wp:positionH>
                  <wp:positionV relativeFrom="paragraph">
                    <wp:posOffset>166370</wp:posOffset>
                  </wp:positionV>
                  <wp:extent cx="669290" cy="418465"/>
                  <wp:effectExtent l="0" t="0" r="16510" b="635"/>
                  <wp:wrapNone/>
                  <wp:docPr id="24" name="图片_31_SpCnt_7"/>
                  <wp:cNvGraphicFramePr/>
                  <a:graphic xmlns:a="http://schemas.openxmlformats.org/drawingml/2006/main">
                    <a:graphicData uri="http://schemas.openxmlformats.org/drawingml/2006/picture">
                      <pic:pic xmlns:pic="http://schemas.openxmlformats.org/drawingml/2006/picture">
                        <pic:nvPicPr>
                          <pic:cNvPr id="24" name="图片_31_SpCnt_7"/>
                          <pic:cNvPicPr/>
                        </pic:nvPicPr>
                        <pic:blipFill>
                          <a:blip r:embed="rId122"/>
                          <a:stretch>
                            <a:fillRect/>
                          </a:stretch>
                        </pic:blipFill>
                        <pic:spPr>
                          <a:xfrm>
                            <a:off x="0" y="0"/>
                            <a:ext cx="669290" cy="418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不锈钢汤桶                                                                                                        采用优质不锈钢制作，厚0.8mm，具有提手且带盖。</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规格：φ400*380mm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285115</wp:posOffset>
                  </wp:positionH>
                  <wp:positionV relativeFrom="paragraph">
                    <wp:posOffset>74930</wp:posOffset>
                  </wp:positionV>
                  <wp:extent cx="487680" cy="488950"/>
                  <wp:effectExtent l="0" t="0" r="7620" b="6350"/>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123"/>
                          <a:stretch>
                            <a:fillRect/>
                          </a:stretch>
                        </pic:blipFill>
                        <pic:spPr>
                          <a:xfrm>
                            <a:off x="0" y="0"/>
                            <a:ext cx="487680" cy="488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炒菜勺（大）                                                                                            勺体采用优质不锈钢制作，厚0.8mm，实木柄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全长500mm,勺宽130mm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245110</wp:posOffset>
                  </wp:positionH>
                  <wp:positionV relativeFrom="paragraph">
                    <wp:posOffset>121285</wp:posOffset>
                  </wp:positionV>
                  <wp:extent cx="570865" cy="560705"/>
                  <wp:effectExtent l="0" t="0" r="635" b="10795"/>
                  <wp:wrapNone/>
                  <wp:docPr id="22" name="图片_155"/>
                  <wp:cNvGraphicFramePr/>
                  <a:graphic xmlns:a="http://schemas.openxmlformats.org/drawingml/2006/main">
                    <a:graphicData uri="http://schemas.openxmlformats.org/drawingml/2006/picture">
                      <pic:pic xmlns:pic="http://schemas.openxmlformats.org/drawingml/2006/picture">
                        <pic:nvPicPr>
                          <pic:cNvPr id="22" name="图片_155"/>
                          <pic:cNvPicPr/>
                        </pic:nvPicPr>
                        <pic:blipFill>
                          <a:blip r:embed="rId124"/>
                          <a:stretch>
                            <a:fillRect/>
                          </a:stretch>
                        </pic:blipFill>
                        <pic:spPr>
                          <a:xfrm>
                            <a:off x="0" y="0"/>
                            <a:ext cx="570865" cy="560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炒菜勺（小）                                                                                            勺体采用优质不锈钢制作，手柄不锈钢，厚≥0.8mm，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全长≥400mm,勺宽≥80mm。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88265</wp:posOffset>
                  </wp:positionV>
                  <wp:extent cx="614680" cy="608330"/>
                  <wp:effectExtent l="0" t="0" r="13970" b="1270"/>
                  <wp:wrapNone/>
                  <wp:docPr id="21" name="图片_156"/>
                  <wp:cNvGraphicFramePr/>
                  <a:graphic xmlns:a="http://schemas.openxmlformats.org/drawingml/2006/main">
                    <a:graphicData uri="http://schemas.openxmlformats.org/drawingml/2006/picture">
                      <pic:pic xmlns:pic="http://schemas.openxmlformats.org/drawingml/2006/picture">
                        <pic:nvPicPr>
                          <pic:cNvPr id="21" name="图片_156"/>
                          <pic:cNvPicPr/>
                        </pic:nvPicPr>
                        <pic:blipFill>
                          <a:blip r:embed="rId125"/>
                          <a:stretch>
                            <a:fillRect/>
                          </a:stretch>
                        </pic:blipFill>
                        <pic:spPr>
                          <a:xfrm>
                            <a:off x="0" y="0"/>
                            <a:ext cx="614680" cy="608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汤勺（小）                                                                                          勺体采用优质不锈钢制作，手柄不锈钢，厚≥0.8mm，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全长≥285mm,勺宽≥65mm。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122555</wp:posOffset>
                  </wp:positionV>
                  <wp:extent cx="600710" cy="501650"/>
                  <wp:effectExtent l="0" t="0" r="8890" b="12700"/>
                  <wp:wrapNone/>
                  <wp:docPr id="20" name="图片_13"/>
                  <wp:cNvGraphicFramePr/>
                  <a:graphic xmlns:a="http://schemas.openxmlformats.org/drawingml/2006/main">
                    <a:graphicData uri="http://schemas.openxmlformats.org/drawingml/2006/picture">
                      <pic:pic xmlns:pic="http://schemas.openxmlformats.org/drawingml/2006/picture">
                        <pic:nvPicPr>
                          <pic:cNvPr id="20" name="图片_13"/>
                          <pic:cNvPicPr/>
                        </pic:nvPicPr>
                        <pic:blipFill>
                          <a:blip r:embed="rId126"/>
                          <a:stretch>
                            <a:fillRect/>
                          </a:stretch>
                        </pic:blipFill>
                        <pic:spPr>
                          <a:xfrm>
                            <a:off x="0" y="0"/>
                            <a:ext cx="600710" cy="501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打菜勺（小）                                                                                           勺体采用优质不锈钢制作，手柄不锈钢，厚</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0.8mm，</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全长≥285mm,勺宽≥65mm。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83820</wp:posOffset>
                  </wp:positionV>
                  <wp:extent cx="640715" cy="534670"/>
                  <wp:effectExtent l="0" t="0" r="6985" b="17780"/>
                  <wp:wrapNone/>
                  <wp:docPr id="19" name="图片_13_SpCnt_1"/>
                  <wp:cNvGraphicFramePr/>
                  <a:graphic xmlns:a="http://schemas.openxmlformats.org/drawingml/2006/main">
                    <a:graphicData uri="http://schemas.openxmlformats.org/drawingml/2006/picture">
                      <pic:pic xmlns:pic="http://schemas.openxmlformats.org/drawingml/2006/picture">
                        <pic:nvPicPr>
                          <pic:cNvPr id="19" name="图片_13_SpCnt_1"/>
                          <pic:cNvPicPr/>
                        </pic:nvPicPr>
                        <pic:blipFill>
                          <a:blip r:embed="rId127"/>
                          <a:stretch>
                            <a:fillRect/>
                          </a:stretch>
                        </pic:blipFill>
                        <pic:spPr>
                          <a:xfrm>
                            <a:off x="0" y="0"/>
                            <a:ext cx="640715" cy="534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挂墙室内温度计                                                                                                                                              玻璃及水银柱制作，挂墙式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规格：规格：250*56*12mm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104140</wp:posOffset>
                  </wp:positionV>
                  <wp:extent cx="510540" cy="630555"/>
                  <wp:effectExtent l="0" t="0" r="3810" b="17145"/>
                  <wp:wrapNone/>
                  <wp:docPr id="18" name="图片_14_SpCnt_1"/>
                  <wp:cNvGraphicFramePr/>
                  <a:graphic xmlns:a="http://schemas.openxmlformats.org/drawingml/2006/main">
                    <a:graphicData uri="http://schemas.openxmlformats.org/drawingml/2006/picture">
                      <pic:pic xmlns:pic="http://schemas.openxmlformats.org/drawingml/2006/picture">
                        <pic:nvPicPr>
                          <pic:cNvPr id="18" name="图片_14_SpCnt_1"/>
                          <pic:cNvPicPr/>
                        </pic:nvPicPr>
                        <pic:blipFill>
                          <a:blip r:embed="rId128"/>
                          <a:stretch>
                            <a:fillRect/>
                          </a:stretch>
                        </pic:blipFill>
                        <pic:spPr>
                          <a:xfrm>
                            <a:off x="0" y="0"/>
                            <a:ext cx="510540" cy="630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小脸盆                                                                                                                                                                  采用不锈钢制作，厚0.8mm，重量：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440g。</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规格：φ360*119mm                            </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215265</wp:posOffset>
                  </wp:positionV>
                  <wp:extent cx="781685" cy="535305"/>
                  <wp:effectExtent l="0" t="0" r="18415" b="17145"/>
                  <wp:wrapNone/>
                  <wp:docPr id="17" name="图片_119"/>
                  <wp:cNvGraphicFramePr/>
                  <a:graphic xmlns:a="http://schemas.openxmlformats.org/drawingml/2006/main">
                    <a:graphicData uri="http://schemas.openxmlformats.org/drawingml/2006/picture">
                      <pic:pic xmlns:pic="http://schemas.openxmlformats.org/drawingml/2006/picture">
                        <pic:nvPicPr>
                          <pic:cNvPr id="17" name="图片_119"/>
                          <pic:cNvPicPr/>
                        </pic:nvPicPr>
                        <pic:blipFill>
                          <a:blip r:embed="rId129"/>
                          <a:stretch>
                            <a:fillRect/>
                          </a:stretch>
                        </pic:blipFill>
                        <pic:spPr>
                          <a:xfrm>
                            <a:off x="0" y="0"/>
                            <a:ext cx="781685" cy="535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大脸盆                                                                                                                                                                  采用不锈钢制作，厚1.0mm，重量：</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2600g。</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 xml:space="preserve">规格：φ800*210mm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172720</wp:posOffset>
                  </wp:positionV>
                  <wp:extent cx="840740" cy="563880"/>
                  <wp:effectExtent l="0" t="0" r="16510" b="7620"/>
                  <wp:wrapNone/>
                  <wp:docPr id="16" name="图片_118"/>
                  <wp:cNvGraphicFramePr/>
                  <a:graphic xmlns:a="http://schemas.openxmlformats.org/drawingml/2006/main">
                    <a:graphicData uri="http://schemas.openxmlformats.org/drawingml/2006/picture">
                      <pic:pic xmlns:pic="http://schemas.openxmlformats.org/drawingml/2006/picture">
                        <pic:nvPicPr>
                          <pic:cNvPr id="16" name="图片_118"/>
                          <pic:cNvPicPr/>
                        </pic:nvPicPr>
                        <pic:blipFill>
                          <a:blip r:embed="rId130"/>
                          <a:stretch>
                            <a:fillRect/>
                          </a:stretch>
                        </pic:blipFill>
                        <pic:spPr>
                          <a:xfrm>
                            <a:off x="0" y="0"/>
                            <a:ext cx="840740" cy="5638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147</w:t>
            </w:r>
          </w:p>
        </w:tc>
        <w:tc>
          <w:tcPr>
            <w:tcW w:w="50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大锅盖                                                                                                采用不锈钢制作，厚1.0mm。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规格：φ800*10mm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313690</wp:posOffset>
                  </wp:positionV>
                  <wp:extent cx="733425" cy="400050"/>
                  <wp:effectExtent l="0" t="0" r="9525" b="0"/>
                  <wp:wrapNone/>
                  <wp:docPr id="15" name="图片_124"/>
                  <wp:cNvGraphicFramePr/>
                  <a:graphic xmlns:a="http://schemas.openxmlformats.org/drawingml/2006/main">
                    <a:graphicData uri="http://schemas.openxmlformats.org/drawingml/2006/picture">
                      <pic:pic xmlns:pic="http://schemas.openxmlformats.org/drawingml/2006/picture">
                        <pic:nvPicPr>
                          <pic:cNvPr id="15" name="图片_124"/>
                          <pic:cNvPicPr/>
                        </pic:nvPicPr>
                        <pic:blipFill>
                          <a:blip r:embed="rId131"/>
                          <a:stretch>
                            <a:fillRect/>
                          </a:stretch>
                        </pic:blipFill>
                        <pic:spPr>
                          <a:xfrm>
                            <a:off x="0" y="0"/>
                            <a:ext cx="733425" cy="400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148</w:t>
            </w:r>
          </w:p>
        </w:tc>
        <w:tc>
          <w:tcPr>
            <w:tcW w:w="50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小锅盖                                                                                                采用不锈钢制作，厚0.8mm。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规格：φ450*70mm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257175</wp:posOffset>
                  </wp:positionV>
                  <wp:extent cx="637540" cy="448310"/>
                  <wp:effectExtent l="0" t="0" r="10160" b="8890"/>
                  <wp:wrapNone/>
                  <wp:docPr id="14" name="图片_125"/>
                  <wp:cNvGraphicFramePr/>
                  <a:graphic xmlns:a="http://schemas.openxmlformats.org/drawingml/2006/main">
                    <a:graphicData uri="http://schemas.openxmlformats.org/drawingml/2006/picture">
                      <pic:pic xmlns:pic="http://schemas.openxmlformats.org/drawingml/2006/picture">
                        <pic:nvPicPr>
                          <pic:cNvPr id="14" name="图片_125"/>
                          <pic:cNvPicPr/>
                        </pic:nvPicPr>
                        <pic:blipFill>
                          <a:blip r:embed="rId132"/>
                          <a:stretch>
                            <a:fillRect/>
                          </a:stretch>
                        </pic:blipFill>
                        <pic:spPr>
                          <a:xfrm>
                            <a:off x="0" y="0"/>
                            <a:ext cx="637540" cy="448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不锈钢油缸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选用优质不锈钢板一次性冲压制成，厚δ=0.8mm。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规格：Ф23mm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151130</wp:posOffset>
                  </wp:positionV>
                  <wp:extent cx="723265" cy="507365"/>
                  <wp:effectExtent l="0" t="0" r="635" b="6985"/>
                  <wp:wrapNone/>
                  <wp:docPr id="13" name="图片_3_SpCnt_1"/>
                  <wp:cNvGraphicFramePr/>
                  <a:graphic xmlns:a="http://schemas.openxmlformats.org/drawingml/2006/main">
                    <a:graphicData uri="http://schemas.openxmlformats.org/drawingml/2006/picture">
                      <pic:pic xmlns:pic="http://schemas.openxmlformats.org/drawingml/2006/picture">
                        <pic:nvPicPr>
                          <pic:cNvPr id="13" name="图片_3_SpCnt_1"/>
                          <pic:cNvPicPr/>
                        </pic:nvPicPr>
                        <pic:blipFill>
                          <a:blip r:embed="rId133"/>
                          <a:stretch>
                            <a:fillRect/>
                          </a:stretch>
                        </pic:blipFill>
                        <pic:spPr>
                          <a:xfrm>
                            <a:off x="0" y="0"/>
                            <a:ext cx="723265" cy="507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调料缸                                                                                        采用优质不锈钢制作，厚0.8mm，带盖。</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规格：φ160*50mm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190500</wp:posOffset>
                  </wp:positionV>
                  <wp:extent cx="800735" cy="494665"/>
                  <wp:effectExtent l="0" t="0" r="18415" b="635"/>
                  <wp:wrapNone/>
                  <wp:docPr id="12" name="图片_127"/>
                  <wp:cNvGraphicFramePr/>
                  <a:graphic xmlns:a="http://schemas.openxmlformats.org/drawingml/2006/main">
                    <a:graphicData uri="http://schemas.openxmlformats.org/drawingml/2006/picture">
                      <pic:pic xmlns:pic="http://schemas.openxmlformats.org/drawingml/2006/picture">
                        <pic:nvPicPr>
                          <pic:cNvPr id="12" name="图片_127"/>
                          <pic:cNvPicPr/>
                        </pic:nvPicPr>
                        <pic:blipFill>
                          <a:blip r:embed="rId134"/>
                          <a:stretch>
                            <a:fillRect/>
                          </a:stretch>
                        </pic:blipFill>
                        <pic:spPr>
                          <a:xfrm>
                            <a:off x="0" y="0"/>
                            <a:ext cx="800735" cy="494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151</w:t>
            </w:r>
          </w:p>
        </w:tc>
        <w:tc>
          <w:tcPr>
            <w:tcW w:w="50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点心盘                                                                                         采用304不锈钢制作，厚0.6mm。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规格：φ160*20mm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205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250190</wp:posOffset>
                  </wp:positionV>
                  <wp:extent cx="704850" cy="452755"/>
                  <wp:effectExtent l="0" t="0" r="0" b="4445"/>
                  <wp:wrapNone/>
                  <wp:docPr id="11" name="图片_128"/>
                  <wp:cNvGraphicFramePr/>
                  <a:graphic xmlns:a="http://schemas.openxmlformats.org/drawingml/2006/main">
                    <a:graphicData uri="http://schemas.openxmlformats.org/drawingml/2006/picture">
                      <pic:pic xmlns:pic="http://schemas.openxmlformats.org/drawingml/2006/picture">
                        <pic:nvPicPr>
                          <pic:cNvPr id="11" name="图片_128"/>
                          <pic:cNvPicPr/>
                        </pic:nvPicPr>
                        <pic:blipFill>
                          <a:blip r:embed="rId135"/>
                          <a:stretch>
                            <a:fillRect/>
                          </a:stretch>
                        </pic:blipFill>
                        <pic:spPr>
                          <a:xfrm>
                            <a:off x="0" y="0"/>
                            <a:ext cx="704850" cy="452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塑料砧板                                                                                                        采用优质食品级PE材料制作，厚40mm， 红黄绿三色各一块。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规格：600*400*40mm                     </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201930</wp:posOffset>
                  </wp:positionV>
                  <wp:extent cx="666115" cy="497205"/>
                  <wp:effectExtent l="0" t="0" r="635" b="17145"/>
                  <wp:wrapNone/>
                  <wp:docPr id="10" name="图片_131"/>
                  <wp:cNvGraphicFramePr/>
                  <a:graphic xmlns:a="http://schemas.openxmlformats.org/drawingml/2006/main">
                    <a:graphicData uri="http://schemas.openxmlformats.org/drawingml/2006/picture">
                      <pic:pic xmlns:pic="http://schemas.openxmlformats.org/drawingml/2006/picture">
                        <pic:nvPicPr>
                          <pic:cNvPr id="10" name="图片_131"/>
                          <pic:cNvPicPr/>
                        </pic:nvPicPr>
                        <pic:blipFill>
                          <a:blip r:embed="rId136"/>
                          <a:stretch>
                            <a:fillRect/>
                          </a:stretch>
                        </pic:blipFill>
                        <pic:spPr>
                          <a:xfrm>
                            <a:off x="0" y="0"/>
                            <a:ext cx="666115" cy="497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塑料砧墩                                                                                                   采用优质食品级加厚PE材料制作，厚120mm，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φ500*120mm跟砧板墩架符合</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148590</wp:posOffset>
                  </wp:positionH>
                  <wp:positionV relativeFrom="paragraph">
                    <wp:posOffset>231140</wp:posOffset>
                  </wp:positionV>
                  <wp:extent cx="808990" cy="515620"/>
                  <wp:effectExtent l="0" t="0" r="10160" b="17780"/>
                  <wp:wrapNone/>
                  <wp:docPr id="9" name="图片_138"/>
                  <wp:cNvGraphicFramePr/>
                  <a:graphic xmlns:a="http://schemas.openxmlformats.org/drawingml/2006/main">
                    <a:graphicData uri="http://schemas.openxmlformats.org/drawingml/2006/picture">
                      <pic:pic xmlns:pic="http://schemas.openxmlformats.org/drawingml/2006/picture">
                        <pic:nvPicPr>
                          <pic:cNvPr id="9" name="图片_138"/>
                          <pic:cNvPicPr/>
                        </pic:nvPicPr>
                        <pic:blipFill>
                          <a:blip r:embed="rId137"/>
                          <a:stretch>
                            <a:fillRect/>
                          </a:stretch>
                        </pic:blipFill>
                        <pic:spPr>
                          <a:xfrm>
                            <a:off x="0" y="0"/>
                            <a:ext cx="808990" cy="515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菜刀                                                                                                          采用304不锈钢，厚2.0mm；红黄绿三色各1把。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规格：350*100*20mm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247015</wp:posOffset>
                  </wp:positionH>
                  <wp:positionV relativeFrom="paragraph">
                    <wp:posOffset>115570</wp:posOffset>
                  </wp:positionV>
                  <wp:extent cx="650240" cy="656590"/>
                  <wp:effectExtent l="0" t="0" r="16510" b="10160"/>
                  <wp:wrapNone/>
                  <wp:docPr id="8" name="图片_133"/>
                  <wp:cNvGraphicFramePr/>
                  <a:graphic xmlns:a="http://schemas.openxmlformats.org/drawingml/2006/main">
                    <a:graphicData uri="http://schemas.openxmlformats.org/drawingml/2006/picture">
                      <pic:pic xmlns:pic="http://schemas.openxmlformats.org/drawingml/2006/picture">
                        <pic:nvPicPr>
                          <pic:cNvPr id="8" name="图片_133"/>
                          <pic:cNvPicPr/>
                        </pic:nvPicPr>
                        <pic:blipFill>
                          <a:blip r:embed="rId138"/>
                          <a:stretch>
                            <a:fillRect/>
                          </a:stretch>
                        </pic:blipFill>
                        <pic:spPr>
                          <a:xfrm>
                            <a:off x="0" y="0"/>
                            <a:ext cx="650240" cy="656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砍骨刀                                                                                                        采用304不锈钢，厚2.5mm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规格：308*910*250mm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105410</wp:posOffset>
                  </wp:positionV>
                  <wp:extent cx="571500" cy="573405"/>
                  <wp:effectExtent l="0" t="0" r="0" b="17145"/>
                  <wp:wrapNone/>
                  <wp:docPr id="7" name="图片_134"/>
                  <wp:cNvGraphicFramePr/>
                  <a:graphic xmlns:a="http://schemas.openxmlformats.org/drawingml/2006/main">
                    <a:graphicData uri="http://schemas.openxmlformats.org/drawingml/2006/picture">
                      <pic:pic xmlns:pic="http://schemas.openxmlformats.org/drawingml/2006/picture">
                        <pic:nvPicPr>
                          <pic:cNvPr id="7" name="图片_134"/>
                          <pic:cNvPicPr/>
                        </pic:nvPicPr>
                        <pic:blipFill>
                          <a:blip r:embed="rId139"/>
                          <a:stretch>
                            <a:fillRect/>
                          </a:stretch>
                        </pic:blipFill>
                        <pic:spPr>
                          <a:xfrm>
                            <a:off x="0" y="0"/>
                            <a:ext cx="571500" cy="573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塑料收纳箱带盖                                                                        采用环保PP材质制作，加厚型，可承重50-60kg,无异味。                                             规格：500*350*280mm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132080</wp:posOffset>
                  </wp:positionV>
                  <wp:extent cx="732155" cy="725805"/>
                  <wp:effectExtent l="0" t="0" r="10795" b="17145"/>
                  <wp:wrapNone/>
                  <wp:docPr id="6" name="图片_135"/>
                  <wp:cNvGraphicFramePr/>
                  <a:graphic xmlns:a="http://schemas.openxmlformats.org/drawingml/2006/main">
                    <a:graphicData uri="http://schemas.openxmlformats.org/drawingml/2006/picture">
                      <pic:pic xmlns:pic="http://schemas.openxmlformats.org/drawingml/2006/picture">
                        <pic:nvPicPr>
                          <pic:cNvPr id="6" name="图片_135"/>
                          <pic:cNvPicPr/>
                        </pic:nvPicPr>
                        <pic:blipFill>
                          <a:blip r:embed="rId140"/>
                          <a:stretch>
                            <a:fillRect/>
                          </a:stretch>
                        </pic:blipFill>
                        <pic:spPr>
                          <a:xfrm>
                            <a:off x="0" y="0"/>
                            <a:ext cx="732155" cy="725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食品夹                                                                                                  说明：采用304不锈钢，厚1.0mm。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业主自选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142240</wp:posOffset>
                  </wp:positionV>
                  <wp:extent cx="633730" cy="462915"/>
                  <wp:effectExtent l="0" t="0" r="13970" b="13335"/>
                  <wp:wrapNone/>
                  <wp:docPr id="5" name="图片_137"/>
                  <wp:cNvGraphicFramePr/>
                  <a:graphic xmlns:a="http://schemas.openxmlformats.org/drawingml/2006/main">
                    <a:graphicData uri="http://schemas.openxmlformats.org/drawingml/2006/picture">
                      <pic:pic xmlns:pic="http://schemas.openxmlformats.org/drawingml/2006/picture">
                        <pic:nvPicPr>
                          <pic:cNvPr id="5" name="图片_137"/>
                          <pic:cNvPicPr/>
                        </pic:nvPicPr>
                        <pic:blipFill>
                          <a:blip r:embed="rId141"/>
                          <a:stretch>
                            <a:fillRect/>
                          </a:stretch>
                        </pic:blipFill>
                        <pic:spPr>
                          <a:xfrm>
                            <a:off x="0" y="0"/>
                            <a:ext cx="633730" cy="462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水果刨                                                                                        说明：采用201不锈钢制作，厚1.0mm。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业主自选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95250</wp:posOffset>
                  </wp:positionV>
                  <wp:extent cx="621030" cy="574040"/>
                  <wp:effectExtent l="0" t="0" r="7620" b="16510"/>
                  <wp:wrapNone/>
                  <wp:docPr id="4" name="图片_138_SpCnt_1"/>
                  <wp:cNvGraphicFramePr/>
                  <a:graphic xmlns:a="http://schemas.openxmlformats.org/drawingml/2006/main">
                    <a:graphicData uri="http://schemas.openxmlformats.org/drawingml/2006/picture">
                      <pic:pic xmlns:pic="http://schemas.openxmlformats.org/drawingml/2006/picture">
                        <pic:nvPicPr>
                          <pic:cNvPr id="4" name="图片_138_SpCnt_1"/>
                          <pic:cNvPicPr/>
                        </pic:nvPicPr>
                        <pic:blipFill>
                          <a:blip r:embed="rId142"/>
                          <a:stretch>
                            <a:fillRect/>
                          </a:stretch>
                        </pic:blipFill>
                        <pic:spPr>
                          <a:xfrm>
                            <a:off x="0" y="0"/>
                            <a:ext cx="621030" cy="574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水果刀                                                                                              说明：采用201不锈钢制作，厚1.2mm。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业主自选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95250</wp:posOffset>
                  </wp:positionV>
                  <wp:extent cx="637540" cy="639445"/>
                  <wp:effectExtent l="0" t="0" r="10160" b="8255"/>
                  <wp:wrapNone/>
                  <wp:docPr id="3" name="图片_139"/>
                  <wp:cNvGraphicFramePr/>
                  <a:graphic xmlns:a="http://schemas.openxmlformats.org/drawingml/2006/main">
                    <a:graphicData uri="http://schemas.openxmlformats.org/drawingml/2006/picture">
                      <pic:pic xmlns:pic="http://schemas.openxmlformats.org/drawingml/2006/picture">
                        <pic:nvPicPr>
                          <pic:cNvPr id="3" name="图片_139"/>
                          <pic:cNvPicPr/>
                        </pic:nvPicPr>
                        <pic:blipFill>
                          <a:blip r:embed="rId143"/>
                          <a:stretch>
                            <a:fillRect/>
                          </a:stretch>
                        </pic:blipFill>
                        <pic:spPr>
                          <a:xfrm>
                            <a:off x="0" y="0"/>
                            <a:ext cx="637540" cy="639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刨丝器                                                                                                   采用201不锈钢制作，厚1.2mm。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业主自选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106045</wp:posOffset>
                  </wp:positionV>
                  <wp:extent cx="572770" cy="581660"/>
                  <wp:effectExtent l="0" t="0" r="17780" b="8890"/>
                  <wp:wrapNone/>
                  <wp:docPr id="2" name="图片_140_SpCnt_1"/>
                  <wp:cNvGraphicFramePr/>
                  <a:graphic xmlns:a="http://schemas.openxmlformats.org/drawingml/2006/main">
                    <a:graphicData uri="http://schemas.openxmlformats.org/drawingml/2006/picture">
                      <pic:pic xmlns:pic="http://schemas.openxmlformats.org/drawingml/2006/picture">
                        <pic:nvPicPr>
                          <pic:cNvPr id="2" name="图片_140_SpCnt_1"/>
                          <pic:cNvPicPr/>
                        </pic:nvPicPr>
                        <pic:blipFill>
                          <a:blip r:embed="rId144"/>
                          <a:stretch>
                            <a:fillRect/>
                          </a:stretch>
                        </pic:blipFill>
                        <pic:spPr>
                          <a:xfrm>
                            <a:off x="0" y="0"/>
                            <a:ext cx="572770" cy="581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甘蔗刀                                                                                       刀体采用201不锈钢制作，厚1.2mm，木质柄。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业主自选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122555</wp:posOffset>
                  </wp:positionV>
                  <wp:extent cx="742950" cy="588645"/>
                  <wp:effectExtent l="0" t="0" r="0" b="1905"/>
                  <wp:wrapNone/>
                  <wp:docPr id="1" name="图片_142"/>
                  <wp:cNvGraphicFramePr/>
                  <a:graphic xmlns:a="http://schemas.openxmlformats.org/drawingml/2006/main">
                    <a:graphicData uri="http://schemas.openxmlformats.org/drawingml/2006/picture">
                      <pic:pic xmlns:pic="http://schemas.openxmlformats.org/drawingml/2006/picture">
                        <pic:nvPicPr>
                          <pic:cNvPr id="1" name="图片_142"/>
                          <pic:cNvPicPr/>
                        </pic:nvPicPr>
                        <pic:blipFill>
                          <a:blip r:embed="rId145"/>
                          <a:stretch>
                            <a:fillRect/>
                          </a:stretch>
                        </pic:blipFill>
                        <pic:spPr>
                          <a:xfrm>
                            <a:off x="0" y="0"/>
                            <a:ext cx="742950" cy="588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不锈钢剪刀（厨房用）                                                                           刀体采用201不锈钢制作，厚1.2mm，绿、红、蓝柄各4把。</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规格：200*85*30mm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210185</wp:posOffset>
                  </wp:positionH>
                  <wp:positionV relativeFrom="paragraph">
                    <wp:posOffset>199390</wp:posOffset>
                  </wp:positionV>
                  <wp:extent cx="659765" cy="474980"/>
                  <wp:effectExtent l="0" t="0" r="6985" b="1270"/>
                  <wp:wrapNone/>
                  <wp:docPr id="130" name="图片_143"/>
                  <wp:cNvGraphicFramePr/>
                  <a:graphic xmlns:a="http://schemas.openxmlformats.org/drawingml/2006/main">
                    <a:graphicData uri="http://schemas.openxmlformats.org/drawingml/2006/picture">
                      <pic:pic xmlns:pic="http://schemas.openxmlformats.org/drawingml/2006/picture">
                        <pic:nvPicPr>
                          <pic:cNvPr id="130" name="图片_143"/>
                          <pic:cNvPicPr/>
                        </pic:nvPicPr>
                        <pic:blipFill>
                          <a:blip r:embed="rId146"/>
                          <a:stretch>
                            <a:fillRect/>
                          </a:stretch>
                        </pic:blipFill>
                        <pic:spPr>
                          <a:xfrm>
                            <a:off x="0" y="0"/>
                            <a:ext cx="659765" cy="474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不锈钢留样盒                                                                                     采用340不锈钢板制作，厚0.8mm,可持续耐温-20-150℃，6个一组合，配带盖子。</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规格：外盒375*265*50mm，每个留样盒115*115*45mm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89535</wp:posOffset>
                  </wp:positionH>
                  <wp:positionV relativeFrom="paragraph">
                    <wp:posOffset>164465</wp:posOffset>
                  </wp:positionV>
                  <wp:extent cx="905510" cy="631190"/>
                  <wp:effectExtent l="0" t="0" r="8890" b="16510"/>
                  <wp:wrapNone/>
                  <wp:docPr id="131" name="图片_1_SpCnt_3"/>
                  <wp:cNvGraphicFramePr/>
                  <a:graphic xmlns:a="http://schemas.openxmlformats.org/drawingml/2006/main">
                    <a:graphicData uri="http://schemas.openxmlformats.org/drawingml/2006/picture">
                      <pic:pic xmlns:pic="http://schemas.openxmlformats.org/drawingml/2006/picture">
                        <pic:nvPicPr>
                          <pic:cNvPr id="131" name="图片_1_SpCnt_3"/>
                          <pic:cNvPicPr/>
                        </pic:nvPicPr>
                        <pic:blipFill>
                          <a:blip r:embed="rId147"/>
                          <a:stretch>
                            <a:fillRect/>
                          </a:stretch>
                        </pic:blipFill>
                        <pic:spPr>
                          <a:xfrm>
                            <a:off x="0" y="0"/>
                            <a:ext cx="905510" cy="6311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耐高温手套                                          牛筋加厚乳胶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110490</wp:posOffset>
                  </wp:positionV>
                  <wp:extent cx="602615" cy="677545"/>
                  <wp:effectExtent l="0" t="0" r="6985" b="8255"/>
                  <wp:wrapNone/>
                  <wp:docPr id="132" name="图片_64"/>
                  <wp:cNvGraphicFramePr/>
                  <a:graphic xmlns:a="http://schemas.openxmlformats.org/drawingml/2006/main">
                    <a:graphicData uri="http://schemas.openxmlformats.org/drawingml/2006/picture">
                      <pic:pic xmlns:pic="http://schemas.openxmlformats.org/drawingml/2006/picture">
                        <pic:nvPicPr>
                          <pic:cNvPr id="132" name="图片_64"/>
                          <pic:cNvPicPr/>
                        </pic:nvPicPr>
                        <pic:blipFill>
                          <a:blip r:embed="rId148"/>
                          <a:stretch>
                            <a:fillRect/>
                          </a:stretch>
                        </pic:blipFill>
                        <pic:spPr>
                          <a:xfrm>
                            <a:off x="0" y="0"/>
                            <a:ext cx="602615" cy="677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不锈钢清洁球                                         规格：50g</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191135</wp:posOffset>
                  </wp:positionH>
                  <wp:positionV relativeFrom="paragraph">
                    <wp:posOffset>118745</wp:posOffset>
                  </wp:positionV>
                  <wp:extent cx="705485" cy="702310"/>
                  <wp:effectExtent l="0" t="0" r="18415" b="2540"/>
                  <wp:wrapNone/>
                  <wp:docPr id="133" name="图片_63"/>
                  <wp:cNvGraphicFramePr/>
                  <a:graphic xmlns:a="http://schemas.openxmlformats.org/drawingml/2006/main">
                    <a:graphicData uri="http://schemas.openxmlformats.org/drawingml/2006/picture">
                      <pic:pic xmlns:pic="http://schemas.openxmlformats.org/drawingml/2006/picture">
                        <pic:nvPicPr>
                          <pic:cNvPr id="133" name="图片_63"/>
                          <pic:cNvPicPr/>
                        </pic:nvPicPr>
                        <pic:blipFill>
                          <a:blip r:embed="rId149"/>
                          <a:stretch>
                            <a:fillRect/>
                          </a:stretch>
                        </pic:blipFill>
                        <pic:spPr>
                          <a:xfrm>
                            <a:off x="0" y="0"/>
                            <a:ext cx="705485" cy="702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防水围裙</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110490</wp:posOffset>
                  </wp:positionV>
                  <wp:extent cx="561975" cy="889635"/>
                  <wp:effectExtent l="0" t="0" r="9525" b="5715"/>
                  <wp:wrapNone/>
                  <wp:docPr id="134" name="图片_62"/>
                  <wp:cNvGraphicFramePr/>
                  <a:graphic xmlns:a="http://schemas.openxmlformats.org/drawingml/2006/main">
                    <a:graphicData uri="http://schemas.openxmlformats.org/drawingml/2006/picture">
                      <pic:pic xmlns:pic="http://schemas.openxmlformats.org/drawingml/2006/picture">
                        <pic:nvPicPr>
                          <pic:cNvPr id="134" name="图片_62"/>
                          <pic:cNvPicPr/>
                        </pic:nvPicPr>
                        <pic:blipFill>
                          <a:blip r:embed="rId150"/>
                          <a:stretch>
                            <a:fillRect/>
                          </a:stretch>
                        </pic:blipFill>
                        <pic:spPr>
                          <a:xfrm>
                            <a:off x="0" y="0"/>
                            <a:ext cx="561975" cy="889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白色围裙</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111125</wp:posOffset>
                  </wp:positionV>
                  <wp:extent cx="781050" cy="868680"/>
                  <wp:effectExtent l="0" t="0" r="0" b="7620"/>
                  <wp:wrapNone/>
                  <wp:docPr id="135" name="图片_60"/>
                  <wp:cNvGraphicFramePr/>
                  <a:graphic xmlns:a="http://schemas.openxmlformats.org/drawingml/2006/main">
                    <a:graphicData uri="http://schemas.openxmlformats.org/drawingml/2006/picture">
                      <pic:pic xmlns:pic="http://schemas.openxmlformats.org/drawingml/2006/picture">
                        <pic:nvPicPr>
                          <pic:cNvPr id="135" name="图片_60"/>
                          <pic:cNvPicPr/>
                        </pic:nvPicPr>
                        <pic:blipFill>
                          <a:blip r:embed="rId151"/>
                          <a:stretch>
                            <a:fillRect/>
                          </a:stretch>
                        </pic:blipFill>
                        <pic:spPr>
                          <a:xfrm>
                            <a:off x="0" y="0"/>
                            <a:ext cx="781050" cy="868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防水袖套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114300</wp:posOffset>
                  </wp:positionV>
                  <wp:extent cx="716280" cy="887730"/>
                  <wp:effectExtent l="0" t="0" r="7620" b="7620"/>
                  <wp:wrapNone/>
                  <wp:docPr id="136" name="图片_61"/>
                  <wp:cNvGraphicFramePr/>
                  <a:graphic xmlns:a="http://schemas.openxmlformats.org/drawingml/2006/main">
                    <a:graphicData uri="http://schemas.openxmlformats.org/drawingml/2006/picture">
                      <pic:pic xmlns:pic="http://schemas.openxmlformats.org/drawingml/2006/picture">
                        <pic:nvPicPr>
                          <pic:cNvPr id="136" name="图片_61"/>
                          <pic:cNvPicPr/>
                        </pic:nvPicPr>
                        <pic:blipFill>
                          <a:blip r:embed="rId152"/>
                          <a:stretch>
                            <a:fillRect/>
                          </a:stretch>
                        </pic:blipFill>
                        <pic:spPr>
                          <a:xfrm>
                            <a:off x="0" y="0"/>
                            <a:ext cx="716280" cy="8877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雨鞋（女）37-39码</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125730</wp:posOffset>
                  </wp:positionV>
                  <wp:extent cx="681355" cy="779780"/>
                  <wp:effectExtent l="0" t="0" r="4445" b="1270"/>
                  <wp:wrapNone/>
                  <wp:docPr id="137" name="图片_58"/>
                  <wp:cNvGraphicFramePr/>
                  <a:graphic xmlns:a="http://schemas.openxmlformats.org/drawingml/2006/main">
                    <a:graphicData uri="http://schemas.openxmlformats.org/drawingml/2006/picture">
                      <pic:pic xmlns:pic="http://schemas.openxmlformats.org/drawingml/2006/picture">
                        <pic:nvPicPr>
                          <pic:cNvPr id="137" name="图片_58"/>
                          <pic:cNvPicPr/>
                        </pic:nvPicPr>
                        <pic:blipFill>
                          <a:blip r:embed="rId153"/>
                          <a:stretch>
                            <a:fillRect/>
                          </a:stretch>
                        </pic:blipFill>
                        <pic:spPr>
                          <a:xfrm>
                            <a:off x="0" y="0"/>
                            <a:ext cx="681355" cy="779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长统雨鞋（男）37-43码</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133350</wp:posOffset>
                  </wp:positionV>
                  <wp:extent cx="659130" cy="778510"/>
                  <wp:effectExtent l="0" t="0" r="7620" b="2540"/>
                  <wp:wrapNone/>
                  <wp:docPr id="138" name="图片_59"/>
                  <wp:cNvGraphicFramePr/>
                  <a:graphic xmlns:a="http://schemas.openxmlformats.org/drawingml/2006/main">
                    <a:graphicData uri="http://schemas.openxmlformats.org/drawingml/2006/picture">
                      <pic:pic xmlns:pic="http://schemas.openxmlformats.org/drawingml/2006/picture">
                        <pic:nvPicPr>
                          <pic:cNvPr id="138" name="图片_59"/>
                          <pic:cNvPicPr/>
                        </pic:nvPicPr>
                        <pic:blipFill>
                          <a:blip r:embed="rId154"/>
                          <a:stretch>
                            <a:fillRect/>
                          </a:stretch>
                        </pic:blipFill>
                        <pic:spPr>
                          <a:xfrm>
                            <a:off x="0" y="0"/>
                            <a:ext cx="659130" cy="778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白色长袖工作服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170815</wp:posOffset>
                  </wp:positionH>
                  <wp:positionV relativeFrom="paragraph">
                    <wp:posOffset>108585</wp:posOffset>
                  </wp:positionV>
                  <wp:extent cx="716280" cy="755650"/>
                  <wp:effectExtent l="0" t="0" r="7620" b="6350"/>
                  <wp:wrapNone/>
                  <wp:docPr id="139" name="图片_57"/>
                  <wp:cNvGraphicFramePr/>
                  <a:graphic xmlns:a="http://schemas.openxmlformats.org/drawingml/2006/main">
                    <a:graphicData uri="http://schemas.openxmlformats.org/drawingml/2006/picture">
                      <pic:pic xmlns:pic="http://schemas.openxmlformats.org/drawingml/2006/picture">
                        <pic:nvPicPr>
                          <pic:cNvPr id="139" name="图片_57"/>
                          <pic:cNvPicPr/>
                        </pic:nvPicPr>
                        <pic:blipFill>
                          <a:blip r:embed="rId155"/>
                          <a:stretch>
                            <a:fillRect/>
                          </a:stretch>
                        </pic:blipFill>
                        <pic:spPr>
                          <a:xfrm>
                            <a:off x="0" y="0"/>
                            <a:ext cx="716280" cy="755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色标毛巾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采用优质涤纶复合纤维丝材料制作，色标着色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规格：300*300mm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154940</wp:posOffset>
                  </wp:positionV>
                  <wp:extent cx="728345" cy="654050"/>
                  <wp:effectExtent l="0" t="0" r="14605" b="12700"/>
                  <wp:wrapNone/>
                  <wp:docPr id="140" name="图片_24"/>
                  <wp:cNvGraphicFramePr/>
                  <a:graphic xmlns:a="http://schemas.openxmlformats.org/drawingml/2006/main">
                    <a:graphicData uri="http://schemas.openxmlformats.org/drawingml/2006/picture">
                      <pic:pic xmlns:pic="http://schemas.openxmlformats.org/drawingml/2006/picture">
                        <pic:nvPicPr>
                          <pic:cNvPr id="140" name="图片_24"/>
                          <pic:cNvPicPr/>
                        </pic:nvPicPr>
                        <pic:blipFill>
                          <a:blip r:embed="rId156"/>
                          <a:stretch>
                            <a:fillRect/>
                          </a:stretch>
                        </pic:blipFill>
                        <pic:spPr>
                          <a:xfrm>
                            <a:off x="0" y="0"/>
                            <a:ext cx="728345" cy="654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淘米篮</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采用优质不锈钢材料制作，分布均匀的沥水网孔，全钢手柄。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规格：495*225mm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118110</wp:posOffset>
                  </wp:positionV>
                  <wp:extent cx="771525" cy="634365"/>
                  <wp:effectExtent l="0" t="0" r="9525" b="13335"/>
                  <wp:wrapNone/>
                  <wp:docPr id="141" name="图片_2_SpCnt_2"/>
                  <wp:cNvGraphicFramePr/>
                  <a:graphic xmlns:a="http://schemas.openxmlformats.org/drawingml/2006/main">
                    <a:graphicData uri="http://schemas.openxmlformats.org/drawingml/2006/picture">
                      <pic:pic xmlns:pic="http://schemas.openxmlformats.org/drawingml/2006/picture">
                        <pic:nvPicPr>
                          <pic:cNvPr id="141" name="图片_2_SpCnt_2"/>
                          <pic:cNvPicPr/>
                        </pic:nvPicPr>
                        <pic:blipFill>
                          <a:blip r:embed="rId157"/>
                          <a:stretch>
                            <a:fillRect/>
                          </a:stretch>
                        </pic:blipFill>
                        <pic:spPr>
                          <a:xfrm>
                            <a:off x="0" y="0"/>
                            <a:ext cx="771525" cy="634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色标塑料洗菜框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采用优质食用级PE材料制作，分布均匀的沥水网孔，颜色数量根据实际情况定选。</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规格：510*310*260mm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177165</wp:posOffset>
                  </wp:positionH>
                  <wp:positionV relativeFrom="paragraph">
                    <wp:posOffset>140335</wp:posOffset>
                  </wp:positionV>
                  <wp:extent cx="776605" cy="695960"/>
                  <wp:effectExtent l="0" t="0" r="4445" b="8890"/>
                  <wp:wrapNone/>
                  <wp:docPr id="142" name="图片_1_SpCnt_4"/>
                  <wp:cNvGraphicFramePr/>
                  <a:graphic xmlns:a="http://schemas.openxmlformats.org/drawingml/2006/main">
                    <a:graphicData uri="http://schemas.openxmlformats.org/drawingml/2006/picture">
                      <pic:pic xmlns:pic="http://schemas.openxmlformats.org/drawingml/2006/picture">
                        <pic:nvPicPr>
                          <pic:cNvPr id="142" name="图片_1_SpCnt_4"/>
                          <pic:cNvPicPr/>
                        </pic:nvPicPr>
                        <pic:blipFill>
                          <a:blip r:embed="rId158"/>
                          <a:stretch>
                            <a:fillRect/>
                          </a:stretch>
                        </pic:blipFill>
                        <pic:spPr>
                          <a:xfrm>
                            <a:off x="0" y="0"/>
                            <a:ext cx="776605" cy="695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炸篱</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不锈钢制，竹木手柄 ，粗细漏各2把                                       规格：490*210mm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137795</wp:posOffset>
                  </wp:positionH>
                  <wp:positionV relativeFrom="paragraph">
                    <wp:posOffset>160655</wp:posOffset>
                  </wp:positionV>
                  <wp:extent cx="757555" cy="548005"/>
                  <wp:effectExtent l="0" t="0" r="4445" b="4445"/>
                  <wp:wrapNone/>
                  <wp:docPr id="143" name="图片_28_SpCnt_1"/>
                  <wp:cNvGraphicFramePr/>
                  <a:graphic xmlns:a="http://schemas.openxmlformats.org/drawingml/2006/main">
                    <a:graphicData uri="http://schemas.openxmlformats.org/drawingml/2006/picture">
                      <pic:pic xmlns:pic="http://schemas.openxmlformats.org/drawingml/2006/picture">
                        <pic:nvPicPr>
                          <pic:cNvPr id="143" name="图片_28_SpCnt_1"/>
                          <pic:cNvPicPr/>
                        </pic:nvPicPr>
                        <pic:blipFill>
                          <a:blip r:embed="rId159"/>
                          <a:stretch>
                            <a:fillRect/>
                          </a:stretch>
                        </pic:blipFill>
                        <pic:spPr>
                          <a:xfrm>
                            <a:off x="0" y="0"/>
                            <a:ext cx="757555" cy="548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电高压锅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一锅双胆，内胆6L,70pa高压设计，多档口感调节;                                                    功率：1000W/220V 。                                                规格：6L</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themeColor="text1"/>
                <w:sz w:val="18"/>
                <w:szCs w:val="18"/>
                <w:u w:val="none"/>
                <w14:textFill>
                  <w14:solidFill>
                    <w14:schemeClr w14:val="tx1"/>
                  </w14:solidFill>
                </w14:textFill>
              </w:rPr>
            </w:pPr>
            <w:r>
              <w:rPr>
                <w:rFonts w:hint="default" w:ascii="仿宋_GB2312" w:hAnsi="宋体" w:eastAsia="仿宋_GB2312" w:cs="仿宋_GB2312"/>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76200</wp:posOffset>
                  </wp:positionV>
                  <wp:extent cx="776605" cy="893445"/>
                  <wp:effectExtent l="0" t="0" r="4445" b="1905"/>
                  <wp:wrapNone/>
                  <wp:docPr id="144" name="图片_4_SpCnt_1"/>
                  <wp:cNvGraphicFramePr/>
                  <a:graphic xmlns:a="http://schemas.openxmlformats.org/drawingml/2006/main">
                    <a:graphicData uri="http://schemas.openxmlformats.org/drawingml/2006/picture">
                      <pic:pic xmlns:pic="http://schemas.openxmlformats.org/drawingml/2006/picture">
                        <pic:nvPicPr>
                          <pic:cNvPr id="144" name="图片_4_SpCnt_1"/>
                          <pic:cNvPicPr/>
                        </pic:nvPicPr>
                        <pic:blipFill>
                          <a:blip r:embed="rId160"/>
                          <a:stretch>
                            <a:fillRect/>
                          </a:stretch>
                        </pic:blipFill>
                        <pic:spPr>
                          <a:xfrm>
                            <a:off x="0" y="0"/>
                            <a:ext cx="776605" cy="893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177</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电饭煲（小）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金属机身，加厚不沾钢釜，均匀快速加热，精准控温；24小时预约；电压：220V；额定频率：50HZ；额定功率：860W；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规格：5L</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sz w:val="18"/>
                <w:szCs w:val="18"/>
                <w:u w:val="none"/>
                <w14:textFill>
                  <w14:solidFill>
                    <w14:schemeClr w14:val="tx1"/>
                  </w14:solidFill>
                </w14:textFill>
              </w:rPr>
            </w:pPr>
            <w:r>
              <w:rPr>
                <w:rFonts w:hint="default" w:ascii="仿宋_GB2312" w:hAnsi="宋体" w:eastAsia="仿宋_GB2312" w:cs="仿宋_GB2312"/>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133350</wp:posOffset>
                  </wp:positionV>
                  <wp:extent cx="749300" cy="840105"/>
                  <wp:effectExtent l="0" t="0" r="12700" b="17145"/>
                  <wp:wrapNone/>
                  <wp:docPr id="145" name="图片_3_SpCnt_2"/>
                  <wp:cNvGraphicFramePr/>
                  <a:graphic xmlns:a="http://schemas.openxmlformats.org/drawingml/2006/main">
                    <a:graphicData uri="http://schemas.openxmlformats.org/drawingml/2006/picture">
                      <pic:pic xmlns:pic="http://schemas.openxmlformats.org/drawingml/2006/picture">
                        <pic:nvPicPr>
                          <pic:cNvPr id="145" name="图片_3_SpCnt_2"/>
                          <pic:cNvPicPr/>
                        </pic:nvPicPr>
                        <pic:blipFill>
                          <a:blip r:embed="rId161"/>
                          <a:stretch>
                            <a:fillRect/>
                          </a:stretch>
                        </pic:blipFill>
                        <pic:spPr>
                          <a:xfrm>
                            <a:off x="0" y="0"/>
                            <a:ext cx="749300" cy="840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178</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电饭煲（大）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加厚黑晶内胆，不粘不糊，均匀快速加热，双接地线，磁钢保温防生饭，电压：220V；额定频率：50HZ；额定功率：2500W。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规格：15L</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131445</wp:posOffset>
                  </wp:positionH>
                  <wp:positionV relativeFrom="paragraph">
                    <wp:posOffset>120015</wp:posOffset>
                  </wp:positionV>
                  <wp:extent cx="805815" cy="618490"/>
                  <wp:effectExtent l="0" t="0" r="13335" b="10160"/>
                  <wp:wrapNone/>
                  <wp:docPr id="146" name="图片_15"/>
                  <wp:cNvGraphicFramePr/>
                  <a:graphic xmlns:a="http://schemas.openxmlformats.org/drawingml/2006/main">
                    <a:graphicData uri="http://schemas.openxmlformats.org/drawingml/2006/picture">
                      <pic:pic xmlns:pic="http://schemas.openxmlformats.org/drawingml/2006/picture">
                        <pic:nvPicPr>
                          <pic:cNvPr id="146" name="图片_15"/>
                          <pic:cNvPicPr/>
                        </pic:nvPicPr>
                        <pic:blipFill>
                          <a:blip r:embed="rId162"/>
                          <a:stretch>
                            <a:fillRect/>
                          </a:stretch>
                        </pic:blipFill>
                        <pic:spPr>
                          <a:xfrm>
                            <a:off x="0" y="0"/>
                            <a:ext cx="805815" cy="618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179</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不锈钢电水壶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不锈钢制，容量：1.8升，功率：1800W/220V</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304165</wp:posOffset>
                  </wp:positionH>
                  <wp:positionV relativeFrom="paragraph">
                    <wp:posOffset>167640</wp:posOffset>
                  </wp:positionV>
                  <wp:extent cx="419100" cy="599440"/>
                  <wp:effectExtent l="0" t="0" r="0" b="10160"/>
                  <wp:wrapNone/>
                  <wp:docPr id="147" name="图片_6"/>
                  <wp:cNvGraphicFramePr/>
                  <a:graphic xmlns:a="http://schemas.openxmlformats.org/drawingml/2006/main">
                    <a:graphicData uri="http://schemas.openxmlformats.org/drawingml/2006/picture">
                      <pic:pic xmlns:pic="http://schemas.openxmlformats.org/drawingml/2006/picture">
                        <pic:nvPicPr>
                          <pic:cNvPr id="147" name="图片_6"/>
                          <pic:cNvPicPr/>
                        </pic:nvPicPr>
                        <pic:blipFill>
                          <a:blip r:embed="rId163"/>
                          <a:stretch>
                            <a:fillRect/>
                          </a:stretch>
                        </pic:blipFill>
                        <pic:spPr>
                          <a:xfrm>
                            <a:off x="0" y="0"/>
                            <a:ext cx="419100"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180</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磨刀石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选用优质氧化铝材质制成，150粗/320细两面，坚固耐磨，打磨效果好，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规格：150*45*25mm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181610</wp:posOffset>
                  </wp:positionV>
                  <wp:extent cx="623570" cy="544830"/>
                  <wp:effectExtent l="0" t="0" r="5080" b="7620"/>
                  <wp:wrapNone/>
                  <wp:docPr id="148" name="图片_4_SpCnt_2"/>
                  <wp:cNvGraphicFramePr/>
                  <a:graphic xmlns:a="http://schemas.openxmlformats.org/drawingml/2006/main">
                    <a:graphicData uri="http://schemas.openxmlformats.org/drawingml/2006/picture">
                      <pic:pic xmlns:pic="http://schemas.openxmlformats.org/drawingml/2006/picture">
                        <pic:nvPicPr>
                          <pic:cNvPr id="148" name="图片_4_SpCnt_2"/>
                          <pic:cNvPicPr/>
                        </pic:nvPicPr>
                        <pic:blipFill>
                          <a:blip r:embed="rId164"/>
                          <a:stretch>
                            <a:fillRect/>
                          </a:stretch>
                        </pic:blipFill>
                        <pic:spPr>
                          <a:xfrm>
                            <a:off x="0" y="0"/>
                            <a:ext cx="623570" cy="544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181</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食品保鲜盒</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采用环保PP材质制作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规格：270*190*95mm</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257810</wp:posOffset>
                  </wp:positionH>
                  <wp:positionV relativeFrom="paragraph">
                    <wp:posOffset>131445</wp:posOffset>
                  </wp:positionV>
                  <wp:extent cx="598805" cy="628650"/>
                  <wp:effectExtent l="0" t="0" r="10795" b="0"/>
                  <wp:wrapNone/>
                  <wp:docPr id="149" name="图片_5_SpCnt_2"/>
                  <wp:cNvGraphicFramePr/>
                  <a:graphic xmlns:a="http://schemas.openxmlformats.org/drawingml/2006/main">
                    <a:graphicData uri="http://schemas.openxmlformats.org/drawingml/2006/picture">
                      <pic:pic xmlns:pic="http://schemas.openxmlformats.org/drawingml/2006/picture">
                        <pic:nvPicPr>
                          <pic:cNvPr id="149" name="图片_5_SpCnt_2"/>
                          <pic:cNvPicPr/>
                        </pic:nvPicPr>
                        <pic:blipFill>
                          <a:blip r:embed="rId165"/>
                          <a:stretch>
                            <a:fillRect/>
                          </a:stretch>
                        </pic:blipFill>
                        <pic:spPr>
                          <a:xfrm>
                            <a:off x="0" y="0"/>
                            <a:ext cx="598805" cy="628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智付终端刷卡机                                                                       支持13.56MHz非接触式卡片；正面电容触摸7英寸IPS高清彩屏显示；操作面高清彩屏显示；支持语音提示；通讯接口可选，支持TCP/IP、GPRS、CDMA、4G全网通、BLE+WIF（2.4G/5G）；支持下载黑白名单；支持交易记录保存, 记录通过约定通讯方式上传至上位机数据库；支持简单的交易查询, 可设置设备工作参数，对设备进行维护和管理；支持U盘升级固件程序、数据下载、记录采集；操作员键盘为机械按键、密码键盘为触摸按键；支持二维码在线消费，支持二维码离线消费；支持人脸识别在线消费，支持人脸识别离线消费；支持显示双钱包余额，支持领取双补助；支持设置交易模式；电源电压：DC:9~15V(5%）电流，后备电池：可扩展(3000mAh/7.4V) ；支持卡类型：M1卡、CPU卡、SIMPASS、UIMPASS 。                                            规格：335*200*110mm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106680</wp:posOffset>
                  </wp:positionH>
                  <wp:positionV relativeFrom="paragraph">
                    <wp:posOffset>886460</wp:posOffset>
                  </wp:positionV>
                  <wp:extent cx="899795" cy="570230"/>
                  <wp:effectExtent l="0" t="0" r="14605" b="1270"/>
                  <wp:wrapNone/>
                  <wp:docPr id="150" name="图片_5_SpCnt_3"/>
                  <wp:cNvGraphicFramePr/>
                  <a:graphic xmlns:a="http://schemas.openxmlformats.org/drawingml/2006/main">
                    <a:graphicData uri="http://schemas.openxmlformats.org/drawingml/2006/picture">
                      <pic:pic xmlns:pic="http://schemas.openxmlformats.org/drawingml/2006/picture">
                        <pic:nvPicPr>
                          <pic:cNvPr id="150" name="图片_5_SpCnt_3"/>
                          <pic:cNvPicPr/>
                        </pic:nvPicPr>
                        <pic:blipFill>
                          <a:blip r:embed="rId166"/>
                          <a:stretch>
                            <a:fillRect/>
                          </a:stretch>
                        </pic:blipFill>
                        <pic:spPr>
                          <a:xfrm>
                            <a:off x="0" y="0"/>
                            <a:ext cx="899795" cy="570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183</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Style w:val="46"/>
                <w:color w:val="000000" w:themeColor="text1"/>
                <w:lang w:val="en-US" w:eastAsia="zh-CN" w:bidi="ar"/>
                <w14:textFill>
                  <w14:solidFill>
                    <w14:schemeClr w14:val="tx1"/>
                  </w14:solidFill>
                </w14:textFill>
              </w:rPr>
              <w:t>活动垃圾桶                                                     全塑料结构；活动式圆形垃圾桶 ，圆形桶盖 ，储物桶活动轮，容积：</w:t>
            </w:r>
            <w:r>
              <w:rPr>
                <w:rStyle w:val="47"/>
                <w:color w:val="000000" w:themeColor="text1"/>
                <w:lang w:val="en-US" w:eastAsia="zh-CN" w:bidi="ar"/>
                <w14:textFill>
                  <w14:solidFill>
                    <w14:schemeClr w14:val="tx1"/>
                  </w14:solidFill>
                </w14:textFill>
              </w:rPr>
              <w:t>≥</w:t>
            </w:r>
            <w:r>
              <w:rPr>
                <w:rStyle w:val="46"/>
                <w:color w:val="000000" w:themeColor="text1"/>
                <w:lang w:val="en-US" w:eastAsia="zh-CN" w:bidi="ar"/>
                <w14:textFill>
                  <w14:solidFill>
                    <w14:schemeClr w14:val="tx1"/>
                  </w14:solidFill>
                </w14:textFill>
              </w:rPr>
              <w:t>80 升。</w:t>
            </w:r>
            <w:r>
              <w:rPr>
                <w:rStyle w:val="46"/>
                <w:color w:val="000000" w:themeColor="text1"/>
                <w:lang w:val="en-US" w:eastAsia="zh-CN" w:bidi="ar"/>
                <w14:textFill>
                  <w14:solidFill>
                    <w14:schemeClr w14:val="tx1"/>
                  </w14:solidFill>
                </w14:textFill>
              </w:rPr>
              <w:br w:type="textWrapping"/>
            </w:r>
            <w:r>
              <w:rPr>
                <w:rStyle w:val="46"/>
                <w:color w:val="000000" w:themeColor="text1"/>
                <w:lang w:val="en-US" w:eastAsia="zh-CN" w:bidi="ar"/>
                <w14:textFill>
                  <w14:solidFill>
                    <w14:schemeClr w14:val="tx1"/>
                  </w14:solidFill>
                </w14:textFill>
              </w:rPr>
              <w:t>规格：565*750 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261620</wp:posOffset>
                  </wp:positionH>
                  <wp:positionV relativeFrom="paragraph">
                    <wp:posOffset>133985</wp:posOffset>
                  </wp:positionV>
                  <wp:extent cx="539750" cy="760095"/>
                  <wp:effectExtent l="0" t="0" r="12700" b="1905"/>
                  <wp:wrapNone/>
                  <wp:docPr id="151" name="图片_15_SpCnt_1"/>
                  <wp:cNvGraphicFramePr/>
                  <a:graphic xmlns:a="http://schemas.openxmlformats.org/drawingml/2006/main">
                    <a:graphicData uri="http://schemas.openxmlformats.org/drawingml/2006/picture">
                      <pic:pic xmlns:pic="http://schemas.openxmlformats.org/drawingml/2006/picture">
                        <pic:nvPicPr>
                          <pic:cNvPr id="151" name="图片_15_SpCnt_1"/>
                          <pic:cNvPicPr/>
                        </pic:nvPicPr>
                        <pic:blipFill>
                          <a:blip r:embed="rId167"/>
                          <a:stretch>
                            <a:fillRect/>
                          </a:stretch>
                        </pic:blipFill>
                        <pic:spPr>
                          <a:xfrm>
                            <a:off x="0" y="0"/>
                            <a:ext cx="539750" cy="760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184</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台下式油水分离器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选用优质不锈钢制作；厚δ=1.2mm，实厚δ≥1.08mm；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共分三格制作，当污水排入第一槽时，杂物筐将其中的固体杂物过滤除去后流入第二槽，利用油水密度差使油水分离，废水沿第二槽隔油板向下流，进入第三槽后从物理装置净化流出，再经出水管收集排出，第二槽中的油珠颗粒物沿隔油板集聚向上漂浮流动，始终浮在隔油池的第二槽内，然后用集油管汇集排除；活动安装方便清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规格：300*500*300mm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155575</wp:posOffset>
                  </wp:positionH>
                  <wp:positionV relativeFrom="paragraph">
                    <wp:posOffset>354965</wp:posOffset>
                  </wp:positionV>
                  <wp:extent cx="838835" cy="866775"/>
                  <wp:effectExtent l="0" t="0" r="18415" b="9525"/>
                  <wp:wrapNone/>
                  <wp:docPr id="152" name="图片_2_SpCnt_3"/>
                  <wp:cNvGraphicFramePr/>
                  <a:graphic xmlns:a="http://schemas.openxmlformats.org/drawingml/2006/main">
                    <a:graphicData uri="http://schemas.openxmlformats.org/drawingml/2006/picture">
                      <pic:pic xmlns:pic="http://schemas.openxmlformats.org/drawingml/2006/picture">
                        <pic:nvPicPr>
                          <pic:cNvPr id="152" name="图片_2_SpCnt_3"/>
                          <pic:cNvPicPr/>
                        </pic:nvPicPr>
                        <pic:blipFill>
                          <a:blip r:embed="rId168"/>
                          <a:stretch>
                            <a:fillRect/>
                          </a:stretch>
                        </pic:blipFill>
                        <pic:spPr>
                          <a:xfrm>
                            <a:off x="0" y="0"/>
                            <a:ext cx="838835" cy="866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185</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垃圾处理器骨头厨余粉碎机                                             1000W 大功率，8级研磨，纯铜永磁直流电机，自带抑菌内仓，带自动进水功能，遥控开关带智能定时关机 涡轮增压式排水，带正转反转 防卡死，自带五种保护功能 。          规格： 90*110mm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306070</wp:posOffset>
                  </wp:positionH>
                  <wp:positionV relativeFrom="paragraph">
                    <wp:posOffset>85090</wp:posOffset>
                  </wp:positionV>
                  <wp:extent cx="442595" cy="770890"/>
                  <wp:effectExtent l="0" t="0" r="14605" b="10160"/>
                  <wp:wrapNone/>
                  <wp:docPr id="153" name="图片_66"/>
                  <wp:cNvGraphicFramePr/>
                  <a:graphic xmlns:a="http://schemas.openxmlformats.org/drawingml/2006/main">
                    <a:graphicData uri="http://schemas.openxmlformats.org/drawingml/2006/picture">
                      <pic:pic xmlns:pic="http://schemas.openxmlformats.org/drawingml/2006/picture">
                        <pic:nvPicPr>
                          <pic:cNvPr id="153" name="图片_66"/>
                          <pic:cNvPicPr/>
                        </pic:nvPicPr>
                        <pic:blipFill>
                          <a:blip r:embed="rId169"/>
                          <a:stretch>
                            <a:fillRect/>
                          </a:stretch>
                        </pic:blipFill>
                        <pic:spPr>
                          <a:xfrm>
                            <a:off x="0" y="0"/>
                            <a:ext cx="442595" cy="770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186</w:t>
            </w:r>
          </w:p>
        </w:tc>
        <w:tc>
          <w:tcPr>
            <w:tcW w:w="5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除湿机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采全新LED显示屏，全自动感应环境湿度，随意设置效果湿度，有效防霉防潮，有效防潮面积100㎡，功率920W/220V                                    规格：460*400*700mm</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175260</wp:posOffset>
                  </wp:positionV>
                  <wp:extent cx="652780" cy="920750"/>
                  <wp:effectExtent l="0" t="0" r="13970" b="12700"/>
                  <wp:wrapNone/>
                  <wp:docPr id="154" name="图片_47"/>
                  <wp:cNvGraphicFramePr/>
                  <a:graphic xmlns:a="http://schemas.openxmlformats.org/drawingml/2006/main">
                    <a:graphicData uri="http://schemas.openxmlformats.org/drawingml/2006/picture">
                      <pic:pic xmlns:pic="http://schemas.openxmlformats.org/drawingml/2006/picture">
                        <pic:nvPicPr>
                          <pic:cNvPr id="154" name="图片_47"/>
                          <pic:cNvPicPr/>
                        </pic:nvPicPr>
                        <pic:blipFill>
                          <a:blip r:embed="rId170"/>
                          <a:stretch>
                            <a:fillRect/>
                          </a:stretch>
                        </pic:blipFill>
                        <pic:spPr>
                          <a:xfrm>
                            <a:off x="0" y="0"/>
                            <a:ext cx="652780" cy="920750"/>
                          </a:xfrm>
                          <a:prstGeom prst="rect">
                            <a:avLst/>
                          </a:prstGeom>
                          <a:noFill/>
                          <a:ln>
                            <a:noFill/>
                          </a:ln>
                        </pic:spPr>
                      </pic:pic>
                    </a:graphicData>
                  </a:graphic>
                </wp:anchor>
              </w:drawing>
            </w:r>
          </w:p>
        </w:tc>
      </w:tr>
    </w:tbl>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p>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p>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p>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三、商务条款</w:t>
      </w:r>
    </w:p>
    <w:tbl>
      <w:tblPr>
        <w:tblStyle w:val="14"/>
        <w:tblW w:w="9072" w:type="dxa"/>
        <w:tblInd w:w="108" w:type="dxa"/>
        <w:tblLayout w:type="fixed"/>
        <w:tblCellMar>
          <w:top w:w="0" w:type="dxa"/>
          <w:left w:w="108" w:type="dxa"/>
          <w:bottom w:w="0" w:type="dxa"/>
          <w:right w:w="108" w:type="dxa"/>
        </w:tblCellMar>
      </w:tblPr>
      <w:tblGrid>
        <w:gridCol w:w="709"/>
        <w:gridCol w:w="8363"/>
      </w:tblGrid>
      <w:tr>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序号</w:t>
            </w:r>
          </w:p>
        </w:tc>
        <w:tc>
          <w:tcPr>
            <w:tcW w:w="8363" w:type="dxa"/>
            <w:tcBorders>
              <w:top w:val="single" w:color="auto" w:sz="4" w:space="0"/>
              <w:left w:val="nil"/>
              <w:bottom w:val="single" w:color="000000" w:sz="6" w:space="0"/>
              <w:right w:val="single" w:color="auto" w:sz="4" w:space="0"/>
            </w:tcBorders>
            <w:noWrap w:val="0"/>
            <w:vAlign w:val="center"/>
          </w:tcPr>
          <w:p>
            <w:pPr>
              <w:autoSpaceDE w:val="0"/>
              <w:autoSpaceDN w:val="0"/>
              <w:adjustRightInd w:val="0"/>
              <w:spacing w:line="380" w:lineRule="exact"/>
              <w:jc w:val="center"/>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内</w:t>
            </w:r>
            <w:r>
              <w:rPr>
                <w:rFonts w:ascii="宋体" w:hAnsi="宋体"/>
                <w:b/>
                <w:bCs/>
                <w:color w:val="000000" w:themeColor="text1"/>
                <w:sz w:val="21"/>
                <w:szCs w:val="21"/>
                <w14:textFill>
                  <w14:solidFill>
                    <w14:schemeClr w14:val="tx1"/>
                  </w14:solidFill>
                </w14:textFill>
              </w:rPr>
              <w:t xml:space="preserve">      </w:t>
            </w:r>
            <w:r>
              <w:rPr>
                <w:rFonts w:hint="eastAsia" w:ascii="宋体" w:hAnsi="宋体"/>
                <w:b/>
                <w:bCs/>
                <w:color w:val="000000" w:themeColor="text1"/>
                <w:sz w:val="21"/>
                <w:szCs w:val="21"/>
                <w14:textFill>
                  <w14:solidFill>
                    <w14:schemeClr w14:val="tx1"/>
                  </w14:solidFill>
                </w14:textFill>
              </w:rPr>
              <w:t>容</w:t>
            </w:r>
          </w:p>
        </w:tc>
      </w:tr>
      <w:tr>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1</w:t>
            </w:r>
          </w:p>
        </w:tc>
        <w:tc>
          <w:tcPr>
            <w:tcW w:w="8363" w:type="dxa"/>
            <w:tcBorders>
              <w:top w:val="single" w:color="auto" w:sz="4" w:space="0"/>
              <w:left w:val="nil"/>
              <w:bottom w:val="single" w:color="000000" w:sz="6" w:space="0"/>
              <w:right w:val="single" w:color="auto" w:sz="4" w:space="0"/>
            </w:tcBorders>
            <w:noWrap w:val="0"/>
            <w:vAlign w:val="center"/>
          </w:tcPr>
          <w:p>
            <w:pPr>
              <w:spacing w:line="380" w:lineRule="exact"/>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本次采购为交钥匙项目，供应商应根据采购文件、各自情况等进行报价的编制，报价应包括采购范围内的全部内容，含货物（包括质保期内的备品备件、易损件、专用工具等）的设计、制造、包装、保险、运输、装卸、安装、调试、验收、培训、售后服务及技术支持等相关服务的所有费用。供应商应充分考虑本项目合同实施期间可能发生的一切费用，并承担由此而带来的风险。凡供应商在报价中未列明但又为货物所必备的项目或遗漏项目，采购人将一律视为已包括在其报价中，在合同执行中将不予考虑。</w:t>
            </w:r>
          </w:p>
          <w:p>
            <w:pPr>
              <w:spacing w:line="380" w:lineRule="exact"/>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总包服务费由甲方支付。</w:t>
            </w:r>
          </w:p>
        </w:tc>
      </w:tr>
      <w:tr>
        <w:tblPrEx>
          <w:tblCellMar>
            <w:top w:w="0" w:type="dxa"/>
            <w:left w:w="108" w:type="dxa"/>
            <w:bottom w:w="0" w:type="dxa"/>
            <w:right w:w="108" w:type="dxa"/>
          </w:tblCellMar>
        </w:tblPrEx>
        <w:trPr>
          <w:trHeight w:val="454"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w:t>
            </w:r>
          </w:p>
        </w:tc>
        <w:tc>
          <w:tcPr>
            <w:tcW w:w="8363" w:type="dxa"/>
            <w:tcBorders>
              <w:top w:val="single" w:color="000000" w:sz="6" w:space="0"/>
              <w:left w:val="nil"/>
              <w:bottom w:val="single" w:color="000000" w:sz="6" w:space="0"/>
              <w:right w:val="single" w:color="auto" w:sz="4" w:space="0"/>
            </w:tcBorders>
            <w:noWrap w:val="0"/>
            <w:vAlign w:val="center"/>
          </w:tcPr>
          <w:p>
            <w:pPr>
              <w:spacing w:line="380" w:lineRule="exact"/>
              <w:rPr>
                <w:rFonts w:ascii="宋体" w:hAnsi="宋体"/>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合同履约期限：</w:t>
            </w:r>
            <w:r>
              <w:rPr>
                <w:rFonts w:hint="eastAsia" w:ascii="宋体" w:hAnsi="宋体" w:eastAsia="宋体" w:cs="宋体"/>
                <w:color w:val="000000" w:themeColor="text1"/>
                <w:sz w:val="21"/>
                <w:szCs w:val="21"/>
                <w:lang w:val="zh-CN" w:eastAsia="zh-CN"/>
                <w14:textFill>
                  <w14:solidFill>
                    <w14:schemeClr w14:val="tx1"/>
                  </w14:solidFill>
                </w14:textFill>
              </w:rPr>
              <w:t>具备实施条件</w:t>
            </w:r>
            <w:r>
              <w:rPr>
                <w:rFonts w:hint="eastAsia" w:ascii="宋体" w:hAnsi="宋体" w:eastAsia="宋体" w:cs="宋体"/>
                <w:color w:val="000000" w:themeColor="text1"/>
                <w:sz w:val="21"/>
                <w:szCs w:val="21"/>
                <w:lang w:val="zh-CN"/>
                <w14:textFill>
                  <w14:solidFill>
                    <w14:schemeClr w14:val="tx1"/>
                  </w14:solidFill>
                </w14:textFill>
              </w:rPr>
              <w:t>起</w:t>
            </w:r>
            <w:r>
              <w:rPr>
                <w:rFonts w:hint="eastAsia" w:ascii="宋体" w:hAnsi="宋体" w:eastAsia="宋体" w:cs="宋体"/>
                <w:color w:val="000000" w:themeColor="text1"/>
                <w:sz w:val="21"/>
                <w:szCs w:val="21"/>
                <w:lang w:val="zh-CN" w:eastAsia="zh-CN"/>
                <w14:textFill>
                  <w14:solidFill>
                    <w14:schemeClr w14:val="tx1"/>
                  </w14:solidFill>
                </w14:textFill>
              </w:rPr>
              <w:t>一</w:t>
            </w:r>
            <w:r>
              <w:rPr>
                <w:rFonts w:hint="eastAsia" w:ascii="宋体" w:hAnsi="宋体" w:eastAsia="宋体" w:cs="宋体"/>
                <w:color w:val="000000" w:themeColor="text1"/>
                <w:sz w:val="21"/>
                <w:szCs w:val="21"/>
                <w:lang w:val="zh-CN"/>
                <w14:textFill>
                  <w14:solidFill>
                    <w14:schemeClr w14:val="tx1"/>
                  </w14:solidFill>
                </w14:textFill>
              </w:rPr>
              <w:t>个月内</w:t>
            </w:r>
            <w:r>
              <w:rPr>
                <w:rFonts w:hint="eastAsia" w:ascii="宋体" w:hAnsi="宋体" w:eastAsia="宋体" w:cs="宋体"/>
                <w:color w:val="000000" w:themeColor="text1"/>
                <w:sz w:val="21"/>
                <w:szCs w:val="21"/>
                <w:lang w:val="zh-CN" w:eastAsia="zh-CN"/>
                <w14:textFill>
                  <w14:solidFill>
                    <w14:schemeClr w14:val="tx1"/>
                  </w14:solidFill>
                </w14:textFill>
              </w:rPr>
              <w:t>完成供货安装调试验收。</w:t>
            </w:r>
          </w:p>
        </w:tc>
      </w:tr>
      <w:tr>
        <w:tblPrEx>
          <w:tblCellMar>
            <w:top w:w="0" w:type="dxa"/>
            <w:left w:w="108" w:type="dxa"/>
            <w:bottom w:w="0" w:type="dxa"/>
            <w:right w:w="108" w:type="dxa"/>
          </w:tblCellMar>
        </w:tblPrEx>
        <w:trPr>
          <w:trHeight w:val="454"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w:t>
            </w:r>
          </w:p>
        </w:tc>
        <w:tc>
          <w:tcPr>
            <w:tcW w:w="8363" w:type="dxa"/>
            <w:tcBorders>
              <w:top w:val="single" w:color="000000" w:sz="6" w:space="0"/>
              <w:left w:val="nil"/>
              <w:bottom w:val="single" w:color="000000" w:sz="6" w:space="0"/>
              <w:right w:val="single" w:color="auto" w:sz="4" w:space="0"/>
            </w:tcBorders>
            <w:noWrap w:val="0"/>
            <w:vAlign w:val="center"/>
          </w:tcPr>
          <w:p>
            <w:pPr>
              <w:spacing w:line="380" w:lineRule="exact"/>
              <w:rPr>
                <w:rFonts w:hint="eastAsia"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付款方法和条件：</w:t>
            </w:r>
          </w:p>
          <w:p>
            <w:pPr>
              <w:numPr>
                <w:ilvl w:val="0"/>
                <w:numId w:val="4"/>
              </w:numPr>
              <w:spacing w:line="380" w:lineRule="exact"/>
              <w:rPr>
                <w:rFonts w:hint="eastAsia"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在合同签订生效以及具备实施条件后15日内支付合同价款的</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lang w:val="zh-CN"/>
                <w14:textFill>
                  <w14:solidFill>
                    <w14:schemeClr w14:val="tx1"/>
                  </w14:solidFill>
                </w14:textFill>
              </w:rPr>
              <w:t>0%；</w:t>
            </w:r>
          </w:p>
          <w:p>
            <w:pPr>
              <w:numPr>
                <w:ilvl w:val="0"/>
                <w:numId w:val="4"/>
              </w:numPr>
              <w:spacing w:line="380" w:lineRule="exact"/>
              <w:rPr>
                <w:rFonts w:ascii="宋体" w:hAnsi="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全部到货15日内付至合同价款的</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cs="宋体"/>
                <w:color w:val="000000" w:themeColor="text1"/>
                <w:sz w:val="21"/>
                <w:szCs w:val="21"/>
                <w:lang w:val="zh-CN"/>
                <w14:textFill>
                  <w14:solidFill>
                    <w14:schemeClr w14:val="tx1"/>
                  </w14:solidFill>
                </w14:textFill>
              </w:rPr>
              <w:t>0%；</w:t>
            </w:r>
          </w:p>
          <w:p>
            <w:pPr>
              <w:numPr>
                <w:ilvl w:val="0"/>
                <w:numId w:val="4"/>
              </w:numPr>
              <w:spacing w:line="380" w:lineRule="exact"/>
              <w:rPr>
                <w:rFonts w:ascii="宋体" w:hAnsi="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中标供应商将所有设备及产品安装调试完成，由采购人验收合格后15日内向供应商支付至合同价款的</w:t>
            </w:r>
            <w:r>
              <w:rPr>
                <w:rFonts w:hint="eastAsia" w:ascii="宋体" w:hAnsi="宋体" w:cs="宋体"/>
                <w:color w:val="000000" w:themeColor="text1"/>
                <w:sz w:val="21"/>
                <w:szCs w:val="21"/>
                <w:lang w:val="en-US" w:eastAsia="zh-CN"/>
                <w14:textFill>
                  <w14:solidFill>
                    <w14:schemeClr w14:val="tx1"/>
                  </w14:solidFill>
                </w14:textFill>
              </w:rPr>
              <w:t>98.5</w:t>
            </w:r>
            <w:r>
              <w:rPr>
                <w:rFonts w:hint="eastAsia" w:ascii="宋体" w:hAnsi="宋体" w:cs="宋体"/>
                <w:color w:val="000000" w:themeColor="text1"/>
                <w:sz w:val="21"/>
                <w:szCs w:val="21"/>
                <w:lang w:val="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剩款1.5</w:t>
            </w:r>
            <w:r>
              <w:rPr>
                <w:rFonts w:hint="eastAsia" w:ascii="宋体" w:hAnsi="宋体" w:cs="宋体"/>
                <w:color w:val="000000" w:themeColor="text1"/>
                <w:sz w:val="21"/>
                <w:szCs w:val="21"/>
                <w:lang w:val="zh-CN"/>
                <w14:textFill>
                  <w14:solidFill>
                    <w14:schemeClr w14:val="tx1"/>
                  </w14:solidFill>
                </w14:textFill>
              </w:rPr>
              <w:t>%待验收合格后</w:t>
            </w:r>
            <w:r>
              <w:rPr>
                <w:rFonts w:hint="eastAsia" w:ascii="宋体" w:hAnsi="宋体" w:cs="宋体"/>
                <w:color w:val="000000" w:themeColor="text1"/>
                <w:sz w:val="21"/>
                <w:szCs w:val="21"/>
                <w:lang w:val="en-US" w:eastAsia="zh-CN"/>
                <w14:textFill>
                  <w14:solidFill>
                    <w14:schemeClr w14:val="tx1"/>
                  </w14:solidFill>
                </w14:textFill>
              </w:rPr>
              <w:t>6个月</w:t>
            </w:r>
            <w:r>
              <w:rPr>
                <w:rFonts w:hint="eastAsia" w:ascii="宋体" w:hAnsi="宋体" w:cs="宋体"/>
                <w:color w:val="000000" w:themeColor="text1"/>
                <w:sz w:val="21"/>
                <w:szCs w:val="21"/>
                <w:lang w:val="zh-CN"/>
                <w14:textFill>
                  <w14:solidFill>
                    <w14:schemeClr w14:val="tx1"/>
                  </w14:solidFill>
                </w14:textFill>
              </w:rPr>
              <w:t>内付清。</w:t>
            </w:r>
          </w:p>
        </w:tc>
      </w:tr>
      <w:tr>
        <w:tblPrEx>
          <w:tblCellMar>
            <w:top w:w="0" w:type="dxa"/>
            <w:left w:w="108" w:type="dxa"/>
            <w:bottom w:w="0" w:type="dxa"/>
            <w:right w:w="108" w:type="dxa"/>
          </w:tblCellMar>
        </w:tblPrEx>
        <w:trPr>
          <w:trHeight w:val="454"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w:t>
            </w:r>
          </w:p>
        </w:tc>
        <w:tc>
          <w:tcPr>
            <w:tcW w:w="8363" w:type="dxa"/>
            <w:tcBorders>
              <w:top w:val="single" w:color="000000" w:sz="6" w:space="0"/>
              <w:left w:val="nil"/>
              <w:bottom w:val="single" w:color="000000" w:sz="6" w:space="0"/>
              <w:right w:val="single" w:color="auto" w:sz="4" w:space="0"/>
            </w:tcBorders>
            <w:noWrap w:val="0"/>
            <w:vAlign w:val="center"/>
          </w:tcPr>
          <w:p>
            <w:pPr>
              <w:spacing w:line="38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安装调试：</w:t>
            </w:r>
          </w:p>
          <w:p>
            <w:pPr>
              <w:spacing w:line="38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 xml:space="preserve">1.安装地点：采购人指定位置。         </w:t>
            </w:r>
          </w:p>
          <w:p>
            <w:pPr>
              <w:spacing w:line="38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2.完成时间: 签订合同后按采购人指令完成，将所有设备调试安装完毕，相关存档资料按当地相关规定移交。</w:t>
            </w:r>
          </w:p>
          <w:p>
            <w:pPr>
              <w:spacing w:line="38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3.安装标准：符合我国国家有关技术规范要求和技术标准。</w:t>
            </w:r>
          </w:p>
          <w:p>
            <w:pPr>
              <w:spacing w:line="38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4.供应商提供中标设备的安装服务。</w:t>
            </w:r>
          </w:p>
          <w:p>
            <w:pPr>
              <w:spacing w:line="380" w:lineRule="exac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5.调试所需专用工具设施材料由中标方自备、自运到现场，完工后自费搬走。</w:t>
            </w:r>
          </w:p>
        </w:tc>
      </w:tr>
      <w:tr>
        <w:tblPrEx>
          <w:tblCellMar>
            <w:top w:w="0" w:type="dxa"/>
            <w:left w:w="108" w:type="dxa"/>
            <w:bottom w:w="0" w:type="dxa"/>
            <w:right w:w="108" w:type="dxa"/>
          </w:tblCellMar>
        </w:tblPrEx>
        <w:trPr>
          <w:trHeight w:val="65"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w:t>
            </w:r>
          </w:p>
        </w:tc>
        <w:tc>
          <w:tcPr>
            <w:tcW w:w="8363" w:type="dxa"/>
            <w:tcBorders>
              <w:top w:val="single" w:color="000000" w:sz="6" w:space="0"/>
              <w:left w:val="nil"/>
              <w:bottom w:val="single" w:color="000000" w:sz="6" w:space="0"/>
              <w:right w:val="single" w:color="auto" w:sz="4" w:space="0"/>
            </w:tcBorders>
            <w:noWrap w:val="0"/>
            <w:vAlign w:val="center"/>
          </w:tcPr>
          <w:p>
            <w:pPr>
              <w:widowControl/>
              <w:spacing w:line="380" w:lineRule="exact"/>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质保期：质保期为验收合格后2年。在保修期内，所有因服务、设备及零部件更换和维修等原因产生的费用由供应商承担(使用或操作不当及人为原因等非产品质量原因造成的除外)。</w:t>
            </w:r>
          </w:p>
        </w:tc>
      </w:tr>
      <w:tr>
        <w:tblPrEx>
          <w:tblCellMar>
            <w:top w:w="0" w:type="dxa"/>
            <w:left w:w="108" w:type="dxa"/>
            <w:bottom w:w="0" w:type="dxa"/>
            <w:right w:w="108" w:type="dxa"/>
          </w:tblCellMar>
        </w:tblPrEx>
        <w:trPr>
          <w:trHeight w:val="65"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6</w:t>
            </w:r>
          </w:p>
        </w:tc>
        <w:tc>
          <w:tcPr>
            <w:tcW w:w="8363" w:type="dxa"/>
            <w:tcBorders>
              <w:top w:val="single" w:color="000000" w:sz="6" w:space="0"/>
              <w:left w:val="nil"/>
              <w:bottom w:val="single" w:color="000000" w:sz="6" w:space="0"/>
              <w:right w:val="single" w:color="auto" w:sz="4" w:space="0"/>
            </w:tcBorders>
            <w:noWrap w:val="0"/>
            <w:vAlign w:val="center"/>
          </w:tcPr>
          <w:p>
            <w:pPr>
              <w:widowControl/>
              <w:spacing w:line="380" w:lineRule="exact"/>
              <w:jc w:val="left"/>
              <w:rPr>
                <w:rFonts w:hint="eastAsia" w:ascii="宋体" w:hAnsi="宋体"/>
                <w:color w:val="000000" w:themeColor="text1"/>
                <w:sz w:val="21"/>
                <w:szCs w:val="21"/>
                <w:lang w:val="zh-CN"/>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质量要求：</w:t>
            </w:r>
            <w:r>
              <w:rPr>
                <w:rFonts w:hint="eastAsia" w:ascii="宋体" w:hAnsi="宋体"/>
                <w:color w:val="000000" w:themeColor="text1"/>
                <w:sz w:val="21"/>
                <w:szCs w:val="21"/>
                <w14:textFill>
                  <w14:solidFill>
                    <w14:schemeClr w14:val="tx1"/>
                  </w14:solidFill>
                </w14:textFill>
              </w:rPr>
              <w:t>满足招标文件规定的各项技术要求及国家、行业相关标准，并一次性验收合格。</w:t>
            </w:r>
          </w:p>
        </w:tc>
      </w:tr>
      <w:tr>
        <w:tblPrEx>
          <w:tblCellMar>
            <w:top w:w="0" w:type="dxa"/>
            <w:left w:w="108" w:type="dxa"/>
            <w:bottom w:w="0" w:type="dxa"/>
            <w:right w:w="108" w:type="dxa"/>
          </w:tblCellMar>
        </w:tblPrEx>
        <w:trPr>
          <w:trHeight w:val="65"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7</w:t>
            </w:r>
          </w:p>
        </w:tc>
        <w:tc>
          <w:tcPr>
            <w:tcW w:w="8363" w:type="dxa"/>
            <w:tcBorders>
              <w:top w:val="single" w:color="000000" w:sz="6" w:space="0"/>
              <w:left w:val="nil"/>
              <w:bottom w:val="single" w:color="000000" w:sz="6" w:space="0"/>
              <w:right w:val="single" w:color="auto" w:sz="4" w:space="0"/>
            </w:tcBorders>
            <w:noWrap w:val="0"/>
            <w:vAlign w:val="center"/>
          </w:tcPr>
          <w:p>
            <w:pPr>
              <w:widowControl/>
              <w:spacing w:line="380" w:lineRule="exact"/>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验收：</w:t>
            </w:r>
          </w:p>
          <w:p>
            <w:pPr>
              <w:widowControl/>
              <w:spacing w:line="380" w:lineRule="exact"/>
              <w:ind w:firstLine="420" w:firstLineChars="200"/>
              <w:jc w:val="left"/>
              <w:rPr>
                <w:rFonts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供应商应提供设备的有效检验文件，经采购人认可后，与合同的性能指标一起作为设备验收标准。采购人对设备验收合格后，双方共同签署验收合格证书，验收中发现设备达不到验收标准或合同规定的性能指标，供应商必须更换设备，并负担由此给采购人造成的损失，直到验收合格为止。</w:t>
            </w:r>
          </w:p>
          <w:p>
            <w:pPr>
              <w:widowControl/>
              <w:spacing w:line="380" w:lineRule="exact"/>
              <w:ind w:firstLine="42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本项目完工后，因设备延迟，导致项目完工后1年内不能进行检测的，由供应商出具承诺书，根据采购人要求进行检测,直至通过第三方检测。</w:t>
            </w:r>
          </w:p>
          <w:p>
            <w:pPr>
              <w:widowControl/>
              <w:spacing w:line="380" w:lineRule="exact"/>
              <w:ind w:firstLine="420"/>
              <w:jc w:val="left"/>
              <w:rPr>
                <w:rFonts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因检测及验收产生的相关费用由供应商承担。</w:t>
            </w:r>
          </w:p>
        </w:tc>
      </w:tr>
      <w:tr>
        <w:tblPrEx>
          <w:tblCellMar>
            <w:top w:w="0" w:type="dxa"/>
            <w:left w:w="108" w:type="dxa"/>
            <w:bottom w:w="0" w:type="dxa"/>
            <w:right w:w="108" w:type="dxa"/>
          </w:tblCellMar>
        </w:tblPrEx>
        <w:trPr>
          <w:trHeight w:val="65"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8</w:t>
            </w:r>
          </w:p>
        </w:tc>
        <w:tc>
          <w:tcPr>
            <w:tcW w:w="8363" w:type="dxa"/>
            <w:tcBorders>
              <w:top w:val="single" w:color="000000" w:sz="6" w:space="0"/>
              <w:left w:val="nil"/>
              <w:bottom w:val="single" w:color="000000" w:sz="6" w:space="0"/>
              <w:right w:val="single" w:color="auto" w:sz="4" w:space="0"/>
            </w:tcBorders>
            <w:noWrap w:val="0"/>
            <w:vAlign w:val="center"/>
          </w:tcPr>
          <w:p>
            <w:pPr>
              <w:widowControl/>
              <w:spacing w:line="380" w:lineRule="exact"/>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售后服务要求：</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1.保修期内因不能排除的故障而影响工作的情况每发生一次，其保修期相应延长30天，保质期内因设备本身缺陷造成各种故障应由供应商免费技术服务和维修。</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2.</w:t>
            </w:r>
            <w:r>
              <w:rPr>
                <w:rFonts w:hint="eastAsia" w:ascii="宋体" w:hAnsi="宋体"/>
                <w:color w:val="000000" w:themeColor="text1"/>
                <w:sz w:val="21"/>
                <w:szCs w:val="21"/>
                <w14:textFill>
                  <w14:solidFill>
                    <w14:schemeClr w14:val="tx1"/>
                  </w14:solidFill>
                </w14:textFill>
              </w:rPr>
              <w:t>质保期内出现问题，供应商在接到电话后2小时内响应，6小时内到达现场解决问题，</w:t>
            </w:r>
            <w:r>
              <w:rPr>
                <w:rFonts w:hint="eastAsia" w:ascii="宋体" w:hAnsi="宋体" w:cs="Tahoma"/>
                <w:color w:val="000000" w:themeColor="text1"/>
                <w:kern w:val="0"/>
                <w:sz w:val="21"/>
                <w:szCs w:val="21"/>
                <w14:textFill>
                  <w14:solidFill>
                    <w14:schemeClr w14:val="tx1"/>
                  </w14:solidFill>
                </w14:textFill>
              </w:rPr>
              <w:t>12小时内修复，现场不能修复的，必须采取无偿提供采购物品的备用件或整机等措施，以保证采购人的正常使用。</w:t>
            </w:r>
            <w:r>
              <w:rPr>
                <w:rFonts w:hint="eastAsia" w:ascii="宋体" w:hAnsi="宋体"/>
                <w:color w:val="000000" w:themeColor="text1"/>
                <w:sz w:val="21"/>
                <w:szCs w:val="21"/>
                <w14:textFill>
                  <w14:solidFill>
                    <w14:schemeClr w14:val="tx1"/>
                  </w14:solidFill>
                </w14:textFill>
              </w:rPr>
              <w:t>供应商有其它服务承诺的，一并履行。在质保期内供应商不得以任何理由影响正常使用。</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3.供应商应在投标文件中声明其售后服务承诺内容、售后服务方式和能力。如因设备本身原因造成采购人经济损失，供应商应照价赔偿。</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4.备件供应</w:t>
            </w:r>
          </w:p>
          <w:p>
            <w:pPr>
              <w:widowControl/>
              <w:spacing w:line="380" w:lineRule="exact"/>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 xml:space="preserve">   投标人须在投标文件中提供备品备件清单、价格，并承诺此价格在两年内有效。</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5.设备铭牌及标记</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每台设备都应有铭牌，其应标明在金属板上，并牢固地置于设备上，其应清楚的标明至少下列内容：制造商名称、设备名称及型号、制造年月、主要技术规格和参数、制造编号等。供应商提供的设备，其铭牌、使用标记、警示标记都应表示清楚</w:t>
            </w:r>
          </w:p>
          <w:p>
            <w:pPr>
              <w:widowControl/>
              <w:spacing w:line="380" w:lineRule="exact"/>
              <w:ind w:firstLine="420" w:firstLineChars="200"/>
              <w:jc w:val="left"/>
              <w:rPr>
                <w:rFonts w:hint="eastAsia" w:ascii="宋体" w:hAnsi="宋体" w:cs="Tahoma"/>
                <w:color w:val="000000" w:themeColor="text1"/>
                <w:kern w:val="0"/>
                <w:sz w:val="21"/>
                <w:szCs w:val="21"/>
                <w14:textFill>
                  <w14:solidFill>
                    <w14:schemeClr w14:val="tx1"/>
                  </w14:solidFill>
                </w14:textFill>
              </w:rPr>
            </w:pPr>
            <w:r>
              <w:rPr>
                <w:rFonts w:hint="eastAsia" w:ascii="宋体" w:hAnsi="宋体" w:cs="Tahoma"/>
                <w:color w:val="000000" w:themeColor="text1"/>
                <w:kern w:val="0"/>
                <w:sz w:val="21"/>
                <w:szCs w:val="21"/>
                <w14:textFill>
                  <w14:solidFill>
                    <w14:schemeClr w14:val="tx1"/>
                  </w14:solidFill>
                </w14:textFill>
              </w:rPr>
              <w:t>6.保修期结束前，须由供应商技术人员和采购人代表进行一次全面检查，在修理之后，供应商应将缺陷原因、修理内容、完成修理及恢复正常的时间和日期等报告给采购人，报告一式两份。</w:t>
            </w:r>
          </w:p>
        </w:tc>
      </w:tr>
      <w:tr>
        <w:tblPrEx>
          <w:tblCellMar>
            <w:top w:w="0" w:type="dxa"/>
            <w:left w:w="108" w:type="dxa"/>
            <w:bottom w:w="0" w:type="dxa"/>
            <w:right w:w="108" w:type="dxa"/>
          </w:tblCellMar>
        </w:tblPrEx>
        <w:trPr>
          <w:trHeight w:val="65" w:hRule="atLeast"/>
        </w:trPr>
        <w:tc>
          <w:tcPr>
            <w:tcW w:w="709"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80" w:lineRule="exact"/>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w:t>
            </w:r>
          </w:p>
        </w:tc>
        <w:tc>
          <w:tcPr>
            <w:tcW w:w="8363" w:type="dxa"/>
            <w:tcBorders>
              <w:top w:val="single" w:color="000000" w:sz="6" w:space="0"/>
              <w:left w:val="nil"/>
              <w:bottom w:val="single" w:color="000000" w:sz="6" w:space="0"/>
              <w:right w:val="single" w:color="auto" w:sz="4" w:space="0"/>
            </w:tcBorders>
            <w:noWrap w:val="0"/>
            <w:vAlign w:val="center"/>
          </w:tcPr>
          <w:p>
            <w:pPr>
              <w:widowControl/>
              <w:spacing w:line="380" w:lineRule="exact"/>
              <w:ind w:firstLine="420" w:firstLineChars="200"/>
              <w:jc w:val="left"/>
              <w:rPr>
                <w:rFonts w:hint="eastAsia" w:ascii="宋体" w:hAnsi="宋体" w:cs="宋体"/>
                <w:color w:val="000000" w:themeColor="text1"/>
                <w:sz w:val="21"/>
                <w:szCs w:val="21"/>
                <w:lang w:bidi="ar"/>
                <w14:textFill>
                  <w14:solidFill>
                    <w14:schemeClr w14:val="tx1"/>
                  </w14:solidFill>
                </w14:textFill>
              </w:rPr>
            </w:pPr>
            <w:r>
              <w:rPr>
                <w:rFonts w:hint="eastAsia" w:ascii="宋体" w:hAnsi="宋体" w:eastAsia="宋体" w:cs="Tahoma"/>
                <w:color w:val="000000" w:themeColor="text1"/>
                <w:kern w:val="0"/>
                <w:sz w:val="21"/>
                <w:szCs w:val="21"/>
                <w14:textFill>
                  <w14:solidFill>
                    <w14:schemeClr w14:val="tx1"/>
                  </w14:solidFill>
                </w14:textFill>
              </w:rPr>
              <w:t>中标供应商向采购人缴纳合同款的1％作为履约保证金，项目验收合格后30天内无息退还。</w:t>
            </w:r>
            <w:r>
              <w:rPr>
                <w:rFonts w:hint="eastAsia" w:ascii="宋体" w:hAnsi="宋体" w:eastAsia="宋体" w:cs="Tahoma"/>
                <w:color w:val="000000" w:themeColor="text1"/>
                <w:kern w:val="0"/>
                <w:sz w:val="21"/>
                <w:szCs w:val="21"/>
                <w:lang w:eastAsia="zh-CN"/>
                <w14:textFill>
                  <w14:solidFill>
                    <w14:schemeClr w14:val="tx1"/>
                  </w14:solidFill>
                </w14:textFill>
              </w:rPr>
              <w:t>履约保证金支付方式：保函、网上银行、电汇、汇票或转账形式。（保函有效期必须在约定项目完工日期之日起</w:t>
            </w:r>
            <w:r>
              <w:rPr>
                <w:rFonts w:hint="eastAsia" w:ascii="宋体" w:hAnsi="宋体" w:eastAsia="宋体" w:cs="Tahoma"/>
                <w:color w:val="000000" w:themeColor="text1"/>
                <w:kern w:val="0"/>
                <w:sz w:val="21"/>
                <w:szCs w:val="21"/>
                <w:lang w:val="en-US" w:eastAsia="zh-CN"/>
                <w14:textFill>
                  <w14:solidFill>
                    <w14:schemeClr w14:val="tx1"/>
                  </w14:solidFill>
                </w14:textFill>
              </w:rPr>
              <w:t>30个工作日后），保函包括银行保函、保险机构保证保</w:t>
            </w:r>
            <w:r>
              <w:rPr>
                <w:rFonts w:hint="eastAsia" w:ascii="宋体" w:hAnsi="宋体" w:cs="宋体"/>
                <w:color w:val="000000" w:themeColor="text1"/>
                <w:sz w:val="21"/>
                <w:szCs w:val="21"/>
                <w:highlight w:val="none"/>
                <w:lang w:val="en-US" w:eastAsia="zh-CN"/>
                <w14:textFill>
                  <w14:solidFill>
                    <w14:schemeClr w14:val="tx1"/>
                  </w14:solidFill>
                </w14:textFill>
              </w:rPr>
              <w:t>险保单和融资担保公司保函。</w:t>
            </w:r>
          </w:p>
        </w:tc>
      </w:tr>
    </w:tbl>
    <w:p>
      <w:pPr>
        <w:spacing w:line="240" w:lineRule="auto"/>
        <w:ind w:left="0" w:leftChars="0" w:firstLine="0" w:firstLineChars="0"/>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pStyle w:val="20"/>
        <w:rPr>
          <w:rFonts w:hint="eastAsia" w:ascii="仿宋" w:hAnsi="仿宋" w:eastAsia="仿宋" w:cs="仿宋"/>
          <w:b/>
          <w:color w:val="000000" w:themeColor="text1"/>
          <w:sz w:val="36"/>
          <w:szCs w:val="36"/>
          <w14:textFill>
            <w14:solidFill>
              <w14:schemeClr w14:val="tx1"/>
            </w14:solidFill>
          </w14:textFill>
        </w:rPr>
      </w:pPr>
    </w:p>
    <w:p>
      <w:pPr>
        <w:pStyle w:val="2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w:t>
      </w:r>
      <w:r>
        <w:rPr>
          <w:rFonts w:hint="eastAsia" w:ascii="仿宋" w:hAnsi="仿宋" w:eastAsia="仿宋" w:cs="仿宋"/>
          <w:b/>
          <w:color w:val="000000" w:themeColor="text1"/>
          <w:sz w:val="36"/>
          <w:szCs w:val="36"/>
          <w:lang w:eastAsia="zh-CN"/>
          <w14:textFill>
            <w14:solidFill>
              <w14:schemeClr w14:val="tx1"/>
            </w14:solidFill>
          </w14:textFill>
        </w:rPr>
        <w:t>四</w:t>
      </w:r>
      <w:r>
        <w:rPr>
          <w:rFonts w:hint="eastAsia" w:ascii="仿宋" w:hAnsi="仿宋" w:eastAsia="仿宋" w:cs="仿宋"/>
          <w:b/>
          <w:color w:val="000000" w:themeColor="text1"/>
          <w:sz w:val="36"/>
          <w:szCs w:val="36"/>
          <w14:textFill>
            <w14:solidFill>
              <w14:schemeClr w14:val="tx1"/>
            </w14:solidFill>
          </w14:textFill>
        </w:rPr>
        <w:t>部分 拟签订的合同文本</w:t>
      </w: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26"/>
        <w:ind w:left="0" w:leftChars="0" w:firstLine="0" w:firstLineChars="0"/>
        <w:rPr>
          <w:rFonts w:hint="eastAsia" w:ascii="仿宋" w:hAnsi="仿宋" w:eastAsia="仿宋" w:cs="仿宋"/>
          <w:color w:val="000000" w:themeColor="text1"/>
          <w:szCs w:val="24"/>
          <w14:textFill>
            <w14:solidFill>
              <w14:schemeClr w14:val="tx1"/>
            </w14:solidFill>
          </w14:textFill>
        </w:rPr>
      </w:pPr>
    </w:p>
    <w:p>
      <w:pPr>
        <w:pStyle w:val="26"/>
        <w:jc w:val="center"/>
        <w:rPr>
          <w:rFonts w:hint="eastAsia" w:ascii="仿宋" w:hAnsi="仿宋" w:eastAsia="仿宋" w:cs="仿宋"/>
          <w:color w:val="000000" w:themeColor="text1"/>
          <w:szCs w:val="24"/>
          <w14:textFill>
            <w14:solidFill>
              <w14:schemeClr w14:val="tx1"/>
            </w14:solidFill>
          </w14:textFill>
        </w:rPr>
      </w:pPr>
    </w:p>
    <w:p>
      <w:pPr>
        <w:pStyle w:val="26"/>
        <w:ind w:left="0" w:leftChars="0" w:firstLine="0" w:firstLineChars="0"/>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pPr>
        <w:pStyle w:val="26"/>
        <w:rPr>
          <w:rFonts w:hint="eastAsia" w:ascii="仿宋" w:hAnsi="仿宋" w:eastAsia="仿宋" w:cs="仿宋"/>
          <w:color w:val="000000" w:themeColor="text1"/>
          <w:szCs w:val="24"/>
          <w14:textFill>
            <w14:solidFill>
              <w14:schemeClr w14:val="tx1"/>
            </w14:solidFill>
          </w14:textFill>
        </w:rPr>
      </w:pPr>
    </w:p>
    <w:p>
      <w:pPr>
        <w:pStyle w:val="26"/>
        <w:rPr>
          <w:rFonts w:hint="eastAsia" w:ascii="仿宋" w:hAnsi="仿宋" w:eastAsia="仿宋" w:cs="仿宋"/>
          <w:color w:val="000000" w:themeColor="text1"/>
          <w:szCs w:val="24"/>
          <w14:textFill>
            <w14:solidFill>
              <w14:schemeClr w14:val="tx1"/>
            </w14:solidFill>
          </w14:textFill>
        </w:rPr>
      </w:pP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pPr>
        <w:pStyle w:val="27"/>
        <w:spacing w:before="120" w:line="22" w:lineRule="atLeast"/>
        <w:rPr>
          <w:rFonts w:hint="eastAsia" w:ascii="仿宋" w:hAnsi="仿宋" w:eastAsia="仿宋" w:cs="仿宋"/>
          <w:color w:val="000000" w:themeColor="text1"/>
          <w:szCs w:val="24"/>
          <w14:textFill>
            <w14:solidFill>
              <w14:schemeClr w14:val="tx1"/>
            </w14:solidFill>
          </w14:textFill>
        </w:rPr>
      </w:pPr>
    </w:p>
    <w:p>
      <w:pPr>
        <w:pStyle w:val="27"/>
        <w:spacing w:before="120" w:line="22" w:lineRule="atLeast"/>
        <w:rPr>
          <w:rFonts w:hint="eastAsia" w:ascii="仿宋" w:hAnsi="仿宋" w:eastAsia="仿宋" w:cs="仿宋"/>
          <w:color w:val="000000" w:themeColor="text1"/>
          <w:szCs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pPr>
        <w:widowControl/>
        <w:jc w:val="left"/>
        <w:rPr>
          <w:rFonts w:hint="eastAsia"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0" w:name="_Toc24059"/>
      <w:bookmarkStart w:id="41" w:name="_Toc2232"/>
      <w:bookmarkStart w:id="42" w:name="_Toc3029"/>
      <w:r>
        <w:rPr>
          <w:rFonts w:hint="eastAsia" w:ascii="仿宋" w:hAnsi="仿宋" w:eastAsia="仿宋" w:cs="仿宋"/>
          <w:b/>
          <w:color w:val="000000" w:themeColor="text1"/>
          <w:sz w:val="24"/>
          <w14:textFill>
            <w14:solidFill>
              <w14:schemeClr w14:val="tx1"/>
            </w14:solidFill>
          </w14:textFill>
        </w:rPr>
        <w:t>1.1 合同组成部分</w:t>
      </w:r>
      <w:bookmarkEnd w:id="40"/>
      <w:bookmarkEnd w:id="41"/>
      <w:bookmarkEnd w:id="4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3" w:name="_Toc21295"/>
      <w:bookmarkStart w:id="44" w:name="_Toc27126"/>
      <w:bookmarkStart w:id="45" w:name="_Toc24300"/>
      <w:r>
        <w:rPr>
          <w:rFonts w:hint="eastAsia" w:ascii="仿宋" w:hAnsi="仿宋" w:eastAsia="仿宋" w:cs="仿宋"/>
          <w:b/>
          <w:color w:val="000000" w:themeColor="text1"/>
          <w:sz w:val="24"/>
          <w14:textFill>
            <w14:solidFill>
              <w14:schemeClr w14:val="tx1"/>
            </w14:solidFill>
          </w14:textFill>
        </w:rPr>
        <w:t>1.2 货物</w:t>
      </w:r>
      <w:bookmarkEnd w:id="43"/>
      <w:bookmarkEnd w:id="44"/>
      <w:bookmarkEnd w:id="45"/>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货物名称、品牌、规格型号、花色：</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货物数量：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货物质量：</w:t>
      </w:r>
      <w:r>
        <w:rPr>
          <w:rFonts w:hint="eastAsia" w:ascii="仿宋" w:hAnsi="仿宋" w:eastAsia="仿宋" w:cs="仿宋"/>
          <w:color w:val="000000" w:themeColor="text1"/>
          <w:sz w:val="24"/>
          <w:u w:val="single"/>
          <w14:textFill>
            <w14:solidFill>
              <w14:schemeClr w14:val="tx1"/>
            </w14:solidFill>
          </w14:textFill>
        </w:rPr>
        <w:t>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6" w:name="_Toc21551"/>
      <w:bookmarkStart w:id="47" w:name="_Toc21631"/>
      <w:bookmarkStart w:id="48" w:name="_Toc23292"/>
      <w:r>
        <w:rPr>
          <w:rFonts w:hint="eastAsia" w:ascii="仿宋" w:hAnsi="仿宋" w:eastAsia="仿宋" w:cs="仿宋"/>
          <w:b/>
          <w:color w:val="000000" w:themeColor="text1"/>
          <w:sz w:val="24"/>
          <w14:textFill>
            <w14:solidFill>
              <w14:schemeClr w14:val="tx1"/>
            </w14:solidFill>
          </w14:textFill>
        </w:rPr>
        <w:t>1.3 价款</w:t>
      </w:r>
      <w:bookmarkEnd w:id="46"/>
      <w:bookmarkEnd w:id="47"/>
      <w:bookmarkEnd w:id="4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1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bl>
    <w:p>
      <w:pPr>
        <w:pStyle w:val="29"/>
        <w:spacing w:before="0" w:beforeAutospacing="0" w:after="0" w:afterAutospacing="0" w:line="360" w:lineRule="auto"/>
        <w:ind w:firstLine="480"/>
        <w:rPr>
          <w:rFonts w:hint="eastAsia" w:ascii="仿宋" w:hAnsi="仿宋" w:eastAsia="仿宋" w:cs="仿宋"/>
          <w:b/>
          <w:color w:val="000000" w:themeColor="text1"/>
          <w14:textFill>
            <w14:solidFill>
              <w14:schemeClr w14:val="tx1"/>
            </w14:solidFill>
          </w14:textFill>
        </w:rPr>
      </w:pPr>
      <w:bookmarkStart w:id="49" w:name="_Toc10340"/>
      <w:bookmarkStart w:id="50" w:name="_Toc22618"/>
      <w:bookmarkStart w:id="51" w:name="_Toc1814"/>
      <w:r>
        <w:rPr>
          <w:rFonts w:hint="eastAsia" w:ascii="仿宋" w:hAnsi="仿宋" w:eastAsia="仿宋" w:cs="仿宋"/>
          <w:b/>
          <w:color w:val="000000" w:themeColor="text1"/>
          <w14:textFill>
            <w14:solidFill>
              <w14:schemeClr w14:val="tx1"/>
            </w14:solidFill>
          </w14:textFill>
        </w:rPr>
        <w:t>1.4履约保证金</w:t>
      </w:r>
    </w:p>
    <w:p>
      <w:pPr>
        <w:pStyle w:val="29"/>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2"/>
        <w:tabs>
          <w:tab w:val="clear" w:pos="432"/>
        </w:tabs>
        <w:spacing w:line="560" w:lineRule="exact"/>
        <w:ind w:left="0" w:firstLine="480" w:firstLineChars="2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lang w:val="en-US" w:eastAsia="zh-CN"/>
          <w14:textFill>
            <w14:solidFill>
              <w14:schemeClr w14:val="tx1"/>
            </w14:solidFill>
          </w14:textFill>
        </w:rPr>
        <w:t>30</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%计算，最高限额为本合同履约保证金的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49"/>
      <w:bookmarkEnd w:id="50"/>
      <w:bookmarkEnd w:id="51"/>
      <w:r>
        <w:rPr>
          <w:rFonts w:hint="eastAsia" w:ascii="仿宋" w:hAnsi="仿宋" w:eastAsia="仿宋" w:cs="仿宋"/>
          <w:b/>
          <w:color w:val="000000" w:themeColor="text1"/>
          <w:sz w:val="24"/>
          <w14:textFill>
            <w14:solidFill>
              <w14:schemeClr w14:val="tx1"/>
            </w14:solidFill>
          </w14:textFill>
        </w:rPr>
        <w:t>预付款</w:t>
      </w:r>
    </w:p>
    <w:p>
      <w:pPr>
        <w:pStyle w:val="29"/>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29"/>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29"/>
        <w:spacing w:before="0" w:beforeAutospacing="0" w:after="0" w:afterAutospacing="0" w:line="360" w:lineRule="auto"/>
        <w:ind w:firstLine="48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29"/>
        <w:spacing w:before="0" w:beforeAutospacing="0" w:after="0" w:afterAutospacing="0" w:line="360" w:lineRule="auto"/>
        <w:ind w:firstLine="48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pPr>
        <w:pStyle w:val="29"/>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2" w:name="_Toc2846"/>
      <w:bookmarkStart w:id="53" w:name="_Toc19304"/>
      <w:bookmarkStart w:id="54" w:name="_Toc32071"/>
      <w:r>
        <w:rPr>
          <w:rFonts w:hint="eastAsia" w:ascii="仿宋" w:hAnsi="仿宋" w:eastAsia="仿宋" w:cs="仿宋"/>
          <w:b/>
          <w:color w:val="000000" w:themeColor="text1"/>
          <w:sz w:val="24"/>
          <w14:textFill>
            <w14:solidFill>
              <w14:schemeClr w14:val="tx1"/>
            </w14:solidFill>
          </w14:textFill>
        </w:rPr>
        <w:t>1.7货物交付期限、地点和方式</w:t>
      </w:r>
      <w:bookmarkEnd w:id="52"/>
      <w:bookmarkEnd w:id="53"/>
      <w:bookmarkEnd w:id="54"/>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5" w:name="_Toc27250"/>
      <w:bookmarkStart w:id="56" w:name="_Toc21423"/>
      <w:bookmarkStart w:id="57" w:name="_Toc19554"/>
      <w:r>
        <w:rPr>
          <w:rFonts w:hint="eastAsia" w:ascii="仿宋" w:hAnsi="仿宋" w:eastAsia="仿宋" w:cs="仿宋"/>
          <w:b/>
          <w:color w:val="000000" w:themeColor="text1"/>
          <w:sz w:val="24"/>
          <w14:textFill>
            <w14:solidFill>
              <w14:schemeClr w14:val="tx1"/>
            </w14:solidFill>
          </w14:textFill>
        </w:rPr>
        <w:t>1.8违约责任</w:t>
      </w:r>
      <w:bookmarkEnd w:id="55"/>
      <w:bookmarkEnd w:id="56"/>
      <w:bookmarkEnd w:id="5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8" w:name="_Toc15583"/>
      <w:bookmarkStart w:id="59" w:name="_Toc16021"/>
      <w:bookmarkStart w:id="60" w:name="_Toc28375"/>
      <w:r>
        <w:rPr>
          <w:rFonts w:hint="eastAsia" w:ascii="仿宋" w:hAnsi="仿宋" w:eastAsia="仿宋" w:cs="仿宋"/>
          <w:b/>
          <w:color w:val="000000" w:themeColor="text1"/>
          <w:sz w:val="24"/>
          <w14:textFill>
            <w14:solidFill>
              <w14:schemeClr w14:val="tx1"/>
            </w14:solidFill>
          </w14:textFill>
        </w:rPr>
        <w:t>1.9合同争议的解决</w:t>
      </w:r>
      <w:bookmarkEnd w:id="58"/>
      <w:bookmarkEnd w:id="59"/>
      <w:bookmarkEnd w:id="60"/>
    </w:p>
    <w:p>
      <w:pPr>
        <w:spacing w:line="560" w:lineRule="exact"/>
        <w:ind w:left="-61" w:leftChars="-29" w:right="-420" w:rightChars="-200" w:firstLine="240" w:firstLineChars="1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1" w:name="_Toc15322"/>
      <w:bookmarkStart w:id="62" w:name="_Toc7245"/>
      <w:bookmarkStart w:id="63" w:name="_Toc11173"/>
      <w:r>
        <w:rPr>
          <w:rFonts w:hint="eastAsia" w:ascii="仿宋" w:hAnsi="仿宋" w:eastAsia="仿宋" w:cs="仿宋"/>
          <w:b/>
          <w:color w:val="000000" w:themeColor="text1"/>
          <w:sz w:val="24"/>
          <w14:textFill>
            <w14:solidFill>
              <w14:schemeClr w14:val="tx1"/>
            </w14:solidFill>
          </w14:textFill>
        </w:rPr>
        <w:t>2.0 合同生效</w:t>
      </w:r>
      <w:bookmarkEnd w:id="61"/>
      <w:bookmarkEnd w:id="62"/>
      <w:bookmarkEnd w:id="63"/>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pStyle w:val="22"/>
        <w:rPr>
          <w:rFonts w:hint="eastAsia" w:ascii="仿宋" w:hAnsi="仿宋" w:eastAsia="仿宋" w:cs="仿宋"/>
          <w:color w:val="000000" w:themeColor="text1"/>
          <w:sz w:val="24"/>
          <w:lang w:val="zh-CN"/>
          <w14:textFill>
            <w14:solidFill>
              <w14:schemeClr w14:val="tx1"/>
            </w14:solidFill>
          </w14:textFill>
        </w:rPr>
      </w:pPr>
    </w:p>
    <w:p>
      <w:pPr>
        <w:pStyle w:val="23"/>
        <w:rPr>
          <w:rFonts w:hint="eastAsia" w:ascii="仿宋" w:hAnsi="仿宋" w:eastAsia="仿宋" w:cs="仿宋"/>
          <w:color w:val="000000" w:themeColor="text1"/>
          <w:sz w:val="24"/>
          <w:lang w:val="zh-CN"/>
          <w14:textFill>
            <w14:solidFill>
              <w14:schemeClr w14:val="tx1"/>
            </w14:solidFill>
          </w14:textFill>
        </w:rPr>
      </w:pPr>
    </w:p>
    <w:p>
      <w:pPr>
        <w:rPr>
          <w:rFonts w:hint="eastAsia" w:ascii="仿宋" w:hAnsi="仿宋" w:eastAsia="仿宋" w:cs="仿宋"/>
          <w:color w:val="000000" w:themeColor="text1"/>
          <w:sz w:val="24"/>
          <w:lang w:val="zh-CN"/>
          <w14:textFill>
            <w14:solidFill>
              <w14:schemeClr w14:val="tx1"/>
            </w14:solidFill>
          </w14:textFill>
        </w:rPr>
      </w:pPr>
    </w:p>
    <w:p>
      <w:pPr>
        <w:pStyle w:val="22"/>
        <w:rPr>
          <w:rFonts w:hint="eastAsia" w:ascii="仿宋" w:hAnsi="仿宋" w:eastAsia="仿宋" w:cs="仿宋"/>
          <w:color w:val="000000" w:themeColor="text1"/>
          <w:sz w:val="24"/>
          <w:lang w:val="zh-CN"/>
          <w14:textFill>
            <w14:solidFill>
              <w14:schemeClr w14:val="tx1"/>
            </w14:solidFill>
          </w14:textFill>
        </w:rPr>
      </w:pPr>
    </w:p>
    <w:p>
      <w:pPr>
        <w:pStyle w:val="23"/>
        <w:rPr>
          <w:rFonts w:hint="eastAsia" w:ascii="仿宋" w:hAnsi="仿宋" w:eastAsia="仿宋" w:cs="仿宋"/>
          <w:color w:val="000000" w:themeColor="text1"/>
          <w:sz w:val="24"/>
          <w:lang w:val="zh-CN"/>
          <w14:textFill>
            <w14:solidFill>
              <w14:schemeClr w14:val="tx1"/>
            </w14:solidFill>
          </w14:textFill>
        </w:rPr>
      </w:pPr>
    </w:p>
    <w:p>
      <w:pPr>
        <w:rPr>
          <w:rFonts w:hint="eastAsia" w:ascii="仿宋" w:hAnsi="仿宋" w:eastAsia="仿宋" w:cs="仿宋"/>
          <w:color w:val="000000" w:themeColor="text1"/>
          <w:sz w:val="24"/>
          <w:lang w:val="zh-CN"/>
          <w14:textFill>
            <w14:solidFill>
              <w14:schemeClr w14:val="tx1"/>
            </w14:solidFill>
          </w14:textFill>
        </w:rPr>
      </w:pPr>
    </w:p>
    <w:p>
      <w:pPr>
        <w:pStyle w:val="22"/>
        <w:rPr>
          <w:rFonts w:hint="eastAsia" w:ascii="仿宋" w:hAnsi="仿宋" w:eastAsia="仿宋" w:cs="仿宋"/>
          <w:color w:val="000000" w:themeColor="text1"/>
          <w:sz w:val="24"/>
          <w:lang w:val="zh-CN"/>
          <w14:textFill>
            <w14:solidFill>
              <w14:schemeClr w14:val="tx1"/>
            </w14:solidFill>
          </w14:textFill>
        </w:rPr>
      </w:pPr>
    </w:p>
    <w:p>
      <w:pPr>
        <w:pStyle w:val="23"/>
        <w:rPr>
          <w:rFonts w:hint="eastAsia" w:ascii="仿宋" w:hAnsi="仿宋" w:eastAsia="仿宋" w:cs="仿宋"/>
          <w:color w:val="000000" w:themeColor="text1"/>
          <w:sz w:val="24"/>
          <w:lang w:val="zh-CN"/>
          <w14:textFill>
            <w14:solidFill>
              <w14:schemeClr w14:val="tx1"/>
            </w14:solidFill>
          </w14:textFill>
        </w:rPr>
      </w:pPr>
    </w:p>
    <w:p>
      <w:pPr>
        <w:rPr>
          <w:rFonts w:hint="eastAsia" w:ascii="仿宋" w:hAnsi="仿宋" w:eastAsia="仿宋" w:cs="仿宋"/>
          <w:color w:val="000000" w:themeColor="text1"/>
          <w:sz w:val="24"/>
          <w:lang w:val="zh-CN"/>
          <w14:textFill>
            <w14:solidFill>
              <w14:schemeClr w14:val="tx1"/>
            </w14:solidFill>
          </w14:textFill>
        </w:rPr>
      </w:pPr>
    </w:p>
    <w:p>
      <w:pPr>
        <w:pStyle w:val="22"/>
        <w:rPr>
          <w:rFonts w:hint="eastAsia" w:ascii="仿宋" w:hAnsi="仿宋" w:eastAsia="仿宋" w:cs="仿宋"/>
          <w:color w:val="000000" w:themeColor="text1"/>
          <w:sz w:val="24"/>
          <w:lang w:val="zh-CN"/>
          <w14:textFill>
            <w14:solidFill>
              <w14:schemeClr w14:val="tx1"/>
            </w14:solidFill>
          </w14:textFill>
        </w:rPr>
      </w:pPr>
    </w:p>
    <w:p>
      <w:pPr>
        <w:pStyle w:val="23"/>
        <w:rPr>
          <w:rFonts w:hint="eastAsia"/>
          <w:color w:val="000000" w:themeColor="text1"/>
          <w:lang w:val="zh-CN"/>
          <w14:textFill>
            <w14:solidFill>
              <w14:schemeClr w14:val="tx1"/>
            </w14:solidFill>
          </w14:textFill>
        </w:rPr>
      </w:pPr>
    </w:p>
    <w:p>
      <w:pPr>
        <w:autoSpaceDE w:val="0"/>
        <w:autoSpaceDN w:val="0"/>
        <w:spacing w:line="560" w:lineRule="exact"/>
        <w:rPr>
          <w:rFonts w:hint="eastAsia" w:ascii="仿宋" w:hAnsi="仿宋" w:eastAsia="仿宋" w:cs="仿宋"/>
          <w:b/>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pPr>
        <w:pStyle w:val="2"/>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2"/>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2"/>
        <w:rPr>
          <w:rFonts w:hint="eastAsia" w:ascii="仿宋" w:hAns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26"/>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p>
    <w:p>
      <w:pPr>
        <w:pStyle w:val="26"/>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p>
    <w:p>
      <w:pPr>
        <w:pStyle w:val="26"/>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p>
    <w:p>
      <w:pPr>
        <w:pStyle w:val="26"/>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4" w:name="_Ref467378463"/>
      <w:bookmarkStart w:id="65" w:name="_Ref467379101"/>
      <w:bookmarkStart w:id="66" w:name="_Ref467379214"/>
      <w:bookmarkStart w:id="67" w:name="_Ref467379094"/>
      <w:bookmarkStart w:id="68" w:name="_Toc16917"/>
      <w:bookmarkStart w:id="69" w:name="_Ref467379195"/>
      <w:bookmarkStart w:id="70" w:name="_Ref467378404"/>
      <w:bookmarkStart w:id="71" w:name="_Toc487900349"/>
      <w:bookmarkStart w:id="72" w:name="_Ref467378499"/>
      <w:bookmarkStart w:id="73" w:name="_Ref467379225"/>
      <w:bookmarkStart w:id="74" w:name="_Toc259093669"/>
      <w:bookmarkStart w:id="75" w:name="_Ref467379109"/>
      <w:bookmarkStart w:id="76" w:name="_Toc279701240"/>
      <w:bookmarkStart w:id="77" w:name="_Toc28763"/>
      <w:bookmarkStart w:id="78" w:name="_Ref467379205"/>
      <w:bookmarkStart w:id="79" w:name="_Toc19614"/>
      <w:r>
        <w:rPr>
          <w:rFonts w:hint="eastAsia" w:ascii="仿宋" w:hAnsi="仿宋" w:eastAsia="仿宋" w:cs="仿宋"/>
          <w:b/>
          <w:color w:val="000000" w:themeColor="text1"/>
          <w:sz w:val="24"/>
          <w14:textFill>
            <w14:solidFill>
              <w14:schemeClr w14:val="tx1"/>
            </w14:solidFill>
          </w14:textFill>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80" w:name="_Ref467378840"/>
      <w:r>
        <w:rPr>
          <w:rFonts w:hint="eastAsia" w:ascii="仿宋" w:hAnsi="仿宋" w:eastAsia="仿宋" w:cs="仿宋"/>
          <w:color w:val="000000" w:themeColor="text1"/>
          <w:sz w:val="24"/>
          <w14:textFill>
            <w14:solidFill>
              <w14:schemeClr w14:val="tx1"/>
            </w14:solidFill>
          </w14:textFill>
        </w:rPr>
        <w:t>2.1.4 “甲方”系指与中标或成交供应商签署合同的采购人</w:t>
      </w:r>
      <w:bookmarkEnd w:id="80"/>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81" w:name="_Ref467379400"/>
      <w:r>
        <w:rPr>
          <w:rFonts w:hint="eastAsia" w:ascii="仿宋" w:hAnsi="仿宋" w:eastAsia="仿宋" w:cs="仿宋"/>
          <w:color w:val="000000" w:themeColor="text1"/>
          <w:sz w:val="24"/>
          <w14:textFill>
            <w14:solidFill>
              <w14:schemeClr w14:val="tx1"/>
            </w14:solidFill>
          </w14:textFill>
        </w:rPr>
        <w:t>2.1.5 “乙方”系指根据合同约定交付货物的中标或成交供应商</w:t>
      </w:r>
      <w:bookmarkEnd w:id="81"/>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82" w:name="_Ref467379436"/>
      <w:r>
        <w:rPr>
          <w:rFonts w:hint="eastAsia" w:ascii="仿宋" w:hAnsi="仿宋" w:eastAsia="仿宋" w:cs="仿宋"/>
          <w:color w:val="000000" w:themeColor="text1"/>
          <w:sz w:val="24"/>
          <w14:textFill>
            <w14:solidFill>
              <w14:schemeClr w14:val="tx1"/>
            </w14:solidFill>
          </w14:textFill>
        </w:rPr>
        <w:t>2.1.6 “现场”系指合同约定货物将要运至或者安装的地点。</w:t>
      </w:r>
      <w:bookmarkEnd w:id="82"/>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83" w:name="_Toc32504"/>
      <w:bookmarkStart w:id="84" w:name="_Toc279701241"/>
      <w:bookmarkStart w:id="85" w:name="_Toc27635"/>
      <w:bookmarkStart w:id="86" w:name="_Toc259093670"/>
      <w:bookmarkStart w:id="87" w:name="_Toc487900350"/>
      <w:bookmarkStart w:id="88" w:name="_Toc13336"/>
      <w:r>
        <w:rPr>
          <w:rFonts w:hint="eastAsia" w:ascii="仿宋" w:hAnsi="仿宋" w:eastAsia="仿宋" w:cs="仿宋"/>
          <w:b/>
          <w:color w:val="000000" w:themeColor="text1"/>
          <w:sz w:val="24"/>
          <w14:textFill>
            <w14:solidFill>
              <w14:schemeClr w14:val="tx1"/>
            </w14:solidFill>
          </w14:textFill>
        </w:rPr>
        <w:t>2.2 技术规范</w:t>
      </w:r>
      <w:bookmarkEnd w:id="83"/>
      <w:bookmarkEnd w:id="84"/>
      <w:bookmarkEnd w:id="85"/>
      <w:bookmarkEnd w:id="86"/>
      <w:bookmarkEnd w:id="87"/>
      <w:bookmarkEnd w:id="8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89" w:name="_Toc9829"/>
      <w:bookmarkStart w:id="90" w:name="_Toc259093671"/>
      <w:bookmarkStart w:id="91" w:name="_Toc487900351"/>
      <w:bookmarkStart w:id="92" w:name="_Toc279701242"/>
      <w:bookmarkStart w:id="93" w:name="_Toc31634"/>
      <w:bookmarkStart w:id="94" w:name="_Toc27853"/>
      <w:r>
        <w:rPr>
          <w:rFonts w:hint="eastAsia" w:ascii="仿宋" w:hAnsi="仿宋" w:eastAsia="仿宋" w:cs="仿宋"/>
          <w:b/>
          <w:color w:val="000000" w:themeColor="text1"/>
          <w:sz w:val="24"/>
          <w14:textFill>
            <w14:solidFill>
              <w14:schemeClr w14:val="tx1"/>
            </w14:solidFill>
          </w14:textFill>
        </w:rPr>
        <w:t>2.3 知识产权</w:t>
      </w:r>
      <w:bookmarkEnd w:id="89"/>
      <w:bookmarkEnd w:id="90"/>
      <w:bookmarkEnd w:id="91"/>
      <w:bookmarkEnd w:id="92"/>
      <w:bookmarkEnd w:id="93"/>
      <w:bookmarkEnd w:id="9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5" w:name="_Toc4194"/>
      <w:bookmarkStart w:id="96" w:name="_Toc29149"/>
      <w:bookmarkStart w:id="97" w:name="_Toc11932"/>
      <w:r>
        <w:rPr>
          <w:rFonts w:hint="eastAsia" w:ascii="仿宋" w:hAnsi="仿宋" w:eastAsia="仿宋" w:cs="仿宋"/>
          <w:b/>
          <w:color w:val="000000" w:themeColor="text1"/>
          <w:sz w:val="24"/>
          <w14:textFill>
            <w14:solidFill>
              <w14:schemeClr w14:val="tx1"/>
            </w14:solidFill>
          </w14:textFill>
        </w:rPr>
        <w:t>2.4 包装和装运</w:t>
      </w:r>
      <w:bookmarkEnd w:id="95"/>
      <w:bookmarkEnd w:id="96"/>
      <w:bookmarkEnd w:id="9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 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8" w:name="_Ref467379536"/>
      <w:bookmarkStart w:id="99" w:name="_Ref467378541"/>
      <w:bookmarkStart w:id="100" w:name="_Toc279701245"/>
      <w:bookmarkStart w:id="101" w:name="_Toc259093674"/>
      <w:bookmarkStart w:id="102" w:name="_Ref467379527"/>
      <w:bookmarkStart w:id="103" w:name="_Toc487900354"/>
      <w:bookmarkStart w:id="104" w:name="_Ref467379542"/>
      <w:bookmarkStart w:id="105" w:name="_Ref467378591"/>
      <w:bookmarkStart w:id="106" w:name="_Toc19074"/>
      <w:bookmarkStart w:id="107" w:name="_Toc30272"/>
      <w:bookmarkStart w:id="108" w:name="_Toc26182"/>
      <w:r>
        <w:rPr>
          <w:rFonts w:hint="eastAsia" w:ascii="仿宋" w:hAnsi="仿宋" w:eastAsia="仿宋" w:cs="仿宋"/>
          <w:b/>
          <w:color w:val="000000" w:themeColor="text1"/>
          <w:sz w:val="24"/>
          <w14:textFill>
            <w14:solidFill>
              <w14:schemeClr w14:val="tx1"/>
            </w14:solidFill>
          </w14:textFill>
        </w:rPr>
        <w:t>2.</w:t>
      </w:r>
      <w:bookmarkEnd w:id="98"/>
      <w:bookmarkEnd w:id="99"/>
      <w:bookmarkEnd w:id="100"/>
      <w:bookmarkEnd w:id="101"/>
      <w:bookmarkEnd w:id="102"/>
      <w:bookmarkEnd w:id="103"/>
      <w:bookmarkEnd w:id="104"/>
      <w:bookmarkEnd w:id="105"/>
      <w:r>
        <w:rPr>
          <w:rFonts w:hint="eastAsia" w:ascii="仿宋" w:hAnsi="仿宋" w:eastAsia="仿宋" w:cs="仿宋"/>
          <w:b/>
          <w:color w:val="000000" w:themeColor="text1"/>
          <w:sz w:val="24"/>
          <w14:textFill>
            <w14:solidFill>
              <w14:schemeClr w14:val="tx1"/>
            </w14:solidFill>
          </w14:textFill>
        </w:rPr>
        <w:t>5 履约检查和问题反馈</w:t>
      </w:r>
      <w:bookmarkEnd w:id="106"/>
      <w:bookmarkEnd w:id="107"/>
      <w:bookmarkEnd w:id="10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09" w:name="_Ref467379657"/>
      <w:r>
        <w:rPr>
          <w:rFonts w:hint="eastAsia" w:ascii="仿宋" w:hAnsi="仿宋" w:eastAsia="仿宋" w:cs="仿宋"/>
          <w:color w:val="000000" w:themeColor="text1"/>
          <w:sz w:val="24"/>
          <w14:textFill>
            <w14:solidFill>
              <w14:schemeClr w14:val="tx1"/>
            </w14:solidFill>
          </w14:textFill>
        </w:rPr>
        <w:t>2.5.1</w:t>
      </w:r>
      <w:bookmarkEnd w:id="109"/>
      <w:bookmarkStart w:id="110" w:name="_Toc186431854"/>
      <w:bookmarkStart w:id="111" w:name="_Ref467379793"/>
      <w:bookmarkStart w:id="112" w:name="_Toc259093676"/>
      <w:bookmarkStart w:id="113" w:name="_Ref467379807"/>
      <w:bookmarkStart w:id="114" w:name="_Toc279701247"/>
      <w:bookmarkStart w:id="115" w:name="_Toc48790035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000000" w:themeColor="text1"/>
          <w:sz w:val="24"/>
          <w14:textFill>
            <w14:solidFill>
              <w14:schemeClr w14:val="tx1"/>
            </w14:solidFill>
          </w14:textFill>
        </w:rPr>
        <w:t>。</w:t>
      </w:r>
    </w:p>
    <w:bookmarkEnd w:id="111"/>
    <w:bookmarkEnd w:id="112"/>
    <w:bookmarkEnd w:id="113"/>
    <w:bookmarkEnd w:id="114"/>
    <w:bookmarkEnd w:id="115"/>
    <w:bookmarkEnd w:id="116"/>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7" w:name="_Toc487900358"/>
      <w:bookmarkStart w:id="118" w:name="_Ref467379863"/>
      <w:bookmarkStart w:id="119" w:name="_Toc279701248"/>
      <w:bookmarkStart w:id="120" w:name="_Ref467379852"/>
      <w:bookmarkStart w:id="121" w:name="_Ref467379923"/>
      <w:bookmarkStart w:id="122" w:name="_Toc259093677"/>
      <w:bookmarkStart w:id="123" w:name="_Toc3225"/>
      <w:bookmarkStart w:id="124" w:name="_Toc774"/>
      <w:bookmarkStart w:id="125" w:name="_Toc16110"/>
      <w:r>
        <w:rPr>
          <w:rFonts w:hint="eastAsia" w:ascii="仿宋" w:hAnsi="仿宋" w:eastAsia="仿宋" w:cs="仿宋"/>
          <w:b/>
          <w:color w:val="000000" w:themeColor="text1"/>
          <w:sz w:val="24"/>
          <w14:textFill>
            <w14:solidFill>
              <w14:schemeClr w14:val="tx1"/>
            </w14:solidFill>
          </w14:textFill>
        </w:rPr>
        <w:t>2.6 技术资料</w:t>
      </w:r>
      <w:bookmarkEnd w:id="117"/>
      <w:bookmarkEnd w:id="118"/>
      <w:bookmarkEnd w:id="119"/>
      <w:bookmarkEnd w:id="120"/>
      <w:bookmarkEnd w:id="121"/>
      <w:bookmarkEnd w:id="122"/>
      <w:r>
        <w:rPr>
          <w:rFonts w:hint="eastAsia" w:ascii="仿宋" w:hAnsi="仿宋" w:eastAsia="仿宋" w:cs="仿宋"/>
          <w:b/>
          <w:color w:val="000000" w:themeColor="text1"/>
          <w:sz w:val="24"/>
          <w14:textFill>
            <w14:solidFill>
              <w14:schemeClr w14:val="tx1"/>
            </w14:solidFill>
          </w14:textFill>
        </w:rPr>
        <w:t>和保密义务</w:t>
      </w:r>
      <w:bookmarkEnd w:id="123"/>
      <w:bookmarkEnd w:id="124"/>
      <w:bookmarkEnd w:id="12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6" w:name="_Toc7860"/>
      <w:r>
        <w:rPr>
          <w:rFonts w:hint="eastAsia" w:ascii="仿宋" w:hAnsi="仿宋" w:eastAsia="仿宋" w:cs="仿宋"/>
          <w:b/>
          <w:color w:val="000000" w:themeColor="text1"/>
          <w:sz w:val="24"/>
          <w14:textFill>
            <w14:solidFill>
              <w14:schemeClr w14:val="tx1"/>
            </w14:solidFill>
          </w14:textFill>
        </w:rPr>
        <w:t>2.7 质量保证</w:t>
      </w:r>
      <w:bookmarkEnd w:id="126"/>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7" w:name="_Toc17244"/>
      <w:bookmarkStart w:id="128" w:name="_Toc279701252"/>
      <w:bookmarkStart w:id="129" w:name="_Toc487900362"/>
      <w:bookmarkStart w:id="130" w:name="_Toc259093681"/>
      <w:r>
        <w:rPr>
          <w:rFonts w:hint="eastAsia" w:ascii="仿宋" w:hAnsi="仿宋" w:eastAsia="仿宋" w:cs="仿宋"/>
          <w:b/>
          <w:color w:val="000000" w:themeColor="text1"/>
          <w:sz w:val="24"/>
          <w14:textFill>
            <w14:solidFill>
              <w14:schemeClr w14:val="tx1"/>
            </w14:solidFill>
          </w14:textFill>
        </w:rPr>
        <w:t>2.8 货物的风险负担</w:t>
      </w:r>
      <w:bookmarkEnd w:id="127"/>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1" w:name="_Toc14055"/>
      <w:r>
        <w:rPr>
          <w:rFonts w:hint="eastAsia" w:ascii="仿宋" w:hAnsi="仿宋" w:eastAsia="仿宋" w:cs="仿宋"/>
          <w:b/>
          <w:color w:val="000000" w:themeColor="text1"/>
          <w:sz w:val="24"/>
          <w14:textFill>
            <w14:solidFill>
              <w14:schemeClr w14:val="tx1"/>
            </w14:solidFill>
          </w14:textFill>
        </w:rPr>
        <w:t>2.9 延迟交货</w:t>
      </w:r>
      <w:bookmarkEnd w:id="128"/>
      <w:bookmarkEnd w:id="129"/>
      <w:bookmarkEnd w:id="130"/>
      <w:bookmarkEnd w:id="13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2" w:name="_Toc7502"/>
      <w:bookmarkStart w:id="133" w:name="_Ref467378121"/>
      <w:bookmarkStart w:id="134" w:name="_Toc487900364"/>
      <w:bookmarkStart w:id="135" w:name="_Toc259093683"/>
      <w:bookmarkStart w:id="136" w:name="_Toc279701254"/>
      <w:r>
        <w:rPr>
          <w:rFonts w:hint="eastAsia" w:ascii="仿宋" w:hAnsi="仿宋" w:eastAsia="仿宋" w:cs="仿宋"/>
          <w:b/>
          <w:color w:val="000000" w:themeColor="text1"/>
          <w:sz w:val="24"/>
          <w14:textFill>
            <w14:solidFill>
              <w14:schemeClr w14:val="tx1"/>
            </w14:solidFill>
          </w14:textFill>
        </w:rPr>
        <w:t>2.10 合同变更</w:t>
      </w:r>
      <w:bookmarkEnd w:id="13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7" w:name="_Toc487900369"/>
      <w:bookmarkStart w:id="138" w:name="_Toc279701259"/>
      <w:bookmarkStart w:id="139" w:name="_Toc259093688"/>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0" w:name="_Toc22955"/>
      <w:bookmarkStart w:id="141" w:name="_Toc10366"/>
      <w:bookmarkStart w:id="142" w:name="_Toc15237"/>
      <w:r>
        <w:rPr>
          <w:rFonts w:hint="eastAsia" w:ascii="仿宋" w:hAnsi="仿宋" w:eastAsia="仿宋" w:cs="仿宋"/>
          <w:b/>
          <w:color w:val="000000" w:themeColor="text1"/>
          <w:sz w:val="24"/>
          <w14:textFill>
            <w14:solidFill>
              <w14:schemeClr w14:val="tx1"/>
            </w14:solidFill>
          </w14:textFill>
        </w:rPr>
        <w:t>2.11 合同转让</w:t>
      </w:r>
      <w:bookmarkEnd w:id="137"/>
      <w:bookmarkEnd w:id="138"/>
      <w:bookmarkEnd w:id="139"/>
      <w:r>
        <w:rPr>
          <w:rFonts w:hint="eastAsia" w:ascii="仿宋" w:hAnsi="仿宋" w:eastAsia="仿宋" w:cs="仿宋"/>
          <w:b/>
          <w:color w:val="000000" w:themeColor="text1"/>
          <w:sz w:val="24"/>
          <w14:textFill>
            <w14:solidFill>
              <w14:schemeClr w14:val="tx1"/>
            </w14:solidFill>
          </w14:textFill>
        </w:rPr>
        <w:t>和分包</w:t>
      </w:r>
      <w:bookmarkEnd w:id="140"/>
      <w:bookmarkEnd w:id="141"/>
      <w:bookmarkEnd w:id="14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3" w:name="_Toc14066"/>
      <w:bookmarkStart w:id="144" w:name="_Toc13566"/>
      <w:bookmarkStart w:id="145" w:name="_Toc16508"/>
      <w:r>
        <w:rPr>
          <w:rFonts w:hint="eastAsia" w:ascii="仿宋" w:hAnsi="仿宋" w:eastAsia="仿宋" w:cs="仿宋"/>
          <w:b/>
          <w:color w:val="000000" w:themeColor="text1"/>
          <w:sz w:val="24"/>
          <w14:textFill>
            <w14:solidFill>
              <w14:schemeClr w14:val="tx1"/>
            </w14:solidFill>
          </w14:textFill>
        </w:rPr>
        <w:t>2.12 不可抗力</w:t>
      </w:r>
      <w:bookmarkEnd w:id="143"/>
      <w:bookmarkEnd w:id="144"/>
      <w:bookmarkEnd w:id="14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6" w:name="_Toc487900365"/>
      <w:bookmarkStart w:id="147" w:name="_Toc689"/>
      <w:bookmarkStart w:id="148" w:name="_Toc6969"/>
      <w:bookmarkStart w:id="149" w:name="_Toc30676"/>
      <w:bookmarkStart w:id="150" w:name="_Toc279701255"/>
      <w:bookmarkStart w:id="151" w:name="_Toc259093684"/>
      <w:r>
        <w:rPr>
          <w:rFonts w:hint="eastAsia" w:ascii="仿宋" w:hAnsi="仿宋" w:eastAsia="仿宋" w:cs="仿宋"/>
          <w:b/>
          <w:color w:val="000000" w:themeColor="text1"/>
          <w:sz w:val="24"/>
          <w14:textFill>
            <w14:solidFill>
              <w14:schemeClr w14:val="tx1"/>
            </w14:solidFill>
          </w14:textFill>
        </w:rPr>
        <w:t>2.13 税费</w:t>
      </w:r>
      <w:bookmarkEnd w:id="146"/>
      <w:bookmarkEnd w:id="147"/>
      <w:bookmarkEnd w:id="148"/>
      <w:bookmarkEnd w:id="149"/>
      <w:bookmarkEnd w:id="150"/>
      <w:bookmarkEnd w:id="15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2" w:name="_Toc8298"/>
      <w:bookmarkStart w:id="153" w:name="_Toc259093687"/>
      <w:bookmarkStart w:id="154" w:name="_Toc7102"/>
      <w:bookmarkStart w:id="155" w:name="_Toc487900368"/>
      <w:bookmarkStart w:id="156" w:name="_Toc16959"/>
      <w:bookmarkStart w:id="157" w:name="_Toc279701258"/>
      <w:r>
        <w:rPr>
          <w:rFonts w:hint="eastAsia" w:ascii="仿宋" w:hAnsi="仿宋" w:eastAsia="仿宋" w:cs="仿宋"/>
          <w:b/>
          <w:color w:val="000000" w:themeColor="text1"/>
          <w:sz w:val="24"/>
          <w14:textFill>
            <w14:solidFill>
              <w14:schemeClr w14:val="tx1"/>
            </w14:solidFill>
          </w14:textFill>
        </w:rPr>
        <w:t>2.14乙方破产</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8" w:name="_Toc15387"/>
      <w:bookmarkStart w:id="159" w:name="_Toc29333"/>
      <w:bookmarkStart w:id="160" w:name="_Toc6134"/>
      <w:r>
        <w:rPr>
          <w:rFonts w:hint="eastAsia" w:ascii="仿宋" w:hAnsi="仿宋" w:eastAsia="仿宋" w:cs="仿宋"/>
          <w:b/>
          <w:color w:val="000000" w:themeColor="text1"/>
          <w:sz w:val="24"/>
          <w14:textFill>
            <w14:solidFill>
              <w14:schemeClr w14:val="tx1"/>
            </w14:solidFill>
          </w14:textFill>
        </w:rPr>
        <w:t>2.15 合同中止、终止</w:t>
      </w:r>
      <w:bookmarkEnd w:id="158"/>
      <w:bookmarkEnd w:id="159"/>
      <w:bookmarkEnd w:id="16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1" w:name="_Toc1125"/>
      <w:bookmarkStart w:id="162" w:name="_Toc6596"/>
      <w:bookmarkStart w:id="163" w:name="_Toc14563"/>
      <w:r>
        <w:rPr>
          <w:rFonts w:hint="eastAsia" w:ascii="仿宋" w:hAnsi="仿宋" w:eastAsia="仿宋" w:cs="仿宋"/>
          <w:b/>
          <w:color w:val="000000" w:themeColor="text1"/>
          <w:sz w:val="24"/>
          <w14:textFill>
            <w14:solidFill>
              <w14:schemeClr w14:val="tx1"/>
            </w14:solidFill>
          </w14:textFill>
        </w:rPr>
        <w:t>2.16检验和验收</w:t>
      </w:r>
      <w:bookmarkEnd w:id="161"/>
      <w:bookmarkEnd w:id="162"/>
      <w:bookmarkEnd w:id="163"/>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33"/>
    <w:bookmarkEnd w:id="134"/>
    <w:bookmarkEnd w:id="135"/>
    <w:bookmarkEnd w:id="136"/>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4" w:name="_Toc487900371"/>
      <w:bookmarkStart w:id="165" w:name="_Toc279701261"/>
      <w:bookmarkStart w:id="166" w:name="_Toc259093690"/>
      <w:bookmarkStart w:id="167" w:name="_Toc25182"/>
      <w:bookmarkStart w:id="168" w:name="_Toc11284"/>
      <w:bookmarkStart w:id="169" w:name="_Toc19604"/>
      <w:r>
        <w:rPr>
          <w:rFonts w:hint="eastAsia" w:ascii="仿宋" w:hAnsi="仿宋" w:eastAsia="仿宋" w:cs="仿宋"/>
          <w:b/>
          <w:color w:val="000000" w:themeColor="text1"/>
          <w:sz w:val="24"/>
          <w14:textFill>
            <w14:solidFill>
              <w14:schemeClr w14:val="tx1"/>
            </w14:solidFill>
          </w14:textFill>
        </w:rPr>
        <w:t>2.17 通知</w:t>
      </w:r>
      <w:bookmarkEnd w:id="164"/>
      <w:bookmarkEnd w:id="165"/>
      <w:bookmarkEnd w:id="166"/>
      <w:r>
        <w:rPr>
          <w:rFonts w:hint="eastAsia" w:ascii="仿宋" w:hAnsi="仿宋" w:eastAsia="仿宋" w:cs="仿宋"/>
          <w:b/>
          <w:color w:val="000000" w:themeColor="text1"/>
          <w:sz w:val="24"/>
          <w14:textFill>
            <w14:solidFill>
              <w14:schemeClr w14:val="tx1"/>
            </w14:solidFill>
          </w14:textFill>
        </w:rPr>
        <w:t>和送达</w:t>
      </w:r>
      <w:bookmarkEnd w:id="167"/>
      <w:bookmarkEnd w:id="168"/>
      <w:bookmarkEnd w:id="16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70" w:name="_Toc3135"/>
      <w:bookmarkStart w:id="171" w:name="_Toc6698"/>
      <w:bookmarkStart w:id="172" w:name="_Toc259093691"/>
      <w:bookmarkStart w:id="173" w:name="_Toc279701262"/>
      <w:bookmarkStart w:id="174" w:name="_Toc487900372"/>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75" w:name="_Toc23294"/>
      <w:bookmarkStart w:id="176" w:name="_Toc23128"/>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7" w:name="_Toc18540"/>
      <w:bookmarkStart w:id="178" w:name="_Toc4355"/>
      <w:bookmarkStart w:id="179" w:name="_Toc30599"/>
      <w:r>
        <w:rPr>
          <w:rFonts w:hint="eastAsia" w:ascii="仿宋" w:hAnsi="仿宋" w:eastAsia="仿宋" w:cs="仿宋"/>
          <w:b/>
          <w:color w:val="000000" w:themeColor="text1"/>
          <w:sz w:val="24"/>
          <w14:textFill>
            <w14:solidFill>
              <w14:schemeClr w14:val="tx1"/>
            </w14:solidFill>
          </w14:textFill>
        </w:rPr>
        <w:t>2.18 计量单位</w:t>
      </w:r>
      <w:bookmarkEnd w:id="172"/>
      <w:bookmarkEnd w:id="173"/>
      <w:bookmarkEnd w:id="174"/>
      <w:bookmarkEnd w:id="177"/>
      <w:bookmarkEnd w:id="178"/>
      <w:bookmarkEnd w:id="17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0" w:name="_Toc487900373"/>
      <w:bookmarkStart w:id="181" w:name="_Toc10330"/>
      <w:bookmarkStart w:id="182" w:name="_Toc259093692"/>
      <w:bookmarkStart w:id="183" w:name="_Toc18567"/>
      <w:bookmarkStart w:id="184" w:name="_Toc12773"/>
      <w:bookmarkStart w:id="185" w:name="_Toc279701263"/>
      <w:r>
        <w:rPr>
          <w:rFonts w:hint="eastAsia" w:ascii="仿宋" w:hAnsi="仿宋" w:eastAsia="仿宋" w:cs="仿宋"/>
          <w:b/>
          <w:color w:val="000000" w:themeColor="text1"/>
          <w:sz w:val="24"/>
          <w14:textFill>
            <w14:solidFill>
              <w14:schemeClr w14:val="tx1"/>
            </w14:solidFill>
          </w14:textFill>
        </w:rPr>
        <w:t>2.19 合同使用的文字和适用的法律</w:t>
      </w:r>
      <w:bookmarkEnd w:id="180"/>
      <w:bookmarkEnd w:id="181"/>
      <w:bookmarkEnd w:id="182"/>
      <w:bookmarkEnd w:id="183"/>
      <w:bookmarkEnd w:id="184"/>
      <w:bookmarkEnd w:id="18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6" w:name="_Toc6885"/>
      <w:bookmarkStart w:id="187" w:name="_Toc19890"/>
      <w:bookmarkStart w:id="188" w:name="_Toc14001"/>
      <w:r>
        <w:rPr>
          <w:rFonts w:hint="eastAsia" w:ascii="仿宋" w:hAnsi="仿宋" w:eastAsia="仿宋" w:cs="仿宋"/>
          <w:b/>
          <w:color w:val="000000" w:themeColor="text1"/>
          <w:sz w:val="24"/>
          <w14:textFill>
            <w14:solidFill>
              <w14:schemeClr w14:val="tx1"/>
            </w14:solidFill>
          </w14:textFill>
        </w:rPr>
        <w:t>2.20 合同份数</w:t>
      </w:r>
      <w:bookmarkEnd w:id="186"/>
      <w:bookmarkEnd w:id="187"/>
      <w:bookmarkEnd w:id="18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32"/>
          <w:szCs w:val="20"/>
          <w14:textFill>
            <w14:solidFill>
              <w14:schemeClr w14:val="tx1"/>
            </w14:solidFill>
          </w14:textFill>
        </w:rPr>
        <w:t xml:space="preserve"> </w:t>
      </w:r>
      <w:r>
        <w:rPr>
          <w:rFonts w:hint="eastAsia" w:ascii="仿宋" w:hAnsi="仿宋" w:eastAsia="仿宋" w:cs="仿宋"/>
          <w:b/>
          <w:color w:val="000000" w:themeColor="text1"/>
          <w:kern w:val="2"/>
          <w:sz w:val="24"/>
          <w:szCs w:val="24"/>
          <w:lang w:val="en-US" w:eastAsia="zh-CN" w:bidi="ar-SA"/>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76"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1.5.2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2.8 </w:t>
            </w:r>
          </w:p>
        </w:tc>
        <w:tc>
          <w:tcPr>
            <w:tcW w:w="8176"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2.20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rPr>
          <w:rFonts w:hint="eastAsia" w:ascii="仿宋" w:hAnsi="仿宋" w:eastAsia="仿宋" w:cs="仿宋"/>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lang w:val="en-US" w:eastAsia="zh-CN"/>
          <w14:textFill>
            <w14:solidFill>
              <w14:schemeClr w14:val="tx1"/>
            </w14:solidFill>
          </w14:textFill>
        </w:rPr>
        <w:t xml:space="preserve"> 70 </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lang w:val="en-US" w:eastAsia="zh-CN"/>
          <w14:textFill>
            <w14:solidFill>
              <w14:schemeClr w14:val="tx1"/>
            </w14:solidFill>
          </w14:textFill>
        </w:rPr>
        <w:t xml:space="preserve"> 30 </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lang w:val="en-US" w:eastAsia="zh-CN"/>
          <w14:textFill>
            <w14:solidFill>
              <w14:schemeClr w14:val="tx1"/>
            </w14:solidFill>
          </w14:textFill>
        </w:rPr>
        <w:t xml:space="preserve"> 70 </w:t>
      </w:r>
      <w:r>
        <w:rPr>
          <w:rFonts w:hint="eastAsia" w:ascii="仿宋" w:hAnsi="仿宋" w:eastAsia="仿宋" w:cs="仿宋"/>
          <w:b/>
          <w:bCs/>
          <w:iCs/>
          <w:color w:val="000000" w:themeColor="text1"/>
          <w:sz w:val="24"/>
          <w14:textFill>
            <w14:solidFill>
              <w14:schemeClr w14:val="tx1"/>
            </w14:solidFill>
          </w14:textFill>
        </w:rPr>
        <w:t>分）</w:t>
      </w:r>
    </w:p>
    <w:tbl>
      <w:tblPr>
        <w:tblStyle w:val="14"/>
        <w:tblW w:w="10088" w:type="dxa"/>
        <w:tblInd w:w="-176" w:type="dxa"/>
        <w:tblLayout w:type="autofit"/>
        <w:tblCellMar>
          <w:top w:w="0" w:type="dxa"/>
          <w:left w:w="108" w:type="dxa"/>
          <w:bottom w:w="0" w:type="dxa"/>
          <w:right w:w="108" w:type="dxa"/>
        </w:tblCellMar>
      </w:tblPr>
      <w:tblGrid>
        <w:gridCol w:w="456"/>
        <w:gridCol w:w="1121"/>
        <w:gridCol w:w="7380"/>
        <w:gridCol w:w="1131"/>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11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评分内容</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评分细则</w:t>
            </w: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分值</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121" w:type="dxa"/>
            <w:tcBorders>
              <w:top w:val="single" w:color="000000" w:sz="4" w:space="0"/>
              <w:left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val="en-US" w:eastAsia="zh-CN"/>
                <w14:textFill>
                  <w14:solidFill>
                    <w14:schemeClr w14:val="tx1"/>
                  </w14:solidFill>
                </w14:textFill>
              </w:rPr>
              <w:t>综合实力</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投标人具有质量管理体系认证证书的得1分；具有</w:t>
            </w:r>
            <w:r>
              <w:rPr>
                <w:rFonts w:hint="eastAsia" w:ascii="仿宋" w:hAnsi="仿宋" w:eastAsia="仿宋" w:cs="仿宋"/>
                <w:color w:val="000000" w:themeColor="text1"/>
                <w:sz w:val="24"/>
                <w:lang w:val="en-US" w:eastAsia="zh-CN"/>
                <w14:textFill>
                  <w14:solidFill>
                    <w14:schemeClr w14:val="tx1"/>
                  </w14:solidFill>
                </w14:textFill>
              </w:rPr>
              <w:t>环境管理体系认证证书</w:t>
            </w:r>
            <w:r>
              <w:rPr>
                <w:rFonts w:hint="eastAsia" w:ascii="仿宋" w:hAnsi="仿宋" w:eastAsia="仿宋" w:cs="仿宋"/>
                <w:color w:val="000000" w:themeColor="text1"/>
                <w:sz w:val="24"/>
                <w14:textFill>
                  <w14:solidFill>
                    <w14:schemeClr w14:val="tx1"/>
                  </w14:solidFill>
                </w14:textFill>
              </w:rPr>
              <w:t>的得1分；具有职业健康安全管理体系认证证书的得1分</w:t>
            </w:r>
            <w:r>
              <w:rPr>
                <w:rFonts w:hint="eastAsia" w:ascii="仿宋" w:hAnsi="仿宋" w:eastAsia="仿宋" w:cs="仿宋"/>
                <w:color w:val="000000" w:themeColor="text1"/>
                <w:sz w:val="24"/>
                <w:lang w:eastAsia="zh-CN"/>
                <w14:textFill>
                  <w14:solidFill>
                    <w14:schemeClr w14:val="tx1"/>
                  </w14:solidFill>
                </w14:textFill>
              </w:rPr>
              <w:t>（提供有效期内的相关认证证书及网页截图复制件加盖</w:t>
            </w:r>
            <w:r>
              <w:rPr>
                <w:rFonts w:hint="eastAsia" w:ascii="仿宋" w:hAnsi="仿宋" w:eastAsia="仿宋" w:cs="仿宋"/>
                <w:color w:val="000000" w:themeColor="text1"/>
                <w:sz w:val="24"/>
                <w:lang w:val="en-US" w:eastAsia="zh-CN"/>
                <w14:textFill>
                  <w14:solidFill>
                    <w14:schemeClr w14:val="tx1"/>
                  </w14:solidFill>
                </w14:textFill>
              </w:rPr>
              <w:t>CA签章</w:t>
            </w:r>
            <w:r>
              <w:rPr>
                <w:rFonts w:hint="eastAsia" w:ascii="仿宋" w:hAnsi="仿宋" w:eastAsia="仿宋" w:cs="仿宋"/>
                <w:color w:val="000000" w:themeColor="text1"/>
                <w:sz w:val="24"/>
                <w:lang w:eastAsia="zh-CN"/>
                <w14:textFill>
                  <w14:solidFill>
                    <w14:schemeClr w14:val="tx1"/>
                  </w14:solidFill>
                </w14:textFill>
              </w:rPr>
              <w:t>）。</w:t>
            </w: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11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投标人需提供20</w:t>
            </w:r>
            <w:r>
              <w:rPr>
                <w:rFonts w:hint="eastAsia" w:ascii="仿宋" w:hAnsi="仿宋" w:eastAsia="仿宋" w:cs="仿宋"/>
                <w:color w:val="000000" w:themeColor="text1"/>
                <w:sz w:val="24"/>
                <w:lang w:val="en-US" w:eastAsia="zh-CN"/>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年1月1日至今</w:t>
            </w:r>
            <w:r>
              <w:rPr>
                <w:rFonts w:hint="eastAsia" w:ascii="仿宋" w:hAnsi="仿宋" w:eastAsia="仿宋" w:cs="仿宋"/>
                <w:color w:val="000000" w:themeColor="text1"/>
                <w:sz w:val="24"/>
                <w:lang w:val="en-US" w:eastAsia="zh-CN"/>
                <w14:textFill>
                  <w14:solidFill>
                    <w14:schemeClr w14:val="tx1"/>
                  </w14:solidFill>
                </w14:textFill>
              </w:rPr>
              <w:t>（以合同签订时间为准）</w:t>
            </w:r>
            <w:r>
              <w:rPr>
                <w:rFonts w:hint="eastAsia" w:ascii="仿宋" w:hAnsi="仿宋" w:eastAsia="仿宋" w:cs="仿宋"/>
                <w:color w:val="000000" w:themeColor="text1"/>
                <w:sz w:val="24"/>
                <w14:textFill>
                  <w14:solidFill>
                    <w14:schemeClr w14:val="tx1"/>
                  </w14:solidFill>
                </w14:textFill>
              </w:rPr>
              <w:t>同类项目业绩，每提供一个得1分，最高</w:t>
            </w:r>
            <w:r>
              <w:rPr>
                <w:rFonts w:hint="eastAsia" w:ascii="仿宋" w:hAnsi="仿宋" w:eastAsia="仿宋" w:cs="仿宋"/>
                <w:color w:val="000000" w:themeColor="text1"/>
                <w:sz w:val="24"/>
                <w:lang w:eastAsia="zh-CN"/>
                <w14:textFill>
                  <w14:solidFill>
                    <w14:schemeClr w14:val="tx1"/>
                  </w14:solidFill>
                </w14:textFill>
              </w:rPr>
              <w:t>得</w:t>
            </w:r>
            <w:r>
              <w:rPr>
                <w:rFonts w:hint="eastAsia" w:ascii="仿宋" w:hAnsi="仿宋" w:eastAsia="仿宋" w:cs="仿宋"/>
                <w:color w:val="000000" w:themeColor="text1"/>
                <w:sz w:val="24"/>
                <w14:textFill>
                  <w14:solidFill>
                    <w14:schemeClr w14:val="tx1"/>
                  </w14:solidFill>
                </w14:textFill>
              </w:rPr>
              <w:t>3分。（投标文件中须提供合同、中标通知书</w:t>
            </w:r>
            <w:r>
              <w:rPr>
                <w:rFonts w:hint="eastAsia" w:ascii="仿宋" w:hAnsi="仿宋" w:eastAsia="仿宋" w:cs="仿宋"/>
                <w:color w:val="000000" w:themeColor="text1"/>
                <w:sz w:val="24"/>
                <w:lang w:eastAsia="zh-CN"/>
                <w14:textFill>
                  <w14:solidFill>
                    <w14:schemeClr w14:val="tx1"/>
                  </w14:solidFill>
                </w14:textFill>
              </w:rPr>
              <w:t>复制件</w:t>
            </w:r>
            <w:r>
              <w:rPr>
                <w:rFonts w:hint="eastAsia" w:ascii="仿宋" w:hAnsi="仿宋" w:eastAsia="仿宋" w:cs="仿宋"/>
                <w:color w:val="000000" w:themeColor="text1"/>
                <w:sz w:val="24"/>
                <w14:textFill>
                  <w14:solidFill>
                    <w14:schemeClr w14:val="tx1"/>
                  </w14:solidFill>
                </w14:textFill>
              </w:rPr>
              <w:t>并加盖</w:t>
            </w:r>
            <w:r>
              <w:rPr>
                <w:rFonts w:hint="eastAsia" w:ascii="仿宋" w:hAnsi="仿宋" w:eastAsia="仿宋" w:cs="仿宋"/>
                <w:color w:val="000000" w:themeColor="text1"/>
                <w:sz w:val="24"/>
                <w:lang w:val="en-US" w:eastAsia="zh-CN"/>
                <w14:textFill>
                  <w14:solidFill>
                    <w14:schemeClr w14:val="tx1"/>
                  </w14:solidFill>
                </w14:textFill>
              </w:rPr>
              <w:t>CA签章</w:t>
            </w:r>
            <w:r>
              <w:rPr>
                <w:rFonts w:hint="eastAsia" w:ascii="仿宋" w:hAnsi="仿宋" w:eastAsia="仿宋" w:cs="仿宋"/>
                <w:color w:val="000000" w:themeColor="text1"/>
                <w:sz w:val="24"/>
                <w14:textFill>
                  <w14:solidFill>
                    <w14:schemeClr w14:val="tx1"/>
                  </w14:solidFill>
                </w14:textFill>
              </w:rPr>
              <w:t>，缺一项不得分）</w:t>
            </w: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0-3分</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p>
        </w:tc>
        <w:tc>
          <w:tcPr>
            <w:tcW w:w="1121"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技术要求</w:t>
            </w:r>
          </w:p>
        </w:tc>
        <w:tc>
          <w:tcPr>
            <w:tcW w:w="7380"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完全响应招标文件“第三章  采购内容及要求”所有指标的得</w:t>
            </w:r>
            <w:r>
              <w:rPr>
                <w:rFonts w:hint="eastAsia" w:ascii="仿宋" w:hAnsi="仿宋" w:eastAsia="仿宋" w:cs="仿宋"/>
                <w:color w:val="000000" w:themeColor="text1"/>
                <w:sz w:val="24"/>
                <w:lang w:val="en-US" w:eastAsia="zh-CN"/>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分，标“▲”指标为重要指标，负偏离一项做无效标处理，标“★”指标每负偏离一项扣</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分；其余指标每负偏离一项扣</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分，扣完为止。（标“▲”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标“★”指标</w:t>
            </w:r>
            <w:r>
              <w:rPr>
                <w:rFonts w:hint="eastAsia" w:ascii="仿宋" w:hAnsi="仿宋" w:eastAsia="仿宋" w:cs="仿宋"/>
                <w:color w:val="000000" w:themeColor="text1"/>
                <w:sz w:val="24"/>
                <w:lang w:eastAsia="zh-CN"/>
                <w14:textFill>
                  <w14:solidFill>
                    <w14:schemeClr w14:val="tx1"/>
                  </w14:solidFill>
                </w14:textFill>
              </w:rPr>
              <w:t>需提供证书或第三方检测报告等</w:t>
            </w:r>
            <w:r>
              <w:rPr>
                <w:rFonts w:hint="eastAsia" w:ascii="仿宋" w:hAnsi="仿宋" w:eastAsia="仿宋" w:cs="仿宋"/>
                <w:color w:val="000000" w:themeColor="text1"/>
                <w:sz w:val="24"/>
                <w:highlight w:val="none"/>
                <w:lang w:val="en-US" w:eastAsia="zh-CN"/>
                <w14:textFill>
                  <w14:solidFill>
                    <w14:schemeClr w14:val="tx1"/>
                  </w14:solidFill>
                </w14:textFill>
              </w:rPr>
              <w:t>证明材料</w:t>
            </w:r>
            <w:r>
              <w:rPr>
                <w:rFonts w:hint="eastAsia" w:ascii="仿宋" w:hAnsi="仿宋" w:eastAsia="仿宋" w:cs="仿宋"/>
                <w:color w:val="000000" w:themeColor="text1"/>
                <w:sz w:val="24"/>
                <w:lang w:eastAsia="zh-CN"/>
                <w14:textFill>
                  <w14:solidFill>
                    <w14:schemeClr w14:val="tx1"/>
                  </w14:solidFill>
                </w14:textFill>
              </w:rPr>
              <w:t>，未提供</w:t>
            </w:r>
            <w:r>
              <w:rPr>
                <w:rFonts w:hint="eastAsia" w:ascii="仿宋" w:hAnsi="仿宋" w:eastAsia="仿宋" w:cs="仿宋"/>
                <w:color w:val="000000" w:themeColor="text1"/>
                <w:sz w:val="24"/>
                <w14:textFill>
                  <w14:solidFill>
                    <w14:schemeClr w14:val="tx1"/>
                  </w14:solidFill>
                </w14:textFill>
              </w:rPr>
              <w:t>视为负偏离）</w:t>
            </w:r>
          </w:p>
        </w:tc>
        <w:tc>
          <w:tcPr>
            <w:tcW w:w="1131"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p>
        </w:tc>
        <w:tc>
          <w:tcPr>
            <w:tcW w:w="1121"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原材料检测</w:t>
            </w:r>
          </w:p>
        </w:tc>
        <w:tc>
          <w:tcPr>
            <w:tcW w:w="7380"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1、提供本次招标清单内厂制品货物主要原材料不锈钢板1.0mm、1.2mm、1.5mm，304不锈钢圆管φ25、φ38、φ50、304不锈钢方管38*38、50*30、40*40、50*50的投标人自有的检测报告，</w:t>
            </w:r>
            <w:r>
              <w:rPr>
                <w:rFonts w:hint="eastAsia" w:ascii="仿宋" w:hAnsi="仿宋" w:eastAsia="仿宋" w:cs="仿宋"/>
                <w:color w:val="000000" w:themeColor="text1"/>
                <w:sz w:val="24"/>
                <w:lang w:val="en-US" w:eastAsia="zh-CN"/>
                <w14:textFill>
                  <w14:solidFill>
                    <w14:schemeClr w14:val="tx1"/>
                  </w14:solidFill>
                </w14:textFill>
              </w:rPr>
              <w:t>报告符合GB/3280-2015《不锈钢冷轧钢板和钢带》、 GB/T10125-2012《人造气氛腐蚀试验 盐雾试验》经不小于480小时乙酸盐雾试验后，表面耐腐蚀等级不小于10级、                                                             GB/4806.9-2016《食品安全国家标准 食品接触用金属材料及制品》、  GB/11170-2008《不锈钢多元素含量的测定 火花放电原子发射光谱法（常规法）》、 QB/T3832-1999《轻工产品金属镀层腐蚀试验结果的评价》的标准要求，</w:t>
            </w:r>
            <w:r>
              <w:rPr>
                <w:rFonts w:hint="eastAsia" w:ascii="仿宋" w:hAnsi="仿宋" w:eastAsia="仿宋" w:cs="仿宋"/>
                <w:color w:val="000000" w:themeColor="text1"/>
                <w:sz w:val="24"/>
                <w:lang w:eastAsia="zh-CN"/>
                <w14:textFill>
                  <w14:solidFill>
                    <w14:schemeClr w14:val="tx1"/>
                  </w14:solidFill>
                </w14:textFill>
              </w:rPr>
              <w:t>每个得0.5分，最高得5分。</w:t>
            </w:r>
            <w:r>
              <w:rPr>
                <w:rFonts w:hint="eastAsia" w:ascii="仿宋" w:hAnsi="仿宋" w:eastAsia="仿宋" w:cs="仿宋"/>
                <w:color w:val="000000" w:themeColor="text1"/>
                <w:sz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所用</w:t>
            </w:r>
            <w:r>
              <w:rPr>
                <w:rFonts w:hint="eastAsia" w:ascii="仿宋" w:hAnsi="仿宋" w:eastAsia="仿宋" w:cs="仿宋"/>
                <w:color w:val="000000" w:themeColor="text1"/>
                <w:sz w:val="24"/>
                <w:lang w:val="en-US" w:eastAsia="zh-CN"/>
                <w14:textFill>
                  <w14:solidFill>
                    <w14:schemeClr w14:val="tx1"/>
                  </w14:solidFill>
                </w14:textFill>
              </w:rPr>
              <w:t>不锈钢</w:t>
            </w:r>
            <w:r>
              <w:rPr>
                <w:rFonts w:hint="eastAsia" w:ascii="仿宋" w:hAnsi="仿宋" w:eastAsia="仿宋" w:cs="仿宋"/>
                <w:color w:val="000000" w:themeColor="text1"/>
                <w:sz w:val="24"/>
                <w14:textFill>
                  <w14:solidFill>
                    <w14:schemeClr w14:val="tx1"/>
                  </w14:solidFill>
                </w14:textFill>
              </w:rPr>
              <w:t>板材须为食品级材质，无重金属污染，微量元素理化指标符合国标GB4806.9-2016标准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所用不锈钢板材的成分、力学性能、中性盐雾试验、弯曲性能及晶粒度、晶间腐蚀的检验结果符合GB/T11170-2008、GB/T228.1-20</w:t>
            </w:r>
            <w:r>
              <w:rPr>
                <w:rFonts w:hint="eastAsia" w:ascii="仿宋" w:hAnsi="仿宋" w:eastAsia="仿宋" w:cs="仿宋"/>
                <w:color w:val="000000" w:themeColor="text1"/>
                <w:sz w:val="24"/>
                <w:lang w:val="en-US" w:eastAsia="zh-CN"/>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、GB/T10125-2021、GB/T232-2010、GB/T6394-2017、GB/T4334-20</w:t>
            </w:r>
            <w:r>
              <w:rPr>
                <w:rFonts w:hint="eastAsia" w:ascii="仿宋" w:hAnsi="仿宋" w:eastAsia="仿宋" w:cs="仿宋"/>
                <w:color w:val="000000" w:themeColor="text1"/>
                <w:sz w:val="24"/>
                <w:lang w:val="en-US" w:eastAsia="zh-CN"/>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国家标准,每</w:t>
            </w:r>
            <w:r>
              <w:rPr>
                <w:rFonts w:hint="eastAsia" w:ascii="仿宋" w:hAnsi="仿宋" w:eastAsia="仿宋" w:cs="仿宋"/>
                <w:color w:val="000000" w:themeColor="text1"/>
                <w:sz w:val="24"/>
                <w:lang w:val="en-US" w:eastAsia="zh-CN"/>
                <w14:textFill>
                  <w14:solidFill>
                    <w14:schemeClr w14:val="tx1"/>
                  </w14:solidFill>
                </w14:textFill>
              </w:rPr>
              <w:t>提供1</w:t>
            </w:r>
            <w:r>
              <w:rPr>
                <w:rFonts w:hint="eastAsia" w:ascii="仿宋" w:hAnsi="仿宋" w:eastAsia="仿宋" w:cs="仿宋"/>
                <w:color w:val="000000" w:themeColor="text1"/>
                <w:sz w:val="24"/>
                <w14:textFill>
                  <w14:solidFill>
                    <w14:schemeClr w14:val="tx1"/>
                  </w14:solidFill>
                </w14:textFill>
              </w:rPr>
              <w:t>项得</w:t>
            </w:r>
            <w:r>
              <w:rPr>
                <w:rFonts w:hint="eastAsia" w:ascii="仿宋" w:hAnsi="仿宋" w:eastAsia="仿宋" w:cs="仿宋"/>
                <w:color w:val="000000" w:themeColor="text1"/>
                <w:sz w:val="24"/>
                <w:lang w:val="en-US" w:eastAsia="zh-CN"/>
                <w14:textFill>
                  <w14:solidFill>
                    <w14:schemeClr w14:val="tx1"/>
                  </w14:solidFill>
                </w14:textFill>
              </w:rPr>
              <w:t>0.5</w:t>
            </w:r>
            <w:r>
              <w:rPr>
                <w:rFonts w:hint="eastAsia" w:ascii="仿宋" w:hAnsi="仿宋" w:eastAsia="仿宋" w:cs="仿宋"/>
                <w:color w:val="000000" w:themeColor="text1"/>
                <w:sz w:val="24"/>
                <w14:textFill>
                  <w14:solidFill>
                    <w14:schemeClr w14:val="tx1"/>
                  </w14:solidFill>
                </w14:textFill>
              </w:rPr>
              <w:t>分，最多得</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3、提供不锈钢板材焊接拉力检验 ≥40KN的检测报告，得1分；                                                            </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须</w:t>
            </w:r>
            <w:r>
              <w:rPr>
                <w:rFonts w:hint="eastAsia" w:ascii="仿宋" w:hAnsi="仿宋" w:eastAsia="仿宋" w:cs="仿宋"/>
                <w:color w:val="000000" w:themeColor="text1"/>
                <w:sz w:val="24"/>
                <w14:textFill>
                  <w14:solidFill>
                    <w14:schemeClr w14:val="tx1"/>
                  </w14:solidFill>
                </w14:textFill>
              </w:rPr>
              <w:t>提供第三方检测机构出具的符合以上要求的带有CMA、CNAS标志检测报告</w:t>
            </w:r>
            <w:r>
              <w:rPr>
                <w:rFonts w:hint="eastAsia" w:ascii="仿宋" w:hAnsi="仿宋" w:eastAsia="仿宋" w:cs="仿宋"/>
                <w:color w:val="000000" w:themeColor="text1"/>
                <w:sz w:val="24"/>
                <w:lang w:eastAsia="zh-CN"/>
                <w14:textFill>
                  <w14:solidFill>
                    <w14:schemeClr w14:val="tx1"/>
                  </w14:solidFill>
                </w14:textFill>
              </w:rPr>
              <w:t>复制件</w:t>
            </w:r>
            <w:r>
              <w:rPr>
                <w:rFonts w:hint="eastAsia" w:ascii="仿宋" w:hAnsi="仿宋" w:eastAsia="仿宋" w:cs="仿宋"/>
                <w:color w:val="000000" w:themeColor="text1"/>
                <w:sz w:val="24"/>
                <w14:textFill>
                  <w14:solidFill>
                    <w14:schemeClr w14:val="tx1"/>
                  </w14:solidFill>
                </w14:textFill>
              </w:rPr>
              <w:t>加盖厂家公章。</w:t>
            </w:r>
            <w:r>
              <w:rPr>
                <w:rFonts w:hint="eastAsia" w:ascii="仿宋" w:hAnsi="仿宋" w:eastAsia="仿宋" w:cs="仿宋"/>
                <w:color w:val="000000" w:themeColor="text1"/>
                <w:sz w:val="24"/>
                <w:lang w:val="en-US" w:eastAsia="zh-CN"/>
                <w14:textFill>
                  <w14:solidFill>
                    <w14:schemeClr w14:val="tx1"/>
                  </w14:solidFill>
                </w14:textFill>
              </w:rPr>
              <w:t xml:space="preserve"> </w:t>
            </w:r>
          </w:p>
        </w:tc>
        <w:tc>
          <w:tcPr>
            <w:tcW w:w="1131"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rPr>
          <w:trHeight w:val="600"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1121"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施工组织设计及实施方案</w:t>
            </w:r>
          </w:p>
        </w:tc>
        <w:tc>
          <w:tcPr>
            <w:tcW w:w="7380" w:type="dxa"/>
            <w:tcBorders>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投标人提供本项目规划布局情况说明，根据投标人提供的设计图方案、水、电、燃气施工接驳图等进行比较评分：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1.图纸布局是否与实际吻合（0-3分）：较好的得1（含）-3分；一般的得0-1（不含）分；不提供不得分；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2.功能区域是否考虑充分，满足招标人日常使用（0-3分）：较好的得1（含）-3分；一般的得0-1（不含）分；不提供不得分；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3.流程是否合理，物流划分是否合理，能满足食品药品卫生防疫要求（0-2分）：较好的得1（含）-2分；一般的得0-1（不含）分；不提供不得分。</w:t>
            </w:r>
          </w:p>
        </w:tc>
        <w:tc>
          <w:tcPr>
            <w:tcW w:w="1131" w:type="dxa"/>
            <w:tcBorders>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0-8分</w:t>
            </w:r>
          </w:p>
        </w:tc>
      </w:tr>
      <w:tr>
        <w:tblPrEx>
          <w:tblCellMar>
            <w:top w:w="0" w:type="dxa"/>
            <w:left w:w="108" w:type="dxa"/>
            <w:bottom w:w="0" w:type="dxa"/>
            <w:right w:w="108" w:type="dxa"/>
          </w:tblCellMar>
        </w:tblPrEx>
        <w:tc>
          <w:tcPr>
            <w:tcW w:w="4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112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p>
        </w:tc>
        <w:tc>
          <w:tcPr>
            <w:tcW w:w="73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提供项目实施方案：</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1.供货安装调试方案（包括供货、设备调试安装）(0-</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较好的得1（含）-3分；一般的得0-1（不含）分；不提供不得分；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2.项目进度安排（项目进度计划表、进度保障措施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安全文明施工措施等）(0-</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较好的得1（含）-3分；一般的得0-1（不含）分；不提供不得分；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.验收方案（包括验收标准、验收方式、工作程序和步骤、管理和协调方法等）(0-</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较好的得1（含）-2分；一般的得0-1（不含）分；不提供不得分。</w:t>
            </w:r>
          </w:p>
        </w:tc>
        <w:tc>
          <w:tcPr>
            <w:tcW w:w="113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根据售后服务方案和技术服务支持力量、售后服务承诺</w:t>
            </w:r>
            <w:r>
              <w:rPr>
                <w:rFonts w:hint="eastAsia" w:ascii="仿宋" w:hAnsi="仿宋" w:eastAsia="仿宋" w:cs="仿宋"/>
                <w:color w:val="000000" w:themeColor="text1"/>
                <w:sz w:val="24"/>
                <w:lang w:eastAsia="zh-CN"/>
                <w14:textFill>
                  <w14:solidFill>
                    <w14:schemeClr w14:val="tx1"/>
                  </w14:solidFill>
                </w14:textFill>
              </w:rPr>
              <w:t>等综合打分。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服务网点的远近情况</w:t>
            </w:r>
            <w:r>
              <w:rPr>
                <w:rFonts w:hint="eastAsia" w:ascii="仿宋" w:hAnsi="仿宋" w:eastAsia="仿宋" w:cs="仿宋"/>
                <w:color w:val="000000" w:themeColor="text1"/>
                <w:sz w:val="24"/>
                <w:lang w:val="en-US" w:eastAsia="zh-CN"/>
                <w14:textFill>
                  <w14:solidFill>
                    <w14:schemeClr w14:val="tx1"/>
                  </w14:solidFill>
                </w14:textFill>
              </w:rPr>
              <w:t xml:space="preserve">  （0-1分）；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售后服务承诺</w:t>
            </w:r>
            <w:r>
              <w:rPr>
                <w:rFonts w:hint="eastAsia" w:ascii="仿宋" w:hAnsi="仿宋" w:eastAsia="仿宋" w:cs="仿宋"/>
                <w:color w:val="000000" w:themeColor="text1"/>
                <w:sz w:val="24"/>
                <w:lang w:val="en-US" w:eastAsia="zh-CN"/>
                <w14:textFill>
                  <w14:solidFill>
                    <w14:schemeClr w14:val="tx1"/>
                  </w14:solidFill>
                </w14:textFill>
              </w:rPr>
              <w:t xml:space="preserve">  （0-1分）；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保修范围服务标准</w:t>
            </w:r>
            <w:r>
              <w:rPr>
                <w:rFonts w:hint="eastAsia" w:ascii="仿宋" w:hAnsi="仿宋" w:eastAsia="仿宋" w:cs="仿宋"/>
                <w:color w:val="000000" w:themeColor="text1"/>
                <w:sz w:val="24"/>
                <w:lang w:val="en-US" w:eastAsia="zh-CN"/>
                <w14:textFill>
                  <w14:solidFill>
                    <w14:schemeClr w14:val="tx1"/>
                  </w14:solidFill>
                </w14:textFill>
              </w:rPr>
              <w:t xml:space="preserve"> （0-1分）；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故障响应修复时间方式</w:t>
            </w:r>
            <w:r>
              <w:rPr>
                <w:rFonts w:hint="eastAsia" w:ascii="仿宋" w:hAnsi="仿宋" w:eastAsia="仿宋" w:cs="仿宋"/>
                <w:color w:val="000000" w:themeColor="text1"/>
                <w:sz w:val="24"/>
                <w:lang w:val="en-US" w:eastAsia="zh-CN"/>
                <w14:textFill>
                  <w14:solidFill>
                    <w14:schemeClr w14:val="tx1"/>
                  </w14:solidFill>
                </w14:textFill>
              </w:rPr>
              <w:t xml:space="preserve">  （0-1分）。</w:t>
            </w: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rPr>
          <w:trHeight w:val="73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8</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质保期</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在满足招标文件</w:t>
            </w:r>
            <w:r>
              <w:rPr>
                <w:rFonts w:hint="eastAsia" w:ascii="仿宋" w:hAnsi="仿宋" w:eastAsia="仿宋" w:cs="仿宋"/>
                <w:color w:val="000000" w:themeColor="text1"/>
                <w:sz w:val="24"/>
                <w:lang w:val="en-US" w:eastAsia="zh-CN"/>
                <w14:textFill>
                  <w14:solidFill>
                    <w14:schemeClr w14:val="tx1"/>
                  </w14:solidFill>
                </w14:textFill>
              </w:rPr>
              <w:t>要求</w:t>
            </w:r>
            <w:r>
              <w:rPr>
                <w:rFonts w:hint="eastAsia" w:ascii="仿宋" w:hAnsi="仿宋" w:eastAsia="仿宋" w:cs="仿宋"/>
                <w:color w:val="000000" w:themeColor="text1"/>
                <w:sz w:val="24"/>
                <w14:textFill>
                  <w14:solidFill>
                    <w14:schemeClr w14:val="tx1"/>
                  </w14:solidFill>
                </w14:textFill>
              </w:rPr>
              <w:t>的基础上，质保期每增加</w:t>
            </w:r>
            <w:r>
              <w:rPr>
                <w:rFonts w:hint="eastAsia" w:ascii="仿宋" w:hAnsi="仿宋" w:eastAsia="仿宋" w:cs="仿宋"/>
                <w:color w:val="000000" w:themeColor="text1"/>
                <w:sz w:val="24"/>
                <w:lang w:val="en-US" w:eastAsia="zh-CN"/>
                <w14:textFill>
                  <w14:solidFill>
                    <w14:schemeClr w14:val="tx1"/>
                  </w14:solidFill>
                </w14:textFill>
              </w:rPr>
              <w:t>1年</w:t>
            </w:r>
            <w:r>
              <w:rPr>
                <w:rFonts w:hint="eastAsia" w:ascii="仿宋" w:hAnsi="仿宋" w:eastAsia="仿宋" w:cs="仿宋"/>
                <w:color w:val="000000" w:themeColor="text1"/>
                <w:sz w:val="24"/>
                <w14:textFill>
                  <w14:solidFill>
                    <w14:schemeClr w14:val="tx1"/>
                  </w14:solidFill>
                </w14:textFill>
              </w:rPr>
              <w:t>得</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分，最高得</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分。提供质保承诺函并加盖投标人公章。</w:t>
            </w: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tblPrEx>
          <w:tblCellMar>
            <w:top w:w="0" w:type="dxa"/>
            <w:left w:w="108" w:type="dxa"/>
            <w:bottom w:w="0" w:type="dxa"/>
            <w:right w:w="108" w:type="dxa"/>
          </w:tblCellMar>
        </w:tblPrEx>
        <w:trPr>
          <w:trHeight w:val="366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样品</w:t>
            </w:r>
          </w:p>
        </w:tc>
        <w:tc>
          <w:tcPr>
            <w:tcW w:w="738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val="en-US" w:eastAsia="zh-CN"/>
                <w14:textFill>
                  <w14:solidFill>
                    <w14:schemeClr w14:val="tx1"/>
                  </w14:solidFill>
                </w14:textFill>
              </w:rPr>
            </w:pPr>
            <w:bookmarkStart w:id="199" w:name="_GoBack"/>
            <w:r>
              <w:rPr>
                <w:rFonts w:hint="eastAsia" w:ascii="仿宋" w:hAnsi="仿宋" w:eastAsia="仿宋" w:cs="仿宋"/>
                <w:color w:val="000000" w:themeColor="text1"/>
                <w:sz w:val="24"/>
                <w:lang w:val="en-US" w:eastAsia="zh-CN"/>
                <w14:textFill>
                  <w14:solidFill>
                    <w14:schemeClr w14:val="tx1"/>
                  </w14:solidFill>
                </w14:textFill>
              </w:rPr>
              <w:t>对供应商提供的样品，从其规格、材质、外观、生产工艺等情况进行打分：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（1）三层六盘烤箱   规格：1220*940*1695mm   0-3分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（2）智能型双门蒸饭箱   规格:30盘   0-3分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default" w:ascii="仿宋" w:hAnsi="仿宋" w:eastAsia="仿宋" w:cs="仿宋"/>
                <w:color w:val="000000" w:themeColor="text1"/>
                <w:sz w:val="24"/>
                <w:lang w:val="en-US" w:eastAsia="zh-CN"/>
                <w14:textFill>
                  <w14:solidFill>
                    <w14:schemeClr w14:val="tx1"/>
                  </w14:solidFill>
                </w14:textFill>
              </w:rPr>
              <w:t>单门醒发箱</w:t>
            </w:r>
            <w:r>
              <w:rPr>
                <w:rFonts w:hint="eastAsia" w:ascii="仿宋" w:hAnsi="仿宋" w:eastAsia="仿宋" w:cs="仿宋"/>
                <w:color w:val="000000" w:themeColor="text1"/>
                <w:sz w:val="24"/>
                <w:lang w:val="en-US" w:eastAsia="zh-CN"/>
                <w14:textFill>
                  <w14:solidFill>
                    <w14:schemeClr w14:val="tx1"/>
                  </w14:solidFill>
                </w14:textFill>
              </w:rPr>
              <w:t xml:space="preserve">   规格：</w:t>
            </w:r>
            <w:r>
              <w:rPr>
                <w:rFonts w:hint="default" w:ascii="仿宋" w:hAnsi="仿宋" w:eastAsia="仿宋" w:cs="仿宋"/>
                <w:color w:val="000000" w:themeColor="text1"/>
                <w:sz w:val="24"/>
                <w:lang w:val="en-US" w:eastAsia="zh-CN"/>
                <w14:textFill>
                  <w14:solidFill>
                    <w14:schemeClr w14:val="tx1"/>
                  </w14:solidFill>
                </w14:textFill>
              </w:rPr>
              <w:t>570x990x2000mm</w:t>
            </w:r>
            <w:r>
              <w:rPr>
                <w:rFonts w:hint="eastAsia" w:ascii="仿宋" w:hAnsi="仿宋" w:eastAsia="仿宋" w:cs="仿宋"/>
                <w:color w:val="000000" w:themeColor="text1"/>
                <w:sz w:val="24"/>
                <w:lang w:val="en-US" w:eastAsia="zh-CN"/>
                <w14:textFill>
                  <w14:solidFill>
                    <w14:schemeClr w14:val="tx1"/>
                  </w14:solidFill>
                </w14:textFill>
              </w:rPr>
              <w:t xml:space="preserve">   0-3分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（4）厂制品配件及小样：不锈钢板、基脚、水槽及附件、滑门滑轨、台面后挡水板、壁架及天梯、门内外层门板、抽屉滑轨、防水板       1套  0-3分</w:t>
            </w:r>
          </w:p>
          <w:bookmarkEnd w:id="199"/>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lang w:eastAsia="zh-CN"/>
                <w14:textFill>
                  <w14:solidFill>
                    <w14:schemeClr w14:val="tx1"/>
                  </w14:solidFill>
                </w14:textFill>
              </w:rPr>
            </w:pPr>
          </w:p>
        </w:tc>
        <w:tc>
          <w:tcPr>
            <w:tcW w:w="1131"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12</w:t>
            </w:r>
            <w:r>
              <w:rPr>
                <w:rFonts w:hint="eastAsia" w:ascii="仿宋" w:hAnsi="仿宋" w:eastAsia="仿宋" w:cs="仿宋"/>
                <w:color w:val="000000" w:themeColor="text1"/>
                <w:sz w:val="24"/>
                <w14:textFill>
                  <w14:solidFill>
                    <w14:schemeClr w14:val="tx1"/>
                  </w14:solidFill>
                </w14:textFill>
              </w:rPr>
              <w:t>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lang w:val="en-US" w:eastAsia="zh-CN"/>
          <w14:textFill>
            <w14:solidFill>
              <w14:schemeClr w14:val="tx1"/>
            </w14:solidFill>
          </w14:textFill>
        </w:rPr>
        <w:t>30</w:t>
      </w:r>
      <w:r>
        <w:rPr>
          <w:rFonts w:hint="eastAsia" w:ascii="仿宋" w:hAnsi="仿宋" w:eastAsia="仿宋" w:cs="仿宋"/>
          <w:b/>
          <w:bCs/>
          <w:iCs/>
          <w:color w:val="000000" w:themeColor="text1"/>
          <w:sz w:val="24"/>
          <w14:textFill>
            <w14:solidFill>
              <w14:schemeClr w14:val="tx1"/>
            </w14:solidFill>
          </w14:textFill>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000000" w:themeColor="text1"/>
          <w:sz w:val="24"/>
          <w:lang w:val="en-US" w:eastAsia="zh-CN"/>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lang w:val="en-US" w:eastAsia="zh-CN"/>
          <w14:textFill>
            <w14:solidFill>
              <w14:schemeClr w14:val="tx1"/>
            </w14:solidFill>
          </w14:textFill>
        </w:rPr>
        <w:t xml:space="preserve"> 30 </w:t>
      </w:r>
    </w:p>
    <w:p>
      <w:pPr>
        <w:pStyle w:val="13"/>
        <w:spacing w:after="0" w:line="360" w:lineRule="auto"/>
        <w:ind w:left="0" w:leftChars="0" w:firstLine="422"/>
        <w:rPr>
          <w:rFonts w:hint="eastAsia" w:ascii="仿宋" w:hAnsi="仿宋" w:eastAsia="仿宋" w:cs="仿宋"/>
          <w:bCs/>
          <w:i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Cs/>
          <w:iCs/>
          <w:color w:val="000000" w:themeColor="text1"/>
          <w:kern w:val="2"/>
          <w:sz w:val="24"/>
          <w:szCs w:val="24"/>
          <w:lang w:val="en-US" w:eastAsia="zh-CN" w:bidi="ar-SA"/>
          <w14:textFill>
            <w14:solidFill>
              <w14:schemeClr w14:val="tx1"/>
            </w14:solidFill>
          </w14:textFill>
        </w:rPr>
        <w:t>参照财政部87号令第六十条规定，评标委员会认为投标人的报价明显低于其他通过符合性审查投标人的报价，有可能影响产品质量或者不能诚信履约的，应当要求其在评标现场合理的时间内提供说明，必要时提交相关证明材料。投标人不能在规定时间内合理说明原因并提供证明材料的，评标委员会应当将该投标人的投标文件作无效处理，并在评审报告中说明。</w:t>
      </w:r>
    </w:p>
    <w:p>
      <w:pPr>
        <w:spacing w:line="360" w:lineRule="auto"/>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widowControl/>
        <w:adjustRightInd/>
        <w:jc w:val="both"/>
        <w:rPr>
          <w:rFonts w:hint="eastAsia" w:ascii="仿宋" w:hAnsi="仿宋" w:eastAsia="仿宋" w:cs="仿宋"/>
          <w:b/>
          <w:color w:val="000000" w:themeColor="text1"/>
          <w:sz w:val="36"/>
          <w:szCs w:val="20"/>
          <w14:textFill>
            <w14:solidFill>
              <w14:schemeClr w14:val="tx1"/>
            </w14:solidFill>
          </w14:textFill>
        </w:rPr>
      </w:pPr>
    </w:p>
    <w:p>
      <w:pPr>
        <w:pStyle w:val="20"/>
        <w:rPr>
          <w:rFonts w:hint="eastAsia"/>
          <w:color w:val="000000" w:themeColor="text1"/>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pPr>
        <w:pStyle w:val="6"/>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eastAsia="zh-CN"/>
          <w14:textFill>
            <w14:solidFill>
              <w14:schemeClr w14:val="tx1"/>
            </w14:solidFill>
          </w14:textFill>
        </w:rPr>
        <w:t>分包协议</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）本项目的特定资格要求………………………………………………（页码）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22"/>
        <w:rPr>
          <w:rFonts w:hint="eastAsia"/>
          <w:color w:val="000000" w:themeColor="text1"/>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eastAsia="zh-CN"/>
          <w14:textFill>
            <w14:solidFill>
              <w14:schemeClr w14:val="tx1"/>
            </w14:solidFill>
          </w14:textFill>
        </w:rPr>
        <w:t>四</w:t>
      </w:r>
      <w:r>
        <w:rPr>
          <w:rFonts w:hint="eastAsia" w:ascii="仿宋" w:hAnsi="仿宋" w:eastAsia="仿宋" w:cs="仿宋"/>
          <w:b/>
          <w:color w:val="000000" w:themeColor="text1"/>
          <w:kern w:val="0"/>
          <w:sz w:val="32"/>
          <w:szCs w:val="32"/>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eastAsia="zh-CN"/>
          <w14:textFill>
            <w14:solidFill>
              <w14:schemeClr w14:val="tx1"/>
            </w14:solidFill>
          </w14:textFill>
        </w:rPr>
        <w:t>五</w:t>
      </w:r>
      <w:r>
        <w:rPr>
          <w:rFonts w:hint="eastAsia" w:ascii="仿宋" w:hAnsi="仿宋" w:eastAsia="仿宋" w:cs="仿宋"/>
          <w:b/>
          <w:color w:val="000000" w:themeColor="text1"/>
          <w:kern w:val="0"/>
          <w:sz w:val="32"/>
          <w:szCs w:val="32"/>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eastAsia="zh-CN"/>
          <w14:textFill>
            <w14:solidFill>
              <w14:schemeClr w14:val="tx1"/>
            </w14:solidFill>
          </w14:textFill>
        </w:rPr>
        <w:t>投标函</w:t>
      </w:r>
      <w:r>
        <w:rPr>
          <w:rFonts w:hint="eastAsia" w:ascii="仿宋" w:eastAsia="仿宋" w:cs="仿宋"/>
          <w:color w:val="000000" w:themeColor="text1"/>
          <w14:textFill>
            <w14:solidFill>
              <w14:schemeClr w14:val="tx1"/>
            </w14:solidFill>
          </w14:textFill>
        </w:rPr>
        <w:t>…………………………………………………………………………（页码）</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法定代表人授权书 ………………………………………………………… （页码）</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法定代表人及其授权代表身份证复印件（复印件）…………………………（页码）</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法定代表人身份证明书……………………………………………………… （页码）</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商务技术</w:t>
      </w:r>
      <w:r>
        <w:rPr>
          <w:rFonts w:hint="eastAsia" w:ascii="仿宋" w:eastAsia="仿宋" w:cs="仿宋"/>
          <w:color w:val="000000" w:themeColor="text1"/>
          <w:lang w:eastAsia="zh-CN"/>
          <w14:textFill>
            <w14:solidFill>
              <w14:schemeClr w14:val="tx1"/>
            </w14:solidFill>
          </w14:textFill>
        </w:rPr>
        <w:t>偏离表</w:t>
      </w:r>
      <w:r>
        <w:rPr>
          <w:rFonts w:hint="eastAsia" w:ascii="仿宋" w:eastAsia="仿宋" w:cs="仿宋"/>
          <w:color w:val="000000" w:themeColor="text1"/>
          <w14:textFill>
            <w14:solidFill>
              <w14:schemeClr w14:val="tx1"/>
            </w14:solidFill>
          </w14:textFill>
        </w:rPr>
        <w:t>……………………………………………………………… （页码）</w:t>
      </w:r>
    </w:p>
    <w:p>
      <w:pPr>
        <w:pStyle w:val="30"/>
        <w:numPr>
          <w:ilvl w:val="0"/>
          <w:numId w:val="5"/>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pPr>
        <w:adjustRightInd w:val="0"/>
        <w:spacing w:line="360" w:lineRule="auto"/>
        <w:ind w:right="-510" w:rightChars="-243"/>
        <w:jc w:val="both"/>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sz w:val="24"/>
          <w14:textFill>
            <w14:solidFill>
              <w14:schemeClr w14:val="tx1"/>
            </w14:solidFill>
          </w14:textFill>
        </w:rPr>
        <w:t>（页码）</w:t>
      </w:r>
    </w:p>
    <w:p>
      <w:pPr>
        <w:spacing w:line="360" w:lineRule="auto"/>
        <w:ind w:right="-510" w:rightChars="-243"/>
        <w:jc w:val="both"/>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14:textFill>
            <w14:solidFill>
              <w14:schemeClr w14:val="tx1"/>
            </w14:solidFill>
          </w14:textFill>
        </w:rPr>
        <w:t>）技术解决方案…………………………………………………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14:textFill>
            <w14:solidFill>
              <w14:schemeClr w14:val="tx1"/>
            </w14:solidFill>
          </w14:textFill>
        </w:rPr>
        <w:t>组织实施方案……………………………………………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14:textFill>
            <w14:solidFill>
              <w14:schemeClr w14:val="tx1"/>
            </w14:solidFill>
          </w14:textFill>
        </w:rPr>
        <w:t>）售后服务方案……………………………………………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lang w:eastAsia="zh-CN"/>
          <w14:textFill>
            <w14:solidFill>
              <w14:schemeClr w14:val="tx1"/>
            </w14:solidFill>
          </w14:textFill>
        </w:rPr>
        <w:t>（</w:t>
      </w:r>
      <w:r>
        <w:rPr>
          <w:rFonts w:hint="eastAsia" w:ascii="仿宋_GB2312" w:hAnsi="仿宋_GB2312" w:eastAsia="仿宋_GB2312" w:cs="仿宋_GB2312"/>
          <w:color w:val="000000" w:themeColor="text1"/>
          <w:sz w:val="24"/>
          <w:lang w:val="en-US" w:eastAsia="zh-CN"/>
          <w14:textFill>
            <w14:solidFill>
              <w14:schemeClr w14:val="tx1"/>
            </w14:solidFill>
          </w14:textFill>
        </w:rPr>
        <w:t>11）</w:t>
      </w:r>
      <w:r>
        <w:rPr>
          <w:rFonts w:hint="eastAsia" w:ascii="仿宋_GB2312" w:hAnsi="仿宋_GB2312" w:eastAsia="仿宋_GB2312" w:cs="仿宋_GB2312"/>
          <w:color w:val="000000" w:themeColor="text1"/>
          <w:sz w:val="24"/>
          <w14:textFill>
            <w14:solidFill>
              <w14:schemeClr w14:val="tx1"/>
            </w14:solidFill>
          </w14:textFill>
        </w:rPr>
        <w:t>供应商售后服务证明材料……………………………………………………（页码）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14:textFill>
            <w14:solidFill>
              <w14:schemeClr w14:val="tx1"/>
            </w14:solidFill>
          </w14:textFill>
        </w:rPr>
        <w:t>）项目小组人员名单………………………………………</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14</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15</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16</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jc w:val="both"/>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1"/>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致：</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根据贵方招标文件（</w:t>
      </w:r>
      <w:r>
        <w:rPr>
          <w:rFonts w:hint="eastAsia" w:ascii="仿宋" w:hAnsi="仿宋" w:eastAsia="仿宋" w:cs="仿宋"/>
          <w:b/>
          <w:color w:val="000000" w:themeColor="text1"/>
          <w:sz w:val="24"/>
          <w:szCs w:val="24"/>
          <w:u w:val="single"/>
          <w14:textFill>
            <w14:solidFill>
              <w14:schemeClr w14:val="tx1"/>
            </w14:solidFill>
          </w14:textFill>
        </w:rPr>
        <w:t>填写招标编号：</w:t>
      </w:r>
      <w:r>
        <w:rPr>
          <w:rFonts w:hint="eastAsia" w:ascii="仿宋" w:hAnsi="仿宋" w:eastAsia="仿宋" w:cs="仿宋"/>
          <w:color w:val="000000" w:themeColor="text1"/>
          <w:sz w:val="24"/>
          <w:szCs w:val="24"/>
          <w14:textFill>
            <w14:solidFill>
              <w14:schemeClr w14:val="tx1"/>
            </w14:solidFill>
          </w14:textFill>
        </w:rPr>
        <w:t>）的要求，正式授权</w:t>
      </w:r>
      <w:r>
        <w:rPr>
          <w:rFonts w:hint="eastAsia" w:ascii="仿宋" w:hAnsi="仿宋" w:eastAsia="仿宋" w:cs="仿宋"/>
          <w:b/>
          <w:color w:val="000000" w:themeColor="text1"/>
          <w:sz w:val="24"/>
          <w:szCs w:val="24"/>
          <w:u w:val="single"/>
          <w14:textFill>
            <w14:solidFill>
              <w14:schemeClr w14:val="tx1"/>
            </w14:solidFill>
          </w14:textFill>
        </w:rPr>
        <w:t>（全权代表姓名    、单位    、职务   ）</w:t>
      </w:r>
      <w:r>
        <w:rPr>
          <w:rFonts w:hint="eastAsia" w:ascii="仿宋" w:hAnsi="仿宋" w:eastAsia="仿宋" w:cs="仿宋"/>
          <w:color w:val="000000" w:themeColor="text1"/>
          <w:sz w:val="24"/>
          <w:szCs w:val="24"/>
          <w14:textFill>
            <w14:solidFill>
              <w14:schemeClr w14:val="tx1"/>
            </w14:solidFill>
          </w14:textFill>
        </w:rPr>
        <w:t>代表投标人</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b/>
          <w:color w:val="000000" w:themeColor="text1"/>
          <w:sz w:val="24"/>
          <w:szCs w:val="24"/>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提交投标文件。</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我方已完全明白招标文件的所有条款要求，兹声明同意如下：</w:t>
      </w:r>
    </w:p>
    <w:p>
      <w:pPr>
        <w:pStyle w:val="4"/>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1.我方同意在投标人</w:t>
      </w:r>
      <w:r>
        <w:rPr>
          <w:rFonts w:hint="eastAsia" w:ascii="仿宋" w:hAnsi="仿宋" w:eastAsia="仿宋" w:cs="仿宋"/>
          <w:color w:val="000000" w:themeColor="text1"/>
          <w:kern w:val="44"/>
          <w:sz w:val="24"/>
          <w:szCs w:val="24"/>
          <w14:textFill>
            <w14:solidFill>
              <w14:schemeClr w14:val="tx1"/>
            </w14:solidFill>
          </w14:textFill>
        </w:rPr>
        <w:t>须知</w:t>
      </w:r>
      <w:r>
        <w:rPr>
          <w:rFonts w:hint="eastAsia" w:ascii="仿宋" w:hAnsi="仿宋" w:eastAsia="仿宋" w:cs="仿宋"/>
          <w:color w:val="000000" w:themeColor="text1"/>
          <w:sz w:val="24"/>
          <w:szCs w:val="24"/>
          <w14:textFill>
            <w14:solidFill>
              <w14:schemeClr w14:val="tx1"/>
            </w14:solidFill>
          </w14:textFill>
        </w:rPr>
        <w:t>规定的开标日期起遵守本投标文件中的承诺且在投标有效期满之前均具有约束力。</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2.我方承诺已经具备《中华人民共和国政府采购法》中规定的参加政府采购活动的供应商应当具备的条件。</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lang w:eastAsia="zh-CN"/>
          <w14:textFill>
            <w14:solidFill>
              <w14:schemeClr w14:val="tx1"/>
            </w14:solidFill>
          </w14:textFill>
        </w:rPr>
        <w:t>采购代理机构</w:t>
      </w:r>
      <w:r>
        <w:rPr>
          <w:rFonts w:hint="eastAsia" w:ascii="仿宋" w:hAnsi="仿宋" w:eastAsia="仿宋" w:cs="仿宋"/>
          <w:color w:val="000000" w:themeColor="text1"/>
          <w:sz w:val="24"/>
          <w:szCs w:val="24"/>
          <w14:textFill>
            <w14:solidFill>
              <w14:schemeClr w14:val="tx1"/>
            </w14:solidFill>
          </w14:textFill>
        </w:rPr>
        <w:t>提供可能另外要求的与投标有关的任何数据或资料。</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4.我方理解贵方将不受你们所收到的最低报价的约束。</w:t>
      </w:r>
    </w:p>
    <w:p>
      <w:pPr>
        <w:pStyle w:val="4"/>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5.本投标自开标之日（投标截止之日）起90天内有效。</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供应商有前款第a)至e)项情形之一的，中标、成交无效。</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地址：　　　　　　　　　　　　　　　邮政编码：</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电话：                              传真：</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开户银行：                          </w:t>
      </w:r>
      <w:r>
        <w:rPr>
          <w:rFonts w:hint="eastAsia" w:ascii="仿宋" w:hAnsi="仿宋" w:eastAsia="仿宋" w:cs="仿宋"/>
          <w:color w:val="000000" w:themeColor="text1"/>
          <w:sz w:val="24"/>
          <w:szCs w:val="24"/>
          <w:lang w:eastAsia="zh-CN"/>
          <w14:textFill>
            <w14:solidFill>
              <w14:schemeClr w14:val="tx1"/>
            </w14:solidFill>
          </w14:textFill>
        </w:rPr>
        <w:t>账号</w:t>
      </w:r>
      <w:r>
        <w:rPr>
          <w:rFonts w:hint="eastAsia" w:ascii="仿宋" w:hAnsi="仿宋" w:eastAsia="仿宋" w:cs="仿宋"/>
          <w:color w:val="000000" w:themeColor="text1"/>
          <w:sz w:val="24"/>
          <w:szCs w:val="24"/>
          <w14:textFill>
            <w14:solidFill>
              <w14:schemeClr w14:val="tx1"/>
            </w14:solidFill>
          </w14:textFill>
        </w:rPr>
        <w:t>：</w:t>
      </w:r>
    </w:p>
    <w:p>
      <w:pPr>
        <w:pStyle w:val="3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lang w:eastAsia="zh-CN"/>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lang w:eastAsia="zh-CN"/>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lang w:eastAsia="zh-CN"/>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lang w:eastAsia="zh-CN"/>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lang w:eastAsia="zh-CN"/>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二</w:t>
      </w: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三</w:t>
      </w:r>
      <w:r>
        <w:rPr>
          <w:rFonts w:hint="eastAsia" w:ascii="仿宋" w:hAnsi="仿宋" w:eastAsia="仿宋" w:cs="仿宋"/>
          <w:b/>
          <w:color w:val="000000" w:themeColor="text1"/>
          <w:sz w:val="30"/>
          <w:szCs w:val="30"/>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四</w:t>
      </w:r>
      <w:r>
        <w:rPr>
          <w:rFonts w:hint="eastAsia" w:ascii="仿宋" w:hAnsi="仿宋" w:eastAsia="仿宋" w:cs="仿宋"/>
          <w:b/>
          <w:color w:val="000000" w:themeColor="text1"/>
          <w:sz w:val="30"/>
          <w:szCs w:val="30"/>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hint="eastAsia" w:ascii="仿宋" w:hAnsi="仿宋" w:eastAsia="仿宋" w:cs="仿宋"/>
          <w:color w:val="000000" w:themeColor="text1"/>
          <w:sz w:val="24"/>
          <w14:textFill>
            <w14:solidFill>
              <w14:schemeClr w14:val="tx1"/>
            </w14:solidFill>
          </w14:textFill>
        </w:rPr>
      </w:pP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eastAsia="zh-CN"/>
          <w14:textFill>
            <w14:solidFill>
              <w14:schemeClr w14:val="tx1"/>
            </w14:solidFill>
          </w14:textFill>
        </w:rPr>
        <w:t>名称</w:t>
      </w:r>
      <w:r>
        <w:rPr>
          <w:rFonts w:hint="eastAsia" w:ascii="仿宋" w:hAnsi="仿宋" w:eastAsia="仿宋" w:cs="仿宋"/>
          <w:color w:val="000000" w:themeColor="text1"/>
          <w:sz w:val="24"/>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color w:val="000000" w:themeColor="text1"/>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eastAsia="zh-CN"/>
          <w14:textFill>
            <w14:solidFill>
              <w14:schemeClr w14:val="tx1"/>
            </w14:solidFill>
          </w14:textFill>
        </w:rPr>
        <w:t>五</w:t>
      </w:r>
      <w:r>
        <w:rPr>
          <w:rFonts w:hint="eastAsia" w:ascii="仿宋" w:hAnsi="仿宋" w:eastAsia="仿宋" w:cs="仿宋"/>
          <w:b/>
          <w:color w:val="000000" w:themeColor="text1"/>
          <w:kern w:val="0"/>
          <w:sz w:val="32"/>
          <w:szCs w:val="32"/>
          <w14:textFill>
            <w14:solidFill>
              <w14:schemeClr w14:val="tx1"/>
            </w14:solidFill>
          </w14:textFill>
        </w:rPr>
        <w:t>、商务技术偏离表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bl>
    <w:p>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六</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lang w:eastAsia="zh-CN"/>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七</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1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w:t>
      </w:r>
      <w:r>
        <w:rPr>
          <w:rFonts w:hint="eastAsia" w:ascii="仿宋_GB2312" w:hAnsi="仿宋_GB2312" w:eastAsia="仿宋_GB2312" w:cs="仿宋_GB2312"/>
          <w:b/>
          <w:color w:val="000000" w:themeColor="text1"/>
          <w:sz w:val="24"/>
          <w:lang w:eastAsia="zh-CN"/>
          <w14:textFill>
            <w14:solidFill>
              <w14:schemeClr w14:val="tx1"/>
            </w14:solidFill>
          </w14:textFill>
        </w:rPr>
        <w:t>中标通知书</w:t>
      </w:r>
      <w:r>
        <w:rPr>
          <w:rFonts w:hint="eastAsia" w:ascii="仿宋_GB2312" w:hAnsi="仿宋_GB2312" w:eastAsia="仿宋_GB2312" w:cs="仿宋_GB2312"/>
          <w:b/>
          <w:color w:val="000000" w:themeColor="text1"/>
          <w:sz w:val="24"/>
          <w14:textFill>
            <w14:solidFill>
              <w14:schemeClr w14:val="tx1"/>
            </w14:solidFill>
          </w14:textFill>
        </w:rPr>
        <w:t>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32"/>
        <w:ind w:firstLine="0"/>
        <w:jc w:val="both"/>
        <w:rPr>
          <w:rFonts w:hAnsi="仿宋_GB2312" w:cs="仿宋_GB2312"/>
          <w:color w:val="000000" w:themeColor="text1"/>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14:textFill>
            <w14:solidFill>
              <w14:schemeClr w14:val="tx1"/>
            </w14:solidFill>
          </w14:textFill>
        </w:rPr>
        <w:t>、技术解决方案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14:textFill>
            <w14:solidFill>
              <w14:schemeClr w14:val="tx1"/>
            </w14:solidFill>
          </w14:textFill>
        </w:rPr>
      </w:pPr>
      <w:r>
        <w:rPr>
          <w:rFonts w:hint="eastAsia" w:ascii="仿宋" w:hAnsi="仿宋" w:eastAsia="仿宋"/>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172" o:title=""/>
            <o:lock v:ext="edit" aspectratio="t"/>
            <w10:wrap type="none"/>
            <w10:anchorlock/>
          </v:shape>
          <o:OLEObject Type="Embed" ProgID="Package" ShapeID="_x0000_i1025" DrawAspect="Content" ObjectID="_1468075725" r:id="rId171">
            <o:LockedField>false</o:LockedField>
          </o:OLEObject>
        </w:objec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174" o:title=""/>
            <o:lock v:ext="edit" aspectratio="t"/>
            <w10:wrap type="none"/>
            <w10:anchorlock/>
          </v:shape>
          <o:OLEObject Type="Embed" ProgID="Package" ShapeID="_x0000_i1026" DrawAspect="Content" ObjectID="_1468075726" r:id="rId173">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九、组织实施方案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22"/>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14:textFill>
            <w14:solidFill>
              <w14:schemeClr w14:val="tx1"/>
            </w14:solidFill>
          </w14:textFill>
        </w:rPr>
        <w:t>、售后服务方案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22"/>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b/>
          <w:color w:val="000000" w:themeColor="text1"/>
          <w:sz w:val="30"/>
          <w:szCs w:val="30"/>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lang w:eastAsia="zh-CN"/>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lang w:eastAsia="zh-CN"/>
          <w14:textFill>
            <w14:solidFill>
              <w14:schemeClr w14:val="tx1"/>
            </w14:solidFill>
          </w14:textFill>
        </w:rPr>
        <w:t>十一</w:t>
      </w:r>
      <w:r>
        <w:rPr>
          <w:rFonts w:hint="eastAsia" w:ascii="仿宋_GB2312" w:hAnsi="仿宋_GB2312" w:eastAsia="仿宋_GB2312" w:cs="仿宋_GB2312"/>
          <w:b/>
          <w:color w:val="000000" w:themeColor="text1"/>
          <w:sz w:val="30"/>
          <w:szCs w:val="30"/>
          <w14:textFill>
            <w14:solidFill>
              <w14:schemeClr w14:val="tx1"/>
            </w14:solidFill>
          </w14:textFill>
        </w:rPr>
        <w:t>、</w:t>
      </w:r>
      <w:r>
        <w:rPr>
          <w:rFonts w:hint="eastAsia" w:ascii="仿宋_GB2312" w:hAnsi="仿宋_GB2312" w:eastAsia="仿宋_GB2312" w:cs="仿宋_GB2312"/>
          <w:b/>
          <w:color w:val="000000" w:themeColor="text1"/>
          <w:sz w:val="30"/>
          <w:szCs w:val="30"/>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14:textFill>
            <w14:solidFill>
              <w14:schemeClr w14:val="tx1"/>
            </w14:solidFill>
          </w14:textFill>
        </w:rPr>
        <w:t>售后服务能力证明材料</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根据采购需求及磋商文件要求编制）</w:t>
      </w: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pPr>
        <w:pStyle w:val="22"/>
        <w:rPr>
          <w:rFonts w:hint="eastAsia"/>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十二</w:t>
      </w:r>
      <w:r>
        <w:rPr>
          <w:rFonts w:hint="eastAsia" w:ascii="仿宋_GB2312" w:hAnsi="仿宋_GB2312" w:eastAsia="仿宋_GB2312" w:cs="仿宋_GB2312"/>
          <w:b/>
          <w:bCs/>
          <w:color w:val="000000" w:themeColor="text1"/>
          <w:sz w:val="32"/>
          <w:szCs w:val="32"/>
          <w14:textFill>
            <w14:solidFill>
              <w14:schemeClr w14:val="tx1"/>
            </w14:solidFill>
          </w14:textFill>
        </w:rPr>
        <w:t>、项目小组人员名单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14"/>
        <w:tblW w:w="4998" w:type="pct"/>
        <w:tblInd w:w="0" w:type="dxa"/>
        <w:tblLayout w:type="autofit"/>
        <w:tblCellMar>
          <w:top w:w="0" w:type="dxa"/>
          <w:left w:w="108" w:type="dxa"/>
          <w:bottom w:w="0" w:type="dxa"/>
          <w:right w:w="108" w:type="dxa"/>
        </w:tblCellMar>
      </w:tblPr>
      <w:tblGrid>
        <w:gridCol w:w="2157"/>
        <w:gridCol w:w="1347"/>
        <w:gridCol w:w="1320"/>
        <w:gridCol w:w="4346"/>
      </w:tblGrid>
      <w:tr>
        <w:tblPrEx>
          <w:tblCellMar>
            <w:top w:w="0" w:type="dxa"/>
            <w:left w:w="108" w:type="dxa"/>
            <w:bottom w:w="0" w:type="dxa"/>
            <w:right w:w="108" w:type="dxa"/>
          </w:tblCellMar>
        </w:tblPrEx>
        <w:trPr>
          <w:trHeight w:val="604"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734" w:type="pct"/>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23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22"/>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22"/>
        <w:rPr>
          <w:color w:val="000000" w:themeColor="text1"/>
          <w14:textFill>
            <w14:solidFill>
              <w14:schemeClr w14:val="tx1"/>
            </w14:solidFill>
          </w14:textFill>
        </w:rPr>
      </w:pPr>
    </w:p>
    <w:p>
      <w:pPr>
        <w:spacing w:line="360" w:lineRule="auto"/>
        <w:ind w:firstLine="0" w:firstLineChars="0"/>
        <w:rPr>
          <w:rFonts w:ascii="仿宋_GB2312" w:hAnsi="仿宋_GB2312" w:eastAsia="仿宋_GB2312" w:cs="仿宋_GB2312"/>
          <w:color w:val="000000" w:themeColor="text1"/>
          <w:sz w:val="24"/>
          <w:szCs w:val="20"/>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名称（电子签名）：</w:t>
      </w:r>
    </w:p>
    <w:p>
      <w:pPr>
        <w:snapToGrid/>
        <w:spacing w:line="336" w:lineRule="auto"/>
        <w:ind w:right="0"/>
        <w:jc w:val="center"/>
        <w:rPr>
          <w:rFonts w:hint="eastAsia" w:ascii="仿宋_GB2312" w:hAnsi="仿宋_GB2312" w:eastAsia="仿宋_GB2312" w:cs="仿宋_GB2312"/>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根据采购需求自行编制）</w:t>
      </w: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14:textFill>
            <w14:solidFill>
              <w14:schemeClr w14:val="tx1"/>
            </w14:solidFill>
          </w14:textFill>
        </w:rPr>
        <w:t>、验收方案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根据采购需求自行编制）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pStyle w:val="22"/>
        <w:rPr>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23"/>
        <w:rPr>
          <w:rFonts w:hint="eastAsia"/>
          <w:color w:val="000000" w:themeColor="text1"/>
          <w14:textFill>
            <w14:solidFill>
              <w14:schemeClr w14:val="tx1"/>
            </w14:solidFill>
          </w14:textFill>
        </w:rPr>
        <w:sectPr>
          <w:headerReference r:id="rId14" w:type="first"/>
          <w:footerReference r:id="rId16" w:type="first"/>
          <w:headerReference r:id="rId13" w:type="default"/>
          <w:footerReference r:id="rId15"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14:textFill>
            <w14:solidFill>
              <w14:schemeClr w14:val="tx1"/>
            </w14:solidFill>
          </w14:textFill>
        </w:r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1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3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189" w:name="_Hlk101259491"/>
      <w:r>
        <w:rPr>
          <w:rFonts w:hint="eastAsia" w:ascii="仿宋" w:hAnsi="仿宋" w:eastAsia="仿宋" w:cs="仿宋"/>
          <w:color w:val="000000" w:themeColor="text1"/>
          <w:sz w:val="32"/>
          <w:szCs w:val="32"/>
          <w14:textFill>
            <w14:solidFill>
              <w14:schemeClr w14:val="tx1"/>
            </w14:solidFill>
          </w14:textFill>
        </w:rPr>
        <w:t>（如果有）</w:t>
      </w:r>
      <w:bookmarkEnd w:id="189"/>
    </w:p>
    <w:p>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2"/>
        <w:rPr>
          <w:rFonts w:hint="eastAsia" w:ascii="仿宋" w:hAnsi="仿宋" w:eastAsia="仿宋" w:cs="仿宋"/>
          <w:b/>
          <w:color w:val="000000" w:themeColor="text1"/>
          <w:sz w:val="24"/>
          <w14:textFill>
            <w14:solidFill>
              <w14:schemeClr w14:val="tx1"/>
            </w14:solidFill>
          </w14:textFill>
        </w:rPr>
      </w:pPr>
    </w:p>
    <w:p>
      <w:pPr>
        <w:pStyle w:val="23"/>
        <w:rPr>
          <w:rFonts w:hint="eastAsia" w:ascii="仿宋" w:hAnsi="仿宋" w:eastAsia="仿宋" w:cs="仿宋"/>
          <w:b/>
          <w:color w:val="000000" w:themeColor="text1"/>
          <w:sz w:val="24"/>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p>
    <w:p>
      <w:pPr>
        <w:pStyle w:val="22"/>
        <w:rPr>
          <w:rFonts w:hint="eastAsia" w:ascii="仿宋" w:hAnsi="仿宋" w:eastAsia="仿宋" w:cs="仿宋"/>
          <w:b/>
          <w:color w:val="000000" w:themeColor="text1"/>
          <w:sz w:val="24"/>
          <w14:textFill>
            <w14:solidFill>
              <w14:schemeClr w14:val="tx1"/>
            </w14:solidFill>
          </w14:textFill>
        </w:rPr>
      </w:pPr>
    </w:p>
    <w:p>
      <w:pPr>
        <w:pStyle w:val="23"/>
        <w:rPr>
          <w:rFonts w:hint="eastAsia"/>
          <w:color w:val="000000" w:themeColor="text1"/>
          <w14:textFill>
            <w14:solidFill>
              <w14:schemeClr w14:val="tx1"/>
            </w14:solidFill>
          </w14:textFill>
        </w:rPr>
      </w:pPr>
    </w:p>
    <w:p>
      <w:pPr>
        <w:pStyle w:val="23"/>
        <w:rPr>
          <w:rFonts w:hint="eastAsia"/>
          <w:color w:val="000000" w:themeColor="text1"/>
          <w14:textFill>
            <w14:solidFill>
              <w14:schemeClr w14:val="tx1"/>
            </w14:solidFill>
          </w14:textFill>
        </w:rPr>
      </w:pPr>
    </w:p>
    <w:p>
      <w:pPr>
        <w:widowControl/>
        <w:adjustRightInd w:val="0"/>
        <w:spacing w:line="360" w:lineRule="auto"/>
        <w:ind w:firstLine="161" w:firstLineChars="50"/>
        <w:jc w:val="center"/>
        <w:rPr>
          <w:rFonts w:hint="eastAsia" w:ascii="仿宋" w:hAnsi="仿宋" w:eastAsia="仿宋" w:cs="仿宋"/>
          <w:b/>
          <w:color w:val="000000" w:themeColor="text1"/>
          <w:sz w:val="24"/>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[符合条件的残疾人福利性单位，提供残疾人福利性单位声明函(附件</w:t>
      </w:r>
      <w:r>
        <w:rPr>
          <w:rFonts w:hint="eastAsia" w:ascii="仿宋" w:hAnsi="仿宋" w:eastAsia="仿宋" w:cs="仿宋"/>
          <w:b/>
          <w:bCs/>
          <w:i w:val="0"/>
          <w:iCs w:val="0"/>
          <w:snapToGrid w:val="0"/>
          <w:color w:val="000000" w:themeColor="text1"/>
          <w:kern w:val="2"/>
          <w:sz w:val="24"/>
          <w:szCs w:val="21"/>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)，否则不需要提供。]</w:t>
      </w:r>
    </w:p>
    <w:p>
      <w:pPr>
        <w:pStyle w:val="22"/>
        <w:widowControl/>
        <w:numPr>
          <w:ilvl w:val="0"/>
          <w:numId w:val="0"/>
        </w:numPr>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p>
    <w:p>
      <w:pPr>
        <w:pStyle w:val="23"/>
        <w:widowControl/>
        <w:numPr>
          <w:ilvl w:val="0"/>
          <w:numId w:val="0"/>
        </w:numPr>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p>
    <w:p>
      <w:pPr>
        <w:pStyle w:val="3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bookmarkStart w:id="190" w:name="_Toc465665161"/>
      <w:r>
        <w:rPr>
          <w:rFonts w:hint="eastAsia" w:ascii="仿宋" w:hAnsi="仿宋" w:eastAsia="仿宋" w:cs="仿宋"/>
          <w:color w:val="000000" w:themeColor="text1"/>
          <w14:textFill>
            <w14:solidFill>
              <w14:schemeClr w14:val="tx1"/>
            </w14:solidFill>
          </w14:textFill>
        </w:rPr>
        <w:t>附件</w:t>
      </w:r>
      <w:bookmarkEnd w:id="190"/>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1</w:t>
      </w:r>
      <w:r>
        <w:rPr>
          <w:rFonts w:hint="eastAsia" w:ascii="仿宋" w:hAnsi="仿宋" w:eastAsia="仿宋" w:cs="仿宋"/>
          <w:b/>
          <w:color w:val="000000" w:themeColor="text1"/>
          <w:spacing w:val="6"/>
          <w:sz w:val="32"/>
          <w:szCs w:val="32"/>
          <w14:textFill>
            <w14:solidFill>
              <w14:schemeClr w14:val="tx1"/>
            </w14:solidFill>
          </w14:textFill>
        </w:rPr>
        <w:t>：质疑函范本及制作说明</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地址： </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2</w:t>
      </w:r>
      <w:r>
        <w:rPr>
          <w:rFonts w:hint="eastAsia" w:ascii="仿宋" w:hAnsi="仿宋" w:eastAsia="仿宋" w:cs="仿宋"/>
          <w:b/>
          <w:color w:val="000000" w:themeColor="text1"/>
          <w:spacing w:val="6"/>
          <w:sz w:val="32"/>
          <w:szCs w:val="32"/>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日,向</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提出质疑，质疑事项为：</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3</w:t>
      </w:r>
      <w:r>
        <w:rPr>
          <w:rFonts w:hint="eastAsia" w:ascii="仿宋" w:hAnsi="仿宋" w:eastAsia="仿宋" w:cs="仿宋"/>
          <w:b/>
          <w:color w:val="000000" w:themeColor="text1"/>
          <w:spacing w:val="6"/>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22"/>
        <w:rPr>
          <w:rFonts w:hint="eastAsia"/>
          <w:color w:val="000000" w:themeColor="text1"/>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23"/>
        <w:ind w:left="0"/>
        <w:rPr>
          <w:rFonts w:hint="eastAsia" w:ascii="仿宋" w:hAnsi="仿宋" w:eastAsia="仿宋" w:cs="仿宋"/>
          <w:b/>
          <w:color w:val="000000" w:themeColor="text1"/>
          <w:spacing w:val="6"/>
          <w:sz w:val="32"/>
          <w:szCs w:val="32"/>
          <w14:textFill>
            <w14:solidFill>
              <w14:schemeClr w14:val="tx1"/>
            </w14:solidFill>
          </w14:textFill>
        </w:rPr>
      </w:pPr>
    </w:p>
    <w:p>
      <w:pPr>
        <w:rPr>
          <w:rFonts w:hint="eastAsia"/>
          <w:color w:val="000000" w:themeColor="text1"/>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w:t>
      </w:r>
      <w:r>
        <w:rPr>
          <w:rFonts w:hint="eastAsia" w:ascii="仿宋" w:hAnsi="仿宋" w:eastAsia="仿宋" w:cs="仿宋"/>
          <w:b/>
          <w:color w:val="000000" w:themeColor="text1"/>
          <w:kern w:val="0"/>
          <w:sz w:val="32"/>
          <w:szCs w:val="32"/>
          <w:lang w:val="en-US" w:eastAsia="zh-CN"/>
          <w14:textFill>
            <w14:solidFill>
              <w14:schemeClr w14:val="tx1"/>
            </w14:solidFill>
          </w14:textFill>
        </w:rPr>
        <w:t>4</w:t>
      </w:r>
      <w:r>
        <w:rPr>
          <w:rFonts w:hint="eastAsia" w:ascii="仿宋" w:hAnsi="仿宋" w:eastAsia="仿宋" w:cs="仿宋"/>
          <w:b/>
          <w:color w:val="000000" w:themeColor="text1"/>
          <w:kern w:val="0"/>
          <w:sz w:val="32"/>
          <w:szCs w:val="32"/>
          <w14:textFill>
            <w14:solidFill>
              <w14:schemeClr w14:val="tx1"/>
            </w14:solidFill>
          </w14:textFill>
        </w:rPr>
        <w:t>：联合协议</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bookmarkStart w:id="191"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191"/>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w:t>
      </w:r>
      <w:r>
        <w:rPr>
          <w:rFonts w:hint="eastAsia" w:ascii="仿宋" w:hAnsi="仿宋" w:eastAsia="仿宋" w:cs="仿宋"/>
          <w:b/>
          <w:color w:val="000000" w:themeColor="text1"/>
          <w:kern w:val="0"/>
          <w:sz w:val="32"/>
          <w:szCs w:val="32"/>
          <w:lang w:val="en-US" w:eastAsia="zh-CN"/>
          <w14:textFill>
            <w14:solidFill>
              <w14:schemeClr w14:val="tx1"/>
            </w14:solidFill>
          </w14:textFill>
        </w:rPr>
        <w:t>5</w:t>
      </w:r>
      <w:r>
        <w:rPr>
          <w:rFonts w:hint="eastAsia" w:ascii="仿宋" w:hAnsi="仿宋" w:eastAsia="仿宋" w:cs="仿宋"/>
          <w:b/>
          <w:color w:val="000000" w:themeColor="text1"/>
          <w:kern w:val="0"/>
          <w:sz w:val="32"/>
          <w:szCs w:val="32"/>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2"/>
        <w:ind w:left="664" w:leftChars="316" w:firstLine="229" w:firstLineChars="95"/>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192" w:name="_Hlk101133173"/>
      <w:r>
        <w:rPr>
          <w:rFonts w:hint="eastAsia" w:ascii="仿宋" w:hAnsi="仿宋" w:eastAsia="仿宋" w:cs="仿宋"/>
          <w:color w:val="000000" w:themeColor="text1"/>
          <w:sz w:val="24"/>
          <w14:textFill>
            <w14:solidFill>
              <w14:schemeClr w14:val="tx1"/>
            </w14:solidFill>
          </w14:textFill>
        </w:rPr>
        <w:t>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192"/>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22"/>
        <w:rPr>
          <w:rFonts w:hint="eastAsia" w:ascii="仿宋" w:hAnsi="仿宋" w:eastAsia="仿宋" w:cs="仿宋"/>
          <w:b/>
          <w:color w:val="000000" w:themeColor="text1"/>
          <w:spacing w:val="6"/>
          <w:sz w:val="32"/>
          <w:szCs w:val="32"/>
          <w14:textFill>
            <w14:solidFill>
              <w14:schemeClr w14:val="tx1"/>
            </w14:solidFill>
          </w14:textFill>
        </w:rPr>
      </w:pPr>
    </w:p>
    <w:p>
      <w:pPr>
        <w:pStyle w:val="23"/>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22"/>
        <w:rPr>
          <w:rFonts w:hint="eastAsia" w:ascii="仿宋" w:hAnsi="仿宋" w:eastAsia="仿宋" w:cs="仿宋"/>
          <w:b/>
          <w:color w:val="000000" w:themeColor="text1"/>
          <w:spacing w:val="6"/>
          <w:sz w:val="32"/>
          <w:szCs w:val="32"/>
          <w14:textFill>
            <w14:solidFill>
              <w14:schemeClr w14:val="tx1"/>
            </w14:solidFill>
          </w14:textFill>
        </w:rPr>
      </w:pPr>
    </w:p>
    <w:p>
      <w:pPr>
        <w:pStyle w:val="23"/>
        <w:rPr>
          <w:rFonts w:hint="eastAsia"/>
          <w:color w:val="000000" w:themeColor="text1"/>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14:textFill>
            <w14:solidFill>
              <w14:schemeClr w14:val="tx1"/>
            </w14:solidFill>
          </w14:textFill>
        </w:rPr>
      </w:pPr>
      <w:bookmarkStart w:id="193" w:name="OLE_LINK14"/>
      <w:bookmarkStart w:id="194" w:name="OLE_LINK13"/>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6</w:t>
      </w:r>
      <w:r>
        <w:rPr>
          <w:rFonts w:hint="eastAsia" w:ascii="仿宋" w:hAnsi="仿宋" w:eastAsia="仿宋" w:cs="仿宋"/>
          <w:b/>
          <w:color w:val="000000" w:themeColor="text1"/>
          <w:spacing w:val="6"/>
          <w:sz w:val="32"/>
          <w:szCs w:val="32"/>
          <w14:textFill>
            <w14:solidFill>
              <w14:schemeClr w14:val="tx1"/>
            </w14:solidFill>
          </w14:textFill>
        </w:rPr>
        <w:t>：</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193"/>
    <w:bookmarkEnd w:id="194"/>
    <w:p>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pPr>
        <w:spacing w:line="360" w:lineRule="auto"/>
        <w:jc w:val="lef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6"/>
        <w:rPr>
          <w:rFonts w:hint="eastAsia"/>
          <w:color w:val="000000" w:themeColor="text1"/>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hint="eastAsia" w:ascii="仿宋" w:hAnsi="仿宋" w:eastAsia="仿宋" w:cs="仿宋"/>
          <w:color w:val="000000" w:themeColor="text1"/>
          <w:sz w:val="24"/>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spacing w:line="360" w:lineRule="auto"/>
        <w:ind w:right="420"/>
        <w:rPr>
          <w:rFonts w:hint="eastAsia" w:ascii="仿宋" w:hAnsi="仿宋" w:eastAsia="仿宋" w:cs="仿宋"/>
          <w:color w:val="000000" w:themeColor="text1"/>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pStyle w:val="23"/>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14:textFill>
            <w14:solidFill>
              <w14:schemeClr w14:val="tx1"/>
            </w14:solidFill>
          </w14:textFill>
        </w:rPr>
      </w:pPr>
    </w:p>
    <w:p>
      <w:pPr>
        <w:pStyle w:val="22"/>
        <w:rPr>
          <w:rFonts w:ascii="宋体" w:hAnsi="宋体" w:cs="宋体"/>
          <w:bCs/>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8</w:t>
      </w:r>
      <w:r>
        <w:rPr>
          <w:rFonts w:hint="eastAsia" w:ascii="仿宋" w:hAnsi="仿宋" w:eastAsia="仿宋" w:cs="仿宋"/>
          <w:b/>
          <w:color w:val="000000" w:themeColor="text1"/>
          <w:spacing w:val="6"/>
          <w:sz w:val="32"/>
          <w:szCs w:val="32"/>
          <w14:textFill>
            <w14:solidFill>
              <w14:schemeClr w14:val="tx1"/>
            </w14:solidFill>
          </w14:textFill>
        </w:rPr>
        <w:t>：</w:t>
      </w:r>
    </w:p>
    <w:p>
      <w:pPr>
        <w:pStyle w:val="34"/>
        <w:numPr>
          <w:ilvl w:val="0"/>
          <w:numId w:val="0"/>
        </w:numPr>
        <w:snapToGrid w:val="0"/>
        <w:spacing w:before="120" w:beforeLines="50" w:after="120" w:afterLines="50" w:line="500" w:lineRule="exact"/>
        <w:jc w:val="center"/>
        <w:rPr>
          <w:rFonts w:hAnsi="宋体" w:cs="宋体"/>
          <w:color w:val="000000" w:themeColor="text1"/>
          <w:sz w:val="28"/>
          <w:szCs w:val="28"/>
          <w:u w:val="single"/>
          <w14:textFill>
            <w14:solidFill>
              <w14:schemeClr w14:val="tx1"/>
            </w14:solidFill>
          </w14:textFill>
        </w:rPr>
      </w:pPr>
      <w:r>
        <w:rPr>
          <w:rFonts w:hAnsi="宋体" w:cs="宋体"/>
          <w:b/>
          <w:bCs/>
          <w:color w:val="000000" w:themeColor="text1"/>
          <w:sz w:val="28"/>
          <w:szCs w:val="28"/>
          <w14:textFill>
            <w14:solidFill>
              <w14:schemeClr w14:val="tx1"/>
            </w14:solidFill>
          </w14:textFill>
        </w:rPr>
        <w:t>政府采购活动现场确认声明书</w:t>
      </w:r>
    </w:p>
    <w:p>
      <w:pPr>
        <w:pStyle w:val="34"/>
        <w:numPr>
          <w:ilvl w:val="0"/>
          <w:numId w:val="0"/>
        </w:numPr>
        <w:snapToGrid w:val="0"/>
        <w:spacing w:line="400" w:lineRule="exact"/>
        <w:rPr>
          <w:rFonts w:hAnsi="宋体" w:cs="宋体"/>
          <w:b/>
          <w:color w:val="000000" w:themeColor="text1"/>
          <w:szCs w:val="21"/>
          <w14:textFill>
            <w14:solidFill>
              <w14:schemeClr w14:val="tx1"/>
            </w14:solidFill>
          </w14:textFill>
        </w:rPr>
      </w:pPr>
      <w:r>
        <w:rPr>
          <w:rFonts w:hAnsi="宋体" w:cs="宋体"/>
          <w:color w:val="000000" w:themeColor="text1"/>
          <w:szCs w:val="21"/>
          <w:u w:val="single"/>
          <w14:textFill>
            <w14:solidFill>
              <w14:schemeClr w14:val="tx1"/>
            </w14:solidFill>
          </w14:textFill>
        </w:rPr>
        <w:t xml:space="preserve">              </w:t>
      </w:r>
      <w:r>
        <w:rPr>
          <w:rFonts w:hAnsi="宋体" w:cs="宋体"/>
          <w:color w:val="000000" w:themeColor="text1"/>
          <w:szCs w:val="21"/>
          <w14:textFill>
            <w14:solidFill>
              <w14:schemeClr w14:val="tx1"/>
            </w14:solidFill>
          </w14:textFill>
        </w:rPr>
        <w:t>：</w:t>
      </w:r>
    </w:p>
    <w:p>
      <w:pPr>
        <w:pStyle w:val="34"/>
        <w:numPr>
          <w:ilvl w:val="0"/>
          <w:numId w:val="0"/>
        </w:numPr>
        <w:snapToGrid w:val="0"/>
        <w:spacing w:line="400" w:lineRule="exact"/>
        <w:rPr>
          <w:rFonts w:hAnsi="宋体" w:cs="宋体"/>
          <w:color w:val="000000" w:themeColor="text1"/>
          <w:spacing w:val="6"/>
          <w:szCs w:val="21"/>
          <w14:textFill>
            <w14:solidFill>
              <w14:schemeClr w14:val="tx1"/>
            </w14:solidFill>
          </w14:textFill>
        </w:rPr>
      </w:pPr>
      <w:r>
        <w:rPr>
          <w:rFonts w:hAnsi="宋体" w:cs="宋体"/>
          <w:color w:val="000000" w:themeColor="text1"/>
          <w:spacing w:val="6"/>
          <w:szCs w:val="21"/>
          <w14:textFill>
            <w14:solidFill>
              <w14:schemeClr w14:val="tx1"/>
            </w14:solidFill>
          </w14:textFill>
        </w:rPr>
        <w:t>本人</w:t>
      </w:r>
      <w:r>
        <w:rPr>
          <w:rFonts w:hAnsi="宋体" w:cs="宋体"/>
          <w:color w:val="000000" w:themeColor="text1"/>
          <w:spacing w:val="6"/>
          <w:szCs w:val="21"/>
          <w:u w:val="single"/>
          <w14:textFill>
            <w14:solidFill>
              <w14:schemeClr w14:val="tx1"/>
            </w14:solidFill>
          </w14:textFill>
        </w:rPr>
        <w:t xml:space="preserve">           </w:t>
      </w:r>
      <w:r>
        <w:rPr>
          <w:rFonts w:hAnsi="宋体" w:cs="宋体"/>
          <w:color w:val="000000" w:themeColor="text1"/>
          <w:spacing w:val="6"/>
          <w:szCs w:val="21"/>
          <w14:textFill>
            <w14:solidFill>
              <w14:schemeClr w14:val="tx1"/>
            </w14:solidFill>
          </w14:textFill>
        </w:rPr>
        <w:t>（授权代表姓名），经由</w:t>
      </w:r>
      <w:r>
        <w:rPr>
          <w:rFonts w:hAnsi="宋体" w:cs="宋体"/>
          <w:color w:val="000000" w:themeColor="text1"/>
          <w:spacing w:val="6"/>
          <w:szCs w:val="21"/>
          <w:u w:val="single"/>
          <w14:textFill>
            <w14:solidFill>
              <w14:schemeClr w14:val="tx1"/>
            </w14:solidFill>
          </w14:textFill>
        </w:rPr>
        <w:t xml:space="preserve">                              （单位）</w:t>
      </w:r>
      <w:r>
        <w:rPr>
          <w:rFonts w:hAnsi="宋体" w:cs="宋体"/>
          <w:color w:val="000000" w:themeColor="text1"/>
          <w:spacing w:val="6"/>
          <w:szCs w:val="21"/>
          <w14:textFill>
            <w14:solidFill>
              <w14:schemeClr w14:val="tx1"/>
            </w14:solidFill>
          </w14:textFill>
        </w:rPr>
        <w:t>负责人</w:t>
      </w:r>
      <w:r>
        <w:rPr>
          <w:rFonts w:hAnsi="宋体" w:cs="宋体"/>
          <w:color w:val="000000" w:themeColor="text1"/>
          <w:spacing w:val="6"/>
          <w:szCs w:val="21"/>
          <w:u w:val="single"/>
          <w14:textFill>
            <w14:solidFill>
              <w14:schemeClr w14:val="tx1"/>
            </w14:solidFill>
          </w14:textFill>
        </w:rPr>
        <w:t xml:space="preserve">          </w:t>
      </w:r>
      <w:r>
        <w:rPr>
          <w:rFonts w:hAnsi="宋体" w:cs="宋体"/>
          <w:color w:val="000000" w:themeColor="text1"/>
          <w:spacing w:val="6"/>
          <w:szCs w:val="21"/>
          <w14:textFill>
            <w14:solidFill>
              <w14:schemeClr w14:val="tx1"/>
            </w14:solidFill>
          </w14:textFill>
        </w:rPr>
        <w:t>（法定代表人）合法授权参加</w:t>
      </w:r>
      <w:r>
        <w:rPr>
          <w:rFonts w:hAnsi="宋体" w:cs="宋体"/>
          <w:color w:val="000000" w:themeColor="text1"/>
          <w:spacing w:val="6"/>
          <w:szCs w:val="21"/>
          <w:u w:val="single"/>
          <w14:textFill>
            <w14:solidFill>
              <w14:schemeClr w14:val="tx1"/>
            </w14:solidFill>
          </w14:textFill>
        </w:rPr>
        <w:t xml:space="preserve">          </w:t>
      </w:r>
      <w:r>
        <w:rPr>
          <w:rFonts w:hAnsi="宋体" w:cs="宋体"/>
          <w:color w:val="000000" w:themeColor="text1"/>
          <w:spacing w:val="6"/>
          <w:szCs w:val="21"/>
          <w14:textFill>
            <w14:solidFill>
              <w14:schemeClr w14:val="tx1"/>
            </w14:solidFill>
          </w14:textFill>
        </w:rPr>
        <w:t>（编号：</w:t>
      </w:r>
      <w:r>
        <w:rPr>
          <w:rFonts w:hAnsi="宋体" w:cs="宋体"/>
          <w:color w:val="000000" w:themeColor="text1"/>
          <w:spacing w:val="6"/>
          <w:szCs w:val="21"/>
          <w:u w:val="single"/>
          <w14:textFill>
            <w14:solidFill>
              <w14:schemeClr w14:val="tx1"/>
            </w14:solidFill>
          </w14:textFill>
        </w:rPr>
        <w:t xml:space="preserve">      </w:t>
      </w:r>
      <w:r>
        <w:rPr>
          <w:rFonts w:hAnsi="宋体" w:cs="宋体"/>
          <w:color w:val="000000" w:themeColor="text1"/>
          <w:spacing w:val="6"/>
          <w:szCs w:val="21"/>
          <w14:textFill>
            <w14:solidFill>
              <w14:schemeClr w14:val="tx1"/>
            </w14:solidFill>
          </w14:textFill>
        </w:rPr>
        <w:t xml:space="preserve">）政府采购活动，经与本单位法人代表（负责人）联系确认，现就有关公平竞争事项郑重声明如下： </w:t>
      </w:r>
    </w:p>
    <w:p>
      <w:pPr>
        <w:pStyle w:val="35"/>
        <w:widowControl/>
        <w:numPr>
          <w:ilvl w:val="0"/>
          <w:numId w:val="7"/>
        </w:numPr>
        <w:snapToGrid w:val="0"/>
        <w:spacing w:line="400" w:lineRule="exact"/>
        <w:ind w:firstLine="396" w:firstLineChars="189"/>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本单位与采购人之间 □不存在利害关系 □存在下列利害关系</w:t>
      </w:r>
      <w:r>
        <w:rPr>
          <w:rFonts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w:t>
      </w:r>
    </w:p>
    <w:p>
      <w:pPr>
        <w:pStyle w:val="35"/>
        <w:widowControl/>
        <w:snapToGrid w:val="0"/>
        <w:spacing w:line="400" w:lineRule="exac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 xml:space="preserve">  A.投资关系    B.行政隶属关系    C.业务指导关系</w:t>
      </w:r>
    </w:p>
    <w:p>
      <w:pPr>
        <w:pStyle w:val="35"/>
        <w:widowControl/>
        <w:snapToGrid w:val="0"/>
        <w:spacing w:line="400" w:lineRule="exac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 xml:space="preserve">  D.其他可能</w:t>
      </w:r>
      <w:r>
        <w:rPr>
          <w:rFonts w:ascii="宋体" w:hAnsi="宋体" w:cs="宋体"/>
          <w:color w:val="000000" w:themeColor="text1"/>
          <w:szCs w:val="21"/>
          <w14:textFill>
            <w14:solidFill>
              <w14:schemeClr w14:val="tx1"/>
            </w14:solidFill>
          </w14:textFill>
        </w:rPr>
        <w:t>影响采购公正的</w:t>
      </w:r>
      <w:r>
        <w:rPr>
          <w:rFonts w:ascii="宋体" w:hAnsi="宋体" w:cs="宋体"/>
          <w:color w:val="000000" w:themeColor="text1"/>
          <w:kern w:val="0"/>
          <w:szCs w:val="21"/>
          <w14:textFill>
            <w14:solidFill>
              <w14:schemeClr w14:val="tx1"/>
            </w14:solidFill>
          </w14:textFill>
        </w:rPr>
        <w:t>利害关系</w:t>
      </w:r>
      <w:r>
        <w:rPr>
          <w:rFonts w:ascii="宋体" w:hAnsi="宋体" w:cs="宋体"/>
          <w:color w:val="000000" w:themeColor="text1"/>
          <w:kern w:val="0"/>
          <w:szCs w:val="21"/>
          <w:u w:val="single"/>
          <w14:textFill>
            <w14:solidFill>
              <w14:schemeClr w14:val="tx1"/>
            </w14:solidFill>
          </w14:textFill>
        </w:rPr>
        <w:t xml:space="preserve">（如有，请如实说明）                 </w:t>
      </w:r>
      <w:r>
        <w:rPr>
          <w:rFonts w:ascii="宋体" w:hAnsi="宋体" w:cs="宋体"/>
          <w:color w:val="000000" w:themeColor="text1"/>
          <w:kern w:val="0"/>
          <w:szCs w:val="21"/>
          <w14:textFill>
            <w14:solidFill>
              <w14:schemeClr w14:val="tx1"/>
            </w14:solidFill>
          </w14:textFill>
        </w:rPr>
        <w:t>。</w:t>
      </w:r>
    </w:p>
    <w:p>
      <w:pPr>
        <w:pStyle w:val="35"/>
        <w:widowControl/>
        <w:snapToGrid w:val="0"/>
        <w:spacing w:line="400" w:lineRule="exac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spacing w:val="6"/>
          <w:szCs w:val="21"/>
          <w14:textFill>
            <w14:solidFill>
              <w14:schemeClr w14:val="tx1"/>
            </w14:solidFill>
          </w14:textFill>
        </w:rPr>
        <w:t xml:space="preserve">   二、</w:t>
      </w:r>
      <w:r>
        <w:rPr>
          <w:rFonts w:ascii="宋体" w:hAnsi="宋体" w:cs="宋体"/>
          <w:color w:val="000000" w:themeColor="text1"/>
          <w:kern w:val="0"/>
          <w:szCs w:val="21"/>
          <w14:textFill>
            <w14:solidFill>
              <w14:schemeClr w14:val="tx1"/>
            </w14:solidFill>
          </w14:textFill>
        </w:rPr>
        <w:t>现已清楚知道参加本项目采购活动的其他所有供应商名称，本单位 □与其他所有供应商之间均不存在利害关系 □与</w:t>
      </w:r>
      <w:r>
        <w:rPr>
          <w:rFonts w:ascii="宋体" w:hAnsi="宋体" w:cs="宋体"/>
          <w:color w:val="000000" w:themeColor="text1"/>
          <w:kern w:val="0"/>
          <w:szCs w:val="21"/>
          <w:u w:val="single"/>
          <w14:textFill>
            <w14:solidFill>
              <w14:schemeClr w14:val="tx1"/>
            </w14:solidFill>
          </w14:textFill>
        </w:rPr>
        <w:t xml:space="preserve">           （供应商名称）</w:t>
      </w:r>
      <w:r>
        <w:rPr>
          <w:rFonts w:ascii="宋体" w:hAnsi="宋体" w:cs="宋体"/>
          <w:color w:val="000000" w:themeColor="text1"/>
          <w:kern w:val="0"/>
          <w:szCs w:val="21"/>
          <w14:textFill>
            <w14:solidFill>
              <w14:schemeClr w14:val="tx1"/>
            </w14:solidFill>
          </w14:textFill>
        </w:rPr>
        <w:t>之间存在下列利害关系</w:t>
      </w:r>
      <w:r>
        <w:rPr>
          <w:rFonts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w:t>
      </w:r>
    </w:p>
    <w:p>
      <w:pPr>
        <w:pStyle w:val="34"/>
        <w:numPr>
          <w:ilvl w:val="0"/>
          <w:numId w:val="0"/>
        </w:numPr>
        <w:snapToGrid w:val="0"/>
        <w:spacing w:line="400" w:lineRule="exact"/>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A.法定代表人或负责人或实际控制人是同一人</w:t>
      </w:r>
    </w:p>
    <w:p>
      <w:pPr>
        <w:pStyle w:val="34"/>
        <w:numPr>
          <w:ilvl w:val="0"/>
          <w:numId w:val="0"/>
        </w:numPr>
        <w:snapToGrid w:val="0"/>
        <w:spacing w:line="400" w:lineRule="exact"/>
        <w:rPr>
          <w:rFonts w:hAnsi="宋体" w:cs="宋体"/>
          <w:color w:val="000000" w:themeColor="text1"/>
          <w:spacing w:val="6"/>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B.法定代表人或负责人或实际控制人是夫妻关系</w:t>
      </w:r>
    </w:p>
    <w:p>
      <w:pPr>
        <w:pStyle w:val="34"/>
        <w:numPr>
          <w:ilvl w:val="0"/>
          <w:numId w:val="0"/>
        </w:numPr>
        <w:snapToGrid w:val="0"/>
        <w:spacing w:line="400" w:lineRule="exact"/>
        <w:rPr>
          <w:rFonts w:hAnsi="宋体" w:cs="宋体"/>
          <w:color w:val="000000" w:themeColor="text1"/>
          <w:spacing w:val="6"/>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C.法定代表人或负责人或实际控制人是直系血亲关系</w:t>
      </w:r>
    </w:p>
    <w:p>
      <w:pPr>
        <w:pStyle w:val="34"/>
        <w:numPr>
          <w:ilvl w:val="0"/>
          <w:numId w:val="0"/>
        </w:numPr>
        <w:snapToGrid w:val="0"/>
        <w:spacing w:line="400" w:lineRule="exact"/>
        <w:rPr>
          <w:rFonts w:hAnsi="宋体" w:cs="宋体"/>
          <w:color w:val="000000" w:themeColor="text1"/>
          <w:spacing w:val="6"/>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D.法定代表人或负责人或实际控制人存在三代以内旁系血亲关系</w:t>
      </w:r>
    </w:p>
    <w:p>
      <w:pPr>
        <w:pStyle w:val="34"/>
        <w:numPr>
          <w:ilvl w:val="0"/>
          <w:numId w:val="0"/>
        </w:numPr>
        <w:snapToGrid w:val="0"/>
        <w:spacing w:line="400" w:lineRule="exact"/>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E.法定代表人或负责人或实际控制人存在近姻亲关系</w:t>
      </w:r>
    </w:p>
    <w:p>
      <w:pPr>
        <w:pStyle w:val="34"/>
        <w:numPr>
          <w:ilvl w:val="0"/>
          <w:numId w:val="0"/>
        </w:numPr>
        <w:snapToGrid w:val="0"/>
        <w:spacing w:line="400" w:lineRule="exact"/>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F.法定代表人或负责人或实际控制人存在股份控制或实际控制关系</w:t>
      </w:r>
    </w:p>
    <w:p>
      <w:pPr>
        <w:pStyle w:val="34"/>
        <w:numPr>
          <w:ilvl w:val="0"/>
          <w:numId w:val="0"/>
        </w:numPr>
        <w:snapToGrid w:val="0"/>
        <w:spacing w:line="400" w:lineRule="exact"/>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G.存在共同直接或间接投资设立子公司、联营企业和合营企业情况</w:t>
      </w:r>
    </w:p>
    <w:p>
      <w:pPr>
        <w:pStyle w:val="34"/>
        <w:numPr>
          <w:ilvl w:val="0"/>
          <w:numId w:val="0"/>
        </w:numPr>
        <w:snapToGrid w:val="0"/>
        <w:spacing w:line="400" w:lineRule="exact"/>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H.存在分级代理或代销关系、同一生产制造商关系、管理关系、重要业务（占主营业务收入50%以上）或重要财务往来关系（如融资）等其他实质性控制关系</w:t>
      </w:r>
    </w:p>
    <w:p>
      <w:pPr>
        <w:pStyle w:val="34"/>
        <w:numPr>
          <w:ilvl w:val="0"/>
          <w:numId w:val="0"/>
        </w:numPr>
        <w:snapToGrid w:val="0"/>
        <w:spacing w:line="400" w:lineRule="exact"/>
        <w:rPr>
          <w:rFonts w:hAnsi="宋体" w:cs="宋体"/>
          <w:color w:val="000000" w:themeColor="text1"/>
          <w:spacing w:val="6"/>
          <w:szCs w:val="21"/>
          <w14:textFill>
            <w14:solidFill>
              <w14:schemeClr w14:val="tx1"/>
            </w14:solidFill>
          </w14:textFill>
        </w:rPr>
      </w:pPr>
      <w:r>
        <w:rPr>
          <w:rFonts w:hAnsi="宋体" w:cs="宋体"/>
          <w:color w:val="000000" w:themeColor="text1"/>
          <w:szCs w:val="21"/>
          <w14:textFill>
            <w14:solidFill>
              <w14:schemeClr w14:val="tx1"/>
            </w14:solidFill>
          </w14:textFill>
        </w:rPr>
        <w:t xml:space="preserve">    I.其他利害关系情况</w:t>
      </w:r>
      <w:r>
        <w:rPr>
          <w:rFonts w:hAnsi="宋体" w:cs="宋体"/>
          <w:color w:val="000000" w:themeColor="text1"/>
          <w:szCs w:val="21"/>
          <w:u w:val="single"/>
          <w14:textFill>
            <w14:solidFill>
              <w14:schemeClr w14:val="tx1"/>
            </w14:solidFill>
          </w14:textFill>
        </w:rPr>
        <w:t xml:space="preserve">                              </w:t>
      </w:r>
      <w:r>
        <w:rPr>
          <w:rFonts w:hAnsi="宋体" w:cs="宋体"/>
          <w:color w:val="000000" w:themeColor="text1"/>
          <w:szCs w:val="21"/>
          <w14:textFill>
            <w14:solidFill>
              <w14:schemeClr w14:val="tx1"/>
            </w14:solidFill>
          </w14:textFill>
        </w:rPr>
        <w:t>。</w:t>
      </w:r>
    </w:p>
    <w:p>
      <w:pPr>
        <w:pStyle w:val="35"/>
        <w:widowControl/>
        <w:numPr>
          <w:ilvl w:val="0"/>
          <w:numId w:val="8"/>
        </w:numPr>
        <w:snapToGrid w:val="0"/>
        <w:spacing w:line="400" w:lineRule="exact"/>
        <w:ind w:firstLine="396" w:firstLineChars="189"/>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szCs w:val="21"/>
          <w14:textFill>
            <w14:solidFill>
              <w14:schemeClr w14:val="tx1"/>
            </w14:solidFill>
          </w14:textFill>
        </w:rPr>
        <w:t>现已清楚知道并</w:t>
      </w:r>
      <w:r>
        <w:rPr>
          <w:rFonts w:ascii="宋体" w:hAnsi="宋体" w:cs="宋体"/>
          <w:color w:val="000000" w:themeColor="text1"/>
          <w:kern w:val="0"/>
          <w:szCs w:val="21"/>
          <w14:textFill>
            <w14:solidFill>
              <w14:schemeClr w14:val="tx1"/>
            </w14:solidFill>
          </w14:textFill>
        </w:rPr>
        <w:t>严格遵守政府采购法律法规和现场纪律。</w:t>
      </w:r>
    </w:p>
    <w:p>
      <w:pPr>
        <w:pStyle w:val="35"/>
        <w:widowControl/>
        <w:numPr>
          <w:ilvl w:val="0"/>
          <w:numId w:val="8"/>
        </w:numPr>
        <w:snapToGrid w:val="0"/>
        <w:spacing w:line="400" w:lineRule="exact"/>
        <w:ind w:firstLine="396" w:firstLineChars="189"/>
        <w:rPr>
          <w:rFonts w:hAnsi="宋体" w:cs="宋体"/>
          <w:color w:val="000000" w:themeColor="text1"/>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我发现</w:t>
      </w:r>
      <w:r>
        <w:rPr>
          <w:rFonts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供应商之间存在或可能存在上述第二条第</w:t>
      </w:r>
      <w:r>
        <w:rPr>
          <w:rFonts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项利害关系</w:t>
      </w:r>
      <w:r>
        <w:rPr>
          <w:rFonts w:hAnsi="宋体" w:cs="宋体"/>
          <w:color w:val="000000" w:themeColor="text1"/>
          <w:szCs w:val="21"/>
          <w14:textFill>
            <w14:solidFill>
              <w14:schemeClr w14:val="tx1"/>
            </w14:solidFill>
          </w14:textFill>
        </w:rPr>
        <w:t xml:space="preserve">                         </w:t>
      </w:r>
    </w:p>
    <w:p>
      <w:pPr>
        <w:pStyle w:val="34"/>
        <w:numPr>
          <w:ilvl w:val="0"/>
          <w:numId w:val="0"/>
        </w:numPr>
        <w:snapToGrid w:val="0"/>
        <w:spacing w:line="400" w:lineRule="exact"/>
        <w:ind w:left="4410" w:leftChars="2100"/>
        <w:rPr>
          <w:rFonts w:hAnsi="宋体" w:cs="宋体"/>
          <w:color w:val="000000" w:themeColor="text1"/>
          <w:szCs w:val="21"/>
          <w14:textFill>
            <w14:solidFill>
              <w14:schemeClr w14:val="tx1"/>
            </w14:solidFill>
          </w14:textFill>
        </w:rPr>
      </w:pPr>
    </w:p>
    <w:p>
      <w:pPr>
        <w:pStyle w:val="34"/>
        <w:numPr>
          <w:ilvl w:val="0"/>
          <w:numId w:val="0"/>
        </w:numPr>
        <w:snapToGrid w:val="0"/>
        <w:spacing w:line="400" w:lineRule="exact"/>
        <w:ind w:left="4410" w:leftChars="2100"/>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供应商代表签名：</w:t>
      </w:r>
    </w:p>
    <w:p>
      <w:pPr>
        <w:pStyle w:val="34"/>
        <w:numPr>
          <w:ilvl w:val="0"/>
          <w:numId w:val="0"/>
        </w:numPr>
        <w:snapToGrid w:val="0"/>
        <w:spacing w:line="400" w:lineRule="exact"/>
        <w:ind w:left="4410" w:leftChars="2100"/>
        <w:rPr>
          <w:rFonts w:hAnsi="宋体" w:cs="宋体"/>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lang w:val="en-US" w:eastAsia="zh-CN"/>
          <w14:textFill>
            <w14:solidFill>
              <w14:schemeClr w14:val="tx1"/>
            </w14:solidFill>
          </w14:textFill>
        </w:rPr>
        <w:t>4</w:t>
      </w:r>
      <w:r>
        <w:rPr>
          <w:rFonts w:hAnsi="宋体" w:cs="宋体"/>
          <w:color w:val="000000" w:themeColor="text1"/>
          <w:szCs w:val="21"/>
          <w14:textFill>
            <w14:solidFill>
              <w14:schemeClr w14:val="tx1"/>
            </w14:solidFill>
          </w14:textFill>
        </w:rPr>
        <w:t>年   月   日</w:t>
      </w:r>
    </w:p>
    <w:p>
      <w:pPr>
        <w:pStyle w:val="7"/>
        <w:spacing w:line="400" w:lineRule="exact"/>
        <w:rPr>
          <w:rFonts w:hint="eastAsia" w:hAnsi="宋体" w:cs="宋体"/>
          <w:b/>
          <w:bCs/>
          <w:color w:val="000000" w:themeColor="text1"/>
          <w:szCs w:val="21"/>
          <w14:textFill>
            <w14:solidFill>
              <w14:schemeClr w14:val="tx1"/>
            </w14:solidFill>
          </w14:textFill>
        </w:rPr>
      </w:pPr>
    </w:p>
    <w:p>
      <w:pPr>
        <w:spacing w:line="400" w:lineRule="exact"/>
        <w:ind w:firstLine="442" w:firstLineChars="200"/>
        <w:rPr>
          <w:color w:val="000000" w:themeColor="text1"/>
          <w14:textFill>
            <w14:solidFill>
              <w14:schemeClr w14:val="tx1"/>
            </w14:solidFill>
          </w14:textFill>
        </w:rPr>
      </w:pPr>
      <w:r>
        <w:rPr>
          <w:rFonts w:hint="eastAsia" w:ascii="宋体" w:hAnsi="宋体" w:cs="宋体"/>
          <w:b/>
          <w:bCs/>
          <w:color w:val="000000" w:themeColor="text1"/>
          <w:sz w:val="22"/>
          <w:szCs w:val="20"/>
          <w14:textFill>
            <w14:solidFill>
              <w14:schemeClr w14:val="tx1"/>
            </w14:solidFill>
          </w14:textFill>
        </w:rPr>
        <w:t>注：</w:t>
      </w:r>
      <w:r>
        <w:rPr>
          <w:rFonts w:hint="eastAsia" w:ascii="宋体" w:hAnsi="宋体" w:cs="宋体"/>
          <w:b/>
          <w:bCs/>
          <w:color w:val="000000" w:themeColor="text1"/>
          <w:sz w:val="22"/>
          <w:szCs w:val="20"/>
          <w:lang w:val="en-US" w:eastAsia="zh-CN"/>
          <w14:textFill>
            <w14:solidFill>
              <w14:schemeClr w14:val="tx1"/>
            </w14:solidFill>
          </w14:textFill>
        </w:rPr>
        <w:t>投标</w:t>
      </w:r>
      <w:r>
        <w:rPr>
          <w:rFonts w:hint="eastAsia" w:ascii="宋体" w:hAnsi="宋体" w:cs="宋体"/>
          <w:b/>
          <w:bCs/>
          <w:color w:val="000000" w:themeColor="text1"/>
          <w:sz w:val="22"/>
          <w:szCs w:val="20"/>
          <w14:textFill>
            <w14:solidFill>
              <w14:schemeClr w14:val="tx1"/>
            </w14:solidFill>
          </w14:textFill>
        </w:rPr>
        <w:t>文件解密结束后，各供应商签署《政府采购活动现场确认声明书》，并在规定时间内通过邮件形式发送至采购代理机构邮箱：</w:t>
      </w:r>
      <w:r>
        <w:rPr>
          <w:rFonts w:ascii="宋体" w:hAnsi="宋体" w:cs="宋体"/>
          <w:b/>
          <w:bCs/>
          <w:color w:val="000000" w:themeColor="text1"/>
          <w:sz w:val="22"/>
          <w:szCs w:val="20"/>
          <w14:textFill>
            <w14:solidFill>
              <w14:schemeClr w14:val="tx1"/>
            </w14:solidFill>
          </w14:textFill>
        </w:rPr>
        <w:fldChar w:fldCharType="begin"/>
      </w:r>
      <w:r>
        <w:rPr>
          <w:rFonts w:ascii="宋体" w:hAnsi="宋体" w:cs="宋体"/>
          <w:b/>
          <w:bCs/>
          <w:color w:val="000000" w:themeColor="text1"/>
          <w:sz w:val="22"/>
          <w:szCs w:val="20"/>
          <w14:textFill>
            <w14:solidFill>
              <w14:schemeClr w14:val="tx1"/>
            </w14:solidFill>
          </w14:textFill>
        </w:rPr>
        <w:instrText xml:space="preserve"> HYPERLINK "mailto:</w:instrText>
      </w:r>
      <w:r>
        <w:rPr>
          <w:rFonts w:hint="eastAsia" w:ascii="宋体" w:hAnsi="宋体" w:cs="宋体"/>
          <w:b/>
          <w:bCs/>
          <w:color w:val="000000" w:themeColor="text1"/>
          <w:sz w:val="22"/>
          <w:szCs w:val="20"/>
          <w14:textFill>
            <w14:solidFill>
              <w14:schemeClr w14:val="tx1"/>
            </w14:solidFill>
          </w14:textFill>
        </w:rPr>
        <w:instrText xml:space="preserve">815743236@qq.com</w:instrText>
      </w:r>
      <w:r>
        <w:rPr>
          <w:rFonts w:ascii="宋体" w:hAnsi="宋体" w:cs="宋体"/>
          <w:b/>
          <w:bCs/>
          <w:color w:val="000000" w:themeColor="text1"/>
          <w:sz w:val="22"/>
          <w:szCs w:val="20"/>
          <w14:textFill>
            <w14:solidFill>
              <w14:schemeClr w14:val="tx1"/>
            </w14:solidFill>
          </w14:textFill>
        </w:rPr>
        <w:instrText xml:space="preserve">" </w:instrText>
      </w:r>
      <w:r>
        <w:rPr>
          <w:rFonts w:ascii="宋体" w:hAnsi="宋体" w:cs="宋体"/>
          <w:b/>
          <w:bCs/>
          <w:color w:val="000000" w:themeColor="text1"/>
          <w:sz w:val="22"/>
          <w:szCs w:val="20"/>
          <w14:textFill>
            <w14:solidFill>
              <w14:schemeClr w14:val="tx1"/>
            </w14:solidFill>
          </w14:textFill>
        </w:rPr>
        <w:fldChar w:fldCharType="separate"/>
      </w:r>
      <w:r>
        <w:rPr>
          <w:rFonts w:hint="eastAsia" w:ascii="宋体" w:hAnsi="宋体" w:cs="宋体"/>
          <w:b/>
          <w:bCs/>
          <w:color w:val="000000" w:themeColor="text1"/>
          <w:sz w:val="22"/>
          <w:szCs w:val="20"/>
          <w:lang w:val="en-US" w:eastAsia="zh-CN"/>
          <w14:textFill>
            <w14:solidFill>
              <w14:schemeClr w14:val="tx1"/>
            </w14:solidFill>
          </w14:textFill>
        </w:rPr>
        <w:t>799585739</w:t>
      </w:r>
      <w:r>
        <w:rPr>
          <w:rFonts w:hint="eastAsia" w:ascii="宋体" w:hAnsi="宋体" w:eastAsia="宋体" w:cs="宋体"/>
          <w:b/>
          <w:bCs/>
          <w:color w:val="000000" w:themeColor="text1"/>
          <w:sz w:val="22"/>
          <w:szCs w:val="20"/>
          <w14:textFill>
            <w14:solidFill>
              <w14:schemeClr w14:val="tx1"/>
            </w14:solidFill>
          </w14:textFill>
        </w:rPr>
        <w:t>@q</w:t>
      </w:r>
      <w:r>
        <w:rPr>
          <w:rStyle w:val="19"/>
          <w:b/>
          <w:bCs/>
          <w:color w:val="000000" w:themeColor="text1"/>
          <w:sz w:val="22"/>
          <w:szCs w:val="20"/>
          <w14:textFill>
            <w14:solidFill>
              <w14:schemeClr w14:val="tx1"/>
            </w14:solidFill>
          </w14:textFill>
        </w:rPr>
        <w:t>q.com</w:t>
      </w:r>
      <w:r>
        <w:rPr>
          <w:rFonts w:ascii="宋体" w:hAnsi="宋体" w:cs="宋体"/>
          <w:b/>
          <w:bCs/>
          <w:color w:val="000000" w:themeColor="text1"/>
          <w:sz w:val="22"/>
          <w:szCs w:val="20"/>
          <w14:textFill>
            <w14:solidFill>
              <w14:schemeClr w14:val="tx1"/>
            </w14:solidFill>
          </w14:textFill>
        </w:rPr>
        <w:fldChar w:fldCharType="end"/>
      </w:r>
      <w:r>
        <w:rPr>
          <w:rFonts w:hint="eastAsia" w:ascii="宋体" w:hAnsi="宋体" w:cs="宋体"/>
          <w:b/>
          <w:bCs/>
          <w:color w:val="000000" w:themeColor="text1"/>
          <w:sz w:val="22"/>
          <w:szCs w:val="20"/>
          <w14:textFill>
            <w14:solidFill>
              <w14:schemeClr w14:val="tx1"/>
            </w14:solidFill>
          </w14:textFill>
        </w:rPr>
        <w:t>，如未如实填写，将有可能影响你的投标文件评审（政府采购活动现场确认声明书格式见附表）。</w:t>
      </w:r>
    </w:p>
    <w:p>
      <w:pPr>
        <w:rPr>
          <w:color w:val="000000" w:themeColor="text1"/>
          <w14:textFill>
            <w14:solidFill>
              <w14:schemeClr w14:val="tx1"/>
            </w14:solidFill>
          </w14:textFill>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8"/>
      </w:rPr>
    </w:pPr>
    <w:r>
      <w:fldChar w:fldCharType="begin"/>
    </w:r>
    <w:r>
      <w:rPr>
        <w:rStyle w:val="18"/>
      </w:rPr>
      <w:instrText xml:space="preserve">PAGE  </w:instrText>
    </w:r>
    <w:r>
      <w:fldChar w:fldCharType="end"/>
    </w:r>
  </w:p>
  <w:p>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8"/>
      </w:rPr>
    </w:pPr>
    <w:r>
      <w:fldChar w:fldCharType="begin"/>
    </w:r>
    <w:r>
      <w:rPr>
        <w:rStyle w:val="18"/>
      </w:rPr>
      <w:instrText xml:space="preserve">PAGE  </w:instrText>
    </w:r>
    <w:r>
      <w:fldChar w:fldCharType="end"/>
    </w:r>
  </w:p>
  <w:p>
    <w:pPr>
      <w:pStyle w:val="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5" w:name="_Toc36110187"/>
    <w:bookmarkStart w:id="196" w:name="_Toc91899912"/>
    <w:bookmarkStart w:id="197" w:name="_Toc164085800"/>
    <w:bookmarkStart w:id="198" w:name="_Toc131845147"/>
    <w:r>
      <w:rPr>
        <w:rFonts w:hint="eastAsia" w:ascii="仿宋_GB2312" w:eastAsia="仿宋_GB2312"/>
        <w:kern w:val="0"/>
        <w:szCs w:val="21"/>
      </w:rPr>
      <w:t xml:space="preserve"> 页</w:t>
    </w:r>
    <w:bookmarkEnd w:id="195"/>
    <w:bookmarkEnd w:id="196"/>
    <w:bookmarkEnd w:id="197"/>
    <w:bookmarkEnd w:id="1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8"/>
      </w:rPr>
    </w:pPr>
    <w:r>
      <w:fldChar w:fldCharType="begin"/>
    </w:r>
    <w:r>
      <w:rPr>
        <w:rStyle w:val="18"/>
      </w:rPr>
      <w:instrText xml:space="preserve">PAGE  </w:instrText>
    </w:r>
    <w:r>
      <w:fldChar w:fldCharType="end"/>
    </w:r>
  </w:p>
  <w:p>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eastAsia="仿宋"/>
        <w:lang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color w:val="auto"/>
        <w:kern w:val="2"/>
        <w:sz w:val="18"/>
        <w:szCs w:val="18"/>
        <w:highlight w:val="none"/>
        <w:lang w:eastAsia="zh-CN"/>
      </w:rPr>
      <w:t>SXWS20240015</w:t>
    </w:r>
  </w:p>
  <w:p>
    <w:pPr>
      <w:pStyle w:val="1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p>
    <w:pPr>
      <w:pStyle w:val="1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p>
    <w:pPr>
      <w:pStyle w:val="10"/>
      <w:pBdr>
        <w:bottom w:val="none" w:color="auto" w:sz="0" w:space="0"/>
      </w:pBdr>
      <w:jc w:val="left"/>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rPr>
      <w:t xml:space="preserve"> </w:t>
    </w: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p>
    <w:pPr>
      <w:pStyle w:val="10"/>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绍兴五石项目咨询有限公司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lang w:eastAsia="zh-CN"/>
      </w:rPr>
      <w:t>SXWS20240015</w:t>
    </w:r>
  </w:p>
  <w:p>
    <w:pPr>
      <w:pStyle w:val="10"/>
      <w:pBdr>
        <w:bottom w:val="none" w:color="auto" w:sz="0" w:space="1"/>
      </w:pBdr>
      <w:jc w:val="both"/>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BE5AE"/>
    <w:multiLevelType w:val="singleLevel"/>
    <w:tmpl w:val="920BE5AE"/>
    <w:lvl w:ilvl="0" w:tentative="0">
      <w:start w:val="1"/>
      <w:numFmt w:val="decimal"/>
      <w:pStyle w:val="5"/>
      <w:lvlText w:val="%1."/>
      <w:lvlJc w:val="left"/>
      <w:pPr>
        <w:tabs>
          <w:tab w:val="left" w:pos="360"/>
        </w:tabs>
        <w:ind w:left="360" w:hanging="360"/>
      </w:pPr>
    </w:lvl>
  </w:abstractNum>
  <w:abstractNum w:abstractNumId="1">
    <w:nsid w:val="FA6F1F67"/>
    <w:multiLevelType w:val="singleLevel"/>
    <w:tmpl w:val="FA6F1F67"/>
    <w:lvl w:ilvl="0" w:tentative="0">
      <w:start w:val="1"/>
      <w:numFmt w:val="decimal"/>
      <w:lvlText w:val="%1."/>
      <w:lvlJc w:val="left"/>
      <w:pPr>
        <w:tabs>
          <w:tab w:val="left" w:pos="312"/>
        </w:tabs>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7A1BA7B"/>
    <w:multiLevelType w:val="singleLevel"/>
    <w:tmpl w:val="37A1BA7B"/>
    <w:lvl w:ilvl="0" w:tentative="0">
      <w:start w:val="1"/>
      <w:numFmt w:val="decimal"/>
      <w:pStyle w:val="4"/>
      <w:lvlText w:val="%1."/>
      <w:lvlJc w:val="left"/>
      <w:pPr>
        <w:tabs>
          <w:tab w:val="left" w:pos="780"/>
        </w:tabs>
        <w:ind w:left="780" w:hanging="360"/>
      </w:pPr>
    </w:lvl>
  </w:abstractNum>
  <w:abstractNum w:abstractNumId="5">
    <w:nsid w:val="545A512C"/>
    <w:multiLevelType w:val="multilevel"/>
    <w:tmpl w:val="545A512C"/>
    <w:lvl w:ilvl="0" w:tentative="0">
      <w:start w:val="1"/>
      <w:numFmt w:val="chineseCountingThousand"/>
      <w:pStyle w:val="34"/>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54F403B5"/>
    <w:multiLevelType w:val="singleLevel"/>
    <w:tmpl w:val="54F403B5"/>
    <w:lvl w:ilvl="0" w:tentative="0">
      <w:start w:val="1"/>
      <w:numFmt w:val="chineseCounting"/>
      <w:suff w:val="nothing"/>
      <w:lvlText w:val="%1、"/>
      <w:lvlJc w:val="left"/>
    </w:lvl>
  </w:abstractNum>
  <w:abstractNum w:abstractNumId="7">
    <w:nsid w:val="557FD3DA"/>
    <w:multiLevelType w:val="singleLevel"/>
    <w:tmpl w:val="557FD3DA"/>
    <w:lvl w:ilvl="0" w:tentative="0">
      <w:start w:val="3"/>
      <w:numFmt w:val="chineseCounting"/>
      <w:suff w:val="nothing"/>
      <w:lvlText w:val="%1、"/>
      <w:lvlJc w:val="left"/>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OWFkMmFlOTE5NDUzYzgwZWNhOWI3OTNjZDBlOTgifQ=="/>
  </w:docVars>
  <w:rsids>
    <w:rsidRoot w:val="49E96DC9"/>
    <w:rsid w:val="00FC501F"/>
    <w:rsid w:val="03EF245D"/>
    <w:rsid w:val="03F20CE4"/>
    <w:rsid w:val="05111F73"/>
    <w:rsid w:val="05E97064"/>
    <w:rsid w:val="0661309E"/>
    <w:rsid w:val="07AA268D"/>
    <w:rsid w:val="07F26B2A"/>
    <w:rsid w:val="0CD41FCF"/>
    <w:rsid w:val="0D915FD8"/>
    <w:rsid w:val="0E314937"/>
    <w:rsid w:val="0EA7265A"/>
    <w:rsid w:val="0F64306D"/>
    <w:rsid w:val="11222942"/>
    <w:rsid w:val="15F31439"/>
    <w:rsid w:val="1810761C"/>
    <w:rsid w:val="1911005A"/>
    <w:rsid w:val="1AFE6CB6"/>
    <w:rsid w:val="217C0935"/>
    <w:rsid w:val="250F60A0"/>
    <w:rsid w:val="28017DE6"/>
    <w:rsid w:val="297D09F9"/>
    <w:rsid w:val="2AE90429"/>
    <w:rsid w:val="2ED457CC"/>
    <w:rsid w:val="2F6824F8"/>
    <w:rsid w:val="30316D8E"/>
    <w:rsid w:val="3D162188"/>
    <w:rsid w:val="45121F3C"/>
    <w:rsid w:val="45D24AB7"/>
    <w:rsid w:val="475979C3"/>
    <w:rsid w:val="49496A9F"/>
    <w:rsid w:val="49E96DC9"/>
    <w:rsid w:val="4B2E0642"/>
    <w:rsid w:val="579857A6"/>
    <w:rsid w:val="57A57DAA"/>
    <w:rsid w:val="5F723A40"/>
    <w:rsid w:val="60806DF2"/>
    <w:rsid w:val="6CFE6144"/>
    <w:rsid w:val="700A77D3"/>
    <w:rsid w:val="738437CC"/>
    <w:rsid w:val="75071439"/>
    <w:rsid w:val="75414891"/>
    <w:rsid w:val="76291BD2"/>
    <w:rsid w:val="786A73BA"/>
    <w:rsid w:val="79D82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autoRedefine/>
    <w:qFormat/>
    <w:uiPriority w:val="0"/>
    <w:pPr>
      <w:numPr>
        <w:ilvl w:val="0"/>
        <w:numId w:val="2"/>
      </w:numPr>
    </w:pPr>
  </w:style>
  <w:style w:type="paragraph" w:styleId="6">
    <w:name w:val="Body Text"/>
    <w:basedOn w:val="1"/>
    <w:next w:val="1"/>
    <w:autoRedefine/>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autoRedefine/>
    <w:qFormat/>
    <w:uiPriority w:val="0"/>
    <w:pPr>
      <w:spacing w:line="480" w:lineRule="exact"/>
      <w:ind w:firstLine="480" w:firstLineChars="200"/>
    </w:pPr>
    <w:rPr>
      <w:rFonts w:ascii="宋体" w:hAnsi="宋体"/>
      <w:sz w:val="24"/>
    </w:rPr>
  </w:style>
  <w:style w:type="paragraph" w:styleId="8">
    <w:name w:val="Plain Text"/>
    <w:basedOn w:val="1"/>
    <w:autoRedefine/>
    <w:qFormat/>
    <w:uiPriority w:val="0"/>
    <w:rPr>
      <w:rFonts w:ascii="宋体" w:hAnsi="Courier New" w:cs="Arial"/>
      <w:snapToGrid w:val="0"/>
      <w:szCs w:val="21"/>
    </w:rPr>
  </w:style>
  <w:style w:type="paragraph" w:styleId="9">
    <w:name w:val="footer"/>
    <w:basedOn w:val="1"/>
    <w:autoRedefine/>
    <w:qFormat/>
    <w:uiPriority w:val="99"/>
    <w:pPr>
      <w:tabs>
        <w:tab w:val="center" w:pos="4153"/>
        <w:tab w:val="right" w:pos="8306"/>
      </w:tabs>
      <w:snapToGrid w:val="0"/>
      <w:jc w:val="left"/>
    </w:pPr>
    <w:rPr>
      <w:sz w:val="18"/>
      <w:szCs w:val="18"/>
    </w:rPr>
  </w:style>
  <w:style w:type="paragraph" w:styleId="10">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paragraph" w:styleId="12">
    <w:name w:val="Body Text First Indent"/>
    <w:basedOn w:val="6"/>
    <w:next w:val="1"/>
    <w:qFormat/>
    <w:uiPriority w:val="0"/>
    <w:pPr>
      <w:ind w:firstLine="420"/>
    </w:pPr>
    <w:rPr>
      <w:rFonts w:hAnsi="Calibri" w:cs="Times New Roman"/>
      <w:snapToGrid/>
      <w:szCs w:val="20"/>
    </w:rPr>
  </w:style>
  <w:style w:type="paragraph" w:styleId="13">
    <w:name w:val="Body Text First Indent 2"/>
    <w:basedOn w:val="7"/>
    <w:autoRedefine/>
    <w:qFormat/>
    <w:uiPriority w:val="0"/>
    <w:pPr>
      <w:spacing w:before="0" w:beforeLines="0" w:beforeAutospacing="0" w:line="240" w:lineRule="auto"/>
      <w:ind w:left="420" w:leftChars="200" w:firstLine="420" w:firstLineChars="200"/>
    </w:pPr>
    <w:rPr>
      <w:rFonts w:hint="default" w:ascii="Times New Roman"/>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autoRedefine/>
    <w:qFormat/>
    <w:uiPriority w:val="0"/>
    <w:rPr>
      <w:b/>
    </w:rPr>
  </w:style>
  <w:style w:type="character" w:styleId="18">
    <w:name w:val="page number"/>
    <w:basedOn w:val="16"/>
    <w:autoRedefine/>
    <w:qFormat/>
    <w:uiPriority w:val="0"/>
    <w:rPr>
      <w:rFonts w:ascii="Arial" w:hAnsi="Arial" w:eastAsia="黑体" w:cs="Arial"/>
      <w:snapToGrid w:val="0"/>
      <w:kern w:val="0"/>
      <w:szCs w:val="21"/>
    </w:rPr>
  </w:style>
  <w:style w:type="character" w:styleId="19">
    <w:name w:val="Hyperlink"/>
    <w:autoRedefine/>
    <w:qFormat/>
    <w:uiPriority w:val="99"/>
    <w:rPr>
      <w:rFonts w:ascii="Arial" w:hAnsi="Arial" w:eastAsia="黑体" w:cs="Arial"/>
      <w:snapToGrid w:val="0"/>
      <w:color w:val="000000"/>
      <w:kern w:val="0"/>
      <w:sz w:val="18"/>
      <w:szCs w:val="18"/>
      <w:u w:val="none"/>
    </w:rPr>
  </w:style>
  <w:style w:type="paragraph" w:customStyle="1" w:styleId="20">
    <w:name w:val="BodyText1I2"/>
    <w:basedOn w:val="21"/>
    <w:autoRedefine/>
    <w:qFormat/>
    <w:uiPriority w:val="0"/>
    <w:pPr>
      <w:spacing w:after="120" w:line="240" w:lineRule="auto"/>
      <w:ind w:left="200" w:leftChars="200" w:firstLine="200" w:firstLineChars="200"/>
      <w:jc w:val="both"/>
      <w:textAlignment w:val="baseline"/>
    </w:pPr>
    <w:rPr>
      <w:rFonts w:ascii="Calibri" w:hAnsi="Calibri"/>
      <w:spacing w:val="-4"/>
      <w:kern w:val="2"/>
      <w:sz w:val="21"/>
      <w:szCs w:val="22"/>
      <w:lang w:val="en-US" w:eastAsia="zh-CN" w:bidi="ar-SA"/>
    </w:rPr>
  </w:style>
  <w:style w:type="paragraph" w:customStyle="1" w:styleId="21">
    <w:name w:val="BodyTextIndent"/>
    <w:basedOn w:val="1"/>
    <w:qFormat/>
    <w:uiPriority w:val="0"/>
    <w:pPr>
      <w:spacing w:line="200" w:lineRule="exact"/>
      <w:ind w:firstLine="301"/>
      <w:jc w:val="both"/>
      <w:textAlignment w:val="baseline"/>
    </w:pPr>
    <w:rPr>
      <w:rFonts w:ascii="宋体"/>
      <w:spacing w:val="-4"/>
      <w:kern w:val="2"/>
      <w:sz w:val="18"/>
      <w:szCs w:val="20"/>
      <w:lang w:val="en-US" w:eastAsia="zh-CN" w:bidi="ar-SA"/>
    </w:rPr>
  </w:style>
  <w:style w:type="paragraph" w:customStyle="1" w:styleId="22">
    <w:name w:val="Default"/>
    <w:next w:val="2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4">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25">
    <w:name w:val="正文2"/>
    <w:basedOn w:val="1"/>
    <w:autoRedefine/>
    <w:qFormat/>
    <w:uiPriority w:val="0"/>
    <w:pPr>
      <w:spacing w:before="156" w:line="360" w:lineRule="auto"/>
      <w:ind w:firstLine="510" w:firstLineChars="200"/>
    </w:pPr>
    <w:rPr>
      <w:sz w:val="24"/>
      <w:szCs w:val="20"/>
    </w:rPr>
  </w:style>
  <w:style w:type="paragraph" w:customStyle="1" w:styleId="26">
    <w:name w:val="正文缩进1"/>
    <w:basedOn w:val="1"/>
    <w:next w:val="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
    <w:name w:val="纯文本1"/>
    <w:basedOn w:val="1"/>
    <w:autoRedefine/>
    <w:qFormat/>
    <w:uiPriority w:val="0"/>
    <w:pPr>
      <w:adjustRightInd/>
    </w:pPr>
    <w:rPr>
      <w:rFonts w:ascii="宋体" w:hAnsi="Courier New"/>
      <w:kern w:val="0"/>
      <w:sz w:val="20"/>
      <w:szCs w:val="20"/>
    </w:rPr>
  </w:style>
  <w:style w:type="paragraph" w:customStyle="1" w:styleId="2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1">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32">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4">
    <w:name w:val="Plain Text"/>
    <w:basedOn w:val="35"/>
    <w:next w:val="1"/>
    <w:autoRedefine/>
    <w:qFormat/>
    <w:uiPriority w:val="0"/>
    <w:pPr>
      <w:numPr>
        <w:ilvl w:val="0"/>
        <w:numId w:val="3"/>
      </w:numPr>
      <w:autoSpaceDE w:val="0"/>
      <w:autoSpaceDN w:val="0"/>
      <w:adjustRightInd w:val="0"/>
      <w:ind w:left="0" w:firstLine="0"/>
      <w:textAlignment w:val="baseline"/>
    </w:pPr>
    <w:rPr>
      <w:rFonts w:ascii="宋体" w:hAnsi="Tms Rmn"/>
      <w:kern w:val="0"/>
      <w:sz w:val="21"/>
    </w:rPr>
  </w:style>
  <w:style w:type="paragraph" w:customStyle="1" w:styleId="35">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6">
    <w:name w:val="font191"/>
    <w:basedOn w:val="16"/>
    <w:autoRedefine/>
    <w:qFormat/>
    <w:uiPriority w:val="0"/>
    <w:rPr>
      <w:rFonts w:hint="eastAsia" w:ascii="宋体" w:hAnsi="宋体" w:eastAsia="宋体" w:cs="宋体"/>
      <w:b/>
      <w:bCs/>
      <w:color w:val="000000"/>
      <w:sz w:val="22"/>
      <w:szCs w:val="22"/>
      <w:u w:val="none"/>
    </w:rPr>
  </w:style>
  <w:style w:type="character" w:customStyle="1" w:styleId="37">
    <w:name w:val="font91"/>
    <w:basedOn w:val="16"/>
    <w:autoRedefine/>
    <w:qFormat/>
    <w:uiPriority w:val="0"/>
    <w:rPr>
      <w:rFonts w:hint="eastAsia" w:ascii="宋体" w:hAnsi="宋体" w:eastAsia="宋体" w:cs="宋体"/>
      <w:color w:val="000000"/>
      <w:sz w:val="22"/>
      <w:szCs w:val="22"/>
      <w:u w:val="none"/>
    </w:rPr>
  </w:style>
  <w:style w:type="character" w:customStyle="1" w:styleId="38">
    <w:name w:val="font201"/>
    <w:basedOn w:val="16"/>
    <w:autoRedefine/>
    <w:qFormat/>
    <w:uiPriority w:val="0"/>
    <w:rPr>
      <w:rFonts w:hint="eastAsia" w:ascii="宋体" w:hAnsi="宋体" w:eastAsia="宋体" w:cs="宋体"/>
      <w:b/>
      <w:bCs/>
      <w:color w:val="000000"/>
      <w:sz w:val="24"/>
      <w:szCs w:val="24"/>
      <w:u w:val="none"/>
    </w:rPr>
  </w:style>
  <w:style w:type="character" w:customStyle="1" w:styleId="39">
    <w:name w:val="font291"/>
    <w:basedOn w:val="16"/>
    <w:autoRedefine/>
    <w:qFormat/>
    <w:uiPriority w:val="0"/>
    <w:rPr>
      <w:rFonts w:hint="eastAsia" w:ascii="宋体" w:hAnsi="宋体" w:eastAsia="宋体" w:cs="宋体"/>
      <w:color w:val="000000"/>
      <w:sz w:val="24"/>
      <w:szCs w:val="24"/>
      <w:u w:val="none"/>
    </w:rPr>
  </w:style>
  <w:style w:type="character" w:customStyle="1" w:styleId="40">
    <w:name w:val="font01"/>
    <w:basedOn w:val="16"/>
    <w:autoRedefine/>
    <w:qFormat/>
    <w:uiPriority w:val="0"/>
    <w:rPr>
      <w:rFonts w:hint="eastAsia" w:ascii="宋体" w:hAnsi="宋体" w:eastAsia="宋体" w:cs="宋体"/>
      <w:color w:val="000000"/>
      <w:sz w:val="24"/>
      <w:szCs w:val="24"/>
      <w:u w:val="none"/>
    </w:rPr>
  </w:style>
  <w:style w:type="character" w:customStyle="1" w:styleId="41">
    <w:name w:val="font21"/>
    <w:basedOn w:val="16"/>
    <w:autoRedefine/>
    <w:qFormat/>
    <w:uiPriority w:val="0"/>
    <w:rPr>
      <w:rFonts w:hint="eastAsia" w:ascii="宋体" w:hAnsi="宋体" w:eastAsia="宋体" w:cs="宋体"/>
      <w:color w:val="000000"/>
      <w:sz w:val="24"/>
      <w:szCs w:val="24"/>
      <w:u w:val="none"/>
    </w:rPr>
  </w:style>
  <w:style w:type="character" w:customStyle="1" w:styleId="42">
    <w:name w:val="font331"/>
    <w:basedOn w:val="16"/>
    <w:autoRedefine/>
    <w:qFormat/>
    <w:uiPriority w:val="0"/>
    <w:rPr>
      <w:rFonts w:hint="eastAsia" w:ascii="宋体" w:hAnsi="宋体" w:eastAsia="宋体" w:cs="宋体"/>
      <w:color w:val="000000"/>
      <w:sz w:val="22"/>
      <w:szCs w:val="22"/>
      <w:u w:val="none"/>
    </w:rPr>
  </w:style>
  <w:style w:type="character" w:customStyle="1" w:styleId="43">
    <w:name w:val="font341"/>
    <w:basedOn w:val="16"/>
    <w:autoRedefine/>
    <w:qFormat/>
    <w:uiPriority w:val="0"/>
    <w:rPr>
      <w:rFonts w:ascii="宋体" w:hAnsi="宋体" w:eastAsia="宋体" w:cs="宋体"/>
      <w:color w:val="000000"/>
      <w:sz w:val="22"/>
      <w:szCs w:val="22"/>
      <w:u w:val="none"/>
    </w:rPr>
  </w:style>
  <w:style w:type="character" w:customStyle="1" w:styleId="44">
    <w:name w:val="font31"/>
    <w:basedOn w:val="16"/>
    <w:autoRedefine/>
    <w:qFormat/>
    <w:uiPriority w:val="0"/>
    <w:rPr>
      <w:rFonts w:hint="eastAsia" w:ascii="宋体" w:hAnsi="宋体" w:eastAsia="宋体" w:cs="宋体"/>
      <w:color w:val="FF0000"/>
      <w:sz w:val="24"/>
      <w:szCs w:val="24"/>
      <w:u w:val="none"/>
    </w:rPr>
  </w:style>
  <w:style w:type="character" w:customStyle="1" w:styleId="45">
    <w:name w:val="NormalCharacter"/>
    <w:autoRedefine/>
    <w:semiHidden/>
    <w:qFormat/>
    <w:uiPriority w:val="0"/>
  </w:style>
  <w:style w:type="character" w:customStyle="1" w:styleId="46">
    <w:name w:val="font101"/>
    <w:basedOn w:val="16"/>
    <w:qFormat/>
    <w:uiPriority w:val="0"/>
    <w:rPr>
      <w:rFonts w:hint="eastAsia" w:ascii="宋体" w:hAnsi="宋体" w:eastAsia="宋体" w:cs="宋体"/>
      <w:color w:val="000000"/>
      <w:sz w:val="18"/>
      <w:szCs w:val="18"/>
      <w:u w:val="none"/>
    </w:rPr>
  </w:style>
  <w:style w:type="character" w:customStyle="1" w:styleId="47">
    <w:name w:val="font161"/>
    <w:basedOn w:val="16"/>
    <w:qFormat/>
    <w:uiPriority w:val="0"/>
    <w:rPr>
      <w:rFonts w:ascii="仿宋" w:hAnsi="仿宋" w:eastAsia="仿宋" w:cs="仿宋"/>
      <w:color w:val="000000"/>
      <w:sz w:val="18"/>
      <w:szCs w:val="18"/>
      <w:u w:val="none"/>
    </w:rPr>
  </w:style>
  <w:style w:type="paragraph" w:customStyle="1" w:styleId="48">
    <w:name w:val="列出段落1"/>
    <w:basedOn w:val="1"/>
    <w:qFormat/>
    <w:uiPriority w:val="0"/>
    <w:pPr>
      <w:ind w:firstLine="420" w:firstLineChars="200"/>
      <w:jc w:val="both"/>
    </w:pPr>
    <w:rPr>
      <w:rFonts w:ascii="Calibri" w:hAnsi="Calibri" w:eastAsia="宋体" w:cs="Times New Roman"/>
      <w:color w:val="auto"/>
      <w:kern w:val="2"/>
      <w:sz w:val="21"/>
      <w:szCs w:val="22"/>
      <w:lang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2.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header" Target="header4.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header" Target="header3.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7" Type="http://schemas.openxmlformats.org/officeDocument/2006/relationships/fontTable" Target="fontTable.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46.emf"/><Relationship Id="rId173" Type="http://schemas.openxmlformats.org/officeDocument/2006/relationships/oleObject" Target="embeddings/oleObject2.bin"/><Relationship Id="rId172" Type="http://schemas.openxmlformats.org/officeDocument/2006/relationships/image" Target="media/image145.emf"/><Relationship Id="rId171" Type="http://schemas.openxmlformats.org/officeDocument/2006/relationships/oleObject" Target="embeddings/oleObject1.bin"/><Relationship Id="rId170" Type="http://schemas.openxmlformats.org/officeDocument/2006/relationships/image" Target="media/image144.png"/><Relationship Id="rId17" Type="http://schemas.openxmlformats.org/officeDocument/2006/relationships/header" Target="header7.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8.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footer" Target="footer7.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6.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5.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6.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5.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57727</Words>
  <Characters>65884</Characters>
  <Lines>0</Lines>
  <Paragraphs>0</Paragraphs>
  <TotalTime>15</TotalTime>
  <ScaleCrop>false</ScaleCrop>
  <LinksUpToDate>false</LinksUpToDate>
  <CharactersWithSpaces>82548</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2023-08-25T07:10:00Z</dcterms:created>
  <dc:creator>my dear</dc:creator>
  <cp:lastModifiedBy>huihui </cp:lastModifiedBy>
  <dcterms:modified xsi:type="dcterms:W3CDTF">2024-05-13T07:56:08Z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B17206DA56EA4129B8EB5938149E8A38_11</vt:lpwstr>
  </property>
</Properties>
</file>