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BC314">
      <w:pPr>
        <w:adjustRightInd/>
        <w:spacing w:line="360" w:lineRule="auto"/>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 xml:space="preserve">中国共产党新昌县委员会组织部优秀公务员健康休养服务采购项目 </w:t>
      </w:r>
    </w:p>
    <w:p w14:paraId="4DDE470D">
      <w:pPr>
        <w:spacing w:line="240" w:lineRule="atLeast"/>
        <w:jc w:val="center"/>
        <w:outlineLvl w:val="0"/>
        <w:rPr>
          <w:rFonts w:hint="eastAsia" w:ascii="仿宋" w:hAnsi="仿宋" w:eastAsia="仿宋" w:cs="仿宋"/>
          <w:b/>
          <w:sz w:val="72"/>
          <w:szCs w:val="72"/>
        </w:rPr>
      </w:pPr>
    </w:p>
    <w:p w14:paraId="30964B9B">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竞</w:t>
      </w:r>
    </w:p>
    <w:p w14:paraId="5E713448">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争</w:t>
      </w:r>
    </w:p>
    <w:p w14:paraId="508917E1">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性</w:t>
      </w:r>
    </w:p>
    <w:p w14:paraId="79720BB8">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磋</w:t>
      </w:r>
    </w:p>
    <w:p w14:paraId="2AEA153D">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商</w:t>
      </w:r>
    </w:p>
    <w:p w14:paraId="4163C48F">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文</w:t>
      </w:r>
    </w:p>
    <w:p w14:paraId="43B3F7C1">
      <w:pPr>
        <w:spacing w:line="240" w:lineRule="atLeast"/>
        <w:jc w:val="center"/>
        <w:outlineLvl w:val="0"/>
        <w:rPr>
          <w:rFonts w:ascii="仿宋" w:hAnsi="仿宋" w:eastAsia="仿宋" w:cs="仿宋"/>
          <w:b/>
          <w:sz w:val="72"/>
          <w:szCs w:val="72"/>
        </w:rPr>
      </w:pPr>
      <w:r>
        <w:rPr>
          <w:rFonts w:hint="eastAsia" w:ascii="仿宋" w:hAnsi="仿宋" w:eastAsia="仿宋" w:cs="仿宋"/>
          <w:b/>
          <w:sz w:val="72"/>
          <w:szCs w:val="72"/>
        </w:rPr>
        <w:t>件</w:t>
      </w:r>
    </w:p>
    <w:p w14:paraId="76C3D300">
      <w:pPr>
        <w:adjustRightInd/>
        <w:spacing w:line="360" w:lineRule="auto"/>
        <w:jc w:val="center"/>
        <w:rPr>
          <w:rFonts w:ascii="仿宋" w:hAnsi="仿宋" w:eastAsia="仿宋" w:cs="仿宋"/>
          <w:sz w:val="28"/>
          <w:szCs w:val="20"/>
        </w:rPr>
      </w:pPr>
      <w:r>
        <w:rPr>
          <w:rFonts w:hint="eastAsia" w:ascii="仿宋" w:hAnsi="仿宋" w:eastAsia="仿宋" w:cs="仿宋"/>
          <w:b/>
          <w:sz w:val="44"/>
          <w:szCs w:val="44"/>
        </w:rPr>
        <w:t>（电子交易）</w:t>
      </w:r>
    </w:p>
    <w:p w14:paraId="55F482AE">
      <w:pPr>
        <w:snapToGrid w:val="0"/>
        <w:spacing w:line="360" w:lineRule="auto"/>
        <w:jc w:val="center"/>
        <w:rPr>
          <w:rFonts w:ascii="仿宋" w:hAnsi="仿宋" w:eastAsia="仿宋" w:cs="仿宋"/>
          <w:sz w:val="32"/>
          <w:szCs w:val="32"/>
        </w:rPr>
      </w:pPr>
    </w:p>
    <w:p w14:paraId="37F5CBB7">
      <w:pPr>
        <w:jc w:val="center"/>
        <w:rPr>
          <w:rFonts w:ascii="仿宋" w:hAnsi="仿宋" w:eastAsia="仿宋" w:cs="仿宋"/>
          <w:sz w:val="32"/>
          <w:szCs w:val="32"/>
        </w:rPr>
      </w:pPr>
      <w:r>
        <w:rPr>
          <w:rFonts w:hint="eastAsia" w:ascii="仿宋" w:hAnsi="仿宋" w:eastAsia="仿宋" w:cs="仿宋"/>
          <w:sz w:val="32"/>
          <w:szCs w:val="32"/>
        </w:rPr>
        <w:t>磋商编号：</w:t>
      </w:r>
      <w:r>
        <w:rPr>
          <w:rFonts w:hint="eastAsia" w:ascii="仿宋" w:hAnsi="仿宋" w:eastAsia="仿宋" w:cs="仿宋"/>
          <w:sz w:val="32"/>
          <w:szCs w:val="32"/>
          <w:lang w:eastAsia="zh-CN"/>
        </w:rPr>
        <w:t>SXPZ-F20250707QXY</w:t>
      </w:r>
      <w:r>
        <w:rPr>
          <w:rFonts w:hint="eastAsia" w:ascii="仿宋" w:hAnsi="仿宋" w:eastAsia="仿宋" w:cs="仿宋"/>
          <w:sz w:val="32"/>
          <w:szCs w:val="32"/>
        </w:rPr>
        <w:t xml:space="preserve"> </w:t>
      </w:r>
    </w:p>
    <w:tbl>
      <w:tblPr>
        <w:tblStyle w:val="62"/>
        <w:tblW w:w="7801" w:type="dxa"/>
        <w:jc w:val="center"/>
        <w:tblLayout w:type="fixed"/>
        <w:tblCellMar>
          <w:top w:w="0" w:type="dxa"/>
          <w:left w:w="108" w:type="dxa"/>
          <w:bottom w:w="0" w:type="dxa"/>
          <w:right w:w="108" w:type="dxa"/>
        </w:tblCellMar>
      </w:tblPr>
      <w:tblGrid>
        <w:gridCol w:w="2356"/>
        <w:gridCol w:w="5445"/>
      </w:tblGrid>
      <w:tr w14:paraId="3C173013">
        <w:tblPrEx>
          <w:tblCellMar>
            <w:top w:w="0" w:type="dxa"/>
            <w:left w:w="108" w:type="dxa"/>
            <w:bottom w:w="0" w:type="dxa"/>
            <w:right w:w="108" w:type="dxa"/>
          </w:tblCellMar>
        </w:tblPrEx>
        <w:trPr>
          <w:trHeight w:val="454" w:hRule="atLeast"/>
          <w:jc w:val="center"/>
        </w:trPr>
        <w:tc>
          <w:tcPr>
            <w:tcW w:w="2356" w:type="dxa"/>
            <w:vAlign w:val="center"/>
          </w:tcPr>
          <w:p w14:paraId="278E45FE">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2090884853"/>
              </w:rPr>
              <w:t>采购单位</w:t>
            </w:r>
            <w:r>
              <w:rPr>
                <w:rFonts w:hint="eastAsia" w:ascii="仿宋" w:hAnsi="仿宋" w:eastAsia="仿宋" w:cs="仿宋"/>
                <w:spacing w:val="0"/>
                <w:kern w:val="0"/>
                <w:sz w:val="32"/>
                <w:szCs w:val="32"/>
                <w:fitText w:val="2240" w:id="2090884853"/>
              </w:rPr>
              <w:t>：</w:t>
            </w:r>
          </w:p>
        </w:tc>
        <w:tc>
          <w:tcPr>
            <w:tcW w:w="5445" w:type="dxa"/>
            <w:vAlign w:val="center"/>
          </w:tcPr>
          <w:p w14:paraId="3BE7C2F7">
            <w:pPr>
              <w:spacing w:line="320" w:lineRule="exact"/>
              <w:outlineLvl w:val="0"/>
              <w:rPr>
                <w:rFonts w:ascii="仿宋" w:hAnsi="仿宋" w:eastAsia="仿宋" w:cs="仿宋"/>
                <w:sz w:val="32"/>
                <w:szCs w:val="32"/>
              </w:rPr>
            </w:pPr>
            <w:r>
              <w:rPr>
                <w:rFonts w:hint="eastAsia" w:ascii="仿宋" w:hAnsi="仿宋" w:eastAsia="仿宋" w:cs="仿宋"/>
                <w:sz w:val="32"/>
                <w:szCs w:val="32"/>
                <w:lang w:eastAsia="zh-CN"/>
              </w:rPr>
              <w:t>中国共产党新昌县委员会组织部</w:t>
            </w:r>
            <w:r>
              <w:rPr>
                <w:rFonts w:hint="eastAsia" w:ascii="仿宋" w:hAnsi="仿宋" w:eastAsia="仿宋" w:cs="仿宋"/>
                <w:sz w:val="32"/>
                <w:szCs w:val="32"/>
              </w:rPr>
              <w:t xml:space="preserve">    </w:t>
            </w:r>
          </w:p>
        </w:tc>
      </w:tr>
      <w:tr w14:paraId="5AFEA043">
        <w:tblPrEx>
          <w:tblCellMar>
            <w:top w:w="0" w:type="dxa"/>
            <w:left w:w="108" w:type="dxa"/>
            <w:bottom w:w="0" w:type="dxa"/>
            <w:right w:w="108" w:type="dxa"/>
          </w:tblCellMar>
        </w:tblPrEx>
        <w:trPr>
          <w:trHeight w:val="454" w:hRule="atLeast"/>
          <w:jc w:val="center"/>
        </w:trPr>
        <w:tc>
          <w:tcPr>
            <w:tcW w:w="2356" w:type="dxa"/>
            <w:vAlign w:val="center"/>
          </w:tcPr>
          <w:p w14:paraId="70EF29E1">
            <w:pPr>
              <w:spacing w:after="100" w:afterAutospacing="1" w:line="440" w:lineRule="exact"/>
              <w:jc w:val="left"/>
              <w:rPr>
                <w:rFonts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5445" w:type="dxa"/>
            <w:vAlign w:val="center"/>
          </w:tcPr>
          <w:p w14:paraId="0675292A">
            <w:pPr>
              <w:spacing w:after="100" w:afterAutospacing="1" w:line="4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绍兴平准招标代理有限公司</w:t>
            </w:r>
          </w:p>
        </w:tc>
      </w:tr>
      <w:tr w14:paraId="2AB4DF88">
        <w:tblPrEx>
          <w:tblCellMar>
            <w:top w:w="0" w:type="dxa"/>
            <w:left w:w="108" w:type="dxa"/>
            <w:bottom w:w="0" w:type="dxa"/>
            <w:right w:w="108" w:type="dxa"/>
          </w:tblCellMar>
        </w:tblPrEx>
        <w:trPr>
          <w:trHeight w:val="454" w:hRule="atLeast"/>
          <w:jc w:val="center"/>
        </w:trPr>
        <w:tc>
          <w:tcPr>
            <w:tcW w:w="2356" w:type="dxa"/>
            <w:vAlign w:val="center"/>
          </w:tcPr>
          <w:p w14:paraId="7C05F51E">
            <w:pPr>
              <w:spacing w:after="100" w:afterAutospacing="1" w:line="440" w:lineRule="exact"/>
              <w:jc w:val="left"/>
              <w:rPr>
                <w:rFonts w:ascii="仿宋" w:hAnsi="仿宋" w:eastAsia="仿宋" w:cs="仿宋"/>
                <w:sz w:val="32"/>
                <w:szCs w:val="32"/>
              </w:rPr>
            </w:pPr>
            <w:r>
              <w:rPr>
                <w:rFonts w:hint="eastAsia" w:ascii="仿宋" w:hAnsi="仿宋" w:eastAsia="仿宋" w:cs="仿宋"/>
                <w:spacing w:val="80"/>
                <w:kern w:val="0"/>
                <w:sz w:val="32"/>
                <w:szCs w:val="32"/>
                <w:fitText w:val="2240" w:id="1"/>
              </w:rPr>
              <w:t>监督单位</w:t>
            </w:r>
            <w:r>
              <w:rPr>
                <w:rFonts w:hint="eastAsia" w:ascii="仿宋" w:hAnsi="仿宋" w:eastAsia="仿宋" w:cs="仿宋"/>
                <w:spacing w:val="0"/>
                <w:kern w:val="0"/>
                <w:sz w:val="32"/>
                <w:szCs w:val="32"/>
                <w:fitText w:val="2240" w:id="1"/>
              </w:rPr>
              <w:t>：</w:t>
            </w:r>
          </w:p>
        </w:tc>
        <w:tc>
          <w:tcPr>
            <w:tcW w:w="5445" w:type="dxa"/>
            <w:vAlign w:val="center"/>
          </w:tcPr>
          <w:p w14:paraId="4950E4EF">
            <w:pPr>
              <w:spacing w:after="100" w:afterAutospacing="1" w:line="4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新昌县财政局采监科</w:t>
            </w:r>
          </w:p>
        </w:tc>
      </w:tr>
      <w:tr w14:paraId="114BE19D">
        <w:tblPrEx>
          <w:tblCellMar>
            <w:top w:w="0" w:type="dxa"/>
            <w:left w:w="108" w:type="dxa"/>
            <w:bottom w:w="0" w:type="dxa"/>
            <w:right w:w="108" w:type="dxa"/>
          </w:tblCellMar>
        </w:tblPrEx>
        <w:trPr>
          <w:trHeight w:val="454" w:hRule="atLeast"/>
          <w:jc w:val="center"/>
        </w:trPr>
        <w:tc>
          <w:tcPr>
            <w:tcW w:w="7801" w:type="dxa"/>
            <w:gridSpan w:val="2"/>
            <w:vAlign w:val="center"/>
          </w:tcPr>
          <w:p w14:paraId="57032E26">
            <w:pPr>
              <w:spacing w:after="100" w:afterAutospacing="1" w:line="440" w:lineRule="exact"/>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五</w:t>
            </w:r>
            <w:r>
              <w:rPr>
                <w:rFonts w:hint="eastAsia" w:ascii="仿宋" w:hAnsi="仿宋" w:eastAsia="仿宋" w:cs="仿宋"/>
                <w:sz w:val="32"/>
                <w:szCs w:val="32"/>
              </w:rPr>
              <w:t>年</w:t>
            </w:r>
            <w:r>
              <w:rPr>
                <w:rFonts w:hint="eastAsia" w:ascii="仿宋" w:hAnsi="仿宋" w:eastAsia="仿宋" w:cs="仿宋"/>
                <w:sz w:val="32"/>
                <w:szCs w:val="32"/>
                <w:lang w:eastAsia="zh-CN"/>
              </w:rPr>
              <w:t>七</w:t>
            </w:r>
            <w:r>
              <w:rPr>
                <w:rFonts w:hint="eastAsia" w:ascii="仿宋" w:hAnsi="仿宋" w:eastAsia="仿宋" w:cs="仿宋"/>
                <w:sz w:val="32"/>
                <w:szCs w:val="32"/>
              </w:rPr>
              <w:t>月</w:t>
            </w:r>
          </w:p>
        </w:tc>
      </w:tr>
    </w:tbl>
    <w:p w14:paraId="6C1F0463">
      <w:pPr>
        <w:tabs>
          <w:tab w:val="left" w:pos="2268"/>
        </w:tabs>
        <w:spacing w:line="360" w:lineRule="auto"/>
        <w:jc w:val="center"/>
        <w:rPr>
          <w:rFonts w:ascii="宋体" w:hAnsi="宋体" w:eastAsia="宋体" w:cs="仿宋_GB2312"/>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3DB71CB8">
      <w:pPr>
        <w:pStyle w:val="73"/>
      </w:pPr>
    </w:p>
    <w:p w14:paraId="228CBE7D">
      <w:pPr>
        <w:spacing w:line="360" w:lineRule="auto"/>
        <w:jc w:val="center"/>
        <w:rPr>
          <w:rFonts w:hint="eastAsia" w:ascii="仿宋" w:hAnsi="仿宋" w:eastAsia="仿宋" w:cs="仿宋"/>
          <w:b/>
          <w:sz w:val="48"/>
          <w:szCs w:val="48"/>
        </w:rPr>
      </w:pPr>
    </w:p>
    <w:p w14:paraId="0DFEC163">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5446E907">
      <w:pPr>
        <w:spacing w:line="360" w:lineRule="auto"/>
        <w:rPr>
          <w:rFonts w:ascii="仿宋" w:hAnsi="仿宋" w:eastAsia="仿宋" w:cs="仿宋"/>
          <w:sz w:val="32"/>
          <w:szCs w:val="32"/>
        </w:rPr>
      </w:pPr>
    </w:p>
    <w:p w14:paraId="59D4A9B2">
      <w:pPr>
        <w:spacing w:line="360" w:lineRule="auto"/>
        <w:rPr>
          <w:rFonts w:ascii="仿宋" w:hAnsi="仿宋" w:eastAsia="仿宋" w:cs="仿宋"/>
          <w:sz w:val="32"/>
          <w:szCs w:val="32"/>
        </w:rPr>
      </w:pPr>
    </w:p>
    <w:p w14:paraId="40DE7C2F">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第一部分      磋商邀请公告</w:t>
      </w:r>
    </w:p>
    <w:p w14:paraId="78FEA1AC">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第二部分      供应商须知</w:t>
      </w:r>
    </w:p>
    <w:p w14:paraId="114F2A9A">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第三部分      采购需求</w:t>
      </w:r>
    </w:p>
    <w:p w14:paraId="78A7B7F0">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第四部分      拟签订的合同文本</w:t>
      </w:r>
    </w:p>
    <w:p w14:paraId="5777F27F">
      <w:pPr>
        <w:spacing w:line="360" w:lineRule="auto"/>
        <w:ind w:firstLine="1446" w:firstLineChars="400"/>
        <w:rPr>
          <w:rFonts w:ascii="仿宋" w:hAnsi="仿宋" w:eastAsia="仿宋" w:cs="仿宋"/>
          <w:b/>
          <w:bCs/>
          <w:sz w:val="36"/>
          <w:szCs w:val="36"/>
        </w:rPr>
      </w:pPr>
      <w:r>
        <w:rPr>
          <w:rFonts w:hint="eastAsia" w:ascii="仿宋" w:hAnsi="仿宋" w:eastAsia="仿宋" w:cs="仿宋"/>
          <w:b/>
          <w:bCs/>
          <w:sz w:val="36"/>
          <w:szCs w:val="36"/>
        </w:rPr>
        <w:t>第五部分      评审方法及标准</w:t>
      </w:r>
    </w:p>
    <w:p w14:paraId="064FF2C5">
      <w:pPr>
        <w:spacing w:line="360" w:lineRule="auto"/>
        <w:jc w:val="center"/>
        <w:rPr>
          <w:rFonts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第六部分      磋商响应文件及其附件格式</w:t>
      </w:r>
    </w:p>
    <w:p w14:paraId="06FA59EC">
      <w:pPr>
        <w:spacing w:line="360" w:lineRule="auto"/>
        <w:ind w:firstLine="549" w:firstLineChars="229"/>
        <w:rPr>
          <w:rFonts w:ascii="仿宋" w:hAnsi="仿宋" w:eastAsia="仿宋" w:cs="仿宋"/>
          <w:sz w:val="24"/>
        </w:rPr>
      </w:pPr>
      <w:bookmarkStart w:id="0" w:name="_Hlt91233176"/>
      <w:bookmarkEnd w:id="0"/>
      <w:bookmarkStart w:id="1" w:name="_Toc91899869"/>
    </w:p>
    <w:p w14:paraId="6762E4C3">
      <w:pPr>
        <w:spacing w:line="360" w:lineRule="auto"/>
        <w:ind w:firstLine="549" w:firstLineChars="229"/>
        <w:rPr>
          <w:rFonts w:ascii="宋体" w:hAnsi="宋体" w:eastAsia="宋体" w:cs="仿宋_GB2312"/>
          <w:sz w:val="24"/>
        </w:rPr>
      </w:pPr>
    </w:p>
    <w:p w14:paraId="3289E8D6">
      <w:pPr>
        <w:spacing w:line="360" w:lineRule="auto"/>
        <w:ind w:firstLine="549" w:firstLineChars="229"/>
        <w:rPr>
          <w:rFonts w:ascii="宋体" w:hAnsi="宋体" w:eastAsia="宋体" w:cs="仿宋_GB2312"/>
          <w:sz w:val="24"/>
        </w:rPr>
      </w:pPr>
    </w:p>
    <w:p w14:paraId="181BBFCB">
      <w:pPr>
        <w:spacing w:line="360" w:lineRule="auto"/>
        <w:ind w:firstLine="549" w:firstLineChars="229"/>
        <w:rPr>
          <w:rFonts w:ascii="宋体" w:hAnsi="宋体" w:eastAsia="宋体" w:cs="仿宋_GB2312"/>
          <w:sz w:val="24"/>
        </w:rPr>
      </w:pPr>
    </w:p>
    <w:p w14:paraId="3BBFA536">
      <w:pPr>
        <w:spacing w:line="360" w:lineRule="auto"/>
        <w:ind w:firstLine="549" w:firstLineChars="229"/>
        <w:rPr>
          <w:rFonts w:ascii="宋体" w:hAnsi="宋体" w:eastAsia="宋体" w:cs="仿宋_GB2312"/>
          <w:sz w:val="24"/>
        </w:rPr>
      </w:pPr>
    </w:p>
    <w:p w14:paraId="75C63128">
      <w:pPr>
        <w:spacing w:line="360" w:lineRule="auto"/>
        <w:ind w:firstLine="549" w:firstLineChars="229"/>
        <w:rPr>
          <w:rFonts w:ascii="宋体" w:hAnsi="宋体" w:eastAsia="宋体" w:cs="仿宋_GB2312"/>
          <w:sz w:val="24"/>
        </w:rPr>
      </w:pPr>
    </w:p>
    <w:p w14:paraId="48221E1C">
      <w:pPr>
        <w:spacing w:line="360" w:lineRule="auto"/>
        <w:ind w:firstLine="549" w:firstLineChars="229"/>
        <w:rPr>
          <w:rFonts w:ascii="宋体" w:hAnsi="宋体" w:eastAsia="宋体" w:cs="仿宋_GB2312"/>
          <w:sz w:val="24"/>
        </w:rPr>
      </w:pPr>
    </w:p>
    <w:p w14:paraId="42741C5C">
      <w:pPr>
        <w:spacing w:line="360" w:lineRule="auto"/>
        <w:ind w:firstLine="549" w:firstLineChars="229"/>
        <w:rPr>
          <w:rFonts w:ascii="宋体" w:hAnsi="宋体" w:eastAsia="宋体" w:cs="仿宋_GB2312"/>
          <w:sz w:val="24"/>
        </w:rPr>
      </w:pPr>
    </w:p>
    <w:p w14:paraId="44D2FC8E">
      <w:pPr>
        <w:spacing w:line="360" w:lineRule="auto"/>
        <w:ind w:firstLine="549" w:firstLineChars="229"/>
        <w:rPr>
          <w:rFonts w:ascii="宋体" w:hAnsi="宋体" w:eastAsia="宋体" w:cs="仿宋_GB2312"/>
          <w:sz w:val="24"/>
        </w:rPr>
      </w:pPr>
    </w:p>
    <w:p w14:paraId="573B8765">
      <w:pPr>
        <w:spacing w:line="360" w:lineRule="auto"/>
        <w:ind w:firstLine="549" w:firstLineChars="229"/>
        <w:rPr>
          <w:rFonts w:ascii="宋体" w:hAnsi="宋体" w:eastAsia="宋体" w:cs="仿宋_GB2312"/>
          <w:sz w:val="24"/>
        </w:rPr>
      </w:pPr>
    </w:p>
    <w:p w14:paraId="17A9A26C">
      <w:pPr>
        <w:spacing w:line="360" w:lineRule="auto"/>
        <w:ind w:firstLine="549" w:firstLineChars="229"/>
        <w:rPr>
          <w:rFonts w:ascii="宋体" w:hAnsi="宋体" w:eastAsia="宋体" w:cs="仿宋_GB2312"/>
          <w:sz w:val="24"/>
        </w:rPr>
      </w:pPr>
    </w:p>
    <w:bookmarkEnd w:id="1"/>
    <w:p w14:paraId="30D38F32">
      <w:pPr>
        <w:adjustRightInd/>
        <w:spacing w:line="360" w:lineRule="auto"/>
        <w:jc w:val="center"/>
        <w:outlineLvl w:val="0"/>
        <w:rPr>
          <w:rFonts w:ascii="仿宋" w:hAnsi="仿宋" w:eastAsia="仿宋" w:cs="仿宋"/>
          <w:b/>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p>
    <w:p w14:paraId="76DF4321">
      <w:pPr>
        <w:adjustRightInd/>
        <w:spacing w:line="336" w:lineRule="auto"/>
        <w:jc w:val="center"/>
        <w:outlineLvl w:val="0"/>
        <w:rPr>
          <w:rFonts w:ascii="仿宋" w:hAnsi="仿宋" w:eastAsia="仿宋" w:cs="仿宋"/>
          <w:sz w:val="24"/>
        </w:rPr>
      </w:pPr>
      <w:r>
        <w:rPr>
          <w:rFonts w:hint="eastAsia" w:ascii="仿宋" w:hAnsi="仿宋" w:eastAsia="仿宋" w:cs="仿宋"/>
          <w:b/>
          <w:sz w:val="36"/>
          <w:szCs w:val="20"/>
        </w:rPr>
        <w:t>第一部分  磋商邀请公告</w:t>
      </w:r>
    </w:p>
    <w:p w14:paraId="4D3A6C9C">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rPr>
      </w:pPr>
      <w:r>
        <w:rPr>
          <w:rFonts w:hint="eastAsia" w:ascii="仿宋" w:hAnsi="仿宋" w:eastAsia="仿宋" w:cs="仿宋"/>
          <w:sz w:val="24"/>
        </w:rPr>
        <w:t>项目概况</w:t>
      </w:r>
    </w:p>
    <w:p w14:paraId="4DD2E823">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中国共产党新昌县委员会组织部优秀公务员健康休养服务采购项目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21</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70016EE0">
      <w:pPr>
        <w:pStyle w:val="5"/>
        <w:numPr>
          <w:ilvl w:val="0"/>
          <w:numId w:val="0"/>
        </w:numPr>
        <w:spacing w:line="336" w:lineRule="auto"/>
        <w:ind w:firstLine="480" w:firstLineChars="200"/>
        <w:rPr>
          <w:rFonts w:hint="eastAsia" w:ascii="黑体" w:hAnsi="黑体" w:eastAsia="黑体" w:cs="黑体"/>
          <w:b w:val="0"/>
          <w:bCs w:val="0"/>
          <w:sz w:val="24"/>
          <w:szCs w:val="24"/>
        </w:rPr>
      </w:pPr>
      <w:bookmarkStart w:id="9" w:name="_Toc35393629"/>
      <w:bookmarkStart w:id="10" w:name="_Toc28359089"/>
      <w:bookmarkStart w:id="11" w:name="_Toc35393798"/>
      <w:bookmarkStart w:id="12" w:name="_Toc28359012"/>
      <w:r>
        <w:rPr>
          <w:rFonts w:hint="eastAsia" w:ascii="黑体" w:hAnsi="黑体" w:eastAsia="黑体" w:cs="黑体"/>
          <w:b w:val="0"/>
          <w:bCs w:val="0"/>
          <w:sz w:val="24"/>
          <w:szCs w:val="24"/>
        </w:rPr>
        <w:t>一、项目基本情况</w:t>
      </w:r>
      <w:bookmarkEnd w:id="9"/>
      <w:bookmarkEnd w:id="10"/>
      <w:bookmarkEnd w:id="11"/>
      <w:bookmarkEnd w:id="12"/>
    </w:p>
    <w:p w14:paraId="0DCA839A">
      <w:pPr>
        <w:spacing w:line="336" w:lineRule="auto"/>
        <w:ind w:firstLine="482" w:firstLineChars="200"/>
        <w:rPr>
          <w:rFonts w:hint="default" w:ascii="仿宋" w:hAnsi="仿宋" w:eastAsia="仿宋" w:cs="仿宋"/>
          <w:sz w:val="24"/>
          <w:lang w:val="en-US" w:eastAsia="zh-CN"/>
        </w:rPr>
      </w:pPr>
      <w:r>
        <w:rPr>
          <w:rFonts w:hint="eastAsia" w:ascii="仿宋" w:hAnsi="仿宋" w:eastAsia="仿宋" w:cs="仿宋"/>
          <w:b/>
          <w:sz w:val="24"/>
        </w:rPr>
        <w:t>项目编号：</w:t>
      </w:r>
      <w:r>
        <w:rPr>
          <w:rFonts w:hint="eastAsia" w:ascii="仿宋" w:hAnsi="仿宋" w:eastAsia="仿宋" w:cs="仿宋"/>
          <w:sz w:val="24"/>
          <w:lang w:val="en-US" w:eastAsia="zh-CN"/>
        </w:rPr>
        <w:t>SXPZ-F20250707QXY</w:t>
      </w:r>
    </w:p>
    <w:p w14:paraId="243F4D24">
      <w:pPr>
        <w:spacing w:line="336"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 xml:space="preserve">中国共产党新昌县委员会组织部优秀公务员健康休养服务采购项目  </w:t>
      </w:r>
    </w:p>
    <w:p w14:paraId="0B590F8E">
      <w:pPr>
        <w:spacing w:line="336"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64EB2D08">
      <w:pPr>
        <w:spacing w:line="336" w:lineRule="auto"/>
        <w:ind w:firstLine="482" w:firstLineChars="200"/>
        <w:rPr>
          <w:rFonts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b w:val="0"/>
          <w:bCs/>
          <w:sz w:val="24"/>
          <w:lang w:val="en-US" w:eastAsia="zh-CN"/>
        </w:rPr>
        <w:t>2840000.00</w:t>
      </w:r>
    </w:p>
    <w:p w14:paraId="35FEB67A">
      <w:pPr>
        <w:spacing w:line="336" w:lineRule="auto"/>
        <w:ind w:firstLine="482" w:firstLineChars="200"/>
        <w:rPr>
          <w:rFonts w:hint="default" w:ascii="仿宋" w:hAnsi="仿宋" w:eastAsia="仿宋" w:cs="仿宋"/>
          <w:b/>
          <w:sz w:val="24"/>
          <w:lang w:val="en-US"/>
        </w:rPr>
      </w:pPr>
      <w:r>
        <w:rPr>
          <w:rFonts w:hint="eastAsia" w:ascii="仿宋" w:hAnsi="仿宋" w:eastAsia="仿宋" w:cs="仿宋"/>
          <w:b/>
          <w:sz w:val="24"/>
        </w:rPr>
        <w:t>最高限价（元）：</w:t>
      </w:r>
      <w:r>
        <w:rPr>
          <w:rFonts w:hint="eastAsia" w:ascii="仿宋" w:hAnsi="仿宋" w:eastAsia="仿宋" w:cs="仿宋"/>
          <w:bCs/>
          <w:sz w:val="24"/>
          <w:highlight w:val="none"/>
          <w:lang w:val="en-US" w:eastAsia="zh-CN"/>
        </w:rPr>
        <w:t>952000.00/938000.00/938000.00</w:t>
      </w:r>
    </w:p>
    <w:p w14:paraId="077EBD82">
      <w:pPr>
        <w:spacing w:line="336" w:lineRule="auto"/>
        <w:ind w:firstLine="482" w:firstLineChars="200"/>
        <w:rPr>
          <w:rFonts w:ascii="仿宋" w:hAnsi="仿宋" w:eastAsia="仿宋" w:cs="仿宋"/>
          <w:b/>
          <w:sz w:val="24"/>
        </w:rPr>
      </w:pPr>
      <w:r>
        <w:rPr>
          <w:rFonts w:hint="eastAsia" w:ascii="仿宋" w:hAnsi="仿宋" w:eastAsia="仿宋" w:cs="仿宋"/>
          <w:b/>
          <w:sz w:val="24"/>
        </w:rPr>
        <w:t>采购需求：</w:t>
      </w:r>
    </w:p>
    <w:p w14:paraId="09102EE9">
      <w:pPr>
        <w:spacing w:line="336" w:lineRule="auto"/>
        <w:ind w:firstLine="720" w:firstLineChars="300"/>
        <w:rPr>
          <w:rFonts w:hint="eastAsia" w:ascii="仿宋" w:hAnsi="仿宋" w:eastAsia="仿宋" w:cs="仿宋"/>
          <w:bCs/>
          <w:sz w:val="24"/>
          <w:lang w:eastAsia="zh-CN"/>
        </w:rPr>
      </w:pPr>
      <w:r>
        <w:rPr>
          <w:rFonts w:hint="eastAsia" w:ascii="仿宋" w:hAnsi="仿宋" w:eastAsia="仿宋" w:cs="仿宋"/>
          <w:bCs/>
          <w:sz w:val="24"/>
          <w:lang w:eastAsia="zh-CN"/>
        </w:rPr>
        <w:t>标项一</w:t>
      </w:r>
    </w:p>
    <w:p w14:paraId="2727D3DA">
      <w:pPr>
        <w:spacing w:line="336" w:lineRule="auto"/>
        <w:ind w:firstLine="720" w:firstLineChars="300"/>
        <w:rPr>
          <w:rFonts w:ascii="仿宋" w:hAnsi="仿宋" w:eastAsia="仿宋" w:cs="仿宋"/>
          <w:bCs/>
          <w:sz w:val="24"/>
        </w:rPr>
      </w:pPr>
      <w:r>
        <w:rPr>
          <w:rFonts w:hint="eastAsia" w:ascii="仿宋" w:hAnsi="仿宋" w:eastAsia="仿宋" w:cs="仿宋"/>
          <w:bCs/>
          <w:sz w:val="24"/>
        </w:rPr>
        <w:t>标项名称：</w:t>
      </w:r>
      <w:r>
        <w:rPr>
          <w:rFonts w:hint="eastAsia" w:ascii="仿宋" w:hAnsi="仿宋" w:eastAsia="仿宋" w:cs="仿宋"/>
          <w:sz w:val="24"/>
          <w:lang w:eastAsia="zh-CN"/>
        </w:rPr>
        <w:t>云南线</w:t>
      </w:r>
    </w:p>
    <w:p w14:paraId="0744980F">
      <w:pPr>
        <w:spacing w:line="336" w:lineRule="auto"/>
        <w:ind w:firstLine="720" w:firstLineChars="30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数量：</w:t>
      </w:r>
      <w:r>
        <w:rPr>
          <w:rFonts w:hint="eastAsia" w:ascii="仿宋" w:hAnsi="仿宋" w:eastAsia="仿宋" w:cs="仿宋"/>
          <w:bCs/>
          <w:sz w:val="24"/>
          <w:highlight w:val="none"/>
          <w:lang w:val="en-US" w:eastAsia="zh-CN"/>
        </w:rPr>
        <w:t>1</w:t>
      </w:r>
    </w:p>
    <w:p w14:paraId="7FB3D69F">
      <w:pPr>
        <w:spacing w:line="336" w:lineRule="auto"/>
        <w:ind w:firstLine="720" w:firstLineChars="300"/>
        <w:rPr>
          <w:rFonts w:hint="default" w:ascii="仿宋" w:hAnsi="仿宋" w:eastAsia="仿宋" w:cs="仿宋"/>
          <w:bCs/>
          <w:sz w:val="24"/>
          <w:highlight w:val="none"/>
          <w:lang w:val="en-US" w:eastAsia="zh-CN"/>
        </w:rPr>
      </w:pPr>
      <w:r>
        <w:rPr>
          <w:rFonts w:hint="eastAsia" w:ascii="仿宋" w:hAnsi="仿宋" w:eastAsia="仿宋" w:cs="仿宋"/>
          <w:bCs/>
          <w:sz w:val="24"/>
          <w:highlight w:val="none"/>
        </w:rPr>
        <w:t>预算金额：</w:t>
      </w:r>
      <w:r>
        <w:rPr>
          <w:rFonts w:hint="eastAsia" w:ascii="仿宋" w:hAnsi="仿宋" w:eastAsia="仿宋" w:cs="仿宋"/>
          <w:bCs/>
          <w:sz w:val="24"/>
          <w:highlight w:val="none"/>
          <w:lang w:val="en-US" w:eastAsia="zh-CN"/>
        </w:rPr>
        <w:t>956000</w:t>
      </w:r>
    </w:p>
    <w:p w14:paraId="7510908C">
      <w:pPr>
        <w:spacing w:line="336" w:lineRule="auto"/>
        <w:ind w:firstLine="720" w:firstLineChars="300"/>
        <w:rPr>
          <w:rFonts w:hint="eastAsia" w:ascii="仿宋" w:hAnsi="仿宋" w:eastAsia="仿宋" w:cs="仿宋"/>
          <w:b w:val="0"/>
          <w:bCs/>
          <w:sz w:val="24"/>
          <w:highlight w:val="none"/>
        </w:rPr>
      </w:pPr>
      <w:r>
        <w:rPr>
          <w:rFonts w:hint="eastAsia" w:ascii="仿宋" w:hAnsi="仿宋" w:eastAsia="仿宋" w:cs="仿宋"/>
          <w:bCs/>
          <w:sz w:val="24"/>
          <w:highlight w:val="none"/>
        </w:rPr>
        <w:t>主要内容：</w:t>
      </w:r>
      <w:r>
        <w:rPr>
          <w:rFonts w:hint="eastAsia" w:ascii="仿宋" w:hAnsi="仿宋" w:eastAsia="仿宋" w:cs="仿宋"/>
          <w:b w:val="0"/>
          <w:bCs/>
          <w:sz w:val="24"/>
          <w:highlight w:val="none"/>
        </w:rPr>
        <w:t>详见磋商文件。</w:t>
      </w:r>
    </w:p>
    <w:p w14:paraId="2ED8F852">
      <w:pPr>
        <w:pStyle w:val="24"/>
        <w:ind w:firstLine="720" w:firstLineChars="300"/>
        <w:rPr>
          <w:rFonts w:hint="eastAsia" w:ascii="仿宋" w:hAnsi="仿宋" w:eastAsia="仿宋" w:cs="仿宋"/>
          <w:b w:val="0"/>
          <w:bCs/>
          <w:sz w:val="24"/>
          <w:highlight w:val="none"/>
          <w:lang w:eastAsia="zh-CN"/>
        </w:rPr>
      </w:pPr>
    </w:p>
    <w:p w14:paraId="72F3545E">
      <w:pPr>
        <w:pStyle w:val="24"/>
        <w:ind w:firstLine="720" w:firstLineChars="3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标项二</w:t>
      </w:r>
    </w:p>
    <w:p w14:paraId="2D919BD4">
      <w:pPr>
        <w:spacing w:line="336" w:lineRule="auto"/>
        <w:ind w:firstLine="720" w:firstLineChars="300"/>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标项名称：</w:t>
      </w:r>
      <w:r>
        <w:rPr>
          <w:rFonts w:hint="eastAsia" w:ascii="仿宋" w:hAnsi="仿宋" w:eastAsia="仿宋" w:cs="仿宋"/>
          <w:sz w:val="24"/>
          <w:highlight w:val="none"/>
          <w:lang w:eastAsia="zh-CN"/>
        </w:rPr>
        <w:t>东北线</w:t>
      </w:r>
      <w:r>
        <w:rPr>
          <w:rFonts w:hint="eastAsia" w:ascii="仿宋" w:hAnsi="仿宋" w:eastAsia="仿宋" w:cs="仿宋"/>
          <w:bCs/>
          <w:sz w:val="24"/>
          <w:highlight w:val="none"/>
          <w:lang w:eastAsia="zh-CN"/>
        </w:rPr>
        <w:t xml:space="preserve"> </w:t>
      </w:r>
    </w:p>
    <w:p w14:paraId="098C3998">
      <w:pPr>
        <w:spacing w:line="336" w:lineRule="auto"/>
        <w:ind w:firstLine="720" w:firstLineChars="300"/>
        <w:rPr>
          <w:rFonts w:hint="default" w:ascii="仿宋" w:hAnsi="仿宋" w:eastAsia="仿宋" w:cs="仿宋"/>
          <w:bCs/>
          <w:sz w:val="24"/>
          <w:highlight w:val="none"/>
          <w:lang w:val="en-US" w:eastAsia="zh-CN"/>
        </w:rPr>
      </w:pPr>
      <w:r>
        <w:rPr>
          <w:rFonts w:hint="eastAsia" w:ascii="仿宋" w:hAnsi="仿宋" w:eastAsia="仿宋" w:cs="仿宋"/>
          <w:bCs/>
          <w:sz w:val="24"/>
          <w:highlight w:val="none"/>
          <w:lang w:eastAsia="zh-CN"/>
        </w:rPr>
        <w:t>数量：</w:t>
      </w:r>
      <w:r>
        <w:rPr>
          <w:rFonts w:hint="eastAsia" w:ascii="仿宋" w:hAnsi="仿宋" w:eastAsia="仿宋" w:cs="仿宋"/>
          <w:bCs/>
          <w:sz w:val="24"/>
          <w:highlight w:val="none"/>
          <w:lang w:val="en-US" w:eastAsia="zh-CN"/>
        </w:rPr>
        <w:t>1</w:t>
      </w:r>
    </w:p>
    <w:p w14:paraId="68475BA2">
      <w:pPr>
        <w:spacing w:line="336" w:lineRule="auto"/>
        <w:ind w:firstLine="720" w:firstLineChars="300"/>
        <w:rPr>
          <w:rFonts w:hint="default" w:ascii="仿宋" w:hAnsi="仿宋" w:eastAsia="仿宋" w:cs="仿宋"/>
          <w:bCs/>
          <w:sz w:val="24"/>
          <w:highlight w:val="none"/>
          <w:lang w:val="en-US" w:eastAsia="zh-CN"/>
        </w:rPr>
      </w:pPr>
      <w:r>
        <w:rPr>
          <w:rFonts w:hint="eastAsia" w:ascii="仿宋" w:hAnsi="仿宋" w:eastAsia="仿宋" w:cs="仿宋"/>
          <w:bCs/>
          <w:sz w:val="24"/>
          <w:highlight w:val="none"/>
          <w:lang w:eastAsia="zh-CN"/>
        </w:rPr>
        <w:t>预算金额：</w:t>
      </w:r>
      <w:r>
        <w:rPr>
          <w:rFonts w:hint="eastAsia" w:ascii="仿宋" w:hAnsi="仿宋" w:eastAsia="仿宋" w:cs="仿宋"/>
          <w:bCs/>
          <w:sz w:val="24"/>
          <w:highlight w:val="none"/>
          <w:lang w:val="en-US" w:eastAsia="zh-CN"/>
        </w:rPr>
        <w:t>942000</w:t>
      </w:r>
    </w:p>
    <w:p w14:paraId="13EE9AD2">
      <w:pPr>
        <w:spacing w:line="336" w:lineRule="auto"/>
        <w:ind w:firstLine="720" w:firstLineChars="300"/>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主要内容：详见磋商文件</w:t>
      </w:r>
    </w:p>
    <w:p w14:paraId="6B6D5016">
      <w:pPr>
        <w:pStyle w:val="24"/>
        <w:rPr>
          <w:rFonts w:hint="eastAsia" w:ascii="仿宋" w:hAnsi="仿宋" w:eastAsia="仿宋" w:cs="仿宋"/>
          <w:bCs/>
          <w:sz w:val="24"/>
          <w:highlight w:val="none"/>
          <w:lang w:eastAsia="zh-CN"/>
        </w:rPr>
      </w:pPr>
    </w:p>
    <w:p w14:paraId="2D3448B5">
      <w:pPr>
        <w:pStyle w:val="24"/>
        <w:ind w:firstLine="720" w:firstLineChars="3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标项三</w:t>
      </w:r>
    </w:p>
    <w:p w14:paraId="767EA76F">
      <w:pPr>
        <w:spacing w:line="336" w:lineRule="auto"/>
        <w:ind w:firstLine="720" w:firstLineChars="300"/>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标项名称：</w:t>
      </w:r>
      <w:r>
        <w:rPr>
          <w:rFonts w:hint="eastAsia" w:ascii="仿宋" w:hAnsi="仿宋" w:eastAsia="仿宋" w:cs="仿宋"/>
          <w:sz w:val="24"/>
          <w:highlight w:val="none"/>
          <w:lang w:eastAsia="zh-CN"/>
        </w:rPr>
        <w:t>广西线</w:t>
      </w:r>
      <w:r>
        <w:rPr>
          <w:rFonts w:hint="eastAsia" w:ascii="仿宋" w:hAnsi="仿宋" w:eastAsia="仿宋" w:cs="仿宋"/>
          <w:bCs/>
          <w:sz w:val="24"/>
          <w:highlight w:val="none"/>
          <w:lang w:eastAsia="zh-CN"/>
        </w:rPr>
        <w:t xml:space="preserve"> </w:t>
      </w:r>
    </w:p>
    <w:p w14:paraId="522FBFC9">
      <w:pPr>
        <w:spacing w:line="336" w:lineRule="auto"/>
        <w:ind w:firstLine="720" w:firstLineChars="300"/>
        <w:rPr>
          <w:rFonts w:hint="default" w:ascii="仿宋" w:hAnsi="仿宋" w:eastAsia="仿宋" w:cs="仿宋"/>
          <w:bCs/>
          <w:sz w:val="24"/>
          <w:highlight w:val="none"/>
          <w:lang w:val="en-US" w:eastAsia="zh-CN"/>
        </w:rPr>
      </w:pPr>
      <w:r>
        <w:rPr>
          <w:rFonts w:hint="eastAsia" w:ascii="仿宋" w:hAnsi="仿宋" w:eastAsia="仿宋" w:cs="仿宋"/>
          <w:bCs/>
          <w:sz w:val="24"/>
          <w:highlight w:val="none"/>
          <w:lang w:eastAsia="zh-CN"/>
        </w:rPr>
        <w:t>数量：</w:t>
      </w:r>
      <w:r>
        <w:rPr>
          <w:rFonts w:hint="eastAsia" w:ascii="仿宋" w:hAnsi="仿宋" w:eastAsia="仿宋" w:cs="仿宋"/>
          <w:bCs/>
          <w:sz w:val="24"/>
          <w:highlight w:val="none"/>
          <w:lang w:val="en-US" w:eastAsia="zh-CN"/>
        </w:rPr>
        <w:t>1</w:t>
      </w:r>
    </w:p>
    <w:p w14:paraId="5425D351">
      <w:pPr>
        <w:spacing w:line="336" w:lineRule="auto"/>
        <w:ind w:firstLine="720" w:firstLineChars="300"/>
        <w:rPr>
          <w:rFonts w:hint="default" w:ascii="仿宋" w:hAnsi="仿宋" w:eastAsia="仿宋" w:cs="仿宋"/>
          <w:bCs/>
          <w:sz w:val="24"/>
          <w:highlight w:val="none"/>
          <w:lang w:val="en-US" w:eastAsia="zh-CN"/>
        </w:rPr>
      </w:pPr>
      <w:r>
        <w:rPr>
          <w:rFonts w:hint="eastAsia" w:ascii="仿宋" w:hAnsi="仿宋" w:eastAsia="仿宋" w:cs="仿宋"/>
          <w:bCs/>
          <w:sz w:val="24"/>
          <w:highlight w:val="none"/>
          <w:lang w:eastAsia="zh-CN"/>
        </w:rPr>
        <w:t>预算金额：</w:t>
      </w:r>
      <w:r>
        <w:rPr>
          <w:rFonts w:hint="eastAsia" w:ascii="仿宋" w:hAnsi="仿宋" w:eastAsia="仿宋" w:cs="仿宋"/>
          <w:bCs/>
          <w:sz w:val="24"/>
          <w:highlight w:val="none"/>
          <w:lang w:val="en-US" w:eastAsia="zh-CN"/>
        </w:rPr>
        <w:t>942000</w:t>
      </w:r>
    </w:p>
    <w:p w14:paraId="6661FA3A">
      <w:pPr>
        <w:spacing w:line="336" w:lineRule="auto"/>
        <w:ind w:firstLine="720" w:firstLineChars="300"/>
        <w:rPr>
          <w:rFonts w:hint="eastAsia"/>
          <w:lang w:eastAsia="zh-CN"/>
        </w:rPr>
      </w:pPr>
      <w:r>
        <w:rPr>
          <w:rFonts w:hint="eastAsia" w:ascii="仿宋" w:hAnsi="仿宋" w:eastAsia="仿宋" w:cs="仿宋"/>
          <w:bCs/>
          <w:sz w:val="24"/>
          <w:lang w:eastAsia="zh-CN"/>
        </w:rPr>
        <w:t>主要内容：详见磋商文件</w:t>
      </w:r>
    </w:p>
    <w:p w14:paraId="1209F873">
      <w:pPr>
        <w:spacing w:line="336" w:lineRule="auto"/>
        <w:ind w:firstLine="482" w:firstLineChars="200"/>
        <w:rPr>
          <w:rFonts w:hint="default" w:ascii="仿宋" w:hAnsi="仿宋" w:eastAsia="仿宋" w:cs="仿宋"/>
          <w:sz w:val="24"/>
          <w:u w:val="single"/>
          <w:lang w:val="en-US" w:eastAsia="zh-CN"/>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sz w:val="24"/>
          <w:lang w:val="en-US" w:eastAsia="zh-CN"/>
        </w:rPr>
        <w:t>3年，其中第一年的预算金额是144万元，第二、三年的预算金额为70万元。</w:t>
      </w:r>
    </w:p>
    <w:p w14:paraId="79108F62">
      <w:pPr>
        <w:spacing w:line="336" w:lineRule="auto"/>
        <w:ind w:firstLine="482" w:firstLineChars="200"/>
        <w:rPr>
          <w:rFonts w:ascii="仿宋" w:hAnsi="仿宋" w:eastAsia="仿宋" w:cs="仿宋"/>
          <w:b/>
          <w:sz w:val="24"/>
        </w:rPr>
      </w:pPr>
      <w:r>
        <w:rPr>
          <w:rFonts w:hint="eastAsia" w:ascii="仿宋" w:hAnsi="仿宋" w:eastAsia="仿宋" w:cs="仿宋"/>
          <w:b/>
          <w:sz w:val="24"/>
        </w:rPr>
        <w:t>本项目接受联合体磋商：☐是，</w:t>
      </w:r>
      <w:r>
        <w:rPr>
          <w:rFonts w:hint="eastAsia" w:ascii="仿宋" w:hAnsi="仿宋" w:eastAsia="仿宋" w:cs="仿宋"/>
          <w:kern w:val="0"/>
          <w:sz w:val="24"/>
        </w:rPr>
        <w:sym w:font="Wingdings" w:char="00FE"/>
      </w:r>
      <w:r>
        <w:rPr>
          <w:rFonts w:hint="eastAsia" w:ascii="仿宋" w:hAnsi="仿宋" w:eastAsia="仿宋" w:cs="仿宋"/>
          <w:b/>
          <w:sz w:val="24"/>
        </w:rPr>
        <w:t>否。</w:t>
      </w:r>
    </w:p>
    <w:p w14:paraId="241AB5DC">
      <w:pPr>
        <w:spacing w:line="336" w:lineRule="auto"/>
        <w:ind w:firstLine="480" w:firstLineChars="200"/>
        <w:rPr>
          <w:rFonts w:hint="eastAsia" w:ascii="黑体" w:hAnsi="黑体" w:eastAsia="黑体" w:cs="黑体"/>
          <w:b w:val="0"/>
          <w:bCs w:val="0"/>
          <w:sz w:val="24"/>
        </w:rPr>
      </w:pPr>
      <w:bookmarkStart w:id="13" w:name="_Toc28359090"/>
      <w:bookmarkStart w:id="14" w:name="_Toc28359013"/>
      <w:bookmarkStart w:id="15" w:name="_Toc35393630"/>
      <w:bookmarkStart w:id="16" w:name="_Toc35393799"/>
      <w:r>
        <w:rPr>
          <w:rFonts w:hint="eastAsia" w:ascii="黑体" w:hAnsi="黑体" w:eastAsia="黑体" w:cs="黑体"/>
          <w:b w:val="0"/>
          <w:bCs w:val="0"/>
          <w:sz w:val="24"/>
        </w:rPr>
        <w:t>二、申请人的资格要求</w:t>
      </w:r>
      <w:bookmarkEnd w:id="13"/>
      <w:bookmarkEnd w:id="14"/>
      <w:bookmarkEnd w:id="15"/>
      <w:bookmarkEnd w:id="16"/>
    </w:p>
    <w:p w14:paraId="7B3B93F9">
      <w:pPr>
        <w:spacing w:line="336"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3E058B2">
      <w:pPr>
        <w:spacing w:line="336"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2.以联合体形式响应的，提供联合协议(本项目不接受联合体响应或者供应商不以联合体形式响应的，则不需要提供) ；</w:t>
      </w:r>
    </w:p>
    <w:p w14:paraId="590EDBB1">
      <w:pPr>
        <w:spacing w:line="336"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781F5889">
      <w:pPr>
        <w:spacing w:line="336"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7EACBA67">
      <w:pPr>
        <w:spacing w:line="336"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7B97BBED">
      <w:pPr>
        <w:spacing w:line="336"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1CD91859">
      <w:pPr>
        <w:spacing w:line="336"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服务全部由符合政策要求的小微企业承接，提供中小企业声明函；</w:t>
      </w:r>
    </w:p>
    <w:p w14:paraId="6C0D5C74">
      <w:pPr>
        <w:spacing w:line="336" w:lineRule="auto"/>
        <w:ind w:firstLine="480" w:firstLineChars="200"/>
        <w:rPr>
          <w:rFonts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sz w:val="24"/>
          <w:highlight w:val="none"/>
          <w:u w:val="single"/>
          <w:lang w:eastAsia="zh-CN"/>
        </w:rPr>
        <w:t>具有旅行社业务经营许可证</w:t>
      </w:r>
      <w:r>
        <w:rPr>
          <w:rFonts w:hint="eastAsia" w:ascii="仿宋" w:hAnsi="仿宋" w:eastAsia="仿宋" w:cs="仿宋"/>
          <w:sz w:val="24"/>
          <w:highlight w:val="none"/>
        </w:rPr>
        <w:t>；</w:t>
      </w:r>
    </w:p>
    <w:p w14:paraId="448C65A0">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C36FA1">
      <w:pPr>
        <w:spacing w:line="336" w:lineRule="auto"/>
        <w:ind w:firstLine="480" w:firstLineChars="200"/>
        <w:rPr>
          <w:rFonts w:hint="eastAsia" w:ascii="黑体" w:hAnsi="黑体" w:eastAsia="黑体" w:cs="黑体"/>
          <w:b w:val="0"/>
          <w:bCs w:val="0"/>
          <w:sz w:val="24"/>
        </w:rPr>
      </w:pPr>
      <w:bookmarkStart w:id="17" w:name="_Toc35393631"/>
      <w:bookmarkStart w:id="18" w:name="_Toc28359091"/>
      <w:bookmarkStart w:id="19" w:name="_Toc35393800"/>
      <w:bookmarkStart w:id="20" w:name="_Toc28359014"/>
      <w:r>
        <w:rPr>
          <w:rFonts w:hint="eastAsia" w:ascii="黑体" w:hAnsi="黑体" w:eastAsia="黑体" w:cs="黑体"/>
          <w:b w:val="0"/>
          <w:bCs w:val="0"/>
          <w:sz w:val="24"/>
        </w:rPr>
        <w:t>三、获取（下载）采购文件</w:t>
      </w:r>
      <w:bookmarkEnd w:id="17"/>
      <w:bookmarkEnd w:id="18"/>
      <w:bookmarkEnd w:id="19"/>
      <w:bookmarkEnd w:id="20"/>
    </w:p>
    <w:p w14:paraId="79FC896D">
      <w:pPr>
        <w:spacing w:line="336"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日，每天上午00:00至12:00 ，下午12:00至23:59（北京时间，线上获取法定节假日均可，线下获取文件法定节假日除外）；</w:t>
      </w:r>
    </w:p>
    <w:p w14:paraId="1F2D45A7">
      <w:pPr>
        <w:spacing w:line="336" w:lineRule="auto"/>
        <w:ind w:firstLine="540"/>
        <w:rPr>
          <w:rFonts w:ascii="仿宋" w:hAnsi="仿宋" w:eastAsia="仿宋" w:cs="仿宋"/>
          <w:sz w:val="28"/>
          <w:szCs w:val="28"/>
          <w:u w:val="single"/>
        </w:rPr>
      </w:pPr>
      <w:r>
        <w:rPr>
          <w:rFonts w:hint="eastAsia" w:ascii="仿宋" w:hAnsi="仿宋" w:eastAsia="仿宋" w:cs="仿宋"/>
          <w:b/>
          <w:sz w:val="24"/>
        </w:rPr>
        <w:t>地点（网址）：</w:t>
      </w:r>
      <w:r>
        <w:rPr>
          <w:rFonts w:hint="eastAsia" w:ascii="仿宋" w:hAnsi="仿宋" w:eastAsia="仿宋" w:cs="仿宋"/>
          <w:b w:val="0"/>
          <w:bCs/>
          <w:sz w:val="24"/>
        </w:rPr>
        <w:t>政采云平台（</w:t>
      </w:r>
      <w:r>
        <w:rPr>
          <w:b w:val="0"/>
          <w:bCs/>
        </w:rPr>
        <w:fldChar w:fldCharType="begin"/>
      </w:r>
      <w:r>
        <w:rPr>
          <w:b w:val="0"/>
          <w:bCs/>
        </w:rPr>
        <w:instrText xml:space="preserve"> HYPERLINK "https://www.zcygov.cn/" </w:instrText>
      </w:r>
      <w:r>
        <w:rPr>
          <w:b w:val="0"/>
          <w:bCs/>
        </w:rPr>
        <w:fldChar w:fldCharType="separate"/>
      </w:r>
      <w:r>
        <w:rPr>
          <w:rStyle w:val="70"/>
          <w:rFonts w:hint="eastAsia" w:ascii="仿宋" w:hAnsi="仿宋" w:eastAsia="仿宋" w:cs="仿宋"/>
          <w:b w:val="0"/>
          <w:bCs/>
          <w:color w:val="auto"/>
          <w:sz w:val="24"/>
        </w:rPr>
        <w:t>https://www.zcygov.cn/</w:t>
      </w:r>
      <w:r>
        <w:rPr>
          <w:rStyle w:val="70"/>
          <w:rFonts w:hint="eastAsia" w:ascii="仿宋" w:hAnsi="仿宋" w:eastAsia="仿宋" w:cs="仿宋"/>
          <w:b w:val="0"/>
          <w:bCs/>
          <w:color w:val="auto"/>
          <w:sz w:val="24"/>
        </w:rPr>
        <w:fldChar w:fldCharType="end"/>
      </w:r>
      <w:r>
        <w:rPr>
          <w:rFonts w:hint="eastAsia" w:ascii="仿宋" w:hAnsi="仿宋" w:eastAsia="仿宋" w:cs="仿宋"/>
          <w:b w:val="0"/>
          <w:bCs/>
          <w:sz w:val="24"/>
        </w:rPr>
        <w:t>）</w:t>
      </w:r>
    </w:p>
    <w:p w14:paraId="1A5C7631">
      <w:pPr>
        <w:spacing w:line="336"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3991F8CA">
      <w:pPr>
        <w:spacing w:line="336"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5E10B45A">
      <w:pPr>
        <w:pStyle w:val="5"/>
        <w:numPr>
          <w:ilvl w:val="0"/>
          <w:numId w:val="0"/>
        </w:numPr>
        <w:spacing w:line="336" w:lineRule="auto"/>
        <w:ind w:firstLine="480" w:firstLineChars="200"/>
        <w:rPr>
          <w:rFonts w:hint="eastAsia" w:ascii="黑体" w:hAnsi="黑体" w:eastAsia="黑体" w:cs="黑体"/>
          <w:b w:val="0"/>
          <w:bCs w:val="0"/>
          <w:sz w:val="24"/>
          <w:szCs w:val="24"/>
        </w:rPr>
      </w:pPr>
      <w:bookmarkStart w:id="21" w:name="_Toc35393801"/>
      <w:bookmarkStart w:id="22" w:name="_Toc28359092"/>
      <w:bookmarkStart w:id="23" w:name="_Toc28359015"/>
      <w:bookmarkStart w:id="24" w:name="_Toc35393632"/>
      <w:r>
        <w:rPr>
          <w:rFonts w:hint="eastAsia" w:ascii="黑体" w:hAnsi="黑体" w:eastAsia="黑体" w:cs="黑体"/>
          <w:b w:val="0"/>
          <w:bCs w:val="0"/>
          <w:sz w:val="24"/>
          <w:szCs w:val="24"/>
        </w:rPr>
        <w:t>四、响应文件提交</w:t>
      </w:r>
      <w:bookmarkEnd w:id="21"/>
      <w:bookmarkEnd w:id="22"/>
      <w:bookmarkEnd w:id="23"/>
      <w:bookmarkEnd w:id="24"/>
      <w:r>
        <w:rPr>
          <w:rFonts w:hint="eastAsia" w:ascii="黑体" w:hAnsi="黑体" w:eastAsia="黑体" w:cs="黑体"/>
          <w:b w:val="0"/>
          <w:bCs w:val="0"/>
          <w:sz w:val="24"/>
          <w:szCs w:val="24"/>
        </w:rPr>
        <w:t>（上传）</w:t>
      </w:r>
    </w:p>
    <w:p w14:paraId="30271172">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21</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w:t>
      </w:r>
    </w:p>
    <w:p w14:paraId="193EA62F">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70"/>
          <w:rFonts w:hint="eastAsia" w:ascii="仿宋" w:hAnsi="仿宋" w:eastAsia="仿宋" w:cs="仿宋"/>
          <w:b/>
          <w:color w:val="auto"/>
          <w:kern w:val="2"/>
          <w:sz w:val="24"/>
          <w:szCs w:val="24"/>
        </w:rPr>
        <w:t>https://www.zcygov.cn/</w:t>
      </w:r>
      <w:r>
        <w:rPr>
          <w:rStyle w:val="70"/>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72AD0D6E">
      <w:pPr>
        <w:pStyle w:val="5"/>
        <w:numPr>
          <w:ilvl w:val="0"/>
          <w:numId w:val="0"/>
        </w:numPr>
        <w:spacing w:line="336" w:lineRule="auto"/>
        <w:ind w:firstLine="480" w:firstLineChars="200"/>
        <w:rPr>
          <w:rFonts w:hint="eastAsia" w:ascii="黑体" w:hAnsi="黑体" w:eastAsia="黑体" w:cs="黑体"/>
          <w:b w:val="0"/>
          <w:bCs w:val="0"/>
          <w:sz w:val="24"/>
          <w:szCs w:val="24"/>
        </w:rPr>
      </w:pPr>
      <w:bookmarkStart w:id="25" w:name="_Toc28359093"/>
      <w:bookmarkStart w:id="26" w:name="_Toc35393802"/>
      <w:bookmarkStart w:id="27" w:name="_Toc28359016"/>
      <w:bookmarkStart w:id="28" w:name="_Toc35393633"/>
      <w:r>
        <w:rPr>
          <w:rFonts w:hint="eastAsia" w:ascii="黑体" w:hAnsi="黑体" w:eastAsia="黑体" w:cs="黑体"/>
          <w:b w:val="0"/>
          <w:bCs w:val="0"/>
          <w:sz w:val="24"/>
          <w:szCs w:val="24"/>
        </w:rPr>
        <w:t>五、响应文件开启</w:t>
      </w:r>
      <w:bookmarkEnd w:id="25"/>
      <w:bookmarkEnd w:id="26"/>
      <w:bookmarkEnd w:id="27"/>
      <w:bookmarkEnd w:id="28"/>
    </w:p>
    <w:p w14:paraId="5C1D090D">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21</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w:t>
      </w:r>
    </w:p>
    <w:p w14:paraId="1F1F9BB7">
      <w:pPr>
        <w:spacing w:line="336" w:lineRule="auto"/>
        <w:ind w:firstLine="480" w:firstLineChars="200"/>
        <w:rPr>
          <w:rFonts w:ascii="仿宋" w:hAnsi="仿宋" w:eastAsia="仿宋" w:cs="仿宋"/>
          <w:bCs/>
          <w:sz w:val="24"/>
          <w:u w:val="single"/>
        </w:rPr>
      </w:pPr>
      <w:r>
        <w:rPr>
          <w:rFonts w:hint="eastAsia" w:ascii="仿宋" w:hAnsi="仿宋" w:eastAsia="仿宋" w:cs="仿宋"/>
          <w:sz w:val="24"/>
        </w:rPr>
        <w:t>地点（网址）：政采云平台（https://www.zcygov.cn/）。</w:t>
      </w:r>
    </w:p>
    <w:p w14:paraId="6D991B16">
      <w:pPr>
        <w:pStyle w:val="5"/>
        <w:numPr>
          <w:ilvl w:val="0"/>
          <w:numId w:val="0"/>
        </w:numPr>
        <w:spacing w:line="336" w:lineRule="auto"/>
        <w:ind w:firstLine="480" w:firstLineChars="200"/>
        <w:rPr>
          <w:rFonts w:hint="eastAsia" w:ascii="黑体" w:hAnsi="黑体" w:eastAsia="黑体" w:cs="黑体"/>
          <w:b w:val="0"/>
          <w:bCs w:val="0"/>
          <w:sz w:val="24"/>
          <w:szCs w:val="24"/>
        </w:rPr>
      </w:pPr>
      <w:bookmarkStart w:id="29" w:name="_Toc28359017"/>
      <w:bookmarkStart w:id="30" w:name="_Toc28359094"/>
      <w:bookmarkStart w:id="31" w:name="_Toc35393803"/>
      <w:bookmarkStart w:id="32" w:name="_Toc35393634"/>
      <w:r>
        <w:rPr>
          <w:rFonts w:hint="eastAsia" w:ascii="黑体" w:hAnsi="黑体" w:eastAsia="黑体" w:cs="黑体"/>
          <w:b w:val="0"/>
          <w:bCs w:val="0"/>
          <w:sz w:val="24"/>
          <w:szCs w:val="24"/>
        </w:rPr>
        <w:t>六、公告期限</w:t>
      </w:r>
      <w:bookmarkEnd w:id="29"/>
      <w:bookmarkEnd w:id="30"/>
      <w:bookmarkEnd w:id="31"/>
      <w:bookmarkEnd w:id="32"/>
    </w:p>
    <w:p w14:paraId="5AB6EBFC">
      <w:pPr>
        <w:spacing w:line="336"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196FA3DC">
      <w:pPr>
        <w:pStyle w:val="5"/>
        <w:numPr>
          <w:ilvl w:val="0"/>
          <w:numId w:val="0"/>
        </w:numPr>
        <w:spacing w:line="336" w:lineRule="auto"/>
        <w:ind w:firstLine="480" w:firstLineChars="200"/>
        <w:rPr>
          <w:rFonts w:hint="eastAsia" w:ascii="黑体" w:hAnsi="黑体" w:eastAsia="黑体" w:cs="黑体"/>
          <w:b w:val="0"/>
          <w:bCs w:val="0"/>
          <w:sz w:val="24"/>
          <w:szCs w:val="24"/>
        </w:rPr>
      </w:pPr>
      <w:bookmarkStart w:id="33" w:name="_Toc35393804"/>
      <w:bookmarkStart w:id="34" w:name="_Toc35393635"/>
      <w:r>
        <w:rPr>
          <w:rFonts w:hint="eastAsia" w:ascii="黑体" w:hAnsi="黑体" w:eastAsia="黑体" w:cs="黑体"/>
          <w:b w:val="0"/>
          <w:bCs w:val="0"/>
          <w:sz w:val="24"/>
          <w:szCs w:val="24"/>
        </w:rPr>
        <w:t>七、其他补充事宜</w:t>
      </w:r>
      <w:bookmarkEnd w:id="33"/>
      <w:bookmarkEnd w:id="34"/>
    </w:p>
    <w:p w14:paraId="7BA3741B">
      <w:pPr>
        <w:spacing w:line="440" w:lineRule="exact"/>
        <w:ind w:firstLine="480" w:firstLineChars="200"/>
        <w:rPr>
          <w:rFonts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浙江省财政厅关于进一步发挥政府采购政策功能全力推动经济稳进提质的通知》 （浙财采监〔2022</w:t>
      </w:r>
      <w:r>
        <w:rPr>
          <w:rFonts w:hint="eastAsia" w:ascii="仿宋" w:hAnsi="仿宋" w:eastAsia="仿宋" w:cs="仿宋"/>
          <w:sz w:val="24"/>
          <w:highlight w:val="none"/>
          <w:lang w:eastAsia="zh-CN"/>
        </w:rPr>
        <w:t>〕</w:t>
      </w:r>
      <w:r>
        <w:rPr>
          <w:rFonts w:hint="eastAsia" w:ascii="仿宋" w:hAnsi="仿宋" w:eastAsia="仿宋" w:cs="仿宋"/>
          <w:sz w:val="24"/>
          <w:highlight w:val="none"/>
        </w:rPr>
        <w:t>3号）、《浙江省财政厅关于进一步促进政府采购公平竞争打造最优营商环境的通知》（浙财采监〔2021</w:t>
      </w:r>
      <w:r>
        <w:rPr>
          <w:rFonts w:hint="eastAsia" w:ascii="仿宋" w:hAnsi="仿宋" w:eastAsia="仿宋" w:cs="仿宋"/>
          <w:sz w:val="24"/>
          <w:highlight w:val="none"/>
          <w:lang w:eastAsia="zh-CN"/>
        </w:rPr>
        <w:t>〕</w:t>
      </w:r>
      <w:r>
        <w:rPr>
          <w:rFonts w:hint="eastAsia" w:ascii="仿宋" w:hAnsi="仿宋" w:eastAsia="仿宋" w:cs="仿宋"/>
          <w:sz w:val="24"/>
          <w:highlight w:val="none"/>
        </w:rPr>
        <w:t>22号））、《浙江省财政厅关于进一步加大政府采购支持中小企业力度助力扎实稳住经济的通知》 （浙财采监〔2022</w:t>
      </w:r>
      <w:r>
        <w:rPr>
          <w:rFonts w:hint="eastAsia" w:ascii="仿宋" w:hAnsi="仿宋" w:eastAsia="仿宋" w:cs="仿宋"/>
          <w:sz w:val="24"/>
          <w:highlight w:val="none"/>
          <w:lang w:eastAsia="zh-CN"/>
        </w:rPr>
        <w:t>〕</w:t>
      </w:r>
      <w:r>
        <w:rPr>
          <w:rFonts w:hint="eastAsia" w:ascii="仿宋" w:hAnsi="仿宋" w:eastAsia="仿宋" w:cs="仿宋"/>
          <w:sz w:val="24"/>
          <w:highlight w:val="none"/>
        </w:rPr>
        <w:t>8号）已分别于2022年1月29日、2022年2月1日和2022年7月1日开始实施，此前</w:t>
      </w:r>
      <w:r>
        <w:rPr>
          <w:rFonts w:hint="eastAsia" w:ascii="仿宋" w:hAnsi="仿宋" w:eastAsia="仿宋" w:cs="仿宋"/>
          <w:color w:val="auto"/>
          <w:sz w:val="24"/>
          <w:highlight w:val="none"/>
        </w:rPr>
        <w:t>有关规定与上述文件内容不一致的，按上述文件要求执行</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政策落实根据财政部门要求更新）</w:t>
      </w:r>
      <w:r>
        <w:rPr>
          <w:rFonts w:hint="eastAsia" w:ascii="仿宋" w:hAnsi="仿宋" w:eastAsia="仿宋" w:cs="仿宋"/>
          <w:color w:val="auto"/>
          <w:sz w:val="24"/>
          <w:highlight w:val="none"/>
        </w:rPr>
        <w:t>。</w:t>
      </w:r>
    </w:p>
    <w:p w14:paraId="68AE4F1E">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w:t>
      </w:r>
      <w:r>
        <w:rPr>
          <w:rFonts w:hint="eastAsia" w:ascii="仿宋" w:hAnsi="仿宋" w:eastAsia="仿宋" w:cs="仿宋"/>
          <w:sz w:val="24"/>
          <w:highlight w:val="none"/>
          <w:lang w:eastAsia="zh-CN"/>
        </w:rPr>
        <w:t>〕</w:t>
      </w:r>
      <w:r>
        <w:rPr>
          <w:rFonts w:hint="eastAsia" w:ascii="仿宋" w:hAnsi="仿宋" w:eastAsia="仿宋" w:cs="仿宋"/>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 w:val="24"/>
          <w:highlight w:val="none"/>
          <w:lang w:eastAsia="zh-CN"/>
        </w:rPr>
        <w:t>政务</w:t>
      </w:r>
      <w:r>
        <w:rPr>
          <w:rFonts w:hint="eastAsia" w:ascii="仿宋" w:hAnsi="仿宋" w:eastAsia="仿宋" w:cs="仿宋"/>
          <w:sz w:val="24"/>
          <w:highlight w:val="none"/>
        </w:rPr>
        <w:t>服务网-政府采购投诉处理-在线办理。</w:t>
      </w:r>
    </w:p>
    <w:p w14:paraId="2A3C2ADF">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DADD7C">
      <w:pPr>
        <w:spacing w:line="336" w:lineRule="auto"/>
        <w:ind w:firstLine="482" w:firstLineChars="200"/>
        <w:rPr>
          <w:rFonts w:ascii="仿宋" w:hAnsi="仿宋" w:eastAsia="仿宋" w:cs="仿宋"/>
          <w:sz w:val="24"/>
        </w:rPr>
      </w:pPr>
      <w:r>
        <w:rPr>
          <w:rFonts w:hint="eastAsia" w:ascii="仿宋" w:hAnsi="仿宋" w:eastAsia="仿宋" w:cs="仿宋"/>
          <w:b/>
          <w:kern w:val="0"/>
          <w:sz w:val="24"/>
          <w:highlight w:val="none"/>
        </w:rPr>
        <w:t>4.其他事项：（1）需要落实的政府采购政策：</w:t>
      </w:r>
      <w:r>
        <w:rPr>
          <w:rFonts w:hint="eastAsia" w:ascii="仿宋" w:hAnsi="仿宋" w:eastAsia="仿宋" w:cs="仿宋"/>
          <w:kern w:val="0"/>
          <w:sz w:val="24"/>
          <w:highlight w:val="none"/>
        </w:rPr>
        <w:t>包括节约资源、保护环境、</w:t>
      </w:r>
      <w:r>
        <w:rPr>
          <w:rFonts w:hint="eastAsia" w:ascii="仿宋" w:hAnsi="仿宋" w:eastAsia="仿宋" w:cs="仿宋"/>
          <w:sz w:val="24"/>
          <w:highlight w:val="none"/>
        </w:rPr>
        <w:t>支持创新、</w:t>
      </w:r>
      <w:r>
        <w:rPr>
          <w:rFonts w:hint="eastAsia" w:ascii="仿宋" w:hAnsi="仿宋" w:eastAsia="仿宋" w:cs="仿宋"/>
          <w:kern w:val="0"/>
          <w:sz w:val="24"/>
          <w:highlight w:val="none"/>
        </w:rPr>
        <w:t>促进中小企业发展等，详见磋商文件第三部分。</w:t>
      </w:r>
      <w:r>
        <w:rPr>
          <w:rFonts w:hint="eastAsia" w:ascii="仿宋" w:hAnsi="仿宋" w:eastAsia="仿宋" w:cs="仿宋"/>
          <w:b/>
          <w:kern w:val="0"/>
          <w:sz w:val="24"/>
          <w:szCs w:val="20"/>
          <w:highlight w:val="none"/>
        </w:rPr>
        <w:t>（2）</w:t>
      </w:r>
      <w:r>
        <w:rPr>
          <w:rFonts w:hint="eastAsia" w:ascii="仿宋" w:hAnsi="仿宋" w:eastAsia="仿宋" w:cs="仿宋"/>
          <w:b/>
          <w:sz w:val="24"/>
          <w:highlight w:val="none"/>
        </w:rPr>
        <w:t>电子</w:t>
      </w:r>
      <w:r>
        <w:rPr>
          <w:rFonts w:hint="eastAsia" w:ascii="仿宋" w:hAnsi="仿宋" w:eastAsia="仿宋" w:cs="仿宋"/>
          <w:b/>
          <w:sz w:val="24"/>
        </w:rPr>
        <w:t>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w:t>
      </w:r>
      <w:r>
        <w:rPr>
          <w:rFonts w:hint="eastAsia" w:ascii="仿宋" w:hAnsi="仿宋" w:eastAsia="仿宋" w:cs="仿宋"/>
          <w:sz w:val="24"/>
          <w:highlight w:val="none"/>
        </w:rPr>
        <w:t>机构将不予处理</w:t>
      </w:r>
      <w:r>
        <w:rPr>
          <w:rFonts w:hint="eastAsia" w:ascii="仿宋" w:hAnsi="仿宋" w:eastAsia="仿宋" w:cs="仿宋"/>
          <w:b/>
          <w:sz w:val="24"/>
          <w:highlight w:val="none"/>
        </w:rPr>
        <w:t>；7）</w:t>
      </w:r>
      <w:r>
        <w:rPr>
          <w:rFonts w:hint="eastAsia" w:ascii="仿宋" w:hAnsi="仿宋" w:eastAsia="仿宋" w:cs="仿宋"/>
          <w:sz w:val="24"/>
          <w:highlight w:val="none"/>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w:t>
      </w:r>
      <w:r>
        <w:rPr>
          <w:rFonts w:hint="eastAsia" w:ascii="仿宋" w:hAnsi="仿宋" w:eastAsia="仿宋" w:cs="仿宋"/>
          <w:sz w:val="24"/>
          <w:highlight w:val="none"/>
          <w:lang w:eastAsia="zh-CN"/>
        </w:rPr>
        <w:t>；</w:t>
      </w:r>
      <w:r>
        <w:rPr>
          <w:rFonts w:hint="eastAsia" w:ascii="仿宋" w:hAnsi="仿宋" w:eastAsia="仿宋" w:cs="仿宋"/>
          <w:b/>
          <w:sz w:val="24"/>
          <w:highlight w:val="none"/>
        </w:rPr>
        <w:t>9）响应文件的解密：</w:t>
      </w:r>
      <w:r>
        <w:rPr>
          <w:rFonts w:hint="eastAsia" w:ascii="仿宋" w:hAnsi="仿宋" w:eastAsia="仿宋" w:cs="仿宋"/>
          <w:sz w:val="24"/>
          <w:highlight w:val="none"/>
        </w:rPr>
        <w:t>供应商按照平台提示和磋商文件的规定在半小时内完成在线解密。通过“政府采购云平台”上传递交的响应文件无法按时解密，视为投标文件撤回；10</w:t>
      </w:r>
      <w:r>
        <w:rPr>
          <w:rFonts w:hint="eastAsia" w:ascii="仿宋" w:hAnsi="仿宋" w:eastAsia="仿宋" w:cs="仿宋"/>
          <w:b/>
          <w:sz w:val="24"/>
          <w:highlight w:val="none"/>
        </w:rPr>
        <w:t>）具体操作指南</w:t>
      </w:r>
      <w:r>
        <w:rPr>
          <w:rFonts w:hint="eastAsia" w:ascii="仿宋" w:hAnsi="仿宋" w:eastAsia="仿宋" w:cs="仿宋"/>
          <w:sz w:val="24"/>
          <w:highlight w:val="none"/>
        </w:rPr>
        <w:t>：详见政采云平台“服务中心-帮</w:t>
      </w:r>
      <w:r>
        <w:rPr>
          <w:rFonts w:hint="eastAsia" w:ascii="仿宋" w:hAnsi="仿宋" w:eastAsia="仿宋" w:cs="仿宋"/>
          <w:color w:val="auto"/>
          <w:sz w:val="24"/>
          <w:highlight w:val="none"/>
        </w:rPr>
        <w:t>助文档-项目采购-操作流程-电子招投标-政府采购项目电子交易管理操作指南-供应商”。</w:t>
      </w:r>
      <w:r>
        <w:rPr>
          <w:rFonts w:hint="eastAsia" w:ascii="仿宋" w:hAnsi="仿宋" w:eastAsia="仿宋" w:cs="仿宋"/>
          <w:color w:val="auto"/>
          <w:sz w:val="24"/>
          <w:highlight w:val="none"/>
          <w:u w:val="none"/>
        </w:rPr>
        <w:t>（3</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rPr>
        <w:t>磋商文件</w:t>
      </w:r>
      <w:r>
        <w:rPr>
          <w:rFonts w:hint="eastAsia" w:ascii="仿宋" w:hAnsi="仿宋" w:eastAsia="仿宋" w:cs="仿宋"/>
          <w:sz w:val="24"/>
        </w:rPr>
        <w:t>公告期限与磋商公告的公告期限一致。</w:t>
      </w:r>
    </w:p>
    <w:p w14:paraId="57B987E0">
      <w:pPr>
        <w:pStyle w:val="5"/>
        <w:numPr>
          <w:ilvl w:val="0"/>
          <w:numId w:val="0"/>
        </w:numPr>
        <w:spacing w:line="336" w:lineRule="auto"/>
        <w:ind w:firstLine="480" w:firstLineChars="200"/>
        <w:rPr>
          <w:rFonts w:hint="eastAsia" w:ascii="黑体" w:hAnsi="黑体" w:eastAsia="黑体" w:cs="黑体"/>
          <w:b w:val="0"/>
          <w:bCs w:val="0"/>
          <w:sz w:val="24"/>
          <w:szCs w:val="24"/>
        </w:rPr>
      </w:pPr>
      <w:bookmarkStart w:id="35" w:name="_Toc28359095"/>
      <w:bookmarkStart w:id="36" w:name="_Toc35393805"/>
      <w:bookmarkStart w:id="37" w:name="_Toc35393636"/>
      <w:bookmarkStart w:id="38" w:name="_Toc28359018"/>
      <w:r>
        <w:rPr>
          <w:rFonts w:hint="eastAsia" w:ascii="黑体" w:hAnsi="黑体" w:eastAsia="黑体" w:cs="黑体"/>
          <w:b w:val="0"/>
          <w:bCs w:val="0"/>
          <w:sz w:val="24"/>
          <w:szCs w:val="24"/>
        </w:rPr>
        <w:t>八、凡对本次采购提出询问、质疑、投诉，请按以下方式联系</w:t>
      </w:r>
      <w:bookmarkEnd w:id="35"/>
      <w:bookmarkEnd w:id="36"/>
      <w:bookmarkEnd w:id="37"/>
      <w:bookmarkEnd w:id="38"/>
    </w:p>
    <w:p w14:paraId="7925C8AC">
      <w:pPr>
        <w:pStyle w:val="5"/>
        <w:numPr>
          <w:ilvl w:val="0"/>
          <w:numId w:val="0"/>
        </w:numPr>
        <w:spacing w:line="336" w:lineRule="auto"/>
        <w:ind w:firstLine="482" w:firstLineChars="200"/>
        <w:rPr>
          <w:rFonts w:ascii="仿宋" w:eastAsia="仿宋" w:cs="仿宋"/>
          <w:sz w:val="24"/>
          <w:szCs w:val="24"/>
        </w:rPr>
      </w:pPr>
      <w:bookmarkStart w:id="39" w:name="_Toc28359096"/>
      <w:bookmarkStart w:id="40" w:name="_Toc35393637"/>
      <w:bookmarkStart w:id="41" w:name="_Toc35393806"/>
      <w:bookmarkStart w:id="42" w:name="_Toc28359019"/>
      <w:r>
        <w:rPr>
          <w:rFonts w:hint="eastAsia" w:ascii="仿宋" w:eastAsia="仿宋" w:cs="仿宋"/>
          <w:sz w:val="24"/>
          <w:szCs w:val="24"/>
        </w:rPr>
        <w:t>1.采购人信息</w:t>
      </w:r>
      <w:bookmarkEnd w:id="39"/>
      <w:bookmarkEnd w:id="40"/>
      <w:bookmarkEnd w:id="41"/>
      <w:bookmarkEnd w:id="42"/>
      <w:r>
        <w:rPr>
          <w:rFonts w:hint="eastAsia" w:ascii="仿宋" w:eastAsia="仿宋" w:cs="仿宋"/>
          <w:sz w:val="24"/>
          <w:szCs w:val="24"/>
        </w:rPr>
        <w:t>：</w:t>
      </w:r>
    </w:p>
    <w:p w14:paraId="3C657C89">
      <w:pPr>
        <w:spacing w:line="336"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中国共产党新昌县委员会组织部</w:t>
      </w:r>
    </w:p>
    <w:p w14:paraId="72373282">
      <w:pPr>
        <w:spacing w:line="336"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color w:val="auto"/>
          <w:sz w:val="24"/>
        </w:rPr>
        <w:t xml:space="preserve">  地    址：</w:t>
      </w:r>
      <w:r>
        <w:rPr>
          <w:rFonts w:hint="eastAsia" w:ascii="仿宋" w:hAnsi="仿宋" w:eastAsia="仿宋" w:cs="仿宋"/>
          <w:sz w:val="24"/>
          <w:szCs w:val="24"/>
        </w:rPr>
        <w:t>新昌县人民中路190号</w:t>
      </w:r>
    </w:p>
    <w:p w14:paraId="1DECA87F">
      <w:pPr>
        <w:spacing w:line="336"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传    真：</w:t>
      </w:r>
      <w:r>
        <w:rPr>
          <w:rFonts w:hint="eastAsia" w:ascii="仿宋" w:hAnsi="仿宋" w:eastAsia="仿宋" w:cs="仿宋"/>
          <w:sz w:val="24"/>
          <w:lang w:val="en-US" w:eastAsia="zh-CN"/>
        </w:rPr>
        <w:t>/</w:t>
      </w:r>
    </w:p>
    <w:p w14:paraId="53012D3E">
      <w:pPr>
        <w:spacing w:line="336" w:lineRule="auto"/>
        <w:rPr>
          <w:rFonts w:hint="eastAsia" w:ascii="仿宋" w:hAnsi="仿宋" w:eastAsia="仿宋" w:cs="仿宋"/>
          <w:sz w:val="24"/>
          <w:lang w:eastAsia="zh-CN"/>
        </w:rPr>
      </w:pPr>
      <w:r>
        <w:rPr>
          <w:rFonts w:hint="eastAsia" w:ascii="仿宋" w:hAnsi="仿宋" w:eastAsia="仿宋" w:cs="仿宋"/>
          <w:sz w:val="24"/>
        </w:rPr>
        <w:t xml:space="preserve">    项目联系人（询问）： </w:t>
      </w:r>
      <w:r>
        <w:rPr>
          <w:rFonts w:hint="eastAsia" w:ascii="仿宋" w:hAnsi="仿宋" w:eastAsia="仿宋" w:cs="仿宋"/>
          <w:sz w:val="24"/>
          <w:lang w:eastAsia="zh-CN"/>
        </w:rPr>
        <w:t>陈先生</w:t>
      </w:r>
    </w:p>
    <w:p w14:paraId="3C12A585">
      <w:pPr>
        <w:spacing w:line="336" w:lineRule="auto"/>
        <w:rPr>
          <w:rFonts w:ascii="仿宋" w:hAnsi="仿宋" w:eastAsia="仿宋" w:cs="仿宋"/>
          <w:sz w:val="24"/>
        </w:rPr>
      </w:pPr>
      <w:r>
        <w:rPr>
          <w:rFonts w:hint="eastAsia" w:ascii="仿宋" w:hAnsi="仿宋" w:eastAsia="仿宋" w:cs="仿宋"/>
          <w:sz w:val="24"/>
        </w:rPr>
        <w:t xml:space="preserve">    项目联系方式（询问）：0575-86055676</w:t>
      </w:r>
    </w:p>
    <w:p w14:paraId="58565111">
      <w:pPr>
        <w:spacing w:line="336" w:lineRule="auto"/>
        <w:rPr>
          <w:rFonts w:hint="eastAsia" w:ascii="仿宋" w:hAnsi="仿宋" w:eastAsia="仿宋" w:cs="仿宋"/>
          <w:sz w:val="24"/>
          <w:lang w:eastAsia="zh-CN"/>
        </w:rPr>
      </w:pPr>
      <w:r>
        <w:rPr>
          <w:rFonts w:hint="eastAsia" w:ascii="仿宋" w:hAnsi="仿宋" w:eastAsia="仿宋" w:cs="仿宋"/>
          <w:sz w:val="24"/>
        </w:rPr>
        <w:t xml:space="preserve">    质疑联系人： </w:t>
      </w:r>
      <w:r>
        <w:rPr>
          <w:rFonts w:hint="eastAsia" w:ascii="仿宋" w:hAnsi="仿宋" w:eastAsia="仿宋" w:cs="仿宋"/>
          <w:sz w:val="24"/>
          <w:lang w:eastAsia="zh-CN"/>
        </w:rPr>
        <w:t>陈先生</w:t>
      </w:r>
    </w:p>
    <w:p w14:paraId="0BA3250D">
      <w:pPr>
        <w:spacing w:line="336" w:lineRule="auto"/>
        <w:rPr>
          <w:rFonts w:ascii="仿宋" w:hAnsi="仿宋" w:eastAsia="仿宋" w:cs="仿宋"/>
          <w:sz w:val="24"/>
        </w:rPr>
      </w:pPr>
      <w:r>
        <w:rPr>
          <w:rFonts w:hint="eastAsia" w:ascii="仿宋" w:hAnsi="仿宋" w:eastAsia="仿宋" w:cs="仿宋"/>
          <w:sz w:val="24"/>
        </w:rPr>
        <w:t xml:space="preserve">    质疑联系方式：0575-86055676</w:t>
      </w:r>
    </w:p>
    <w:p w14:paraId="2FD164FA">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rPr>
      </w:pPr>
      <w:bookmarkStart w:id="43" w:name="_Toc35393638"/>
      <w:bookmarkStart w:id="44" w:name="_Toc28359020"/>
      <w:bookmarkStart w:id="45" w:name="_Toc35393807"/>
      <w:bookmarkStart w:id="46" w:name="_Toc28359097"/>
      <w:r>
        <w:rPr>
          <w:rFonts w:hint="eastAsia" w:ascii="仿宋" w:hAnsi="仿宋" w:eastAsia="仿宋" w:cs="仿宋"/>
          <w:color w:val="auto"/>
          <w:sz w:val="24"/>
          <w:szCs w:val="24"/>
        </w:rPr>
        <w:t>2.采购代理机构信息</w:t>
      </w:r>
      <w:bookmarkEnd w:id="43"/>
      <w:bookmarkEnd w:id="44"/>
      <w:bookmarkEnd w:id="45"/>
      <w:bookmarkEnd w:id="46"/>
      <w:r>
        <w:rPr>
          <w:rFonts w:hint="eastAsia" w:ascii="仿宋" w:hAnsi="仿宋" w:eastAsia="仿宋" w:cs="仿宋"/>
          <w:color w:val="auto"/>
          <w:sz w:val="24"/>
          <w:szCs w:val="24"/>
        </w:rPr>
        <w:t>：</w:t>
      </w:r>
    </w:p>
    <w:p w14:paraId="53883FFB">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000000"/>
          <w:sz w:val="24"/>
        </w:rPr>
      </w:pPr>
      <w:bookmarkStart w:id="47" w:name="_Toc35393808"/>
      <w:bookmarkStart w:id="48" w:name="_Toc35393639"/>
      <w:bookmarkStart w:id="49" w:name="_Toc28359021"/>
      <w:bookmarkStart w:id="50" w:name="_Toc28359098"/>
      <w:r>
        <w:rPr>
          <w:rFonts w:hint="eastAsia" w:ascii="仿宋" w:hAnsi="仿宋" w:eastAsia="仿宋" w:cs="仿宋"/>
          <w:color w:val="000000"/>
          <w:sz w:val="24"/>
        </w:rPr>
        <w:t>名    称：</w:t>
      </w:r>
      <w:r>
        <w:rPr>
          <w:rFonts w:hint="eastAsia" w:ascii="仿宋" w:hAnsi="仿宋" w:eastAsia="仿宋" w:cs="仿宋"/>
          <w:color w:val="000000"/>
          <w:sz w:val="24"/>
          <w:lang w:eastAsia="zh-CN"/>
        </w:rPr>
        <w:t>绍兴平准招标代理有限公司</w:t>
      </w:r>
      <w:r>
        <w:rPr>
          <w:rFonts w:hint="eastAsia" w:ascii="仿宋" w:hAnsi="仿宋" w:eastAsia="仿宋" w:cs="仿宋"/>
          <w:color w:val="000000"/>
          <w:sz w:val="24"/>
        </w:rPr>
        <w:t xml:space="preserve">             </w:t>
      </w:r>
    </w:p>
    <w:p w14:paraId="5C78C21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地    址：</w:t>
      </w:r>
      <w:r>
        <w:rPr>
          <w:rFonts w:hint="eastAsia" w:ascii="仿宋" w:hAnsi="仿宋" w:eastAsia="仿宋" w:cs="仿宋"/>
          <w:bCs/>
          <w:color w:val="auto"/>
          <w:kern w:val="0"/>
          <w:sz w:val="24"/>
          <w:szCs w:val="24"/>
          <w:highlight w:val="none"/>
        </w:rPr>
        <w:t>嵊州市三江街道官河南路333号商会大厦十四层1407室</w:t>
      </w:r>
      <w:r>
        <w:rPr>
          <w:rFonts w:hint="eastAsia" w:ascii="仿宋" w:hAnsi="仿宋" w:eastAsia="仿宋" w:cs="仿宋"/>
          <w:color w:val="000000"/>
          <w:sz w:val="24"/>
        </w:rPr>
        <w:t xml:space="preserve"> </w:t>
      </w:r>
    </w:p>
    <w:p w14:paraId="596A05F4">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传    真：/             </w:t>
      </w:r>
    </w:p>
    <w:p w14:paraId="0842458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项目联系人（询问）：</w:t>
      </w:r>
      <w:r>
        <w:rPr>
          <w:rFonts w:hint="eastAsia" w:ascii="仿宋" w:hAnsi="仿宋" w:eastAsia="仿宋" w:cs="仿宋"/>
          <w:color w:val="000000"/>
          <w:sz w:val="24"/>
          <w:lang w:eastAsia="zh-CN"/>
        </w:rPr>
        <w:t>邱女士</w:t>
      </w:r>
    </w:p>
    <w:p w14:paraId="0CCD0F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项目联系方式（询问）： 0575-83176688</w:t>
      </w:r>
    </w:p>
    <w:p w14:paraId="04942A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质疑联系人：</w:t>
      </w:r>
      <w:r>
        <w:rPr>
          <w:rFonts w:hint="eastAsia" w:ascii="仿宋" w:hAnsi="仿宋" w:eastAsia="仿宋" w:cs="仿宋"/>
          <w:color w:val="000000"/>
          <w:sz w:val="24"/>
          <w:lang w:eastAsia="zh-CN"/>
        </w:rPr>
        <w:t>竺女士</w:t>
      </w:r>
      <w:r>
        <w:rPr>
          <w:rFonts w:hint="eastAsia" w:ascii="仿宋" w:hAnsi="仿宋" w:eastAsia="仿宋" w:cs="仿宋"/>
          <w:color w:val="000000"/>
          <w:sz w:val="24"/>
        </w:rPr>
        <w:t xml:space="preserve">           </w:t>
      </w:r>
    </w:p>
    <w:p w14:paraId="16F23AD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质疑联系方式：0575-83176688</w:t>
      </w:r>
    </w:p>
    <w:p w14:paraId="518B724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同级政府采购监督管理部门：            </w:t>
      </w:r>
    </w:p>
    <w:bookmarkEnd w:id="47"/>
    <w:bookmarkEnd w:id="48"/>
    <w:bookmarkEnd w:id="49"/>
    <w:bookmarkEnd w:id="50"/>
    <w:p w14:paraId="7F2166C4">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称：新昌县财政局采监科</w:t>
      </w:r>
    </w:p>
    <w:p w14:paraId="7C6077D9">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址：新昌县鼓山中路118号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14:paraId="69AD8C17">
      <w:pPr>
        <w:pageBreakBefore w:val="0"/>
        <w:widowControl w:val="0"/>
        <w:kinsoku/>
        <w:wordWrap/>
        <w:overflowPunct/>
        <w:topLinePunct w:val="0"/>
        <w:autoSpaceDE/>
        <w:autoSpaceDN/>
        <w:bidi w:val="0"/>
        <w:spacing w:line="440" w:lineRule="exact"/>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 xml:space="preserve"> /</w:t>
      </w:r>
    </w:p>
    <w:p w14:paraId="13A06591">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联系人 ：</w:t>
      </w:r>
      <w:r>
        <w:rPr>
          <w:rFonts w:hint="eastAsia" w:ascii="仿宋" w:hAnsi="仿宋" w:eastAsia="仿宋" w:cs="仿宋"/>
          <w:color w:val="auto"/>
          <w:sz w:val="24"/>
          <w:lang w:eastAsia="zh-CN"/>
        </w:rPr>
        <w:t>任先生</w:t>
      </w:r>
      <w:r>
        <w:rPr>
          <w:rFonts w:hint="eastAsia" w:ascii="仿宋" w:hAnsi="仿宋" w:eastAsia="仿宋" w:cs="仿宋"/>
          <w:color w:val="auto"/>
          <w:sz w:val="24"/>
          <w:lang w:val="en-US" w:eastAsia="zh-CN"/>
        </w:rPr>
        <w:t xml:space="preserve"> </w:t>
      </w:r>
    </w:p>
    <w:p w14:paraId="3B78C4F4">
      <w:pPr>
        <w:spacing w:line="336" w:lineRule="auto"/>
        <w:ind w:firstLine="480"/>
        <w:rPr>
          <w:rFonts w:ascii="仿宋" w:hAnsi="仿宋" w:eastAsia="仿宋" w:cs="仿宋"/>
          <w:sz w:val="24"/>
        </w:rPr>
      </w:pPr>
      <w:r>
        <w:rPr>
          <w:rFonts w:hint="eastAsia" w:ascii="仿宋" w:hAnsi="仿宋" w:eastAsia="仿宋" w:cs="仿宋"/>
          <w:color w:val="auto"/>
          <w:sz w:val="24"/>
        </w:rPr>
        <w:t>监督投诉电话：0575-86621309</w:t>
      </w:r>
      <w:r>
        <w:rPr>
          <w:rFonts w:hint="eastAsia" w:ascii="仿宋" w:hAnsi="仿宋" w:eastAsia="仿宋" w:cs="仿宋"/>
          <w:sz w:val="24"/>
        </w:rPr>
        <w:t xml:space="preserve">     </w:t>
      </w:r>
    </w:p>
    <w:p w14:paraId="38F2DD03">
      <w:pPr>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0075F07E">
      <w:pPr>
        <w:spacing w:line="336"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27756045">
      <w:pPr>
        <w:pStyle w:val="33"/>
        <w:spacing w:line="336" w:lineRule="auto"/>
        <w:ind w:firstLine="480" w:firstLineChars="200"/>
        <w:jc w:val="right"/>
        <w:rPr>
          <w:rFonts w:ascii="仿宋" w:hAnsi="仿宋" w:eastAsia="仿宋" w:cs="仿宋"/>
          <w:sz w:val="24"/>
          <w:szCs w:val="24"/>
        </w:rPr>
      </w:pPr>
    </w:p>
    <w:p w14:paraId="1104D3F1">
      <w:pPr>
        <w:pStyle w:val="33"/>
        <w:spacing w:line="336" w:lineRule="auto"/>
        <w:ind w:firstLine="480" w:firstLineChars="200"/>
        <w:rPr>
          <w:rFonts w:ascii="仿宋" w:hAnsi="仿宋" w:eastAsia="仿宋" w:cs="仿宋"/>
          <w:sz w:val="24"/>
          <w:szCs w:val="24"/>
        </w:rPr>
      </w:pPr>
    </w:p>
    <w:p w14:paraId="64EB3547">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1C1EEB7F">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0BB71DB0">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740E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15EC759B">
            <w:pPr>
              <w:spacing w:line="336" w:lineRule="auto"/>
              <w:jc w:val="center"/>
              <w:rPr>
                <w:rFonts w:ascii="仿宋" w:hAnsi="仿宋" w:eastAsia="仿宋" w:cs="仿宋"/>
                <w:sz w:val="24"/>
              </w:rPr>
            </w:pPr>
            <w:r>
              <w:rPr>
                <w:rFonts w:hint="eastAsia" w:ascii="仿宋" w:hAnsi="仿宋" w:eastAsia="仿宋" w:cs="仿宋"/>
                <w:sz w:val="24"/>
              </w:rPr>
              <w:t>序号</w:t>
            </w:r>
          </w:p>
        </w:tc>
        <w:tc>
          <w:tcPr>
            <w:tcW w:w="8371" w:type="dxa"/>
            <w:gridSpan w:val="2"/>
            <w:vAlign w:val="center"/>
          </w:tcPr>
          <w:p w14:paraId="5F5674DC">
            <w:pPr>
              <w:spacing w:line="336" w:lineRule="auto"/>
              <w:jc w:val="center"/>
              <w:rPr>
                <w:rFonts w:ascii="仿宋" w:hAnsi="仿宋" w:eastAsia="仿宋" w:cs="仿宋"/>
                <w:sz w:val="24"/>
              </w:rPr>
            </w:pPr>
            <w:r>
              <w:rPr>
                <w:rFonts w:hint="eastAsia" w:ascii="仿宋" w:hAnsi="仿宋" w:eastAsia="仿宋" w:cs="仿宋"/>
                <w:sz w:val="24"/>
              </w:rPr>
              <w:t>内　　　　容</w:t>
            </w:r>
          </w:p>
        </w:tc>
      </w:tr>
      <w:tr w14:paraId="0131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1F7286">
            <w:pPr>
              <w:spacing w:line="336" w:lineRule="auto"/>
              <w:jc w:val="center"/>
              <w:rPr>
                <w:rFonts w:ascii="仿宋" w:hAnsi="仿宋" w:eastAsia="仿宋" w:cs="仿宋"/>
                <w:sz w:val="24"/>
              </w:rPr>
            </w:pPr>
            <w:r>
              <w:rPr>
                <w:rFonts w:hint="eastAsia" w:ascii="仿宋" w:hAnsi="仿宋" w:eastAsia="仿宋" w:cs="仿宋"/>
                <w:sz w:val="24"/>
              </w:rPr>
              <w:t>1</w:t>
            </w:r>
          </w:p>
        </w:tc>
        <w:tc>
          <w:tcPr>
            <w:tcW w:w="8371" w:type="dxa"/>
            <w:gridSpan w:val="2"/>
            <w:vAlign w:val="center"/>
          </w:tcPr>
          <w:p w14:paraId="192C4FD0">
            <w:pPr>
              <w:snapToGrid w:val="0"/>
              <w:spacing w:line="336" w:lineRule="auto"/>
              <w:rPr>
                <w:rFonts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14:paraId="4D7671BF">
            <w:pPr>
              <w:spacing w:line="336" w:lineRule="auto"/>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41EC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4479934">
            <w:pPr>
              <w:spacing w:line="336" w:lineRule="auto"/>
              <w:jc w:val="center"/>
              <w:rPr>
                <w:rFonts w:ascii="仿宋" w:hAnsi="仿宋" w:eastAsia="仿宋" w:cs="仿宋"/>
                <w:sz w:val="24"/>
              </w:rPr>
            </w:pPr>
            <w:r>
              <w:rPr>
                <w:rFonts w:hint="eastAsia" w:ascii="仿宋" w:hAnsi="仿宋" w:eastAsia="仿宋" w:cs="仿宋"/>
                <w:sz w:val="24"/>
              </w:rPr>
              <w:t>2</w:t>
            </w:r>
          </w:p>
        </w:tc>
        <w:tc>
          <w:tcPr>
            <w:tcW w:w="8371" w:type="dxa"/>
            <w:gridSpan w:val="2"/>
            <w:vAlign w:val="center"/>
          </w:tcPr>
          <w:p w14:paraId="2680C1ED">
            <w:pPr>
              <w:snapToGrid w:val="0"/>
              <w:spacing w:line="336" w:lineRule="auto"/>
              <w:rPr>
                <w:rFonts w:ascii="仿宋" w:hAnsi="仿宋" w:eastAsia="仿宋" w:cs="仿宋"/>
                <w:b/>
                <w:sz w:val="24"/>
                <w:highlight w:val="none"/>
              </w:rPr>
            </w:pPr>
            <w:r>
              <w:rPr>
                <w:rFonts w:hint="eastAsia" w:ascii="仿宋" w:hAnsi="仿宋" w:eastAsia="仿宋" w:cs="仿宋"/>
                <w:b/>
                <w:sz w:val="24"/>
                <w:highlight w:val="none"/>
              </w:rPr>
              <w:t>资格审查方式：</w:t>
            </w:r>
          </w:p>
          <w:p w14:paraId="78F8FDC2">
            <w:pPr>
              <w:snapToGrid w:val="0"/>
              <w:spacing w:line="336" w:lineRule="auto"/>
              <w:rPr>
                <w:rFonts w:ascii="仿宋" w:hAnsi="仿宋" w:eastAsia="仿宋" w:cs="仿宋"/>
                <w:b/>
                <w:sz w:val="24"/>
                <w:highlight w:val="none"/>
              </w:rPr>
            </w:pPr>
            <w:r>
              <w:rPr>
                <w:rFonts w:hint="eastAsia" w:ascii="仿宋" w:hAnsi="仿宋" w:eastAsia="仿宋" w:cs="仿宋"/>
                <w:b/>
                <w:sz w:val="24"/>
                <w:highlight w:val="none"/>
              </w:rPr>
              <w:t>1.资格后审。</w:t>
            </w:r>
          </w:p>
          <w:p w14:paraId="5AC50B5A">
            <w:pPr>
              <w:snapToGrid w:val="0"/>
              <w:spacing w:line="336" w:lineRule="auto"/>
              <w:rPr>
                <w:rFonts w:ascii="仿宋" w:hAnsi="仿宋" w:eastAsia="仿宋" w:cs="仿宋"/>
                <w:b/>
                <w:sz w:val="24"/>
                <w:highlight w:val="yellow"/>
              </w:rPr>
            </w:pPr>
            <w:r>
              <w:rPr>
                <w:rFonts w:hint="eastAsia" w:ascii="仿宋" w:hAnsi="仿宋" w:eastAsia="仿宋" w:cs="仿宋"/>
                <w:b/>
                <w:sz w:val="24"/>
                <w:highlight w:val="none"/>
              </w:rPr>
              <w:t>2.法定代表人的被授权委托人必须是供应商单位职工。需在</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响应文件技术部分内提供由社保机构出具的该授权代表的社保证明（1.如该授权代表为离退休返聘人员的，</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响应文件技术部分内需提供退休证明及单位聘用证明;2.如由第三方代理社保事项的，则需提供加盖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公章的委托代理协议复印件）。</w:t>
            </w:r>
          </w:p>
        </w:tc>
      </w:tr>
      <w:tr w14:paraId="4785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12AA06CB">
            <w:pPr>
              <w:spacing w:line="336" w:lineRule="auto"/>
              <w:jc w:val="center"/>
              <w:rPr>
                <w:rFonts w:ascii="仿宋" w:hAnsi="仿宋" w:eastAsia="仿宋" w:cs="仿宋"/>
                <w:sz w:val="24"/>
              </w:rPr>
            </w:pPr>
            <w:r>
              <w:rPr>
                <w:rFonts w:hint="eastAsia" w:ascii="仿宋" w:hAnsi="仿宋" w:eastAsia="仿宋" w:cs="仿宋"/>
                <w:sz w:val="24"/>
              </w:rPr>
              <w:t>3</w:t>
            </w:r>
          </w:p>
        </w:tc>
        <w:tc>
          <w:tcPr>
            <w:tcW w:w="8371" w:type="dxa"/>
            <w:gridSpan w:val="2"/>
            <w:vAlign w:val="center"/>
          </w:tcPr>
          <w:p w14:paraId="0AC14E6B">
            <w:pPr>
              <w:autoSpaceDE w:val="0"/>
              <w:autoSpaceDN w:val="0"/>
              <w:spacing w:line="336" w:lineRule="auto"/>
              <w:textAlignment w:val="bottom"/>
              <w:rPr>
                <w:rFonts w:ascii="仿宋" w:hAnsi="仿宋" w:eastAsia="仿宋" w:cs="仿宋"/>
                <w:sz w:val="24"/>
                <w:highlight w:val="yellow"/>
              </w:rPr>
            </w:pPr>
            <w:r>
              <w:rPr>
                <w:rFonts w:hint="eastAsia" w:ascii="仿宋" w:hAnsi="仿宋" w:eastAsia="仿宋" w:cs="仿宋"/>
                <w:b/>
                <w:sz w:val="24"/>
                <w:highlight w:val="none"/>
              </w:rPr>
              <w:t>磋商有效期：</w:t>
            </w:r>
            <w:r>
              <w:rPr>
                <w:rFonts w:hint="eastAsia" w:ascii="仿宋" w:hAnsi="仿宋" w:eastAsia="仿宋" w:cs="仿宋"/>
                <w:sz w:val="24"/>
                <w:highlight w:val="none"/>
              </w:rPr>
              <w:t>有效期为从提交磋商响应文件的截止之日起90天。</w:t>
            </w:r>
            <w:r>
              <w:rPr>
                <w:rFonts w:hint="eastAsia" w:ascii="仿宋" w:hAnsi="仿宋" w:eastAsia="仿宋" w:cs="仿宋"/>
                <w:b/>
                <w:sz w:val="24"/>
                <w:highlight w:val="none"/>
              </w:rPr>
              <w:t>磋商响应人的磋商文件中承</w:t>
            </w:r>
            <w:r>
              <w:rPr>
                <w:rFonts w:hint="eastAsia" w:ascii="仿宋" w:hAnsi="仿宋" w:eastAsia="仿宋" w:cs="仿宋"/>
                <w:b/>
                <w:sz w:val="24"/>
                <w:szCs w:val="21"/>
                <w:highlight w:val="none"/>
              </w:rPr>
              <w:t>诺的磋商有效期少于磋商文件中载明的磋商有效期的，磋商无效。</w:t>
            </w:r>
          </w:p>
        </w:tc>
      </w:tr>
      <w:tr w14:paraId="151C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3BA690AE">
            <w:pPr>
              <w:spacing w:line="336" w:lineRule="auto"/>
              <w:jc w:val="center"/>
              <w:rPr>
                <w:rFonts w:ascii="仿宋" w:hAnsi="仿宋" w:eastAsia="仿宋" w:cs="仿宋"/>
                <w:sz w:val="24"/>
              </w:rPr>
            </w:pPr>
            <w:r>
              <w:rPr>
                <w:rFonts w:hint="eastAsia" w:ascii="仿宋" w:hAnsi="仿宋" w:eastAsia="仿宋" w:cs="仿宋"/>
                <w:sz w:val="24"/>
              </w:rPr>
              <w:t>4</w:t>
            </w:r>
          </w:p>
        </w:tc>
        <w:tc>
          <w:tcPr>
            <w:tcW w:w="8371" w:type="dxa"/>
            <w:gridSpan w:val="2"/>
            <w:vAlign w:val="center"/>
          </w:tcPr>
          <w:p w14:paraId="1E23E02D">
            <w:pPr>
              <w:spacing w:line="336" w:lineRule="auto"/>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3F50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2EEA98AA">
            <w:pPr>
              <w:spacing w:line="336" w:lineRule="auto"/>
              <w:jc w:val="center"/>
              <w:rPr>
                <w:rFonts w:ascii="仿宋" w:hAnsi="仿宋" w:eastAsia="仿宋" w:cs="仿宋"/>
                <w:sz w:val="24"/>
              </w:rPr>
            </w:pPr>
            <w:r>
              <w:rPr>
                <w:rFonts w:hint="eastAsia" w:ascii="仿宋" w:hAnsi="仿宋" w:eastAsia="仿宋" w:cs="仿宋"/>
                <w:sz w:val="24"/>
              </w:rPr>
              <w:t>5</w:t>
            </w:r>
          </w:p>
        </w:tc>
        <w:tc>
          <w:tcPr>
            <w:tcW w:w="8371" w:type="dxa"/>
            <w:gridSpan w:val="2"/>
            <w:vAlign w:val="center"/>
          </w:tcPr>
          <w:p w14:paraId="4A72D430">
            <w:pPr>
              <w:spacing w:line="336" w:lineRule="auto"/>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63D6C1C0">
            <w:pPr>
              <w:spacing w:line="336" w:lineRule="auto"/>
              <w:ind w:firstLine="720" w:firstLineChars="300"/>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F5B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67791DBF">
            <w:pPr>
              <w:spacing w:line="336" w:lineRule="auto"/>
              <w:jc w:val="center"/>
              <w:rPr>
                <w:rFonts w:ascii="仿宋" w:hAnsi="仿宋" w:eastAsia="仿宋" w:cs="仿宋"/>
                <w:sz w:val="24"/>
              </w:rPr>
            </w:pPr>
            <w:r>
              <w:rPr>
                <w:rFonts w:hint="eastAsia" w:ascii="仿宋" w:hAnsi="仿宋" w:eastAsia="仿宋" w:cs="仿宋"/>
                <w:sz w:val="24"/>
              </w:rPr>
              <w:t>6</w:t>
            </w:r>
          </w:p>
        </w:tc>
        <w:tc>
          <w:tcPr>
            <w:tcW w:w="8371" w:type="dxa"/>
            <w:gridSpan w:val="2"/>
            <w:vAlign w:val="center"/>
          </w:tcPr>
          <w:p w14:paraId="44E656D9">
            <w:pPr>
              <w:spacing w:line="336" w:lineRule="auto"/>
              <w:rPr>
                <w:rFonts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p>
        </w:tc>
      </w:tr>
      <w:tr w14:paraId="7FD0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735A60B">
            <w:pPr>
              <w:spacing w:line="336" w:lineRule="auto"/>
              <w:jc w:val="center"/>
              <w:rPr>
                <w:rFonts w:ascii="仿宋" w:hAnsi="仿宋" w:eastAsia="仿宋" w:cs="仿宋"/>
                <w:sz w:val="24"/>
              </w:rPr>
            </w:pPr>
            <w:r>
              <w:rPr>
                <w:rFonts w:hint="eastAsia" w:ascii="仿宋" w:hAnsi="仿宋" w:eastAsia="仿宋" w:cs="仿宋"/>
                <w:sz w:val="24"/>
              </w:rPr>
              <w:t>7</w:t>
            </w:r>
          </w:p>
        </w:tc>
        <w:tc>
          <w:tcPr>
            <w:tcW w:w="8371" w:type="dxa"/>
            <w:gridSpan w:val="2"/>
            <w:vAlign w:val="center"/>
          </w:tcPr>
          <w:p w14:paraId="44EF1846">
            <w:pPr>
              <w:autoSpaceDE w:val="0"/>
              <w:autoSpaceDN w:val="0"/>
              <w:spacing w:line="336" w:lineRule="auto"/>
              <w:textAlignment w:val="bottom"/>
              <w:rPr>
                <w:rFonts w:ascii="仿宋" w:hAnsi="仿宋" w:eastAsia="仿宋" w:cs="仿宋"/>
                <w:b/>
                <w:sz w:val="24"/>
              </w:rPr>
            </w:pPr>
            <w:r>
              <w:rPr>
                <w:rFonts w:hint="eastAsia" w:ascii="仿宋" w:hAnsi="仿宋" w:eastAsia="仿宋" w:cs="仿宋"/>
                <w:b/>
                <w:kern w:val="0"/>
                <w:sz w:val="24"/>
                <w:lang w:val="zh-CN"/>
              </w:rPr>
              <w:t>磋商次序：</w:t>
            </w:r>
            <w:r>
              <w:rPr>
                <w:rFonts w:hint="eastAsia" w:ascii="仿宋" w:hAnsi="仿宋" w:eastAsia="仿宋" w:cs="仿宋"/>
                <w:kern w:val="0"/>
                <w:sz w:val="24"/>
                <w:lang w:val="zh-CN"/>
              </w:rPr>
              <w:t>以政采云平台中</w:t>
            </w:r>
            <w:r>
              <w:rPr>
                <w:rFonts w:hint="eastAsia" w:ascii="仿宋" w:hAnsi="仿宋" w:eastAsia="仿宋" w:cs="仿宋"/>
                <w:bCs/>
                <w:sz w:val="24"/>
              </w:rPr>
              <w:t>响应</w:t>
            </w:r>
            <w:r>
              <w:rPr>
                <w:rFonts w:hint="eastAsia" w:ascii="仿宋" w:hAnsi="仿宋" w:eastAsia="仿宋" w:cs="仿宋"/>
                <w:kern w:val="0"/>
                <w:sz w:val="24"/>
                <w:lang w:val="zh-CN"/>
              </w:rPr>
              <w:t>文件解密时间的先后顺序为准。</w:t>
            </w:r>
          </w:p>
        </w:tc>
      </w:tr>
      <w:tr w14:paraId="0A57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0B171B51">
            <w:pPr>
              <w:spacing w:line="336" w:lineRule="auto"/>
              <w:jc w:val="center"/>
              <w:rPr>
                <w:rFonts w:ascii="仿宋" w:hAnsi="仿宋" w:eastAsia="仿宋" w:cs="仿宋"/>
                <w:sz w:val="24"/>
              </w:rPr>
            </w:pPr>
            <w:r>
              <w:rPr>
                <w:rFonts w:hint="eastAsia" w:ascii="仿宋" w:hAnsi="仿宋" w:eastAsia="仿宋" w:cs="仿宋"/>
                <w:sz w:val="24"/>
              </w:rPr>
              <w:t>8</w:t>
            </w:r>
          </w:p>
        </w:tc>
        <w:tc>
          <w:tcPr>
            <w:tcW w:w="8371" w:type="dxa"/>
            <w:gridSpan w:val="2"/>
            <w:vAlign w:val="center"/>
          </w:tcPr>
          <w:p w14:paraId="1D5259BF">
            <w:pPr>
              <w:autoSpaceDE w:val="0"/>
              <w:autoSpaceDN w:val="0"/>
              <w:spacing w:line="336" w:lineRule="auto"/>
              <w:textAlignment w:val="bottom"/>
              <w:rPr>
                <w:rFonts w:ascii="仿宋" w:hAnsi="仿宋" w:eastAsia="仿宋" w:cs="仿宋"/>
                <w:b/>
                <w:sz w:val="24"/>
              </w:rPr>
            </w:pPr>
            <w:r>
              <w:rPr>
                <w:rFonts w:hint="eastAsia" w:ascii="仿宋" w:hAnsi="仿宋" w:eastAsia="仿宋" w:cs="仿宋"/>
                <w:b/>
                <w:sz w:val="24"/>
              </w:rPr>
              <w:t>开标前答疑会或现场考察：</w:t>
            </w:r>
          </w:p>
          <w:p w14:paraId="4AB45568">
            <w:pPr>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不组织。</w:t>
            </w:r>
          </w:p>
          <w:p w14:paraId="43EDDE28">
            <w:pPr>
              <w:autoSpaceDE w:val="0"/>
              <w:autoSpaceDN w:val="0"/>
              <w:spacing w:line="336" w:lineRule="auto"/>
              <w:textAlignment w:val="bottom"/>
              <w:rPr>
                <w:rFonts w:ascii="仿宋" w:hAnsi="仿宋" w:eastAsia="仿宋" w:cs="仿宋"/>
                <w:b/>
                <w:kern w:val="0"/>
                <w:sz w:val="24"/>
                <w:lang w:val="zh-CN"/>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4B07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8AB2D14">
            <w:pPr>
              <w:spacing w:line="336" w:lineRule="auto"/>
              <w:jc w:val="center"/>
              <w:rPr>
                <w:rFonts w:ascii="仿宋" w:hAnsi="仿宋" w:eastAsia="仿宋" w:cs="仿宋"/>
                <w:sz w:val="24"/>
              </w:rPr>
            </w:pPr>
            <w:r>
              <w:rPr>
                <w:rFonts w:hint="eastAsia" w:ascii="仿宋" w:hAnsi="仿宋" w:eastAsia="仿宋" w:cs="仿宋"/>
                <w:sz w:val="24"/>
              </w:rPr>
              <w:t>9</w:t>
            </w:r>
          </w:p>
        </w:tc>
        <w:tc>
          <w:tcPr>
            <w:tcW w:w="8371" w:type="dxa"/>
            <w:gridSpan w:val="2"/>
            <w:vAlign w:val="center"/>
          </w:tcPr>
          <w:p w14:paraId="6D601DB4">
            <w:pPr>
              <w:spacing w:line="336" w:lineRule="auto"/>
              <w:rPr>
                <w:rFonts w:ascii="仿宋" w:hAnsi="仿宋" w:eastAsia="仿宋" w:cs="仿宋"/>
                <w:b/>
                <w:sz w:val="24"/>
                <w:highlight w:val="none"/>
              </w:rPr>
            </w:pPr>
            <w:r>
              <w:rPr>
                <w:rFonts w:hint="eastAsia" w:ascii="仿宋" w:hAnsi="仿宋" w:eastAsia="仿宋" w:cs="仿宋"/>
                <w:b/>
                <w:sz w:val="24"/>
                <w:highlight w:val="none"/>
              </w:rPr>
              <w:t>样品提供：</w:t>
            </w:r>
          </w:p>
          <w:p w14:paraId="77C877D2">
            <w:pPr>
              <w:spacing w:line="336" w:lineRule="auto"/>
              <w:rPr>
                <w:rFonts w:ascii="仿宋" w:hAnsi="仿宋" w:eastAsia="仿宋" w:cs="仿宋"/>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 xml:space="preserve"> A</w:t>
            </w:r>
            <w:r>
              <w:rPr>
                <w:rFonts w:hint="eastAsia" w:ascii="仿宋" w:hAnsi="仿宋" w:eastAsia="仿宋" w:cs="仿宋"/>
                <w:sz w:val="24"/>
                <w:highlight w:val="none"/>
              </w:rPr>
              <w:t>不要求提供。</w:t>
            </w:r>
          </w:p>
          <w:p w14:paraId="3BEC4701">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□B要求提供，</w:t>
            </w:r>
          </w:p>
          <w:p w14:paraId="4F3299CB">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5E511C7">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4541837">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09B8888C">
            <w:pPr>
              <w:spacing w:line="336" w:lineRule="auto"/>
              <w:rPr>
                <w:rFonts w:ascii="仿宋" w:hAnsi="仿宋" w:eastAsia="仿宋" w:cs="仿宋"/>
                <w:kern w:val="0"/>
                <w:sz w:val="24"/>
                <w:highlight w:val="none"/>
              </w:rPr>
            </w:pPr>
            <w:r>
              <w:rPr>
                <w:rFonts w:hint="eastAsia" w:ascii="仿宋" w:hAnsi="仿宋" w:eastAsia="仿宋" w:cs="仿宋"/>
                <w:kern w:val="0"/>
                <w:sz w:val="24"/>
                <w:highlight w:val="none"/>
              </w:rPr>
              <w:t>（4）是否需要随样品提交检测报告：□否；□是，检测机构的要求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65D3F6E0">
            <w:pPr>
              <w:spacing w:line="336" w:lineRule="auto"/>
              <w:rPr>
                <w:rFonts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15AADECD">
            <w:pPr>
              <w:spacing w:line="336" w:lineRule="auto"/>
              <w:rPr>
                <w:rFonts w:ascii="仿宋" w:hAnsi="仿宋" w:eastAsia="仿宋" w:cs="仿宋"/>
                <w:sz w:val="24"/>
                <w:highlight w:val="none"/>
              </w:rPr>
            </w:pPr>
            <w:r>
              <w:rPr>
                <w:rFonts w:hint="eastAsia" w:ascii="仿宋" w:hAnsi="仿宋" w:eastAsia="仿宋" w:cs="仿宋"/>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F90947E">
            <w:pPr>
              <w:autoSpaceDE w:val="0"/>
              <w:autoSpaceDN w:val="0"/>
              <w:spacing w:line="336" w:lineRule="auto"/>
              <w:jc w:val="left"/>
              <w:rPr>
                <w:rFonts w:hint="eastAsia" w:ascii="仿宋" w:hAnsi="仿宋" w:eastAsia="仿宋" w:cs="仿宋"/>
                <w:sz w:val="24"/>
                <w:highlight w:val="none"/>
              </w:rPr>
            </w:pPr>
            <w:r>
              <w:rPr>
                <w:rFonts w:hint="eastAsia" w:ascii="仿宋" w:hAnsi="仿宋" w:eastAsia="仿宋" w:cs="仿宋"/>
                <w:sz w:val="24"/>
                <w:highlight w:val="none"/>
              </w:rPr>
              <w:t>（7）制作、运输、安装和保管样品所发生的一切费用由供应商自理。</w:t>
            </w:r>
          </w:p>
          <w:p w14:paraId="2E57B4E7">
            <w:pPr>
              <w:pStyle w:val="73"/>
              <w:rPr>
                <w:rFonts w:hint="eastAsia" w:eastAsia="仿宋"/>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lang w:eastAsia="zh-CN"/>
              </w:rPr>
              <w:t>）未按招标文件要求提供样品或提供样品不满足采购需求实质性条件的，投标无效；</w:t>
            </w:r>
          </w:p>
        </w:tc>
      </w:tr>
      <w:tr w14:paraId="5C39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5EC1B7D6">
            <w:pPr>
              <w:spacing w:line="336" w:lineRule="auto"/>
              <w:jc w:val="center"/>
              <w:rPr>
                <w:rFonts w:ascii="仿宋" w:hAnsi="仿宋" w:eastAsia="仿宋" w:cs="仿宋"/>
                <w:sz w:val="24"/>
              </w:rPr>
            </w:pPr>
            <w:r>
              <w:rPr>
                <w:rFonts w:hint="eastAsia" w:ascii="仿宋" w:hAnsi="仿宋" w:eastAsia="仿宋" w:cs="仿宋"/>
                <w:sz w:val="24"/>
              </w:rPr>
              <w:t>10</w:t>
            </w:r>
          </w:p>
        </w:tc>
        <w:tc>
          <w:tcPr>
            <w:tcW w:w="8371" w:type="dxa"/>
            <w:gridSpan w:val="2"/>
            <w:vAlign w:val="center"/>
          </w:tcPr>
          <w:p w14:paraId="79FC4774">
            <w:pPr>
              <w:spacing w:beforeLines="0" w:afterLines="0"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方案讲解演示：</w:t>
            </w:r>
          </w:p>
          <w:p w14:paraId="42BB4BA4">
            <w:pPr>
              <w:spacing w:beforeLines="0" w:afterLines="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A无方案讲解演示。</w:t>
            </w:r>
          </w:p>
          <w:p w14:paraId="400BFF88">
            <w:pPr>
              <w:spacing w:beforeLines="0" w:afterLines="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□B有方案讲解演示：</w:t>
            </w:r>
          </w:p>
          <w:p w14:paraId="53E01D7B">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（1）在评标时安排每个供应商进行方案讲解演示。每个供应商时间不超过</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lang w:val="zh-CN"/>
              </w:rPr>
              <w:t>分钟（编制时可根据项目情况进行调整），讲解次序以磋商响应文件解密时间先后次序为准。讲解演示结束后按要求解答评标委员会提问。</w:t>
            </w:r>
          </w:p>
          <w:p w14:paraId="32BA9D81">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（2）方案讲解演示可选择以下其中一种方式：</w:t>
            </w:r>
          </w:p>
          <w:p w14:paraId="632B79FD">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方式一：政采云平台在线讲解演示。政采云平台在线讲解需供应商根据政采云平台操作要求做好准备工作，提前完善软硬件配置环境。</w:t>
            </w:r>
          </w:p>
          <w:p w14:paraId="29C048A5">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方式二：现场讲解演示。现场讲解地点为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3</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highlight w:val="none"/>
                <w:lang w:val="zh-CN"/>
              </w:rPr>
              <w:t>讲解演示所用电脑等设备由供应商自备。现场讲解演示人员进场时提供讲解人员名单（加盖公章或授权代表签名）及身份证明，否则不得讲解演示。</w:t>
            </w:r>
          </w:p>
          <w:p w14:paraId="31F6BF6E">
            <w:pPr>
              <w:spacing w:line="336" w:lineRule="auto"/>
              <w:rPr>
                <w:rFonts w:ascii="仿宋" w:hAnsi="仿宋" w:eastAsia="仿宋" w:cs="仿宋"/>
                <w:sz w:val="24"/>
                <w:highlight w:val="none"/>
              </w:rPr>
            </w:pPr>
            <w:r>
              <w:rPr>
                <w:rFonts w:hint="eastAsia" w:ascii="仿宋" w:hAnsi="仿宋" w:eastAsia="仿宋" w:cs="仿宋"/>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1D1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1AD8505">
            <w:pPr>
              <w:spacing w:line="336" w:lineRule="auto"/>
              <w:jc w:val="center"/>
              <w:rPr>
                <w:rFonts w:ascii="仿宋" w:hAnsi="仿宋" w:eastAsia="仿宋" w:cs="仿宋"/>
                <w:sz w:val="24"/>
              </w:rPr>
            </w:pPr>
            <w:r>
              <w:rPr>
                <w:rFonts w:hint="eastAsia" w:ascii="仿宋" w:hAnsi="仿宋" w:eastAsia="仿宋" w:cs="仿宋"/>
                <w:sz w:val="24"/>
              </w:rPr>
              <w:t>11</w:t>
            </w:r>
          </w:p>
        </w:tc>
        <w:tc>
          <w:tcPr>
            <w:tcW w:w="855" w:type="dxa"/>
            <w:vAlign w:val="center"/>
          </w:tcPr>
          <w:p w14:paraId="0377A56A">
            <w:pPr>
              <w:snapToGrid w:val="0"/>
              <w:spacing w:line="336" w:lineRule="auto"/>
              <w:jc w:val="center"/>
              <w:rPr>
                <w:rFonts w:ascii="仿宋" w:hAnsi="仿宋" w:eastAsia="仿宋" w:cs="仿宋"/>
                <w:b/>
                <w:sz w:val="24"/>
              </w:rPr>
            </w:pPr>
            <w:r>
              <w:rPr>
                <w:rFonts w:hint="eastAsia" w:ascii="仿宋" w:hAnsi="仿宋" w:eastAsia="仿宋" w:cs="仿宋"/>
                <w:b/>
                <w:sz w:val="24"/>
              </w:rPr>
              <w:t>进口产品</w:t>
            </w:r>
          </w:p>
        </w:tc>
        <w:tc>
          <w:tcPr>
            <w:tcW w:w="7516" w:type="dxa"/>
            <w:vAlign w:val="center"/>
          </w:tcPr>
          <w:p w14:paraId="450F82EF">
            <w:pPr>
              <w:spacing w:line="336" w:lineRule="auto"/>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本项目不允许采购进口产品。</w:t>
            </w:r>
          </w:p>
          <w:p w14:paraId="3163A569">
            <w:pPr>
              <w:snapToGrid w:val="0"/>
              <w:spacing w:line="336" w:lineRule="auto"/>
              <w:rPr>
                <w:rFonts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798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5408A0DC">
            <w:pPr>
              <w:spacing w:line="336" w:lineRule="auto"/>
              <w:jc w:val="center"/>
              <w:rPr>
                <w:rFonts w:ascii="仿宋" w:hAnsi="仿宋" w:eastAsia="仿宋" w:cs="仿宋"/>
                <w:sz w:val="24"/>
              </w:rPr>
            </w:pPr>
            <w:r>
              <w:rPr>
                <w:rFonts w:hint="eastAsia" w:ascii="仿宋" w:hAnsi="仿宋" w:eastAsia="仿宋" w:cs="仿宋"/>
                <w:sz w:val="24"/>
              </w:rPr>
              <w:t>12</w:t>
            </w:r>
          </w:p>
        </w:tc>
        <w:tc>
          <w:tcPr>
            <w:tcW w:w="855" w:type="dxa"/>
            <w:vAlign w:val="center"/>
          </w:tcPr>
          <w:p w14:paraId="0B03DC3B">
            <w:pPr>
              <w:snapToGrid w:val="0"/>
              <w:spacing w:line="336" w:lineRule="auto"/>
              <w:ind w:left="14" w:hanging="14" w:hangingChars="7"/>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516" w:type="dxa"/>
            <w:vAlign w:val="center"/>
          </w:tcPr>
          <w:p w14:paraId="18D5B599">
            <w:pPr>
              <w:spacing w:line="336" w:lineRule="auto"/>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3D5D90C1">
            <w:pPr>
              <w:snapToGrid w:val="0"/>
              <w:spacing w:line="336" w:lineRule="auto"/>
              <w:rPr>
                <w:rFonts w:ascii="仿宋" w:hAnsi="仿宋" w:eastAsia="仿宋" w:cs="仿宋"/>
                <w:sz w:val="24"/>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14:paraId="66C4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55AB47C2">
            <w:pPr>
              <w:spacing w:line="336" w:lineRule="auto"/>
              <w:jc w:val="center"/>
              <w:rPr>
                <w:rFonts w:ascii="仿宋" w:hAnsi="仿宋" w:eastAsia="仿宋" w:cs="仿宋"/>
                <w:sz w:val="24"/>
              </w:rPr>
            </w:pPr>
            <w:r>
              <w:rPr>
                <w:rFonts w:hint="eastAsia" w:ascii="仿宋" w:hAnsi="仿宋" w:eastAsia="仿宋" w:cs="仿宋"/>
                <w:sz w:val="24"/>
              </w:rPr>
              <w:t>13</w:t>
            </w:r>
          </w:p>
        </w:tc>
        <w:tc>
          <w:tcPr>
            <w:tcW w:w="855" w:type="dxa"/>
            <w:vAlign w:val="center"/>
          </w:tcPr>
          <w:p w14:paraId="71D15F7C">
            <w:pPr>
              <w:snapToGrid w:val="0"/>
              <w:spacing w:line="336" w:lineRule="auto"/>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6" w:type="dxa"/>
            <w:vAlign w:val="center"/>
          </w:tcPr>
          <w:p w14:paraId="6BDDE121">
            <w:pPr>
              <w:numPr>
                <w:ilvl w:val="0"/>
                <w:numId w:val="0"/>
              </w:numPr>
              <w:snapToGrid w:val="0"/>
              <w:spacing w:line="336" w:lineRule="auto"/>
              <w:rPr>
                <w:rFonts w:hint="eastAsia" w:ascii="仿宋" w:hAnsi="仿宋" w:eastAsia="仿宋" w:cs="仿宋"/>
                <w:kern w:val="0"/>
                <w:sz w:val="24"/>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rPr>
              <w:t>标的：</w:t>
            </w:r>
            <w:r>
              <w:rPr>
                <w:rFonts w:hint="eastAsia" w:ascii="仿宋" w:hAnsi="仿宋" w:eastAsia="仿宋" w:cs="仿宋"/>
                <w:kern w:val="0"/>
                <w:sz w:val="24"/>
                <w:u w:val="single"/>
                <w:lang w:eastAsia="zh-CN"/>
              </w:rPr>
              <w:t xml:space="preserve">中国共产党新昌县委员会组织部优秀公务员健康休养服务采购项目 </w:t>
            </w:r>
            <w:r>
              <w:rPr>
                <w:rFonts w:hint="eastAsia" w:ascii="仿宋" w:hAnsi="仿宋" w:eastAsia="仿宋" w:cs="仿宋"/>
                <w:kern w:val="0"/>
                <w:sz w:val="24"/>
              </w:rPr>
              <w:t>，属于</w:t>
            </w:r>
            <w:r>
              <w:rPr>
                <w:rFonts w:hint="eastAsia" w:ascii="仿宋" w:hAnsi="仿宋" w:eastAsia="仿宋" w:cs="仿宋"/>
                <w:kern w:val="0"/>
                <w:sz w:val="24"/>
                <w:u w:val="single"/>
              </w:rPr>
              <w:t>租赁和商务服务业</w:t>
            </w:r>
            <w:r>
              <w:rPr>
                <w:rFonts w:hint="eastAsia" w:ascii="仿宋" w:hAnsi="仿宋" w:eastAsia="仿宋" w:cs="仿宋"/>
                <w:kern w:val="0"/>
                <w:sz w:val="24"/>
              </w:rPr>
              <w:t>行业；</w:t>
            </w:r>
          </w:p>
          <w:p w14:paraId="4E1B639A">
            <w:pPr>
              <w:numPr>
                <w:ilvl w:val="0"/>
                <w:numId w:val="0"/>
              </w:numPr>
              <w:snapToGrid w:val="0"/>
              <w:spacing w:line="336" w:lineRule="auto"/>
              <w:rPr>
                <w:rFonts w:hint="eastAsia" w:ascii="仿宋" w:hAnsi="仿宋" w:eastAsia="仿宋" w:cs="仿宋"/>
                <w:kern w:val="0"/>
                <w:sz w:val="24"/>
              </w:rPr>
            </w:pPr>
            <w:r>
              <w:rPr>
                <w:rFonts w:hint="eastAsia" w:ascii="仿宋" w:hAnsi="仿宋" w:eastAsia="仿宋" w:cs="仿宋"/>
                <w:kern w:val="0"/>
                <w:sz w:val="24"/>
                <w:szCs w:val="24"/>
                <w:lang w:val="en-US" w:eastAsia="zh-CN" w:bidi="ar-SA"/>
              </w:rPr>
              <w:t>（2）</w:t>
            </w:r>
            <w:r>
              <w:rPr>
                <w:rFonts w:hint="eastAsia" w:ascii="仿宋" w:hAnsi="仿宋" w:eastAsia="仿宋" w:cs="仿宋"/>
                <w:kern w:val="0"/>
                <w:sz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91FE7E">
            <w:pPr>
              <w:numPr>
                <w:ilvl w:val="0"/>
                <w:numId w:val="0"/>
              </w:numPr>
              <w:snapToGrid w:val="0"/>
              <w:spacing w:line="336" w:lineRule="auto"/>
              <w:rPr>
                <w:rFonts w:ascii="仿宋" w:hAnsi="仿宋" w:eastAsia="仿宋" w:cs="仿宋"/>
              </w:rPr>
            </w:pPr>
            <w:r>
              <w:rPr>
                <w:rFonts w:hint="eastAsia" w:ascii="仿宋" w:hAnsi="仿宋" w:eastAsia="仿宋" w:cs="仿宋"/>
                <w:kern w:val="0"/>
                <w:sz w:val="24"/>
              </w:rPr>
              <w:t>说明：声明函中所列行业与采购文件所明确的行业不一致但不改变划型结果情形的，不影响声明有效性，也不作为虚假资料情形认定。</w:t>
            </w:r>
          </w:p>
        </w:tc>
      </w:tr>
      <w:tr w14:paraId="48FB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0BE0EFC7">
            <w:pPr>
              <w:spacing w:line="336" w:lineRule="auto"/>
              <w:jc w:val="center"/>
              <w:rPr>
                <w:rFonts w:ascii="仿宋" w:hAnsi="仿宋" w:eastAsia="仿宋" w:cs="仿宋"/>
                <w:sz w:val="24"/>
              </w:rPr>
            </w:pPr>
            <w:r>
              <w:rPr>
                <w:rFonts w:hint="eastAsia" w:ascii="仿宋" w:hAnsi="仿宋" w:eastAsia="仿宋" w:cs="仿宋"/>
                <w:sz w:val="24"/>
              </w:rPr>
              <w:t>14</w:t>
            </w:r>
          </w:p>
        </w:tc>
        <w:tc>
          <w:tcPr>
            <w:tcW w:w="855" w:type="dxa"/>
            <w:vMerge w:val="restart"/>
            <w:vAlign w:val="center"/>
          </w:tcPr>
          <w:p w14:paraId="3A2A7513">
            <w:pPr>
              <w:snapToGrid w:val="0"/>
              <w:spacing w:line="336" w:lineRule="auto"/>
              <w:rPr>
                <w:rFonts w:ascii="仿宋" w:hAnsi="仿宋" w:eastAsia="仿宋" w:cs="仿宋"/>
                <w:b/>
                <w:sz w:val="24"/>
              </w:rPr>
            </w:pPr>
            <w:r>
              <w:rPr>
                <w:rFonts w:hint="eastAsia" w:ascii="仿宋" w:hAnsi="仿宋" w:eastAsia="仿宋" w:cs="仿宋"/>
                <w:b/>
                <w:sz w:val="24"/>
              </w:rPr>
              <w:t>供应商信用信息事项</w:t>
            </w:r>
          </w:p>
        </w:tc>
        <w:tc>
          <w:tcPr>
            <w:tcW w:w="7516" w:type="dxa"/>
            <w:vAlign w:val="center"/>
          </w:tcPr>
          <w:p w14:paraId="34D112BF">
            <w:pPr>
              <w:snapToGrid w:val="0"/>
              <w:spacing w:line="336" w:lineRule="auto"/>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14:paraId="3AC5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03A2E12D">
            <w:pPr>
              <w:spacing w:line="336" w:lineRule="auto"/>
              <w:jc w:val="center"/>
              <w:rPr>
                <w:rFonts w:ascii="仿宋" w:hAnsi="仿宋" w:eastAsia="仿宋" w:cs="仿宋"/>
                <w:sz w:val="24"/>
              </w:rPr>
            </w:pPr>
          </w:p>
        </w:tc>
        <w:tc>
          <w:tcPr>
            <w:tcW w:w="855" w:type="dxa"/>
            <w:vMerge w:val="continue"/>
            <w:vAlign w:val="center"/>
          </w:tcPr>
          <w:p w14:paraId="4A9807C2">
            <w:pPr>
              <w:snapToGrid w:val="0"/>
              <w:spacing w:line="336" w:lineRule="auto"/>
              <w:rPr>
                <w:rFonts w:ascii="仿宋" w:hAnsi="仿宋" w:eastAsia="仿宋" w:cs="仿宋"/>
                <w:b/>
                <w:sz w:val="24"/>
              </w:rPr>
            </w:pPr>
          </w:p>
        </w:tc>
        <w:tc>
          <w:tcPr>
            <w:tcW w:w="7516" w:type="dxa"/>
            <w:vAlign w:val="center"/>
          </w:tcPr>
          <w:p w14:paraId="39080B43">
            <w:pPr>
              <w:snapToGrid w:val="0"/>
              <w:spacing w:line="336" w:lineRule="auto"/>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14:paraId="769F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4B632DB2">
            <w:pPr>
              <w:spacing w:line="336" w:lineRule="auto"/>
              <w:jc w:val="center"/>
              <w:rPr>
                <w:rFonts w:ascii="仿宋" w:hAnsi="仿宋" w:eastAsia="仿宋" w:cs="仿宋"/>
                <w:sz w:val="24"/>
              </w:rPr>
            </w:pPr>
          </w:p>
        </w:tc>
        <w:tc>
          <w:tcPr>
            <w:tcW w:w="855" w:type="dxa"/>
            <w:vMerge w:val="continue"/>
            <w:vAlign w:val="center"/>
          </w:tcPr>
          <w:p w14:paraId="4329852A">
            <w:pPr>
              <w:snapToGrid w:val="0"/>
              <w:spacing w:line="336" w:lineRule="auto"/>
              <w:rPr>
                <w:rFonts w:ascii="仿宋" w:hAnsi="仿宋" w:eastAsia="仿宋" w:cs="仿宋"/>
                <w:b/>
                <w:sz w:val="24"/>
              </w:rPr>
            </w:pPr>
          </w:p>
        </w:tc>
        <w:tc>
          <w:tcPr>
            <w:tcW w:w="7516" w:type="dxa"/>
            <w:vAlign w:val="center"/>
          </w:tcPr>
          <w:p w14:paraId="1B516D84">
            <w:pPr>
              <w:snapToGrid w:val="0"/>
              <w:spacing w:line="336" w:lineRule="auto"/>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14:paraId="1B5F545F">
            <w:pPr>
              <w:snapToGrid w:val="0"/>
              <w:spacing w:line="336" w:lineRule="auto"/>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334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FFCA228">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p>
        </w:tc>
        <w:tc>
          <w:tcPr>
            <w:tcW w:w="8371" w:type="dxa"/>
            <w:gridSpan w:val="2"/>
            <w:vAlign w:val="center"/>
          </w:tcPr>
          <w:p w14:paraId="458BFA1F">
            <w:pPr>
              <w:snapToGrid w:val="0"/>
              <w:spacing w:line="336" w:lineRule="auto"/>
              <w:rPr>
                <w:rFonts w:ascii="仿宋" w:hAnsi="仿宋" w:eastAsia="仿宋" w:cs="仿宋"/>
                <w:sz w:val="24"/>
                <w:highlight w:val="none"/>
              </w:rPr>
            </w:pPr>
            <w:r>
              <w:rPr>
                <w:rFonts w:hint="eastAsia" w:ascii="仿宋" w:hAnsi="仿宋" w:eastAsia="仿宋" w:cs="仿宋"/>
                <w:sz w:val="24"/>
                <w:highlight w:val="none"/>
              </w:rPr>
              <w:t>需要落实的政府采购政策：包括保护环境、节约能源、促进中小企业发展等。详见磋商文件第二部分总则。</w:t>
            </w:r>
          </w:p>
        </w:tc>
      </w:tr>
      <w:tr w14:paraId="7CB7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5283FF9B">
            <w:pPr>
              <w:spacing w:line="336" w:lineRule="auto"/>
              <w:jc w:val="cente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p>
        </w:tc>
        <w:tc>
          <w:tcPr>
            <w:tcW w:w="8371" w:type="dxa"/>
            <w:gridSpan w:val="2"/>
            <w:vAlign w:val="center"/>
          </w:tcPr>
          <w:p w14:paraId="70E3AC8B">
            <w:pPr>
              <w:snapToGrid w:val="0"/>
              <w:spacing w:line="336" w:lineRule="auto"/>
              <w:rPr>
                <w:rFonts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2D70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38C1651">
            <w:pPr>
              <w:spacing w:line="336" w:lineRule="auto"/>
              <w:jc w:val="cente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p>
        </w:tc>
        <w:tc>
          <w:tcPr>
            <w:tcW w:w="8371" w:type="dxa"/>
            <w:gridSpan w:val="2"/>
            <w:vAlign w:val="center"/>
          </w:tcPr>
          <w:p w14:paraId="7476FC83">
            <w:pPr>
              <w:snapToGrid w:val="0"/>
              <w:spacing w:line="336" w:lineRule="auto"/>
              <w:rPr>
                <w:rFonts w:ascii="仿宋" w:hAnsi="仿宋" w:eastAsia="仿宋" w:cs="仿宋"/>
                <w:sz w:val="24"/>
              </w:rPr>
            </w:pPr>
            <w:r>
              <w:rPr>
                <w:rFonts w:hint="eastAsia" w:ascii="仿宋" w:hAnsi="仿宋" w:eastAsia="仿宋" w:cs="仿宋"/>
                <w:sz w:val="24"/>
              </w:rPr>
              <w:t>磋商注意事项：</w:t>
            </w:r>
          </w:p>
          <w:p w14:paraId="3ADFB592">
            <w:pPr>
              <w:snapToGrid w:val="0"/>
              <w:spacing w:line="336" w:lineRule="auto"/>
              <w:rPr>
                <w:rFonts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508F5DBF">
            <w:pPr>
              <w:snapToGrid w:val="0"/>
              <w:spacing w:line="336" w:lineRule="auto"/>
              <w:rPr>
                <w:rFonts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969B3D">
            <w:pPr>
              <w:snapToGrid w:val="0"/>
              <w:spacing w:line="336" w:lineRule="auto"/>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14F2C161">
            <w:pPr>
              <w:snapToGrid w:val="0"/>
              <w:spacing w:line="336" w:lineRule="auto"/>
              <w:rPr>
                <w:rFonts w:ascii="仿宋" w:hAnsi="仿宋" w:eastAsia="仿宋" w:cs="仿宋"/>
                <w:sz w:val="24"/>
              </w:rPr>
            </w:pPr>
            <w:r>
              <w:rPr>
                <w:rFonts w:hint="eastAsia" w:ascii="仿宋" w:hAnsi="仿宋" w:eastAsia="仿宋" w:cs="仿宋"/>
                <w:sz w:val="24"/>
              </w:rPr>
              <w:t>3.磋商响应文件制作、递交、解密：</w:t>
            </w:r>
          </w:p>
          <w:p w14:paraId="2DD89FDA">
            <w:pPr>
              <w:snapToGrid w:val="0"/>
              <w:spacing w:line="336" w:lineRule="auto"/>
              <w:rPr>
                <w:rFonts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14:paraId="657A8929">
            <w:pPr>
              <w:snapToGrid w:val="0"/>
              <w:spacing w:line="336" w:lineRule="auto"/>
              <w:jc w:val="left"/>
              <w:rPr>
                <w:rFonts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3E2FD6F7">
            <w:pPr>
              <w:snapToGrid w:val="0"/>
              <w:spacing w:line="336" w:lineRule="auto"/>
              <w:rPr>
                <w:rFonts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视为磋商响应文件撤回</w:t>
            </w:r>
            <w:r>
              <w:rPr>
                <w:rFonts w:hint="eastAsia" w:ascii="仿宋" w:hAnsi="仿宋" w:eastAsia="仿宋" w:cs="仿宋"/>
                <w:sz w:val="24"/>
              </w:rPr>
              <w:t>。</w:t>
            </w:r>
          </w:p>
        </w:tc>
      </w:tr>
      <w:tr w14:paraId="5C85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76F2D376">
            <w:pPr>
              <w:spacing w:line="336" w:lineRule="auto"/>
              <w:jc w:val="cente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p>
        </w:tc>
        <w:tc>
          <w:tcPr>
            <w:tcW w:w="8371" w:type="dxa"/>
            <w:gridSpan w:val="2"/>
            <w:vAlign w:val="center"/>
          </w:tcPr>
          <w:p w14:paraId="5C1D0E46">
            <w:pPr>
              <w:spacing w:line="336" w:lineRule="auto"/>
              <w:rPr>
                <w:rFonts w:ascii="仿宋" w:hAnsi="仿宋" w:eastAsia="仿宋" w:cs="仿宋"/>
                <w:b/>
                <w:sz w:val="24"/>
              </w:rPr>
            </w:pPr>
            <w:r>
              <w:rPr>
                <w:rFonts w:hint="eastAsia" w:ascii="仿宋" w:hAnsi="仿宋" w:eastAsia="仿宋" w:cs="仿宋"/>
                <w:b/>
                <w:sz w:val="24"/>
              </w:rPr>
              <w:t>特别说明：</w:t>
            </w:r>
          </w:p>
          <w:p w14:paraId="6A921368">
            <w:pPr>
              <w:spacing w:line="336" w:lineRule="auto"/>
              <w:rPr>
                <w:rFonts w:ascii="仿宋" w:hAnsi="仿宋" w:eastAsia="仿宋" w:cs="仿宋"/>
                <w:sz w:val="24"/>
              </w:rPr>
            </w:pPr>
            <w:r>
              <w:rPr>
                <w:rFonts w:hint="eastAsia" w:ascii="仿宋" w:hAnsi="仿宋" w:eastAsia="仿宋" w:cs="仿宋"/>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7215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458DC8DD">
            <w:pPr>
              <w:spacing w:line="336" w:lineRule="auto"/>
              <w:jc w:val="center"/>
              <w:rPr>
                <w:rFonts w:ascii="仿宋" w:hAnsi="仿宋" w:eastAsia="仿宋" w:cs="仿宋"/>
                <w:sz w:val="24"/>
              </w:rPr>
            </w:pPr>
          </w:p>
        </w:tc>
        <w:tc>
          <w:tcPr>
            <w:tcW w:w="8371" w:type="dxa"/>
            <w:gridSpan w:val="2"/>
            <w:vAlign w:val="center"/>
          </w:tcPr>
          <w:p w14:paraId="3DC094E5">
            <w:pPr>
              <w:spacing w:line="336" w:lineRule="auto"/>
              <w:rPr>
                <w:rFonts w:ascii="仿宋" w:hAnsi="仿宋" w:eastAsia="仿宋" w:cs="仿宋"/>
                <w:snapToGrid w:val="0"/>
                <w:kern w:val="28"/>
                <w:sz w:val="24"/>
              </w:rPr>
            </w:pPr>
            <w:r>
              <w:rPr>
                <w:rFonts w:hint="eastAsia" w:ascii="仿宋" w:hAnsi="仿宋" w:eastAsia="仿宋" w:cs="仿宋"/>
                <w:kern w:val="0"/>
                <w:sz w:val="24"/>
                <w:lang w:eastAsia="zh-CN"/>
              </w:rPr>
              <w:t>□</w:t>
            </w:r>
            <w:r>
              <w:rPr>
                <w:rFonts w:hint="eastAsia" w:ascii="仿宋" w:hAnsi="仿宋" w:eastAsia="仿宋" w:cs="仿宋"/>
                <w:snapToGrid w:val="0"/>
                <w:kern w:val="28"/>
                <w:sz w:val="24"/>
              </w:rPr>
              <w:t>联合体磋商的，联合体各方均需按磋商文件第五部分评审标准要求提供资信证明文件，否则视为不符合相关要求。</w:t>
            </w:r>
          </w:p>
          <w:p w14:paraId="2C6625B1">
            <w:pPr>
              <w:spacing w:line="336" w:lineRule="auto"/>
              <w:rPr>
                <w:rFonts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联合体磋商的，联合体中有一方或者联合体成员根据分工按磋商文件第五部分评审标准要求提供资信证明文件的，视为符合了相关要求。</w:t>
            </w:r>
          </w:p>
        </w:tc>
      </w:tr>
      <w:tr w14:paraId="2E77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17DA718A">
            <w:pPr>
              <w:snapToGrid w:val="0"/>
              <w:spacing w:line="336" w:lineRule="auto"/>
              <w:jc w:val="center"/>
              <w:rPr>
                <w:rFonts w:ascii="仿宋" w:hAnsi="仿宋" w:eastAsia="仿宋" w:cs="仿宋"/>
                <w:sz w:val="24"/>
              </w:rPr>
            </w:pPr>
            <w:r>
              <w:rPr>
                <w:rFonts w:hint="eastAsia" w:ascii="仿宋" w:hAnsi="仿宋" w:eastAsia="仿宋" w:cs="仿宋"/>
                <w:sz w:val="24"/>
                <w:lang w:val="en-US" w:eastAsia="zh-CN"/>
              </w:rPr>
              <w:t>19</w:t>
            </w:r>
          </w:p>
        </w:tc>
        <w:tc>
          <w:tcPr>
            <w:tcW w:w="8371" w:type="dxa"/>
            <w:gridSpan w:val="2"/>
            <w:vAlign w:val="center"/>
          </w:tcPr>
          <w:p w14:paraId="7450304E">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708D3A85">
            <w:pPr>
              <w:spacing w:line="440" w:lineRule="exact"/>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highlight w:val="none"/>
                <w:lang w:eastAsia="zh-CN"/>
              </w:rPr>
              <w:t>①</w:t>
            </w:r>
            <w:r>
              <w:rPr>
                <w:rFonts w:hint="eastAsia" w:ascii="仿宋" w:hAnsi="仿宋" w:eastAsia="仿宋" w:cs="仿宋"/>
                <w:snapToGrid w:val="0"/>
                <w:color w:val="auto"/>
                <w:kern w:val="28"/>
                <w:sz w:val="24"/>
                <w:highlight w:val="none"/>
              </w:rPr>
              <w:t>本项目代理服务费按</w:t>
            </w:r>
            <w:r>
              <w:rPr>
                <w:rFonts w:hint="eastAsia" w:ascii="仿宋" w:hAnsi="仿宋" w:eastAsia="仿宋" w:cs="仿宋"/>
                <w:snapToGrid w:val="0"/>
                <w:color w:val="auto"/>
                <w:kern w:val="28"/>
                <w:sz w:val="24"/>
                <w:highlight w:val="none"/>
                <w:lang w:eastAsia="zh-CN"/>
              </w:rPr>
              <w:t>标项一：</w:t>
            </w:r>
            <w:r>
              <w:rPr>
                <w:rFonts w:hint="eastAsia" w:ascii="仿宋" w:hAnsi="仿宋" w:eastAsia="仿宋" w:cs="仿宋"/>
                <w:snapToGrid w:val="0"/>
                <w:color w:val="auto"/>
                <w:kern w:val="28"/>
                <w:sz w:val="24"/>
                <w:highlight w:val="none"/>
                <w:lang w:val="en-US" w:eastAsia="zh-CN"/>
              </w:rPr>
              <w:t>7500元、标项二：7500元、标项三：7500元</w:t>
            </w:r>
            <w:r>
              <w:rPr>
                <w:rFonts w:hint="eastAsia" w:ascii="仿宋" w:hAnsi="仿宋" w:eastAsia="仿宋" w:cs="仿宋"/>
                <w:snapToGrid w:val="0"/>
                <w:color w:val="auto"/>
                <w:kern w:val="28"/>
                <w:sz w:val="24"/>
                <w:highlight w:val="none"/>
              </w:rPr>
              <w:t>收取</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在领取中标通知书前由中标单位一次性向采购代理机构付清</w:t>
            </w:r>
            <w:r>
              <w:rPr>
                <w:rFonts w:hint="eastAsia" w:ascii="仿宋" w:hAnsi="仿宋" w:eastAsia="仿宋" w:cs="仿宋"/>
                <w:snapToGrid w:val="0"/>
                <w:color w:val="auto"/>
                <w:kern w:val="28"/>
                <w:sz w:val="24"/>
                <w:highlight w:val="none"/>
                <w:lang w:eastAsia="zh-CN"/>
              </w:rPr>
              <w:t>。</w:t>
            </w:r>
          </w:p>
          <w:p w14:paraId="31D75540">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②用银行支票、电汇、现金等付款方式直接交纳代理服务费。</w:t>
            </w:r>
          </w:p>
          <w:p w14:paraId="0F3B88DC">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 绍兴平准招标代理有限公司</w:t>
            </w:r>
          </w:p>
          <w:p w14:paraId="4F3945BF">
            <w:pPr>
              <w:spacing w:line="440" w:lineRule="exac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开户银行：建设银行嵊州新城支行</w:t>
            </w:r>
          </w:p>
          <w:p w14:paraId="47CE317B">
            <w:pPr>
              <w:spacing w:line="440" w:lineRule="exact"/>
              <w:rPr>
                <w:rFonts w:ascii="仿宋" w:hAnsi="仿宋" w:eastAsia="仿宋" w:cs="仿宋"/>
              </w:rPr>
            </w:pPr>
            <w:r>
              <w:rPr>
                <w:rFonts w:hint="eastAsia" w:ascii="仿宋" w:hAnsi="仿宋" w:eastAsia="仿宋" w:cs="仿宋"/>
                <w:snapToGrid w:val="0"/>
                <w:color w:val="auto"/>
                <w:kern w:val="28"/>
                <w:sz w:val="24"/>
              </w:rPr>
              <w:t>银行账号：33050165655009888888</w:t>
            </w:r>
          </w:p>
        </w:tc>
      </w:tr>
      <w:tr w14:paraId="4FEA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DCDFC96">
            <w:pPr>
              <w:spacing w:line="336" w:lineRule="auto"/>
              <w:rPr>
                <w:rFonts w:ascii="仿宋" w:hAnsi="仿宋" w:eastAsia="仿宋" w:cs="仿宋"/>
                <w:sz w:val="24"/>
              </w:rPr>
            </w:pPr>
            <w:r>
              <w:rPr>
                <w:rFonts w:hint="eastAsia" w:ascii="仿宋" w:hAnsi="仿宋" w:eastAsia="仿宋" w:cs="仿宋"/>
                <w:sz w:val="24"/>
              </w:rPr>
              <w:t>解释：凡涉及本磋商文件的解释权属于采购人。</w:t>
            </w:r>
          </w:p>
        </w:tc>
      </w:tr>
      <w:tr w14:paraId="723C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55255B3">
            <w:pPr>
              <w:spacing w:line="336" w:lineRule="auto"/>
              <w:rPr>
                <w:rFonts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w:t>
            </w:r>
          </w:p>
        </w:tc>
      </w:tr>
    </w:tbl>
    <w:p w14:paraId="41965FE9">
      <w:pPr>
        <w:snapToGrid w:val="0"/>
        <w:spacing w:line="336" w:lineRule="auto"/>
        <w:jc w:val="center"/>
        <w:rPr>
          <w:rFonts w:ascii="仿宋" w:hAnsi="仿宋" w:eastAsia="仿宋" w:cs="仿宋"/>
          <w:b/>
          <w:sz w:val="32"/>
          <w:szCs w:val="20"/>
        </w:rPr>
      </w:pPr>
    </w:p>
    <w:p w14:paraId="55502459">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2D34AA0E">
      <w:pPr>
        <w:snapToGrid w:val="0"/>
        <w:spacing w:line="336" w:lineRule="auto"/>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14:paraId="0A263C65">
      <w:pPr>
        <w:snapToGrid w:val="0"/>
        <w:spacing w:line="336" w:lineRule="auto"/>
        <w:ind w:firstLine="480" w:firstLineChars="200"/>
        <w:jc w:val="left"/>
        <w:rPr>
          <w:rFonts w:ascii="仿宋" w:hAnsi="仿宋" w:eastAsia="仿宋" w:cs="仿宋"/>
          <w:szCs w:val="24"/>
          <w:highlight w:val="yellow"/>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3C6B451">
      <w:pPr>
        <w:adjustRightInd/>
        <w:spacing w:line="336"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14:paraId="7E95C1D1">
      <w:pPr>
        <w:spacing w:line="336"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2BA94309">
      <w:pPr>
        <w:spacing w:line="336"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4B752992">
      <w:pPr>
        <w:spacing w:line="336" w:lineRule="auto"/>
        <w:ind w:firstLine="480" w:firstLineChars="200"/>
        <w:rPr>
          <w:rFonts w:ascii="仿宋" w:hAnsi="仿宋" w:eastAsia="仿宋" w:cs="仿宋"/>
          <w:sz w:val="24"/>
        </w:rPr>
      </w:pPr>
      <w:r>
        <w:rPr>
          <w:rFonts w:hint="eastAsia" w:ascii="仿宋" w:hAnsi="仿宋" w:eastAsia="仿宋" w:cs="仿宋"/>
          <w:sz w:val="24"/>
        </w:rPr>
        <w:t>2.3 “投标人”</w:t>
      </w:r>
      <w:r>
        <w:rPr>
          <w:rFonts w:hint="eastAsia" w:ascii="仿宋" w:hAnsi="仿宋" w:eastAsia="仿宋" w:cs="仿宋"/>
          <w:sz w:val="24"/>
          <w:highlight w:val="none"/>
        </w:rPr>
        <w:t>“供应商”系</w:t>
      </w:r>
      <w:r>
        <w:rPr>
          <w:rFonts w:hint="eastAsia" w:ascii="仿宋" w:hAnsi="仿宋" w:eastAsia="仿宋" w:cs="仿宋"/>
          <w:sz w:val="24"/>
        </w:rPr>
        <w:t>指响应磋商、参加本次竞争的法人、其他组织或自然人。</w:t>
      </w:r>
    </w:p>
    <w:p w14:paraId="4FF336F2">
      <w:pPr>
        <w:spacing w:line="336" w:lineRule="auto"/>
        <w:ind w:firstLine="480" w:firstLineChars="200"/>
        <w:rPr>
          <w:rFonts w:hint="eastAsia" w:ascii="仿宋" w:hAnsi="仿宋" w:eastAsia="仿宋" w:cs="仿宋"/>
          <w:sz w:val="24"/>
          <w:lang w:eastAsia="zh-CN"/>
        </w:rPr>
      </w:pPr>
      <w:r>
        <w:rPr>
          <w:rFonts w:hint="eastAsia" w:ascii="仿宋" w:hAnsi="仿宋" w:eastAsia="仿宋" w:cs="仿宋"/>
          <w:sz w:val="24"/>
        </w:rPr>
        <w:t>2.4“监督单位”系指磋商邀请公告中载明的本项目的法定监督管理部门</w:t>
      </w:r>
      <w:r>
        <w:rPr>
          <w:rFonts w:hint="eastAsia" w:ascii="仿宋" w:hAnsi="仿宋" w:eastAsia="仿宋" w:cs="仿宋"/>
          <w:sz w:val="24"/>
          <w:lang w:eastAsia="zh-CN"/>
        </w:rPr>
        <w:t>。</w:t>
      </w:r>
    </w:p>
    <w:p w14:paraId="5D1B88C4">
      <w:pPr>
        <w:spacing w:line="336" w:lineRule="auto"/>
        <w:ind w:firstLine="480" w:firstLineChars="200"/>
        <w:rPr>
          <w:rFonts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14:paraId="4D3A0A2C">
      <w:pPr>
        <w:spacing w:line="336"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sz w:val="24"/>
          <w:lang w:val="en-US" w:eastAsia="zh-CN"/>
        </w:rPr>
        <w:t xml:space="preserve">  </w:t>
      </w:r>
    </w:p>
    <w:p w14:paraId="3BD9EB79">
      <w:pPr>
        <w:spacing w:line="336"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“电子交易平台”系指本项目政府采购活动所依托的政府采购云平台（</w:t>
      </w:r>
      <w:r>
        <w:fldChar w:fldCharType="begin"/>
      </w:r>
      <w:r>
        <w:instrText xml:space="preserve"> HYPERLINK "https://www.zcygov.cn/" </w:instrText>
      </w:r>
      <w: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023F8DBC">
      <w:pPr>
        <w:spacing w:line="336"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系指实质性指标要求条款，“▲”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lang w:eastAsia="zh-CN"/>
        </w:rPr>
        <w:t>☑</w:t>
      </w:r>
      <w:r>
        <w:rPr>
          <w:rFonts w:hint="eastAsia" w:ascii="仿宋" w:hAnsi="仿宋" w:eastAsia="仿宋" w:cs="仿宋"/>
          <w:kern w:val="0"/>
          <w:sz w:val="24"/>
        </w:rPr>
        <w:t xml:space="preserve"> </w:t>
      </w:r>
      <w:r>
        <w:rPr>
          <w:rFonts w:hint="eastAsia" w:ascii="仿宋" w:hAnsi="仿宋" w:eastAsia="仿宋" w:cs="仿宋"/>
          <w:sz w:val="24"/>
        </w:rPr>
        <w:t>”系指适用本项目的要求，“☐”系指不适用本项目的要求。</w:t>
      </w:r>
    </w:p>
    <w:p w14:paraId="6E16D5EB">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561DC774">
      <w:pPr>
        <w:spacing w:line="44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D7574D">
      <w:pPr>
        <w:spacing w:line="44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2DA72E6D">
      <w:pPr>
        <w:spacing w:line="440" w:lineRule="exact"/>
        <w:ind w:firstLine="480" w:firstLineChars="200"/>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2B6DEC86">
      <w:pPr>
        <w:spacing w:line="44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★3.2.2</w:t>
      </w:r>
      <w:r>
        <w:rPr>
          <w:rFonts w:hint="eastAsia" w:ascii="仿宋" w:hAnsi="仿宋" w:eastAsia="仿宋" w:cs="仿宋"/>
          <w:b/>
          <w:sz w:val="24"/>
          <w:highlight w:val="none"/>
        </w:rPr>
        <w:t>采购人拟采购的产品属于政府强制采购的节能产品品目清单范围的，磋商响应人未按磋商文件要求提供国家确定的认证机构出具的、处于有效期之内的节能产品认证证书，磋商无效。</w:t>
      </w:r>
    </w:p>
    <w:p w14:paraId="6444231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 纳入政府采购管理的修缮、装修类项目采购建材的，采购单位</w:t>
      </w:r>
      <w:r>
        <w:rPr>
          <w:rFonts w:hint="eastAsia" w:ascii="仿宋" w:hAnsi="仿宋" w:eastAsia="仿宋" w:cs="仿宋"/>
          <w:sz w:val="24"/>
          <w:highlight w:val="none"/>
          <w:lang w:eastAsia="zh-CN"/>
        </w:rPr>
        <w:t>应</w:t>
      </w:r>
      <w:r>
        <w:rPr>
          <w:rFonts w:hint="eastAsia" w:ascii="仿宋" w:hAnsi="仿宋" w:eastAsia="仿宋" w:cs="仿宋"/>
          <w:sz w:val="24"/>
          <w:highlight w:val="none"/>
        </w:rPr>
        <w:t>将绿色建材性能、指标等作为实质性条件纳入采购文件和合同，具体性能指标要求</w:t>
      </w:r>
      <w:r>
        <w:rPr>
          <w:rFonts w:hint="eastAsia" w:ascii="仿宋" w:hAnsi="仿宋" w:eastAsia="仿宋" w:cs="仿宋"/>
          <w:sz w:val="24"/>
          <w:highlight w:val="none"/>
          <w:lang w:eastAsia="zh-CN"/>
        </w:rPr>
        <w:t>按照</w:t>
      </w:r>
      <w:r>
        <w:rPr>
          <w:rFonts w:hint="eastAsia" w:ascii="仿宋" w:hAnsi="仿宋" w:eastAsia="仿宋" w:cs="仿宋"/>
          <w:sz w:val="24"/>
          <w:highlight w:val="none"/>
        </w:rPr>
        <w:t>相关绿色建材政府采购需求标准</w:t>
      </w:r>
      <w:r>
        <w:rPr>
          <w:rFonts w:hint="eastAsia" w:ascii="仿宋" w:hAnsi="仿宋" w:eastAsia="仿宋" w:cs="仿宋"/>
          <w:sz w:val="24"/>
          <w:highlight w:val="none"/>
          <w:lang w:eastAsia="zh-CN"/>
        </w:rPr>
        <w:t>执行</w:t>
      </w:r>
      <w:r>
        <w:rPr>
          <w:rFonts w:hint="eastAsia" w:ascii="仿宋" w:hAnsi="仿宋" w:eastAsia="仿宋" w:cs="仿宋"/>
          <w:sz w:val="24"/>
          <w:highlight w:val="none"/>
        </w:rPr>
        <w:t>。</w:t>
      </w:r>
    </w:p>
    <w:p w14:paraId="2BC80C6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BAF47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7971A72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bCs/>
          <w:sz w:val="24"/>
          <w:highlight w:val="none"/>
        </w:rPr>
        <w:t>小微</w:t>
      </w:r>
      <w:r>
        <w:rPr>
          <w:rFonts w:hint="eastAsia" w:ascii="仿宋" w:hAnsi="仿宋" w:eastAsia="仿宋" w:cs="仿宋"/>
          <w:sz w:val="24"/>
          <w:highlight w:val="none"/>
        </w:rPr>
        <w:t>企业价格扣除</w:t>
      </w:r>
      <w:r>
        <w:rPr>
          <w:rFonts w:hint="eastAsia" w:ascii="仿宋" w:hAnsi="仿宋" w:eastAsia="仿宋" w:cs="仿宋"/>
          <w:sz w:val="24"/>
          <w:highlight w:val="none"/>
          <w:lang w:eastAsia="zh-CN"/>
        </w:rPr>
        <w:t>（</w:t>
      </w:r>
      <w:r>
        <w:rPr>
          <w:rFonts w:hint="eastAsia" w:ascii="仿宋" w:hAnsi="仿宋" w:eastAsia="仿宋" w:cs="仿宋"/>
          <w:sz w:val="24"/>
          <w:highlight w:val="none"/>
        </w:rPr>
        <w:t>按财库〔2022〕19号文件规定执行</w:t>
      </w:r>
      <w:r>
        <w:rPr>
          <w:rFonts w:hint="eastAsia" w:ascii="仿宋" w:hAnsi="仿宋" w:eastAsia="仿宋" w:cs="仿宋"/>
          <w:sz w:val="24"/>
          <w:highlight w:val="none"/>
          <w:lang w:eastAsia="zh-CN"/>
        </w:rPr>
        <w:t>）</w:t>
      </w:r>
    </w:p>
    <w:p w14:paraId="6858A8E2">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3.3.1小微企业是指</w:t>
      </w:r>
      <w:r>
        <w:rPr>
          <w:rFonts w:hint="eastAsia" w:ascii="仿宋" w:hAnsi="仿宋" w:eastAsia="仿宋" w:cs="仿宋"/>
          <w:bCs/>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64F31E9D">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符合中小企业划分标准的个体工商户，在政府采购活动中视同中小企业。</w:t>
      </w:r>
    </w:p>
    <w:p w14:paraId="597375F9">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3.3.2在货物采购项目中，货物由小微企业制造，即货物由小微企业生产且使用该小微企业商号或者注册商标。</w:t>
      </w:r>
      <w:r>
        <w:rPr>
          <w:rFonts w:hint="eastAsia" w:ascii="仿宋" w:hAnsi="仿宋" w:eastAsia="仿宋" w:cs="仿宋"/>
          <w:b/>
          <w:bCs/>
          <w:sz w:val="24"/>
          <w:highlight w:val="none"/>
        </w:rPr>
        <w:t>供应商提供的货物既有中小企业制造货物，也有大型企业制造货物的，不享受中小企业扶持政策。</w:t>
      </w:r>
    </w:p>
    <w:p w14:paraId="5774FBE5">
      <w:pPr>
        <w:spacing w:line="44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3.3.3在服务采购项目中，服务由小微企业承接，即提供服务的人员为小微企业依照《中华人民共和国劳动合同法》订立劳动合同的从业人员。</w:t>
      </w:r>
    </w:p>
    <w:p w14:paraId="3FDC2AD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3.3.4小微企业应按照磋商文件格式要求提供《中小企业声明函》。</w:t>
      </w:r>
    </w:p>
    <w:p w14:paraId="66B5430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3.3.5对于经主管预算单位统筹后未预留份额专门面向中小企业采购的采购项目，以及预留份额项目中的非预留部分采购包，采购人、采购代理机构将对符合规定的小微企业报价给予10%的扣除</w:t>
      </w:r>
      <w:r>
        <w:rPr>
          <w:rFonts w:hint="eastAsia" w:ascii="仿宋" w:hAnsi="仿宋" w:eastAsia="仿宋" w:cs="仿宋"/>
          <w:sz w:val="24"/>
          <w:highlight w:val="none"/>
          <w:lang w:eastAsia="zh-CN"/>
        </w:rPr>
        <w:t>（由采购人或其委托代理机构根据项目情况自行确定扣除比例）</w:t>
      </w:r>
      <w:r>
        <w:rPr>
          <w:rFonts w:hint="eastAsia" w:ascii="仿宋" w:hAnsi="仿宋" w:eastAsia="仿宋" w:cs="仿宋"/>
          <w:sz w:val="24"/>
          <w:highlight w:val="none"/>
        </w:rPr>
        <w:t>，用扣除后的价格参加评审。</w:t>
      </w:r>
    </w:p>
    <w:p w14:paraId="40FC618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w:t>
      </w:r>
      <w:r>
        <w:rPr>
          <w:rFonts w:hint="eastAsia" w:ascii="仿宋" w:hAnsi="仿宋" w:eastAsia="仿宋" w:cs="仿宋"/>
          <w:sz w:val="24"/>
          <w:highlight w:val="none"/>
          <w:lang w:eastAsia="zh-CN"/>
        </w:rPr>
        <w:t>（由采购人或其委托代理机构根据项目情况自行确定扣除比例）</w:t>
      </w:r>
      <w:r>
        <w:rPr>
          <w:rFonts w:hint="eastAsia" w:ascii="仿宋" w:hAnsi="仿宋" w:eastAsia="仿宋" w:cs="仿宋"/>
          <w:sz w:val="24"/>
          <w:highlight w:val="none"/>
        </w:rPr>
        <w:t>，用扣除后的价格参加评审。组成联合体或者接受分包的小微企业与联合体内其他企业、分包企业之间存在直接控股、管理关系的，不享受价格扣除优惠政策。</w:t>
      </w:r>
    </w:p>
    <w:p w14:paraId="2AC4A2AF">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以联合体形式参加政府采购活动，联合体各方均为中小企业的，联合体视同中小企业。其中，联合体各方均为小微企业的，联合体视同小微企业。</w:t>
      </w:r>
    </w:p>
    <w:p w14:paraId="662E050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3.3.7符合《关于促进残疾人就业政府采购政策的通知》（财库〔2017〕141号）规定的条件并提供《残疾人福利性单位声明函》的残疾人福利性单位视同小微企业；</w:t>
      </w:r>
    </w:p>
    <w:p w14:paraId="034F4DF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7CE955F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18355AF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4ED9356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AD37BD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5FA30A9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4CB71A1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★4.特别说明：</w:t>
      </w:r>
    </w:p>
    <w:p w14:paraId="723C116F">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4.1供应商磋商所使用的资格、信誉、荣誉与企业认证必须为本单位所拥有。供应商磋商所使用的项目实施人员必须为本单位正式员工。</w:t>
      </w:r>
    </w:p>
    <w:p w14:paraId="595AEB6B">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4.2供应商应仔细阅读磋商文件的所有内容，按照磋商文件的要求提交磋商响应文件，并对所提供的全部资料的真实性承担法律责任。</w:t>
      </w:r>
    </w:p>
    <w:p w14:paraId="6D3CC1F3">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1CBADB0C">
      <w:pPr>
        <w:snapToGrid w:val="0"/>
        <w:spacing w:line="336" w:lineRule="auto"/>
        <w:ind w:firstLine="643" w:firstLineChars="200"/>
        <w:jc w:val="left"/>
        <w:rPr>
          <w:rFonts w:ascii="仿宋" w:hAnsi="仿宋" w:eastAsia="仿宋" w:cs="仿宋"/>
          <w:b/>
          <w:sz w:val="32"/>
          <w:szCs w:val="32"/>
          <w:highlight w:val="none"/>
        </w:rPr>
      </w:pPr>
    </w:p>
    <w:p w14:paraId="2E099972">
      <w:pPr>
        <w:adjustRightInd/>
        <w:spacing w:line="336"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二、磋商文件</w:t>
      </w:r>
    </w:p>
    <w:p w14:paraId="59D393BA">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政府采购方式</w:t>
      </w:r>
    </w:p>
    <w:p w14:paraId="36306145">
      <w:pPr>
        <w:snapToGrid w:val="0"/>
        <w:spacing w:line="336" w:lineRule="auto"/>
        <w:jc w:val="left"/>
        <w:rPr>
          <w:rFonts w:ascii="仿宋" w:hAnsi="仿宋" w:eastAsia="仿宋" w:cs="仿宋"/>
          <w:sz w:val="24"/>
          <w:highlight w:val="none"/>
        </w:rPr>
      </w:pPr>
      <w:r>
        <w:rPr>
          <w:rFonts w:hint="eastAsia" w:ascii="仿宋" w:hAnsi="仿宋" w:eastAsia="仿宋" w:cs="仿宋"/>
          <w:sz w:val="24"/>
          <w:highlight w:val="none"/>
        </w:rPr>
        <w:t xml:space="preserve">    1.1 本项目采用</w:t>
      </w:r>
      <w:r>
        <w:rPr>
          <w:rFonts w:hint="eastAsia" w:ascii="仿宋" w:hAnsi="仿宋" w:eastAsia="仿宋" w:cs="仿宋"/>
          <w:b/>
          <w:kern w:val="0"/>
          <w:sz w:val="24"/>
          <w:highlight w:val="none"/>
        </w:rPr>
        <w:t>竞争性磋商</w:t>
      </w:r>
      <w:r>
        <w:rPr>
          <w:rFonts w:hint="eastAsia" w:ascii="仿宋" w:hAnsi="仿宋" w:eastAsia="仿宋" w:cs="仿宋"/>
          <w:sz w:val="24"/>
          <w:highlight w:val="none"/>
        </w:rPr>
        <w:t>方式进行。</w:t>
      </w:r>
    </w:p>
    <w:p w14:paraId="2AC48482">
      <w:pPr>
        <w:snapToGrid w:val="0"/>
        <w:spacing w:line="336" w:lineRule="auto"/>
        <w:jc w:val="left"/>
        <w:rPr>
          <w:rFonts w:ascii="仿宋" w:hAnsi="仿宋" w:eastAsia="仿宋" w:cs="仿宋"/>
          <w:b/>
          <w:sz w:val="24"/>
          <w:highlight w:val="none"/>
        </w:rPr>
      </w:pPr>
      <w:r>
        <w:rPr>
          <w:rFonts w:hint="eastAsia" w:ascii="仿宋" w:hAnsi="仿宋" w:eastAsia="仿宋" w:cs="仿宋"/>
          <w:sz w:val="24"/>
          <w:highlight w:val="none"/>
        </w:rPr>
        <w:t xml:space="preserve">    1.2 如某一标项实质性响应磋商文件的供应商不足三家时，由采购人重新组织开展采购活动或按有关规定实施。</w:t>
      </w:r>
    </w:p>
    <w:p w14:paraId="1B019AEC">
      <w:pPr>
        <w:snapToGrid w:val="0"/>
        <w:spacing w:line="336" w:lineRule="auto"/>
        <w:ind w:firstLineChars="200"/>
        <w:jc w:val="left"/>
        <w:rPr>
          <w:rFonts w:ascii="仿宋" w:hAnsi="仿宋" w:eastAsia="仿宋" w:cs="仿宋"/>
          <w:sz w:val="24"/>
          <w:highlight w:val="none"/>
        </w:rPr>
      </w:pPr>
      <w:r>
        <w:rPr>
          <w:rFonts w:hint="eastAsia" w:ascii="仿宋" w:hAnsi="仿宋" w:eastAsia="仿宋" w:cs="仿宋"/>
          <w:sz w:val="24"/>
          <w:highlight w:val="none"/>
        </w:rPr>
        <w:t>1.3 本次竞争性磋商设定上限价，上限价即谈判公告中公布的各分标项预算金额。（各分标项之间的预算金额不能互相调整）</w:t>
      </w:r>
    </w:p>
    <w:p w14:paraId="2CC5D7F2">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2.磋商委托</w:t>
      </w:r>
    </w:p>
    <w:p w14:paraId="148EB203">
      <w:pPr>
        <w:pStyle w:val="16"/>
        <w:tabs>
          <w:tab w:val="clear" w:pos="390"/>
        </w:tabs>
        <w:spacing w:line="336" w:lineRule="auto"/>
        <w:ind w:left="0" w:firstLine="480" w:firstLineChars="200"/>
        <w:rPr>
          <w:rFonts w:ascii="仿宋" w:hAnsi="仿宋" w:eastAsia="仿宋" w:cs="仿宋"/>
          <w:highlight w:val="none"/>
        </w:rPr>
      </w:pPr>
      <w:r>
        <w:rPr>
          <w:rFonts w:hint="eastAsia" w:ascii="仿宋" w:hAnsi="仿宋" w:eastAsia="仿宋" w:cs="仿宋"/>
          <w:highlight w:val="none"/>
        </w:rPr>
        <w:t>本项目为电子磋商项目，供应商的法定代表人或其授权代表或个体工商户不需要参加现场磋商和开标。</w:t>
      </w:r>
    </w:p>
    <w:p w14:paraId="32DAE9A3">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3.磋商费用</w:t>
      </w:r>
    </w:p>
    <w:p w14:paraId="1BEC6242">
      <w:pPr>
        <w:pStyle w:val="16"/>
        <w:tabs>
          <w:tab w:val="clear" w:pos="390"/>
        </w:tabs>
        <w:spacing w:line="336" w:lineRule="auto"/>
        <w:ind w:left="0" w:firstLine="480" w:firstLineChars="200"/>
        <w:rPr>
          <w:rFonts w:ascii="仿宋" w:hAnsi="仿宋" w:eastAsia="仿宋" w:cs="仿宋"/>
          <w:highlight w:val="none"/>
        </w:rPr>
      </w:pPr>
      <w:r>
        <w:rPr>
          <w:rFonts w:hint="eastAsia" w:ascii="仿宋" w:hAnsi="仿宋" w:eastAsia="仿宋" w:cs="仿宋"/>
          <w:highlight w:val="none"/>
        </w:rPr>
        <w:t>供应商应自行承担编制磋商响应文件及参加本次磋商所涉及的一切费用。不管磋商结果如何，采购人对上述费用不负任何责任。</w:t>
      </w:r>
    </w:p>
    <w:p w14:paraId="4D99367A">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4.磋商文件</w:t>
      </w:r>
    </w:p>
    <w:p w14:paraId="262ADDBD">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4.1 </w:t>
      </w:r>
      <w:r>
        <w:rPr>
          <w:rFonts w:hint="eastAsia" w:ascii="仿宋" w:hAnsi="仿宋" w:eastAsia="仿宋" w:cs="仿宋"/>
          <w:bCs/>
          <w:sz w:val="24"/>
          <w:highlight w:val="none"/>
        </w:rPr>
        <w:t>磋商文件包括本磋商文件及所有的磋商答疑记录（澄清、修改）和发出的补充通知</w:t>
      </w:r>
      <w:r>
        <w:rPr>
          <w:rFonts w:hint="eastAsia" w:ascii="仿宋" w:hAnsi="仿宋" w:eastAsia="仿宋" w:cs="仿宋"/>
          <w:sz w:val="24"/>
          <w:highlight w:val="none"/>
        </w:rPr>
        <w:t>。</w:t>
      </w:r>
    </w:p>
    <w:p w14:paraId="1B310122">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4.2磋商文件的澄清 </w:t>
      </w:r>
    </w:p>
    <w:p w14:paraId="16DC76EF">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供应商对磋商文件如有疑点要求澄清，可用书面形式（包括并不仅限于纸质、信件和数据电文（包括电报、电传、传真、电子数据交换和电子邮件</w:t>
      </w:r>
      <w:r>
        <w:rPr>
          <w:rFonts w:hint="eastAsia" w:ascii="仿宋" w:hAnsi="仿宋" w:eastAsia="仿宋" w:cs="仿宋"/>
          <w:highlight w:val="none"/>
        </w:rPr>
        <w:t>）)</w:t>
      </w:r>
      <w:r>
        <w:rPr>
          <w:rFonts w:hint="eastAsia" w:ascii="仿宋" w:hAnsi="仿宋" w:eastAsia="仿宋" w:cs="仿宋"/>
          <w:sz w:val="24"/>
          <w:highlight w:val="none"/>
        </w:rPr>
        <w:t>等通知采购人，但通知不得迟于磋商截止前7日使采购人收到，采购人将用书面形式予以答复。如有必要，可将不说明来源的答复发给所有供应商。</w:t>
      </w:r>
    </w:p>
    <w:p w14:paraId="69B3D633">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4.3磋商文件的修改</w:t>
      </w:r>
    </w:p>
    <w:p w14:paraId="6E9FA061">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8C73C1D">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0D390B4A">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4.4本项目各标段内，如出现打有“★”的指标为实质性指标，任意一条出现负偏离的均视同为实质性不响应磋商文件要求，作无效磋商处理。</w:t>
      </w:r>
    </w:p>
    <w:p w14:paraId="7410A5C1">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5.参考品牌</w:t>
      </w:r>
    </w:p>
    <w:p w14:paraId="069879F4">
      <w:pPr>
        <w:snapToGrid w:val="0"/>
        <w:spacing w:line="336"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3E9DEE0A">
      <w:pPr>
        <w:pStyle w:val="24"/>
        <w:spacing w:line="336" w:lineRule="auto"/>
        <w:rPr>
          <w:rFonts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4C63E196">
      <w:pPr>
        <w:adjustRightInd/>
        <w:spacing w:line="336"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三、响应文件</w:t>
      </w:r>
    </w:p>
    <w:p w14:paraId="150AAD7C">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1.响应文件的语言及计量单位</w:t>
      </w:r>
    </w:p>
    <w:p w14:paraId="03818986">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1.1供应商应仔细阅读磋商文件中的所有内容，按照磋商文件要求，详细编制响应文件，并保证响应文件的正确性和真实性。</w:t>
      </w:r>
    </w:p>
    <w:p w14:paraId="346F0DDF">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 响应文件以及供应商与采购人、采购代理机构就有关磋商事宜的所有来往函电，均应以中文书写（技术术语除外）。</w:t>
      </w:r>
    </w:p>
    <w:p w14:paraId="3EE5C10D">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 磋商计量单位，除磋商文件中有特殊要求外，应采用中华人民共和国法定计量单位，货币单位：人民币元。</w:t>
      </w:r>
    </w:p>
    <w:p w14:paraId="39A3E0F1">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1.4不按磋商文件的要求提供的响应文件可能导致被拒绝。</w:t>
      </w:r>
    </w:p>
    <w:p w14:paraId="6FD94BF5">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1.5响应文件的形式和效力</w:t>
      </w:r>
    </w:p>
    <w:p w14:paraId="67CF373A">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1.5.1磋商响应文件为电子响应文件，电子响应文件按“政采云供应商项目采购-电子招投标操作指南”及本磋商文件要求制作、加密传输。</w:t>
      </w:r>
    </w:p>
    <w:p w14:paraId="3B3D98B1">
      <w:pPr>
        <w:snapToGrid w:val="0"/>
        <w:spacing w:line="336" w:lineRule="auto"/>
        <w:ind w:firstLine="482" w:firstLineChars="200"/>
        <w:jc w:val="left"/>
        <w:rPr>
          <w:rFonts w:ascii="仿宋" w:hAnsi="仿宋" w:eastAsia="仿宋" w:cs="仿宋"/>
          <w:b/>
          <w:sz w:val="24"/>
          <w:highlight w:val="none"/>
          <w:u w:val="single"/>
        </w:rPr>
      </w:pPr>
      <w:r>
        <w:rPr>
          <w:rFonts w:hint="eastAsia" w:ascii="仿宋" w:hAnsi="仿宋" w:eastAsia="仿宋" w:cs="仿宋"/>
          <w:b/>
          <w:sz w:val="24"/>
          <w:highlight w:val="none"/>
          <w:u w:val="single"/>
        </w:rPr>
        <w:t>1.5.2响应文件的效力：</w:t>
      </w:r>
    </w:p>
    <w:p w14:paraId="3FC50E64">
      <w:pPr>
        <w:snapToGrid w:val="0"/>
        <w:spacing w:line="336" w:lineRule="auto"/>
        <w:ind w:firstLine="482" w:firstLineChars="200"/>
        <w:jc w:val="left"/>
        <w:rPr>
          <w:rFonts w:ascii="仿宋" w:hAnsi="仿宋" w:eastAsia="仿宋" w:cs="仿宋"/>
          <w:b/>
          <w:sz w:val="24"/>
          <w:highlight w:val="none"/>
          <w:u w:val="single"/>
        </w:rPr>
      </w:pPr>
      <w:r>
        <w:rPr>
          <w:rFonts w:hint="eastAsia" w:ascii="仿宋" w:hAnsi="仿宋" w:eastAsia="仿宋" w:cs="仿宋"/>
          <w:b/>
          <w:sz w:val="24"/>
          <w:highlight w:val="none"/>
          <w:u w:val="single"/>
        </w:rPr>
        <w:t>磋商响应文件未在磋商截止时间前完成传输的，视为磋商响应文件撤回；磋商响应文件未按时解密，亦视为响应文件撤回。</w:t>
      </w:r>
    </w:p>
    <w:p w14:paraId="719F0DE5">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 响应文件的组成</w:t>
      </w:r>
    </w:p>
    <w:p w14:paraId="354B8B84">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资料”、“报价文件资料”三部分组成，其中</w:t>
      </w:r>
      <w:r>
        <w:rPr>
          <w:rFonts w:hint="eastAsia" w:ascii="仿宋" w:hAnsi="仿宋" w:eastAsia="仿宋" w:cs="仿宋"/>
          <w:b/>
          <w:color w:val="auto"/>
          <w:sz w:val="24"/>
          <w:highlight w:val="none"/>
        </w:rPr>
        <w:t>电子磋商响应文件中所须加盖公章部分均应采用电子签章。</w:t>
      </w:r>
    </w:p>
    <w:p w14:paraId="4C264354">
      <w:pPr>
        <w:snapToGrid w:val="0"/>
        <w:spacing w:line="336"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54181E4C">
      <w:pPr>
        <w:snapToGrid w:val="0"/>
        <w:spacing w:line="336" w:lineRule="auto"/>
        <w:ind w:firstLine="480" w:firstLineChars="200"/>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2.1.1营业执照扫描件；</w:t>
      </w:r>
    </w:p>
    <w:p w14:paraId="314BCB52">
      <w:pPr>
        <w:snapToGrid w:val="0"/>
        <w:spacing w:line="336" w:lineRule="auto"/>
        <w:ind w:firstLine="480" w:firstLineChars="200"/>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2.1.2法定代表人身份证明书；</w:t>
      </w:r>
    </w:p>
    <w:p w14:paraId="678B2C75">
      <w:pPr>
        <w:snapToGrid w:val="0"/>
        <w:spacing w:line="336" w:lineRule="auto"/>
        <w:ind w:firstLine="480" w:firstLineChars="200"/>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2.1.3法定代表人授权委托书及授权代表社保证明（若委托）；</w:t>
      </w:r>
    </w:p>
    <w:p w14:paraId="332001D2">
      <w:pPr>
        <w:snapToGrid w:val="0"/>
        <w:spacing w:line="336" w:lineRule="auto"/>
        <w:ind w:firstLine="480" w:firstLineChars="200"/>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2.1.4符合参加政府采购活动应当具备的一般条件的承诺函；</w:t>
      </w:r>
    </w:p>
    <w:p w14:paraId="10E96E39">
      <w:pPr>
        <w:snapToGrid w:val="0"/>
        <w:spacing w:line="336" w:lineRule="auto"/>
        <w:ind w:firstLine="480" w:firstLineChars="200"/>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2.1.5中小企业声明函（或监狱企业声明函及其相关的充分的证明材料或残疾人福利性单位声明函）；</w:t>
      </w:r>
    </w:p>
    <w:p w14:paraId="20BF8952">
      <w:pPr>
        <w:snapToGrid w:val="0"/>
        <w:spacing w:line="336" w:lineRule="auto"/>
        <w:ind w:firstLine="480" w:firstLineChars="200"/>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2.1.6单位负责人为同一人或者存在直接控股、管理关系的不同供应商，不得参加同一合同项下的政府采购活动（开标后提供《政府采购活动现场确认声明书》（PDF格式），发送至邮箱1132452991@qq.com）；</w:t>
      </w:r>
    </w:p>
    <w:p w14:paraId="7D649A83">
      <w:pPr>
        <w:snapToGrid w:val="0"/>
        <w:spacing w:line="336" w:lineRule="auto"/>
        <w:ind w:firstLine="480" w:firstLineChars="200"/>
        <w:rPr>
          <w:rFonts w:hint="eastAsia" w:ascii="仿宋" w:hAnsi="仿宋" w:eastAsia="仿宋" w:cs="仿宋"/>
          <w:b w:val="0"/>
          <w:bCs/>
          <w:color w:val="auto"/>
          <w:sz w:val="24"/>
          <w:highlight w:val="none"/>
          <w:lang w:val="zh-CN"/>
        </w:rPr>
      </w:pPr>
      <w:r>
        <w:rPr>
          <w:rFonts w:hint="eastAsia" w:ascii="仿宋" w:hAnsi="仿宋" w:eastAsia="仿宋" w:cs="仿宋"/>
          <w:b w:val="0"/>
          <w:bCs/>
          <w:color w:val="auto"/>
          <w:sz w:val="24"/>
          <w:highlight w:val="none"/>
          <w:lang w:val="zh-CN"/>
        </w:rPr>
        <w:t>2.1.7旅行社业务经营许可证扫描件。</w:t>
      </w:r>
    </w:p>
    <w:p w14:paraId="5B284DC4">
      <w:pPr>
        <w:snapToGrid w:val="0"/>
        <w:spacing w:line="336"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2C1FFED0">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 xml:space="preserve">2.2.1营业执照扫描件； </w:t>
      </w:r>
    </w:p>
    <w:p w14:paraId="6373BD32">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2.2.2响应函；</w:t>
      </w:r>
    </w:p>
    <w:p w14:paraId="061BE9EF">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2.2.3法定代表人身份证明书；</w:t>
      </w:r>
    </w:p>
    <w:p w14:paraId="0FD7EE6C">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2.2.4法定代表人授权委托书及授权代表社保证明（若委托）；</w:t>
      </w:r>
    </w:p>
    <w:p w14:paraId="427FE726">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2.2.5评分索引表；</w:t>
      </w:r>
    </w:p>
    <w:p w14:paraId="43916EFD">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2.2.6资信及商务响应表；</w:t>
      </w:r>
    </w:p>
    <w:p w14:paraId="1A33BDF5">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2.2.7技术响应表；</w:t>
      </w:r>
    </w:p>
    <w:p w14:paraId="5A5AF86E">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2.2.8政府采购供应商廉洁自律承诺书；</w:t>
      </w:r>
    </w:p>
    <w:p w14:paraId="62513B58">
      <w:pPr>
        <w:snapToGrid w:val="0"/>
        <w:spacing w:line="336" w:lineRule="auto"/>
        <w:ind w:firstLine="480" w:firstLineChars="200"/>
        <w:rPr>
          <w:rFonts w:hint="default"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2.2.9评标标准相应的商务技术资料；</w:t>
      </w:r>
    </w:p>
    <w:p w14:paraId="48220E03">
      <w:pPr>
        <w:snapToGrid w:val="0"/>
        <w:spacing w:line="336" w:lineRule="auto"/>
        <w:ind w:firstLine="480" w:firstLineChars="200"/>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default" w:ascii="仿宋" w:hAnsi="仿宋" w:eastAsia="仿宋" w:cs="仿宋"/>
          <w:b w:val="0"/>
          <w:bCs w:val="0"/>
          <w:i w:val="0"/>
          <w:iCs w:val="0"/>
          <w:color w:val="auto"/>
          <w:kern w:val="2"/>
          <w:sz w:val="24"/>
          <w:szCs w:val="24"/>
          <w:highlight w:val="none"/>
          <w:vertAlign w:val="baseline"/>
          <w:lang w:val="zh-CN" w:eastAsia="zh-CN" w:bidi="ar-SA"/>
        </w:rPr>
        <w:t>2.2.10供应商需要说明的其他文件和说明（若有）。</w:t>
      </w:r>
    </w:p>
    <w:p w14:paraId="4AEE5741">
      <w:pPr>
        <w:adjustRightInd/>
        <w:snapToGrid w:val="0"/>
        <w:spacing w:line="336" w:lineRule="auto"/>
        <w:ind w:firstLine="482" w:firstLineChars="200"/>
        <w:jc w:val="left"/>
        <w:rPr>
          <w:rFonts w:hint="default" w:ascii="仿宋" w:hAnsi="仿宋" w:eastAsia="仿宋" w:cs="仿宋"/>
          <w:b w:val="0"/>
          <w:bCs w:val="0"/>
          <w:i w:val="0"/>
          <w:iCs w:val="0"/>
          <w:color w:val="auto"/>
          <w:kern w:val="2"/>
          <w:sz w:val="24"/>
          <w:szCs w:val="24"/>
          <w:highlight w:val="none"/>
          <w:vertAlign w:val="baseline"/>
          <w:lang w:val="en-US" w:eastAsia="zh-CN" w:bidi="ar-SA"/>
        </w:rPr>
      </w:pPr>
      <w:r>
        <w:rPr>
          <w:rFonts w:hint="default" w:ascii="仿宋" w:hAnsi="仿宋" w:eastAsia="仿宋" w:cs="仿宋"/>
          <w:b/>
          <w:bCs/>
          <w:i w:val="0"/>
          <w:iCs w:val="0"/>
          <w:color w:val="auto"/>
          <w:kern w:val="2"/>
          <w:sz w:val="24"/>
          <w:szCs w:val="24"/>
          <w:highlight w:val="none"/>
          <w:vertAlign w:val="baseline"/>
          <w:lang w:val="zh-CN" w:eastAsia="zh-CN" w:bidi="ar-SA"/>
        </w:rPr>
        <w:t xml:space="preserve">2.3报价文件： </w:t>
      </w:r>
    </w:p>
    <w:p w14:paraId="31BAE281">
      <w:pPr>
        <w:snapToGrid w:val="0"/>
        <w:spacing w:line="336" w:lineRule="auto"/>
        <w:ind w:firstLine="480" w:firstLineChars="200"/>
        <w:rPr>
          <w:rFonts w:hint="eastAsia"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en-US" w:eastAsia="zh-CN" w:bidi="ar-SA"/>
        </w:rPr>
        <w:t>2.3.1磋商一览表（报价表）；</w:t>
      </w:r>
    </w:p>
    <w:p w14:paraId="1CA9F7F6">
      <w:pPr>
        <w:snapToGrid w:val="0"/>
        <w:spacing w:line="336" w:lineRule="auto"/>
        <w:ind w:firstLine="480" w:firstLineChars="200"/>
        <w:rPr>
          <w:rFonts w:hint="eastAsia" w:ascii="仿宋" w:hAnsi="仿宋" w:eastAsia="仿宋" w:cs="仿宋"/>
          <w:b w:val="0"/>
          <w:bCs w:val="0"/>
          <w:i w:val="0"/>
          <w:iCs w:val="0"/>
          <w:color w:val="auto"/>
          <w:kern w:val="2"/>
          <w:sz w:val="24"/>
          <w:szCs w:val="24"/>
          <w:highlight w:val="none"/>
          <w:vertAlign w:val="baseline"/>
          <w:lang w:val="zh-CN" w:eastAsia="zh-CN" w:bidi="ar-SA"/>
        </w:rPr>
      </w:pPr>
      <w:r>
        <w:rPr>
          <w:rFonts w:hint="default" w:ascii="仿宋" w:hAnsi="仿宋" w:eastAsia="仿宋" w:cs="仿宋"/>
          <w:b w:val="0"/>
          <w:bCs w:val="0"/>
          <w:i w:val="0"/>
          <w:iCs w:val="0"/>
          <w:color w:val="auto"/>
          <w:kern w:val="2"/>
          <w:sz w:val="24"/>
          <w:szCs w:val="24"/>
          <w:highlight w:val="none"/>
          <w:vertAlign w:val="baseline"/>
          <w:lang w:val="en-US" w:eastAsia="zh-CN" w:bidi="ar-SA"/>
        </w:rPr>
        <w:t>2.3.2供应商针对报价需要说明的其他文件和说明（若有）</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14:paraId="2D6D7CCE">
      <w:pPr>
        <w:adjustRightInd w:val="0"/>
        <w:snapToGrid w:val="0"/>
        <w:spacing w:line="336" w:lineRule="auto"/>
        <w:ind w:firstLine="482" w:firstLineChars="200"/>
        <w:jc w:val="both"/>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w:t>
      </w:r>
      <w:r>
        <w:rPr>
          <w:rFonts w:hint="default" w:ascii="仿宋" w:hAnsi="仿宋" w:eastAsia="仿宋" w:cs="仿宋"/>
          <w:b/>
          <w:bCs/>
          <w:i w:val="0"/>
          <w:iCs w:val="0"/>
          <w:color w:val="auto"/>
          <w:kern w:val="2"/>
          <w:sz w:val="24"/>
          <w:szCs w:val="24"/>
          <w:highlight w:val="none"/>
          <w:vertAlign w:val="baseline"/>
          <w:lang w:val="zh-CN" w:eastAsia="zh-CN" w:bidi="ar-SA"/>
        </w:rPr>
        <w:t>报价</w:t>
      </w:r>
    </w:p>
    <w:p w14:paraId="3C1425D1">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3.1报价是履行合同的最终价格，</w:t>
      </w:r>
      <w:r>
        <w:rPr>
          <w:rFonts w:hint="eastAsia" w:ascii="仿宋" w:hAnsi="仿宋" w:eastAsia="仿宋" w:cs="仿宋"/>
          <w:b w:val="0"/>
          <w:bCs w:val="0"/>
          <w:i w:val="0"/>
          <w:iCs w:val="0"/>
          <w:color w:val="auto"/>
          <w:kern w:val="2"/>
          <w:sz w:val="24"/>
          <w:szCs w:val="24"/>
          <w:highlight w:val="none"/>
          <w:vertAlign w:val="baseline"/>
          <w:lang w:val="en-US" w:eastAsia="zh-CN" w:bidi="ar-SA"/>
        </w:rPr>
        <w:t>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572D92D5">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7D122B2">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17311D54">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14:paraId="5C56E04B">
      <w:pPr>
        <w:pStyle w:val="33"/>
        <w:spacing w:line="336" w:lineRule="auto"/>
        <w:ind w:firstLine="482" w:firstLineChars="200"/>
        <w:rPr>
          <w:rFonts w:ascii="仿宋" w:hAnsi="仿宋" w:eastAsia="仿宋" w:cs="仿宋"/>
          <w:b/>
          <w:sz w:val="24"/>
          <w:szCs w:val="24"/>
          <w:highlight w:val="none"/>
        </w:rPr>
      </w:pPr>
      <w:r>
        <w:rPr>
          <w:rFonts w:hint="default" w:ascii="仿宋" w:hAnsi="仿宋" w:eastAsia="仿宋" w:cs="仿宋"/>
          <w:b/>
          <w:sz w:val="24"/>
          <w:szCs w:val="24"/>
          <w:highlight w:val="none"/>
          <w:lang w:val="en-US"/>
        </w:rPr>
        <w:t>4.</w:t>
      </w:r>
      <w:r>
        <w:rPr>
          <w:rFonts w:hint="eastAsia" w:ascii="仿宋" w:hAnsi="仿宋" w:eastAsia="仿宋" w:cs="仿宋"/>
          <w:b/>
          <w:sz w:val="24"/>
          <w:szCs w:val="24"/>
          <w:highlight w:val="none"/>
        </w:rPr>
        <w:t xml:space="preserve"> 响应文件的编制和签署</w:t>
      </w:r>
    </w:p>
    <w:p w14:paraId="3F77FFF1">
      <w:pPr>
        <w:spacing w:line="336" w:lineRule="auto"/>
        <w:ind w:firstLine="480" w:firstLineChars="200"/>
        <w:rPr>
          <w:rFonts w:ascii="仿宋" w:hAnsi="仿宋" w:eastAsia="仿宋" w:cs="仿宋"/>
          <w:b/>
          <w:sz w:val="24"/>
          <w:highlight w:val="none"/>
        </w:rPr>
      </w:pPr>
      <w:r>
        <w:rPr>
          <w:rFonts w:hint="default" w:ascii="仿宋" w:hAnsi="仿宋" w:eastAsia="仿宋" w:cs="仿宋"/>
          <w:kern w:val="0"/>
          <w:sz w:val="24"/>
          <w:highlight w:val="none"/>
          <w:lang w:val="en-US"/>
        </w:rPr>
        <w:t>4</w:t>
      </w:r>
      <w:r>
        <w:rPr>
          <w:rFonts w:hint="eastAsia" w:ascii="仿宋" w:hAnsi="仿宋" w:eastAsia="仿宋" w:cs="仿宋"/>
          <w:kern w:val="0"/>
          <w:sz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4C29CE8B">
      <w:pPr>
        <w:spacing w:line="336" w:lineRule="auto"/>
        <w:ind w:firstLine="480" w:firstLineChars="200"/>
        <w:rPr>
          <w:rFonts w:ascii="仿宋" w:hAnsi="仿宋" w:eastAsia="仿宋" w:cs="仿宋"/>
          <w:kern w:val="0"/>
          <w:sz w:val="24"/>
          <w:highlight w:val="none"/>
          <w:lang w:val="zh-CN"/>
        </w:rPr>
      </w:pPr>
      <w:r>
        <w:rPr>
          <w:rFonts w:hint="default" w:ascii="仿宋" w:hAnsi="仿宋" w:eastAsia="仿宋" w:cs="仿宋"/>
          <w:kern w:val="0"/>
          <w:sz w:val="24"/>
          <w:highlight w:val="none"/>
          <w:lang w:val="en-US"/>
        </w:rPr>
        <w:t>4</w:t>
      </w:r>
      <w:r>
        <w:rPr>
          <w:rFonts w:hint="eastAsia" w:ascii="仿宋" w:hAnsi="仿宋" w:eastAsia="仿宋" w:cs="仿宋"/>
          <w:kern w:val="0"/>
          <w:sz w:val="24"/>
          <w:highlight w:val="none"/>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4E82E994">
      <w:pPr>
        <w:spacing w:line="336" w:lineRule="auto"/>
        <w:ind w:firstLine="480" w:firstLineChars="200"/>
        <w:rPr>
          <w:rFonts w:ascii="仿宋" w:hAnsi="仿宋" w:eastAsia="仿宋" w:cs="仿宋"/>
          <w:kern w:val="0"/>
          <w:sz w:val="24"/>
          <w:highlight w:val="none"/>
          <w:lang w:val="zh-CN"/>
        </w:rPr>
      </w:pPr>
      <w:r>
        <w:rPr>
          <w:rFonts w:hint="default" w:ascii="仿宋" w:hAnsi="仿宋" w:eastAsia="仿宋" w:cs="仿宋"/>
          <w:kern w:val="0"/>
          <w:sz w:val="24"/>
          <w:highlight w:val="none"/>
          <w:lang w:val="en-US"/>
        </w:rPr>
        <w:t>4</w:t>
      </w:r>
      <w:r>
        <w:rPr>
          <w:rFonts w:hint="eastAsia" w:ascii="仿宋" w:hAnsi="仿宋" w:eastAsia="仿宋" w:cs="仿宋"/>
          <w:kern w:val="0"/>
          <w:sz w:val="24"/>
          <w:highlight w:val="none"/>
          <w:lang w:val="zh-CN"/>
        </w:rPr>
        <w:t>.3使用“政采云电子交易客户端”需要提前申领CA数字证书，申领流程请自行前往“浙江政府采购网-下载专区-电子交易客户端-CA驱动和申领流程”进行查阅。</w:t>
      </w:r>
    </w:p>
    <w:p w14:paraId="1898856E">
      <w:pPr>
        <w:pStyle w:val="396"/>
        <w:snapToGrid w:val="0"/>
        <w:spacing w:before="0" w:line="336" w:lineRule="auto"/>
        <w:ind w:firstLine="480"/>
        <w:rPr>
          <w:rFonts w:ascii="仿宋" w:hAnsi="仿宋" w:eastAsia="仿宋" w:cs="仿宋"/>
          <w:b/>
          <w:highlight w:val="none"/>
        </w:rPr>
      </w:pPr>
      <w:r>
        <w:rPr>
          <w:rFonts w:hint="default" w:ascii="仿宋" w:hAnsi="仿宋" w:eastAsia="仿宋" w:cs="仿宋"/>
          <w:szCs w:val="24"/>
          <w:highlight w:val="none"/>
          <w:lang w:val="en-US"/>
        </w:rPr>
        <w:t>4</w:t>
      </w:r>
      <w:r>
        <w:rPr>
          <w:rFonts w:hint="eastAsia" w:ascii="仿宋" w:hAnsi="仿宋" w:eastAsia="仿宋" w:cs="仿宋"/>
          <w:szCs w:val="24"/>
          <w:highlight w:val="none"/>
        </w:rPr>
        <w:t>.4响应文件按照磋商文件第六部分格式要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供应商的响应文件未按照磋商文件要求签署、盖章的，其响应无效</w:t>
      </w:r>
      <w:r>
        <w:rPr>
          <w:rFonts w:hint="eastAsia" w:ascii="仿宋" w:hAnsi="仿宋" w:eastAsia="仿宋" w:cs="仿宋"/>
          <w:szCs w:val="24"/>
          <w:highlight w:val="none"/>
        </w:rPr>
        <w:t>。</w:t>
      </w:r>
    </w:p>
    <w:p w14:paraId="7A26F489">
      <w:pPr>
        <w:pStyle w:val="396"/>
        <w:snapToGrid w:val="0"/>
        <w:spacing w:before="0" w:line="336" w:lineRule="auto"/>
        <w:ind w:firstLine="480"/>
        <w:rPr>
          <w:rFonts w:ascii="仿宋" w:hAnsi="仿宋" w:eastAsia="仿宋" w:cs="仿宋"/>
          <w:highlight w:val="none"/>
        </w:rPr>
      </w:pPr>
      <w:r>
        <w:rPr>
          <w:rFonts w:hint="default" w:ascii="仿宋" w:hAnsi="仿宋" w:eastAsia="仿宋" w:cs="仿宋"/>
          <w:szCs w:val="24"/>
          <w:highlight w:val="none"/>
          <w:lang w:val="en-US"/>
        </w:rPr>
        <w:t>4</w:t>
      </w:r>
      <w:r>
        <w:rPr>
          <w:rFonts w:hint="eastAsia" w:ascii="仿宋" w:hAnsi="仿宋" w:eastAsia="仿宋" w:cs="仿宋"/>
          <w:szCs w:val="24"/>
          <w:highlight w:val="none"/>
        </w:rPr>
        <w:t>.5为确保网上操作合法、有效和安全，供应商应当在响应截止时间前完成在“政府采购云平台”的身份认证，确保在电子交易过程中能够对相关数据电文进行加密和使用电子签名。</w:t>
      </w:r>
    </w:p>
    <w:p w14:paraId="30A8426E">
      <w:pPr>
        <w:pStyle w:val="396"/>
        <w:keepNext w:val="0"/>
        <w:keepLines w:val="0"/>
        <w:pageBreakBefore w:val="0"/>
        <w:widowControl w:val="0"/>
        <w:kinsoku/>
        <w:wordWrap/>
        <w:overflowPunct/>
        <w:topLinePunct w:val="0"/>
        <w:autoSpaceDE/>
        <w:autoSpaceDN/>
        <w:bidi w:val="0"/>
        <w:adjustRightInd w:val="0"/>
        <w:snapToGrid w:val="0"/>
        <w:spacing w:before="0" w:line="336" w:lineRule="auto"/>
        <w:ind w:firstLine="480"/>
        <w:textAlignment w:val="auto"/>
        <w:rPr>
          <w:rFonts w:ascii="仿宋" w:hAnsi="仿宋" w:eastAsia="仿宋" w:cs="仿宋"/>
          <w:szCs w:val="24"/>
          <w:highlight w:val="none"/>
        </w:rPr>
      </w:pPr>
      <w:r>
        <w:rPr>
          <w:rFonts w:hint="default" w:ascii="仿宋" w:hAnsi="仿宋" w:eastAsia="仿宋" w:cs="仿宋"/>
          <w:highlight w:val="none"/>
          <w:lang w:val="en-US"/>
        </w:rPr>
        <w:t>4.</w:t>
      </w:r>
      <w:r>
        <w:rPr>
          <w:rFonts w:hint="eastAsia" w:ascii="仿宋" w:hAnsi="仿宋" w:eastAsia="仿宋" w:cs="仿宋"/>
          <w:highlight w:val="none"/>
        </w:rPr>
        <w:t>6磋商文件对响应文件签署、盖章的要求适用于电子签名。</w:t>
      </w:r>
    </w:p>
    <w:p w14:paraId="2E8B151B">
      <w:pPr>
        <w:pStyle w:val="396"/>
        <w:keepNext w:val="0"/>
        <w:keepLines w:val="0"/>
        <w:pageBreakBefore w:val="0"/>
        <w:widowControl w:val="0"/>
        <w:kinsoku/>
        <w:wordWrap/>
        <w:overflowPunct/>
        <w:topLinePunct w:val="0"/>
        <w:autoSpaceDE/>
        <w:autoSpaceDN/>
        <w:bidi w:val="0"/>
        <w:adjustRightInd w:val="0"/>
        <w:spacing w:before="0" w:line="336" w:lineRule="auto"/>
        <w:ind w:firstLine="482" w:firstLineChars="200"/>
        <w:textAlignment w:val="auto"/>
        <w:rPr>
          <w:rFonts w:ascii="仿宋" w:hAnsi="仿宋" w:eastAsia="仿宋" w:cs="仿宋"/>
          <w:b/>
          <w:szCs w:val="24"/>
          <w:highlight w:val="none"/>
        </w:rPr>
      </w:pPr>
      <w:r>
        <w:rPr>
          <w:rFonts w:hint="default" w:ascii="仿宋" w:hAnsi="仿宋" w:eastAsia="仿宋" w:cs="仿宋"/>
          <w:b/>
          <w:szCs w:val="24"/>
          <w:highlight w:val="none"/>
          <w:lang w:val="en-US"/>
        </w:rPr>
        <w:t>5</w:t>
      </w:r>
      <w:r>
        <w:rPr>
          <w:rFonts w:hint="eastAsia" w:ascii="仿宋" w:hAnsi="仿宋" w:eastAsia="仿宋" w:cs="仿宋"/>
          <w:b/>
          <w:szCs w:val="24"/>
          <w:highlight w:val="none"/>
        </w:rPr>
        <w:t>. 磋商响应文件的提交、补充、修改、撤回</w:t>
      </w:r>
    </w:p>
    <w:p w14:paraId="4E767863">
      <w:pPr>
        <w:pStyle w:val="396"/>
        <w:keepNext w:val="0"/>
        <w:keepLines w:val="0"/>
        <w:pageBreakBefore w:val="0"/>
        <w:widowControl w:val="0"/>
        <w:kinsoku/>
        <w:wordWrap/>
        <w:overflowPunct/>
        <w:topLinePunct w:val="0"/>
        <w:autoSpaceDE/>
        <w:autoSpaceDN/>
        <w:bidi w:val="0"/>
        <w:adjustRightInd w:val="0"/>
        <w:spacing w:before="0" w:line="336" w:lineRule="auto"/>
        <w:ind w:firstLine="480"/>
        <w:textAlignment w:val="auto"/>
        <w:rPr>
          <w:rFonts w:ascii="仿宋" w:hAnsi="仿宋" w:eastAsia="仿宋" w:cs="仿宋"/>
          <w:szCs w:val="24"/>
          <w:highlight w:val="none"/>
        </w:rPr>
      </w:pPr>
      <w:r>
        <w:rPr>
          <w:rFonts w:hint="default" w:ascii="仿宋" w:hAnsi="仿宋" w:eastAsia="仿宋" w:cs="仿宋"/>
          <w:szCs w:val="24"/>
          <w:highlight w:val="none"/>
          <w:lang w:val="en-US"/>
        </w:rPr>
        <w:t>5</w:t>
      </w:r>
      <w:r>
        <w:rPr>
          <w:rFonts w:hint="eastAsia" w:ascii="仿宋" w:hAnsi="仿宋" w:eastAsia="仿宋" w:cs="仿宋"/>
          <w:szCs w:val="24"/>
          <w:highlight w:val="none"/>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5D01804">
      <w:pPr>
        <w:spacing w:line="336" w:lineRule="auto"/>
        <w:ind w:firstLine="480" w:firstLineChars="200"/>
        <w:rPr>
          <w:rFonts w:ascii="仿宋" w:hAnsi="仿宋" w:eastAsia="仿宋" w:cs="仿宋"/>
          <w:sz w:val="24"/>
          <w:highlight w:val="none"/>
        </w:rPr>
      </w:pPr>
      <w:r>
        <w:rPr>
          <w:rFonts w:hint="default" w:ascii="仿宋" w:hAnsi="仿宋" w:eastAsia="仿宋" w:cs="仿宋"/>
          <w:sz w:val="24"/>
          <w:highlight w:val="none"/>
          <w:lang w:val="en-US"/>
        </w:rPr>
        <w:t>5</w:t>
      </w:r>
      <w:r>
        <w:rPr>
          <w:rFonts w:hint="eastAsia" w:ascii="仿宋" w:hAnsi="仿宋" w:eastAsia="仿宋" w:cs="仿宋"/>
          <w:sz w:val="24"/>
          <w:highlight w:val="none"/>
        </w:rPr>
        <w:t>.2 在响应截止时间以后，不能补充、修改响应文件。</w:t>
      </w:r>
    </w:p>
    <w:p w14:paraId="7803BCF8">
      <w:pPr>
        <w:spacing w:line="336" w:lineRule="auto"/>
        <w:ind w:firstLine="480" w:firstLineChars="200"/>
        <w:rPr>
          <w:rFonts w:ascii="仿宋" w:hAnsi="仿宋" w:eastAsia="仿宋" w:cs="仿宋"/>
          <w:sz w:val="24"/>
          <w:highlight w:val="none"/>
        </w:rPr>
      </w:pPr>
      <w:r>
        <w:rPr>
          <w:rFonts w:hint="default" w:ascii="仿宋" w:hAnsi="仿宋" w:eastAsia="仿宋" w:cs="仿宋"/>
          <w:sz w:val="24"/>
          <w:highlight w:val="none"/>
          <w:lang w:val="en-US"/>
        </w:rPr>
        <w:t>5.</w:t>
      </w:r>
      <w:r>
        <w:rPr>
          <w:rFonts w:hint="eastAsia" w:ascii="仿宋" w:hAnsi="仿宋" w:eastAsia="仿宋" w:cs="仿宋"/>
          <w:sz w:val="24"/>
          <w:highlight w:val="none"/>
        </w:rPr>
        <w:t>3 在提交“最后报价”后，供应商不能退出磋商。</w:t>
      </w:r>
    </w:p>
    <w:p w14:paraId="551A26CB">
      <w:pPr>
        <w:spacing w:line="336" w:lineRule="auto"/>
        <w:ind w:firstLine="480" w:firstLineChars="200"/>
        <w:rPr>
          <w:rFonts w:ascii="仿宋" w:hAnsi="仿宋" w:eastAsia="仿宋" w:cs="仿宋"/>
          <w:sz w:val="24"/>
          <w:highlight w:val="none"/>
        </w:rPr>
      </w:pPr>
      <w:r>
        <w:rPr>
          <w:rFonts w:hint="default" w:ascii="仿宋" w:hAnsi="仿宋" w:eastAsia="仿宋" w:cs="仿宋"/>
          <w:sz w:val="24"/>
          <w:highlight w:val="none"/>
          <w:lang w:val="en-US"/>
        </w:rPr>
        <w:t>5</w:t>
      </w:r>
      <w:r>
        <w:rPr>
          <w:rFonts w:hint="eastAsia" w:ascii="仿宋" w:hAnsi="仿宋" w:eastAsia="仿宋" w:cs="仿宋"/>
          <w:sz w:val="24"/>
          <w:highlight w:val="none"/>
        </w:rPr>
        <w:t>.4 电子交易平台收到响应文件，将妥善保存并即时向供应商发出确认回执通知。在响应截止时间前，除供应商补充、修改或者撤回响应文件外，任何单位和个人不得解密或提取响应文件。</w:t>
      </w:r>
    </w:p>
    <w:p w14:paraId="4DF6E698">
      <w:pPr>
        <w:spacing w:line="336" w:lineRule="auto"/>
        <w:ind w:firstLine="480" w:firstLineChars="200"/>
        <w:rPr>
          <w:rFonts w:ascii="仿宋" w:hAnsi="仿宋" w:eastAsia="仿宋" w:cs="仿宋"/>
          <w:b/>
          <w:sz w:val="24"/>
          <w:szCs w:val="24"/>
          <w:highlight w:val="none"/>
        </w:rPr>
      </w:pPr>
      <w:r>
        <w:rPr>
          <w:rFonts w:hint="default" w:ascii="仿宋" w:hAnsi="仿宋" w:eastAsia="仿宋" w:cs="仿宋"/>
          <w:sz w:val="24"/>
          <w:highlight w:val="none"/>
          <w:lang w:val="en-US"/>
        </w:rPr>
        <w:t>5</w:t>
      </w:r>
      <w:r>
        <w:rPr>
          <w:rFonts w:hint="eastAsia" w:ascii="仿宋" w:hAnsi="仿宋" w:eastAsia="仿宋" w:cs="仿宋"/>
          <w:sz w:val="24"/>
          <w:highlight w:val="none"/>
        </w:rPr>
        <w:t>.5 采购代理机构可以视情况延长提交响应文件的截止时间。在上述情况下，采购代理机构与供应商以前在响应截止期方面的全部权利、责任和义务，将适用于延长至新的响应截止期。</w:t>
      </w:r>
    </w:p>
    <w:p w14:paraId="3468B49E">
      <w:pPr>
        <w:pStyle w:val="396"/>
        <w:spacing w:before="0" w:line="336" w:lineRule="auto"/>
        <w:ind w:firstLine="420" w:firstLineChars="200"/>
        <w:rPr>
          <w:rFonts w:ascii="仿宋" w:hAnsi="仿宋" w:eastAsia="仿宋" w:cs="仿宋"/>
          <w:b/>
          <w:szCs w:val="24"/>
          <w:highlight w:val="none"/>
        </w:rPr>
      </w:pPr>
      <w:r>
        <w:rPr>
          <w:rStyle w:val="72"/>
          <w:highlight w:val="none"/>
          <w:lang w:val="en-US"/>
        </w:rPr>
        <w:t>6.</w:t>
      </w:r>
      <w:r>
        <w:rPr>
          <w:rFonts w:hint="eastAsia" w:ascii="仿宋" w:hAnsi="仿宋" w:eastAsia="仿宋" w:cs="仿宋"/>
          <w:b/>
          <w:szCs w:val="24"/>
          <w:highlight w:val="none"/>
        </w:rPr>
        <w:t>磋商响应有效期</w:t>
      </w:r>
    </w:p>
    <w:p w14:paraId="38053140">
      <w:pPr>
        <w:snapToGrid w:val="0"/>
        <w:spacing w:line="336" w:lineRule="auto"/>
        <w:ind w:firstLine="480" w:firstLineChars="200"/>
        <w:jc w:val="left"/>
        <w:rPr>
          <w:rFonts w:ascii="仿宋" w:hAnsi="仿宋" w:eastAsia="仿宋" w:cs="仿宋"/>
          <w:sz w:val="24"/>
          <w:highlight w:val="none"/>
        </w:rPr>
      </w:pPr>
      <w:r>
        <w:rPr>
          <w:rFonts w:hint="default" w:ascii="仿宋" w:hAnsi="仿宋" w:eastAsia="仿宋" w:cs="仿宋"/>
          <w:sz w:val="24"/>
          <w:highlight w:val="none"/>
          <w:lang w:val="en-US"/>
        </w:rPr>
        <w:t>6.</w:t>
      </w:r>
      <w:r>
        <w:rPr>
          <w:rFonts w:hint="eastAsia" w:ascii="仿宋" w:hAnsi="仿宋" w:eastAsia="仿宋" w:cs="仿宋"/>
          <w:sz w:val="24"/>
          <w:highlight w:val="none"/>
        </w:rPr>
        <w:t>1磋商响应有效期为从提交磋商响应文件的截止之日起90天。供应商的磋商响应文件中承诺的磋商响应有效期少于磋商文件中载明的磋商有效期的，磋商无效。</w:t>
      </w:r>
    </w:p>
    <w:p w14:paraId="2DEF9B41">
      <w:pPr>
        <w:snapToGrid w:val="0"/>
        <w:spacing w:line="336" w:lineRule="auto"/>
        <w:ind w:firstLine="480" w:firstLineChars="200"/>
        <w:jc w:val="left"/>
        <w:rPr>
          <w:rFonts w:ascii="仿宋" w:hAnsi="仿宋" w:eastAsia="仿宋" w:cs="仿宋"/>
          <w:sz w:val="24"/>
          <w:highlight w:val="none"/>
        </w:rPr>
      </w:pPr>
      <w:r>
        <w:rPr>
          <w:rFonts w:hint="default" w:ascii="仿宋" w:hAnsi="仿宋" w:eastAsia="仿宋" w:cs="仿宋"/>
          <w:sz w:val="24"/>
          <w:highlight w:val="none"/>
          <w:lang w:val="en-US"/>
        </w:rPr>
        <w:t>6.</w:t>
      </w:r>
      <w:r>
        <w:rPr>
          <w:rFonts w:hint="eastAsia" w:ascii="仿宋" w:hAnsi="仿宋" w:eastAsia="仿宋" w:cs="仿宋"/>
          <w:sz w:val="24"/>
          <w:highlight w:val="none"/>
        </w:rPr>
        <w:t>2磋商响应文件合格投递后，自磋商截止日期起，在磋商有效期内有效。</w:t>
      </w:r>
    </w:p>
    <w:p w14:paraId="5B8BE838">
      <w:pPr>
        <w:snapToGrid w:val="0"/>
        <w:spacing w:line="336" w:lineRule="auto"/>
        <w:ind w:firstLine="480" w:firstLineChars="200"/>
        <w:jc w:val="left"/>
        <w:rPr>
          <w:rFonts w:ascii="仿宋" w:hAnsi="仿宋" w:eastAsia="仿宋" w:cs="仿宋"/>
          <w:sz w:val="24"/>
          <w:highlight w:val="none"/>
        </w:rPr>
      </w:pPr>
      <w:r>
        <w:rPr>
          <w:rFonts w:hint="default" w:ascii="仿宋" w:hAnsi="仿宋" w:eastAsia="仿宋" w:cs="仿宋"/>
          <w:sz w:val="24"/>
          <w:highlight w:val="none"/>
          <w:lang w:val="en-US"/>
        </w:rPr>
        <w:t>6.</w:t>
      </w:r>
      <w:r>
        <w:rPr>
          <w:rFonts w:hint="eastAsia" w:ascii="仿宋" w:hAnsi="仿宋" w:eastAsia="仿宋" w:cs="仿宋"/>
          <w:sz w:val="24"/>
          <w:highlight w:val="none"/>
        </w:rPr>
        <w:t>3在原定磋商有效期满之前，如果出现特殊情况，采购代理机构可以以书面形式通知供应商延长磋商有效期。供应商同意延长的，不得要求或被允许修改其磋商响应文件，供应商拒绝延长的，其磋商无效。</w:t>
      </w:r>
    </w:p>
    <w:p w14:paraId="3887D2CD">
      <w:pPr>
        <w:adjustRightInd/>
        <w:spacing w:line="336" w:lineRule="auto"/>
        <w:outlineLvl w:val="0"/>
        <w:rPr>
          <w:rFonts w:ascii="仿宋" w:hAnsi="仿宋" w:eastAsia="仿宋" w:cs="仿宋"/>
          <w:b/>
          <w:sz w:val="32"/>
          <w:szCs w:val="20"/>
          <w:highlight w:val="none"/>
        </w:rPr>
      </w:pPr>
    </w:p>
    <w:p w14:paraId="29B68E2E">
      <w:pPr>
        <w:adjustRightInd/>
        <w:spacing w:line="336" w:lineRule="auto"/>
        <w:jc w:val="center"/>
        <w:outlineLvl w:val="0"/>
        <w:rPr>
          <w:rFonts w:ascii="仿宋" w:hAnsi="仿宋" w:eastAsia="仿宋" w:cs="仿宋"/>
          <w:b/>
          <w:sz w:val="32"/>
          <w:highlight w:val="none"/>
        </w:rPr>
      </w:pPr>
      <w:r>
        <w:rPr>
          <w:rFonts w:hint="eastAsia" w:ascii="仿宋" w:hAnsi="仿宋" w:eastAsia="仿宋" w:cs="仿宋"/>
          <w:b/>
          <w:sz w:val="32"/>
          <w:szCs w:val="20"/>
          <w:highlight w:val="none"/>
        </w:rPr>
        <w:t>四、</w:t>
      </w:r>
      <w:r>
        <w:rPr>
          <w:rFonts w:hint="eastAsia" w:ascii="仿宋" w:hAnsi="仿宋" w:eastAsia="仿宋" w:cs="仿宋"/>
          <w:b/>
          <w:sz w:val="32"/>
          <w:szCs w:val="32"/>
          <w:highlight w:val="none"/>
        </w:rPr>
        <w:t>磋商和评审</w:t>
      </w:r>
    </w:p>
    <w:p w14:paraId="101EC7A9">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1．磋商程序</w:t>
      </w:r>
    </w:p>
    <w:p w14:paraId="23A983F1">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1.1响应截止时间后，主持人宣布磋商开始。</w:t>
      </w:r>
    </w:p>
    <w:p w14:paraId="40ADC0EA">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1.2供应商登录政采云平台，用“项目采购-开标评标”功能对电子磋商响应文件进行在线解密。在线解密电子磋商响应文件时间为磋商截止时间起30分钟内。</w:t>
      </w:r>
    </w:p>
    <w:p w14:paraId="356188A2">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1.3确定各供应商磋商、演示顺序（如有要求）。</w:t>
      </w:r>
    </w:p>
    <w:p w14:paraId="16DC5AF5">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1.4磋商小组对磋商响应文件进行评估和比较。</w:t>
      </w:r>
    </w:p>
    <w:p w14:paraId="3971C5A5">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1.5磋商小组与单一供应商分别进行磋商。</w:t>
      </w:r>
    </w:p>
    <w:p w14:paraId="783868E3">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bCs/>
          <w:sz w:val="24"/>
          <w:highlight w:val="none"/>
        </w:rPr>
        <w:t>1.6</w:t>
      </w:r>
      <w:r>
        <w:rPr>
          <w:rFonts w:hint="eastAsia" w:ascii="仿宋" w:hAnsi="仿宋" w:eastAsia="仿宋" w:cs="仿宋"/>
          <w:b/>
          <w:bCs/>
          <w:sz w:val="24"/>
          <w:highlight w:val="none"/>
        </w:rPr>
        <w:t>磋商小组要求所有实质性响应的供应商在规定时间内提交最后报价（只公开最后报价，最后报价不得高于初次报价）。</w:t>
      </w:r>
    </w:p>
    <w:p w14:paraId="4820D0AF">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14:paraId="23E42C86">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1.8主持人公布磋商结果。</w:t>
      </w:r>
    </w:p>
    <w:p w14:paraId="71A58003">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特别说明：政采云公司如对电子化磋商程序有调整的，按调整后的程序操作。</w:t>
      </w:r>
    </w:p>
    <w:p w14:paraId="11C40A75">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2.采购过程中出现以下情形，导致电子交易平台无法正常运行，或者无法保证电子交易的公平、公正和安全时，采购组织机构可中止电子交易活动：</w:t>
      </w:r>
    </w:p>
    <w:p w14:paraId="1B815A82">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2.1电子交易平台发生故障而无法登录访问的； </w:t>
      </w:r>
    </w:p>
    <w:p w14:paraId="3F77E353">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2.2电子交易平台应用或数据库出现错误，不能进行正常操作的；</w:t>
      </w:r>
    </w:p>
    <w:p w14:paraId="29D70BB9">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2.3电子交易平台发现严重安全漏洞，有潜在泄密危险的；</w:t>
      </w:r>
    </w:p>
    <w:p w14:paraId="0AB83688">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2.4病毒发作导致不能进行正常操作的； </w:t>
      </w:r>
    </w:p>
    <w:p w14:paraId="3A0C892C">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2.5其他无法保证电子交易的公平、公正和安全的情况。</w:t>
      </w:r>
    </w:p>
    <w:p w14:paraId="25BE2FFF">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1FCFE22">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磋商内容</w:t>
      </w:r>
    </w:p>
    <w:p w14:paraId="6E031A7C">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3.1本次磋商内容为在磋商文件范围内就供应商的磋商响应文件，磋商小组与供应商在技术、价格、服务、合同等问题进行磋商，最终确定成交与否。</w:t>
      </w:r>
    </w:p>
    <w:p w14:paraId="4F269869">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3.2磋商应作书面记录，供应商并就磋商内容作出书面承诺，并由供应商法定代表人或其授权委托人签字后生效，作为磋商响应文件的一部分。</w:t>
      </w:r>
    </w:p>
    <w:p w14:paraId="6FA59B8F">
      <w:pPr>
        <w:spacing w:line="336"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3.3磋商文件有实质性变动的，磋商小组以书面形式通知所有参加磋商的供应商。</w:t>
      </w:r>
    </w:p>
    <w:p w14:paraId="709C8C4E">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磋商</w:t>
      </w:r>
    </w:p>
    <w:p w14:paraId="03E2FA8F">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4.1磋商小组由采购人依法组建，负责评审活动。磋商小组遵循公开、公平、公正、科学合理、竞争择优的原则。</w:t>
      </w:r>
    </w:p>
    <w:p w14:paraId="51B608F5">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4.2磋商小组由采购人代表和有关方面的专家组成，成员人数为3人以上单数。</w:t>
      </w:r>
    </w:p>
    <w:p w14:paraId="47AB3CBC">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4.3磋商小组负责对供应商资格的最终审定。</w:t>
      </w:r>
    </w:p>
    <w:p w14:paraId="1B19D488">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4.4磋商小组可以要求供应商对其磋商响应文件中含义不明确的内容作必要的澄清或者说明，但澄清或者说明不得超过磋商响应文件的范围或者改变磋商响应文件的实质性内容。</w:t>
      </w:r>
    </w:p>
    <w:p w14:paraId="2105A768">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37C5FFF">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供应商通过政采云平台交换的数据电文必须进行电子签章。</w:t>
      </w:r>
    </w:p>
    <w:p w14:paraId="2B6B17F5">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0BCA2250">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B9B3FE7">
      <w:pPr>
        <w:widowControl/>
        <w:snapToGrid w:val="0"/>
        <w:spacing w:line="336"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4.6</w:t>
      </w:r>
      <w:r>
        <w:rPr>
          <w:rFonts w:hint="eastAsia" w:ascii="仿宋" w:hAnsi="仿宋" w:eastAsia="仿宋" w:cs="仿宋"/>
          <w:sz w:val="24"/>
          <w:highlight w:val="none"/>
        </w:rPr>
        <w:t>磋商小组</w:t>
      </w:r>
      <w:r>
        <w:rPr>
          <w:rFonts w:hint="eastAsia" w:ascii="仿宋" w:hAnsi="仿宋" w:eastAsia="仿宋" w:cs="仿宋"/>
          <w:kern w:val="0"/>
          <w:sz w:val="24"/>
          <w:highlight w:val="none"/>
        </w:rPr>
        <w:t>对磋商响应文件的判定，只依据磋商响应文件和磋商文件内容本身，不依据任何外来证明。</w:t>
      </w:r>
    </w:p>
    <w:p w14:paraId="5F6CB832">
      <w:pPr>
        <w:widowControl/>
        <w:snapToGrid w:val="0"/>
        <w:spacing w:line="336"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4.7磋商小组不向落标方解释落标的原因，不退还磋商响应文件。</w:t>
      </w:r>
    </w:p>
    <w:p w14:paraId="510EC70A">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磋商响应文件的初审鉴定</w:t>
      </w:r>
    </w:p>
    <w:p w14:paraId="24370716">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5.1资格性审查</w:t>
      </w:r>
    </w:p>
    <w:p w14:paraId="50601923">
      <w:pPr>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5.1.1依据法律、法规和磋商文件规定，对磋商响应文件中对资格证明、磋商保证金等进行审查，以确定供应商是否具备磋商资格。</w:t>
      </w:r>
    </w:p>
    <w:p w14:paraId="3DB9C06F">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5.2符合性审查</w:t>
      </w:r>
    </w:p>
    <w:p w14:paraId="490C3167">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32EA02A0">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5.3如果磋商响应文件实质不响应磋商文件的各项要求，磋商小组将予以拒绝，并且不允许供应商通过修改或撤销其不符合要求的差异或保留，使之成为具有响应性的磋商。</w:t>
      </w:r>
    </w:p>
    <w:p w14:paraId="0F59D7E3">
      <w:pPr>
        <w:widowControl/>
        <w:snapToGrid w:val="0"/>
        <w:spacing w:line="336"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en-US" w:eastAsia="zh-CN"/>
        </w:rPr>
        <w:t>.</w:t>
      </w:r>
      <w:r>
        <w:rPr>
          <w:rFonts w:hint="eastAsia" w:ascii="仿宋" w:hAnsi="仿宋" w:eastAsia="仿宋" w:cs="仿宋"/>
          <w:b/>
          <w:kern w:val="0"/>
          <w:sz w:val="24"/>
          <w:highlight w:val="none"/>
        </w:rPr>
        <w:t>对明显的文字和计算错误的修正原则</w:t>
      </w:r>
    </w:p>
    <w:p w14:paraId="5A1CCFDC">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6.1磋商响应文件中报价一览表（报价表）内容与磋商响应文件中相应内容不一致的，以报价一览表（报价表）为准；</w:t>
      </w:r>
    </w:p>
    <w:p w14:paraId="4A304642">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6.2大写金额和小写金额不一致的，以大写金额为准；</w:t>
      </w:r>
    </w:p>
    <w:p w14:paraId="25E47A11">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6.3单价金额小数点或者百分比有明显错位的，以报价一览表的总价为准，并修改单价；</w:t>
      </w:r>
    </w:p>
    <w:p w14:paraId="2BFDCADF">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6.4总价金额与按单价汇总金额不一致的，以单价金额计算结果为准。</w:t>
      </w:r>
    </w:p>
    <w:p w14:paraId="34460943">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同时出现两种以上不一致的，按照前款规定的顺序修正。</w:t>
      </w:r>
      <w:r>
        <w:rPr>
          <w:rFonts w:hint="eastAsia" w:ascii="仿宋" w:hAnsi="仿宋" w:eastAsia="仿宋" w:cs="仿宋"/>
          <w:bCs/>
          <w:sz w:val="24"/>
          <w:highlight w:val="none"/>
        </w:rPr>
        <w:t>修正后的报价按照财政部公布第87号令《政府采购货物和服务招标投标管理办法》</w:t>
      </w:r>
      <w:r>
        <w:rPr>
          <w:rFonts w:hint="eastAsia" w:ascii="仿宋" w:hAnsi="仿宋" w:eastAsia="仿宋" w:cs="仿宋"/>
          <w:sz w:val="24"/>
          <w:highlight w:val="none"/>
        </w:rPr>
        <w:t>第五十一条第二款的规定经磋商响应人确认后产生约束力，磋商响应人不确认的，其磋商无效。</w:t>
      </w:r>
    </w:p>
    <w:p w14:paraId="7DC6757B">
      <w:pPr>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7.磋商响应文件的评审、比较和否决</w:t>
      </w:r>
    </w:p>
    <w:p w14:paraId="3F837150">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7.1磋商小组将对在实质上响应磋商文件要求的磋商响应文件进行评估和比较。</w:t>
      </w:r>
    </w:p>
    <w:p w14:paraId="2EA79EF0">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7.2磋商小组可以书面形式要求供应商就磋商响应文件含义不明确的内容进行书面说明并提供相关材料。</w:t>
      </w:r>
    </w:p>
    <w:p w14:paraId="26391893">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7.3如发现与磋商文件要求相偏离的，磋商小组应对其偏离情形进行必要的书面核实。</w:t>
      </w:r>
    </w:p>
    <w:p w14:paraId="4E60CEE1">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7.4如属于实质性偏离或符合无效响应条件的，磋商小组应当询问相关供应商，并允许其进行陈述申辩，但不允许对偏离条款撤回。</w:t>
      </w:r>
    </w:p>
    <w:p w14:paraId="09BC95C6">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7.5比较与评价。磋商小组依据磋商文件规定的评审标准和方法，对磋商响应文件进行商务和技术评估，综合比较与评价。</w:t>
      </w:r>
    </w:p>
    <w:p w14:paraId="14118DD8">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7.6汇总（商务技术得分情况）。磋商小组各成员应当独立对每个供应商的磋商响应文件进行评价，并汇总商务技术得分情况。</w:t>
      </w:r>
    </w:p>
    <w:p w14:paraId="5EDE7B2B">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7.7 报价审核。对符合采购需求且通过商务技术（资信）评审的供应商的报价的合理性、准确性等进行审查核实。</w:t>
      </w:r>
    </w:p>
    <w:p w14:paraId="2C605E7A">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14:paraId="01A37291">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7.7.2根据财政部发布的《政府采购促进中小企业发展暂行办法》规定，对于非专门面向中小企业的项目，对小型和微型企业产品的价格给予一定的扣除，用扣除后的价格参与评审。</w:t>
      </w:r>
    </w:p>
    <w:p w14:paraId="74503DD9">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7.7.3如需磋商价格修正，按财政部第87号令第五十九条的规定对磋商价格进行修正。</w:t>
      </w:r>
    </w:p>
    <w:p w14:paraId="566CAB92">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7.8磋商小组依据磋商文件规定的评标标准和方法，对磋商响应文件进行评审和比较后，向</w:t>
      </w:r>
      <w:r>
        <w:rPr>
          <w:rFonts w:hint="eastAsia" w:ascii="仿宋" w:hAnsi="仿宋" w:eastAsia="仿宋" w:cs="仿宋"/>
          <w:sz w:val="24"/>
          <w:highlight w:val="none"/>
          <w:lang w:eastAsia="zh-CN"/>
        </w:rPr>
        <w:t>采购人或其委托的采购代理机构</w:t>
      </w:r>
      <w:r>
        <w:rPr>
          <w:rFonts w:hint="eastAsia" w:ascii="仿宋" w:hAnsi="仿宋" w:eastAsia="仿宋" w:cs="仿宋"/>
          <w:sz w:val="24"/>
          <w:highlight w:val="none"/>
        </w:rPr>
        <w:t>提供书面磋商报告，并按得分高低排序推荐中标候选供应商。</w:t>
      </w:r>
    </w:p>
    <w:p w14:paraId="28D44227">
      <w:pPr>
        <w:pStyle w:val="16"/>
        <w:tabs>
          <w:tab w:val="clear" w:pos="390"/>
        </w:tabs>
        <w:spacing w:line="336" w:lineRule="auto"/>
        <w:ind w:left="0" w:firstLine="482" w:firstLineChars="200"/>
        <w:rPr>
          <w:rFonts w:ascii="仿宋" w:hAnsi="仿宋" w:eastAsia="仿宋" w:cs="仿宋"/>
          <w:b/>
          <w:highlight w:val="none"/>
        </w:rPr>
      </w:pPr>
      <w:r>
        <w:rPr>
          <w:rFonts w:hint="eastAsia" w:ascii="仿宋" w:hAnsi="仿宋" w:eastAsia="仿宋" w:cs="仿宋"/>
          <w:b/>
          <w:highlight w:val="none"/>
        </w:rPr>
        <w:t>8.磋商响应文件的澄清</w:t>
      </w:r>
    </w:p>
    <w:p w14:paraId="23742215">
      <w:pPr>
        <w:pStyle w:val="16"/>
        <w:tabs>
          <w:tab w:val="clear" w:pos="390"/>
        </w:tabs>
        <w:spacing w:line="336" w:lineRule="auto"/>
        <w:ind w:left="0" w:firstLine="480" w:firstLineChars="200"/>
        <w:rPr>
          <w:rFonts w:ascii="仿宋" w:hAnsi="仿宋" w:eastAsia="仿宋" w:cs="仿宋"/>
          <w:highlight w:val="none"/>
        </w:rPr>
      </w:pPr>
      <w:r>
        <w:rPr>
          <w:rFonts w:hint="eastAsia" w:ascii="仿宋" w:hAnsi="仿宋" w:eastAsia="仿宋" w:cs="仿宋"/>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E42F97F">
      <w:pPr>
        <w:pStyle w:val="33"/>
        <w:snapToGrid w:val="0"/>
        <w:spacing w:line="336" w:lineRule="auto"/>
        <w:ind w:firstLine="482" w:firstLineChars="200"/>
        <w:jc w:val="left"/>
        <w:rPr>
          <w:rFonts w:ascii="仿宋" w:hAnsi="仿宋" w:eastAsia="仿宋" w:cs="仿宋"/>
          <w:b/>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sz w:val="24"/>
          <w:szCs w:val="24"/>
          <w:highlight w:val="none"/>
          <w:lang w:val="en-US" w:eastAsia="zh-CN"/>
        </w:rPr>
        <w:t>.</w:t>
      </w:r>
      <w:r>
        <w:rPr>
          <w:rFonts w:hint="eastAsia" w:ascii="仿宋" w:hAnsi="仿宋" w:eastAsia="仿宋" w:cs="仿宋"/>
          <w:b/>
          <w:sz w:val="24"/>
          <w:szCs w:val="24"/>
          <w:highlight w:val="none"/>
        </w:rPr>
        <w:t>无效磋商的情形</w:t>
      </w:r>
    </w:p>
    <w:p w14:paraId="0394B546">
      <w:pPr>
        <w:tabs>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磋商响应文件有下列情形之一的作无效磋商响应处理：</w:t>
      </w:r>
    </w:p>
    <w:p w14:paraId="3BAFCC1A">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9.1磋商响应文件未按照磋商文件规定要求电子签章、签字或盖章的；</w:t>
      </w:r>
    </w:p>
    <w:p w14:paraId="0177BD1A">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9.2单位负责人为同一人或者存在直接控股、管理关系的不同供应商参加同一合同项下的政府采购活动的（均无效）；</w:t>
      </w:r>
    </w:p>
    <w:p w14:paraId="4F7893D9">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 xml:space="preserve">9.3为采购项目提供整体设计、规范编制或者项目管理、监理、检测等服务的供应商参加该采购项目的其他采购活动的； </w:t>
      </w:r>
    </w:p>
    <w:p w14:paraId="42F82E45">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9.4供应商不具备磋商文件中规定的资格要求的（供应商未提供有效的资格证明文件的，视为其不具备磋商文件中规定的资格要求）；</w:t>
      </w:r>
    </w:p>
    <w:p w14:paraId="537FA1BF">
      <w:pPr>
        <w:snapToGrid w:val="0"/>
        <w:spacing w:line="336" w:lineRule="auto"/>
        <w:ind w:firstLine="482" w:firstLineChars="200"/>
        <w:jc w:val="left"/>
        <w:rPr>
          <w:rFonts w:ascii="仿宋" w:hAnsi="仿宋" w:eastAsia="仿宋" w:cs="仿宋"/>
          <w:b/>
          <w:kern w:val="0"/>
          <w:sz w:val="24"/>
          <w:highlight w:val="none"/>
        </w:rPr>
      </w:pPr>
      <w:r>
        <w:rPr>
          <w:rFonts w:hint="eastAsia" w:ascii="仿宋" w:hAnsi="仿宋" w:eastAsia="仿宋" w:cs="仿宋"/>
          <w:b/>
          <w:sz w:val="24"/>
          <w:highlight w:val="none"/>
        </w:rPr>
        <w:t>9.5</w:t>
      </w:r>
      <w:r>
        <w:rPr>
          <w:rFonts w:hint="eastAsia" w:ascii="仿宋" w:hAnsi="仿宋" w:eastAsia="仿宋" w:cs="仿宋"/>
          <w:b/>
          <w:kern w:val="0"/>
          <w:sz w:val="24"/>
          <w:highlight w:val="none"/>
        </w:rPr>
        <w:t>《法定代表人身份证明书》与提供的身份证复印件信息不符的；《法定代表人授权委托书》与提供的身份证复印件信息不符的；</w:t>
      </w:r>
    </w:p>
    <w:p w14:paraId="6B0FF8A9">
      <w:pPr>
        <w:snapToGrid w:val="0"/>
        <w:spacing w:line="336"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9.6《法定代表人授权委托书》或《法定代表人身份证明书》填写不全、错误、未加盖公章(《法定代表人授权委托书》要求“电子签章”和“签字或盖章”缺一不可）的；</w:t>
      </w:r>
    </w:p>
    <w:p w14:paraId="6C68C96D">
      <w:pPr>
        <w:snapToGrid w:val="0"/>
        <w:spacing w:line="336"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9.7授权代表非磋商响应单位正式职工（以社保证明为准，如授权代表为离退休返聘人员的，需提供退休证明及单位聘用证明</w:t>
      </w:r>
      <w:r>
        <w:rPr>
          <w:rFonts w:hint="eastAsia" w:ascii="仿宋" w:hAnsi="仿宋" w:eastAsia="仿宋" w:cs="仿宋"/>
          <w:b/>
          <w:bCs/>
          <w:sz w:val="24"/>
          <w:highlight w:val="none"/>
        </w:rPr>
        <w:t>)，</w:t>
      </w:r>
      <w:r>
        <w:rPr>
          <w:rFonts w:hint="eastAsia" w:ascii="仿宋" w:hAnsi="仿宋" w:eastAsia="仿宋" w:cs="仿宋"/>
          <w:b/>
          <w:kern w:val="0"/>
          <w:sz w:val="24"/>
          <w:highlight w:val="none"/>
        </w:rPr>
        <w:t>法定代表人及个体工商户除外；</w:t>
      </w:r>
    </w:p>
    <w:p w14:paraId="2FD641CE">
      <w:pPr>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kern w:val="0"/>
          <w:sz w:val="24"/>
          <w:highlight w:val="none"/>
        </w:rPr>
        <w:t>9.</w:t>
      </w:r>
      <w:r>
        <w:rPr>
          <w:rFonts w:hint="eastAsia" w:ascii="仿宋" w:hAnsi="仿宋" w:eastAsia="仿宋" w:cs="仿宋"/>
          <w:b/>
          <w:sz w:val="24"/>
          <w:highlight w:val="none"/>
        </w:rPr>
        <w:t>8磋商响应文件中的磋商响应函无供应商电子签章或填写不全的；</w:t>
      </w:r>
    </w:p>
    <w:p w14:paraId="12D48965">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kern w:val="0"/>
          <w:sz w:val="24"/>
          <w:highlight w:val="none"/>
        </w:rPr>
        <w:t>9.9</w:t>
      </w:r>
      <w:r>
        <w:rPr>
          <w:rFonts w:hint="eastAsia" w:ascii="仿宋" w:hAnsi="仿宋" w:eastAsia="仿宋" w:cs="仿宋"/>
          <w:b/>
          <w:sz w:val="24"/>
          <w:highlight w:val="none"/>
        </w:rPr>
        <w:t>供应商递交两份或两份以上内容不同的磋商响应文件，且未声明哪一份有效的；</w:t>
      </w:r>
    </w:p>
    <w:p w14:paraId="63DC4808">
      <w:pPr>
        <w:pStyle w:val="33"/>
        <w:snapToGrid w:val="0"/>
        <w:spacing w:line="336" w:lineRule="auto"/>
        <w:ind w:firstLine="482" w:firstLineChars="200"/>
        <w:jc w:val="left"/>
        <w:rPr>
          <w:rFonts w:ascii="仿宋" w:hAnsi="仿宋" w:eastAsia="仿宋" w:cs="仿宋"/>
          <w:b/>
          <w:sz w:val="24"/>
          <w:szCs w:val="24"/>
          <w:highlight w:val="none"/>
        </w:rPr>
      </w:pPr>
      <w:r>
        <w:rPr>
          <w:rFonts w:hint="eastAsia" w:ascii="仿宋" w:hAnsi="仿宋" w:eastAsia="仿宋" w:cs="仿宋"/>
          <w:b/>
          <w:sz w:val="24"/>
          <w:highlight w:val="none"/>
        </w:rPr>
        <w:t>9.10报价一经涂改，涂改处无磋商响应单位电子签章或者未经法定代表人或授权代表签字或盖章的；</w:t>
      </w:r>
    </w:p>
    <w:p w14:paraId="54E57FB1">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kern w:val="0"/>
          <w:sz w:val="24"/>
          <w:highlight w:val="none"/>
        </w:rPr>
        <w:t>9.11</w:t>
      </w:r>
      <w:r>
        <w:rPr>
          <w:rFonts w:hint="eastAsia" w:ascii="仿宋" w:hAnsi="仿宋" w:eastAsia="仿宋" w:cs="仿宋"/>
          <w:b/>
          <w:sz w:val="24"/>
          <w:highlight w:val="none"/>
        </w:rPr>
        <w:t>磋商响应文件中未按磋商响应文件规定的格式填写，或未详细应答磋商服务（或技术或产品等要求），经磋商后仍无法详细应答或应答不完整有缺失，致使磋商小组无法评审的；</w:t>
      </w:r>
    </w:p>
    <w:p w14:paraId="4EF0DDD2">
      <w:pPr>
        <w:pStyle w:val="33"/>
        <w:snapToGrid w:val="0"/>
        <w:spacing w:line="336" w:lineRule="auto"/>
        <w:ind w:firstLine="482" w:firstLineChars="200"/>
        <w:jc w:val="left"/>
        <w:rPr>
          <w:rFonts w:ascii="仿宋" w:hAnsi="仿宋" w:eastAsia="仿宋" w:cs="仿宋"/>
          <w:b/>
          <w:sz w:val="24"/>
          <w:szCs w:val="24"/>
          <w:highlight w:val="none"/>
        </w:rPr>
      </w:pPr>
      <w:r>
        <w:rPr>
          <w:rFonts w:hint="eastAsia" w:ascii="仿宋" w:hAnsi="仿宋" w:eastAsia="仿宋" w:cs="仿宋"/>
          <w:b/>
          <w:sz w:val="24"/>
          <w:szCs w:val="24"/>
          <w:highlight w:val="none"/>
        </w:rPr>
        <w:t>9.12出现同一标的物或本次磋商产品(服务)内的主要产品(重要组成部分)出现</w:t>
      </w:r>
      <w:r>
        <w:rPr>
          <w:rFonts w:hint="eastAsia" w:ascii="仿宋" w:hAnsi="仿宋" w:eastAsia="仿宋" w:cs="仿宋"/>
          <w:b/>
          <w:sz w:val="24"/>
          <w:highlight w:val="none"/>
          <w:lang w:eastAsia="zh-CN"/>
        </w:rPr>
        <w:t>商务技术文件</w:t>
      </w:r>
      <w:r>
        <w:rPr>
          <w:rFonts w:hint="eastAsia" w:ascii="仿宋" w:hAnsi="仿宋" w:eastAsia="仿宋" w:cs="仿宋"/>
          <w:b/>
          <w:sz w:val="24"/>
          <w:highlight w:val="none"/>
        </w:rPr>
        <w:t>资料</w:t>
      </w:r>
      <w:r>
        <w:rPr>
          <w:rFonts w:hint="eastAsia" w:ascii="仿宋" w:hAnsi="仿宋" w:eastAsia="仿宋" w:cs="仿宋"/>
          <w:b/>
          <w:sz w:val="24"/>
          <w:szCs w:val="24"/>
          <w:highlight w:val="none"/>
        </w:rPr>
        <w:t>、</w:t>
      </w:r>
      <w:r>
        <w:rPr>
          <w:rFonts w:hint="eastAsia" w:ascii="仿宋" w:hAnsi="仿宋" w:eastAsia="仿宋" w:cs="仿宋"/>
          <w:b/>
          <w:sz w:val="24"/>
          <w:highlight w:val="none"/>
        </w:rPr>
        <w:t>报价文件资料</w:t>
      </w:r>
      <w:r>
        <w:rPr>
          <w:rFonts w:hint="eastAsia" w:ascii="仿宋" w:hAnsi="仿宋" w:eastAsia="仿宋" w:cs="仿宋"/>
          <w:b/>
          <w:sz w:val="24"/>
          <w:szCs w:val="24"/>
          <w:highlight w:val="none"/>
        </w:rPr>
        <w:t>描述不一致或前后描述不一致，经磋商小组认定后为无法评审的；</w:t>
      </w:r>
    </w:p>
    <w:p w14:paraId="551BBFDB">
      <w:pPr>
        <w:pStyle w:val="33"/>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kern w:val="0"/>
          <w:sz w:val="24"/>
          <w:highlight w:val="none"/>
        </w:rPr>
        <w:t>9.13</w:t>
      </w:r>
      <w:r>
        <w:rPr>
          <w:rFonts w:hint="eastAsia" w:ascii="仿宋" w:hAnsi="仿宋" w:eastAsia="仿宋" w:cs="仿宋"/>
          <w:b/>
          <w:sz w:val="24"/>
          <w:szCs w:val="24"/>
          <w:highlight w:val="none"/>
        </w:rPr>
        <w:t>《</w:t>
      </w:r>
      <w:r>
        <w:rPr>
          <w:rFonts w:hint="eastAsia" w:ascii="仿宋" w:hAnsi="仿宋" w:eastAsia="仿宋" w:cs="仿宋"/>
          <w:b/>
          <w:sz w:val="24"/>
          <w:highlight w:val="none"/>
        </w:rPr>
        <w:t>技术偏离说明表</w:t>
      </w:r>
      <w:r>
        <w:rPr>
          <w:rFonts w:hint="eastAsia" w:ascii="仿宋" w:hAnsi="仿宋" w:eastAsia="仿宋" w:cs="仿宋"/>
          <w:b/>
          <w:sz w:val="24"/>
          <w:szCs w:val="24"/>
          <w:highlight w:val="none"/>
        </w:rPr>
        <w:t>》</w:t>
      </w:r>
      <w:r>
        <w:rPr>
          <w:rFonts w:hint="eastAsia" w:ascii="仿宋" w:hAnsi="仿宋" w:eastAsia="仿宋" w:cs="仿宋"/>
          <w:b/>
          <w:sz w:val="24"/>
          <w:highlight w:val="none"/>
        </w:rPr>
        <w:t>不真实填写或弄虚作假的；</w:t>
      </w:r>
    </w:p>
    <w:p w14:paraId="716B6349">
      <w:pPr>
        <w:tabs>
          <w:tab w:val="left" w:pos="3870"/>
          <w:tab w:val="left" w:pos="4085"/>
        </w:tabs>
        <w:snapToGrid w:val="0"/>
        <w:spacing w:line="336" w:lineRule="auto"/>
        <w:ind w:firstLine="482" w:firstLineChars="200"/>
        <w:jc w:val="left"/>
        <w:rPr>
          <w:rFonts w:ascii="仿宋" w:hAnsi="仿宋" w:eastAsia="仿宋" w:cs="仿宋"/>
          <w:b/>
          <w:kern w:val="0"/>
          <w:sz w:val="24"/>
          <w:highlight w:val="none"/>
        </w:rPr>
      </w:pPr>
      <w:r>
        <w:rPr>
          <w:rFonts w:hint="eastAsia" w:ascii="仿宋" w:hAnsi="仿宋" w:eastAsia="仿宋" w:cs="仿宋"/>
          <w:b/>
          <w:sz w:val="24"/>
          <w:highlight w:val="none"/>
        </w:rPr>
        <w:t>9.14</w:t>
      </w:r>
      <w:r>
        <w:rPr>
          <w:rFonts w:hint="eastAsia" w:ascii="仿宋" w:hAnsi="仿宋" w:eastAsia="仿宋" w:cs="仿宋"/>
          <w:b/>
          <w:kern w:val="0"/>
          <w:sz w:val="24"/>
          <w:highlight w:val="none"/>
        </w:rPr>
        <w:t>磋商响应文件有采购人不能接受的条件；</w:t>
      </w:r>
    </w:p>
    <w:p w14:paraId="49DFB199">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kern w:val="0"/>
          <w:sz w:val="24"/>
          <w:highlight w:val="none"/>
        </w:rPr>
        <w:t>9.15</w:t>
      </w:r>
      <w:r>
        <w:rPr>
          <w:rFonts w:hint="eastAsia" w:ascii="仿宋" w:hAnsi="仿宋" w:eastAsia="仿宋" w:cs="仿宋"/>
          <w:b/>
          <w:sz w:val="24"/>
          <w:highlight w:val="none"/>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18D55498">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9.16最后报价超过预算金额或上限价的；</w:t>
      </w:r>
    </w:p>
    <w:p w14:paraId="50C558E0">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9.17磋商小组认定有重大偏差或实质性不响应磋商文件要求的；</w:t>
      </w:r>
    </w:p>
    <w:p w14:paraId="7C4A6E0F">
      <w:pPr>
        <w:tabs>
          <w:tab w:val="left" w:pos="3870"/>
          <w:tab w:val="left" w:pos="4085"/>
        </w:tabs>
        <w:snapToGrid w:val="0"/>
        <w:spacing w:line="336" w:lineRule="auto"/>
        <w:ind w:firstLine="482" w:firstLineChars="200"/>
        <w:jc w:val="left"/>
        <w:rPr>
          <w:rFonts w:ascii="仿宋" w:hAnsi="仿宋" w:eastAsia="仿宋" w:cs="仿宋"/>
          <w:b/>
          <w:sz w:val="24"/>
          <w:szCs w:val="21"/>
          <w:highlight w:val="none"/>
        </w:rPr>
      </w:pPr>
      <w:r>
        <w:rPr>
          <w:rFonts w:hint="eastAsia" w:ascii="仿宋" w:hAnsi="仿宋" w:eastAsia="仿宋" w:cs="仿宋"/>
          <w:b/>
          <w:sz w:val="24"/>
          <w:szCs w:val="21"/>
          <w:highlight w:val="none"/>
        </w:rPr>
        <w:t>9.18采购人拟采购的产品属于政府强制采购的节能产品品目清单范围的，供应商未按磋商文件要求提供国家确定的认证机构出具的、处于有效期之内的节能产品认证证书的；</w:t>
      </w:r>
    </w:p>
    <w:p w14:paraId="6F461477">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9.19《报价一览表》填写不完整或字迹不能辨认或有漏项的；</w:t>
      </w:r>
    </w:p>
    <w:p w14:paraId="11B3662C">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9.20供应商对根据修正原则修正后的报价不确认的；</w:t>
      </w:r>
    </w:p>
    <w:p w14:paraId="4F5C00FC">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9.21供应商提供虚假材料磋商的（包括但不限于以下情节）；</w:t>
      </w:r>
    </w:p>
    <w:p w14:paraId="416E08B5">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9.21.1使用伪造、变造的许可证件；</w:t>
      </w:r>
    </w:p>
    <w:p w14:paraId="4F68089D">
      <w:pPr>
        <w:tabs>
          <w:tab w:val="left" w:pos="3870"/>
          <w:tab w:val="left" w:pos="4085"/>
        </w:tabs>
        <w:snapToGrid w:val="0"/>
        <w:spacing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9.21.2提供虚假的财务状况或者业绩；</w:t>
      </w:r>
    </w:p>
    <w:p w14:paraId="53194743">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9.21.3提供虚假的项目负责人或者主要技术人员简历、劳动关系证明；</w:t>
      </w:r>
    </w:p>
    <w:p w14:paraId="221AF23A">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9.21.4提供虚假的信用状况；</w:t>
      </w:r>
    </w:p>
    <w:p w14:paraId="366C85B3">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9.21.5其他弄虚作假的行为。</w:t>
      </w:r>
    </w:p>
    <w:p w14:paraId="70965D0C">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9.22有下列情形之一的，视为供应商串通磋商，其磋商无效：</w:t>
      </w:r>
    </w:p>
    <w:p w14:paraId="0F40E356">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9.22.1不同供应商的磋商响应文件由同一单位或者个人编制；</w:t>
      </w:r>
    </w:p>
    <w:p w14:paraId="3EF6DB66">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9.22.2不同供应商委托同一单位或者个人办理磋商事宜；</w:t>
      </w:r>
    </w:p>
    <w:p w14:paraId="17419F4E">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9.22.3不同供应商的磋商响应文件载明的项目管理成员或者联系人员为同一人；</w:t>
      </w:r>
    </w:p>
    <w:p w14:paraId="2A1DED06">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9.22.4不同供应商的磋商响应文件异常一致或者磋商报价呈规律性差异；</w:t>
      </w:r>
    </w:p>
    <w:p w14:paraId="26702669">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9.22.5不同供应商的磋商响应文件相互混装；</w:t>
      </w:r>
    </w:p>
    <w:p w14:paraId="08C1CE42">
      <w:pPr>
        <w:tabs>
          <w:tab w:val="left" w:pos="3870"/>
          <w:tab w:val="left" w:pos="4085"/>
        </w:tabs>
        <w:snapToGrid w:val="0"/>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14:paraId="6219F65A">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9.23有下列情形之一的，属于恶意串通，其磋商无效：</w:t>
      </w:r>
    </w:p>
    <w:p w14:paraId="0B5B5096">
      <w:pPr>
        <w:spacing w:line="336"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9.23.1供应商直接或者间接从采购人或者采购机构处获得其他供应商的相关情况并修改其磋商响应文件；</w:t>
      </w:r>
    </w:p>
    <w:p w14:paraId="516B2D53">
      <w:pPr>
        <w:spacing w:line="336"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9.23.2供应商按照采购人或者采购机构的授意撤换、修改磋商响应文件；</w:t>
      </w:r>
    </w:p>
    <w:p w14:paraId="3B03635E">
      <w:pPr>
        <w:spacing w:line="336"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9.23.3供应商之间协商报价、技术方案等磋商响应文件的实质性内容；</w:t>
      </w:r>
    </w:p>
    <w:p w14:paraId="49A42B69">
      <w:pPr>
        <w:spacing w:line="336"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9.23.4属于同一集团、协会、商会等组织成员的供应商按照该组织要求协同参加政府采购活动；</w:t>
      </w:r>
    </w:p>
    <w:p w14:paraId="2C0DB5FB">
      <w:pPr>
        <w:spacing w:line="336"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9.23.5供应商之间事先约定由某一特定供应商中标、成交；</w:t>
      </w:r>
    </w:p>
    <w:p w14:paraId="4FACB206">
      <w:pPr>
        <w:spacing w:line="336" w:lineRule="auto"/>
        <w:ind w:firstLine="480" w:firstLineChars="200"/>
        <w:rPr>
          <w:rFonts w:ascii="仿宋" w:hAnsi="仿宋" w:eastAsia="仿宋" w:cs="仿宋"/>
          <w:sz w:val="24"/>
          <w:szCs w:val="21"/>
          <w:highlight w:val="none"/>
        </w:rPr>
      </w:pPr>
      <w:r>
        <w:rPr>
          <w:rFonts w:hint="eastAsia" w:ascii="仿宋" w:hAnsi="仿宋" w:eastAsia="仿宋" w:cs="仿宋"/>
          <w:sz w:val="24"/>
          <w:szCs w:val="21"/>
          <w:highlight w:val="none"/>
        </w:rPr>
        <w:t>9.23.6供应商之间商定部分供应商放弃参加政府采购活动或者放弃中标、成交；</w:t>
      </w:r>
    </w:p>
    <w:p w14:paraId="55E0DFAA">
      <w:pPr>
        <w:tabs>
          <w:tab w:val="left" w:pos="3870"/>
          <w:tab w:val="left" w:pos="4085"/>
        </w:tabs>
        <w:snapToGrid w:val="0"/>
        <w:spacing w:line="336" w:lineRule="auto"/>
        <w:ind w:firstLine="480" w:firstLineChars="200"/>
        <w:jc w:val="left"/>
        <w:rPr>
          <w:rFonts w:ascii="仿宋" w:hAnsi="仿宋" w:eastAsia="仿宋" w:cs="仿宋"/>
          <w:b/>
          <w:sz w:val="24"/>
          <w:highlight w:val="none"/>
        </w:rPr>
      </w:pPr>
      <w:r>
        <w:rPr>
          <w:rFonts w:hint="eastAsia" w:ascii="仿宋" w:hAnsi="仿宋" w:eastAsia="仿宋" w:cs="仿宋"/>
          <w:sz w:val="24"/>
          <w:szCs w:val="21"/>
          <w:highlight w:val="none"/>
        </w:rPr>
        <w:t>9.23.7供应商与采购人或者采购机构之间、供应商相互之间，为谋求特定供应商中标、成交或者排斥其他供应商的其他串通行为。</w:t>
      </w:r>
    </w:p>
    <w:p w14:paraId="063CE499">
      <w:pPr>
        <w:tabs>
          <w:tab w:val="left" w:pos="3870"/>
          <w:tab w:val="left" w:pos="4085"/>
        </w:tabs>
        <w:snapToGrid w:val="0"/>
        <w:spacing w:line="336"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9.24磋商响应文件出现不是唯一的、有选择性报价的；</w:t>
      </w:r>
    </w:p>
    <w:p w14:paraId="5D2A4575">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9.25未按招标文件要求提供样品或提供样品不满足采购需求实质性条件的；</w:t>
      </w:r>
    </w:p>
    <w:p w14:paraId="31CDEF05">
      <w:pPr>
        <w:tabs>
          <w:tab w:val="left" w:pos="3870"/>
          <w:tab w:val="left" w:pos="4085"/>
        </w:tabs>
        <w:snapToGrid w:val="0"/>
        <w:spacing w:line="336"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9.26</w:t>
      </w:r>
      <w:r>
        <w:rPr>
          <w:rFonts w:hint="eastAsia" w:ascii="仿宋" w:hAnsi="仿宋" w:eastAsia="仿宋" w:cs="仿宋"/>
          <w:b/>
          <w:sz w:val="24"/>
          <w:highlight w:val="none"/>
        </w:rPr>
        <w:t>参与同一个采购包(标段)的供应商存在下列情形之一的</w:t>
      </w:r>
      <w:r>
        <w:rPr>
          <w:rFonts w:hint="eastAsia" w:ascii="仿宋" w:hAnsi="仿宋" w:eastAsia="仿宋" w:cs="仿宋"/>
          <w:b/>
          <w:sz w:val="24"/>
          <w:highlight w:val="none"/>
          <w:lang w:eastAsia="zh-CN"/>
        </w:rPr>
        <w:t>，其磋商无效：</w:t>
      </w:r>
    </w:p>
    <w:p w14:paraId="3B0A2AEE">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9.26.1</w:t>
      </w:r>
      <w:r>
        <w:rPr>
          <w:rFonts w:hint="eastAsia" w:ascii="仿宋" w:hAnsi="仿宋" w:eastAsia="仿宋" w:cs="仿宋"/>
          <w:b/>
          <w:sz w:val="24"/>
          <w:highlight w:val="none"/>
        </w:rPr>
        <w:t>不同供应商的磋商响应文件上传计算机的网卡MAC地址、CPU序列号和硬盘序列号等硬件信息相同的;</w:t>
      </w:r>
    </w:p>
    <w:p w14:paraId="19713550">
      <w:p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9.26.2</w:t>
      </w:r>
      <w:r>
        <w:rPr>
          <w:rFonts w:hint="eastAsia" w:ascii="仿宋" w:hAnsi="仿宋" w:eastAsia="仿宋" w:cs="仿宋"/>
          <w:b/>
          <w:sz w:val="24"/>
          <w:highlight w:val="none"/>
        </w:rPr>
        <w:t>上传的磋商响应文件若出现使用本项目其他磋商响应供应商的数字证书加密的，或者加盖本项目其他磋商响应供应商的电子印章的;</w:t>
      </w:r>
    </w:p>
    <w:p w14:paraId="76973974">
      <w:pPr>
        <w:numPr>
          <w:ilvl w:val="-1"/>
          <w:numId w:val="0"/>
        </w:numPr>
        <w:tabs>
          <w:tab w:val="left" w:pos="3870"/>
          <w:tab w:val="left" w:pos="4085"/>
        </w:tabs>
        <w:snapToGrid w:val="0"/>
        <w:spacing w:line="336"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9.26.3</w:t>
      </w:r>
      <w:r>
        <w:rPr>
          <w:rFonts w:hint="eastAsia" w:ascii="仿宋" w:hAnsi="仿宋" w:eastAsia="仿宋" w:cs="仿宋"/>
          <w:b/>
          <w:sz w:val="24"/>
          <w:highlight w:val="none"/>
        </w:rPr>
        <w:t>不同供应商的磋商响应文件的内容存在三处(含)以上错误一致，且无法合理解释的;</w:t>
      </w:r>
    </w:p>
    <w:p w14:paraId="39A0DC23">
      <w:pPr>
        <w:numPr>
          <w:ilvl w:val="-1"/>
          <w:numId w:val="0"/>
        </w:numPr>
        <w:tabs>
          <w:tab w:val="left" w:pos="3870"/>
          <w:tab w:val="left" w:pos="4085"/>
        </w:tabs>
        <w:snapToGrid w:val="0"/>
        <w:spacing w:line="336" w:lineRule="auto"/>
        <w:ind w:firstLine="482" w:firstLineChars="200"/>
        <w:rPr>
          <w:rFonts w:hint="default" w:ascii="仿宋" w:hAnsi="仿宋" w:eastAsia="仿宋" w:cs="仿宋"/>
          <w:b/>
          <w:sz w:val="24"/>
          <w:highlight w:val="none"/>
        </w:rPr>
      </w:pPr>
      <w:r>
        <w:rPr>
          <w:rFonts w:hint="eastAsia" w:ascii="仿宋" w:hAnsi="仿宋" w:eastAsia="仿宋" w:cs="仿宋"/>
          <w:b/>
          <w:sz w:val="24"/>
          <w:highlight w:val="none"/>
          <w:lang w:val="en-US" w:eastAsia="zh-CN"/>
        </w:rPr>
        <w:t>9.26.4</w:t>
      </w:r>
      <w:r>
        <w:rPr>
          <w:rFonts w:hint="eastAsia" w:ascii="仿宋" w:hAnsi="仿宋" w:eastAsia="仿宋" w:cs="仿宋"/>
          <w:b/>
          <w:sz w:val="24"/>
          <w:highlight w:val="none"/>
        </w:rPr>
        <w:t>不同供应商联系人为同一人或不同联系人的联系电话一致，且无法合理解释的。</w:t>
      </w:r>
    </w:p>
    <w:p w14:paraId="1297B880">
      <w:pPr>
        <w:tabs>
          <w:tab w:val="left" w:pos="3870"/>
          <w:tab w:val="left" w:pos="4085"/>
        </w:tabs>
        <w:snapToGrid w:val="0"/>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9.</w:t>
      </w:r>
      <w:r>
        <w:rPr>
          <w:rFonts w:hint="eastAsia" w:ascii="仿宋" w:hAnsi="仿宋" w:eastAsia="仿宋" w:cs="仿宋"/>
          <w:b/>
          <w:sz w:val="24"/>
          <w:highlight w:val="none"/>
          <w:lang w:val="en-US" w:eastAsia="zh-CN"/>
        </w:rPr>
        <w:t>27</w:t>
      </w:r>
      <w:r>
        <w:rPr>
          <w:rFonts w:hint="eastAsia" w:ascii="仿宋" w:hAnsi="仿宋" w:eastAsia="仿宋" w:cs="仿宋"/>
          <w:b/>
          <w:sz w:val="24"/>
          <w:highlight w:val="none"/>
        </w:rPr>
        <w:t>其他违反法律、法规的情形。</w:t>
      </w:r>
    </w:p>
    <w:p w14:paraId="56FC70DF">
      <w:pPr>
        <w:snapToGrid w:val="0"/>
        <w:spacing w:line="336"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10.磋商过程保密</w:t>
      </w:r>
    </w:p>
    <w:p w14:paraId="468E14D5">
      <w:pPr>
        <w:snapToGrid w:val="0"/>
        <w:spacing w:line="336"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10.1</w:t>
      </w:r>
      <w:r>
        <w:rPr>
          <w:rFonts w:hint="eastAsia" w:ascii="仿宋" w:hAnsi="仿宋" w:eastAsia="仿宋" w:cs="仿宋"/>
          <w:sz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04F71C3">
      <w:pPr>
        <w:snapToGrid w:val="0"/>
        <w:spacing w:line="336"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10.2 在磋商期间，供应商企图影响采购人、采购代理机构或</w:t>
      </w:r>
      <w:r>
        <w:rPr>
          <w:rFonts w:hint="eastAsia" w:ascii="仿宋" w:hAnsi="仿宋" w:eastAsia="仿宋" w:cs="仿宋"/>
          <w:sz w:val="24"/>
          <w:highlight w:val="none"/>
        </w:rPr>
        <w:t>磋商小组</w:t>
      </w:r>
      <w:r>
        <w:rPr>
          <w:rFonts w:hint="eastAsia" w:ascii="仿宋" w:hAnsi="仿宋" w:eastAsia="仿宋" w:cs="仿宋"/>
          <w:kern w:val="0"/>
          <w:sz w:val="24"/>
          <w:highlight w:val="none"/>
        </w:rPr>
        <w:t>的任何活动，都将导致磋商被拒绝，并由其承担相应的法律责任。</w:t>
      </w:r>
    </w:p>
    <w:p w14:paraId="184B2B09">
      <w:pPr>
        <w:adjustRightInd/>
        <w:spacing w:line="336" w:lineRule="auto"/>
        <w:jc w:val="center"/>
        <w:outlineLvl w:val="0"/>
        <w:rPr>
          <w:rFonts w:ascii="仿宋" w:hAnsi="仿宋" w:eastAsia="仿宋" w:cs="仿宋"/>
          <w:sz w:val="32"/>
          <w:szCs w:val="32"/>
          <w:highlight w:val="none"/>
        </w:rPr>
      </w:pPr>
    </w:p>
    <w:p w14:paraId="377AFE9C">
      <w:pPr>
        <w:adjustRightInd/>
        <w:spacing w:line="336"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lang w:eastAsia="zh-CN"/>
        </w:rPr>
        <w:t>五</w:t>
      </w:r>
      <w:r>
        <w:rPr>
          <w:rFonts w:hint="eastAsia" w:ascii="仿宋" w:hAnsi="仿宋" w:eastAsia="仿宋" w:cs="仿宋"/>
          <w:b/>
          <w:sz w:val="32"/>
          <w:szCs w:val="20"/>
          <w:highlight w:val="none"/>
        </w:rPr>
        <w:t>、</w:t>
      </w:r>
      <w:r>
        <w:rPr>
          <w:rFonts w:hint="eastAsia" w:ascii="仿宋" w:hAnsi="仿宋" w:eastAsia="仿宋" w:cs="仿宋"/>
          <w:b/>
          <w:sz w:val="32"/>
          <w:szCs w:val="32"/>
          <w:highlight w:val="none"/>
        </w:rPr>
        <w:t>成交</w:t>
      </w:r>
    </w:p>
    <w:p w14:paraId="29459407">
      <w:pPr>
        <w:snapToGrid w:val="0"/>
        <w:spacing w:line="336" w:lineRule="auto"/>
        <w:ind w:firstLine="482" w:firstLineChars="200"/>
        <w:jc w:val="left"/>
        <w:rPr>
          <w:rFonts w:ascii="仿宋" w:hAnsi="仿宋" w:eastAsia="仿宋" w:cs="仿宋"/>
          <w:b/>
          <w:highlight w:val="none"/>
        </w:rPr>
      </w:pPr>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w:t>
      </w:r>
      <w:bookmarkStart w:id="51" w:name="_Toc81372953"/>
      <w:bookmarkStart w:id="52" w:name="_Toc81372776"/>
      <w:bookmarkStart w:id="53" w:name="_Toc84325929"/>
      <w:r>
        <w:rPr>
          <w:rFonts w:hint="eastAsia" w:ascii="仿宋" w:hAnsi="仿宋" w:eastAsia="仿宋" w:cs="仿宋"/>
          <w:b/>
          <w:highlight w:val="none"/>
        </w:rPr>
        <w:t>成交条件</w:t>
      </w:r>
    </w:p>
    <w:p w14:paraId="1DF577B1">
      <w:pPr>
        <w:pStyle w:val="16"/>
        <w:tabs>
          <w:tab w:val="clear" w:pos="390"/>
        </w:tabs>
        <w:spacing w:line="336" w:lineRule="auto"/>
        <w:ind w:left="0" w:firstLine="480" w:firstLineChars="200"/>
        <w:rPr>
          <w:rFonts w:ascii="仿宋" w:hAnsi="仿宋" w:eastAsia="仿宋" w:cs="仿宋"/>
          <w:szCs w:val="24"/>
          <w:highlight w:val="none"/>
        </w:rPr>
      </w:pPr>
      <w:r>
        <w:rPr>
          <w:rFonts w:hint="eastAsia" w:ascii="仿宋" w:hAnsi="仿宋" w:eastAsia="仿宋" w:cs="仿宋"/>
          <w:szCs w:val="24"/>
          <w:highlight w:val="none"/>
        </w:rPr>
        <w:t>1.1磋商响应文件基本符合磋商文件要求；</w:t>
      </w:r>
    </w:p>
    <w:p w14:paraId="3BD91023">
      <w:pPr>
        <w:pStyle w:val="16"/>
        <w:tabs>
          <w:tab w:val="clear" w:pos="390"/>
        </w:tabs>
        <w:spacing w:line="336" w:lineRule="auto"/>
        <w:ind w:left="0" w:firstLine="480" w:firstLineChars="200"/>
        <w:rPr>
          <w:rFonts w:ascii="仿宋" w:hAnsi="仿宋" w:eastAsia="仿宋" w:cs="仿宋"/>
          <w:szCs w:val="24"/>
          <w:highlight w:val="none"/>
        </w:rPr>
      </w:pPr>
      <w:r>
        <w:rPr>
          <w:rFonts w:hint="eastAsia" w:ascii="仿宋" w:hAnsi="仿宋" w:eastAsia="仿宋" w:cs="仿宋"/>
          <w:szCs w:val="24"/>
          <w:highlight w:val="none"/>
        </w:rPr>
        <w:t>1.2供应商有很好的执行合同的能力；</w:t>
      </w:r>
    </w:p>
    <w:p w14:paraId="20E6D784">
      <w:pPr>
        <w:pStyle w:val="16"/>
        <w:tabs>
          <w:tab w:val="clear" w:pos="390"/>
        </w:tabs>
        <w:spacing w:line="336" w:lineRule="auto"/>
        <w:ind w:left="0" w:firstLine="480" w:firstLineChars="200"/>
        <w:rPr>
          <w:rFonts w:ascii="仿宋" w:hAnsi="仿宋" w:eastAsia="仿宋" w:cs="仿宋"/>
          <w:szCs w:val="24"/>
          <w:highlight w:val="none"/>
        </w:rPr>
      </w:pPr>
      <w:r>
        <w:rPr>
          <w:rFonts w:hint="eastAsia" w:ascii="仿宋" w:hAnsi="仿宋" w:eastAsia="仿宋" w:cs="仿宋"/>
          <w:szCs w:val="24"/>
          <w:highlight w:val="none"/>
        </w:rPr>
        <w:t>1.3实施方案最合理并对采购人最为有利，最大限度满足磋商文件的要求；</w:t>
      </w:r>
    </w:p>
    <w:p w14:paraId="0F643450">
      <w:pPr>
        <w:pStyle w:val="16"/>
        <w:tabs>
          <w:tab w:val="clear" w:pos="390"/>
        </w:tabs>
        <w:spacing w:line="336" w:lineRule="auto"/>
        <w:ind w:left="0" w:firstLine="480" w:firstLineChars="200"/>
        <w:rPr>
          <w:rFonts w:ascii="仿宋" w:hAnsi="仿宋" w:eastAsia="仿宋" w:cs="仿宋"/>
          <w:szCs w:val="24"/>
          <w:highlight w:val="none"/>
        </w:rPr>
      </w:pPr>
      <w:r>
        <w:rPr>
          <w:rFonts w:hint="eastAsia" w:ascii="仿宋" w:hAnsi="仿宋" w:eastAsia="仿宋" w:cs="仿宋"/>
          <w:szCs w:val="24"/>
          <w:highlight w:val="none"/>
        </w:rPr>
        <w:t>1.4供应商能够提供质量技术、商务经济占综合优势的系统及服务。</w:t>
      </w:r>
    </w:p>
    <w:p w14:paraId="30516BD0">
      <w:pPr>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2.成交确认</w:t>
      </w:r>
    </w:p>
    <w:p w14:paraId="7EC2F4E1">
      <w:pPr>
        <w:spacing w:line="336" w:lineRule="auto"/>
        <w:ind w:firstLineChars="200"/>
        <w:jc w:val="left"/>
        <w:rPr>
          <w:rFonts w:ascii="仿宋" w:hAnsi="仿宋" w:eastAsia="仿宋" w:cs="仿宋"/>
          <w:sz w:val="24"/>
          <w:highlight w:val="none"/>
        </w:rPr>
      </w:pPr>
      <w:r>
        <w:rPr>
          <w:rFonts w:hint="eastAsia" w:ascii="仿宋" w:hAnsi="仿宋" w:eastAsia="仿宋" w:cs="仿宋"/>
          <w:sz w:val="24"/>
          <w:highlight w:val="none"/>
        </w:rPr>
        <w:t>2.1采购人应当在收到评审报告之日起５个工作日内，在评审报告提出的成交候选供应商单中确定成交供应商。</w:t>
      </w:r>
    </w:p>
    <w:p w14:paraId="58970D4F">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2.2采购人逾期未确定成交供应商的，视为确定评审报告提出的成交候选供应商为成交供应商。</w:t>
      </w:r>
    </w:p>
    <w:p w14:paraId="3C542DDB">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2.3采购人应在确认成交供应商前再次对资格条件和相关证件材料进一步查验核实。</w:t>
      </w:r>
    </w:p>
    <w:p w14:paraId="624846F8">
      <w:pPr>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成交通知</w:t>
      </w:r>
    </w:p>
    <w:bookmarkEnd w:id="51"/>
    <w:bookmarkEnd w:id="52"/>
    <w:bookmarkEnd w:id="53"/>
    <w:p w14:paraId="172FD4B5">
      <w:pPr>
        <w:pStyle w:val="396"/>
        <w:tabs>
          <w:tab w:val="left" w:pos="0"/>
        </w:tabs>
        <w:spacing w:before="0" w:line="336"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3.1</w:t>
      </w:r>
      <w:r>
        <w:rPr>
          <w:rFonts w:hint="eastAsia" w:ascii="仿宋" w:hAnsi="仿宋" w:eastAsia="仿宋" w:cs="仿宋"/>
          <w:kern w:val="0"/>
          <w:highlight w:val="none"/>
        </w:rPr>
        <w:t>采购代理机构</w:t>
      </w:r>
      <w:r>
        <w:rPr>
          <w:rFonts w:hint="eastAsia" w:ascii="仿宋" w:hAnsi="仿宋" w:eastAsia="仿宋" w:cs="仿宋"/>
          <w:highlight w:val="none"/>
        </w:rPr>
        <w:t>对成交结果在指定媒体</w:t>
      </w:r>
      <w:r>
        <w:rPr>
          <w:rFonts w:hint="eastAsia" w:ascii="仿宋" w:hAnsi="仿宋" w:eastAsia="仿宋" w:cs="仿宋"/>
          <w:kern w:val="0"/>
          <w:highlight w:val="none"/>
        </w:rPr>
        <w:t>（浙江政府采购网</w:t>
      </w:r>
      <w:r>
        <w:rPr>
          <w:highlight w:val="none"/>
        </w:rPr>
        <w:fldChar w:fldCharType="begin"/>
      </w:r>
      <w:r>
        <w:rPr>
          <w:highlight w:val="none"/>
        </w:rPr>
        <w:instrText xml:space="preserve"> HYPERLINK "http://www.zjzfcg.gov.cn" </w:instrText>
      </w:r>
      <w:r>
        <w:rPr>
          <w:highlight w:val="none"/>
        </w:rPr>
        <w:fldChar w:fldCharType="separate"/>
      </w:r>
      <w:r>
        <w:rPr>
          <w:rStyle w:val="70"/>
          <w:rFonts w:hint="eastAsia" w:ascii="仿宋" w:hAnsi="仿宋" w:eastAsia="仿宋" w:cs="仿宋"/>
          <w:color w:val="auto"/>
          <w:highlight w:val="none"/>
        </w:rPr>
        <w:t>http://zfcg.czt.zj.gov.cn/</w:t>
      </w:r>
      <w:r>
        <w:rPr>
          <w:rStyle w:val="70"/>
          <w:rFonts w:hint="eastAsia" w:ascii="仿宋" w:hAnsi="仿宋" w:eastAsia="仿宋" w:cs="仿宋"/>
          <w:color w:val="auto"/>
          <w:highlight w:val="none"/>
        </w:rPr>
        <w:fldChar w:fldCharType="end"/>
      </w:r>
      <w:r>
        <w:rPr>
          <w:rFonts w:hint="eastAsia" w:ascii="仿宋" w:hAnsi="仿宋" w:eastAsia="仿宋" w:cs="仿宋"/>
          <w:kern w:val="0"/>
          <w:highlight w:val="none"/>
        </w:rPr>
        <w:t>、绍兴公共资源交易网</w:t>
      </w:r>
      <w:r>
        <w:rPr>
          <w:highlight w:val="none"/>
        </w:rPr>
        <w:fldChar w:fldCharType="begin"/>
      </w:r>
      <w:r>
        <w:rPr>
          <w:highlight w:val="none"/>
        </w:rPr>
        <w:instrText xml:space="preserve"> HYPERLINK "http://ggb.sx.gov.cn" </w:instrText>
      </w:r>
      <w:r>
        <w:rPr>
          <w:highlight w:val="none"/>
        </w:rPr>
        <w:fldChar w:fldCharType="separate"/>
      </w:r>
      <w:r>
        <w:rPr>
          <w:rStyle w:val="70"/>
          <w:rFonts w:hint="eastAsia" w:ascii="仿宋" w:hAnsi="仿宋" w:eastAsia="仿宋" w:cs="仿宋"/>
          <w:color w:val="auto"/>
          <w:highlight w:val="none"/>
        </w:rPr>
        <w:t>http://ggb.sx.gov.cn</w:t>
      </w:r>
      <w:r>
        <w:rPr>
          <w:rStyle w:val="70"/>
          <w:rFonts w:hint="eastAsia" w:ascii="仿宋" w:hAnsi="仿宋" w:eastAsia="仿宋" w:cs="仿宋"/>
          <w:color w:val="auto"/>
          <w:highlight w:val="none"/>
        </w:rPr>
        <w:fldChar w:fldCharType="end"/>
      </w:r>
      <w:r>
        <w:rPr>
          <w:rFonts w:hint="eastAsia" w:ascii="仿宋" w:hAnsi="仿宋" w:eastAsia="仿宋" w:cs="仿宋"/>
          <w:kern w:val="0"/>
          <w:highlight w:val="none"/>
        </w:rPr>
        <w:t>）发布成交公告，成交公告期限为1个工作日。</w:t>
      </w:r>
    </w:p>
    <w:p w14:paraId="018B3C84">
      <w:pPr>
        <w:spacing w:line="336"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sz w:val="24"/>
          <w:highlight w:val="none"/>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highlight w:val="none"/>
          <w:lang w:val="zh-CN"/>
        </w:rPr>
        <w:t>。</w:t>
      </w:r>
    </w:p>
    <w:p w14:paraId="12738A76">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3.3采购人、</w:t>
      </w:r>
      <w:r>
        <w:rPr>
          <w:rFonts w:hint="eastAsia" w:ascii="仿宋" w:hAnsi="仿宋" w:eastAsia="仿宋" w:cs="仿宋"/>
          <w:kern w:val="0"/>
          <w:sz w:val="24"/>
          <w:highlight w:val="none"/>
        </w:rPr>
        <w:t>采购代理机构</w:t>
      </w:r>
      <w:r>
        <w:rPr>
          <w:rFonts w:hint="eastAsia" w:ascii="仿宋" w:hAnsi="仿宋" w:eastAsia="仿宋" w:cs="仿宋"/>
          <w:sz w:val="24"/>
          <w:highlight w:val="none"/>
        </w:rPr>
        <w:t>对成交结果不作任何说明和解释，也不回答任何提问。</w:t>
      </w:r>
    </w:p>
    <w:p w14:paraId="169A536A">
      <w:pPr>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履约保证金</w:t>
      </w:r>
    </w:p>
    <w:p w14:paraId="3A0C7F9C">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83996CC">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4.2项目验收结束后，采购人应及时退还履约保证金。</w:t>
      </w:r>
    </w:p>
    <w:p w14:paraId="30BA99AA">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4.3供应商以银行、保险公司出具保函形式提交履约保证金的，采购人不得拒收。</w:t>
      </w:r>
    </w:p>
    <w:p w14:paraId="08D4B9BA">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4.4政府采购货物和服务项目不得收取质量保证金。</w:t>
      </w:r>
    </w:p>
    <w:p w14:paraId="137AAD7E">
      <w:pPr>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w:t>
      </w:r>
      <w:r>
        <w:rPr>
          <w:rFonts w:hint="eastAsia" w:ascii="仿宋" w:hAnsi="仿宋" w:eastAsia="仿宋" w:cs="仿宋"/>
          <w:b/>
          <w:sz w:val="24"/>
          <w:highlight w:val="none"/>
          <w:lang w:val="en-US" w:eastAsia="zh-CN"/>
        </w:rPr>
        <w:t>.</w:t>
      </w:r>
      <w:r>
        <w:rPr>
          <w:rFonts w:hint="eastAsia" w:ascii="仿宋" w:hAnsi="仿宋" w:eastAsia="仿宋" w:cs="仿宋"/>
          <w:b/>
          <w:sz w:val="24"/>
          <w:highlight w:val="none"/>
        </w:rPr>
        <w:t>合同签订及备案</w:t>
      </w:r>
    </w:p>
    <w:p w14:paraId="6727BB47">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5.1成交人应当在成交通知书发出之日起30天内与采购人签订合同，自采购合同签订之日起</w:t>
      </w:r>
      <w:r>
        <w:rPr>
          <w:rFonts w:hint="eastAsia" w:ascii="仿宋" w:hAnsi="仿宋" w:eastAsia="仿宋" w:cs="仿宋"/>
          <w:sz w:val="24"/>
          <w:highlight w:val="none"/>
          <w:lang w:val="en-US" w:eastAsia="zh-CN"/>
        </w:rPr>
        <w:t>2</w:t>
      </w:r>
      <w:r>
        <w:rPr>
          <w:rFonts w:hint="eastAsia" w:ascii="仿宋" w:hAnsi="仿宋" w:eastAsia="仿宋" w:cs="仿宋"/>
          <w:b/>
          <w:sz w:val="24"/>
          <w:highlight w:val="none"/>
        </w:rPr>
        <w:t>个工作日内</w:t>
      </w:r>
      <w:r>
        <w:rPr>
          <w:rFonts w:hint="eastAsia" w:ascii="仿宋" w:hAnsi="仿宋" w:eastAsia="仿宋" w:cs="仿宋"/>
          <w:sz w:val="24"/>
          <w:highlight w:val="none"/>
        </w:rPr>
        <w:t>，通过电子交易平台进行备案。</w:t>
      </w:r>
    </w:p>
    <w:p w14:paraId="2757A417">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5.2如成交人为联合体的，由联合体成员各方法定代表人或其授权代表与采购人代表签订合同。</w:t>
      </w:r>
    </w:p>
    <w:p w14:paraId="3821DECB">
      <w:pPr>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6.验收</w:t>
      </w:r>
    </w:p>
    <w:p w14:paraId="5F540942">
      <w:pPr>
        <w:tabs>
          <w:tab w:val="left" w:pos="6780"/>
        </w:tabs>
        <w:spacing w:line="336" w:lineRule="auto"/>
        <w:ind w:firstLine="480" w:firstLineChars="200"/>
        <w:jc w:val="left"/>
        <w:rPr>
          <w:rFonts w:ascii="仿宋" w:hAnsi="仿宋" w:eastAsia="仿宋" w:cs="仿宋"/>
          <w:sz w:val="24"/>
          <w:highlight w:val="none"/>
        </w:rPr>
      </w:pPr>
      <w:r>
        <w:rPr>
          <w:rFonts w:hint="default" w:ascii="仿宋" w:hAnsi="仿宋" w:eastAsia="仿宋" w:cs="仿宋"/>
          <w:sz w:val="24"/>
          <w:highlight w:val="none"/>
          <w:lang w:val="en-US"/>
        </w:rPr>
        <w:t>6.</w:t>
      </w:r>
      <w:r>
        <w:rPr>
          <w:rFonts w:hint="eastAsia" w:ascii="仿宋" w:hAnsi="仿宋" w:eastAsia="仿宋" w:cs="仿宋"/>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6F619D">
      <w:pPr>
        <w:tabs>
          <w:tab w:val="left" w:pos="6780"/>
        </w:tabs>
        <w:spacing w:line="336" w:lineRule="auto"/>
        <w:ind w:firstLine="480" w:firstLineChars="200"/>
        <w:jc w:val="left"/>
        <w:rPr>
          <w:rFonts w:ascii="仿宋" w:hAnsi="仿宋" w:eastAsia="仿宋" w:cs="仿宋"/>
          <w:sz w:val="24"/>
          <w:highlight w:val="none"/>
        </w:rPr>
      </w:pPr>
      <w:r>
        <w:rPr>
          <w:rFonts w:hint="default" w:ascii="仿宋" w:hAnsi="仿宋" w:eastAsia="仿宋" w:cs="仿宋"/>
          <w:sz w:val="24"/>
          <w:highlight w:val="none"/>
          <w:lang w:val="en-US"/>
        </w:rPr>
        <w:t>6.</w:t>
      </w:r>
      <w:r>
        <w:rPr>
          <w:rFonts w:hint="eastAsia" w:ascii="仿宋" w:hAnsi="仿宋" w:eastAsia="仿宋" w:cs="仿宋"/>
          <w:sz w:val="24"/>
          <w:highlight w:val="none"/>
        </w:rPr>
        <w:t>2采购人可以邀请参加本项目的其他供应商或者第三方机构参与验收。参与验收的供应商或者第三方机构的意见作为验收书的参考资料一并存档。</w:t>
      </w:r>
    </w:p>
    <w:p w14:paraId="057ACE59">
      <w:pPr>
        <w:tabs>
          <w:tab w:val="left" w:pos="6780"/>
        </w:tabs>
        <w:spacing w:line="336" w:lineRule="auto"/>
        <w:ind w:firstLine="480" w:firstLineChars="200"/>
        <w:jc w:val="left"/>
        <w:rPr>
          <w:rFonts w:ascii="仿宋" w:hAnsi="仿宋" w:eastAsia="仿宋" w:cs="仿宋"/>
          <w:sz w:val="24"/>
          <w:highlight w:val="none"/>
        </w:rPr>
      </w:pPr>
      <w:r>
        <w:rPr>
          <w:rFonts w:hint="default" w:ascii="仿宋" w:hAnsi="仿宋" w:eastAsia="仿宋" w:cs="仿宋"/>
          <w:sz w:val="24"/>
          <w:highlight w:val="none"/>
          <w:lang w:val="en-US"/>
        </w:rPr>
        <w:t>6.</w:t>
      </w:r>
      <w:r>
        <w:rPr>
          <w:rFonts w:hint="eastAsia" w:ascii="仿宋" w:hAnsi="仿宋" w:eastAsia="仿宋" w:cs="仿宋"/>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F45D6E">
      <w:pPr>
        <w:tabs>
          <w:tab w:val="left" w:pos="6780"/>
        </w:tabs>
        <w:spacing w:line="336" w:lineRule="auto"/>
        <w:ind w:firstLine="480" w:firstLineChars="200"/>
        <w:jc w:val="left"/>
        <w:rPr>
          <w:rFonts w:ascii="仿宋" w:hAnsi="仿宋" w:eastAsia="仿宋" w:cs="仿宋"/>
          <w:sz w:val="24"/>
          <w:highlight w:val="none"/>
        </w:rPr>
      </w:pPr>
      <w:r>
        <w:rPr>
          <w:rFonts w:hint="default" w:ascii="仿宋" w:hAnsi="仿宋" w:eastAsia="仿宋" w:cs="仿宋"/>
          <w:sz w:val="24"/>
          <w:highlight w:val="none"/>
          <w:lang w:val="en-US"/>
        </w:rPr>
        <w:t>6.</w:t>
      </w:r>
      <w:r>
        <w:rPr>
          <w:rFonts w:hint="eastAsia" w:ascii="仿宋" w:hAnsi="仿宋" w:eastAsia="仿宋" w:cs="仿宋"/>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81B9E5">
      <w:pPr>
        <w:tabs>
          <w:tab w:val="left" w:pos="6780"/>
        </w:tabs>
        <w:spacing w:line="336"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7.售后服务考核</w:t>
      </w:r>
      <w:r>
        <w:rPr>
          <w:rFonts w:hint="eastAsia" w:ascii="仿宋" w:hAnsi="仿宋" w:eastAsia="仿宋" w:cs="仿宋"/>
          <w:b/>
          <w:sz w:val="24"/>
          <w:highlight w:val="none"/>
        </w:rPr>
        <w:tab/>
      </w:r>
    </w:p>
    <w:p w14:paraId="5E62D8AD">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sz w:val="24"/>
          <w:highlight w:val="none"/>
          <w:lang w:eastAsia="zh-CN"/>
        </w:rPr>
        <w:t>商务技术文件</w:t>
      </w:r>
      <w:r>
        <w:rPr>
          <w:rFonts w:hint="eastAsia" w:ascii="仿宋" w:hAnsi="仿宋" w:eastAsia="仿宋" w:cs="仿宋"/>
          <w:sz w:val="24"/>
          <w:highlight w:val="none"/>
        </w:rPr>
        <w:t>规定的，一经查实，由政府采购监督管理部门给予相应处罚。</w:t>
      </w:r>
    </w:p>
    <w:p w14:paraId="68AFEF92">
      <w:pPr>
        <w:spacing w:line="336" w:lineRule="auto"/>
        <w:ind w:firstLine="640" w:firstLineChars="200"/>
        <w:rPr>
          <w:rFonts w:ascii="仿宋" w:hAnsi="仿宋" w:eastAsia="仿宋" w:cs="仿宋"/>
          <w:sz w:val="32"/>
          <w:szCs w:val="32"/>
          <w:highlight w:val="none"/>
        </w:rPr>
      </w:pPr>
    </w:p>
    <w:p w14:paraId="1240AE31">
      <w:pPr>
        <w:adjustRightInd/>
        <w:spacing w:line="336"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lang w:eastAsia="zh-CN"/>
        </w:rPr>
        <w:t>六</w:t>
      </w:r>
      <w:r>
        <w:rPr>
          <w:rFonts w:hint="eastAsia" w:ascii="仿宋" w:hAnsi="仿宋" w:eastAsia="仿宋" w:cs="仿宋"/>
          <w:b/>
          <w:sz w:val="32"/>
          <w:szCs w:val="20"/>
          <w:highlight w:val="none"/>
        </w:rPr>
        <w:t>、询问、质疑与投诉</w:t>
      </w:r>
    </w:p>
    <w:p w14:paraId="112F4323">
      <w:pPr>
        <w:pStyle w:val="33"/>
        <w:spacing w:line="336"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1.在线询问、质疑、投诉</w:t>
      </w:r>
    </w:p>
    <w:p w14:paraId="5DF03946">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根据《浙江省财政厅关于进一步促进政府采购公平竞争打造最优营商环境的通知》（浙财采监〔2021</w:t>
      </w:r>
      <w:r>
        <w:rPr>
          <w:rFonts w:hint="eastAsia" w:ascii="仿宋" w:hAnsi="仿宋" w:eastAsia="仿宋" w:cs="仿宋"/>
          <w:sz w:val="24"/>
          <w:highlight w:val="none"/>
          <w:lang w:eastAsia="zh-CN"/>
        </w:rPr>
        <w:t>〕</w:t>
      </w:r>
      <w:r>
        <w:rPr>
          <w:rFonts w:hint="eastAsia" w:ascii="仿宋" w:hAnsi="仿宋" w:eastAsia="仿宋" w:cs="仿宋"/>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 w:val="24"/>
          <w:highlight w:val="none"/>
          <w:lang w:eastAsia="zh-CN"/>
        </w:rPr>
        <w:t>政务</w:t>
      </w:r>
      <w:r>
        <w:rPr>
          <w:rFonts w:hint="eastAsia" w:ascii="仿宋" w:hAnsi="仿宋" w:eastAsia="仿宋" w:cs="仿宋"/>
          <w:sz w:val="24"/>
          <w:highlight w:val="none"/>
        </w:rPr>
        <w:t>服务网-政府采购投诉处理-在线办理。</w:t>
      </w:r>
    </w:p>
    <w:p w14:paraId="3205DEF9">
      <w:pPr>
        <w:spacing w:line="336"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2.供应商询问</w:t>
      </w:r>
    </w:p>
    <w:p w14:paraId="068054F8">
      <w:pPr>
        <w:autoSpaceDE w:val="0"/>
        <w:autoSpaceDN w:val="0"/>
        <w:spacing w:line="336"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54753F">
      <w:pPr>
        <w:spacing w:line="336"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3.供应商质疑</w:t>
      </w:r>
    </w:p>
    <w:p w14:paraId="03C74DF2">
      <w:pPr>
        <w:pStyle w:val="33"/>
        <w:spacing w:line="336" w:lineRule="auto"/>
        <w:ind w:firstLine="482" w:firstLineChars="200"/>
        <w:rPr>
          <w:rFonts w:ascii="仿宋" w:hAnsi="仿宋" w:eastAsia="仿宋" w:cs="仿宋"/>
          <w:b/>
          <w:sz w:val="24"/>
          <w:highlight w:val="none"/>
        </w:rPr>
      </w:pPr>
      <w:r>
        <w:rPr>
          <w:rFonts w:hint="eastAsia" w:ascii="仿宋" w:hAnsi="仿宋" w:eastAsia="仿宋" w:cs="仿宋"/>
          <w:b/>
          <w:kern w:val="0"/>
          <w:sz w:val="24"/>
          <w:highlight w:val="none"/>
          <w:lang w:val="zh-CN"/>
        </w:rPr>
        <w:t>3</w:t>
      </w:r>
      <w:r>
        <w:rPr>
          <w:rFonts w:hint="eastAsia" w:ascii="仿宋" w:hAnsi="仿宋" w:eastAsia="仿宋" w:cs="仿宋"/>
          <w:b/>
          <w:sz w:val="24"/>
          <w:highlight w:val="none"/>
        </w:rPr>
        <w:t>.1质疑提出时效</w:t>
      </w:r>
    </w:p>
    <w:p w14:paraId="3D5DFEC6">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3.1.1提出质疑的供应商应当是参与所质疑项目采购活动的供应商。潜在供应商已依法获取其可质疑的采购文件的，可以对该文件提出质疑。</w:t>
      </w:r>
    </w:p>
    <w:p w14:paraId="7802C200">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3</w:t>
      </w:r>
      <w:r>
        <w:rPr>
          <w:rFonts w:hint="eastAsia" w:ascii="仿宋" w:hAnsi="仿宋" w:eastAsia="仿宋" w:cs="仿宋"/>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AD9F159">
      <w:pPr>
        <w:pStyle w:val="17"/>
        <w:spacing w:line="336" w:lineRule="auto"/>
        <w:ind w:firstLine="434" w:firstLineChars="181"/>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EBAF3C8">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3.1.2.2对采购过程提出质疑的，质疑期限为各采购程序环节结束之日起计算。</w:t>
      </w:r>
    </w:p>
    <w:p w14:paraId="2182F0B9">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3.1.2.3对采购结果提出质疑的，质疑期限自采购结果公告期限届满之日起计算。</w:t>
      </w:r>
    </w:p>
    <w:p w14:paraId="677427D0">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3.1.2.4对同一采购程序环节的质疑，供应商须一次性提出。</w:t>
      </w:r>
    </w:p>
    <w:p w14:paraId="56CD2695">
      <w:pPr>
        <w:pStyle w:val="33"/>
        <w:spacing w:line="336" w:lineRule="auto"/>
        <w:ind w:firstLine="482" w:firstLineChars="200"/>
        <w:rPr>
          <w:rFonts w:ascii="仿宋" w:hAnsi="仿宋" w:eastAsia="仿宋" w:cs="仿宋"/>
          <w:sz w:val="24"/>
          <w:highlight w:val="none"/>
        </w:rPr>
      </w:pPr>
      <w:r>
        <w:rPr>
          <w:rFonts w:hint="eastAsia" w:ascii="仿宋" w:hAnsi="仿宋" w:eastAsia="仿宋" w:cs="仿宋"/>
          <w:b/>
          <w:kern w:val="0"/>
          <w:sz w:val="24"/>
          <w:highlight w:val="none"/>
          <w:lang w:val="zh-CN"/>
        </w:rPr>
        <w:t>3.</w:t>
      </w:r>
      <w:r>
        <w:rPr>
          <w:rFonts w:hint="default" w:ascii="仿宋" w:hAnsi="仿宋" w:eastAsia="仿宋" w:cs="仿宋"/>
          <w:b/>
          <w:kern w:val="0"/>
          <w:sz w:val="24"/>
          <w:highlight w:val="none"/>
          <w:lang w:val="en-US"/>
        </w:rPr>
        <w:t>2</w:t>
      </w:r>
      <w:r>
        <w:rPr>
          <w:rFonts w:hint="eastAsia" w:ascii="仿宋" w:hAnsi="仿宋" w:eastAsia="仿宋" w:cs="仿宋"/>
          <w:b/>
          <w:kern w:val="0"/>
          <w:sz w:val="24"/>
          <w:highlight w:val="none"/>
          <w:lang w:val="zh-CN"/>
        </w:rPr>
        <w:t>质疑函</w:t>
      </w:r>
    </w:p>
    <w:p w14:paraId="43E46599">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hint="default" w:ascii="仿宋" w:hAnsi="仿宋" w:eastAsia="仿宋" w:cs="仿宋"/>
          <w:sz w:val="24"/>
          <w:highlight w:val="none"/>
          <w:lang w:val="en-US"/>
        </w:rPr>
        <w:t>2</w:t>
      </w:r>
      <w:r>
        <w:rPr>
          <w:rFonts w:hint="eastAsia" w:ascii="仿宋" w:hAnsi="仿宋" w:eastAsia="仿宋" w:cs="仿宋"/>
          <w:sz w:val="24"/>
          <w:highlight w:val="none"/>
        </w:rPr>
        <w:t>.1供应商提出质疑应当提交质疑函和必要的证明材料。质疑函应当包括下列内容：</w:t>
      </w:r>
    </w:p>
    <w:p w14:paraId="023C5538">
      <w:pPr>
        <w:pStyle w:val="33"/>
        <w:numPr>
          <w:ilvl w:val="0"/>
          <w:numId w:val="4"/>
        </w:numPr>
        <w:tabs>
          <w:tab w:val="clear" w:pos="840"/>
        </w:tabs>
        <w:spacing w:line="336"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BAE57">
      <w:pPr>
        <w:pStyle w:val="33"/>
        <w:numPr>
          <w:ilvl w:val="0"/>
          <w:numId w:val="4"/>
        </w:numPr>
        <w:tabs>
          <w:tab w:val="clear" w:pos="840"/>
        </w:tabs>
        <w:spacing w:line="336"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17F205C4">
      <w:pPr>
        <w:pStyle w:val="33"/>
        <w:numPr>
          <w:ilvl w:val="0"/>
          <w:numId w:val="4"/>
        </w:numPr>
        <w:tabs>
          <w:tab w:val="clear" w:pos="840"/>
        </w:tabs>
        <w:spacing w:line="336"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A565B41">
      <w:pPr>
        <w:pStyle w:val="33"/>
        <w:numPr>
          <w:ilvl w:val="0"/>
          <w:numId w:val="4"/>
        </w:numPr>
        <w:tabs>
          <w:tab w:val="clear" w:pos="840"/>
        </w:tabs>
        <w:spacing w:line="336"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事实依据；</w:t>
      </w:r>
    </w:p>
    <w:p w14:paraId="46B25FEC">
      <w:pPr>
        <w:pStyle w:val="33"/>
        <w:numPr>
          <w:ilvl w:val="0"/>
          <w:numId w:val="4"/>
        </w:numPr>
        <w:tabs>
          <w:tab w:val="clear" w:pos="840"/>
        </w:tabs>
        <w:spacing w:line="336"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1A8A3B91">
      <w:pPr>
        <w:pStyle w:val="33"/>
        <w:numPr>
          <w:ilvl w:val="0"/>
          <w:numId w:val="4"/>
        </w:numPr>
        <w:tabs>
          <w:tab w:val="clear" w:pos="840"/>
        </w:tabs>
        <w:spacing w:line="336"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73A01D93">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0533811">
      <w:pPr>
        <w:pStyle w:val="33"/>
        <w:spacing w:line="336"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质疑函范本及制作说明详见附件1。</w:t>
      </w:r>
    </w:p>
    <w:p w14:paraId="3A75C151">
      <w:pPr>
        <w:spacing w:line="336"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4.供应商投诉</w:t>
      </w:r>
    </w:p>
    <w:p w14:paraId="2EF14AD8">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4.1质疑供应商对采购人</w:t>
      </w:r>
      <w:r>
        <w:rPr>
          <w:rFonts w:hint="eastAsia" w:ascii="仿宋" w:hAnsi="仿宋" w:eastAsia="仿宋" w:cs="仿宋"/>
          <w:sz w:val="24"/>
          <w:highlight w:val="none"/>
          <w:lang w:eastAsia="zh-CN"/>
        </w:rPr>
        <w:t>或</w:t>
      </w:r>
      <w:r>
        <w:rPr>
          <w:rFonts w:hint="eastAsia" w:ascii="仿宋" w:hAnsi="仿宋" w:eastAsia="仿宋" w:cs="仿宋"/>
          <w:sz w:val="24"/>
          <w:highlight w:val="none"/>
        </w:rPr>
        <w:t>采购代理机构的答复不满意或者采购人、采购代理机构未在规定的时间内作出答复的，可以在答复期满后十五个工作日内向同级政府采购监督管理部门提出投诉。</w:t>
      </w:r>
    </w:p>
    <w:p w14:paraId="68E49A46">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4.2供应商投诉的事项不得超出已质疑事项的范围，基于质疑答复内容提出的投诉事项除外。</w:t>
      </w:r>
    </w:p>
    <w:p w14:paraId="0047D9CD">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4.3供应商投诉应当有明确的请求和必要的证明材料。</w:t>
      </w:r>
    </w:p>
    <w:p w14:paraId="70941297">
      <w:pPr>
        <w:pStyle w:val="33"/>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4.4以联合体形式参加政府采购活动的，其投诉应当由组成联合体的所有供应商共同提出。</w:t>
      </w:r>
    </w:p>
    <w:p w14:paraId="5372BF6B">
      <w:pPr>
        <w:pStyle w:val="33"/>
        <w:spacing w:line="336"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投诉书范本及制作说明详见附件2。</w:t>
      </w:r>
    </w:p>
    <w:p w14:paraId="33343E24">
      <w:pPr>
        <w:spacing w:line="336" w:lineRule="auto"/>
        <w:ind w:firstLine="480" w:firstLineChars="200"/>
        <w:rPr>
          <w:rFonts w:ascii="仿宋" w:hAnsi="仿宋" w:eastAsia="仿宋" w:cs="仿宋"/>
          <w:sz w:val="24"/>
          <w:szCs w:val="20"/>
        </w:rPr>
      </w:pPr>
    </w:p>
    <w:p w14:paraId="08B022D0">
      <w:pPr>
        <w:pStyle w:val="33"/>
        <w:spacing w:line="336" w:lineRule="auto"/>
        <w:ind w:firstLine="480" w:firstLineChars="200"/>
        <w:rPr>
          <w:rFonts w:ascii="仿宋" w:hAnsi="仿宋" w:eastAsia="仿宋" w:cs="仿宋"/>
          <w:sz w:val="24"/>
        </w:rPr>
      </w:pPr>
    </w:p>
    <w:p w14:paraId="22DFC1A4">
      <w:pPr>
        <w:tabs>
          <w:tab w:val="left" w:pos="0"/>
        </w:tabs>
        <w:spacing w:line="336" w:lineRule="auto"/>
        <w:rPr>
          <w:rFonts w:ascii="仿宋" w:hAnsi="仿宋" w:eastAsia="仿宋" w:cs="仿宋"/>
          <w:b/>
          <w:sz w:val="32"/>
          <w:szCs w:val="20"/>
        </w:rPr>
      </w:pPr>
      <w:bookmarkStart w:id="54" w:name="_Hlt74714665"/>
      <w:bookmarkEnd w:id="54"/>
      <w:bookmarkStart w:id="55" w:name="_Hlt75236290"/>
      <w:bookmarkEnd w:id="55"/>
      <w:bookmarkStart w:id="56" w:name="_Hlt75236011"/>
      <w:bookmarkEnd w:id="56"/>
      <w:bookmarkStart w:id="57" w:name="_Hlt74729768"/>
      <w:bookmarkEnd w:id="57"/>
      <w:bookmarkStart w:id="58" w:name="_Hlt68057669"/>
      <w:bookmarkEnd w:id="58"/>
      <w:bookmarkStart w:id="59" w:name="_Hlt68072990"/>
      <w:bookmarkEnd w:id="59"/>
      <w:bookmarkStart w:id="60" w:name="_Hlt74707468"/>
      <w:bookmarkEnd w:id="60"/>
      <w:bookmarkStart w:id="61" w:name="_Hlt74730295"/>
      <w:bookmarkEnd w:id="61"/>
      <w:bookmarkStart w:id="62" w:name="_Hlt75236101"/>
      <w:bookmarkEnd w:id="62"/>
      <w:r>
        <w:rPr>
          <w:rFonts w:hint="eastAsia" w:ascii="仿宋" w:hAnsi="仿宋" w:eastAsia="仿宋" w:cs="仿宋"/>
          <w:b/>
          <w:sz w:val="36"/>
          <w:szCs w:val="36"/>
        </w:rPr>
        <w:br w:type="page"/>
      </w:r>
    </w:p>
    <w:bookmarkEnd w:id="8"/>
    <w:p w14:paraId="13A77415">
      <w:pPr>
        <w:numPr>
          <w:ilvl w:val="0"/>
          <w:numId w:val="0"/>
        </w:numPr>
        <w:adjustRightInd/>
        <w:spacing w:line="336" w:lineRule="auto"/>
        <w:jc w:val="center"/>
        <w:outlineLvl w:val="0"/>
        <w:rPr>
          <w:rFonts w:hint="eastAsia" w:ascii="仿宋" w:hAnsi="仿宋" w:eastAsia="仿宋" w:cs="仿宋"/>
          <w:b/>
          <w:sz w:val="36"/>
          <w:szCs w:val="36"/>
        </w:rPr>
      </w:pPr>
      <w:bookmarkStart w:id="63" w:name="第三部分"/>
      <w:bookmarkStart w:id="64" w:name="_Toc164416483"/>
      <w:r>
        <w:rPr>
          <w:rFonts w:hint="eastAsia" w:ascii="仿宋" w:hAnsi="仿宋" w:eastAsia="仿宋" w:cs="仿宋"/>
          <w:b/>
          <w:kern w:val="2"/>
          <w:sz w:val="36"/>
          <w:szCs w:val="36"/>
          <w:lang w:val="en-US" w:eastAsia="zh-CN" w:bidi="ar-SA"/>
        </w:rPr>
        <w:t>第三部分</w:t>
      </w:r>
      <w:r>
        <w:rPr>
          <w:rFonts w:hint="eastAsia" w:ascii="仿宋" w:hAnsi="仿宋" w:eastAsia="仿宋" w:cs="仿宋"/>
          <w:b/>
          <w:sz w:val="36"/>
          <w:szCs w:val="36"/>
        </w:rPr>
        <w:t xml:space="preserve"> 采购需求</w:t>
      </w:r>
    </w:p>
    <w:p w14:paraId="359FAA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sz w:val="24"/>
          <w:szCs w:val="24"/>
        </w:rPr>
      </w:pPr>
      <w:bookmarkStart w:id="65" w:name="_Toc25190"/>
      <w:bookmarkStart w:id="66" w:name="_Toc14231"/>
      <w:r>
        <w:rPr>
          <w:rFonts w:hint="eastAsia" w:ascii="仿宋" w:hAnsi="仿宋" w:eastAsia="仿宋" w:cs="仿宋"/>
          <w:b/>
          <w:bCs/>
          <w:sz w:val="24"/>
          <w:szCs w:val="24"/>
        </w:rPr>
        <w:t>一、招标内容</w:t>
      </w:r>
      <w:bookmarkEnd w:id="65"/>
      <w:bookmarkEnd w:id="66"/>
    </w:p>
    <w:tbl>
      <w:tblPr>
        <w:tblStyle w:val="6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58"/>
        <w:gridCol w:w="1017"/>
        <w:gridCol w:w="1300"/>
        <w:gridCol w:w="3166"/>
        <w:gridCol w:w="1331"/>
        <w:gridCol w:w="1347"/>
      </w:tblGrid>
      <w:tr w14:paraId="27CC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jc w:val="center"/>
        </w:trPr>
        <w:tc>
          <w:tcPr>
            <w:tcW w:w="758" w:type="dxa"/>
            <w:shd w:val="clear" w:color="auto" w:fill="auto"/>
            <w:tcMar>
              <w:top w:w="75" w:type="dxa"/>
              <w:left w:w="150" w:type="dxa"/>
              <w:bottom w:w="75" w:type="dxa"/>
              <w:right w:w="150" w:type="dxa"/>
            </w:tcMar>
            <w:vAlign w:val="center"/>
          </w:tcPr>
          <w:p w14:paraId="716791E6">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标项</w:t>
            </w:r>
          </w:p>
        </w:tc>
        <w:tc>
          <w:tcPr>
            <w:tcW w:w="1017" w:type="dxa"/>
            <w:shd w:val="clear" w:color="auto" w:fill="auto"/>
            <w:tcMar>
              <w:top w:w="75" w:type="dxa"/>
              <w:left w:w="150" w:type="dxa"/>
              <w:bottom w:w="75" w:type="dxa"/>
              <w:right w:w="150" w:type="dxa"/>
            </w:tcMar>
            <w:vAlign w:val="center"/>
          </w:tcPr>
          <w:p w14:paraId="5D68C7F5">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线路</w:t>
            </w:r>
          </w:p>
        </w:tc>
        <w:tc>
          <w:tcPr>
            <w:tcW w:w="1300" w:type="dxa"/>
            <w:shd w:val="clear" w:color="auto" w:fill="auto"/>
            <w:tcMar>
              <w:top w:w="75" w:type="dxa"/>
              <w:left w:w="150" w:type="dxa"/>
              <w:bottom w:w="75" w:type="dxa"/>
              <w:right w:w="150" w:type="dxa"/>
            </w:tcMar>
            <w:vAlign w:val="center"/>
          </w:tcPr>
          <w:p w14:paraId="24C8BB6A">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日程（天数）</w:t>
            </w:r>
          </w:p>
        </w:tc>
        <w:tc>
          <w:tcPr>
            <w:tcW w:w="3166" w:type="dxa"/>
            <w:shd w:val="clear" w:color="auto" w:fill="auto"/>
            <w:tcMar>
              <w:top w:w="75" w:type="dxa"/>
              <w:left w:w="150" w:type="dxa"/>
              <w:bottom w:w="75" w:type="dxa"/>
              <w:right w:w="150" w:type="dxa"/>
            </w:tcMar>
            <w:vAlign w:val="center"/>
          </w:tcPr>
          <w:p w14:paraId="1B3F86DA">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主要景点</w:t>
            </w:r>
          </w:p>
        </w:tc>
        <w:tc>
          <w:tcPr>
            <w:tcW w:w="1331" w:type="dxa"/>
            <w:shd w:val="clear" w:color="auto" w:fill="auto"/>
            <w:tcMar>
              <w:top w:w="75" w:type="dxa"/>
              <w:left w:w="150" w:type="dxa"/>
              <w:bottom w:w="75" w:type="dxa"/>
              <w:right w:w="150" w:type="dxa"/>
            </w:tcMar>
            <w:vAlign w:val="center"/>
          </w:tcPr>
          <w:p w14:paraId="1541B1B6">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人数（暂定）</w:t>
            </w:r>
          </w:p>
        </w:tc>
        <w:tc>
          <w:tcPr>
            <w:tcW w:w="1347" w:type="dxa"/>
            <w:shd w:val="clear" w:color="auto" w:fill="auto"/>
            <w:tcMar>
              <w:top w:w="75" w:type="dxa"/>
              <w:left w:w="150" w:type="dxa"/>
              <w:bottom w:w="75" w:type="dxa"/>
              <w:right w:w="150" w:type="dxa"/>
            </w:tcMar>
            <w:vAlign w:val="center"/>
          </w:tcPr>
          <w:p w14:paraId="0D0FDA0A">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备注</w:t>
            </w:r>
          </w:p>
        </w:tc>
      </w:tr>
      <w:tr w14:paraId="65A4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758" w:type="dxa"/>
            <w:shd w:val="clear" w:color="auto" w:fill="auto"/>
            <w:tcMar>
              <w:top w:w="75" w:type="dxa"/>
              <w:left w:w="150" w:type="dxa"/>
              <w:bottom w:w="75" w:type="dxa"/>
              <w:right w:w="150" w:type="dxa"/>
            </w:tcMar>
            <w:vAlign w:val="center"/>
          </w:tcPr>
          <w:p w14:paraId="73728876">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一</w:t>
            </w:r>
          </w:p>
        </w:tc>
        <w:tc>
          <w:tcPr>
            <w:tcW w:w="1017" w:type="dxa"/>
            <w:shd w:val="clear" w:color="auto" w:fill="auto"/>
            <w:tcMar>
              <w:top w:w="75" w:type="dxa"/>
              <w:left w:w="150" w:type="dxa"/>
              <w:bottom w:w="75" w:type="dxa"/>
              <w:right w:w="150" w:type="dxa"/>
            </w:tcMar>
            <w:vAlign w:val="center"/>
          </w:tcPr>
          <w:p w14:paraId="38E0AC75">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云南线</w:t>
            </w:r>
          </w:p>
        </w:tc>
        <w:tc>
          <w:tcPr>
            <w:tcW w:w="1300" w:type="dxa"/>
            <w:shd w:val="clear" w:color="auto" w:fill="auto"/>
            <w:tcMar>
              <w:top w:w="75" w:type="dxa"/>
              <w:left w:w="150" w:type="dxa"/>
              <w:bottom w:w="75" w:type="dxa"/>
              <w:right w:w="150" w:type="dxa"/>
            </w:tcMar>
            <w:vAlign w:val="center"/>
          </w:tcPr>
          <w:p w14:paraId="1719481B">
            <w:pPr>
              <w:pStyle w:val="24"/>
              <w:widowControl w:val="0"/>
              <w:wordWrap/>
              <w:adjustRightInd w:val="0"/>
              <w:snapToGrid w:val="0"/>
              <w:spacing w:line="360" w:lineRule="auto"/>
              <w:ind w:left="0" w:leftChars="0" w:firstLine="0" w:firstLineChars="0"/>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w:t>
            </w:r>
          </w:p>
        </w:tc>
        <w:tc>
          <w:tcPr>
            <w:tcW w:w="3166" w:type="dxa"/>
            <w:shd w:val="clear" w:color="auto" w:fill="auto"/>
            <w:tcMar>
              <w:top w:w="75" w:type="dxa"/>
              <w:left w:w="150" w:type="dxa"/>
              <w:bottom w:w="75" w:type="dxa"/>
              <w:right w:w="150" w:type="dxa"/>
            </w:tcMar>
            <w:vAlign w:val="center"/>
          </w:tcPr>
          <w:p w14:paraId="1994933D">
            <w:pPr>
              <w:pStyle w:val="24"/>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腾冲国殇墓园、石鼓镇红军渡口、玉龙雪山、虎跳峡等</w:t>
            </w:r>
          </w:p>
        </w:tc>
        <w:tc>
          <w:tcPr>
            <w:tcW w:w="1331" w:type="dxa"/>
            <w:shd w:val="clear" w:color="auto" w:fill="auto"/>
            <w:tcMar>
              <w:top w:w="75" w:type="dxa"/>
              <w:left w:w="150" w:type="dxa"/>
              <w:bottom w:w="75" w:type="dxa"/>
              <w:right w:w="150" w:type="dxa"/>
            </w:tcMar>
            <w:vAlign w:val="center"/>
          </w:tcPr>
          <w:p w14:paraId="572005EB">
            <w:pPr>
              <w:pStyle w:val="24"/>
              <w:widowControl w:val="0"/>
              <w:wordWrap/>
              <w:adjustRightInd w:val="0"/>
              <w:snapToGrid w:val="0"/>
              <w:spacing w:line="360" w:lineRule="auto"/>
              <w:ind w:left="0" w:leftChars="0" w:firstLine="0" w:firstLineChars="0"/>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68人（第一年）/34人（第二、第三年）</w:t>
            </w:r>
          </w:p>
        </w:tc>
        <w:tc>
          <w:tcPr>
            <w:tcW w:w="1347" w:type="dxa"/>
            <w:vMerge w:val="restart"/>
            <w:shd w:val="clear" w:color="auto" w:fill="auto"/>
            <w:tcMar>
              <w:top w:w="75" w:type="dxa"/>
              <w:left w:w="150" w:type="dxa"/>
              <w:bottom w:w="75" w:type="dxa"/>
              <w:right w:w="150" w:type="dxa"/>
            </w:tcMar>
            <w:vAlign w:val="center"/>
          </w:tcPr>
          <w:p w14:paraId="4108F703">
            <w:pPr>
              <w:pStyle w:val="5"/>
              <w:widowControl w:val="0"/>
              <w:numPr>
                <w:ilvl w:val="0"/>
                <w:numId w:val="0"/>
              </w:numPr>
              <w:wordWrap/>
              <w:adjustRightInd w:val="0"/>
              <w:snapToGrid w:val="0"/>
              <w:spacing w:line="360" w:lineRule="auto"/>
              <w:ind w:leftChars="0"/>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CN"/>
              </w:rPr>
              <w:t>000元/人</w:t>
            </w:r>
          </w:p>
        </w:tc>
      </w:tr>
      <w:tr w14:paraId="33F0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758" w:type="dxa"/>
            <w:shd w:val="clear" w:color="auto" w:fill="auto"/>
            <w:tcMar>
              <w:top w:w="75" w:type="dxa"/>
              <w:left w:w="150" w:type="dxa"/>
              <w:bottom w:w="75" w:type="dxa"/>
              <w:right w:w="150" w:type="dxa"/>
            </w:tcMar>
            <w:vAlign w:val="center"/>
          </w:tcPr>
          <w:p w14:paraId="38389F05">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二</w:t>
            </w:r>
          </w:p>
        </w:tc>
        <w:tc>
          <w:tcPr>
            <w:tcW w:w="1017" w:type="dxa"/>
            <w:shd w:val="clear" w:color="auto" w:fill="auto"/>
            <w:tcMar>
              <w:top w:w="75" w:type="dxa"/>
              <w:left w:w="150" w:type="dxa"/>
              <w:bottom w:w="75" w:type="dxa"/>
              <w:right w:w="150" w:type="dxa"/>
            </w:tcMar>
            <w:vAlign w:val="center"/>
          </w:tcPr>
          <w:p w14:paraId="719FF81E">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东北线</w:t>
            </w:r>
          </w:p>
        </w:tc>
        <w:tc>
          <w:tcPr>
            <w:tcW w:w="1300" w:type="dxa"/>
            <w:shd w:val="clear" w:color="auto" w:fill="auto"/>
            <w:tcMar>
              <w:top w:w="75" w:type="dxa"/>
              <w:left w:w="150" w:type="dxa"/>
              <w:bottom w:w="75" w:type="dxa"/>
              <w:right w:w="150" w:type="dxa"/>
            </w:tcMar>
            <w:vAlign w:val="center"/>
          </w:tcPr>
          <w:p w14:paraId="14CBF406">
            <w:pPr>
              <w:pStyle w:val="24"/>
              <w:widowControl w:val="0"/>
              <w:wordWrap/>
              <w:adjustRightInd w:val="0"/>
              <w:snapToGrid w:val="0"/>
              <w:spacing w:line="360" w:lineRule="auto"/>
              <w:ind w:left="0" w:leftChars="0" w:firstLine="0" w:firstLineChars="0"/>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w:t>
            </w:r>
          </w:p>
        </w:tc>
        <w:tc>
          <w:tcPr>
            <w:tcW w:w="3166" w:type="dxa"/>
            <w:shd w:val="clear" w:color="auto" w:fill="auto"/>
            <w:tcMar>
              <w:top w:w="75" w:type="dxa"/>
              <w:left w:w="150" w:type="dxa"/>
              <w:bottom w:w="75" w:type="dxa"/>
              <w:right w:w="150" w:type="dxa"/>
            </w:tcMar>
            <w:vAlign w:val="center"/>
          </w:tcPr>
          <w:p w14:paraId="2AEB43EB">
            <w:pPr>
              <w:pStyle w:val="24"/>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杨靖宇纪念馆、抗联遗址、长白山天池、五大连池火山等</w:t>
            </w:r>
          </w:p>
        </w:tc>
        <w:tc>
          <w:tcPr>
            <w:tcW w:w="1331" w:type="dxa"/>
            <w:shd w:val="clear" w:color="auto" w:fill="auto"/>
            <w:tcMar>
              <w:top w:w="75" w:type="dxa"/>
              <w:left w:w="150" w:type="dxa"/>
              <w:bottom w:w="75" w:type="dxa"/>
              <w:right w:w="150" w:type="dxa"/>
            </w:tcMar>
            <w:vAlign w:val="center"/>
          </w:tcPr>
          <w:p w14:paraId="20D56F79">
            <w:pPr>
              <w:pStyle w:val="24"/>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68人（第一年）/33人（第二、第三年）</w:t>
            </w:r>
          </w:p>
        </w:tc>
        <w:tc>
          <w:tcPr>
            <w:tcW w:w="1347" w:type="dxa"/>
            <w:vMerge w:val="continue"/>
            <w:shd w:val="clear" w:color="auto" w:fill="auto"/>
            <w:tcMar>
              <w:top w:w="75" w:type="dxa"/>
              <w:left w:w="150" w:type="dxa"/>
              <w:bottom w:w="75" w:type="dxa"/>
              <w:right w:w="150" w:type="dxa"/>
            </w:tcMar>
            <w:vAlign w:val="center"/>
          </w:tcPr>
          <w:p w14:paraId="05A9743B">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rPr>
            </w:pPr>
          </w:p>
        </w:tc>
      </w:tr>
      <w:tr w14:paraId="5FC4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jc w:val="center"/>
        </w:trPr>
        <w:tc>
          <w:tcPr>
            <w:tcW w:w="758" w:type="dxa"/>
            <w:shd w:val="clear" w:color="auto" w:fill="auto"/>
            <w:tcMar>
              <w:top w:w="75" w:type="dxa"/>
              <w:left w:w="150" w:type="dxa"/>
              <w:bottom w:w="75" w:type="dxa"/>
              <w:right w:w="150" w:type="dxa"/>
            </w:tcMar>
            <w:vAlign w:val="center"/>
          </w:tcPr>
          <w:p w14:paraId="7658F9DF">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三</w:t>
            </w:r>
          </w:p>
        </w:tc>
        <w:tc>
          <w:tcPr>
            <w:tcW w:w="1017" w:type="dxa"/>
            <w:shd w:val="clear" w:color="auto" w:fill="auto"/>
            <w:tcMar>
              <w:top w:w="75" w:type="dxa"/>
              <w:left w:w="150" w:type="dxa"/>
              <w:bottom w:w="75" w:type="dxa"/>
              <w:right w:w="150" w:type="dxa"/>
            </w:tcMar>
            <w:vAlign w:val="center"/>
          </w:tcPr>
          <w:p w14:paraId="7CD48561">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lang w:eastAsia="zh-CN"/>
              </w:rPr>
              <w:t>广西线</w:t>
            </w:r>
          </w:p>
        </w:tc>
        <w:tc>
          <w:tcPr>
            <w:tcW w:w="1300" w:type="dxa"/>
            <w:shd w:val="clear" w:color="auto" w:fill="auto"/>
            <w:tcMar>
              <w:top w:w="75" w:type="dxa"/>
              <w:left w:w="150" w:type="dxa"/>
              <w:bottom w:w="75" w:type="dxa"/>
              <w:right w:w="150" w:type="dxa"/>
            </w:tcMar>
            <w:vAlign w:val="center"/>
          </w:tcPr>
          <w:p w14:paraId="3A7552BD">
            <w:pPr>
              <w:pStyle w:val="24"/>
              <w:widowControl w:val="0"/>
              <w:wordWrap/>
              <w:adjustRightInd w:val="0"/>
              <w:snapToGrid w:val="0"/>
              <w:spacing w:line="360" w:lineRule="auto"/>
              <w:ind w:left="0" w:leftChars="0" w:firstLine="0" w:firstLineChars="0"/>
              <w:jc w:val="center"/>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w:t>
            </w:r>
          </w:p>
        </w:tc>
        <w:tc>
          <w:tcPr>
            <w:tcW w:w="3166" w:type="dxa"/>
            <w:shd w:val="clear" w:color="auto" w:fill="auto"/>
            <w:tcMar>
              <w:top w:w="75" w:type="dxa"/>
              <w:left w:w="150" w:type="dxa"/>
              <w:bottom w:w="75" w:type="dxa"/>
              <w:right w:w="150" w:type="dxa"/>
            </w:tcMar>
            <w:vAlign w:val="center"/>
          </w:tcPr>
          <w:p w14:paraId="6508C7E0">
            <w:pPr>
              <w:pStyle w:val="24"/>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湘江战役纪念馆、红军堂指挥部遗址、涠洲岛、漓江等</w:t>
            </w:r>
          </w:p>
        </w:tc>
        <w:tc>
          <w:tcPr>
            <w:tcW w:w="1331" w:type="dxa"/>
            <w:shd w:val="clear" w:color="auto" w:fill="auto"/>
            <w:tcMar>
              <w:top w:w="75" w:type="dxa"/>
              <w:left w:w="150" w:type="dxa"/>
              <w:bottom w:w="75" w:type="dxa"/>
              <w:right w:w="150" w:type="dxa"/>
            </w:tcMar>
            <w:vAlign w:val="center"/>
          </w:tcPr>
          <w:p w14:paraId="66F03FBC">
            <w:pPr>
              <w:pStyle w:val="24"/>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68人（第一年）/33人（第二、第三年）</w:t>
            </w:r>
          </w:p>
        </w:tc>
        <w:tc>
          <w:tcPr>
            <w:tcW w:w="1347" w:type="dxa"/>
            <w:vMerge w:val="continue"/>
            <w:shd w:val="clear" w:color="auto" w:fill="auto"/>
            <w:tcMar>
              <w:top w:w="75" w:type="dxa"/>
              <w:left w:w="150" w:type="dxa"/>
              <w:bottom w:w="75" w:type="dxa"/>
              <w:right w:w="150" w:type="dxa"/>
            </w:tcMar>
            <w:vAlign w:val="center"/>
          </w:tcPr>
          <w:p w14:paraId="0F474556">
            <w:pPr>
              <w:widowControl w:val="0"/>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rPr>
            </w:pPr>
          </w:p>
        </w:tc>
      </w:tr>
      <w:tr w14:paraId="23A1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6" w:hRule="atLeast"/>
          <w:jc w:val="center"/>
        </w:trPr>
        <w:tc>
          <w:tcPr>
            <w:tcW w:w="8919" w:type="dxa"/>
            <w:gridSpan w:val="6"/>
            <w:shd w:val="clear" w:color="auto" w:fill="auto"/>
            <w:tcMar>
              <w:top w:w="75" w:type="dxa"/>
              <w:left w:w="150" w:type="dxa"/>
              <w:bottom w:w="75" w:type="dxa"/>
              <w:right w:w="150" w:type="dxa"/>
            </w:tcMar>
            <w:vAlign w:val="center"/>
          </w:tcPr>
          <w:p w14:paraId="1229D61E">
            <w:pPr>
              <w:widowControl w:val="0"/>
              <w:wordWrap/>
              <w:adjustRightInd w:val="0"/>
              <w:snapToGrid w:val="0"/>
              <w:spacing w:line="360" w:lineRule="auto"/>
              <w:ind w:left="0" w:leftChars="0" w:firstLine="0" w:firstLineChars="0"/>
              <w:jc w:val="left"/>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rPr>
              <w:t>注：（1）上述各路线的人数为预计数，具体以实际合同履行的人数，按实结算。若发生人数不足或线路取消的情况，需提供应急方案以供采购人选择（具体按采购人要求执行），由此造成的风险及损失由投标人自行承担。（2）本项目分</w:t>
            </w:r>
            <w:r>
              <w:rPr>
                <w:rFonts w:hint="eastAsia" w:ascii="仿宋" w:hAnsi="仿宋" w:eastAsia="仿宋" w:cs="仿宋"/>
                <w:b/>
                <w:bCs/>
                <w:i w:val="0"/>
                <w:iCs w:val="0"/>
                <w:color w:val="auto"/>
                <w:sz w:val="24"/>
                <w:szCs w:val="24"/>
                <w:highlight w:val="none"/>
                <w:lang w:val="en-US" w:eastAsia="zh-CN"/>
              </w:rPr>
              <w:t>三</w:t>
            </w:r>
            <w:r>
              <w:rPr>
                <w:rFonts w:hint="eastAsia" w:ascii="仿宋" w:hAnsi="仿宋" w:eastAsia="仿宋" w:cs="仿宋"/>
                <w:b/>
                <w:bCs/>
                <w:i w:val="0"/>
                <w:iCs w:val="0"/>
                <w:color w:val="auto"/>
                <w:sz w:val="24"/>
                <w:szCs w:val="24"/>
                <w:highlight w:val="none"/>
              </w:rPr>
              <w:t>个标项，供应商可兼投但不兼中。各标项综合得分排名第一的供应商推荐为中标候选人；若标项2综合得分排名第一的供应商已经被推荐为标项1的中标候选人，则标项2的中标候选人顺延至综合得分排名第二的供应商，以此类推。</w:t>
            </w:r>
          </w:p>
        </w:tc>
      </w:tr>
    </w:tbl>
    <w:p w14:paraId="57548D7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lang w:eastAsia="zh-CN"/>
        </w:rPr>
      </w:pPr>
      <w:r>
        <w:rPr>
          <w:rFonts w:hint="eastAsia" w:ascii="仿宋" w:hAnsi="仿宋" w:eastAsia="仿宋" w:cs="仿宋"/>
          <w:sz w:val="24"/>
          <w:szCs w:val="24"/>
        </w:rPr>
        <w:t>本次采购项目，主要包括安排</w:t>
      </w:r>
      <w:r>
        <w:rPr>
          <w:rFonts w:hint="eastAsia" w:ascii="仿宋" w:hAnsi="仿宋" w:eastAsia="仿宋" w:cs="仿宋"/>
          <w:sz w:val="24"/>
          <w:szCs w:val="24"/>
          <w:lang w:eastAsia="zh-CN"/>
        </w:rPr>
        <w:t>中国共产党新昌县委员会组织部优秀公务员</w:t>
      </w:r>
      <w:r>
        <w:rPr>
          <w:rFonts w:hint="eastAsia" w:ascii="仿宋" w:hAnsi="仿宋" w:eastAsia="仿宋" w:cs="仿宋"/>
          <w:sz w:val="24"/>
          <w:szCs w:val="24"/>
        </w:rPr>
        <w:t>健康休养活动的组织工作，包括食、宿、行等活动的具体安排。本次项目采购通过竞争性磋商方式确定服务单位</w:t>
      </w:r>
      <w:r>
        <w:rPr>
          <w:rFonts w:hint="eastAsia" w:ascii="仿宋" w:hAnsi="仿宋" w:eastAsia="仿宋" w:cs="仿宋"/>
          <w:sz w:val="24"/>
          <w:szCs w:val="24"/>
          <w:highlight w:val="none"/>
        </w:rPr>
        <w:t>。</w:t>
      </w:r>
      <w:r>
        <w:rPr>
          <w:rFonts w:hint="eastAsia" w:ascii="仿宋" w:hAnsi="仿宋" w:eastAsia="仿宋" w:cs="仿宋"/>
          <w:sz w:val="24"/>
          <w:szCs w:val="24"/>
        </w:rPr>
        <w:t>最终以实际</w:t>
      </w:r>
      <w:r>
        <w:rPr>
          <w:rFonts w:hint="eastAsia" w:ascii="仿宋" w:hAnsi="仿宋" w:eastAsia="仿宋" w:cs="仿宋"/>
          <w:color w:val="auto"/>
          <w:sz w:val="24"/>
          <w:szCs w:val="24"/>
          <w:lang w:val="en-US" w:eastAsia="zh-CN"/>
        </w:rPr>
        <w:t>成团</w:t>
      </w:r>
      <w:r>
        <w:rPr>
          <w:rFonts w:hint="eastAsia" w:ascii="仿宋" w:hAnsi="仿宋" w:eastAsia="仿宋" w:cs="仿宋"/>
          <w:color w:val="auto"/>
          <w:sz w:val="24"/>
          <w:szCs w:val="24"/>
        </w:rPr>
        <w:t>人数为准,采购人有权按需求调整单条路线的实际</w:t>
      </w:r>
      <w:r>
        <w:rPr>
          <w:rFonts w:hint="eastAsia" w:ascii="仿宋" w:hAnsi="仿宋" w:eastAsia="仿宋" w:cs="仿宋"/>
          <w:color w:val="auto"/>
          <w:sz w:val="24"/>
          <w:szCs w:val="24"/>
          <w:lang w:val="en-US" w:eastAsia="zh-CN"/>
        </w:rPr>
        <w:t>成团</w:t>
      </w:r>
      <w:r>
        <w:rPr>
          <w:rFonts w:hint="eastAsia" w:ascii="仿宋" w:hAnsi="仿宋" w:eastAsia="仿宋" w:cs="仿宋"/>
          <w:color w:val="auto"/>
          <w:sz w:val="24"/>
          <w:szCs w:val="24"/>
        </w:rPr>
        <w:t>人数以及参加活动的总人数。分批次安排，批数及每批人数以实际成团人数为准</w:t>
      </w:r>
      <w:r>
        <w:rPr>
          <w:rFonts w:hint="eastAsia" w:ascii="仿宋" w:hAnsi="仿宋" w:eastAsia="仿宋" w:cs="仿宋"/>
          <w:color w:val="auto"/>
          <w:sz w:val="24"/>
          <w:szCs w:val="24"/>
          <w:lang w:eastAsia="zh-CN"/>
        </w:rPr>
        <w:t>，中标后不得以时间为由调整价格。</w:t>
      </w:r>
    </w:p>
    <w:p w14:paraId="4B025E63">
      <w:pPr>
        <w:wordWrap/>
        <w:adjustRightInd w:val="0"/>
        <w:snapToGrid w:val="0"/>
        <w:spacing w:line="360" w:lineRule="auto"/>
        <w:ind w:left="0" w:leftChars="0" w:firstLine="482" w:firstLineChars="200"/>
        <w:textAlignment w:val="auto"/>
        <w:rPr>
          <w:rFonts w:hint="eastAsia" w:ascii="仿宋" w:hAnsi="仿宋" w:eastAsia="仿宋" w:cs="仿宋"/>
          <w:b/>
          <w:i w:val="0"/>
          <w:iCs w:val="0"/>
          <w:color w:val="auto"/>
          <w:kern w:val="0"/>
          <w:sz w:val="24"/>
          <w:szCs w:val="24"/>
          <w:highlight w:val="none"/>
        </w:rPr>
      </w:pPr>
      <w:bookmarkStart w:id="67" w:name="_Toc7030"/>
      <w:bookmarkStart w:id="68" w:name="_Toc207"/>
      <w:bookmarkStart w:id="69" w:name="_Toc28301"/>
      <w:r>
        <w:rPr>
          <w:rFonts w:hint="eastAsia" w:ascii="仿宋" w:hAnsi="仿宋" w:eastAsia="仿宋" w:cs="仿宋"/>
          <w:b/>
          <w:i w:val="0"/>
          <w:iCs w:val="0"/>
          <w:color w:val="auto"/>
          <w:kern w:val="0"/>
          <w:sz w:val="24"/>
          <w:szCs w:val="24"/>
          <w:highlight w:val="none"/>
        </w:rPr>
        <w:t>（一）时间、地点、人数</w:t>
      </w:r>
      <w:r>
        <w:rPr>
          <w:rFonts w:hint="eastAsia" w:ascii="仿宋" w:hAnsi="仿宋" w:eastAsia="仿宋" w:cs="仿宋"/>
          <w:b/>
          <w:i w:val="0"/>
          <w:iCs w:val="0"/>
          <w:color w:val="auto"/>
          <w:kern w:val="0"/>
          <w:sz w:val="24"/>
          <w:szCs w:val="24"/>
          <w:highlight w:val="none"/>
        </w:rPr>
        <w:tab/>
      </w:r>
    </w:p>
    <w:p w14:paraId="36FBD89B">
      <w:pPr>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2025年10月31日前完成第一年疗休养出行，后续两年的出行时间另行通知</w:t>
      </w:r>
      <w:r>
        <w:rPr>
          <w:rFonts w:hint="eastAsia" w:ascii="仿宋" w:hAnsi="仿宋" w:eastAsia="仿宋" w:cs="仿宋"/>
          <w:i w:val="0"/>
          <w:iCs w:val="0"/>
          <w:color w:val="auto"/>
          <w:sz w:val="24"/>
          <w:szCs w:val="24"/>
          <w:highlight w:val="none"/>
        </w:rPr>
        <w:t>，出行地点为</w:t>
      </w:r>
      <w:r>
        <w:rPr>
          <w:rFonts w:hint="eastAsia" w:ascii="仿宋" w:hAnsi="仿宋" w:eastAsia="仿宋" w:cs="仿宋"/>
          <w:i w:val="0"/>
          <w:iCs w:val="0"/>
          <w:color w:val="auto"/>
          <w:sz w:val="24"/>
          <w:szCs w:val="24"/>
          <w:highlight w:val="none"/>
          <w:lang w:eastAsia="zh-CN"/>
        </w:rPr>
        <w:t>采购人指定地点</w:t>
      </w:r>
      <w:r>
        <w:rPr>
          <w:rFonts w:hint="eastAsia" w:ascii="仿宋" w:hAnsi="仿宋" w:eastAsia="仿宋" w:cs="仿宋"/>
          <w:i w:val="0"/>
          <w:iCs w:val="0"/>
          <w:color w:val="auto"/>
          <w:sz w:val="24"/>
          <w:szCs w:val="24"/>
          <w:highlight w:val="none"/>
        </w:rPr>
        <w:t>；具体人员清单由采购人分配，具体批次和出发时间由采购人视情况而定。</w:t>
      </w:r>
    </w:p>
    <w:p w14:paraId="1424252A">
      <w:pPr>
        <w:numPr>
          <w:ilvl w:val="0"/>
          <w:numId w:val="7"/>
        </w:numPr>
        <w:wordWrap/>
        <w:adjustRightInd w:val="0"/>
        <w:snapToGrid w:val="0"/>
        <w:spacing w:line="360" w:lineRule="auto"/>
        <w:ind w:left="0" w:leftChars="0" w:firstLine="482" w:firstLineChars="200"/>
        <w:textAlignment w:val="auto"/>
        <w:rPr>
          <w:rFonts w:hint="eastAsia" w:ascii="仿宋" w:hAnsi="仿宋" w:eastAsia="仿宋" w:cs="仿宋"/>
          <w:b/>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行程基本要求</w:t>
      </w:r>
    </w:p>
    <w:p w14:paraId="05E23AFA">
      <w:pPr>
        <w:widowControl w:val="0"/>
        <w:wordWrap/>
        <w:adjustRightInd w:val="0"/>
        <w:snapToGrid w:val="0"/>
        <w:spacing w:line="360" w:lineRule="auto"/>
        <w:ind w:left="0" w:leftChars="0" w:firstLine="482"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rPr>
        <w:t>组团：采购人内部公布线路和供应商方案后，由职工自由报名组团，每团最低组团人数不低于25人（已报名成团的，因临时退团不足2</w:t>
      </w:r>
      <w:r>
        <w:rPr>
          <w:rFonts w:hint="eastAsia" w:ascii="仿宋" w:hAnsi="仿宋" w:eastAsia="仿宋" w:cs="仿宋"/>
          <w:b/>
          <w:i w:val="0"/>
          <w:iCs w:val="0"/>
          <w:color w:val="auto"/>
          <w:sz w:val="24"/>
          <w:szCs w:val="24"/>
          <w:highlight w:val="none"/>
          <w:lang w:val="en-US" w:eastAsia="zh-CN"/>
        </w:rPr>
        <w:t>5</w:t>
      </w:r>
      <w:r>
        <w:rPr>
          <w:rFonts w:hint="eastAsia" w:ascii="仿宋" w:hAnsi="仿宋" w:eastAsia="仿宋" w:cs="仿宋"/>
          <w:b/>
          <w:i w:val="0"/>
          <w:iCs w:val="0"/>
          <w:color w:val="auto"/>
          <w:sz w:val="24"/>
          <w:szCs w:val="24"/>
          <w:highlight w:val="none"/>
        </w:rPr>
        <w:t>人的，该团继续出行，退团人员按退团规定补退团费用即可）。组团后可出现临时退团的情形，供应商应允许出团前3个工作日前除预定的费用（按国家规定执行</w:t>
      </w:r>
      <w:r>
        <w:rPr>
          <w:rFonts w:hint="eastAsia" w:ascii="仿宋" w:hAnsi="仿宋" w:eastAsia="仿宋" w:cs="仿宋"/>
          <w:b/>
          <w:i w:val="0"/>
          <w:iCs w:val="0"/>
          <w:color w:val="auto"/>
          <w:sz w:val="24"/>
          <w:szCs w:val="24"/>
          <w:highlight w:val="none"/>
          <w:lang w:eastAsia="zh-CN"/>
        </w:rPr>
        <w:t>：各航空公司规定不同航空不同折扣，四折以下均不退票）</w:t>
      </w:r>
      <w:r>
        <w:rPr>
          <w:rFonts w:hint="eastAsia" w:ascii="仿宋" w:hAnsi="仿宋" w:eastAsia="仿宋" w:cs="仿宋"/>
          <w:b/>
          <w:i w:val="0"/>
          <w:iCs w:val="0"/>
          <w:color w:val="auto"/>
          <w:sz w:val="24"/>
          <w:szCs w:val="24"/>
          <w:highlight w:val="none"/>
        </w:rPr>
        <w:t>外可无条件退团</w:t>
      </w:r>
      <w:r>
        <w:rPr>
          <w:rFonts w:hint="eastAsia" w:ascii="仿宋" w:hAnsi="仿宋" w:eastAsia="仿宋" w:cs="仿宋"/>
          <w:b/>
          <w:i w:val="0"/>
          <w:iCs w:val="0"/>
          <w:color w:val="auto"/>
          <w:sz w:val="24"/>
          <w:szCs w:val="24"/>
          <w:highlight w:val="none"/>
          <w:lang w:eastAsia="zh-CN"/>
        </w:rPr>
        <w:t>；</w:t>
      </w:r>
      <w:r>
        <w:rPr>
          <w:rFonts w:hint="eastAsia" w:ascii="仿宋" w:hAnsi="仿宋" w:eastAsia="仿宋" w:cs="仿宋"/>
          <w:b w:val="0"/>
          <w:bCs/>
          <w:i w:val="0"/>
          <w:iCs w:val="0"/>
          <w:color w:val="auto"/>
          <w:sz w:val="24"/>
          <w:szCs w:val="24"/>
          <w:highlight w:val="none"/>
          <w:lang w:eastAsia="zh-CN"/>
        </w:rPr>
        <w:t>出团前第2日至第</w:t>
      </w:r>
      <w:r>
        <w:rPr>
          <w:rFonts w:hint="eastAsia" w:ascii="仿宋" w:hAnsi="仿宋" w:eastAsia="仿宋" w:cs="仿宋"/>
          <w:b w:val="0"/>
          <w:bCs/>
          <w:i w:val="0"/>
          <w:iCs w:val="0"/>
          <w:color w:val="auto"/>
          <w:sz w:val="24"/>
          <w:szCs w:val="24"/>
          <w:highlight w:val="none"/>
          <w:lang w:val="en-US" w:eastAsia="zh-CN"/>
        </w:rPr>
        <w:t>3</w:t>
      </w:r>
      <w:r>
        <w:rPr>
          <w:rFonts w:hint="eastAsia" w:ascii="仿宋" w:hAnsi="仿宋" w:eastAsia="仿宋" w:cs="仿宋"/>
          <w:b w:val="0"/>
          <w:bCs/>
          <w:i w:val="0"/>
          <w:iCs w:val="0"/>
          <w:color w:val="auto"/>
          <w:sz w:val="24"/>
          <w:szCs w:val="24"/>
          <w:highlight w:val="none"/>
          <w:lang w:eastAsia="zh-CN"/>
        </w:rPr>
        <w:t>日内提出退团的，按退团人数补供应商500元/人的退团费用（总补偿费用为退团费用500元/人+高铁车票或机票退票费用），当天提出退团的，按退团人数补供应商1000元/人的退团费用（总补偿费用为退团费用1000元/人+高铁车票或机票退票费用），供应商保证不得降低该团原约定的疗休养标准，由以上原因产生的风险由投标人综合考虑。出团时如临时替换人员的，被更换人员应承担高铁和机票变更费用。</w:t>
      </w:r>
      <w:r>
        <w:rPr>
          <w:rFonts w:hint="eastAsia" w:ascii="仿宋" w:hAnsi="仿宋" w:eastAsia="仿宋" w:cs="仿宋"/>
          <w:i w:val="0"/>
          <w:iCs w:val="0"/>
          <w:color w:val="auto"/>
          <w:sz w:val="24"/>
          <w:szCs w:val="24"/>
          <w:highlight w:val="none"/>
        </w:rPr>
        <w:t>除上述外，投标供应商可提出相应的应急方案，如出团前</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个工作日内提出退团的或因退团导致出团人数过少的解决方案或应急措施，以供应商编制并获得采购人认可的方案为准。</w:t>
      </w:r>
    </w:p>
    <w:p w14:paraId="28D8419A">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交通工具：全程37座</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座位按照人数1：1.2比例配备</w:t>
      </w:r>
      <w:r>
        <w:rPr>
          <w:rFonts w:hint="eastAsia" w:ascii="仿宋" w:hAnsi="仿宋" w:eastAsia="仿宋" w:cs="仿宋"/>
          <w:i w:val="0"/>
          <w:iCs w:val="0"/>
          <w:color w:val="auto"/>
          <w:kern w:val="0"/>
          <w:sz w:val="24"/>
          <w:szCs w:val="24"/>
          <w:highlight w:val="none"/>
          <w:lang w:eastAsia="zh-CN"/>
        </w:rPr>
        <w:t>，不足</w:t>
      </w:r>
      <w:r>
        <w:rPr>
          <w:rFonts w:hint="eastAsia" w:ascii="仿宋" w:hAnsi="仿宋" w:eastAsia="仿宋" w:cs="仿宋"/>
          <w:i w:val="0"/>
          <w:iCs w:val="0"/>
          <w:color w:val="auto"/>
          <w:kern w:val="0"/>
          <w:sz w:val="24"/>
          <w:szCs w:val="24"/>
          <w:highlight w:val="none"/>
          <w:lang w:val="en-US" w:eastAsia="zh-CN"/>
        </w:rPr>
        <w:t>30</w:t>
      </w:r>
      <w:r>
        <w:rPr>
          <w:rFonts w:hint="eastAsia" w:ascii="仿宋" w:hAnsi="仿宋" w:eastAsia="仿宋" w:cs="仿宋"/>
          <w:i w:val="0"/>
          <w:iCs w:val="0"/>
          <w:color w:val="auto"/>
          <w:kern w:val="0"/>
          <w:sz w:val="24"/>
          <w:szCs w:val="24"/>
          <w:highlight w:val="none"/>
          <w:lang w:eastAsia="zh-CN"/>
        </w:rPr>
        <w:t>人时可与采购人协商提供其他较少座位数车辆，但必须保证车辆足够舒适，供应商可提前在标书中做好预案供采购人参考）</w:t>
      </w:r>
      <w:r>
        <w:rPr>
          <w:rFonts w:hint="eastAsia" w:ascii="仿宋" w:hAnsi="仿宋" w:eastAsia="仿宋" w:cs="仿宋"/>
          <w:i w:val="0"/>
          <w:iCs w:val="0"/>
          <w:color w:val="auto"/>
          <w:kern w:val="0"/>
          <w:sz w:val="24"/>
          <w:szCs w:val="24"/>
          <w:highlight w:val="none"/>
        </w:rPr>
        <w:t>以上空调旅游车，要求空调旅游车为三年内新车</w:t>
      </w:r>
      <w:r>
        <w:rPr>
          <w:rFonts w:hint="eastAsia" w:ascii="仿宋" w:hAnsi="仿宋" w:eastAsia="仿宋" w:cs="仿宋"/>
          <w:i w:val="0"/>
          <w:iCs w:val="0"/>
          <w:color w:val="auto"/>
          <w:kern w:val="0"/>
          <w:sz w:val="24"/>
          <w:szCs w:val="24"/>
          <w:highlight w:val="none"/>
          <w:lang w:val="en-US" w:eastAsia="zh-CN"/>
        </w:rPr>
        <w:t>,</w:t>
      </w:r>
      <w:r>
        <w:rPr>
          <w:rFonts w:hint="eastAsia" w:ascii="仿宋" w:hAnsi="仿宋" w:eastAsia="仿宋" w:cs="仿宋"/>
          <w:i w:val="0"/>
          <w:iCs w:val="0"/>
          <w:color w:val="auto"/>
          <w:kern w:val="0"/>
          <w:sz w:val="24"/>
          <w:szCs w:val="24"/>
          <w:highlight w:val="none"/>
        </w:rPr>
        <w:t>每日行程结束后对车辆进行</w:t>
      </w:r>
      <w:r>
        <w:rPr>
          <w:rFonts w:hint="eastAsia" w:ascii="仿宋" w:hAnsi="仿宋" w:eastAsia="仿宋" w:cs="仿宋"/>
          <w:i w:val="0"/>
          <w:iCs w:val="0"/>
          <w:color w:val="auto"/>
          <w:kern w:val="0"/>
          <w:sz w:val="24"/>
          <w:szCs w:val="24"/>
          <w:highlight w:val="none"/>
          <w:lang w:eastAsia="zh-CN"/>
        </w:rPr>
        <w:t>清洁、</w:t>
      </w:r>
      <w:r>
        <w:rPr>
          <w:rFonts w:hint="eastAsia" w:ascii="仿宋" w:hAnsi="仿宋" w:eastAsia="仿宋" w:cs="仿宋"/>
          <w:i w:val="0"/>
          <w:iCs w:val="0"/>
          <w:color w:val="auto"/>
          <w:kern w:val="0"/>
          <w:sz w:val="24"/>
          <w:szCs w:val="24"/>
          <w:highlight w:val="none"/>
        </w:rPr>
        <w:t>消杀，司机五年内无不良记录，服务态度好、技术好，确保行程安全。省外建议优先采用飞机出行方案。每批次人数仅供参考，人数不足不补差价，相应费用由投标人在报价中列入，中标后不得调整。</w:t>
      </w:r>
    </w:p>
    <w:p w14:paraId="17AEAAB9">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2.</w:t>
      </w:r>
      <w:r>
        <w:rPr>
          <w:rFonts w:hint="eastAsia" w:ascii="仿宋" w:hAnsi="仿宋" w:eastAsia="仿宋" w:cs="仿宋"/>
          <w:i w:val="0"/>
          <w:iCs w:val="0"/>
          <w:color w:val="auto"/>
          <w:kern w:val="0"/>
          <w:sz w:val="24"/>
          <w:szCs w:val="24"/>
          <w:highlight w:val="none"/>
        </w:rPr>
        <w:t>住宿：要求四星（同级）酒店双标间（</w:t>
      </w:r>
      <w:r>
        <w:rPr>
          <w:rFonts w:hint="eastAsia" w:ascii="仿宋" w:hAnsi="仿宋" w:eastAsia="仿宋" w:cs="仿宋"/>
          <w:i w:val="0"/>
          <w:iCs w:val="0"/>
          <w:color w:val="auto"/>
          <w:kern w:val="0"/>
          <w:sz w:val="24"/>
          <w:szCs w:val="24"/>
          <w:highlight w:val="none"/>
          <w:lang w:val="en-US" w:eastAsia="zh-CN"/>
        </w:rPr>
        <w:t>省内</w:t>
      </w:r>
      <w:r>
        <w:rPr>
          <w:rFonts w:hint="eastAsia" w:ascii="仿宋" w:hAnsi="仿宋" w:eastAsia="仿宋" w:cs="仿宋"/>
          <w:i w:val="0"/>
          <w:iCs w:val="0"/>
          <w:color w:val="auto"/>
          <w:kern w:val="0"/>
          <w:sz w:val="24"/>
          <w:szCs w:val="24"/>
          <w:highlight w:val="none"/>
        </w:rPr>
        <w:t>线路优先考虑五星酒店</w:t>
      </w:r>
      <w:r>
        <w:rPr>
          <w:rFonts w:hint="eastAsia" w:ascii="仿宋" w:hAnsi="仿宋" w:eastAsia="仿宋" w:cs="仿宋"/>
          <w:i w:val="0"/>
          <w:iCs w:val="0"/>
          <w:color w:val="auto"/>
          <w:kern w:val="0"/>
          <w:sz w:val="24"/>
          <w:szCs w:val="24"/>
          <w:highlight w:val="none"/>
          <w:lang w:eastAsia="zh-CN"/>
        </w:rPr>
        <w:t>，若当地无五星以实际情况为准</w:t>
      </w:r>
      <w:r>
        <w:rPr>
          <w:rFonts w:hint="eastAsia" w:ascii="仿宋" w:hAnsi="仿宋" w:eastAsia="仿宋" w:cs="仿宋"/>
          <w:i w:val="0"/>
          <w:iCs w:val="0"/>
          <w:color w:val="auto"/>
          <w:kern w:val="0"/>
          <w:sz w:val="24"/>
          <w:szCs w:val="24"/>
          <w:highlight w:val="none"/>
        </w:rPr>
        <w:t>，入住酒店必须包含早餐。酒店未评挂星的，应提供相关酒店网站截图、评分资料或其他相关证明资料供评委评审认定，供应商方案应列出每一线路的酒店名称、具体地点</w:t>
      </w:r>
      <w:r>
        <w:rPr>
          <w:rFonts w:hint="eastAsia" w:ascii="仿宋" w:hAnsi="仿宋" w:eastAsia="仿宋" w:cs="仿宋"/>
          <w:i w:val="0"/>
          <w:iCs w:val="0"/>
          <w:color w:val="auto"/>
          <w:kern w:val="0"/>
          <w:sz w:val="24"/>
          <w:szCs w:val="24"/>
          <w:highlight w:val="none"/>
          <w:lang w:eastAsia="zh-CN"/>
        </w:rPr>
        <w:t>。具体成团的酒店以供应商编制并获得采购人认可的方案为准。</w:t>
      </w:r>
      <w:r>
        <w:rPr>
          <w:rFonts w:hint="eastAsia" w:ascii="仿宋" w:hAnsi="仿宋" w:eastAsia="仿宋" w:cs="仿宋"/>
          <w:i w:val="0"/>
          <w:iCs w:val="0"/>
          <w:color w:val="auto"/>
          <w:kern w:val="0"/>
          <w:sz w:val="24"/>
          <w:szCs w:val="24"/>
          <w:highlight w:val="none"/>
        </w:rPr>
        <w:t>）另外若团队中出现单男单女，个人不补住房差价，由中标供应商安排并承担；因个人要求单住房，需补交个人房差价；</w:t>
      </w:r>
    </w:p>
    <w:p w14:paraId="091C15C9">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rPr>
        <w:t>3.景点：包括但不限于以下内容</w:t>
      </w:r>
      <w:r>
        <w:rPr>
          <w:rFonts w:hint="eastAsia" w:ascii="仿宋" w:hAnsi="仿宋" w:eastAsia="仿宋" w:cs="仿宋"/>
          <w:i w:val="0"/>
          <w:iCs w:val="0"/>
          <w:color w:val="auto"/>
          <w:kern w:val="0"/>
          <w:sz w:val="24"/>
          <w:szCs w:val="24"/>
          <w:highlight w:val="none"/>
          <w:lang w:val="en-US" w:eastAsia="zh-CN"/>
        </w:rPr>
        <w:t>(可根据实际情况提供详细方案及优化行程，最终的行程由采购人根据相关规定及结合自身要求制定):</w:t>
      </w:r>
    </w:p>
    <w:p w14:paraId="2FAB8E42">
      <w:pPr>
        <w:tabs>
          <w:tab w:val="left" w:pos="0"/>
        </w:tabs>
        <w:wordWrap/>
        <w:adjustRightInd w:val="0"/>
        <w:snapToGrid w:val="0"/>
        <w:spacing w:line="360" w:lineRule="auto"/>
        <w:ind w:left="0" w:leftChars="0" w:firstLine="482" w:firstLineChars="200"/>
        <w:textAlignment w:val="auto"/>
        <w:rPr>
          <w:rFonts w:hint="eastAsia" w:ascii="仿宋" w:hAnsi="仿宋" w:eastAsia="仿宋" w:cs="仿宋"/>
          <w:b w:val="0"/>
          <w:bCs w:val="0"/>
          <w:i w:val="0"/>
          <w:iCs w:val="0"/>
          <w:color w:val="auto"/>
          <w:kern w:val="0"/>
          <w:sz w:val="24"/>
          <w:szCs w:val="24"/>
          <w:highlight w:val="none"/>
          <w:lang w:eastAsia="zh-CN"/>
        </w:rPr>
      </w:pPr>
      <w:r>
        <w:rPr>
          <w:rFonts w:hint="eastAsia" w:ascii="仿宋" w:hAnsi="仿宋" w:eastAsia="仿宋" w:cs="仿宋"/>
          <w:b/>
          <w:bCs/>
          <w:i w:val="0"/>
          <w:iCs w:val="0"/>
          <w:color w:val="auto"/>
          <w:kern w:val="0"/>
          <w:sz w:val="24"/>
          <w:szCs w:val="24"/>
          <w:highlight w:val="none"/>
        </w:rPr>
        <w:t>线路</w:t>
      </w:r>
      <w:r>
        <w:rPr>
          <w:rFonts w:hint="eastAsia" w:ascii="仿宋" w:hAnsi="仿宋" w:eastAsia="仿宋" w:cs="仿宋"/>
          <w:b/>
          <w:bCs/>
          <w:i w:val="0"/>
          <w:iCs w:val="0"/>
          <w:color w:val="auto"/>
          <w:kern w:val="0"/>
          <w:sz w:val="24"/>
          <w:szCs w:val="24"/>
          <w:highlight w:val="none"/>
          <w:lang w:val="en-US" w:eastAsia="zh-CN"/>
        </w:rPr>
        <w:t>1云南线</w:t>
      </w:r>
      <w:r>
        <w:rPr>
          <w:rFonts w:hint="eastAsia" w:ascii="仿宋" w:hAnsi="仿宋" w:eastAsia="仿宋" w:cs="仿宋"/>
          <w:b/>
          <w:bCs/>
          <w:i w:val="0"/>
          <w:iCs w:val="0"/>
          <w:color w:val="auto"/>
          <w:kern w:val="0"/>
          <w:sz w:val="24"/>
          <w:szCs w:val="24"/>
          <w:highlight w:val="none"/>
        </w:rPr>
        <w:t>：</w:t>
      </w:r>
      <w:r>
        <w:rPr>
          <w:rFonts w:hint="eastAsia" w:ascii="仿宋" w:hAnsi="仿宋" w:eastAsia="仿宋" w:cs="仿宋"/>
          <w:b w:val="0"/>
          <w:bCs w:val="0"/>
          <w:i w:val="0"/>
          <w:iCs w:val="0"/>
          <w:color w:val="auto"/>
          <w:kern w:val="0"/>
          <w:sz w:val="24"/>
          <w:szCs w:val="24"/>
          <w:highlight w:val="none"/>
        </w:rPr>
        <w:t>腾冲国殇墓园、石鼓镇红军渡口、玉龙雪山、虎跳峡</w:t>
      </w:r>
      <w:r>
        <w:rPr>
          <w:rFonts w:hint="eastAsia" w:ascii="仿宋" w:hAnsi="仿宋" w:eastAsia="仿宋" w:cs="仿宋"/>
          <w:b w:val="0"/>
          <w:bCs w:val="0"/>
          <w:i w:val="0"/>
          <w:iCs w:val="0"/>
          <w:color w:val="auto"/>
          <w:kern w:val="0"/>
          <w:sz w:val="24"/>
          <w:szCs w:val="24"/>
          <w:highlight w:val="none"/>
          <w:lang w:eastAsia="zh-CN"/>
        </w:rPr>
        <w:t>等；</w:t>
      </w:r>
    </w:p>
    <w:p w14:paraId="44F653DD">
      <w:pPr>
        <w:tabs>
          <w:tab w:val="left" w:pos="0"/>
        </w:tabs>
        <w:wordWrap/>
        <w:adjustRightInd w:val="0"/>
        <w:snapToGrid w:val="0"/>
        <w:spacing w:line="360" w:lineRule="auto"/>
        <w:ind w:left="0" w:leftChars="0" w:firstLine="482" w:firstLineChars="200"/>
        <w:textAlignment w:val="auto"/>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rPr>
        <w:t>线路</w:t>
      </w:r>
      <w:r>
        <w:rPr>
          <w:rFonts w:hint="eastAsia" w:ascii="仿宋" w:hAnsi="仿宋" w:eastAsia="仿宋" w:cs="仿宋"/>
          <w:b/>
          <w:bCs/>
          <w:i w:val="0"/>
          <w:iCs w:val="0"/>
          <w:color w:val="auto"/>
          <w:kern w:val="0"/>
          <w:sz w:val="24"/>
          <w:szCs w:val="24"/>
          <w:highlight w:val="none"/>
          <w:lang w:val="en-US" w:eastAsia="zh-CN"/>
        </w:rPr>
        <w:t>2东北线</w:t>
      </w:r>
      <w:r>
        <w:rPr>
          <w:rFonts w:hint="eastAsia" w:ascii="仿宋" w:hAnsi="仿宋" w:eastAsia="仿宋" w:cs="仿宋"/>
          <w:b/>
          <w:bCs/>
          <w:i w:val="0"/>
          <w:iCs w:val="0"/>
          <w:color w:val="auto"/>
          <w:kern w:val="0"/>
          <w:sz w:val="24"/>
          <w:szCs w:val="24"/>
          <w:highlight w:val="none"/>
        </w:rPr>
        <w:t>：</w:t>
      </w:r>
      <w:r>
        <w:rPr>
          <w:rFonts w:hint="eastAsia" w:ascii="仿宋" w:hAnsi="仿宋" w:eastAsia="仿宋" w:cs="仿宋"/>
          <w:b w:val="0"/>
          <w:bCs w:val="0"/>
          <w:i w:val="0"/>
          <w:iCs w:val="0"/>
          <w:color w:val="auto"/>
          <w:kern w:val="0"/>
          <w:sz w:val="24"/>
          <w:szCs w:val="24"/>
          <w:highlight w:val="none"/>
        </w:rPr>
        <w:t>杨靖宇纪念馆、抗联遗址、长白山天池、五大连池火山</w:t>
      </w:r>
      <w:r>
        <w:rPr>
          <w:rFonts w:hint="eastAsia" w:ascii="仿宋" w:hAnsi="仿宋" w:eastAsia="仿宋" w:cs="仿宋"/>
          <w:b w:val="0"/>
          <w:bCs w:val="0"/>
          <w:i w:val="0"/>
          <w:iCs w:val="0"/>
          <w:color w:val="auto"/>
          <w:kern w:val="0"/>
          <w:sz w:val="24"/>
          <w:szCs w:val="24"/>
          <w:highlight w:val="none"/>
          <w:lang w:eastAsia="zh-CN"/>
        </w:rPr>
        <w:t>等；</w:t>
      </w:r>
    </w:p>
    <w:p w14:paraId="297AD086">
      <w:pPr>
        <w:tabs>
          <w:tab w:val="left" w:pos="0"/>
        </w:tabs>
        <w:wordWrap/>
        <w:adjustRightInd w:val="0"/>
        <w:snapToGrid w:val="0"/>
        <w:spacing w:line="360" w:lineRule="auto"/>
        <w:ind w:left="0" w:leftChars="0" w:firstLine="482" w:firstLineChars="200"/>
        <w:textAlignment w:val="auto"/>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线路3</w:t>
      </w:r>
      <w:r>
        <w:rPr>
          <w:rFonts w:hint="eastAsia" w:ascii="仿宋" w:hAnsi="仿宋" w:eastAsia="仿宋" w:cs="仿宋"/>
          <w:b/>
          <w:bCs/>
          <w:i w:val="0"/>
          <w:iCs w:val="0"/>
          <w:color w:val="auto"/>
          <w:sz w:val="24"/>
          <w:szCs w:val="24"/>
          <w:highlight w:val="none"/>
          <w:lang w:eastAsia="zh-CN"/>
        </w:rPr>
        <w:t>广西线</w:t>
      </w:r>
      <w:r>
        <w:rPr>
          <w:rFonts w:hint="eastAsia" w:ascii="仿宋" w:hAnsi="仿宋" w:eastAsia="仿宋" w:cs="仿宋"/>
          <w:b/>
          <w:bCs/>
          <w:i w:val="0"/>
          <w:iCs w:val="0"/>
          <w:color w:val="auto"/>
          <w:kern w:val="0"/>
          <w:sz w:val="24"/>
          <w:szCs w:val="24"/>
          <w:highlight w:val="none"/>
          <w:lang w:val="en-US" w:eastAsia="zh-CN"/>
        </w:rPr>
        <w:t>：</w:t>
      </w:r>
      <w:r>
        <w:rPr>
          <w:rFonts w:hint="eastAsia" w:ascii="仿宋" w:hAnsi="仿宋" w:eastAsia="仿宋" w:cs="仿宋"/>
          <w:b w:val="0"/>
          <w:bCs w:val="0"/>
          <w:i w:val="0"/>
          <w:iCs w:val="0"/>
          <w:color w:val="auto"/>
          <w:kern w:val="0"/>
          <w:sz w:val="24"/>
          <w:szCs w:val="24"/>
          <w:highlight w:val="none"/>
          <w:lang w:val="en-US" w:eastAsia="zh-CN"/>
        </w:rPr>
        <w:t>湘江战役纪念馆、红军堂指挥部遗址、涠洲岛、漓江等。</w:t>
      </w:r>
    </w:p>
    <w:p w14:paraId="7B72B7AD">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用餐：在正规饭店或农家乐就餐，可采用10人一桌或自助餐的形式。入住酒店必须包含早餐，每人每天午餐餐费标准不低于为80元/人，晚餐餐费标准不低于为100元/人，食物要求新鲜、安全，适合口味。要求每餐菜品多样，不雷同。餐厅交通便利，环境较好。</w:t>
      </w:r>
    </w:p>
    <w:p w14:paraId="1290B318">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lang w:eastAsia="zh-CN"/>
        </w:rPr>
      </w:pPr>
      <w:r>
        <w:rPr>
          <w:rFonts w:hint="eastAsia" w:ascii="仿宋" w:hAnsi="仿宋" w:eastAsia="仿宋" w:cs="仿宋"/>
          <w:i w:val="0"/>
          <w:iCs w:val="0"/>
          <w:color w:val="auto"/>
          <w:kern w:val="0"/>
          <w:sz w:val="24"/>
          <w:szCs w:val="24"/>
          <w:highlight w:val="none"/>
        </w:rPr>
        <w:t>5.导游：每车至少配备1名导游</w:t>
      </w:r>
      <w:r>
        <w:rPr>
          <w:rFonts w:hint="eastAsia" w:ascii="仿宋" w:hAnsi="仿宋" w:eastAsia="仿宋" w:cs="仿宋"/>
          <w:i w:val="0"/>
          <w:iCs w:val="0"/>
          <w:color w:val="auto"/>
          <w:kern w:val="0"/>
          <w:sz w:val="24"/>
          <w:szCs w:val="24"/>
          <w:highlight w:val="none"/>
          <w:lang w:eastAsia="zh-CN"/>
        </w:rPr>
        <w:t>，负责行程管理，住宿饮食、景点门票、沟通联络等安排，全陪导游须持有导游资格证书。</w:t>
      </w:r>
    </w:p>
    <w:p w14:paraId="04F7AEE0">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6</w:t>
      </w:r>
      <w:r>
        <w:rPr>
          <w:rFonts w:hint="eastAsia" w:ascii="仿宋" w:hAnsi="仿宋" w:eastAsia="仿宋" w:cs="仿宋"/>
          <w:i w:val="0"/>
          <w:iCs w:val="0"/>
          <w:color w:val="auto"/>
          <w:kern w:val="0"/>
          <w:sz w:val="24"/>
          <w:szCs w:val="24"/>
          <w:highlight w:val="none"/>
        </w:rPr>
        <w:t>.保险：投标人报价应包含必须为疗休养职工购买具有一定抵抗风险的保险，包括旅行社责任险和个人旅游人身意外险，个人旅游人身意外险保额不得低于每人100万元。</w:t>
      </w:r>
    </w:p>
    <w:p w14:paraId="35DD96C2">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7</w:t>
      </w:r>
      <w:r>
        <w:rPr>
          <w:rFonts w:hint="eastAsia" w:ascii="仿宋" w:hAnsi="仿宋" w:eastAsia="仿宋" w:cs="仿宋"/>
          <w:i w:val="0"/>
          <w:iCs w:val="0"/>
          <w:color w:val="auto"/>
          <w:kern w:val="0"/>
          <w:sz w:val="24"/>
          <w:szCs w:val="24"/>
          <w:highlight w:val="none"/>
        </w:rPr>
        <w:t>.购物：全程不进购物点。</w:t>
      </w:r>
    </w:p>
    <w:p w14:paraId="2A7FB857">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8</w:t>
      </w:r>
      <w:r>
        <w:rPr>
          <w:rFonts w:hint="eastAsia" w:ascii="仿宋" w:hAnsi="仿宋" w:eastAsia="仿宋" w:cs="仿宋"/>
          <w:i w:val="0"/>
          <w:iCs w:val="0"/>
          <w:color w:val="auto"/>
          <w:kern w:val="0"/>
          <w:sz w:val="24"/>
          <w:szCs w:val="24"/>
          <w:highlight w:val="none"/>
        </w:rPr>
        <w:t>.无自费的景点或活动，无商业广告及各类产品推销。若客人自行要求需取得全团旅游者同意才可组织</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 xml:space="preserve">征得旅游者同意的情况下，可根据实际情况更改游览顺序。  </w:t>
      </w:r>
    </w:p>
    <w:p w14:paraId="18C6E832">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9</w:t>
      </w:r>
      <w:r>
        <w:rPr>
          <w:rFonts w:hint="eastAsia" w:ascii="仿宋" w:hAnsi="仿宋" w:eastAsia="仿宋" w:cs="仿宋"/>
          <w:i w:val="0"/>
          <w:iCs w:val="0"/>
          <w:color w:val="auto"/>
          <w:kern w:val="0"/>
          <w:sz w:val="24"/>
          <w:szCs w:val="24"/>
          <w:highlight w:val="none"/>
        </w:rPr>
        <w:t>.每批每人配发帽子一顶、行李包一个、雨伞一把（知名一线品牌）、矿泉水不少于二瓶/天/人，每批次准备旅行常备药品一份，如遇职工在疗休养期间过生日的，赠送生日蛋糕一份/人。</w:t>
      </w:r>
    </w:p>
    <w:p w14:paraId="0D8F20C6">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val="en-US" w:eastAsia="zh-CN"/>
        </w:rPr>
        <w:t>0</w:t>
      </w:r>
      <w:r>
        <w:rPr>
          <w:rFonts w:hint="eastAsia" w:ascii="仿宋" w:hAnsi="仿宋" w:eastAsia="仿宋" w:cs="仿宋"/>
          <w:i w:val="0"/>
          <w:iCs w:val="0"/>
          <w:color w:val="auto"/>
          <w:kern w:val="0"/>
          <w:sz w:val="24"/>
          <w:szCs w:val="24"/>
          <w:highlight w:val="none"/>
        </w:rPr>
        <w:t>.实施过程中出现有效投诉3次或以上的，采购人有权终止合同。</w:t>
      </w:r>
    </w:p>
    <w:p w14:paraId="4A10C6B0">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.每批次疗休养结束后，将对参加疗休养的职工进行疗休养情况测评调查。</w:t>
      </w:r>
    </w:p>
    <w:p w14:paraId="08A3762A">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12.</w:t>
      </w:r>
      <w:r>
        <w:rPr>
          <w:rFonts w:hint="eastAsia" w:ascii="仿宋" w:hAnsi="仿宋" w:eastAsia="仿宋" w:cs="仿宋"/>
          <w:i w:val="0"/>
          <w:iCs w:val="0"/>
          <w:color w:val="auto"/>
          <w:kern w:val="0"/>
          <w:sz w:val="24"/>
          <w:szCs w:val="24"/>
          <w:highlight w:val="none"/>
        </w:rPr>
        <w:t>参加疗休养人员名单和个人信息不得外泄。</w:t>
      </w:r>
    </w:p>
    <w:p w14:paraId="3841AF2C">
      <w:pPr>
        <w:tabs>
          <w:tab w:val="left" w:pos="0"/>
        </w:tabs>
        <w:wordWrap/>
        <w:adjustRightInd w:val="0"/>
        <w:snapToGrid w:val="0"/>
        <w:spacing w:line="360" w:lineRule="auto"/>
        <w:ind w:left="0" w:leftChars="0" w:firstLine="482" w:firstLineChars="200"/>
        <w:textAlignment w:val="auto"/>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1</w:t>
      </w:r>
      <w:r>
        <w:rPr>
          <w:rFonts w:hint="eastAsia" w:ascii="仿宋" w:hAnsi="仿宋" w:eastAsia="仿宋" w:cs="仿宋"/>
          <w:b/>
          <w:bCs/>
          <w:i w:val="0"/>
          <w:iCs w:val="0"/>
          <w:color w:val="auto"/>
          <w:kern w:val="0"/>
          <w:sz w:val="24"/>
          <w:szCs w:val="24"/>
          <w:highlight w:val="none"/>
          <w:lang w:val="en-US" w:eastAsia="zh-CN"/>
        </w:rPr>
        <w:t>3</w:t>
      </w:r>
      <w:r>
        <w:rPr>
          <w:rFonts w:hint="eastAsia" w:ascii="仿宋" w:hAnsi="仿宋" w:eastAsia="仿宋" w:cs="仿宋"/>
          <w:b/>
          <w:bCs/>
          <w:i w:val="0"/>
          <w:iCs w:val="0"/>
          <w:color w:val="auto"/>
          <w:kern w:val="0"/>
          <w:sz w:val="24"/>
          <w:szCs w:val="24"/>
          <w:highlight w:val="none"/>
        </w:rPr>
        <w:t>.行程中的相关安全事宜（住宿、交通、饮食等）全部由中标人负责，如出现任何安全事故，则由中标人承担相关经济赔偿与法律义务。</w:t>
      </w:r>
    </w:p>
    <w:p w14:paraId="65238EEA">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val="en-US" w:eastAsia="zh-CN"/>
        </w:rPr>
        <w:t>4</w:t>
      </w:r>
      <w:r>
        <w:rPr>
          <w:rFonts w:hint="eastAsia" w:ascii="仿宋" w:hAnsi="仿宋" w:eastAsia="仿宋" w:cs="仿宋"/>
          <w:i w:val="0"/>
          <w:iCs w:val="0"/>
          <w:color w:val="auto"/>
          <w:kern w:val="0"/>
          <w:sz w:val="24"/>
          <w:szCs w:val="24"/>
          <w:highlight w:val="none"/>
        </w:rPr>
        <w:t>.中标供应商的方案应获得招标人的认可，招标人保留对中标供应商的某一线路指定其他方案的权利，组团时间按招标人计划实施，具体出团及返回时间根据供应商编制并获得招标人认可的方案为准。</w:t>
      </w:r>
    </w:p>
    <w:p w14:paraId="39905C80">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val="en-US" w:eastAsia="zh-CN"/>
        </w:rPr>
        <w:t>5</w:t>
      </w:r>
      <w:r>
        <w:rPr>
          <w:rFonts w:hint="eastAsia" w:ascii="仿宋" w:hAnsi="仿宋" w:eastAsia="仿宋" w:cs="仿宋"/>
          <w:i w:val="0"/>
          <w:iCs w:val="0"/>
          <w:color w:val="auto"/>
          <w:kern w:val="0"/>
          <w:sz w:val="24"/>
          <w:szCs w:val="24"/>
          <w:highlight w:val="none"/>
        </w:rPr>
        <w:t>.本项目不得以任何理由、任何形式进行转、分包，一经发现招标人可单方面解除合同，所造成的任何损失由投标供应商自行负责。</w:t>
      </w:r>
    </w:p>
    <w:p w14:paraId="1F05D1CC">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rPr>
        <w:t>1</w:t>
      </w:r>
      <w:r>
        <w:rPr>
          <w:rFonts w:hint="eastAsia" w:ascii="仿宋" w:hAnsi="仿宋" w:eastAsia="仿宋" w:cs="仿宋"/>
          <w:i w:val="0"/>
          <w:iCs w:val="0"/>
          <w:color w:val="auto"/>
          <w:kern w:val="0"/>
          <w:sz w:val="24"/>
          <w:szCs w:val="24"/>
          <w:highlight w:val="none"/>
          <w:lang w:val="en-US" w:eastAsia="zh-CN"/>
        </w:rPr>
        <w:t>6</w:t>
      </w:r>
      <w:r>
        <w:rPr>
          <w:rFonts w:hint="eastAsia" w:ascii="仿宋" w:hAnsi="仿宋" w:eastAsia="仿宋" w:cs="仿宋"/>
          <w:i w:val="0"/>
          <w:iCs w:val="0"/>
          <w:color w:val="auto"/>
          <w:kern w:val="0"/>
          <w:sz w:val="24"/>
          <w:szCs w:val="24"/>
          <w:highlight w:val="none"/>
        </w:rPr>
        <w:t>.出行人数存在不确定性，最终费用按实际出发人数，按实结算。</w:t>
      </w:r>
    </w:p>
    <w:p w14:paraId="46097269">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17.单人门票或团体餐费未消费的费用需补充到全团消费费用。</w:t>
      </w:r>
    </w:p>
    <w:p w14:paraId="321FEA76">
      <w:pPr>
        <w:tabs>
          <w:tab w:val="left" w:pos="0"/>
        </w:tabs>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18.所有疗休养必须按照新昌县委组织部、县人事局、县财政局关于优秀公务员健康休养的文件规定执行。</w:t>
      </w:r>
    </w:p>
    <w:p w14:paraId="4A86E2AC">
      <w:pPr>
        <w:wordWrap/>
        <w:adjustRightInd w:val="0"/>
        <w:snapToGrid w:val="0"/>
        <w:spacing w:line="360" w:lineRule="auto"/>
        <w:ind w:left="0" w:leftChars="0" w:firstLine="482" w:firstLineChars="200"/>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kern w:val="0"/>
          <w:sz w:val="24"/>
          <w:szCs w:val="24"/>
          <w:highlight w:val="none"/>
        </w:rPr>
        <w:t>三</w:t>
      </w:r>
      <w:r>
        <w:rPr>
          <w:rFonts w:hint="eastAsia" w:ascii="仿宋" w:hAnsi="仿宋" w:eastAsia="仿宋" w:cs="仿宋"/>
          <w:b/>
          <w:bCs/>
          <w:i w:val="0"/>
          <w:iCs w:val="0"/>
          <w:color w:val="auto"/>
          <w:kern w:val="0"/>
          <w:sz w:val="24"/>
          <w:szCs w:val="24"/>
          <w:highlight w:val="none"/>
          <w:lang w:val="zh-CN"/>
        </w:rPr>
        <w:t>、</w:t>
      </w:r>
      <w:bookmarkStart w:id="70" w:name="_Toc482110467"/>
      <w:r>
        <w:rPr>
          <w:rFonts w:hint="eastAsia" w:ascii="仿宋" w:hAnsi="仿宋" w:eastAsia="仿宋" w:cs="仿宋"/>
          <w:b/>
          <w:bCs/>
          <w:i w:val="0"/>
          <w:iCs w:val="0"/>
          <w:color w:val="auto"/>
          <w:sz w:val="24"/>
          <w:szCs w:val="24"/>
          <w:highlight w:val="none"/>
        </w:rPr>
        <w:t>服务期限：</w:t>
      </w:r>
    </w:p>
    <w:p w14:paraId="5D82A413">
      <w:pPr>
        <w:pStyle w:val="171"/>
        <w:wordWrap/>
        <w:adjustRightInd w:val="0"/>
        <w:snapToGrid w:val="0"/>
        <w:spacing w:line="360" w:lineRule="auto"/>
        <w:ind w:left="0" w:leftChars="0" w:firstLine="480" w:firstLineChars="200"/>
        <w:textAlignment w:val="auto"/>
        <w:rPr>
          <w:rFonts w:hint="eastAsia" w:ascii="仿宋" w:hAnsi="仿宋" w:eastAsia="仿宋" w:cs="仿宋"/>
          <w:bCs/>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合同签订之日起至202</w:t>
      </w:r>
      <w:r>
        <w:rPr>
          <w:rFonts w:hint="eastAsia" w:ascii="仿宋" w:hAnsi="仿宋" w:eastAsia="仿宋" w:cs="仿宋"/>
          <w:i w:val="0"/>
          <w:iCs w:val="0"/>
          <w:color w:val="auto"/>
          <w:sz w:val="24"/>
          <w:szCs w:val="24"/>
          <w:highlight w:val="none"/>
          <w:lang w:val="en-US" w:eastAsia="zh-CN"/>
        </w:rPr>
        <w:t>8</w:t>
      </w:r>
      <w:r>
        <w:rPr>
          <w:rFonts w:hint="eastAsia" w:ascii="仿宋" w:hAnsi="仿宋" w:eastAsia="仿宋" w:cs="仿宋"/>
          <w:i w:val="0"/>
          <w:iCs w:val="0"/>
          <w:color w:val="auto"/>
          <w:sz w:val="24"/>
          <w:szCs w:val="24"/>
          <w:highlight w:val="none"/>
          <w:lang w:eastAsia="zh-CN"/>
        </w:rPr>
        <w:t>年1</w:t>
      </w:r>
      <w:r>
        <w:rPr>
          <w:rFonts w:hint="eastAsia" w:ascii="仿宋" w:hAnsi="仿宋" w:eastAsia="仿宋" w:cs="仿宋"/>
          <w:i w:val="0"/>
          <w:iCs w:val="0"/>
          <w:color w:val="auto"/>
          <w:sz w:val="24"/>
          <w:szCs w:val="24"/>
          <w:highlight w:val="none"/>
          <w:lang w:val="en-US" w:eastAsia="zh-CN"/>
        </w:rPr>
        <w:t>1</w:t>
      </w:r>
      <w:r>
        <w:rPr>
          <w:rFonts w:hint="eastAsia" w:ascii="仿宋" w:hAnsi="仿宋" w:eastAsia="仿宋" w:cs="仿宋"/>
          <w:i w:val="0"/>
          <w:iCs w:val="0"/>
          <w:color w:val="auto"/>
          <w:sz w:val="24"/>
          <w:szCs w:val="24"/>
          <w:highlight w:val="none"/>
          <w:lang w:eastAsia="zh-CN"/>
        </w:rPr>
        <w:t>月3</w:t>
      </w:r>
      <w:r>
        <w:rPr>
          <w:rFonts w:hint="eastAsia" w:ascii="仿宋" w:hAnsi="仿宋" w:eastAsia="仿宋" w:cs="仿宋"/>
          <w:i w:val="0"/>
          <w:iCs w:val="0"/>
          <w:color w:val="auto"/>
          <w:sz w:val="24"/>
          <w:szCs w:val="24"/>
          <w:highlight w:val="none"/>
          <w:lang w:val="en-US" w:eastAsia="zh-CN"/>
        </w:rPr>
        <w:t>0</w:t>
      </w:r>
      <w:r>
        <w:rPr>
          <w:rFonts w:hint="eastAsia" w:ascii="仿宋" w:hAnsi="仿宋" w:eastAsia="仿宋" w:cs="仿宋"/>
          <w:i w:val="0"/>
          <w:iCs w:val="0"/>
          <w:color w:val="auto"/>
          <w:sz w:val="24"/>
          <w:szCs w:val="24"/>
          <w:highlight w:val="none"/>
          <w:lang w:eastAsia="zh-CN"/>
        </w:rPr>
        <w:t>日。</w:t>
      </w:r>
      <w:r>
        <w:rPr>
          <w:rFonts w:hint="eastAsia" w:ascii="仿宋" w:hAnsi="仿宋" w:eastAsia="仿宋" w:cs="仿宋"/>
          <w:i w:val="0"/>
          <w:iCs w:val="0"/>
          <w:color w:val="auto"/>
          <w:sz w:val="24"/>
          <w:szCs w:val="24"/>
          <w:highlight w:val="none"/>
        </w:rPr>
        <w:t>如采购人有所需要，中标单位应根据采购人的要求延续提供1-2个月的服务，费用标准按原合同规定执行</w:t>
      </w:r>
      <w:r>
        <w:rPr>
          <w:rFonts w:hint="eastAsia" w:ascii="仿宋" w:hAnsi="仿宋" w:eastAsia="仿宋" w:cs="仿宋"/>
          <w:bCs/>
          <w:i w:val="0"/>
          <w:iCs w:val="0"/>
          <w:color w:val="auto"/>
          <w:sz w:val="24"/>
          <w:szCs w:val="24"/>
          <w:highlight w:val="none"/>
        </w:rPr>
        <w:t>。</w:t>
      </w:r>
    </w:p>
    <w:p w14:paraId="0EB5D124">
      <w:pPr>
        <w:wordWrap/>
        <w:adjustRightInd w:val="0"/>
        <w:snapToGrid w:val="0"/>
        <w:spacing w:line="360" w:lineRule="auto"/>
        <w:ind w:left="0" w:leftChars="0" w:firstLine="482" w:firstLineChars="200"/>
        <w:textAlignment w:val="auto"/>
        <w:rPr>
          <w:rFonts w:hint="eastAsia" w:ascii="仿宋" w:hAnsi="仿宋" w:eastAsia="仿宋" w:cs="仿宋"/>
          <w:b/>
          <w:i w:val="0"/>
          <w:iCs w:val="0"/>
          <w:color w:val="auto"/>
          <w:sz w:val="24"/>
          <w:szCs w:val="24"/>
          <w:highlight w:val="none"/>
        </w:rPr>
      </w:pPr>
      <w:r>
        <w:rPr>
          <w:rFonts w:hint="eastAsia" w:ascii="仿宋" w:hAnsi="仿宋" w:eastAsia="仿宋" w:cs="仿宋"/>
          <w:b/>
          <w:bCs/>
          <w:i w:val="0"/>
          <w:iCs w:val="0"/>
          <w:color w:val="auto"/>
          <w:kern w:val="0"/>
          <w:sz w:val="24"/>
          <w:szCs w:val="24"/>
          <w:highlight w:val="none"/>
          <w:lang w:val="zh-CN"/>
        </w:rPr>
        <w:t>四</w:t>
      </w:r>
      <w:r>
        <w:rPr>
          <w:rFonts w:hint="eastAsia" w:ascii="仿宋" w:hAnsi="仿宋" w:eastAsia="仿宋" w:cs="仿宋"/>
          <w:b/>
          <w:bCs/>
          <w:i w:val="0"/>
          <w:iCs w:val="0"/>
          <w:color w:val="auto"/>
          <w:sz w:val="24"/>
          <w:szCs w:val="24"/>
          <w:highlight w:val="none"/>
        </w:rPr>
        <w:t>、</w:t>
      </w:r>
      <w:bookmarkEnd w:id="70"/>
      <w:r>
        <w:rPr>
          <w:rFonts w:hint="eastAsia" w:ascii="仿宋" w:hAnsi="仿宋" w:eastAsia="仿宋" w:cs="仿宋"/>
          <w:b/>
          <w:i w:val="0"/>
          <w:iCs w:val="0"/>
          <w:color w:val="auto"/>
          <w:sz w:val="24"/>
          <w:szCs w:val="24"/>
          <w:highlight w:val="none"/>
        </w:rPr>
        <w:t>违约责任</w:t>
      </w:r>
    </w:p>
    <w:p w14:paraId="4206492A">
      <w:pPr>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中标</w:t>
      </w:r>
      <w:r>
        <w:rPr>
          <w:rFonts w:hint="eastAsia" w:ascii="仿宋" w:hAnsi="仿宋" w:eastAsia="仿宋" w:cs="仿宋"/>
          <w:i w:val="0"/>
          <w:iCs w:val="0"/>
          <w:color w:val="auto"/>
          <w:sz w:val="24"/>
          <w:szCs w:val="24"/>
          <w:highlight w:val="none"/>
          <w:lang w:val="en-US" w:eastAsia="zh-CN"/>
        </w:rPr>
        <w:t>单位</w:t>
      </w:r>
      <w:r>
        <w:rPr>
          <w:rFonts w:hint="eastAsia" w:ascii="仿宋" w:hAnsi="仿宋" w:eastAsia="仿宋" w:cs="仿宋"/>
          <w:i w:val="0"/>
          <w:iCs w:val="0"/>
          <w:color w:val="auto"/>
          <w:sz w:val="24"/>
          <w:szCs w:val="24"/>
          <w:highlight w:val="none"/>
        </w:rPr>
        <w:t>应严格履行行程路线、景点、服务内容及标准，并保证</w:t>
      </w: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rPr>
        <w:t>拟定的每批次人数及出发时间。不得随意更改，若有违约，</w:t>
      </w: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rPr>
        <w:t>有权拒付相关费用，并追究违约责任，招标方应按协议要求按时付款。如中标</w:t>
      </w:r>
      <w:r>
        <w:rPr>
          <w:rFonts w:hint="eastAsia" w:ascii="仿宋" w:hAnsi="仿宋" w:eastAsia="仿宋" w:cs="仿宋"/>
          <w:i w:val="0"/>
          <w:iCs w:val="0"/>
          <w:color w:val="auto"/>
          <w:sz w:val="24"/>
          <w:szCs w:val="24"/>
          <w:highlight w:val="none"/>
          <w:lang w:val="en-US" w:eastAsia="zh-CN"/>
        </w:rPr>
        <w:t>单位</w:t>
      </w:r>
      <w:r>
        <w:rPr>
          <w:rFonts w:hint="eastAsia" w:ascii="仿宋" w:hAnsi="仿宋" w:eastAsia="仿宋" w:cs="仿宋"/>
          <w:i w:val="0"/>
          <w:iCs w:val="0"/>
          <w:color w:val="auto"/>
          <w:sz w:val="24"/>
          <w:szCs w:val="24"/>
          <w:highlight w:val="none"/>
        </w:rPr>
        <w:t>严重违约，</w:t>
      </w: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rPr>
        <w:t>可终止合同。</w:t>
      </w:r>
    </w:p>
    <w:p w14:paraId="256D4516">
      <w:pPr>
        <w:wordWrap/>
        <w:adjustRightInd w:val="0"/>
        <w:snapToGrid w:val="0"/>
        <w:spacing w:line="360" w:lineRule="auto"/>
        <w:ind w:left="0" w:leftChars="0" w:firstLine="482" w:firstLineChars="200"/>
        <w:textAlignment w:val="auto"/>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rPr>
        <w:t>五、费用结算方式</w:t>
      </w:r>
    </w:p>
    <w:p w14:paraId="656B214D">
      <w:pPr>
        <w:wordWrap/>
        <w:adjustRightInd w:val="0"/>
        <w:snapToGrid w:val="0"/>
        <w:spacing w:line="360" w:lineRule="auto"/>
        <w:ind w:left="0" w:leftChars="0" w:firstLine="480" w:firstLineChars="200"/>
        <w:jc w:val="left"/>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采用单价招标，结算人数以疗休养</w:t>
      </w:r>
      <w:r>
        <w:rPr>
          <w:rFonts w:hint="eastAsia" w:ascii="仿宋" w:hAnsi="仿宋" w:eastAsia="仿宋" w:cs="仿宋"/>
          <w:i w:val="0"/>
          <w:iCs w:val="0"/>
          <w:color w:val="auto"/>
          <w:kern w:val="0"/>
          <w:sz w:val="24"/>
          <w:szCs w:val="24"/>
          <w:highlight w:val="none"/>
          <w:lang w:val="en-US" w:eastAsia="zh-CN"/>
        </w:rPr>
        <w:t>实际出行人</w:t>
      </w:r>
      <w:r>
        <w:rPr>
          <w:rFonts w:hint="eastAsia" w:ascii="仿宋" w:hAnsi="仿宋" w:eastAsia="仿宋" w:cs="仿宋"/>
          <w:i w:val="0"/>
          <w:iCs w:val="0"/>
          <w:color w:val="auto"/>
          <w:kern w:val="0"/>
          <w:sz w:val="24"/>
          <w:szCs w:val="24"/>
          <w:highlight w:val="none"/>
        </w:rPr>
        <w:t>数进行结算。</w:t>
      </w:r>
    </w:p>
    <w:p w14:paraId="03E5A674">
      <w:pPr>
        <w:wordWrap/>
        <w:adjustRightInd w:val="0"/>
        <w:snapToGrid w:val="0"/>
        <w:spacing w:line="360" w:lineRule="auto"/>
        <w:ind w:left="0" w:leftChars="0" w:firstLine="480" w:firstLineChars="200"/>
        <w:jc w:val="lef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rPr>
        <w:t>应在合同正式生效</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疗休养行程结束后，中标</w:t>
      </w:r>
      <w:r>
        <w:rPr>
          <w:rFonts w:hint="eastAsia" w:ascii="仿宋" w:hAnsi="仿宋" w:eastAsia="仿宋" w:cs="仿宋"/>
          <w:i w:val="0"/>
          <w:iCs w:val="0"/>
          <w:color w:val="auto"/>
          <w:sz w:val="24"/>
          <w:szCs w:val="24"/>
          <w:highlight w:val="none"/>
          <w:lang w:val="en-US" w:eastAsia="zh-CN"/>
        </w:rPr>
        <w:t>单位</w:t>
      </w:r>
      <w:r>
        <w:rPr>
          <w:rFonts w:hint="eastAsia" w:ascii="仿宋" w:hAnsi="仿宋" w:eastAsia="仿宋" w:cs="仿宋"/>
          <w:i w:val="0"/>
          <w:iCs w:val="0"/>
          <w:color w:val="auto"/>
          <w:sz w:val="24"/>
          <w:szCs w:val="24"/>
          <w:highlight w:val="none"/>
        </w:rPr>
        <w:t>按实际产生费用提供结算函（附本结算批次的线路、人数、总价</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大交通</w:t>
      </w:r>
      <w:r>
        <w:rPr>
          <w:rFonts w:hint="eastAsia" w:ascii="仿宋" w:hAnsi="仿宋" w:eastAsia="仿宋" w:cs="仿宋"/>
          <w:i w:val="0"/>
          <w:iCs w:val="0"/>
          <w:color w:val="auto"/>
          <w:sz w:val="24"/>
          <w:szCs w:val="24"/>
          <w:highlight w:val="none"/>
        </w:rPr>
        <w:t>等</w:t>
      </w:r>
      <w:r>
        <w:rPr>
          <w:rFonts w:hint="eastAsia" w:ascii="仿宋" w:hAnsi="仿宋" w:eastAsia="仿宋" w:cs="仿宋"/>
          <w:i w:val="0"/>
          <w:iCs w:val="0"/>
          <w:color w:val="auto"/>
          <w:sz w:val="24"/>
          <w:szCs w:val="24"/>
          <w:highlight w:val="none"/>
          <w:lang w:val="en-US" w:eastAsia="zh-CN"/>
        </w:rPr>
        <w:t>实际</w:t>
      </w:r>
      <w:r>
        <w:rPr>
          <w:rFonts w:hint="eastAsia" w:ascii="仿宋" w:hAnsi="仿宋" w:eastAsia="仿宋" w:cs="仿宋"/>
          <w:i w:val="0"/>
          <w:iCs w:val="0"/>
          <w:color w:val="auto"/>
          <w:sz w:val="24"/>
          <w:szCs w:val="24"/>
          <w:highlight w:val="none"/>
        </w:rPr>
        <w:t>统计情况），经采购人确认</w:t>
      </w:r>
      <w:r>
        <w:rPr>
          <w:rFonts w:hint="eastAsia" w:ascii="仿宋" w:hAnsi="仿宋" w:eastAsia="仿宋" w:cs="仿宋"/>
          <w:i w:val="0"/>
          <w:iCs w:val="0"/>
          <w:color w:val="auto"/>
          <w:sz w:val="24"/>
          <w:szCs w:val="24"/>
          <w:highlight w:val="none"/>
          <w:lang w:val="en-US" w:eastAsia="zh-CN"/>
        </w:rPr>
        <w:t>并结合考核结果，同时提供</w:t>
      </w:r>
      <w:r>
        <w:rPr>
          <w:rFonts w:hint="eastAsia" w:ascii="仿宋" w:hAnsi="仿宋" w:eastAsia="仿宋" w:cs="仿宋"/>
          <w:i w:val="0"/>
          <w:iCs w:val="0"/>
          <w:color w:val="auto"/>
          <w:sz w:val="24"/>
          <w:szCs w:val="24"/>
          <w:highlight w:val="none"/>
        </w:rPr>
        <w:t>增值税普通发票</w:t>
      </w:r>
      <w:r>
        <w:rPr>
          <w:rFonts w:hint="eastAsia" w:ascii="仿宋" w:hAnsi="仿宋" w:eastAsia="仿宋" w:cs="仿宋"/>
          <w:i w:val="0"/>
          <w:iCs w:val="0"/>
          <w:color w:val="auto"/>
          <w:sz w:val="24"/>
          <w:szCs w:val="24"/>
          <w:highlight w:val="none"/>
          <w:lang w:val="en-US" w:eastAsia="zh-CN"/>
        </w:rPr>
        <w:t>后</w:t>
      </w:r>
      <w:r>
        <w:rPr>
          <w:rFonts w:hint="eastAsia" w:ascii="仿宋" w:hAnsi="仿宋" w:eastAsia="仿宋" w:cs="仿宋"/>
          <w:i w:val="0"/>
          <w:iCs w:val="0"/>
          <w:color w:val="auto"/>
          <w:sz w:val="24"/>
          <w:szCs w:val="24"/>
          <w:highlight w:val="none"/>
        </w:rPr>
        <w:t>支付该批次合同价款。</w:t>
      </w:r>
    </w:p>
    <w:p w14:paraId="3F8CF026">
      <w:pPr>
        <w:wordWrap/>
        <w:adjustRightInd w:val="0"/>
        <w:snapToGrid w:val="0"/>
        <w:spacing w:line="360" w:lineRule="auto"/>
        <w:ind w:left="0" w:leftChars="0" w:firstLine="482" w:firstLineChars="200"/>
        <w:textAlignment w:val="auto"/>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sz w:val="24"/>
          <w:szCs w:val="24"/>
          <w:highlight w:val="none"/>
          <w:lang w:val="en-US" w:eastAsia="zh-CN"/>
        </w:rPr>
        <w:t>六</w:t>
      </w:r>
      <w:r>
        <w:rPr>
          <w:rFonts w:hint="eastAsia" w:ascii="仿宋" w:hAnsi="仿宋" w:eastAsia="仿宋" w:cs="仿宋"/>
          <w:b/>
          <w:bCs/>
          <w:i w:val="0"/>
          <w:iCs w:val="0"/>
          <w:color w:val="auto"/>
          <w:sz w:val="24"/>
          <w:szCs w:val="24"/>
          <w:highlight w:val="none"/>
        </w:rPr>
        <w:t>、</w:t>
      </w:r>
      <w:r>
        <w:rPr>
          <w:rFonts w:hint="eastAsia" w:ascii="仿宋" w:hAnsi="仿宋" w:eastAsia="仿宋" w:cs="仿宋"/>
          <w:b/>
          <w:bCs/>
          <w:i w:val="0"/>
          <w:iCs w:val="0"/>
          <w:color w:val="auto"/>
          <w:kern w:val="0"/>
          <w:sz w:val="24"/>
          <w:szCs w:val="24"/>
          <w:highlight w:val="none"/>
          <w:lang w:val="zh-CN"/>
        </w:rPr>
        <w:t>考核及其他要求</w:t>
      </w:r>
      <w:r>
        <w:rPr>
          <w:rFonts w:hint="eastAsia" w:ascii="仿宋" w:hAnsi="仿宋" w:eastAsia="仿宋" w:cs="仿宋"/>
          <w:b/>
          <w:bCs/>
          <w:i w:val="0"/>
          <w:iCs w:val="0"/>
          <w:color w:val="auto"/>
          <w:kern w:val="0"/>
          <w:sz w:val="24"/>
          <w:szCs w:val="24"/>
          <w:highlight w:val="none"/>
        </w:rPr>
        <w:t>：</w:t>
      </w:r>
    </w:p>
    <w:p w14:paraId="27E9884A">
      <w:pPr>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1.考核方式：每次完成当次疗休养服务后，必须让出行人员填写《满意度调查表》并签名，出团回程后由供应商交给采购人作为报销依据，当次满意调查表出现差评时，应扣除当次出行费用（具体参照以下扣除计算表），差评比例由《满意度调查表》中7项调查内容评价比例相加得出百分比，差评达到50%以上，扣除当期出行费用20%，且采购人可终止合同。</w:t>
      </w:r>
    </w:p>
    <w:p w14:paraId="18C53FAA">
      <w:pPr>
        <w:snapToGrid w:val="0"/>
        <w:spacing w:line="360" w:lineRule="auto"/>
        <w:ind w:firstLine="44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《满意度调查表》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777"/>
        <w:gridCol w:w="960"/>
        <w:gridCol w:w="735"/>
        <w:gridCol w:w="1110"/>
        <w:gridCol w:w="810"/>
        <w:gridCol w:w="1005"/>
        <w:gridCol w:w="660"/>
        <w:gridCol w:w="1289"/>
      </w:tblGrid>
      <w:tr w14:paraId="430A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5C87FBD4">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疗养地点</w:t>
            </w:r>
          </w:p>
        </w:tc>
        <w:tc>
          <w:tcPr>
            <w:tcW w:w="7346" w:type="dxa"/>
            <w:gridSpan w:val="8"/>
            <w:noWrap w:val="0"/>
            <w:vAlign w:val="top"/>
          </w:tcPr>
          <w:p w14:paraId="5EC535A5">
            <w:pPr>
              <w:snapToGrid w:val="0"/>
              <w:spacing w:line="360" w:lineRule="auto"/>
              <w:ind w:firstLine="440" w:firstLineChars="200"/>
              <w:jc w:val="left"/>
              <w:rPr>
                <w:rFonts w:hint="eastAsia" w:ascii="仿宋" w:hAnsi="仿宋" w:eastAsia="仿宋" w:cs="仿宋"/>
                <w:color w:val="auto"/>
                <w:sz w:val="22"/>
                <w:szCs w:val="22"/>
                <w:highlight w:val="none"/>
              </w:rPr>
            </w:pPr>
          </w:p>
        </w:tc>
      </w:tr>
      <w:tr w14:paraId="4E0C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22A2F73D">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疗养时间</w:t>
            </w:r>
          </w:p>
        </w:tc>
        <w:tc>
          <w:tcPr>
            <w:tcW w:w="7346" w:type="dxa"/>
            <w:gridSpan w:val="8"/>
            <w:noWrap w:val="0"/>
            <w:vAlign w:val="top"/>
          </w:tcPr>
          <w:p w14:paraId="382E9749">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_____年___月___日至___月___日</w:t>
            </w:r>
          </w:p>
        </w:tc>
      </w:tr>
      <w:tr w14:paraId="37C9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622" w:type="dxa"/>
            <w:noWrap w:val="0"/>
            <w:vAlign w:val="center"/>
          </w:tcPr>
          <w:p w14:paraId="602B4ED7">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线路安排</w:t>
            </w:r>
          </w:p>
        </w:tc>
        <w:tc>
          <w:tcPr>
            <w:tcW w:w="777" w:type="dxa"/>
            <w:noWrap w:val="0"/>
            <w:vAlign w:val="center"/>
          </w:tcPr>
          <w:p w14:paraId="1B2869BF">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好</w:t>
            </w:r>
          </w:p>
        </w:tc>
        <w:tc>
          <w:tcPr>
            <w:tcW w:w="960" w:type="dxa"/>
            <w:noWrap w:val="0"/>
            <w:vAlign w:val="top"/>
          </w:tcPr>
          <w:p w14:paraId="4DF055E9">
            <w:pPr>
              <w:snapToGrid w:val="0"/>
              <w:spacing w:line="360" w:lineRule="auto"/>
              <w:jc w:val="left"/>
              <w:rPr>
                <w:rFonts w:hint="eastAsia" w:ascii="仿宋" w:hAnsi="仿宋" w:eastAsia="仿宋" w:cs="仿宋"/>
                <w:color w:val="auto"/>
                <w:sz w:val="22"/>
                <w:szCs w:val="22"/>
                <w:highlight w:val="none"/>
              </w:rPr>
            </w:pPr>
          </w:p>
        </w:tc>
        <w:tc>
          <w:tcPr>
            <w:tcW w:w="735" w:type="dxa"/>
            <w:noWrap w:val="0"/>
            <w:vAlign w:val="center"/>
          </w:tcPr>
          <w:p w14:paraId="6DACBBA9">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较好</w:t>
            </w:r>
          </w:p>
        </w:tc>
        <w:tc>
          <w:tcPr>
            <w:tcW w:w="1110" w:type="dxa"/>
            <w:noWrap w:val="0"/>
            <w:vAlign w:val="center"/>
          </w:tcPr>
          <w:p w14:paraId="4CBDC427">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810" w:type="dxa"/>
            <w:noWrap w:val="0"/>
            <w:vAlign w:val="center"/>
          </w:tcPr>
          <w:p w14:paraId="14241E41">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一般</w:t>
            </w:r>
          </w:p>
        </w:tc>
        <w:tc>
          <w:tcPr>
            <w:tcW w:w="1005" w:type="dxa"/>
            <w:noWrap w:val="0"/>
            <w:vAlign w:val="center"/>
          </w:tcPr>
          <w:p w14:paraId="60B12C20">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660" w:type="dxa"/>
            <w:noWrap w:val="0"/>
            <w:vAlign w:val="center"/>
          </w:tcPr>
          <w:p w14:paraId="25D7A0AD">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w:t>
            </w:r>
          </w:p>
        </w:tc>
        <w:tc>
          <w:tcPr>
            <w:tcW w:w="1289" w:type="dxa"/>
            <w:noWrap w:val="0"/>
            <w:vAlign w:val="top"/>
          </w:tcPr>
          <w:p w14:paraId="42966D9D">
            <w:pPr>
              <w:snapToGrid w:val="0"/>
              <w:spacing w:line="360" w:lineRule="auto"/>
              <w:ind w:firstLine="440" w:firstLineChars="200"/>
              <w:jc w:val="left"/>
              <w:rPr>
                <w:rFonts w:hint="eastAsia" w:ascii="仿宋" w:hAnsi="仿宋" w:eastAsia="仿宋" w:cs="仿宋"/>
                <w:color w:val="auto"/>
                <w:sz w:val="22"/>
                <w:szCs w:val="22"/>
                <w:highlight w:val="none"/>
              </w:rPr>
            </w:pPr>
          </w:p>
        </w:tc>
      </w:tr>
      <w:tr w14:paraId="5E10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22" w:type="dxa"/>
            <w:noWrap w:val="0"/>
            <w:vAlign w:val="center"/>
          </w:tcPr>
          <w:p w14:paraId="5921B898">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住宿满意度</w:t>
            </w:r>
          </w:p>
        </w:tc>
        <w:tc>
          <w:tcPr>
            <w:tcW w:w="777" w:type="dxa"/>
            <w:noWrap w:val="0"/>
            <w:vAlign w:val="center"/>
          </w:tcPr>
          <w:p w14:paraId="11C053BE">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好</w:t>
            </w:r>
          </w:p>
        </w:tc>
        <w:tc>
          <w:tcPr>
            <w:tcW w:w="960" w:type="dxa"/>
            <w:noWrap w:val="0"/>
            <w:vAlign w:val="top"/>
          </w:tcPr>
          <w:p w14:paraId="2D82C314">
            <w:pPr>
              <w:snapToGrid w:val="0"/>
              <w:spacing w:line="360" w:lineRule="auto"/>
              <w:jc w:val="left"/>
              <w:rPr>
                <w:rFonts w:hint="eastAsia" w:ascii="仿宋" w:hAnsi="仿宋" w:eastAsia="仿宋" w:cs="仿宋"/>
                <w:color w:val="auto"/>
                <w:sz w:val="22"/>
                <w:szCs w:val="22"/>
                <w:highlight w:val="none"/>
              </w:rPr>
            </w:pPr>
          </w:p>
        </w:tc>
        <w:tc>
          <w:tcPr>
            <w:tcW w:w="735" w:type="dxa"/>
            <w:noWrap w:val="0"/>
            <w:vAlign w:val="center"/>
          </w:tcPr>
          <w:p w14:paraId="4949ABD1">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较好</w:t>
            </w:r>
          </w:p>
        </w:tc>
        <w:tc>
          <w:tcPr>
            <w:tcW w:w="1110" w:type="dxa"/>
            <w:noWrap w:val="0"/>
            <w:vAlign w:val="center"/>
          </w:tcPr>
          <w:p w14:paraId="6F88302E">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810" w:type="dxa"/>
            <w:noWrap w:val="0"/>
            <w:vAlign w:val="center"/>
          </w:tcPr>
          <w:p w14:paraId="4F0A2FB2">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一般</w:t>
            </w:r>
          </w:p>
        </w:tc>
        <w:tc>
          <w:tcPr>
            <w:tcW w:w="1005" w:type="dxa"/>
            <w:noWrap w:val="0"/>
            <w:vAlign w:val="center"/>
          </w:tcPr>
          <w:p w14:paraId="17948D41">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660" w:type="dxa"/>
            <w:noWrap w:val="0"/>
            <w:vAlign w:val="center"/>
          </w:tcPr>
          <w:p w14:paraId="014D635A">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w:t>
            </w:r>
          </w:p>
        </w:tc>
        <w:tc>
          <w:tcPr>
            <w:tcW w:w="1289" w:type="dxa"/>
            <w:noWrap w:val="0"/>
            <w:vAlign w:val="top"/>
          </w:tcPr>
          <w:p w14:paraId="5FA23D9B">
            <w:pPr>
              <w:snapToGrid w:val="0"/>
              <w:spacing w:line="360" w:lineRule="auto"/>
              <w:ind w:firstLine="440" w:firstLineChars="200"/>
              <w:jc w:val="left"/>
              <w:rPr>
                <w:rFonts w:hint="eastAsia" w:ascii="仿宋" w:hAnsi="仿宋" w:eastAsia="仿宋" w:cs="仿宋"/>
                <w:color w:val="auto"/>
                <w:sz w:val="22"/>
                <w:szCs w:val="22"/>
                <w:highlight w:val="none"/>
              </w:rPr>
            </w:pPr>
          </w:p>
        </w:tc>
      </w:tr>
      <w:tr w14:paraId="7457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14:paraId="73039D0D">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餐饮满意度</w:t>
            </w:r>
          </w:p>
        </w:tc>
        <w:tc>
          <w:tcPr>
            <w:tcW w:w="777" w:type="dxa"/>
            <w:noWrap w:val="0"/>
            <w:vAlign w:val="center"/>
          </w:tcPr>
          <w:p w14:paraId="432D8C34">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好</w:t>
            </w:r>
          </w:p>
        </w:tc>
        <w:tc>
          <w:tcPr>
            <w:tcW w:w="960" w:type="dxa"/>
            <w:noWrap w:val="0"/>
            <w:vAlign w:val="top"/>
          </w:tcPr>
          <w:p w14:paraId="67EF47AC">
            <w:pPr>
              <w:snapToGrid w:val="0"/>
              <w:spacing w:line="360" w:lineRule="auto"/>
              <w:jc w:val="left"/>
              <w:rPr>
                <w:rFonts w:hint="eastAsia" w:ascii="仿宋" w:hAnsi="仿宋" w:eastAsia="仿宋" w:cs="仿宋"/>
                <w:color w:val="auto"/>
                <w:sz w:val="22"/>
                <w:szCs w:val="22"/>
                <w:highlight w:val="none"/>
              </w:rPr>
            </w:pPr>
          </w:p>
        </w:tc>
        <w:tc>
          <w:tcPr>
            <w:tcW w:w="735" w:type="dxa"/>
            <w:noWrap w:val="0"/>
            <w:vAlign w:val="center"/>
          </w:tcPr>
          <w:p w14:paraId="18AE6211">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较好</w:t>
            </w:r>
          </w:p>
        </w:tc>
        <w:tc>
          <w:tcPr>
            <w:tcW w:w="1110" w:type="dxa"/>
            <w:noWrap w:val="0"/>
            <w:vAlign w:val="center"/>
          </w:tcPr>
          <w:p w14:paraId="0EE4008C">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810" w:type="dxa"/>
            <w:noWrap w:val="0"/>
            <w:vAlign w:val="center"/>
          </w:tcPr>
          <w:p w14:paraId="1EF4F70C">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一般</w:t>
            </w:r>
          </w:p>
        </w:tc>
        <w:tc>
          <w:tcPr>
            <w:tcW w:w="1005" w:type="dxa"/>
            <w:noWrap w:val="0"/>
            <w:vAlign w:val="center"/>
          </w:tcPr>
          <w:p w14:paraId="6E7166AE">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660" w:type="dxa"/>
            <w:noWrap w:val="0"/>
            <w:vAlign w:val="center"/>
          </w:tcPr>
          <w:p w14:paraId="52B3C2E3">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w:t>
            </w:r>
          </w:p>
        </w:tc>
        <w:tc>
          <w:tcPr>
            <w:tcW w:w="1289" w:type="dxa"/>
            <w:noWrap w:val="0"/>
            <w:vAlign w:val="top"/>
          </w:tcPr>
          <w:p w14:paraId="14AE7252">
            <w:pPr>
              <w:snapToGrid w:val="0"/>
              <w:spacing w:line="360" w:lineRule="auto"/>
              <w:ind w:firstLine="440" w:firstLineChars="200"/>
              <w:jc w:val="left"/>
              <w:rPr>
                <w:rFonts w:hint="eastAsia" w:ascii="仿宋" w:hAnsi="仿宋" w:eastAsia="仿宋" w:cs="仿宋"/>
                <w:color w:val="auto"/>
                <w:sz w:val="22"/>
                <w:szCs w:val="22"/>
                <w:highlight w:val="none"/>
              </w:rPr>
            </w:pPr>
          </w:p>
        </w:tc>
      </w:tr>
      <w:tr w14:paraId="7FB6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22" w:type="dxa"/>
            <w:noWrap w:val="0"/>
            <w:vAlign w:val="center"/>
          </w:tcPr>
          <w:p w14:paraId="45E26651">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车辆状况</w:t>
            </w:r>
          </w:p>
        </w:tc>
        <w:tc>
          <w:tcPr>
            <w:tcW w:w="777" w:type="dxa"/>
            <w:noWrap w:val="0"/>
            <w:vAlign w:val="center"/>
          </w:tcPr>
          <w:p w14:paraId="0B973F20">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好</w:t>
            </w:r>
          </w:p>
        </w:tc>
        <w:tc>
          <w:tcPr>
            <w:tcW w:w="960" w:type="dxa"/>
            <w:noWrap w:val="0"/>
            <w:vAlign w:val="top"/>
          </w:tcPr>
          <w:p w14:paraId="20579C98">
            <w:pPr>
              <w:snapToGrid w:val="0"/>
              <w:spacing w:line="360" w:lineRule="auto"/>
              <w:jc w:val="left"/>
              <w:rPr>
                <w:rFonts w:hint="eastAsia" w:ascii="仿宋" w:hAnsi="仿宋" w:eastAsia="仿宋" w:cs="仿宋"/>
                <w:color w:val="auto"/>
                <w:sz w:val="22"/>
                <w:szCs w:val="22"/>
                <w:highlight w:val="none"/>
              </w:rPr>
            </w:pPr>
          </w:p>
        </w:tc>
        <w:tc>
          <w:tcPr>
            <w:tcW w:w="735" w:type="dxa"/>
            <w:noWrap w:val="0"/>
            <w:vAlign w:val="center"/>
          </w:tcPr>
          <w:p w14:paraId="6F16C8DB">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较好</w:t>
            </w:r>
          </w:p>
        </w:tc>
        <w:tc>
          <w:tcPr>
            <w:tcW w:w="1110" w:type="dxa"/>
            <w:noWrap w:val="0"/>
            <w:vAlign w:val="center"/>
          </w:tcPr>
          <w:p w14:paraId="7F92977D">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810" w:type="dxa"/>
            <w:noWrap w:val="0"/>
            <w:vAlign w:val="center"/>
          </w:tcPr>
          <w:p w14:paraId="73870BB0">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一般</w:t>
            </w:r>
          </w:p>
        </w:tc>
        <w:tc>
          <w:tcPr>
            <w:tcW w:w="1005" w:type="dxa"/>
            <w:noWrap w:val="0"/>
            <w:vAlign w:val="center"/>
          </w:tcPr>
          <w:p w14:paraId="63B6EA30">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660" w:type="dxa"/>
            <w:noWrap w:val="0"/>
            <w:vAlign w:val="center"/>
          </w:tcPr>
          <w:p w14:paraId="054B5A7E">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w:t>
            </w:r>
          </w:p>
        </w:tc>
        <w:tc>
          <w:tcPr>
            <w:tcW w:w="1289" w:type="dxa"/>
            <w:noWrap w:val="0"/>
            <w:vAlign w:val="top"/>
          </w:tcPr>
          <w:p w14:paraId="17D0169F">
            <w:pPr>
              <w:snapToGrid w:val="0"/>
              <w:spacing w:line="360" w:lineRule="auto"/>
              <w:ind w:firstLine="440" w:firstLineChars="200"/>
              <w:jc w:val="left"/>
              <w:rPr>
                <w:rFonts w:hint="eastAsia" w:ascii="仿宋" w:hAnsi="仿宋" w:eastAsia="仿宋" w:cs="仿宋"/>
                <w:color w:val="auto"/>
                <w:sz w:val="22"/>
                <w:szCs w:val="22"/>
                <w:highlight w:val="none"/>
              </w:rPr>
            </w:pPr>
          </w:p>
        </w:tc>
      </w:tr>
      <w:tr w14:paraId="3AFE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622" w:type="dxa"/>
            <w:noWrap w:val="0"/>
            <w:vAlign w:val="center"/>
          </w:tcPr>
          <w:p w14:paraId="3D8769C5">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司机服务</w:t>
            </w:r>
          </w:p>
        </w:tc>
        <w:tc>
          <w:tcPr>
            <w:tcW w:w="777" w:type="dxa"/>
            <w:noWrap w:val="0"/>
            <w:vAlign w:val="center"/>
          </w:tcPr>
          <w:p w14:paraId="7537D16B">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好</w:t>
            </w:r>
          </w:p>
        </w:tc>
        <w:tc>
          <w:tcPr>
            <w:tcW w:w="960" w:type="dxa"/>
            <w:noWrap w:val="0"/>
            <w:vAlign w:val="top"/>
          </w:tcPr>
          <w:p w14:paraId="5DA60E56">
            <w:pPr>
              <w:snapToGrid w:val="0"/>
              <w:spacing w:line="360" w:lineRule="auto"/>
              <w:jc w:val="left"/>
              <w:rPr>
                <w:rFonts w:hint="eastAsia" w:ascii="仿宋" w:hAnsi="仿宋" w:eastAsia="仿宋" w:cs="仿宋"/>
                <w:color w:val="auto"/>
                <w:sz w:val="22"/>
                <w:szCs w:val="22"/>
                <w:highlight w:val="none"/>
              </w:rPr>
            </w:pPr>
          </w:p>
        </w:tc>
        <w:tc>
          <w:tcPr>
            <w:tcW w:w="735" w:type="dxa"/>
            <w:noWrap w:val="0"/>
            <w:vAlign w:val="center"/>
          </w:tcPr>
          <w:p w14:paraId="75B4CC27">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较好</w:t>
            </w:r>
          </w:p>
        </w:tc>
        <w:tc>
          <w:tcPr>
            <w:tcW w:w="1110" w:type="dxa"/>
            <w:noWrap w:val="0"/>
            <w:vAlign w:val="center"/>
          </w:tcPr>
          <w:p w14:paraId="38237E7A">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810" w:type="dxa"/>
            <w:noWrap w:val="0"/>
            <w:vAlign w:val="center"/>
          </w:tcPr>
          <w:p w14:paraId="77834020">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一般</w:t>
            </w:r>
          </w:p>
        </w:tc>
        <w:tc>
          <w:tcPr>
            <w:tcW w:w="1005" w:type="dxa"/>
            <w:noWrap w:val="0"/>
            <w:vAlign w:val="center"/>
          </w:tcPr>
          <w:p w14:paraId="71504DC0">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660" w:type="dxa"/>
            <w:noWrap w:val="0"/>
            <w:vAlign w:val="center"/>
          </w:tcPr>
          <w:p w14:paraId="5BE09581">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w:t>
            </w:r>
          </w:p>
        </w:tc>
        <w:tc>
          <w:tcPr>
            <w:tcW w:w="1289" w:type="dxa"/>
            <w:noWrap w:val="0"/>
            <w:vAlign w:val="top"/>
          </w:tcPr>
          <w:p w14:paraId="34097891">
            <w:pPr>
              <w:snapToGrid w:val="0"/>
              <w:spacing w:line="360" w:lineRule="auto"/>
              <w:ind w:firstLine="440" w:firstLineChars="200"/>
              <w:jc w:val="left"/>
              <w:rPr>
                <w:rFonts w:hint="eastAsia" w:ascii="仿宋" w:hAnsi="仿宋" w:eastAsia="仿宋" w:cs="仿宋"/>
                <w:color w:val="auto"/>
                <w:sz w:val="22"/>
                <w:szCs w:val="22"/>
                <w:highlight w:val="none"/>
              </w:rPr>
            </w:pPr>
          </w:p>
        </w:tc>
      </w:tr>
      <w:tr w14:paraId="3F5D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622" w:type="dxa"/>
            <w:noWrap w:val="0"/>
            <w:vAlign w:val="center"/>
          </w:tcPr>
          <w:p w14:paraId="537F1D65">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导游服务</w:t>
            </w:r>
          </w:p>
        </w:tc>
        <w:tc>
          <w:tcPr>
            <w:tcW w:w="777" w:type="dxa"/>
            <w:noWrap w:val="0"/>
            <w:vAlign w:val="center"/>
          </w:tcPr>
          <w:p w14:paraId="26151DD1">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好</w:t>
            </w:r>
          </w:p>
        </w:tc>
        <w:tc>
          <w:tcPr>
            <w:tcW w:w="960" w:type="dxa"/>
            <w:noWrap w:val="0"/>
            <w:vAlign w:val="top"/>
          </w:tcPr>
          <w:p w14:paraId="448DF358">
            <w:pPr>
              <w:snapToGrid w:val="0"/>
              <w:spacing w:line="360" w:lineRule="auto"/>
              <w:jc w:val="left"/>
              <w:rPr>
                <w:rFonts w:hint="eastAsia" w:ascii="仿宋" w:hAnsi="仿宋" w:eastAsia="仿宋" w:cs="仿宋"/>
                <w:color w:val="auto"/>
                <w:sz w:val="22"/>
                <w:szCs w:val="22"/>
                <w:highlight w:val="none"/>
              </w:rPr>
            </w:pPr>
          </w:p>
        </w:tc>
        <w:tc>
          <w:tcPr>
            <w:tcW w:w="735" w:type="dxa"/>
            <w:noWrap w:val="0"/>
            <w:vAlign w:val="center"/>
          </w:tcPr>
          <w:p w14:paraId="352DA43D">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较好</w:t>
            </w:r>
          </w:p>
        </w:tc>
        <w:tc>
          <w:tcPr>
            <w:tcW w:w="1110" w:type="dxa"/>
            <w:noWrap w:val="0"/>
            <w:vAlign w:val="center"/>
          </w:tcPr>
          <w:p w14:paraId="74E9FB8D">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810" w:type="dxa"/>
            <w:noWrap w:val="0"/>
            <w:vAlign w:val="center"/>
          </w:tcPr>
          <w:p w14:paraId="17EB8359">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一般</w:t>
            </w:r>
          </w:p>
        </w:tc>
        <w:tc>
          <w:tcPr>
            <w:tcW w:w="1005" w:type="dxa"/>
            <w:noWrap w:val="0"/>
            <w:vAlign w:val="center"/>
          </w:tcPr>
          <w:p w14:paraId="6E524F97">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660" w:type="dxa"/>
            <w:noWrap w:val="0"/>
            <w:vAlign w:val="center"/>
          </w:tcPr>
          <w:p w14:paraId="64BFA318">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w:t>
            </w:r>
          </w:p>
        </w:tc>
        <w:tc>
          <w:tcPr>
            <w:tcW w:w="1289" w:type="dxa"/>
            <w:noWrap w:val="0"/>
            <w:vAlign w:val="top"/>
          </w:tcPr>
          <w:p w14:paraId="77BE84DF">
            <w:pPr>
              <w:snapToGrid w:val="0"/>
              <w:spacing w:line="360" w:lineRule="auto"/>
              <w:ind w:firstLine="440" w:firstLineChars="200"/>
              <w:jc w:val="left"/>
              <w:rPr>
                <w:rFonts w:hint="eastAsia" w:ascii="仿宋" w:hAnsi="仿宋" w:eastAsia="仿宋" w:cs="仿宋"/>
                <w:color w:val="auto"/>
                <w:sz w:val="22"/>
                <w:szCs w:val="22"/>
                <w:highlight w:val="none"/>
              </w:rPr>
            </w:pPr>
          </w:p>
        </w:tc>
      </w:tr>
      <w:tr w14:paraId="64DD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14:paraId="61E0F942">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整体评价</w:t>
            </w:r>
          </w:p>
        </w:tc>
        <w:tc>
          <w:tcPr>
            <w:tcW w:w="777" w:type="dxa"/>
            <w:noWrap w:val="0"/>
            <w:vAlign w:val="center"/>
          </w:tcPr>
          <w:p w14:paraId="2517A50A">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好</w:t>
            </w:r>
          </w:p>
        </w:tc>
        <w:tc>
          <w:tcPr>
            <w:tcW w:w="960" w:type="dxa"/>
            <w:noWrap w:val="0"/>
            <w:vAlign w:val="top"/>
          </w:tcPr>
          <w:p w14:paraId="3E2D28C4">
            <w:pPr>
              <w:snapToGrid w:val="0"/>
              <w:spacing w:line="360" w:lineRule="auto"/>
              <w:jc w:val="left"/>
              <w:rPr>
                <w:rFonts w:hint="eastAsia" w:ascii="仿宋" w:hAnsi="仿宋" w:eastAsia="仿宋" w:cs="仿宋"/>
                <w:color w:val="auto"/>
                <w:sz w:val="22"/>
                <w:szCs w:val="22"/>
                <w:highlight w:val="none"/>
              </w:rPr>
            </w:pPr>
          </w:p>
        </w:tc>
        <w:tc>
          <w:tcPr>
            <w:tcW w:w="735" w:type="dxa"/>
            <w:noWrap w:val="0"/>
            <w:vAlign w:val="center"/>
          </w:tcPr>
          <w:p w14:paraId="023C257F">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较好</w:t>
            </w:r>
          </w:p>
        </w:tc>
        <w:tc>
          <w:tcPr>
            <w:tcW w:w="1110" w:type="dxa"/>
            <w:noWrap w:val="0"/>
            <w:vAlign w:val="center"/>
          </w:tcPr>
          <w:p w14:paraId="57C7423E">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810" w:type="dxa"/>
            <w:noWrap w:val="0"/>
            <w:vAlign w:val="center"/>
          </w:tcPr>
          <w:p w14:paraId="21346E3A">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一般</w:t>
            </w:r>
          </w:p>
        </w:tc>
        <w:tc>
          <w:tcPr>
            <w:tcW w:w="1005" w:type="dxa"/>
            <w:noWrap w:val="0"/>
            <w:vAlign w:val="center"/>
          </w:tcPr>
          <w:p w14:paraId="1434EF40">
            <w:pPr>
              <w:snapToGrid w:val="0"/>
              <w:spacing w:line="360" w:lineRule="auto"/>
              <w:ind w:firstLine="440" w:firstLineChars="200"/>
              <w:jc w:val="center"/>
              <w:rPr>
                <w:rFonts w:hint="eastAsia" w:ascii="仿宋" w:hAnsi="仿宋" w:eastAsia="仿宋" w:cs="仿宋"/>
                <w:color w:val="auto"/>
                <w:sz w:val="22"/>
                <w:szCs w:val="22"/>
                <w:highlight w:val="none"/>
              </w:rPr>
            </w:pPr>
          </w:p>
        </w:tc>
        <w:tc>
          <w:tcPr>
            <w:tcW w:w="660" w:type="dxa"/>
            <w:noWrap w:val="0"/>
            <w:vAlign w:val="center"/>
          </w:tcPr>
          <w:p w14:paraId="69846E37">
            <w:pPr>
              <w:snapToGrid w:val="0"/>
              <w:spacing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w:t>
            </w:r>
          </w:p>
        </w:tc>
        <w:tc>
          <w:tcPr>
            <w:tcW w:w="1289" w:type="dxa"/>
            <w:noWrap w:val="0"/>
            <w:vAlign w:val="top"/>
          </w:tcPr>
          <w:p w14:paraId="50EDEA6B">
            <w:pPr>
              <w:snapToGrid w:val="0"/>
              <w:spacing w:line="360" w:lineRule="auto"/>
              <w:ind w:firstLine="440" w:firstLineChars="200"/>
              <w:jc w:val="left"/>
              <w:rPr>
                <w:rFonts w:hint="eastAsia" w:ascii="仿宋" w:hAnsi="仿宋" w:eastAsia="仿宋" w:cs="仿宋"/>
                <w:color w:val="auto"/>
                <w:sz w:val="22"/>
                <w:szCs w:val="22"/>
                <w:highlight w:val="none"/>
              </w:rPr>
            </w:pPr>
          </w:p>
        </w:tc>
      </w:tr>
      <w:tr w14:paraId="396D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8" w:type="dxa"/>
            <w:gridSpan w:val="9"/>
            <w:noWrap w:val="0"/>
            <w:vAlign w:val="top"/>
          </w:tcPr>
          <w:p w14:paraId="2577EA6A">
            <w:pPr>
              <w:snapToGrid w:val="0"/>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对本次疗休养的整体评价及建议</w:t>
            </w:r>
          </w:p>
          <w:p w14:paraId="700B7987">
            <w:pPr>
              <w:snapToGrid w:val="0"/>
              <w:spacing w:line="360" w:lineRule="auto"/>
              <w:ind w:firstLine="440" w:firstLineChars="200"/>
              <w:jc w:val="left"/>
              <w:rPr>
                <w:rFonts w:hint="eastAsia" w:ascii="仿宋" w:hAnsi="仿宋" w:eastAsia="仿宋" w:cs="仿宋"/>
                <w:color w:val="auto"/>
                <w:sz w:val="22"/>
                <w:szCs w:val="22"/>
                <w:highlight w:val="none"/>
              </w:rPr>
            </w:pPr>
          </w:p>
          <w:p w14:paraId="0576B8F7">
            <w:pPr>
              <w:snapToGrid w:val="0"/>
              <w:spacing w:line="360" w:lineRule="auto"/>
              <w:ind w:firstLine="4180" w:firstLineChars="19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出团人员签名：</w:t>
            </w:r>
          </w:p>
          <w:p w14:paraId="7637D38C">
            <w:pPr>
              <w:snapToGrid w:val="0"/>
              <w:spacing w:line="360" w:lineRule="auto"/>
              <w:ind w:firstLine="4180" w:firstLineChars="19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出团人员联系电话：</w:t>
            </w:r>
          </w:p>
          <w:p w14:paraId="7D416DB3">
            <w:pPr>
              <w:snapToGrid w:val="0"/>
              <w:spacing w:line="360" w:lineRule="auto"/>
              <w:ind w:firstLine="4180" w:firstLineChars="19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日        期：                     </w:t>
            </w:r>
          </w:p>
        </w:tc>
      </w:tr>
    </w:tbl>
    <w:p w14:paraId="1BB096C7">
      <w:pPr>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2.当期出团满意调查表“差评率”达到一定比例按下列规定扣除当期疗休养费用计算表，简称《扣除费用计算表》。</w:t>
      </w:r>
    </w:p>
    <w:p w14:paraId="5313685A">
      <w:pPr>
        <w:pStyle w:val="3"/>
        <w:wordWrap/>
        <w:adjustRightInd w:val="0"/>
        <w:snapToGrid w:val="0"/>
        <w:spacing w:line="360" w:lineRule="auto"/>
        <w:ind w:left="0" w:leftChars="0" w:firstLine="0" w:firstLineChars="0"/>
        <w:jc w:val="center"/>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扣除费用计算表</w:t>
      </w:r>
    </w:p>
    <w:tbl>
      <w:tblPr>
        <w:tblStyle w:val="62"/>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565"/>
        <w:gridCol w:w="5811"/>
      </w:tblGrid>
      <w:tr w14:paraId="4B99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4" w:type="dxa"/>
            <w:noWrap w:val="0"/>
            <w:vAlign w:val="center"/>
          </w:tcPr>
          <w:p w14:paraId="6B9CDE3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65" w:type="dxa"/>
            <w:noWrap w:val="0"/>
            <w:vAlign w:val="center"/>
          </w:tcPr>
          <w:p w14:paraId="00F5263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差评率</w:t>
            </w:r>
          </w:p>
        </w:tc>
        <w:tc>
          <w:tcPr>
            <w:tcW w:w="5811" w:type="dxa"/>
            <w:noWrap w:val="0"/>
            <w:vAlign w:val="center"/>
          </w:tcPr>
          <w:p w14:paraId="130406A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当期出行费用扣除比例</w:t>
            </w:r>
          </w:p>
        </w:tc>
      </w:tr>
      <w:tr w14:paraId="78D7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center"/>
          </w:tcPr>
          <w:p w14:paraId="3A25E21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65" w:type="dxa"/>
            <w:noWrap w:val="0"/>
            <w:vAlign w:val="center"/>
          </w:tcPr>
          <w:p w14:paraId="6917822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5%-10%以内（含）</w:t>
            </w:r>
          </w:p>
        </w:tc>
        <w:tc>
          <w:tcPr>
            <w:tcW w:w="5811" w:type="dxa"/>
            <w:noWrap w:val="0"/>
            <w:vAlign w:val="center"/>
          </w:tcPr>
          <w:p w14:paraId="4CA543D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扣除2%</w:t>
            </w:r>
          </w:p>
        </w:tc>
      </w:tr>
      <w:tr w14:paraId="23AF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center"/>
          </w:tcPr>
          <w:p w14:paraId="26B4710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565" w:type="dxa"/>
            <w:noWrap w:val="0"/>
            <w:vAlign w:val="center"/>
          </w:tcPr>
          <w:p w14:paraId="0F12ED8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10%-20%以内（含）</w:t>
            </w:r>
          </w:p>
        </w:tc>
        <w:tc>
          <w:tcPr>
            <w:tcW w:w="5811" w:type="dxa"/>
            <w:noWrap w:val="0"/>
            <w:vAlign w:val="center"/>
          </w:tcPr>
          <w:p w14:paraId="3F25971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扣除4%</w:t>
            </w:r>
          </w:p>
        </w:tc>
      </w:tr>
      <w:tr w14:paraId="57EF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center"/>
          </w:tcPr>
          <w:p w14:paraId="31446FA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565" w:type="dxa"/>
            <w:noWrap w:val="0"/>
            <w:vAlign w:val="center"/>
          </w:tcPr>
          <w:p w14:paraId="345A5AA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20%-30%以内(含）</w:t>
            </w:r>
          </w:p>
        </w:tc>
        <w:tc>
          <w:tcPr>
            <w:tcW w:w="5811" w:type="dxa"/>
            <w:noWrap w:val="0"/>
            <w:vAlign w:val="center"/>
          </w:tcPr>
          <w:p w14:paraId="1CF195F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扣除6%</w:t>
            </w:r>
          </w:p>
        </w:tc>
      </w:tr>
      <w:tr w14:paraId="40C8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4" w:type="dxa"/>
            <w:noWrap w:val="0"/>
            <w:vAlign w:val="center"/>
          </w:tcPr>
          <w:p w14:paraId="30F5F99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565" w:type="dxa"/>
            <w:noWrap w:val="0"/>
            <w:vAlign w:val="center"/>
          </w:tcPr>
          <w:p w14:paraId="2C627E1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30%-40%以内(含）</w:t>
            </w:r>
          </w:p>
        </w:tc>
        <w:tc>
          <w:tcPr>
            <w:tcW w:w="5811" w:type="dxa"/>
            <w:noWrap w:val="0"/>
            <w:vAlign w:val="center"/>
          </w:tcPr>
          <w:p w14:paraId="79115CD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扣除8%</w:t>
            </w:r>
          </w:p>
        </w:tc>
      </w:tr>
      <w:tr w14:paraId="725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934" w:type="dxa"/>
            <w:noWrap w:val="0"/>
            <w:vAlign w:val="center"/>
          </w:tcPr>
          <w:p w14:paraId="3676098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565" w:type="dxa"/>
            <w:noWrap w:val="0"/>
            <w:vAlign w:val="center"/>
          </w:tcPr>
          <w:p w14:paraId="7E081473">
            <w:pPr>
              <w:snapToGrid w:val="0"/>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40%-50%以内（含）</w:t>
            </w:r>
          </w:p>
        </w:tc>
        <w:tc>
          <w:tcPr>
            <w:tcW w:w="5811" w:type="dxa"/>
            <w:noWrap w:val="0"/>
            <w:vAlign w:val="center"/>
          </w:tcPr>
          <w:p w14:paraId="4154DF0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扣除15%</w:t>
            </w:r>
          </w:p>
        </w:tc>
      </w:tr>
      <w:tr w14:paraId="13EB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noWrap w:val="0"/>
            <w:vAlign w:val="center"/>
          </w:tcPr>
          <w:p w14:paraId="3779AC2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565" w:type="dxa"/>
            <w:noWrap w:val="0"/>
            <w:vAlign w:val="center"/>
          </w:tcPr>
          <w:p w14:paraId="17CC91D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50%以上</w:t>
            </w:r>
          </w:p>
        </w:tc>
        <w:tc>
          <w:tcPr>
            <w:tcW w:w="5811" w:type="dxa"/>
            <w:noWrap w:val="0"/>
            <w:vAlign w:val="center"/>
          </w:tcPr>
          <w:p w14:paraId="54AA18E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扣除20%</w:t>
            </w:r>
          </w:p>
          <w:p w14:paraId="45230D5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（注：如差评率达到50%以上，采购人可终止合同）</w:t>
            </w:r>
          </w:p>
        </w:tc>
      </w:tr>
      <w:tr w14:paraId="61B8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0" w:type="dxa"/>
            <w:gridSpan w:val="3"/>
            <w:noWrap w:val="0"/>
            <w:vAlign w:val="center"/>
          </w:tcPr>
          <w:p w14:paraId="32D4D1B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如调查表发现弄虚作假，发现一次当期出行费用扣除20%，出现二次采购人可终止合同。</w:t>
            </w:r>
          </w:p>
        </w:tc>
      </w:tr>
    </w:tbl>
    <w:p w14:paraId="422DC0E2">
      <w:pPr>
        <w:pStyle w:val="3"/>
        <w:wordWrap/>
        <w:adjustRightInd w:val="0"/>
        <w:snapToGrid w:val="0"/>
        <w:spacing w:line="360" w:lineRule="auto"/>
        <w:ind w:left="0" w:lef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3.中标</w:t>
      </w:r>
      <w:r>
        <w:rPr>
          <w:rFonts w:hint="eastAsia" w:ascii="仿宋" w:hAnsi="仿宋" w:eastAsia="仿宋" w:cs="仿宋"/>
          <w:i w:val="0"/>
          <w:iCs w:val="0"/>
          <w:color w:val="auto"/>
          <w:sz w:val="24"/>
          <w:szCs w:val="24"/>
          <w:highlight w:val="none"/>
          <w:lang w:val="en-US" w:eastAsia="zh-CN"/>
        </w:rPr>
        <w:t>单位</w:t>
      </w:r>
      <w:r>
        <w:rPr>
          <w:rFonts w:hint="eastAsia" w:ascii="仿宋" w:hAnsi="仿宋" w:eastAsia="仿宋" w:cs="仿宋"/>
          <w:i w:val="0"/>
          <w:iCs w:val="0"/>
          <w:color w:val="auto"/>
          <w:sz w:val="24"/>
          <w:szCs w:val="24"/>
          <w:highlight w:val="none"/>
        </w:rPr>
        <w:t>的方案应获得</w:t>
      </w: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rPr>
        <w:t>的认可，</w:t>
      </w: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rPr>
        <w:t>保留对中标</w:t>
      </w:r>
      <w:r>
        <w:rPr>
          <w:rFonts w:hint="eastAsia" w:ascii="仿宋" w:hAnsi="仿宋" w:eastAsia="仿宋" w:cs="仿宋"/>
          <w:i w:val="0"/>
          <w:iCs w:val="0"/>
          <w:color w:val="auto"/>
          <w:sz w:val="24"/>
          <w:szCs w:val="24"/>
          <w:highlight w:val="none"/>
          <w:lang w:val="en-US" w:eastAsia="zh-CN"/>
        </w:rPr>
        <w:t>单位</w:t>
      </w:r>
      <w:r>
        <w:rPr>
          <w:rFonts w:hint="eastAsia" w:ascii="仿宋" w:hAnsi="仿宋" w:eastAsia="仿宋" w:cs="仿宋"/>
          <w:i w:val="0"/>
          <w:iCs w:val="0"/>
          <w:color w:val="auto"/>
          <w:sz w:val="24"/>
          <w:szCs w:val="24"/>
          <w:highlight w:val="none"/>
        </w:rPr>
        <w:t>的某一线路指定其他方案的权利，路线景点和出团人数以实际产生为准，费用不得超出规定标准，组团时间按</w:t>
      </w: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rPr>
        <w:t>计划实施，具体出团及返回时间根据中标</w:t>
      </w:r>
      <w:r>
        <w:rPr>
          <w:rFonts w:hint="eastAsia" w:ascii="仿宋" w:hAnsi="仿宋" w:eastAsia="仿宋" w:cs="仿宋"/>
          <w:i w:val="0"/>
          <w:iCs w:val="0"/>
          <w:color w:val="auto"/>
          <w:sz w:val="24"/>
          <w:szCs w:val="24"/>
          <w:highlight w:val="none"/>
          <w:lang w:val="en-US" w:eastAsia="zh-CN"/>
        </w:rPr>
        <w:t>单位</w:t>
      </w:r>
      <w:r>
        <w:rPr>
          <w:rFonts w:hint="eastAsia" w:ascii="仿宋" w:hAnsi="仿宋" w:eastAsia="仿宋" w:cs="仿宋"/>
          <w:i w:val="0"/>
          <w:iCs w:val="0"/>
          <w:color w:val="auto"/>
          <w:sz w:val="24"/>
          <w:szCs w:val="24"/>
          <w:highlight w:val="none"/>
        </w:rPr>
        <w:t>编制并获得</w:t>
      </w: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rPr>
        <w:t>认可的方案为准，出团时间应避开双休及节假日。</w:t>
      </w:r>
    </w:p>
    <w:p w14:paraId="2DA34AF7">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4.出行人数存在不确定性，最终费用按实际出发人数，按实结算，投标时每个标项的人数为暂定量，具体以实际出行人数为准，投标单价保持不变</w:t>
      </w:r>
      <w:r>
        <w:rPr>
          <w:rFonts w:hint="eastAsia" w:ascii="仿宋" w:hAnsi="仿宋" w:eastAsia="仿宋" w:cs="仿宋"/>
          <w:i w:val="0"/>
          <w:iCs w:val="0"/>
          <w:color w:val="auto"/>
          <w:sz w:val="24"/>
          <w:szCs w:val="24"/>
          <w:highlight w:val="none"/>
          <w:lang w:eastAsia="zh-CN"/>
        </w:rPr>
        <w:t>，相关费用按出行人员情况分别向</w:t>
      </w:r>
      <w:r>
        <w:rPr>
          <w:rFonts w:hint="eastAsia" w:ascii="仿宋" w:hAnsi="仿宋" w:eastAsia="仿宋" w:cs="仿宋"/>
          <w:i w:val="0"/>
          <w:iCs w:val="0"/>
          <w:color w:val="auto"/>
          <w:sz w:val="24"/>
          <w:szCs w:val="24"/>
          <w:highlight w:val="none"/>
          <w:lang w:val="en-US" w:eastAsia="zh-CN"/>
        </w:rPr>
        <w:t>采购人</w:t>
      </w:r>
      <w:r>
        <w:rPr>
          <w:rFonts w:hint="eastAsia" w:ascii="仿宋" w:hAnsi="仿宋" w:eastAsia="仿宋" w:cs="仿宋"/>
          <w:i w:val="0"/>
          <w:iCs w:val="0"/>
          <w:color w:val="auto"/>
          <w:sz w:val="24"/>
          <w:szCs w:val="24"/>
          <w:highlight w:val="none"/>
          <w:lang w:eastAsia="zh-CN"/>
        </w:rPr>
        <w:t>结算</w:t>
      </w:r>
      <w:r>
        <w:rPr>
          <w:rFonts w:hint="eastAsia" w:ascii="仿宋" w:hAnsi="仿宋" w:eastAsia="仿宋" w:cs="仿宋"/>
          <w:i w:val="0"/>
          <w:iCs w:val="0"/>
          <w:color w:val="auto"/>
          <w:sz w:val="24"/>
          <w:szCs w:val="24"/>
          <w:highlight w:val="none"/>
        </w:rPr>
        <w:t>。</w:t>
      </w:r>
    </w:p>
    <w:p w14:paraId="3EA117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bookmarkEnd w:id="67"/>
      <w:bookmarkStart w:id="71" w:name="_Toc28869"/>
      <w:r>
        <w:rPr>
          <w:rFonts w:hint="eastAsia" w:ascii="仿宋" w:hAnsi="仿宋" w:eastAsia="仿宋" w:cs="仿宋"/>
          <w:b/>
          <w:bCs/>
          <w:color w:val="auto"/>
          <w:sz w:val="24"/>
          <w:szCs w:val="24"/>
          <w:highlight w:val="none"/>
        </w:rPr>
        <w:t>、商务资信要求</w:t>
      </w:r>
      <w:bookmarkEnd w:id="68"/>
      <w:bookmarkEnd w:id="69"/>
      <w:bookmarkEnd w:id="71"/>
    </w:p>
    <w:tbl>
      <w:tblPr>
        <w:tblStyle w:val="62"/>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77678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745EEC4D">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37D3BF64">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w:t>
            </w:r>
          </w:p>
        </w:tc>
      </w:tr>
      <w:tr w14:paraId="095DC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16231EAB">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8D6A132">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以采购人实际制定的</w:t>
            </w:r>
            <w:r>
              <w:rPr>
                <w:rFonts w:hint="eastAsia" w:ascii="仿宋" w:hAnsi="仿宋" w:eastAsia="仿宋" w:cs="仿宋"/>
                <w:color w:val="auto"/>
                <w:sz w:val="24"/>
                <w:szCs w:val="24"/>
                <w:highlight w:val="none"/>
                <w:lang w:val="en-US" w:eastAsia="zh-CN"/>
              </w:rPr>
              <w:t>健康</w:t>
            </w:r>
            <w:r>
              <w:rPr>
                <w:rFonts w:hint="eastAsia" w:ascii="仿宋" w:hAnsi="仿宋" w:eastAsia="仿宋" w:cs="仿宋"/>
                <w:color w:val="auto"/>
                <w:sz w:val="24"/>
                <w:szCs w:val="24"/>
                <w:highlight w:val="none"/>
              </w:rPr>
              <w:t>休养路线</w:t>
            </w:r>
            <w:r>
              <w:rPr>
                <w:rFonts w:hint="eastAsia" w:ascii="仿宋" w:hAnsi="仿宋" w:eastAsia="仿宋" w:cs="仿宋"/>
                <w:color w:val="auto"/>
                <w:sz w:val="24"/>
                <w:szCs w:val="24"/>
                <w:highlight w:val="none"/>
                <w:lang w:eastAsia="zh-CN"/>
              </w:rPr>
              <w:t>为准</w:t>
            </w:r>
            <w:r>
              <w:rPr>
                <w:rFonts w:hint="eastAsia" w:ascii="仿宋" w:hAnsi="仿宋" w:eastAsia="仿宋" w:cs="仿宋"/>
                <w:color w:val="auto"/>
                <w:sz w:val="24"/>
                <w:szCs w:val="24"/>
                <w:highlight w:val="none"/>
              </w:rPr>
              <w:t>。</w:t>
            </w:r>
          </w:p>
        </w:tc>
      </w:tr>
      <w:tr w14:paraId="3D9BE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6C3463B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7B78670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73C40BE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19D29D7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本项目采用固定综合单价合同，按实结算。合同期间综合单价不予调整。</w:t>
            </w:r>
          </w:p>
          <w:p w14:paraId="62CFFB4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1CE31EBA">
      <w:pPr>
        <w:rPr>
          <w:rFonts w:hint="eastAsia" w:ascii="仿宋" w:hAnsi="仿宋" w:eastAsia="仿宋" w:cs="仿宋"/>
          <w:sz w:val="24"/>
          <w:szCs w:val="24"/>
          <w:highlight w:val="none"/>
        </w:rPr>
        <w:sectPr>
          <w:headerReference r:id="rId8" w:type="default"/>
          <w:footerReference r:id="rId9" w:type="default"/>
          <w:pgSz w:w="11906" w:h="16838"/>
          <w:pgMar w:top="1440" w:right="1247" w:bottom="1440" w:left="1587" w:header="851" w:footer="992" w:gutter="0"/>
          <w:pgNumType w:fmt="decimal" w:start="1"/>
          <w:cols w:space="720" w:num="1"/>
          <w:docGrid w:type="lines" w:linePitch="312" w:charSpace="0"/>
        </w:sectPr>
      </w:pPr>
    </w:p>
    <w:p w14:paraId="5BF61E2E">
      <w:pPr>
        <w:widowControl/>
        <w:adjustRightInd/>
        <w:spacing w:line="336" w:lineRule="auto"/>
        <w:jc w:val="left"/>
        <w:rPr>
          <w:rFonts w:ascii="仿宋" w:hAnsi="仿宋" w:eastAsia="仿宋" w:cs="仿宋"/>
          <w:b/>
          <w:sz w:val="36"/>
          <w:szCs w:val="36"/>
          <w:highlight w:val="none"/>
        </w:rPr>
      </w:pPr>
    </w:p>
    <w:p w14:paraId="2524C6E3">
      <w:pPr>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sz w:val="36"/>
          <w:szCs w:val="36"/>
          <w:highlight w:val="none"/>
        </w:rPr>
        <w:t xml:space="preserve">第四部分  </w:t>
      </w:r>
      <w:bookmarkStart w:id="72" w:name="第五部分"/>
      <w:bookmarkStart w:id="73" w:name="_Toc86217003"/>
      <w:r>
        <w:rPr>
          <w:rFonts w:hint="eastAsia" w:ascii="仿宋" w:hAnsi="仿宋" w:eastAsia="仿宋" w:cs="仿宋"/>
          <w:b/>
          <w:color w:val="auto"/>
          <w:sz w:val="36"/>
          <w:szCs w:val="36"/>
          <w:highlight w:val="none"/>
        </w:rPr>
        <w:t>拟签订的合同文本</w:t>
      </w:r>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3"/>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5"/>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5"/>
        <w:spacing w:after="0" w:line="336" w:lineRule="auto"/>
        <w:ind w:left="0" w:leftChars="0"/>
        <w:rPr>
          <w:rFonts w:ascii="仿宋" w:hAnsi="仿宋" w:eastAsia="仿宋" w:cs="仿宋"/>
          <w:color w:val="auto"/>
          <w:szCs w:val="24"/>
          <w:highlight w:val="none"/>
        </w:rPr>
      </w:pPr>
    </w:p>
    <w:p w14:paraId="5B325EE8">
      <w:pPr>
        <w:pStyle w:val="285"/>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3"/>
        <w:rPr>
          <w:rFonts w:ascii="仿宋" w:hAnsi="仿宋" w:eastAsia="仿宋" w:cs="仿宋"/>
          <w:color w:val="auto"/>
          <w:szCs w:val="24"/>
          <w:highlight w:val="none"/>
        </w:rPr>
      </w:pPr>
    </w:p>
    <w:p w14:paraId="0C57EB90">
      <w:pPr>
        <w:pStyle w:val="3"/>
        <w:rPr>
          <w:rFonts w:ascii="仿宋" w:hAnsi="仿宋" w:eastAsia="仿宋" w:cs="仿宋"/>
          <w:color w:val="auto"/>
          <w:szCs w:val="24"/>
          <w:highlight w:val="none"/>
        </w:rPr>
      </w:pPr>
    </w:p>
    <w:p w14:paraId="1184ED14">
      <w:pPr>
        <w:pStyle w:val="3"/>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0"/>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w:t>
      </w:r>
      <w:r>
        <w:rPr>
          <w:rFonts w:hint="eastAsia" w:ascii="仿宋" w:hAnsi="仿宋" w:eastAsia="仿宋"/>
          <w:color w:val="auto"/>
          <w:sz w:val="24"/>
          <w:szCs w:val="24"/>
          <w:highlight w:val="none"/>
          <w:u w:val="single" w:color="000000"/>
        </w:rPr>
        <w:t xml:space="preserve">   （政府采购方式）  </w:t>
      </w:r>
      <w:r>
        <w:rPr>
          <w:rFonts w:hint="eastAsia" w:ascii="仿宋" w:hAnsi="仿宋" w:eastAsia="仿宋"/>
          <w:color w:val="auto"/>
          <w:sz w:val="24"/>
          <w:szCs w:val="24"/>
          <w:highlight w:val="none"/>
        </w:rPr>
        <w:t>对</w:t>
      </w:r>
      <w:r>
        <w:rPr>
          <w:rFonts w:hint="eastAsia" w:ascii="仿宋" w:hAnsi="仿宋" w:eastAsia="仿宋"/>
          <w:color w:val="auto"/>
          <w:sz w:val="24"/>
          <w:szCs w:val="24"/>
          <w:highlight w:val="none"/>
          <w:u w:val="single" w:color="000000"/>
        </w:rPr>
        <w:t xml:space="preserve">  （项目名称）    </w:t>
      </w:r>
      <w:r>
        <w:rPr>
          <w:rFonts w:hint="eastAsia" w:ascii="仿宋" w:hAnsi="仿宋" w:eastAsia="仿宋"/>
          <w:color w:val="auto"/>
          <w:sz w:val="24"/>
          <w:szCs w:val="24"/>
          <w:highlight w:val="none"/>
        </w:rPr>
        <w:t>项目进行了采购。经</w:t>
      </w:r>
      <w:r>
        <w:rPr>
          <w:rFonts w:hint="eastAsia" w:ascii="仿宋" w:hAnsi="仿宋" w:eastAsia="仿宋"/>
          <w:color w:val="auto"/>
          <w:sz w:val="24"/>
          <w:szCs w:val="24"/>
          <w:highlight w:val="none"/>
          <w:u w:val="single" w:color="000000"/>
        </w:rPr>
        <w:t xml:space="preserve">   （相关评定主体名称）   </w:t>
      </w:r>
      <w:r>
        <w:rPr>
          <w:rFonts w:hint="eastAsia" w:ascii="仿宋" w:hAnsi="仿宋" w:eastAsia="仿宋"/>
          <w:color w:val="auto"/>
          <w:sz w:val="24"/>
          <w:szCs w:val="24"/>
          <w:highlight w:val="none"/>
        </w:rPr>
        <w:t>评定，</w:t>
      </w:r>
      <w:r>
        <w:rPr>
          <w:rFonts w:hint="eastAsia" w:ascii="仿宋" w:hAnsi="仿宋" w:eastAsia="仿宋"/>
          <w:color w:val="auto"/>
          <w:sz w:val="24"/>
          <w:szCs w:val="24"/>
          <w:highlight w:val="none"/>
          <w:u w:val="single" w:color="000000"/>
        </w:rPr>
        <w:t xml:space="preserve">   （中标或者成交供应商名称） </w:t>
      </w:r>
      <w:r>
        <w:rPr>
          <w:rFonts w:hint="eastAsia" w:ascii="仿宋" w:hAnsi="仿宋" w:eastAsia="仿宋"/>
          <w:color w:val="auto"/>
          <w:sz w:val="24"/>
          <w:szCs w:val="24"/>
          <w:highlight w:val="none"/>
        </w:rPr>
        <w:t>为该项目</w:t>
      </w:r>
      <w:r>
        <w:rPr>
          <w:rFonts w:hint="eastAsia" w:ascii="仿宋" w:hAnsi="仿宋" w:eastAsia="仿宋"/>
          <w:color w:val="auto"/>
          <w:sz w:val="24"/>
          <w:szCs w:val="24"/>
          <w:highlight w:val="none"/>
          <w:u w:val="single"/>
          <w:lang w:val="en-US" w:eastAsia="zh-CN"/>
        </w:rPr>
        <w:t xml:space="preserve">标项1/2/3        </w:t>
      </w:r>
      <w:r>
        <w:rPr>
          <w:rFonts w:hint="eastAsia" w:ascii="仿宋" w:hAnsi="仿宋" w:eastAsia="仿宋"/>
          <w:color w:val="auto"/>
          <w:sz w:val="24"/>
          <w:szCs w:val="24"/>
          <w:highlight w:val="none"/>
        </w:rPr>
        <w:t>中标或者成交供应商。现于中标通知书发出之日起</w:t>
      </w:r>
      <w:r>
        <w:rPr>
          <w:rFonts w:hint="eastAsia"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rPr>
        <w:t>日内，按照采购文件确定的事项签订本合同。</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根据《中华人民共和国民法典》</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《中华人民共和国政府采购法》等相关法律法规之规定，按照平等、自愿、公平和诚实信用的原则，经</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(以下简称：甲方)和</w:t>
      </w:r>
      <w:r>
        <w:rPr>
          <w:rFonts w:hint="eastAsia" w:ascii="仿宋" w:hAnsi="仿宋" w:eastAsia="仿宋"/>
          <w:color w:val="auto"/>
          <w:sz w:val="24"/>
          <w:szCs w:val="24"/>
          <w:highlight w:val="none"/>
          <w:u w:val="single" w:color="000000"/>
        </w:rPr>
        <w:t xml:space="preserve">   （中或者成交标供应商名称）   </w:t>
      </w:r>
      <w:r>
        <w:rPr>
          <w:rFonts w:hint="eastAsia" w:ascii="仿宋" w:hAnsi="仿宋" w:eastAsia="仿宋"/>
          <w:color w:val="auto"/>
          <w:sz w:val="24"/>
          <w:szCs w:val="24"/>
          <w:highlight w:val="none"/>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rPr>
          <w:color w:val="auto"/>
          <w:highlight w:val="none"/>
        </w:rPr>
      </w:pPr>
      <w:bookmarkStart w:id="74" w:name="_Toc15367"/>
      <w:bookmarkStart w:id="75" w:name="_Toc20421"/>
      <w:bookmarkStart w:id="76" w:name="_Toc28855"/>
      <w:bookmarkStart w:id="77" w:name="_Toc22967"/>
      <w:bookmarkStart w:id="78" w:name="_Toc19273"/>
      <w:r>
        <w:rPr>
          <w:rFonts w:hint="eastAsia" w:ascii="仿宋" w:hAnsi="仿宋" w:eastAsia="仿宋"/>
          <w:b/>
          <w:bCs/>
          <w:color w:val="auto"/>
          <w:sz w:val="24"/>
          <w:szCs w:val="24"/>
          <w:highlight w:val="none"/>
        </w:rPr>
        <w:t>1.合同组成部分</w:t>
      </w:r>
      <w:bookmarkEnd w:id="74"/>
      <w:bookmarkEnd w:id="75"/>
      <w:bookmarkEnd w:id="76"/>
      <w:bookmarkEnd w:id="77"/>
      <w:bookmarkEnd w:id="78"/>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1.5 其他相关采购文件。</w:t>
      </w:r>
    </w:p>
    <w:p w14:paraId="62A0AD4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color w:val="auto"/>
          <w:kern w:val="0"/>
          <w:sz w:val="24"/>
          <w:highlight w:val="none"/>
          <w:lang w:val="en-US" w:eastAsia="zh-CN"/>
        </w:rPr>
        <w:t>2.</w:t>
      </w:r>
      <w:r>
        <w:rPr>
          <w:rFonts w:ascii="仿宋" w:hAnsi="仿宋" w:eastAsia="仿宋"/>
          <w:b/>
          <w:bCs/>
          <w:color w:val="auto"/>
          <w:sz w:val="24"/>
          <w:szCs w:val="24"/>
          <w:highlight w:val="none"/>
        </w:rPr>
        <w:t>标的</w:t>
      </w:r>
    </w:p>
    <w:p w14:paraId="1EEF29F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2.1 服务内容：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w:t>
      </w:r>
    </w:p>
    <w:p w14:paraId="6275FBE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2.2 服务标准：</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详见采购需求</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w:t>
      </w:r>
    </w:p>
    <w:p w14:paraId="3B3E429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2.3 技术保障：</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968CA5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rPr>
          <w:color w:val="auto"/>
          <w:highlight w:val="none"/>
        </w:rPr>
      </w:pPr>
      <w:r>
        <w:rPr>
          <w:rFonts w:hint="eastAsia" w:ascii="仿宋" w:hAnsi="仿宋" w:eastAsia="仿宋"/>
          <w:color w:val="auto"/>
          <w:sz w:val="24"/>
          <w:szCs w:val="24"/>
          <w:highlight w:val="none"/>
        </w:rPr>
        <w:t>2.4 服务人员组成：</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3.</w:t>
      </w:r>
      <w:r>
        <w:rPr>
          <w:rFonts w:ascii="仿宋" w:hAnsi="仿宋" w:eastAsia="仿宋"/>
          <w:b/>
          <w:bCs/>
          <w:color w:val="auto"/>
          <w:sz w:val="24"/>
          <w:szCs w:val="24"/>
          <w:highlight w:val="none"/>
        </w:rPr>
        <w:t>价款</w:t>
      </w:r>
    </w:p>
    <w:p w14:paraId="63264D3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ascii="仿宋" w:hAnsi="仿宋" w:eastAsia="仿宋"/>
          <w:color w:val="auto"/>
          <w:sz w:val="24"/>
          <w:szCs w:val="24"/>
          <w:highlight w:val="none"/>
        </w:rPr>
        <w:t>本项目采用</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单价合同</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auto"/>
          <w:kern w:val="0"/>
          <w:sz w:val="24"/>
          <w:highlight w:val="none"/>
        </w:rPr>
        <w:t>本合同单价（含税）标准为：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元/人</w:t>
      </w:r>
      <w:r>
        <w:rPr>
          <w:rFonts w:hint="eastAsia" w:ascii="仿宋" w:eastAsia="仿宋"/>
          <w:color w:val="auto"/>
          <w:kern w:val="0"/>
          <w:sz w:val="24"/>
          <w:highlight w:val="none"/>
        </w:rPr>
        <w:t>。服务工作量的计量方式为：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按实际人数结算</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。单价合同，在合同履行期间内，根据实际完成的工作量据实结算，但结算总价上限不得超过预算金额或者双方确定的金额￥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8"/>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default" w:ascii="仿宋" w:hAnsi="仿宋" w:eastAsia="仿宋"/>
          <w:b/>
          <w:color w:val="auto"/>
          <w:sz w:val="24"/>
          <w:highlight w:val="none"/>
          <w:lang w:val="en-US"/>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none"/>
          <w:lang w:val="en-US"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eastAsia="zh-CN"/>
        </w:rPr>
        <w:t>否</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w:t>
      </w:r>
      <w:r>
        <w:rPr>
          <w:rFonts w:hint="eastAsia" w:ascii="仿宋" w:hAnsi="仿宋" w:eastAsia="仿宋"/>
          <w:bCs w:val="0"/>
          <w:iCs w:val="0"/>
          <w:color w:val="auto"/>
          <w:sz w:val="24"/>
          <w:szCs w:val="24"/>
          <w:highlight w:val="none"/>
          <w:lang w:eastAsia="zh-CN"/>
        </w:rPr>
        <w:t>预算</w:t>
      </w:r>
      <w:r>
        <w:rPr>
          <w:rFonts w:hint="eastAsia" w:ascii="仿宋" w:hAnsi="仿宋" w:eastAsia="仿宋"/>
          <w:bCs w:val="0"/>
          <w:iCs w:val="0"/>
          <w:color w:val="auto"/>
          <w:sz w:val="24"/>
          <w:szCs w:val="24"/>
          <w:highlight w:val="none"/>
        </w:rPr>
        <w:t>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 xml:space="preserve">/ </w:t>
      </w:r>
      <w:r>
        <w:rPr>
          <w:rFonts w:hint="eastAsia" w:ascii="仿宋" w:hAnsi="仿宋" w:eastAsia="仿宋"/>
          <w:bCs w:val="0"/>
          <w:iCs w:val="0"/>
          <w:color w:val="auto"/>
          <w:sz w:val="24"/>
          <w:szCs w:val="24"/>
          <w:highlight w:val="none"/>
        </w:rPr>
        <w:t>%；</w:t>
      </w:r>
    </w:p>
    <w:p w14:paraId="3879DB5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5"/>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lang w:val="en-US" w:eastAsia="zh-CN"/>
        </w:rPr>
        <w:t>10</w:t>
      </w:r>
      <w:r>
        <w:rPr>
          <w:rFonts w:hint="eastAsia" w:ascii="仿宋" w:hAnsi="仿宋" w:eastAsia="仿宋"/>
          <w:bCs w:val="0"/>
          <w:iCs w:val="0"/>
          <w:color w:val="auto"/>
          <w:sz w:val="24"/>
          <w:szCs w:val="24"/>
          <w:highlight w:val="none"/>
        </w:rPr>
        <w:t>个工作日内将履约保证金无息退还乙方。</w:t>
      </w:r>
    </w:p>
    <w:p w14:paraId="2D5AC17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日。</w:t>
      </w:r>
    </w:p>
    <w:p w14:paraId="1248C4B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lang w:eastAsia="zh-CN"/>
        </w:rPr>
        <w:t>以</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lang w:eastAsia="zh-CN"/>
        </w:rPr>
        <w:t>实际制定</w:t>
      </w:r>
      <w:r>
        <w:rPr>
          <w:rFonts w:hint="eastAsia" w:ascii="仿宋" w:hAnsi="仿宋" w:eastAsia="仿宋"/>
          <w:color w:val="auto"/>
          <w:sz w:val="24"/>
          <w:szCs w:val="24"/>
          <w:highlight w:val="none"/>
          <w:u w:val="single" w:color="000000"/>
        </w:rPr>
        <w:t>的健康休养路线</w:t>
      </w:r>
      <w:r>
        <w:rPr>
          <w:rFonts w:hint="eastAsia" w:ascii="仿宋" w:hAnsi="仿宋" w:eastAsia="仿宋"/>
          <w:color w:val="auto"/>
          <w:sz w:val="24"/>
          <w:szCs w:val="24"/>
          <w:highlight w:val="none"/>
          <w:u w:val="single" w:color="000000"/>
          <w:lang w:eastAsia="zh-CN"/>
        </w:rPr>
        <w:t>为准</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79" w:name="_Toc32454"/>
      <w:bookmarkStart w:id="80" w:name="_Toc9497"/>
      <w:bookmarkStart w:id="81" w:name="_Toc18683"/>
      <w:bookmarkStart w:id="82" w:name="_Toc26807"/>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79"/>
      <w:bookmarkEnd w:id="80"/>
      <w:bookmarkEnd w:id="81"/>
      <w:bookmarkEnd w:id="82"/>
    </w:p>
    <w:p w14:paraId="3BEB0F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076CC270">
      <w:pPr>
        <w:numPr>
          <w:ilvl w:val="0"/>
          <w:numId w:val="0"/>
        </w:numPr>
        <w:kinsoku/>
        <w:overflowPunct/>
        <w:topLinePunct w:val="0"/>
        <w:bidi w:val="0"/>
        <w:adjustRightInd/>
        <w:spacing w:beforeAutospacing="0" w:afterAutospacing="0" w:line="440" w:lineRule="exact"/>
        <w:ind w:left="-200" w:leftChars="0" w:right="-420" w:rightChars="-200" w:firstLine="482" w:firstLineChars="200"/>
        <w:rPr>
          <w:rFonts w:hint="eastAsia" w:ascii="宋体" w:hAnsi="宋体" w:cs="Arial"/>
          <w:b/>
          <w:color w:val="auto"/>
          <w:sz w:val="24"/>
          <w:highlight w:val="none"/>
        </w:rPr>
      </w:pPr>
    </w:p>
    <w:bookmarkEnd w:id="72"/>
    <w:bookmarkEnd w:id="73"/>
    <w:p w14:paraId="756D9F85">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07F1C88E">
      <w:pPr>
        <w:adjustRightInd/>
        <w:spacing w:line="336"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 xml:space="preserve">第五部分  </w:t>
      </w:r>
      <w:bookmarkEnd w:id="63"/>
      <w:bookmarkEnd w:id="64"/>
      <w:bookmarkStart w:id="83" w:name="第四部分"/>
      <w:r>
        <w:rPr>
          <w:rFonts w:hint="eastAsia" w:ascii="仿宋" w:hAnsi="仿宋" w:eastAsia="仿宋" w:cs="仿宋"/>
          <w:b/>
          <w:sz w:val="36"/>
          <w:szCs w:val="36"/>
          <w:highlight w:val="none"/>
        </w:rPr>
        <w:t>评审方法及评审标准</w:t>
      </w:r>
    </w:p>
    <w:p w14:paraId="1E4C4A57">
      <w:pPr>
        <w:spacing w:line="336" w:lineRule="auto"/>
        <w:jc w:val="left"/>
        <w:rPr>
          <w:rFonts w:ascii="仿宋" w:hAnsi="仿宋" w:eastAsia="仿宋" w:cs="仿宋"/>
          <w:b/>
          <w:sz w:val="24"/>
          <w:highlight w:val="none"/>
        </w:rPr>
      </w:pPr>
      <w:r>
        <w:rPr>
          <w:rFonts w:hint="eastAsia" w:ascii="仿宋" w:hAnsi="仿宋" w:eastAsia="仿宋" w:cs="仿宋"/>
          <w:b/>
          <w:sz w:val="24"/>
          <w:highlight w:val="none"/>
        </w:rPr>
        <w:t>1、磋商方法：</w:t>
      </w:r>
    </w:p>
    <w:p w14:paraId="1E4708D9">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1BDD34C3">
      <w:pPr>
        <w:spacing w:line="336" w:lineRule="auto"/>
        <w:ind w:firstLine="472" w:firstLineChars="196"/>
        <w:jc w:val="left"/>
        <w:rPr>
          <w:rFonts w:ascii="仿宋" w:hAnsi="仿宋" w:eastAsia="仿宋" w:cs="仿宋"/>
          <w:b/>
          <w:sz w:val="24"/>
          <w:highlight w:val="none"/>
        </w:rPr>
      </w:pPr>
      <w:r>
        <w:rPr>
          <w:rFonts w:hint="eastAsia" w:ascii="仿宋" w:hAnsi="仿宋" w:eastAsia="仿宋" w:cs="仿宋"/>
          <w:b/>
          <w:sz w:val="24"/>
          <w:highlight w:val="none"/>
        </w:rPr>
        <w:t>1.2采用综合评分法的，提供相同品牌产品且通过资格审查、符合性审查的不同供应商参加同一合同项下磋商的，按一家供应商计算，评审后得分最高的同品牌供应商获得</w:t>
      </w:r>
      <w:r>
        <w:rPr>
          <w:rFonts w:hint="eastAsia" w:ascii="仿宋" w:hAnsi="仿宋" w:eastAsia="仿宋" w:cs="仿宋"/>
          <w:b/>
          <w:sz w:val="24"/>
          <w:highlight w:val="none"/>
          <w:lang w:eastAsia="zh-CN"/>
        </w:rPr>
        <w:t>成交人</w:t>
      </w:r>
      <w:r>
        <w:rPr>
          <w:rFonts w:hint="eastAsia" w:ascii="仿宋" w:hAnsi="仿宋" w:eastAsia="仿宋" w:cs="仿宋"/>
          <w:b/>
          <w:sz w:val="24"/>
          <w:highlight w:val="none"/>
        </w:rPr>
        <w:t>推荐资格；评审得分相同的，由采购人或者采购人委托评标委员会按照磋商文件规定的方式确定一个供应商获得</w:t>
      </w:r>
      <w:r>
        <w:rPr>
          <w:rFonts w:hint="eastAsia" w:ascii="仿宋" w:hAnsi="仿宋" w:eastAsia="仿宋" w:cs="仿宋"/>
          <w:b/>
          <w:sz w:val="24"/>
          <w:highlight w:val="none"/>
          <w:lang w:eastAsia="zh-CN"/>
        </w:rPr>
        <w:t>成交人</w:t>
      </w:r>
      <w:r>
        <w:rPr>
          <w:rFonts w:hint="eastAsia" w:ascii="仿宋" w:hAnsi="仿宋" w:eastAsia="仿宋" w:cs="仿宋"/>
          <w:b/>
          <w:sz w:val="24"/>
          <w:highlight w:val="none"/>
        </w:rPr>
        <w:t>推荐资格，磋商文件未规定的采取随机抽取方式确定，其他同品牌供应商不作为中标候选人。</w:t>
      </w:r>
    </w:p>
    <w:p w14:paraId="53001320">
      <w:pPr>
        <w:spacing w:line="336" w:lineRule="auto"/>
        <w:ind w:firstLine="482" w:firstLineChars="200"/>
        <w:jc w:val="left"/>
        <w:rPr>
          <w:rFonts w:ascii="仿宋" w:hAnsi="仿宋" w:eastAsia="仿宋" w:cs="仿宋"/>
          <w:sz w:val="24"/>
          <w:highlight w:val="none"/>
        </w:rPr>
      </w:pPr>
      <w:r>
        <w:rPr>
          <w:rFonts w:hint="eastAsia" w:ascii="仿宋" w:hAnsi="仿宋" w:eastAsia="仿宋" w:cs="仿宋"/>
          <w:b/>
          <w:sz w:val="24"/>
          <w:highlight w:val="none"/>
        </w:rPr>
        <w:t>非单一产品采购项目，采购人应当根据采购项目技术构成、产品价格比重等合理确定核心产品，并在磋商文件中载明。多家供应商提供的核心产品品牌相同的，按前款规定处理。</w:t>
      </w:r>
    </w:p>
    <w:p w14:paraId="35F42EA2">
      <w:pPr>
        <w:spacing w:line="336"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2.评审标准：</w:t>
      </w:r>
      <w:r>
        <w:rPr>
          <w:rFonts w:hint="eastAsia" w:ascii="仿宋" w:hAnsi="仿宋" w:eastAsia="仿宋" w:cs="仿宋"/>
          <w:sz w:val="24"/>
          <w:highlight w:val="none"/>
        </w:rPr>
        <w:t>共100分，其中商务技术分</w:t>
      </w:r>
      <w:r>
        <w:rPr>
          <w:rFonts w:hint="eastAsia" w:ascii="仿宋" w:hAnsi="仿宋" w:eastAsia="仿宋" w:cs="仿宋"/>
          <w:sz w:val="24"/>
          <w:highlight w:val="none"/>
          <w:u w:val="single"/>
          <w:lang w:val="en-US" w:eastAsia="zh-CN"/>
        </w:rPr>
        <w:t>90</w:t>
      </w:r>
      <w:r>
        <w:rPr>
          <w:rFonts w:hint="eastAsia" w:ascii="仿宋" w:hAnsi="仿宋" w:eastAsia="仿宋" w:cs="仿宋"/>
          <w:sz w:val="24"/>
          <w:highlight w:val="none"/>
        </w:rPr>
        <w:t>分，价格分</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rPr>
        <w:t>分。评分依下述所列为评审打分依据，分值如下（计算分值时，按其算术平均值保留小数2位）。</w:t>
      </w:r>
    </w:p>
    <w:p w14:paraId="486CC89C">
      <w:pPr>
        <w:spacing w:line="336" w:lineRule="auto"/>
        <w:ind w:firstLine="482" w:firstLineChars="200"/>
        <w:rPr>
          <w:rFonts w:hint="eastAsia" w:ascii="仿宋" w:hAnsi="仿宋" w:eastAsia="仿宋" w:cs="仿宋"/>
          <w:b/>
          <w:bCs/>
          <w:iCs/>
          <w:sz w:val="24"/>
          <w:highlight w:val="none"/>
        </w:rPr>
      </w:pPr>
      <w:r>
        <w:rPr>
          <w:rFonts w:hint="eastAsia" w:ascii="仿宋" w:hAnsi="仿宋" w:eastAsia="仿宋" w:cs="仿宋"/>
          <w:b/>
          <w:bCs/>
          <w:iCs/>
          <w:sz w:val="24"/>
          <w:highlight w:val="none"/>
        </w:rPr>
        <w:t>2.1商务技术分（</w:t>
      </w:r>
      <w:r>
        <w:rPr>
          <w:rFonts w:hint="eastAsia" w:ascii="仿宋" w:hAnsi="仿宋" w:eastAsia="仿宋" w:cs="仿宋"/>
          <w:b/>
          <w:bCs/>
          <w:iCs/>
          <w:sz w:val="24"/>
          <w:highlight w:val="none"/>
          <w:u w:val="single"/>
          <w:lang w:val="en-US" w:eastAsia="zh-CN"/>
        </w:rPr>
        <w:t>90</w:t>
      </w:r>
      <w:r>
        <w:rPr>
          <w:rFonts w:hint="eastAsia" w:ascii="仿宋" w:hAnsi="仿宋" w:eastAsia="仿宋" w:cs="仿宋"/>
          <w:b/>
          <w:bCs/>
          <w:iCs/>
          <w:sz w:val="24"/>
          <w:highlight w:val="none"/>
        </w:rPr>
        <w:t>分）</w:t>
      </w:r>
    </w:p>
    <w:p w14:paraId="313C86DC">
      <w:pPr>
        <w:spacing w:line="336" w:lineRule="auto"/>
        <w:ind w:firstLine="482" w:firstLineChars="200"/>
        <w:rPr>
          <w:rFonts w:hint="eastAsia" w:ascii="仿宋" w:hAnsi="仿宋" w:eastAsia="仿宋" w:cs="仿宋"/>
          <w:b/>
          <w:bCs/>
          <w:iCs/>
          <w:sz w:val="24"/>
          <w:highlight w:val="none"/>
          <w:lang w:eastAsia="zh-CN"/>
        </w:rPr>
      </w:pPr>
      <w:r>
        <w:rPr>
          <w:rFonts w:hint="eastAsia" w:ascii="仿宋" w:hAnsi="仿宋" w:eastAsia="仿宋" w:cs="仿宋"/>
          <w:b/>
          <w:bCs/>
          <w:iCs/>
          <w:sz w:val="24"/>
          <w:highlight w:val="none"/>
          <w:lang w:eastAsia="zh-CN"/>
        </w:rPr>
        <w:t>（标项一、二、三）</w:t>
      </w:r>
    </w:p>
    <w:tbl>
      <w:tblPr>
        <w:tblStyle w:val="63"/>
        <w:tblW w:w="911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496"/>
        <w:gridCol w:w="5818"/>
        <w:gridCol w:w="1026"/>
      </w:tblGrid>
      <w:tr w14:paraId="6AD8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70" w:type="dxa"/>
            <w:vAlign w:val="center"/>
          </w:tcPr>
          <w:p w14:paraId="5B668CAC">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sz w:val="24"/>
                <w:szCs w:val="24"/>
                <w:highlight w:val="none"/>
                <w:lang w:val="zh-CN"/>
              </w:rPr>
              <w:t>序号</w:t>
            </w:r>
          </w:p>
        </w:tc>
        <w:tc>
          <w:tcPr>
            <w:tcW w:w="1496" w:type="dxa"/>
            <w:vAlign w:val="center"/>
          </w:tcPr>
          <w:p w14:paraId="37F97E1F">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sz w:val="24"/>
                <w:szCs w:val="24"/>
                <w:highlight w:val="none"/>
                <w:lang w:val="zh-CN"/>
              </w:rPr>
              <w:t>评分因素</w:t>
            </w:r>
          </w:p>
        </w:tc>
        <w:tc>
          <w:tcPr>
            <w:tcW w:w="5818" w:type="dxa"/>
            <w:vAlign w:val="center"/>
          </w:tcPr>
          <w:p w14:paraId="1421049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仿宋" w:hAnsi="仿宋" w:eastAsia="仿宋" w:cs="仿宋"/>
                <w:b/>
                <w:bCs/>
                <w:kern w:val="2"/>
                <w:sz w:val="24"/>
                <w:szCs w:val="24"/>
                <w:highlight w:val="none"/>
                <w:lang w:val="zh-CN" w:eastAsia="zh-CN" w:bidi="ar-SA"/>
              </w:rPr>
            </w:pPr>
            <w:r>
              <w:rPr>
                <w:rFonts w:hint="eastAsia" w:ascii="仿宋" w:hAnsi="仿宋" w:eastAsia="仿宋" w:cs="仿宋"/>
                <w:b/>
                <w:bCs/>
                <w:sz w:val="24"/>
                <w:szCs w:val="24"/>
                <w:highlight w:val="none"/>
                <w:lang w:val="zh-CN"/>
              </w:rPr>
              <w:t>评分标准</w:t>
            </w:r>
          </w:p>
        </w:tc>
        <w:tc>
          <w:tcPr>
            <w:tcW w:w="1026" w:type="dxa"/>
            <w:vAlign w:val="center"/>
          </w:tcPr>
          <w:p w14:paraId="71D5FAF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分值</w:t>
            </w:r>
          </w:p>
        </w:tc>
      </w:tr>
      <w:tr w14:paraId="2E1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70" w:type="dxa"/>
            <w:vAlign w:val="center"/>
          </w:tcPr>
          <w:p w14:paraId="1433D161">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1</w:t>
            </w:r>
          </w:p>
        </w:tc>
        <w:tc>
          <w:tcPr>
            <w:tcW w:w="1496" w:type="dxa"/>
            <w:vAlign w:val="center"/>
          </w:tcPr>
          <w:p w14:paraId="15C012D8">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b w:val="0"/>
                <w:bCs w:val="0"/>
                <w:kern w:val="2"/>
                <w:sz w:val="24"/>
                <w:szCs w:val="24"/>
                <w:highlight w:val="none"/>
                <w:lang w:val="en-US" w:eastAsia="zh-CN" w:bidi="ar-SA"/>
              </w:rPr>
              <w:t>企业实力</w:t>
            </w:r>
          </w:p>
        </w:tc>
        <w:tc>
          <w:tcPr>
            <w:tcW w:w="5818" w:type="dxa"/>
            <w:vAlign w:val="center"/>
          </w:tcPr>
          <w:p w14:paraId="6D37DF4A">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磋商响应方被主管部门评定为星级品质旅行社等级为2星级的得1分，3星级的得2分，4星级及以上的得3分，提供证书或相关证明文件扫描件加盖CA签章。</w:t>
            </w:r>
          </w:p>
        </w:tc>
        <w:tc>
          <w:tcPr>
            <w:tcW w:w="1026" w:type="dxa"/>
            <w:vAlign w:val="center"/>
          </w:tcPr>
          <w:p w14:paraId="1FEBFB72">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r>
      <w:tr w14:paraId="3E55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70" w:type="dxa"/>
            <w:vAlign w:val="center"/>
          </w:tcPr>
          <w:p w14:paraId="76FF409A">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2</w:t>
            </w:r>
          </w:p>
        </w:tc>
        <w:tc>
          <w:tcPr>
            <w:tcW w:w="1496" w:type="dxa"/>
            <w:vAlign w:val="center"/>
          </w:tcPr>
          <w:p w14:paraId="5EC9CE38">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内部管理</w:t>
            </w:r>
          </w:p>
        </w:tc>
        <w:tc>
          <w:tcPr>
            <w:tcW w:w="5818" w:type="dxa"/>
            <w:vAlign w:val="center"/>
          </w:tcPr>
          <w:p w14:paraId="24B9E02F">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岗位管理制度、组织架构、服务流程情况</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sz w:val="24"/>
                <w:szCs w:val="24"/>
                <w:highlight w:val="none"/>
                <w:lang w:val="zh-CN"/>
              </w:rPr>
              <w:t>（评分分值范围：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,0）</w:t>
            </w:r>
          </w:p>
        </w:tc>
        <w:tc>
          <w:tcPr>
            <w:tcW w:w="1026" w:type="dxa"/>
            <w:vAlign w:val="center"/>
          </w:tcPr>
          <w:p w14:paraId="4411AC34">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r>
      <w:tr w14:paraId="3D68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70" w:type="dxa"/>
            <w:vAlign w:val="center"/>
          </w:tcPr>
          <w:p w14:paraId="228ADC40">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3</w:t>
            </w:r>
          </w:p>
        </w:tc>
        <w:tc>
          <w:tcPr>
            <w:tcW w:w="1496" w:type="dxa"/>
            <w:vAlign w:val="center"/>
          </w:tcPr>
          <w:p w14:paraId="204DB3AB">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rPr>
            </w:pPr>
            <w:r>
              <w:rPr>
                <w:rFonts w:hint="eastAsia" w:ascii="仿宋" w:hAnsi="仿宋" w:eastAsia="仿宋" w:cs="仿宋"/>
                <w:b w:val="0"/>
                <w:bCs w:val="0"/>
                <w:color w:val="auto"/>
                <w:sz w:val="24"/>
                <w:szCs w:val="24"/>
                <w:highlight w:val="none"/>
              </w:rPr>
              <w:t>同类业绩</w:t>
            </w:r>
          </w:p>
        </w:tc>
        <w:tc>
          <w:tcPr>
            <w:tcW w:w="5818" w:type="dxa"/>
            <w:vAlign w:val="center"/>
          </w:tcPr>
          <w:p w14:paraId="2F6F8078">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sz w:val="24"/>
                <w:szCs w:val="24"/>
                <w:highlight w:val="none"/>
                <w:vertAlign w:val="baseline"/>
              </w:rPr>
            </w:pP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en-US" w:eastAsia="zh-CN"/>
              </w:rPr>
              <w:t>2022年3月1日-至今（以合同签订时间为准）</w:t>
            </w:r>
            <w:r>
              <w:rPr>
                <w:rFonts w:hint="eastAsia" w:ascii="仿宋" w:hAnsi="仿宋" w:eastAsia="仿宋" w:cs="仿宋"/>
                <w:color w:val="auto"/>
                <w:sz w:val="24"/>
                <w:szCs w:val="24"/>
                <w:highlight w:val="none"/>
              </w:rPr>
              <w:t>具有同类项目业绩的每提供一份得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分，提供合同扫描件加盖CA签章。</w:t>
            </w:r>
          </w:p>
        </w:tc>
        <w:tc>
          <w:tcPr>
            <w:tcW w:w="1026" w:type="dxa"/>
            <w:vAlign w:val="center"/>
          </w:tcPr>
          <w:p w14:paraId="40A43565">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r>
      <w:tr w14:paraId="3244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0" w:type="dxa"/>
            <w:vMerge w:val="restart"/>
            <w:vAlign w:val="center"/>
          </w:tcPr>
          <w:p w14:paraId="4B3264C2">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1496" w:type="dxa"/>
            <w:vMerge w:val="restart"/>
            <w:vAlign w:val="center"/>
          </w:tcPr>
          <w:p w14:paraId="093EF4FA">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人员安排</w:t>
            </w:r>
          </w:p>
        </w:tc>
        <w:tc>
          <w:tcPr>
            <w:tcW w:w="5818" w:type="dxa"/>
            <w:vAlign w:val="center"/>
          </w:tcPr>
          <w:p w14:paraId="00A3AC28">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拟派本项目的项目负责人的专业素质、技术能力、经验以及调动各项资源的能力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w:t>
            </w:r>
          </w:p>
          <w:p w14:paraId="0C357E85">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提供相关证明材料</w:t>
            </w:r>
            <w:r>
              <w:rPr>
                <w:rFonts w:hint="eastAsia" w:ascii="仿宋" w:hAnsi="仿宋" w:eastAsia="仿宋" w:cs="仿宋"/>
                <w:color w:val="auto"/>
                <w:sz w:val="24"/>
                <w:szCs w:val="24"/>
                <w:highlight w:val="none"/>
                <w:lang w:val="zh-CN"/>
              </w:rPr>
              <w:t>及供应商为其缴纳的近3个月社保证明扫描件加盖CA签章。</w:t>
            </w:r>
          </w:p>
        </w:tc>
        <w:tc>
          <w:tcPr>
            <w:tcW w:w="1026" w:type="dxa"/>
            <w:vAlign w:val="center"/>
          </w:tcPr>
          <w:p w14:paraId="19B7C442">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r>
      <w:tr w14:paraId="2395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70" w:type="dxa"/>
            <w:vMerge w:val="continue"/>
            <w:vAlign w:val="center"/>
          </w:tcPr>
          <w:p w14:paraId="7C8C0140">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p>
        </w:tc>
        <w:tc>
          <w:tcPr>
            <w:tcW w:w="1496" w:type="dxa"/>
            <w:vMerge w:val="continue"/>
            <w:vAlign w:val="center"/>
          </w:tcPr>
          <w:p w14:paraId="3DF885BD">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p>
        </w:tc>
        <w:tc>
          <w:tcPr>
            <w:tcW w:w="5818" w:type="dxa"/>
          </w:tcPr>
          <w:p w14:paraId="48797B40">
            <w:pPr>
              <w:keepNext w:val="0"/>
              <w:keepLines w:val="0"/>
              <w:pageBreakBefore w:val="0"/>
              <w:widowControl w:val="0"/>
              <w:kinsoku/>
              <w:wordWrap/>
              <w:overflowPunct/>
              <w:topLinePunct w:val="0"/>
              <w:bidi w:val="0"/>
              <w:snapToGrid/>
              <w:spacing w:line="400" w:lineRule="exac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拟投入本项目导游（除项目负责人外）：</w:t>
            </w:r>
          </w:p>
          <w:p w14:paraId="39F5407B">
            <w:pPr>
              <w:keepNext w:val="0"/>
              <w:keepLines w:val="0"/>
              <w:pageBreakBefore w:val="0"/>
              <w:widowControl w:val="0"/>
              <w:kinsoku/>
              <w:wordWrap/>
              <w:overflowPunct/>
              <w:topLinePunct w:val="0"/>
              <w:bidi w:val="0"/>
              <w:snapToGrid/>
              <w:spacing w:line="400" w:lineRule="exac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①具有高级导游证的每人得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4658D3D8">
            <w:pPr>
              <w:keepNext w:val="0"/>
              <w:keepLines w:val="0"/>
              <w:pageBreakBefore w:val="0"/>
              <w:widowControl w:val="0"/>
              <w:kinsoku/>
              <w:wordWrap/>
              <w:overflowPunct/>
              <w:topLinePunct w:val="0"/>
              <w:bidi w:val="0"/>
              <w:snapToGrid/>
              <w:spacing w:line="400" w:lineRule="exac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②具有中级导游证的每人得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分；</w:t>
            </w:r>
          </w:p>
          <w:p w14:paraId="539416A6">
            <w:pPr>
              <w:keepNext w:val="0"/>
              <w:keepLines w:val="0"/>
              <w:pageBreakBefore w:val="0"/>
              <w:widowControl w:val="0"/>
              <w:kinsoku/>
              <w:wordWrap/>
              <w:overflowPunct/>
              <w:topLinePunct w:val="0"/>
              <w:bidi w:val="0"/>
              <w:snapToGrid/>
              <w:spacing w:line="400" w:lineRule="exac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③具有初级导游证的每人得1分；</w:t>
            </w:r>
          </w:p>
          <w:p w14:paraId="36D669CB">
            <w:pPr>
              <w:keepNext w:val="0"/>
              <w:keepLines w:val="0"/>
              <w:pageBreakBefore w:val="0"/>
              <w:widowControl w:val="0"/>
              <w:kinsoku/>
              <w:wordWrap/>
              <w:overflowPunct/>
              <w:topLinePunct w:val="0"/>
              <w:bidi w:val="0"/>
              <w:snapToGrid/>
              <w:spacing w:line="400" w:lineRule="exac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注：同一人的导游按级别最高的得分，不累计得分。提供有效期内的导游证书复印件及供应商为其缴纳的近3个月社保证明扫描件加盖CA签章。</w:t>
            </w:r>
          </w:p>
        </w:tc>
        <w:tc>
          <w:tcPr>
            <w:tcW w:w="1026" w:type="dxa"/>
            <w:vAlign w:val="center"/>
          </w:tcPr>
          <w:p w14:paraId="4EC67345">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w:t>
            </w:r>
          </w:p>
        </w:tc>
      </w:tr>
      <w:tr w14:paraId="6F43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770" w:type="dxa"/>
            <w:vAlign w:val="center"/>
          </w:tcPr>
          <w:p w14:paraId="24B2C8CA">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5</w:t>
            </w:r>
          </w:p>
        </w:tc>
        <w:tc>
          <w:tcPr>
            <w:tcW w:w="1496" w:type="dxa"/>
            <w:vAlign w:val="center"/>
          </w:tcPr>
          <w:p w14:paraId="070C63D5">
            <w:pPr>
              <w:keepNext w:val="0"/>
              <w:keepLines w:val="0"/>
              <w:pageBreakBefore w:val="0"/>
              <w:widowControl w:val="0"/>
              <w:kinsoku/>
              <w:wordWrap/>
              <w:overflowPunct/>
              <w:topLinePunct w:val="0"/>
              <w:autoSpaceDE w:val="0"/>
              <w:autoSpaceDN w:val="0"/>
              <w:bidi w:val="0"/>
              <w:adjustRightInd w:val="0"/>
              <w:snapToGrid/>
              <w:spacing w:line="400" w:lineRule="exact"/>
              <w:ind w:left="105" w:leftChars="50" w:right="105" w:rightChars="50"/>
              <w:jc w:val="center"/>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健康</w:t>
            </w:r>
            <w:r>
              <w:rPr>
                <w:rFonts w:hint="eastAsia" w:ascii="仿宋" w:hAnsi="仿宋" w:eastAsia="仿宋" w:cs="仿宋"/>
                <w:b w:val="0"/>
                <w:bCs w:val="0"/>
                <w:sz w:val="24"/>
                <w:szCs w:val="24"/>
                <w:highlight w:val="none"/>
                <w:lang w:val="zh-CN"/>
              </w:rPr>
              <w:t>休养路线安排</w:t>
            </w:r>
            <w:r>
              <w:rPr>
                <w:rFonts w:hint="eastAsia" w:ascii="仿宋" w:hAnsi="仿宋" w:eastAsia="仿宋" w:cs="仿宋"/>
                <w:b w:val="0"/>
                <w:bCs w:val="0"/>
                <w:sz w:val="24"/>
                <w:szCs w:val="24"/>
                <w:highlight w:val="none"/>
                <w:lang w:val="zh-CN" w:eastAsia="zh-CN"/>
              </w:rPr>
              <w:t>（以标项一：云南线</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eastAsia="zh-CN"/>
              </w:rPr>
              <w:t>、标项二：东北线、标项三：广西线为例）</w:t>
            </w:r>
          </w:p>
          <w:p w14:paraId="5CE24C58">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rPr>
            </w:pPr>
          </w:p>
        </w:tc>
        <w:tc>
          <w:tcPr>
            <w:tcW w:w="5818" w:type="dxa"/>
          </w:tcPr>
          <w:p w14:paraId="4061677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sz w:val="24"/>
                <w:szCs w:val="24"/>
                <w:highlight w:val="none"/>
                <w:lang w:val="en-US" w:eastAsia="zh-CN"/>
              </w:rPr>
              <w:t>健康</w:t>
            </w:r>
            <w:r>
              <w:rPr>
                <w:rFonts w:hint="eastAsia" w:ascii="仿宋" w:hAnsi="仿宋" w:eastAsia="仿宋" w:cs="仿宋"/>
                <w:color w:val="auto"/>
                <w:sz w:val="24"/>
                <w:szCs w:val="24"/>
                <w:highlight w:val="none"/>
                <w:lang w:val="zh-CN"/>
              </w:rPr>
              <w:t>休养路线及人均标准进行方案设计，由评委</w:t>
            </w:r>
            <w:r>
              <w:rPr>
                <w:rFonts w:hint="eastAsia" w:ascii="仿宋" w:hAnsi="仿宋" w:eastAsia="仿宋" w:cs="仿宋"/>
                <w:color w:val="auto"/>
                <w:sz w:val="24"/>
                <w:szCs w:val="24"/>
                <w:highlight w:val="none"/>
                <w:lang w:val="en-US" w:eastAsia="zh-CN"/>
              </w:rPr>
              <w:t>进行综合评分：</w:t>
            </w:r>
          </w:p>
          <w:p w14:paraId="5944890C">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240" w:firstLineChars="100"/>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线路设计合理性</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w:t>
            </w:r>
          </w:p>
          <w:p w14:paraId="2E880B5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240" w:firstLineChars="100"/>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体现休养理念</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w:t>
            </w:r>
          </w:p>
          <w:p w14:paraId="37EC49B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240" w:firstLineChars="100"/>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设计内容有创新理念</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w:t>
            </w:r>
          </w:p>
          <w:p w14:paraId="125C96BE">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240" w:firstLineChars="100"/>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线路设计，服务项目明确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default" w:ascii="Arial" w:hAnsi="Arial" w:eastAsia="仿宋" w:cs="Arial"/>
                <w:color w:val="auto"/>
                <w:sz w:val="24"/>
                <w:szCs w:val="24"/>
                <w:highlight w:val="none"/>
              </w:rPr>
              <w:t>…</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zh-CN"/>
              </w:rPr>
              <w:t>；</w:t>
            </w:r>
          </w:p>
          <w:p w14:paraId="7BAF67BF">
            <w:pPr>
              <w:keepNext w:val="0"/>
              <w:keepLines w:val="0"/>
              <w:pageBreakBefore w:val="0"/>
              <w:widowControl w:val="0"/>
              <w:kinsoku/>
              <w:wordWrap/>
              <w:overflowPunct/>
              <w:topLinePunct w:val="0"/>
              <w:bidi w:val="0"/>
              <w:snapToGrid/>
              <w:spacing w:line="400" w:lineRule="exact"/>
              <w:textAlignment w:val="auto"/>
              <w:outlineLvl w:val="9"/>
              <w:rPr>
                <w:rFonts w:hint="eastAsia" w:ascii="仿宋" w:hAnsi="仿宋" w:eastAsia="仿宋" w:cs="仿宋"/>
                <w:sz w:val="24"/>
                <w:szCs w:val="24"/>
                <w:highlight w:val="none"/>
                <w:vertAlign w:val="baseline"/>
              </w:rPr>
            </w:pPr>
            <w:r>
              <w:rPr>
                <w:rFonts w:hint="eastAsia" w:ascii="仿宋" w:hAnsi="仿宋" w:eastAsia="仿宋" w:cs="仿宋"/>
                <w:color w:val="auto"/>
                <w:sz w:val="24"/>
                <w:szCs w:val="24"/>
                <w:highlight w:val="none"/>
                <w:lang w:val="zh-CN"/>
              </w:rPr>
              <w:t>景点安排：至少包括</w:t>
            </w:r>
            <w:r>
              <w:rPr>
                <w:rFonts w:hint="eastAsia" w:ascii="仿宋" w:hAnsi="仿宋" w:eastAsia="仿宋" w:cs="仿宋"/>
                <w:color w:val="auto"/>
                <w:sz w:val="24"/>
                <w:szCs w:val="24"/>
                <w:highlight w:val="none"/>
              </w:rPr>
              <w:t>招标文件中主要景点</w:t>
            </w:r>
            <w:r>
              <w:rPr>
                <w:rFonts w:hint="eastAsia" w:ascii="仿宋" w:hAnsi="仿宋" w:eastAsia="仿宋" w:cs="仿宋"/>
                <w:color w:val="auto"/>
                <w:sz w:val="24"/>
                <w:szCs w:val="24"/>
                <w:highlight w:val="none"/>
                <w:lang w:val="zh-CN"/>
              </w:rPr>
              <w:t>，当天各景点距离不宜过远，吃饭、住宿、景点之间也不宜过远，以舒适休闲游为主，标明各景点档次、景点之间的车程时间，根据景点安排的合理性等情况综合打分。方案中应包含日程安排、景点选择、服务标准、服务内容、注意事项</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val="zh-CN"/>
              </w:rPr>
              <w:t>。</w:t>
            </w:r>
          </w:p>
        </w:tc>
        <w:tc>
          <w:tcPr>
            <w:tcW w:w="1026" w:type="dxa"/>
            <w:vAlign w:val="center"/>
          </w:tcPr>
          <w:p w14:paraId="44486558">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w:t>
            </w:r>
          </w:p>
        </w:tc>
      </w:tr>
      <w:tr w14:paraId="4877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70" w:type="dxa"/>
            <w:vAlign w:val="center"/>
          </w:tcPr>
          <w:p w14:paraId="3D89A9C6">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6</w:t>
            </w:r>
          </w:p>
        </w:tc>
        <w:tc>
          <w:tcPr>
            <w:tcW w:w="1496" w:type="dxa"/>
            <w:vAlign w:val="center"/>
          </w:tcPr>
          <w:p w14:paraId="46BF7C83">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rPr>
            </w:pPr>
            <w:r>
              <w:rPr>
                <w:rFonts w:hint="eastAsia" w:ascii="仿宋" w:hAnsi="仿宋" w:eastAsia="仿宋" w:cs="仿宋"/>
                <w:b w:val="0"/>
                <w:bCs w:val="0"/>
                <w:sz w:val="24"/>
                <w:szCs w:val="24"/>
                <w:highlight w:val="none"/>
                <w:lang w:val="zh-CN"/>
              </w:rPr>
              <w:t>住宿</w:t>
            </w:r>
          </w:p>
        </w:tc>
        <w:tc>
          <w:tcPr>
            <w:tcW w:w="5818" w:type="dxa"/>
            <w:vAlign w:val="center"/>
          </w:tcPr>
          <w:p w14:paraId="1AA978A7">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sz w:val="24"/>
                <w:szCs w:val="24"/>
                <w:highlight w:val="none"/>
                <w:vertAlign w:val="baseline"/>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拟住宿酒店安排（须标明酒店星级、</w:t>
            </w:r>
            <w:r>
              <w:rPr>
                <w:rFonts w:hint="eastAsia" w:ascii="仿宋" w:hAnsi="仿宋" w:eastAsia="仿宋" w:cs="仿宋"/>
                <w:bCs/>
                <w:iCs/>
                <w:color w:val="auto"/>
                <w:sz w:val="24"/>
                <w:szCs w:val="24"/>
                <w:highlight w:val="none"/>
                <w:lang w:val="zh-CN" w:eastAsia="zh-CN"/>
              </w:rPr>
              <w:t>交通条件、</w:t>
            </w:r>
            <w:r>
              <w:rPr>
                <w:rFonts w:hint="eastAsia" w:ascii="仿宋" w:hAnsi="仿宋" w:eastAsia="仿宋" w:cs="仿宋"/>
                <w:color w:val="auto"/>
                <w:sz w:val="24"/>
                <w:szCs w:val="24"/>
                <w:highlight w:val="none"/>
                <w:lang w:val="zh-CN"/>
              </w:rPr>
              <w:t>酒店环境、</w:t>
            </w:r>
            <w:r>
              <w:rPr>
                <w:rFonts w:hint="eastAsia" w:ascii="仿宋" w:hAnsi="仿宋" w:eastAsia="仿宋" w:cs="仿宋"/>
                <w:bCs/>
                <w:iCs/>
                <w:color w:val="auto"/>
                <w:sz w:val="24"/>
                <w:szCs w:val="24"/>
                <w:highlight w:val="none"/>
                <w:lang w:val="zh-CN" w:eastAsia="zh-CN"/>
              </w:rPr>
              <w:t>酒店位置</w:t>
            </w:r>
            <w:r>
              <w:rPr>
                <w:rFonts w:hint="eastAsia" w:ascii="仿宋" w:hAnsi="仿宋" w:eastAsia="仿宋" w:cs="仿宋"/>
                <w:bCs/>
                <w:iCs/>
                <w:color w:val="auto"/>
                <w:sz w:val="24"/>
                <w:szCs w:val="24"/>
                <w:highlight w:val="none"/>
                <w:lang w:val="en-US" w:eastAsia="zh-CN"/>
              </w:rPr>
              <w:t>等</w:t>
            </w:r>
            <w:r>
              <w:rPr>
                <w:rFonts w:hint="eastAsia" w:ascii="仿宋" w:hAnsi="仿宋" w:eastAsia="仿宋" w:cs="仿宋"/>
                <w:color w:val="auto"/>
                <w:sz w:val="24"/>
                <w:szCs w:val="24"/>
                <w:highlight w:val="none"/>
                <w:lang w:val="zh-CN"/>
              </w:rPr>
              <w:t>）的合理性打分</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highlight w:val="none"/>
                <w:lang w:val="zh-CN"/>
              </w:rPr>
              <w:t>（评分分值范围：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9.5</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,0）</w:t>
            </w:r>
          </w:p>
        </w:tc>
        <w:tc>
          <w:tcPr>
            <w:tcW w:w="1026" w:type="dxa"/>
            <w:vAlign w:val="center"/>
          </w:tcPr>
          <w:p w14:paraId="4C811EB1">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r>
      <w:tr w14:paraId="30C4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70" w:type="dxa"/>
            <w:tcBorders>
              <w:bottom w:val="single" w:color="auto" w:sz="4" w:space="0"/>
            </w:tcBorders>
            <w:vAlign w:val="center"/>
          </w:tcPr>
          <w:p w14:paraId="441EBE66">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7</w:t>
            </w:r>
          </w:p>
        </w:tc>
        <w:tc>
          <w:tcPr>
            <w:tcW w:w="1496" w:type="dxa"/>
            <w:tcBorders>
              <w:bottom w:val="single" w:color="auto" w:sz="4" w:space="0"/>
            </w:tcBorders>
            <w:vAlign w:val="center"/>
          </w:tcPr>
          <w:p w14:paraId="556B8529">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zh-CN"/>
              </w:rPr>
              <w:t>餐饮</w:t>
            </w:r>
          </w:p>
        </w:tc>
        <w:tc>
          <w:tcPr>
            <w:tcW w:w="5818" w:type="dxa"/>
            <w:tcBorders>
              <w:bottom w:val="single" w:color="auto" w:sz="4" w:space="0"/>
            </w:tcBorders>
            <w:vAlign w:val="center"/>
          </w:tcPr>
          <w:p w14:paraId="1146CD56">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zh-CN"/>
              </w:rPr>
              <w:t>根据磋商响应方拟安排就餐及餐标的安排，提供餐厅照片、餐厅环境介绍、菜谱标准介绍、餐厅特色服务等合理性和有效性，进行打分。（评分分值范围：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9.5</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,0）</w:t>
            </w:r>
          </w:p>
        </w:tc>
        <w:tc>
          <w:tcPr>
            <w:tcW w:w="1026" w:type="dxa"/>
            <w:tcBorders>
              <w:bottom w:val="single" w:color="auto" w:sz="4" w:space="0"/>
            </w:tcBorders>
            <w:vAlign w:val="center"/>
          </w:tcPr>
          <w:p w14:paraId="0782BDFA">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r>
      <w:tr w14:paraId="6CF3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vAlign w:val="center"/>
          </w:tcPr>
          <w:p w14:paraId="612810A0">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8</w:t>
            </w:r>
          </w:p>
        </w:tc>
        <w:tc>
          <w:tcPr>
            <w:tcW w:w="1496" w:type="dxa"/>
            <w:tcBorders>
              <w:top w:val="single" w:color="auto" w:sz="4" w:space="0"/>
              <w:left w:val="single" w:color="auto" w:sz="4" w:space="0"/>
              <w:bottom w:val="single" w:color="auto" w:sz="4" w:space="0"/>
              <w:right w:val="single" w:color="auto" w:sz="4" w:space="0"/>
            </w:tcBorders>
            <w:vAlign w:val="center"/>
          </w:tcPr>
          <w:p w14:paraId="465C4C64">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lang w:val="zh-CN" w:eastAsia="zh-CN" w:bidi="ar-SA"/>
              </w:rPr>
            </w:pPr>
            <w:r>
              <w:rPr>
                <w:rFonts w:hint="eastAsia" w:ascii="仿宋" w:hAnsi="仿宋" w:eastAsia="仿宋" w:cs="仿宋"/>
                <w:sz w:val="24"/>
                <w:szCs w:val="24"/>
                <w:highlight w:val="none"/>
                <w:lang w:val="zh-CN"/>
              </w:rPr>
              <w:t>旅游意外险</w:t>
            </w:r>
          </w:p>
        </w:tc>
        <w:tc>
          <w:tcPr>
            <w:tcW w:w="5818" w:type="dxa"/>
            <w:tcBorders>
              <w:top w:val="single" w:color="auto" w:sz="4" w:space="0"/>
              <w:left w:val="single" w:color="auto" w:sz="4" w:space="0"/>
              <w:bottom w:val="single" w:color="auto" w:sz="4" w:space="0"/>
              <w:right w:val="single" w:color="auto" w:sz="4" w:space="0"/>
            </w:tcBorders>
            <w:vAlign w:val="center"/>
          </w:tcPr>
          <w:p w14:paraId="3C8BE5A3">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磋商响应方为各参加疗休养职工投保人身意外险保额在满足招标文件的基础上（每人100万元）每增加10万加1分，本项最高得3分。</w:t>
            </w:r>
          </w:p>
          <w:p w14:paraId="08696781">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提供相关承诺扫描件并加盖CA签章。</w:t>
            </w:r>
          </w:p>
        </w:tc>
        <w:tc>
          <w:tcPr>
            <w:tcW w:w="1026" w:type="dxa"/>
            <w:tcBorders>
              <w:top w:val="single" w:color="auto" w:sz="4" w:space="0"/>
              <w:left w:val="single" w:color="auto" w:sz="4" w:space="0"/>
              <w:bottom w:val="single" w:color="auto" w:sz="4" w:space="0"/>
              <w:right w:val="single" w:color="auto" w:sz="4" w:space="0"/>
            </w:tcBorders>
            <w:vAlign w:val="center"/>
          </w:tcPr>
          <w:p w14:paraId="69719392">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3</w:t>
            </w:r>
          </w:p>
        </w:tc>
      </w:tr>
    </w:tbl>
    <w:tbl>
      <w:tblPr>
        <w:tblStyle w:val="62"/>
        <w:tblW w:w="9110" w:type="dxa"/>
        <w:tblInd w:w="-1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 w:type="dxa"/>
          <w:bottom w:w="0" w:type="dxa"/>
          <w:right w:w="10" w:type="dxa"/>
        </w:tblCellMar>
      </w:tblPr>
      <w:tblGrid>
        <w:gridCol w:w="770"/>
        <w:gridCol w:w="1496"/>
        <w:gridCol w:w="5818"/>
        <w:gridCol w:w="1026"/>
      </w:tblGrid>
      <w:tr w14:paraId="47CE7D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70" w:type="dxa"/>
            <w:tcBorders>
              <w:top w:val="single" w:color="auto" w:sz="4" w:space="0"/>
              <w:left w:val="single" w:color="auto" w:sz="4" w:space="0"/>
              <w:bottom w:val="single" w:color="auto" w:sz="4" w:space="0"/>
              <w:right w:val="single" w:color="auto" w:sz="4" w:space="0"/>
            </w:tcBorders>
            <w:vAlign w:val="center"/>
          </w:tcPr>
          <w:p w14:paraId="469CC1AB">
            <w:pPr>
              <w:keepNext w:val="0"/>
              <w:keepLines w:val="0"/>
              <w:pageBreakBefore w:val="0"/>
              <w:kinsoku/>
              <w:wordWrap/>
              <w:overflowPunct/>
              <w:topLinePunct w:val="0"/>
              <w:autoSpaceDE w:val="0"/>
              <w:autoSpaceDN w:val="0"/>
              <w:bidi w:val="0"/>
              <w:adjustRightInd w:val="0"/>
              <w:spacing w:line="440" w:lineRule="exact"/>
              <w:ind w:left="105" w:leftChars="50" w:right="105" w:rightChars="50"/>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center"/>
          </w:tcPr>
          <w:p w14:paraId="028D7D64">
            <w:pPr>
              <w:keepNext w:val="0"/>
              <w:keepLines w:val="0"/>
              <w:pageBreakBefore w:val="0"/>
              <w:kinsoku/>
              <w:wordWrap/>
              <w:overflowPunct/>
              <w:topLinePunct w:val="0"/>
              <w:autoSpaceDE w:val="0"/>
              <w:autoSpaceDN w:val="0"/>
              <w:bidi w:val="0"/>
              <w:adjustRightInd w:val="0"/>
              <w:spacing w:line="440" w:lineRule="exact"/>
              <w:ind w:left="105" w:leftChars="50" w:right="105" w:rightChars="50"/>
              <w:jc w:val="center"/>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车辆安排</w:t>
            </w:r>
          </w:p>
        </w:tc>
        <w:tc>
          <w:tcPr>
            <w:tcW w:w="5818" w:type="dxa"/>
            <w:tcBorders>
              <w:top w:val="single" w:color="auto" w:sz="4" w:space="0"/>
              <w:left w:val="single" w:color="auto" w:sz="4" w:space="0"/>
              <w:bottom w:val="single" w:color="auto" w:sz="4" w:space="0"/>
              <w:right w:val="single" w:color="auto" w:sz="4" w:space="0"/>
            </w:tcBorders>
            <w:shd w:val="clear" w:color="auto" w:fill="FFFFFF"/>
            <w:vAlign w:val="center"/>
          </w:tcPr>
          <w:p w14:paraId="719877BC">
            <w:pPr>
              <w:keepNext w:val="0"/>
              <w:keepLines w:val="0"/>
              <w:pageBreakBefore w:val="0"/>
              <w:widowControl w:val="0"/>
              <w:kinsoku/>
              <w:wordWrap/>
              <w:overflowPunct/>
              <w:topLinePunct w:val="0"/>
              <w:bidi w:val="0"/>
              <w:snapToGrid/>
              <w:spacing w:line="440" w:lineRule="exact"/>
              <w:ind w:left="0" w:leftChars="0" w:right="105" w:rightChars="50"/>
              <w:jc w:val="left"/>
              <w:textAlignment w:val="auto"/>
              <w:rPr>
                <w:rFonts w:hint="eastAsia" w:ascii="仿宋" w:hAnsi="仿宋" w:eastAsia="仿宋"/>
                <w:color w:val="auto"/>
                <w:sz w:val="24"/>
                <w:szCs w:val="24"/>
                <w:highlight w:val="none"/>
                <w:lang w:val="en-US" w:eastAsia="zh-CN"/>
              </w:rPr>
            </w:pPr>
            <w:r>
              <w:rPr>
                <w:rFonts w:hint="eastAsia" w:ascii="仿宋" w:hAnsi="仿宋" w:eastAsia="仿宋"/>
                <w:bCs/>
                <w:iCs/>
                <w:color w:val="auto"/>
                <w:sz w:val="24"/>
                <w:szCs w:val="24"/>
                <w:highlight w:val="none"/>
                <w:lang w:val="zh-CN" w:eastAsia="zh-CN"/>
              </w:rPr>
              <w:t>针对本标项</w:t>
            </w:r>
            <w:r>
              <w:rPr>
                <w:rFonts w:hint="eastAsia" w:ascii="仿宋" w:hAnsi="仿宋" w:eastAsia="仿宋"/>
                <w:color w:val="auto"/>
                <w:sz w:val="24"/>
                <w:szCs w:val="24"/>
                <w:highlight w:val="none"/>
                <w:lang w:val="en-US" w:eastAsia="zh-CN"/>
              </w:rPr>
              <w:t>提供的车辆配置、车龄车况、车上物品配备情况进行打分。</w:t>
            </w:r>
            <w:r>
              <w:rPr>
                <w:rFonts w:hint="eastAsia" w:ascii="仿宋" w:hAnsi="仿宋" w:eastAsia="仿宋" w:cs="仿宋"/>
                <w:color w:val="auto"/>
                <w:sz w:val="24"/>
                <w:szCs w:val="24"/>
                <w:highlight w:val="none"/>
                <w:lang w:val="zh-CN"/>
              </w:rPr>
              <w:t>（评分分值范围：5，4.5</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w:t>
            </w:r>
            <w:r>
              <w:rPr>
                <w:rFonts w:hint="eastAsia" w:ascii="仿宋" w:hAnsi="仿宋" w:eastAsia="仿宋" w:cs="仿宋"/>
                <w:color w:val="auto"/>
                <w:sz w:val="24"/>
                <w:szCs w:val="24"/>
                <w:highlight w:val="none"/>
                <w:lang w:val="zh-CN"/>
              </w:rPr>
              <w:t>0）</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14:paraId="5E97DCB2">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w:t>
            </w:r>
          </w:p>
        </w:tc>
      </w:tr>
      <w:tr w14:paraId="533AA9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12" w:hRule="atLeast"/>
        </w:trPr>
        <w:tc>
          <w:tcPr>
            <w:tcW w:w="770" w:type="dxa"/>
            <w:tcBorders>
              <w:top w:val="single" w:color="auto" w:sz="4" w:space="0"/>
              <w:left w:val="single" w:color="auto" w:sz="4" w:space="0"/>
              <w:bottom w:val="single" w:color="auto" w:sz="4" w:space="0"/>
              <w:right w:val="single" w:color="auto" w:sz="4" w:space="0"/>
            </w:tcBorders>
            <w:vAlign w:val="center"/>
          </w:tcPr>
          <w:p w14:paraId="7EF0A63B">
            <w:pPr>
              <w:keepNext w:val="0"/>
              <w:keepLines w:val="0"/>
              <w:pageBreakBefore w:val="0"/>
              <w:kinsoku/>
              <w:wordWrap/>
              <w:overflowPunct/>
              <w:topLinePunct w:val="0"/>
              <w:autoSpaceDE w:val="0"/>
              <w:autoSpaceDN w:val="0"/>
              <w:bidi w:val="0"/>
              <w:adjustRightInd w:val="0"/>
              <w:spacing w:line="440" w:lineRule="exact"/>
              <w:ind w:left="105" w:leftChars="50" w:right="105" w:rightChars="50"/>
              <w:jc w:val="center"/>
              <w:rPr>
                <w:rFonts w:hint="default" w:ascii="仿宋" w:hAnsi="仿宋" w:eastAsia="仿宋"/>
                <w:bCs w:val="0"/>
                <w:color w:val="auto"/>
                <w:sz w:val="24"/>
                <w:szCs w:val="24"/>
                <w:highlight w:val="none"/>
                <w:lang w:val="en-US" w:eastAsia="zh-CN"/>
              </w:rPr>
            </w:pPr>
            <w:r>
              <w:rPr>
                <w:rFonts w:hint="eastAsia" w:ascii="仿宋" w:hAnsi="仿宋" w:eastAsia="仿宋"/>
                <w:bCs w:val="0"/>
                <w:color w:val="auto"/>
                <w:sz w:val="24"/>
                <w:szCs w:val="24"/>
                <w:highlight w:val="none"/>
                <w:lang w:val="en-US" w:eastAsia="zh-CN"/>
              </w:rPr>
              <w:t>10</w:t>
            </w:r>
          </w:p>
        </w:tc>
        <w:tc>
          <w:tcPr>
            <w:tcW w:w="1496" w:type="dxa"/>
            <w:tcBorders>
              <w:top w:val="single" w:color="auto" w:sz="4" w:space="0"/>
              <w:left w:val="single" w:color="auto" w:sz="4" w:space="0"/>
              <w:bottom w:val="single" w:color="auto" w:sz="4" w:space="0"/>
              <w:right w:val="single" w:color="auto" w:sz="4" w:space="0"/>
            </w:tcBorders>
            <w:vAlign w:val="center"/>
          </w:tcPr>
          <w:p w14:paraId="2E630148">
            <w:pPr>
              <w:spacing w:line="440" w:lineRule="exact"/>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安全服务方案</w:t>
            </w:r>
          </w:p>
        </w:tc>
        <w:tc>
          <w:tcPr>
            <w:tcW w:w="5818" w:type="dxa"/>
            <w:tcBorders>
              <w:top w:val="single" w:color="auto" w:sz="4" w:space="0"/>
              <w:left w:val="single" w:color="auto" w:sz="4" w:space="0"/>
              <w:bottom w:val="single" w:color="auto" w:sz="4" w:space="0"/>
              <w:right w:val="single" w:color="auto" w:sz="4" w:space="0"/>
            </w:tcBorders>
            <w:vAlign w:val="center"/>
          </w:tcPr>
          <w:p w14:paraId="0E585C51">
            <w:pPr>
              <w:spacing w:line="440" w:lineRule="exact"/>
              <w:ind w:left="105" w:leftChars="50" w:right="105" w:rightChars="50"/>
              <w:jc w:val="left"/>
              <w:rPr>
                <w:rFonts w:hint="eastAsia" w:ascii="仿宋" w:hAnsi="仿宋" w:eastAsia="仿宋"/>
                <w:bCs/>
                <w:color w:val="auto"/>
                <w:sz w:val="24"/>
                <w:szCs w:val="24"/>
                <w:highlight w:val="none"/>
                <w:lang w:val="en-US" w:eastAsia="zh-CN"/>
              </w:rPr>
            </w:pPr>
            <w:r>
              <w:rPr>
                <w:rFonts w:hint="eastAsia" w:ascii="仿宋" w:hAnsi="仿宋" w:eastAsia="仿宋"/>
                <w:bCs/>
                <w:color w:val="auto"/>
                <w:sz w:val="24"/>
                <w:szCs w:val="24"/>
                <w:highlight w:val="none"/>
              </w:rPr>
              <w:t>投标人提供</w:t>
            </w:r>
            <w:r>
              <w:rPr>
                <w:rFonts w:hint="eastAsia" w:ascii="仿宋" w:hAnsi="仿宋" w:eastAsia="仿宋"/>
                <w:bCs/>
                <w:color w:val="auto"/>
                <w:sz w:val="24"/>
                <w:szCs w:val="24"/>
                <w:highlight w:val="none"/>
                <w:lang w:val="en-US" w:eastAsia="zh-CN"/>
              </w:rPr>
              <w:t>针对</w:t>
            </w:r>
            <w:r>
              <w:rPr>
                <w:rFonts w:hint="eastAsia" w:ascii="仿宋" w:hAnsi="仿宋" w:eastAsia="仿宋"/>
                <w:bCs/>
                <w:iCs/>
                <w:color w:val="auto"/>
                <w:sz w:val="24"/>
                <w:szCs w:val="24"/>
                <w:highlight w:val="none"/>
                <w:lang w:val="zh-CN" w:eastAsia="zh-CN"/>
              </w:rPr>
              <w:t>本标项</w:t>
            </w:r>
            <w:r>
              <w:rPr>
                <w:rFonts w:hint="eastAsia" w:ascii="仿宋" w:hAnsi="仿宋" w:eastAsia="仿宋"/>
                <w:bCs/>
                <w:color w:val="auto"/>
                <w:sz w:val="24"/>
                <w:szCs w:val="24"/>
                <w:highlight w:val="none"/>
                <w:lang w:val="en-US" w:eastAsia="zh-CN"/>
              </w:rPr>
              <w:t>疗休养全过程中</w:t>
            </w:r>
            <w:r>
              <w:rPr>
                <w:rFonts w:hint="eastAsia" w:ascii="仿宋" w:hAnsi="仿宋" w:eastAsia="仿宋"/>
                <w:bCs/>
                <w:color w:val="auto"/>
                <w:sz w:val="24"/>
                <w:szCs w:val="24"/>
                <w:highlight w:val="none"/>
              </w:rPr>
              <w:t>安全服务方案（如出行安全、食宿安全等）</w:t>
            </w:r>
            <w:r>
              <w:rPr>
                <w:rFonts w:hint="eastAsia" w:ascii="仿宋" w:hAnsi="仿宋" w:eastAsia="仿宋"/>
                <w:bCs/>
                <w:color w:val="auto"/>
                <w:sz w:val="24"/>
                <w:szCs w:val="24"/>
                <w:highlight w:val="none"/>
                <w:lang w:val="en-US" w:eastAsia="zh-CN"/>
              </w:rPr>
              <w:t>。</w:t>
            </w:r>
            <w:r>
              <w:rPr>
                <w:rFonts w:hint="eastAsia" w:ascii="仿宋" w:hAnsi="仿宋" w:eastAsia="仿宋" w:cs="仿宋"/>
                <w:color w:val="auto"/>
                <w:sz w:val="24"/>
                <w:szCs w:val="24"/>
                <w:highlight w:val="none"/>
                <w:lang w:val="zh-CN"/>
              </w:rPr>
              <w:t>（评分分值范围：5，4.5，4</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w:t>
            </w:r>
            <w:r>
              <w:rPr>
                <w:rFonts w:hint="eastAsia" w:ascii="仿宋" w:hAnsi="仿宋" w:eastAsia="仿宋" w:cs="仿宋"/>
                <w:color w:val="auto"/>
                <w:sz w:val="24"/>
                <w:szCs w:val="24"/>
                <w:highlight w:val="none"/>
                <w:lang w:val="zh-CN"/>
              </w:rPr>
              <w:t>0）</w:t>
            </w:r>
          </w:p>
        </w:tc>
        <w:tc>
          <w:tcPr>
            <w:tcW w:w="1026" w:type="dxa"/>
            <w:tcBorders>
              <w:top w:val="single" w:color="auto" w:sz="4" w:space="0"/>
              <w:left w:val="single" w:color="auto" w:sz="4" w:space="0"/>
              <w:bottom w:val="single" w:color="auto" w:sz="4" w:space="0"/>
              <w:right w:val="single" w:color="auto" w:sz="4" w:space="0"/>
            </w:tcBorders>
            <w:vAlign w:val="center"/>
          </w:tcPr>
          <w:p w14:paraId="67F50EF2">
            <w:pPr>
              <w:spacing w:line="440" w:lineRule="exact"/>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w:t>
            </w:r>
          </w:p>
        </w:tc>
      </w:tr>
      <w:tr w14:paraId="576627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12" w:hRule="atLeast"/>
        </w:trPr>
        <w:tc>
          <w:tcPr>
            <w:tcW w:w="770" w:type="dxa"/>
            <w:tcBorders>
              <w:top w:val="single" w:color="auto" w:sz="4" w:space="0"/>
              <w:left w:val="single" w:color="auto" w:sz="4" w:space="0"/>
              <w:bottom w:val="single" w:color="auto" w:sz="4" w:space="0"/>
              <w:right w:val="single" w:color="auto" w:sz="4" w:space="0"/>
            </w:tcBorders>
            <w:vAlign w:val="center"/>
          </w:tcPr>
          <w:p w14:paraId="47EE5267">
            <w:pPr>
              <w:keepNext w:val="0"/>
              <w:keepLines w:val="0"/>
              <w:pageBreakBefore w:val="0"/>
              <w:kinsoku/>
              <w:wordWrap/>
              <w:overflowPunct/>
              <w:topLinePunct w:val="0"/>
              <w:autoSpaceDE w:val="0"/>
              <w:autoSpaceDN w:val="0"/>
              <w:bidi w:val="0"/>
              <w:adjustRightInd w:val="0"/>
              <w:spacing w:line="440" w:lineRule="exact"/>
              <w:ind w:left="105" w:leftChars="50" w:right="105" w:rightChars="50"/>
              <w:jc w:val="center"/>
              <w:rPr>
                <w:rFonts w:hint="default" w:ascii="仿宋" w:hAnsi="仿宋" w:eastAsia="仿宋"/>
                <w:color w:val="auto"/>
                <w:sz w:val="24"/>
                <w:highlight w:val="none"/>
                <w:lang w:val="en-US"/>
              </w:rPr>
            </w:pPr>
            <w:r>
              <w:rPr>
                <w:rFonts w:hint="eastAsia" w:ascii="仿宋" w:hAnsi="仿宋" w:eastAsia="仿宋"/>
                <w:bCs w:val="0"/>
                <w:color w:val="auto"/>
                <w:sz w:val="24"/>
                <w:szCs w:val="24"/>
                <w:highlight w:val="none"/>
                <w:lang w:val="en-US" w:eastAsia="zh-CN"/>
              </w:rPr>
              <w:t>11</w:t>
            </w:r>
          </w:p>
        </w:tc>
        <w:tc>
          <w:tcPr>
            <w:tcW w:w="1496" w:type="dxa"/>
            <w:tcBorders>
              <w:top w:val="single" w:color="auto" w:sz="4" w:space="0"/>
              <w:left w:val="single" w:color="auto" w:sz="4" w:space="0"/>
              <w:bottom w:val="single" w:color="auto" w:sz="4" w:space="0"/>
              <w:right w:val="single" w:color="auto" w:sz="4" w:space="0"/>
            </w:tcBorders>
            <w:vAlign w:val="center"/>
          </w:tcPr>
          <w:p w14:paraId="0742C3D3">
            <w:pPr>
              <w:spacing w:line="4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服务质量保障措施</w:t>
            </w:r>
          </w:p>
        </w:tc>
        <w:tc>
          <w:tcPr>
            <w:tcW w:w="5818" w:type="dxa"/>
            <w:tcBorders>
              <w:top w:val="single" w:color="auto" w:sz="4" w:space="0"/>
              <w:left w:val="single" w:color="auto" w:sz="4" w:space="0"/>
              <w:bottom w:val="single" w:color="auto" w:sz="4" w:space="0"/>
              <w:right w:val="single" w:color="auto" w:sz="4" w:space="0"/>
            </w:tcBorders>
            <w:vAlign w:val="center"/>
          </w:tcPr>
          <w:p w14:paraId="6D7F4B8F">
            <w:pPr>
              <w:spacing w:line="440" w:lineRule="exact"/>
              <w:ind w:left="105" w:leftChars="50" w:right="105" w:rightChars="50"/>
              <w:jc w:val="left"/>
              <w:rPr>
                <w:rFonts w:hint="eastAsia" w:ascii="仿宋" w:hAnsi="仿宋" w:eastAsia="仿宋"/>
                <w:color w:val="auto"/>
                <w:sz w:val="24"/>
                <w:highlight w:val="none"/>
              </w:rPr>
            </w:pPr>
            <w:r>
              <w:rPr>
                <w:rFonts w:hint="eastAsia" w:ascii="仿宋" w:hAnsi="仿宋" w:eastAsia="仿宋"/>
                <w:bCs/>
                <w:color w:val="auto"/>
                <w:sz w:val="24"/>
                <w:szCs w:val="24"/>
                <w:highlight w:val="none"/>
              </w:rPr>
              <w:t>投标人提供</w:t>
            </w:r>
            <w:r>
              <w:rPr>
                <w:rFonts w:hint="eastAsia" w:ascii="仿宋" w:hAnsi="仿宋" w:eastAsia="仿宋"/>
                <w:bCs/>
                <w:color w:val="auto"/>
                <w:sz w:val="24"/>
                <w:szCs w:val="24"/>
                <w:highlight w:val="none"/>
                <w:lang w:val="en-US" w:eastAsia="zh-CN"/>
              </w:rPr>
              <w:t>针对</w:t>
            </w:r>
            <w:r>
              <w:rPr>
                <w:rFonts w:hint="eastAsia" w:ascii="仿宋" w:hAnsi="仿宋" w:eastAsia="仿宋"/>
                <w:bCs/>
                <w:iCs/>
                <w:color w:val="auto"/>
                <w:sz w:val="24"/>
                <w:szCs w:val="24"/>
                <w:highlight w:val="none"/>
                <w:lang w:val="zh-CN" w:eastAsia="zh-CN"/>
              </w:rPr>
              <w:t>本标项</w:t>
            </w:r>
            <w:r>
              <w:rPr>
                <w:rFonts w:hint="eastAsia" w:ascii="仿宋" w:hAnsi="仿宋" w:eastAsia="仿宋"/>
                <w:bCs/>
                <w:color w:val="auto"/>
                <w:sz w:val="24"/>
                <w:szCs w:val="24"/>
                <w:highlight w:val="none"/>
                <w:lang w:val="en-US" w:eastAsia="zh-CN"/>
              </w:rPr>
              <w:t>的服务质量保障措施。</w:t>
            </w:r>
            <w:r>
              <w:rPr>
                <w:rFonts w:hint="eastAsia" w:ascii="仿宋" w:hAnsi="仿宋" w:eastAsia="仿宋" w:cs="仿宋"/>
                <w:color w:val="auto"/>
                <w:sz w:val="24"/>
                <w:szCs w:val="24"/>
                <w:highlight w:val="none"/>
                <w:lang w:val="zh-CN"/>
              </w:rPr>
              <w:t>（评分分值范围：5，4.5，4</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w:t>
            </w:r>
            <w:r>
              <w:rPr>
                <w:rFonts w:hint="eastAsia" w:ascii="仿宋" w:hAnsi="仿宋" w:eastAsia="仿宋" w:cs="仿宋"/>
                <w:color w:val="auto"/>
                <w:sz w:val="24"/>
                <w:szCs w:val="24"/>
                <w:highlight w:val="none"/>
                <w:lang w:val="zh-CN"/>
              </w:rPr>
              <w:t>0）</w:t>
            </w:r>
          </w:p>
        </w:tc>
        <w:tc>
          <w:tcPr>
            <w:tcW w:w="1026" w:type="dxa"/>
            <w:tcBorders>
              <w:top w:val="single" w:color="auto" w:sz="4" w:space="0"/>
              <w:left w:val="single" w:color="auto" w:sz="4" w:space="0"/>
              <w:bottom w:val="single" w:color="auto" w:sz="4" w:space="0"/>
              <w:right w:val="single" w:color="auto" w:sz="4" w:space="0"/>
            </w:tcBorders>
            <w:vAlign w:val="center"/>
          </w:tcPr>
          <w:p w14:paraId="1B6EFC6F">
            <w:pPr>
              <w:spacing w:line="440" w:lineRule="exact"/>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w:t>
            </w:r>
          </w:p>
        </w:tc>
      </w:tr>
      <w:tr w14:paraId="3AA7A7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70" w:type="dxa"/>
            <w:vMerge w:val="restart"/>
            <w:tcBorders>
              <w:top w:val="single" w:color="auto" w:sz="4" w:space="0"/>
              <w:left w:val="single" w:color="auto" w:sz="4" w:space="0"/>
              <w:bottom w:val="single" w:color="auto" w:sz="4" w:space="0"/>
              <w:right w:val="single" w:color="auto" w:sz="4" w:space="0"/>
            </w:tcBorders>
            <w:vAlign w:val="center"/>
          </w:tcPr>
          <w:p w14:paraId="407F4375">
            <w:pPr>
              <w:keepNext w:val="0"/>
              <w:keepLines w:val="0"/>
              <w:pageBreakBefore w:val="0"/>
              <w:kinsoku/>
              <w:wordWrap/>
              <w:overflowPunct/>
              <w:topLinePunct w:val="0"/>
              <w:autoSpaceDE w:val="0"/>
              <w:autoSpaceDN w:val="0"/>
              <w:bidi w:val="0"/>
              <w:adjustRightInd w:val="0"/>
              <w:spacing w:line="440" w:lineRule="exact"/>
              <w:ind w:left="105" w:leftChars="50" w:right="105" w:rightChars="50"/>
              <w:jc w:val="center"/>
              <w:rPr>
                <w:rFonts w:hint="default" w:ascii="仿宋" w:hAnsi="仿宋" w:eastAsia="仿宋"/>
                <w:color w:val="auto"/>
                <w:sz w:val="24"/>
                <w:highlight w:val="none"/>
                <w:lang w:val="en-US"/>
              </w:rPr>
            </w:pPr>
            <w:r>
              <w:rPr>
                <w:rFonts w:hint="eastAsia" w:ascii="仿宋" w:hAnsi="仿宋" w:eastAsia="仿宋"/>
                <w:color w:val="auto"/>
                <w:sz w:val="24"/>
                <w:szCs w:val="24"/>
                <w:highlight w:val="none"/>
                <w:lang w:val="en-US" w:eastAsia="zh-CN"/>
              </w:rPr>
              <w:t>12</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18180576">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rPr>
              <w:t>突发事件的处理方案</w:t>
            </w:r>
          </w:p>
        </w:tc>
        <w:tc>
          <w:tcPr>
            <w:tcW w:w="5818" w:type="dxa"/>
            <w:tcBorders>
              <w:top w:val="single" w:color="auto" w:sz="4" w:space="0"/>
              <w:left w:val="single" w:color="auto" w:sz="4" w:space="0"/>
              <w:bottom w:val="single" w:color="auto" w:sz="4" w:space="0"/>
              <w:right w:val="single" w:color="auto" w:sz="4" w:space="0"/>
            </w:tcBorders>
            <w:vAlign w:val="center"/>
          </w:tcPr>
          <w:p w14:paraId="1884D0D9">
            <w:pPr>
              <w:keepNext w:val="0"/>
              <w:keepLines w:val="0"/>
              <w:pageBreakBefore w:val="0"/>
              <w:widowControl w:val="0"/>
              <w:kinsoku/>
              <w:wordWrap/>
              <w:overflowPunct/>
              <w:topLinePunct w:val="0"/>
              <w:autoSpaceDE w:val="0"/>
              <w:autoSpaceDN w:val="0"/>
              <w:bidi w:val="0"/>
              <w:adjustRightInd w:val="0"/>
              <w:snapToGrid/>
              <w:spacing w:line="440" w:lineRule="exact"/>
              <w:ind w:left="105" w:leftChars="50" w:right="105" w:rightChars="5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采购人临时性要求发团及线路调整。</w:t>
            </w:r>
            <w:r>
              <w:rPr>
                <w:rFonts w:hint="eastAsia" w:ascii="仿宋" w:hAnsi="仿宋" w:eastAsia="仿宋" w:cs="仿宋"/>
                <w:color w:val="auto"/>
                <w:sz w:val="24"/>
                <w:szCs w:val="24"/>
                <w:highlight w:val="none"/>
                <w:lang w:val="zh-CN"/>
              </w:rPr>
              <w:t>（评分分值范围：3，2.5，2</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w:t>
            </w:r>
            <w:r>
              <w:rPr>
                <w:rFonts w:hint="eastAsia" w:ascii="仿宋" w:hAnsi="仿宋" w:eastAsia="仿宋" w:cs="仿宋"/>
                <w:color w:val="auto"/>
                <w:sz w:val="24"/>
                <w:szCs w:val="24"/>
                <w:highlight w:val="none"/>
                <w:lang w:val="zh-CN"/>
              </w:rPr>
              <w:t>0）</w:t>
            </w:r>
          </w:p>
        </w:tc>
        <w:tc>
          <w:tcPr>
            <w:tcW w:w="1026" w:type="dxa"/>
            <w:tcBorders>
              <w:top w:val="single" w:color="auto" w:sz="4" w:space="0"/>
              <w:left w:val="single" w:color="auto" w:sz="4" w:space="0"/>
              <w:bottom w:val="single" w:color="auto" w:sz="4" w:space="0"/>
              <w:right w:val="single" w:color="auto" w:sz="4" w:space="0"/>
            </w:tcBorders>
            <w:vAlign w:val="center"/>
          </w:tcPr>
          <w:p w14:paraId="23E1DA39">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w:t>
            </w:r>
          </w:p>
        </w:tc>
      </w:tr>
      <w:tr w14:paraId="5BF1DB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2DB38ABF">
            <w:pPr>
              <w:keepNext w:val="0"/>
              <w:keepLines w:val="0"/>
              <w:pageBreakBefore w:val="0"/>
              <w:kinsoku/>
              <w:wordWrap/>
              <w:overflowPunct/>
              <w:topLinePunct w:val="0"/>
              <w:autoSpaceDE w:val="0"/>
              <w:autoSpaceDN w:val="0"/>
              <w:bidi w:val="0"/>
              <w:adjustRightInd w:val="0"/>
              <w:spacing w:line="440" w:lineRule="exact"/>
              <w:ind w:left="105" w:leftChars="50" w:right="105" w:rightChars="50"/>
              <w:jc w:val="center"/>
              <w:rPr>
                <w:rFonts w:hint="eastAsia" w:ascii="仿宋" w:hAnsi="仿宋" w:eastAsia="仿宋"/>
                <w:color w:val="auto"/>
                <w:sz w:val="24"/>
                <w:szCs w:val="24"/>
                <w:highlight w:val="none"/>
                <w:lang w:val="en-US" w:eastAsia="zh-CN"/>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3C104E5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hint="eastAsia" w:ascii="仿宋" w:hAnsi="仿宋" w:eastAsia="仿宋"/>
                <w:color w:val="auto"/>
                <w:sz w:val="24"/>
                <w:szCs w:val="24"/>
                <w:highlight w:val="none"/>
              </w:rPr>
            </w:pPr>
          </w:p>
        </w:tc>
        <w:tc>
          <w:tcPr>
            <w:tcW w:w="5818" w:type="dxa"/>
            <w:tcBorders>
              <w:top w:val="single" w:color="auto" w:sz="4" w:space="0"/>
              <w:left w:val="single" w:color="auto" w:sz="4" w:space="0"/>
              <w:bottom w:val="single" w:color="auto" w:sz="4" w:space="0"/>
              <w:right w:val="single" w:color="auto" w:sz="4" w:space="0"/>
            </w:tcBorders>
            <w:vAlign w:val="center"/>
          </w:tcPr>
          <w:p w14:paraId="0FD1ED52">
            <w:pPr>
              <w:keepNext w:val="0"/>
              <w:keepLines w:val="0"/>
              <w:pageBreakBefore w:val="0"/>
              <w:widowControl w:val="0"/>
              <w:kinsoku/>
              <w:wordWrap/>
              <w:overflowPunct/>
              <w:topLinePunct w:val="0"/>
              <w:autoSpaceDE w:val="0"/>
              <w:autoSpaceDN w:val="0"/>
              <w:bidi w:val="0"/>
              <w:adjustRightInd w:val="0"/>
              <w:snapToGrid/>
              <w:spacing w:line="440" w:lineRule="exact"/>
              <w:ind w:left="105" w:leftChars="50" w:right="105" w:rightChars="5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投诉处理</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（评分分值范围：3，2.5，2</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w:t>
            </w:r>
            <w:r>
              <w:rPr>
                <w:rFonts w:hint="eastAsia" w:ascii="仿宋" w:hAnsi="仿宋" w:eastAsia="仿宋" w:cs="仿宋"/>
                <w:color w:val="auto"/>
                <w:sz w:val="24"/>
                <w:szCs w:val="24"/>
                <w:highlight w:val="none"/>
                <w:lang w:val="zh-CN"/>
              </w:rPr>
              <w:t>0）</w:t>
            </w:r>
          </w:p>
        </w:tc>
        <w:tc>
          <w:tcPr>
            <w:tcW w:w="1026" w:type="dxa"/>
            <w:tcBorders>
              <w:top w:val="single" w:color="auto" w:sz="4" w:space="0"/>
              <w:left w:val="single" w:color="auto" w:sz="4" w:space="0"/>
              <w:bottom w:val="single" w:color="auto" w:sz="4" w:space="0"/>
              <w:right w:val="single" w:color="auto" w:sz="4" w:space="0"/>
            </w:tcBorders>
            <w:vAlign w:val="center"/>
          </w:tcPr>
          <w:p w14:paraId="46B6C073">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w:t>
            </w:r>
          </w:p>
        </w:tc>
      </w:tr>
      <w:tr w14:paraId="418C4A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14:paraId="667C965D">
            <w:pPr>
              <w:keepNext w:val="0"/>
              <w:keepLines w:val="0"/>
              <w:pageBreakBefore w:val="0"/>
              <w:kinsoku/>
              <w:wordWrap/>
              <w:overflowPunct/>
              <w:topLinePunct w:val="0"/>
              <w:autoSpaceDE w:val="0"/>
              <w:autoSpaceDN w:val="0"/>
              <w:bidi w:val="0"/>
              <w:adjustRightInd w:val="0"/>
              <w:spacing w:line="440" w:lineRule="exact"/>
              <w:ind w:left="105" w:leftChars="50" w:right="105" w:rightChars="50"/>
              <w:jc w:val="center"/>
              <w:rPr>
                <w:rFonts w:hint="eastAsia" w:ascii="仿宋" w:hAnsi="仿宋" w:eastAsia="仿宋"/>
                <w:color w:val="auto"/>
                <w:sz w:val="24"/>
                <w:highlight w:val="none"/>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0FE0417A">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hint="eastAsia" w:ascii="仿宋" w:hAnsi="仿宋" w:eastAsia="仿宋"/>
                <w:color w:val="auto"/>
                <w:sz w:val="24"/>
                <w:highlight w:val="none"/>
              </w:rPr>
            </w:pPr>
          </w:p>
        </w:tc>
        <w:tc>
          <w:tcPr>
            <w:tcW w:w="5818" w:type="dxa"/>
            <w:tcBorders>
              <w:top w:val="single" w:color="auto" w:sz="4" w:space="0"/>
              <w:left w:val="single" w:color="auto" w:sz="4" w:space="0"/>
              <w:bottom w:val="single" w:color="auto" w:sz="4" w:space="0"/>
              <w:right w:val="single" w:color="auto" w:sz="4" w:space="0"/>
            </w:tcBorders>
            <w:vAlign w:val="center"/>
          </w:tcPr>
          <w:p w14:paraId="637C9B16">
            <w:pPr>
              <w:keepNext w:val="0"/>
              <w:keepLines w:val="0"/>
              <w:pageBreakBefore w:val="0"/>
              <w:widowControl w:val="0"/>
              <w:kinsoku/>
              <w:wordWrap/>
              <w:overflowPunct/>
              <w:topLinePunct w:val="0"/>
              <w:autoSpaceDE w:val="0"/>
              <w:autoSpaceDN w:val="0"/>
              <w:bidi w:val="0"/>
              <w:adjustRightInd w:val="0"/>
              <w:snapToGrid/>
              <w:spacing w:line="440" w:lineRule="exact"/>
              <w:ind w:left="105" w:leftChars="50" w:right="105" w:rightChars="50"/>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rPr>
              <w:t>其他特殊情况或突发事件</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含交通事故、突发疾病等</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的应急处置方案</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（评分分值范围：3，2.5，2</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w:t>
            </w:r>
            <w:r>
              <w:rPr>
                <w:rFonts w:hint="eastAsia" w:ascii="仿宋" w:hAnsi="仿宋" w:eastAsia="仿宋" w:cs="仿宋"/>
                <w:color w:val="auto"/>
                <w:sz w:val="24"/>
                <w:szCs w:val="24"/>
                <w:highlight w:val="none"/>
                <w:lang w:val="zh-CN"/>
              </w:rPr>
              <w:t>0）</w:t>
            </w:r>
          </w:p>
        </w:tc>
        <w:tc>
          <w:tcPr>
            <w:tcW w:w="1026" w:type="dxa"/>
            <w:tcBorders>
              <w:top w:val="single" w:color="auto" w:sz="4" w:space="0"/>
              <w:left w:val="single" w:color="auto" w:sz="4" w:space="0"/>
              <w:bottom w:val="single" w:color="auto" w:sz="4" w:space="0"/>
              <w:right w:val="single" w:color="auto" w:sz="4" w:space="0"/>
            </w:tcBorders>
            <w:vAlign w:val="center"/>
          </w:tcPr>
          <w:p w14:paraId="4D92CEB0">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w:t>
            </w:r>
          </w:p>
        </w:tc>
      </w:tr>
      <w:tr w14:paraId="1FC831D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660" w:hRule="atLeast"/>
        </w:trPr>
        <w:tc>
          <w:tcPr>
            <w:tcW w:w="770" w:type="dxa"/>
            <w:vMerge w:val="restart"/>
            <w:tcBorders>
              <w:top w:val="single" w:color="auto" w:sz="4" w:space="0"/>
              <w:left w:val="single" w:color="auto" w:sz="4" w:space="0"/>
              <w:right w:val="single" w:color="auto" w:sz="4" w:space="0"/>
            </w:tcBorders>
            <w:vAlign w:val="center"/>
          </w:tcPr>
          <w:p w14:paraId="1FF3EB7A">
            <w:pPr>
              <w:keepNext w:val="0"/>
              <w:keepLines w:val="0"/>
              <w:pageBreakBefore w:val="0"/>
              <w:kinsoku/>
              <w:wordWrap/>
              <w:overflowPunct/>
              <w:topLinePunct w:val="0"/>
              <w:autoSpaceDE w:val="0"/>
              <w:autoSpaceDN w:val="0"/>
              <w:bidi w:val="0"/>
              <w:adjustRightInd w:val="0"/>
              <w:spacing w:line="440" w:lineRule="exact"/>
              <w:ind w:left="105" w:leftChars="50" w:right="105" w:rightChars="50"/>
              <w:jc w:val="center"/>
              <w:rPr>
                <w:rFonts w:hint="default" w:ascii="仿宋" w:hAnsi="仿宋" w:eastAsia="仿宋"/>
                <w:color w:val="auto"/>
                <w:sz w:val="24"/>
                <w:highlight w:val="none"/>
                <w:lang w:val="en-US"/>
              </w:rPr>
            </w:pPr>
            <w:r>
              <w:rPr>
                <w:rFonts w:hint="eastAsia" w:ascii="仿宋" w:hAnsi="仿宋" w:eastAsia="仿宋"/>
                <w:color w:val="auto"/>
                <w:sz w:val="24"/>
                <w:szCs w:val="24"/>
                <w:highlight w:val="none"/>
                <w:lang w:val="en-US" w:eastAsia="zh-CN"/>
              </w:rPr>
              <w:t>13</w:t>
            </w:r>
          </w:p>
        </w:tc>
        <w:tc>
          <w:tcPr>
            <w:tcW w:w="1496" w:type="dxa"/>
            <w:vMerge w:val="restart"/>
            <w:tcBorders>
              <w:top w:val="single" w:color="auto" w:sz="4" w:space="0"/>
              <w:left w:val="single" w:color="auto" w:sz="4" w:space="0"/>
              <w:right w:val="single" w:color="auto" w:sz="4" w:space="0"/>
            </w:tcBorders>
            <w:vAlign w:val="center"/>
          </w:tcPr>
          <w:p w14:paraId="35389220">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hint="eastAsia" w:ascii="仿宋" w:hAnsi="仿宋" w:eastAsia="仿宋"/>
                <w:color w:val="auto"/>
                <w:sz w:val="24"/>
                <w:highlight w:val="none"/>
                <w:lang w:eastAsia="zh-CN"/>
              </w:rPr>
            </w:pPr>
            <w:r>
              <w:rPr>
                <w:rFonts w:hint="eastAsia" w:ascii="仿宋" w:hAnsi="仿宋" w:eastAsia="仿宋"/>
                <w:color w:val="auto"/>
                <w:sz w:val="24"/>
                <w:szCs w:val="24"/>
                <w:highlight w:val="none"/>
              </w:rPr>
              <w:t>特色服务</w:t>
            </w:r>
            <w:r>
              <w:rPr>
                <w:rFonts w:hint="eastAsia" w:ascii="仿宋" w:hAnsi="仿宋" w:eastAsia="仿宋"/>
                <w:color w:val="auto"/>
                <w:sz w:val="24"/>
                <w:szCs w:val="24"/>
                <w:highlight w:val="none"/>
                <w:lang w:eastAsia="zh-CN"/>
              </w:rPr>
              <w:t>及合理化建议</w:t>
            </w:r>
          </w:p>
        </w:tc>
        <w:tc>
          <w:tcPr>
            <w:tcW w:w="5818" w:type="dxa"/>
            <w:tcBorders>
              <w:top w:val="single" w:color="auto" w:sz="4" w:space="0"/>
              <w:left w:val="single" w:color="auto" w:sz="4" w:space="0"/>
              <w:bottom w:val="single" w:color="auto" w:sz="4" w:space="0"/>
              <w:right w:val="single" w:color="auto" w:sz="4" w:space="0"/>
            </w:tcBorders>
            <w:vAlign w:val="center"/>
          </w:tcPr>
          <w:p w14:paraId="360E9250">
            <w:pPr>
              <w:keepNext w:val="0"/>
              <w:keepLines w:val="0"/>
              <w:pageBreakBefore w:val="0"/>
              <w:widowControl w:val="0"/>
              <w:kinsoku/>
              <w:wordWrap/>
              <w:overflowPunct/>
              <w:topLinePunct w:val="0"/>
              <w:autoSpaceDE w:val="0"/>
              <w:autoSpaceDN w:val="0"/>
              <w:bidi w:val="0"/>
              <w:adjustRightInd w:val="0"/>
              <w:snapToGrid/>
              <w:spacing w:line="440" w:lineRule="exact"/>
              <w:ind w:left="105" w:leftChars="50" w:right="105" w:rightChars="5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特色服务</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贴合</w:t>
            </w:r>
            <w:r>
              <w:rPr>
                <w:rFonts w:hint="eastAsia" w:ascii="仿宋" w:hAnsi="仿宋" w:eastAsia="仿宋" w:cs="仿宋"/>
                <w:i w:val="0"/>
                <w:iCs w:val="0"/>
                <w:color w:val="auto"/>
                <w:kern w:val="0"/>
                <w:sz w:val="24"/>
                <w:szCs w:val="24"/>
                <w:highlight w:val="none"/>
                <w:lang w:val="en-US" w:eastAsia="zh-CN"/>
              </w:rPr>
              <w:t>新昌县委组织部、县人事局、县财政局关于优秀公务员健康休养的文件</w:t>
            </w:r>
            <w:r>
              <w:rPr>
                <w:rFonts w:hint="eastAsia" w:ascii="仿宋" w:hAnsi="仿宋" w:eastAsia="仿宋"/>
                <w:bCs w:val="0"/>
                <w:color w:val="auto"/>
                <w:sz w:val="24"/>
                <w:szCs w:val="24"/>
                <w:highlight w:val="none"/>
                <w:lang w:val="en-US" w:eastAsia="zh-CN"/>
              </w:rPr>
              <w:t>要求制定</w:t>
            </w:r>
            <w:r>
              <w:rPr>
                <w:rFonts w:hint="eastAsia" w:ascii="仿宋" w:hAnsi="仿宋" w:eastAsia="仿宋"/>
                <w:color w:val="auto"/>
                <w:sz w:val="24"/>
                <w:szCs w:val="24"/>
                <w:highlight w:val="none"/>
              </w:rPr>
              <w:t>特色服务</w:t>
            </w:r>
            <w:r>
              <w:rPr>
                <w:rFonts w:hint="eastAsia" w:ascii="仿宋" w:hAnsi="仿宋" w:eastAsia="仿宋"/>
                <w:color w:val="auto"/>
                <w:sz w:val="24"/>
                <w:szCs w:val="24"/>
                <w:highlight w:val="none"/>
                <w:lang w:eastAsia="zh-CN"/>
              </w:rPr>
              <w:t>。</w:t>
            </w:r>
            <w:r>
              <w:rPr>
                <w:rFonts w:hint="eastAsia" w:ascii="仿宋" w:hAnsi="仿宋" w:eastAsia="仿宋"/>
                <w:color w:val="auto"/>
                <w:sz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1.8</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1.6</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w:t>
            </w:r>
            <w:r>
              <w:rPr>
                <w:rFonts w:hint="eastAsia" w:ascii="仿宋" w:hAnsi="仿宋" w:eastAsia="仿宋"/>
                <w:color w:val="auto"/>
                <w:sz w:val="24"/>
                <w:highlight w:val="none"/>
              </w:rPr>
              <w:t>0）</w:t>
            </w:r>
          </w:p>
        </w:tc>
        <w:tc>
          <w:tcPr>
            <w:tcW w:w="1026" w:type="dxa"/>
            <w:vMerge w:val="restart"/>
            <w:tcBorders>
              <w:top w:val="single" w:color="auto" w:sz="4" w:space="0"/>
              <w:left w:val="single" w:color="auto" w:sz="4" w:space="0"/>
              <w:right w:val="single" w:color="auto" w:sz="4" w:space="0"/>
            </w:tcBorders>
            <w:vAlign w:val="center"/>
          </w:tcPr>
          <w:p w14:paraId="1B9B616E">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jc w:val="center"/>
              <w:textAlignment w:val="auto"/>
              <w:rPr>
                <w:rFonts w:ascii="仿宋" w:hAnsi="仿宋" w:eastAsia="仿宋"/>
                <w:color w:val="auto"/>
                <w:sz w:val="24"/>
                <w:highlight w:val="none"/>
              </w:rPr>
            </w:pPr>
            <w:r>
              <w:rPr>
                <w:rFonts w:hint="eastAsia" w:ascii="仿宋" w:hAnsi="仿宋" w:eastAsia="仿宋"/>
                <w:color w:val="auto"/>
                <w:sz w:val="24"/>
                <w:szCs w:val="24"/>
                <w:highlight w:val="none"/>
                <w:lang w:val="en-US" w:eastAsia="zh-CN"/>
              </w:rPr>
              <w:t>4</w:t>
            </w:r>
          </w:p>
        </w:tc>
      </w:tr>
      <w:tr w14:paraId="1863C9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660" w:hRule="atLeast"/>
        </w:trPr>
        <w:tc>
          <w:tcPr>
            <w:tcW w:w="770" w:type="dxa"/>
            <w:vMerge w:val="continue"/>
            <w:tcBorders>
              <w:left w:val="single" w:color="auto" w:sz="4" w:space="0"/>
              <w:bottom w:val="single" w:color="auto" w:sz="4" w:space="0"/>
              <w:right w:val="single" w:color="auto" w:sz="4" w:space="0"/>
            </w:tcBorders>
            <w:vAlign w:val="center"/>
          </w:tcPr>
          <w:p w14:paraId="4BDAA26C">
            <w:pPr>
              <w:keepNext w:val="0"/>
              <w:keepLines w:val="0"/>
              <w:pageBreakBefore w:val="0"/>
              <w:widowControl w:val="0"/>
              <w:kinsoku/>
              <w:wordWrap/>
              <w:overflowPunct/>
              <w:topLinePunct w:val="0"/>
              <w:autoSpaceDE w:val="0"/>
              <w:autoSpaceDN w:val="0"/>
              <w:bidi w:val="0"/>
              <w:adjustRightInd w:val="0"/>
              <w:snapToGrid/>
              <w:spacing w:line="440" w:lineRule="exact"/>
              <w:ind w:left="105" w:leftChars="50" w:right="105" w:rightChars="50"/>
              <w:textAlignment w:val="auto"/>
              <w:rPr>
                <w:highlight w:val="none"/>
              </w:rPr>
            </w:pPr>
          </w:p>
        </w:tc>
        <w:tc>
          <w:tcPr>
            <w:tcW w:w="1496" w:type="dxa"/>
            <w:vMerge w:val="continue"/>
            <w:tcBorders>
              <w:left w:val="single" w:color="auto" w:sz="4" w:space="0"/>
              <w:bottom w:val="single" w:color="auto" w:sz="4" w:space="0"/>
              <w:right w:val="single" w:color="auto" w:sz="4" w:space="0"/>
            </w:tcBorders>
            <w:vAlign w:val="center"/>
          </w:tcPr>
          <w:p w14:paraId="03029F99">
            <w:pPr>
              <w:keepNext w:val="0"/>
              <w:keepLines w:val="0"/>
              <w:pageBreakBefore w:val="0"/>
              <w:widowControl w:val="0"/>
              <w:kinsoku/>
              <w:wordWrap/>
              <w:overflowPunct/>
              <w:topLinePunct w:val="0"/>
              <w:autoSpaceDE w:val="0"/>
              <w:autoSpaceDN w:val="0"/>
              <w:bidi w:val="0"/>
              <w:adjustRightInd w:val="0"/>
              <w:snapToGrid/>
              <w:spacing w:line="440" w:lineRule="exact"/>
              <w:ind w:left="105" w:leftChars="50" w:right="105" w:rightChars="50"/>
              <w:textAlignment w:val="auto"/>
              <w:rPr>
                <w:highlight w:val="none"/>
              </w:rPr>
            </w:pPr>
          </w:p>
        </w:tc>
        <w:tc>
          <w:tcPr>
            <w:tcW w:w="5818" w:type="dxa"/>
            <w:tcBorders>
              <w:top w:val="single" w:color="auto" w:sz="4" w:space="0"/>
              <w:left w:val="single" w:color="auto" w:sz="4" w:space="0"/>
              <w:bottom w:val="single" w:color="auto" w:sz="4" w:space="0"/>
              <w:right w:val="single" w:color="auto" w:sz="4" w:space="0"/>
            </w:tcBorders>
            <w:vAlign w:val="center"/>
          </w:tcPr>
          <w:p w14:paraId="63C4A320">
            <w:pPr>
              <w:keepNext w:val="0"/>
              <w:keepLines w:val="0"/>
              <w:pageBreakBefore w:val="0"/>
              <w:widowControl w:val="0"/>
              <w:kinsoku/>
              <w:wordWrap/>
              <w:overflowPunct/>
              <w:topLinePunct w:val="0"/>
              <w:autoSpaceDE w:val="0"/>
              <w:autoSpaceDN w:val="0"/>
              <w:bidi w:val="0"/>
              <w:adjustRightInd w:val="0"/>
              <w:snapToGrid/>
              <w:spacing w:line="440" w:lineRule="exact"/>
              <w:ind w:left="105" w:leftChars="50" w:right="105" w:rightChars="5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合理化建议：针对本项目提出合理化建议。</w:t>
            </w:r>
            <w:r>
              <w:rPr>
                <w:rFonts w:hint="eastAsia" w:ascii="仿宋" w:hAnsi="仿宋" w:eastAsia="仿宋"/>
                <w:color w:val="auto"/>
                <w:sz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1.8</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1.6</w:t>
            </w:r>
            <w:r>
              <w:rPr>
                <w:rFonts w:hint="eastAsia" w:ascii="仿宋" w:hAnsi="仿宋" w:eastAsia="仿宋" w:cs="仿宋"/>
                <w:sz w:val="24"/>
                <w:szCs w:val="24"/>
                <w:highlight w:val="none"/>
                <w:lang w:val="zh-CN"/>
              </w:rPr>
              <w:t>,</w:t>
            </w:r>
            <w:r>
              <w:rPr>
                <w:rFonts w:hint="default" w:ascii="Arial" w:hAnsi="Arial" w:eastAsia="仿宋" w:cs="Arial"/>
                <w:sz w:val="24"/>
                <w:szCs w:val="24"/>
                <w:highlight w:val="none"/>
                <w:lang w:val="zh-CN"/>
              </w:rPr>
              <w:t>…</w:t>
            </w:r>
            <w:r>
              <w:rPr>
                <w:rFonts w:hint="eastAsia" w:ascii="仿宋" w:hAnsi="仿宋" w:eastAsia="仿宋" w:cs="仿宋"/>
                <w:sz w:val="24"/>
                <w:szCs w:val="24"/>
                <w:highlight w:val="none"/>
                <w:lang w:val="zh-CN"/>
              </w:rPr>
              <w:t>,</w:t>
            </w:r>
            <w:r>
              <w:rPr>
                <w:rFonts w:hint="eastAsia" w:ascii="仿宋" w:hAnsi="仿宋" w:eastAsia="仿宋"/>
                <w:color w:val="auto"/>
                <w:sz w:val="24"/>
                <w:highlight w:val="none"/>
              </w:rPr>
              <w:t>0）</w:t>
            </w:r>
          </w:p>
        </w:tc>
        <w:tc>
          <w:tcPr>
            <w:tcW w:w="1026" w:type="dxa"/>
            <w:vMerge w:val="continue"/>
            <w:tcBorders>
              <w:left w:val="single" w:color="auto" w:sz="4" w:space="0"/>
              <w:bottom w:val="single" w:color="auto" w:sz="4" w:space="0"/>
              <w:right w:val="single" w:color="auto" w:sz="4" w:space="0"/>
            </w:tcBorders>
            <w:vAlign w:val="center"/>
          </w:tcPr>
          <w:p w14:paraId="0B103FC3">
            <w:pPr>
              <w:keepNext w:val="0"/>
              <w:keepLines w:val="0"/>
              <w:pageBreakBefore w:val="0"/>
              <w:widowControl w:val="0"/>
              <w:kinsoku/>
              <w:wordWrap/>
              <w:overflowPunct/>
              <w:topLinePunct w:val="0"/>
              <w:autoSpaceDE w:val="0"/>
              <w:autoSpaceDN w:val="0"/>
              <w:bidi w:val="0"/>
              <w:adjustRightInd w:val="0"/>
              <w:snapToGrid/>
              <w:spacing w:line="440" w:lineRule="exact"/>
              <w:ind w:left="105" w:leftChars="50" w:right="105" w:rightChars="50"/>
              <w:textAlignment w:val="auto"/>
              <w:rPr>
                <w:rFonts w:hint="eastAsia" w:ascii="仿宋" w:hAnsi="仿宋" w:eastAsia="仿宋"/>
                <w:color w:val="auto"/>
                <w:sz w:val="24"/>
                <w:szCs w:val="24"/>
                <w:highlight w:val="none"/>
              </w:rPr>
            </w:pPr>
          </w:p>
        </w:tc>
      </w:tr>
    </w:tbl>
    <w:p w14:paraId="6CE9CB2E">
      <w:pPr>
        <w:adjustRightInd/>
        <w:spacing w:line="336"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备注：供应商编制响应文件时，建议按此目录（序号和内容）提供评审标准相应的商务技术资料。</w:t>
      </w:r>
    </w:p>
    <w:p w14:paraId="5B4D3758">
      <w:pPr>
        <w:spacing w:line="336" w:lineRule="auto"/>
        <w:ind w:firstLine="482" w:firstLineChars="200"/>
        <w:rPr>
          <w:rFonts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10</w:t>
      </w:r>
      <w:r>
        <w:rPr>
          <w:rFonts w:hint="eastAsia" w:ascii="仿宋" w:hAnsi="仿宋" w:eastAsia="仿宋" w:cs="仿宋"/>
          <w:b/>
          <w:bCs/>
          <w:iCs/>
          <w:sz w:val="24"/>
          <w:highlight w:val="none"/>
        </w:rPr>
        <w:t>分）</w:t>
      </w:r>
    </w:p>
    <w:p w14:paraId="367081DC">
      <w:pPr>
        <w:spacing w:line="336" w:lineRule="auto"/>
        <w:ind w:firstLine="480" w:firstLineChars="200"/>
        <w:rPr>
          <w:rFonts w:ascii="仿宋" w:hAnsi="仿宋" w:eastAsia="仿宋" w:cs="仿宋"/>
          <w:bCs/>
          <w:iCs/>
          <w:sz w:val="24"/>
          <w:highlight w:val="none"/>
        </w:rPr>
      </w:pPr>
      <w:r>
        <w:rPr>
          <w:rFonts w:hint="eastAsia" w:ascii="仿宋" w:hAnsi="仿宋" w:eastAsia="仿宋" w:cs="仿宋"/>
          <w:bCs/>
          <w:iCs/>
          <w:sz w:val="24"/>
          <w:highlight w:val="none"/>
        </w:rPr>
        <w:t>2.2.1评标基准价：即满足磋商文件要求且磋商价格最低的磋商报价为评标基准价，其价格分为满分。</w:t>
      </w:r>
    </w:p>
    <w:p w14:paraId="2313E579">
      <w:pPr>
        <w:spacing w:line="336" w:lineRule="auto"/>
        <w:ind w:firstLine="480" w:firstLineChars="200"/>
        <w:rPr>
          <w:rFonts w:ascii="仿宋" w:hAnsi="仿宋" w:eastAsia="仿宋" w:cs="仿宋"/>
          <w:bCs/>
          <w:iCs/>
          <w:sz w:val="24"/>
          <w:highlight w:val="none"/>
        </w:rPr>
      </w:pPr>
      <w:r>
        <w:rPr>
          <w:rFonts w:hint="eastAsia" w:ascii="仿宋" w:hAnsi="仿宋" w:eastAsia="仿宋" w:cs="仿宋"/>
          <w:bCs/>
          <w:iCs/>
          <w:sz w:val="24"/>
          <w:highlight w:val="none"/>
        </w:rPr>
        <w:t>2.2.2其他供应商的价格分统一按照下列公式计算：</w:t>
      </w:r>
    </w:p>
    <w:p w14:paraId="5CB8E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ascii="仿宋" w:hAnsi="仿宋" w:eastAsia="仿宋" w:cs="仿宋"/>
          <w:bCs/>
          <w:iCs/>
          <w:sz w:val="24"/>
          <w:highlight w:val="none"/>
        </w:rPr>
      </w:pPr>
      <w:r>
        <w:rPr>
          <w:rFonts w:hint="eastAsia" w:ascii="仿宋" w:hAnsi="仿宋" w:eastAsia="仿宋" w:cs="仿宋"/>
          <w:bCs/>
          <w:iCs/>
          <w:sz w:val="24"/>
          <w:highlight w:val="none"/>
        </w:rPr>
        <w:t>磋商报价得分=(评标基准价／磋商报价)×价格权值×100</w:t>
      </w:r>
    </w:p>
    <w:p w14:paraId="56230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ascii="仿宋" w:hAnsi="仿宋" w:eastAsia="仿宋" w:cs="仿宋"/>
          <w:b/>
          <w:kern w:val="0"/>
          <w:sz w:val="24"/>
          <w:highlight w:val="none"/>
        </w:rPr>
      </w:pPr>
      <w:r>
        <w:rPr>
          <w:rFonts w:hint="eastAsia" w:ascii="仿宋" w:hAnsi="仿宋" w:eastAsia="仿宋" w:cs="仿宋"/>
          <w:bCs/>
          <w:iCs/>
          <w:sz w:val="24"/>
          <w:highlight w:val="none"/>
        </w:rPr>
        <w:t>即：磋商报价得分=(评标基准价／磋商报价)×</w:t>
      </w:r>
      <w:r>
        <w:rPr>
          <w:rFonts w:hint="eastAsia" w:ascii="仿宋" w:hAnsi="仿宋" w:eastAsia="仿宋" w:cs="仿宋"/>
          <w:bCs/>
          <w:iCs/>
          <w:sz w:val="24"/>
          <w:highlight w:val="none"/>
          <w:u w:val="single"/>
          <w:lang w:val="en-US" w:eastAsia="zh-CN"/>
        </w:rPr>
        <w:t>10</w:t>
      </w:r>
    </w:p>
    <w:p w14:paraId="006EE3BA">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2CF6941B">
      <w:pPr>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14:paraId="571B49F1">
      <w:pPr>
        <w:pStyle w:val="74"/>
        <w:spacing w:line="336" w:lineRule="auto"/>
        <w:ind w:left="0"/>
        <w:rPr>
          <w:rFonts w:ascii="仿宋" w:hAnsi="仿宋" w:eastAsia="仿宋" w:cs="仿宋"/>
          <w:b/>
          <w:sz w:val="24"/>
        </w:rPr>
      </w:pPr>
    </w:p>
    <w:p w14:paraId="2ED08FD4">
      <w:pPr>
        <w:spacing w:line="336" w:lineRule="auto"/>
        <w:rPr>
          <w:rFonts w:ascii="仿宋" w:hAnsi="仿宋" w:eastAsia="仿宋" w:cs="仿宋"/>
          <w:b/>
          <w:kern w:val="0"/>
          <w:sz w:val="24"/>
        </w:rPr>
      </w:pPr>
    </w:p>
    <w:p w14:paraId="0DAF9ED4">
      <w:pPr>
        <w:pStyle w:val="73"/>
        <w:spacing w:line="336" w:lineRule="auto"/>
        <w:rPr>
          <w:rFonts w:ascii="仿宋" w:hAnsi="仿宋" w:eastAsia="仿宋" w:cs="仿宋"/>
        </w:rPr>
      </w:pPr>
    </w:p>
    <w:bookmarkEnd w:id="83"/>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r>
        <w:rPr>
          <w:rFonts w:hint="eastAsia" w:ascii="仿宋" w:hAnsi="仿宋" w:eastAsia="仿宋" w:cs="仿宋"/>
          <w:color w:val="auto"/>
          <w:sz w:val="24"/>
          <w:lang w:val="en-US" w:eastAsia="zh-CN"/>
        </w:rPr>
        <w:t>(6)</w:t>
      </w:r>
      <w:r>
        <w:rPr>
          <w:rFonts w:hint="eastAsia" w:ascii="仿宋" w:hAnsi="仿宋" w:eastAsia="仿宋" w:cs="仿宋"/>
          <w:color w:val="auto"/>
          <w:sz w:val="24"/>
        </w:rPr>
        <w:t>旅行社业务经营许可证扫描件…………………………………………………（页码）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0D018FEB">
      <w:pPr>
        <w:rPr>
          <w:rFonts w:hint="eastAsia" w:ascii="仿宋" w:hAnsi="仿宋" w:eastAsia="仿宋" w:cs="仿宋"/>
          <w:b/>
          <w:kern w:val="0"/>
          <w:sz w:val="32"/>
          <w:szCs w:val="32"/>
          <w:lang w:val="en-US" w:eastAsia="zh-CN" w:bidi="ar-SA"/>
        </w:rPr>
      </w:pPr>
    </w:p>
    <w:p w14:paraId="77DD1B61">
      <w:pPr>
        <w:pStyle w:val="118"/>
        <w:keepNext w:val="0"/>
        <w:pageBreakBefore w:val="0"/>
        <w:numPr>
          <w:ilvl w:val="0"/>
          <w:numId w:val="0"/>
        </w:numPr>
        <w:tabs>
          <w:tab w:val="clear" w:pos="720"/>
        </w:tabs>
        <w:spacing w:line="336" w:lineRule="auto"/>
        <w:jc w:val="center"/>
        <w:outlineLvl w:val="9"/>
        <w:rPr>
          <w:rFonts w:ascii="仿宋" w:hAnsi="仿宋" w:eastAsia="仿宋" w:cs="仿宋"/>
          <w:kern w:val="0"/>
          <w:sz w:val="32"/>
          <w:szCs w:val="32"/>
        </w:rPr>
      </w:pPr>
      <w:r>
        <w:rPr>
          <w:rFonts w:hint="eastAsia" w:ascii="仿宋" w:hAnsi="仿宋" w:eastAsia="仿宋" w:cs="仿宋"/>
          <w:b/>
          <w:kern w:val="0"/>
          <w:sz w:val="32"/>
          <w:szCs w:val="32"/>
          <w:lang w:val="en-US" w:eastAsia="zh-CN" w:bidi="ar-SA"/>
        </w:rPr>
        <w:t>四、</w:t>
      </w:r>
      <w:r>
        <w:rPr>
          <w:rFonts w:hint="eastAsia" w:ascii="仿宋" w:hAnsi="仿宋" w:eastAsia="仿宋" w:cs="仿宋"/>
          <w:kern w:val="0"/>
          <w:sz w:val="32"/>
          <w:szCs w:val="32"/>
        </w:rPr>
        <w:t>符合参加政府采购活动应当具备的一般条件的承诺函</w:t>
      </w:r>
    </w:p>
    <w:p w14:paraId="188494DA">
      <w:pPr>
        <w:snapToGrid w:val="0"/>
        <w:spacing w:line="336" w:lineRule="auto"/>
        <w:rPr>
          <w:rFonts w:ascii="仿宋" w:hAnsi="仿宋" w:eastAsia="仿宋" w:cs="仿宋"/>
          <w:sz w:val="24"/>
        </w:rPr>
      </w:pPr>
      <w:r>
        <w:rPr>
          <w:rFonts w:hint="eastAsia" w:ascii="仿宋" w:hAnsi="仿宋" w:eastAsia="仿宋" w:cs="仿宋"/>
          <w:sz w:val="24"/>
          <w:lang w:eastAsia="zh-CN"/>
        </w:rPr>
        <w:t>中国共产党新昌县委员会组织部</w:t>
      </w:r>
      <w:r>
        <w:rPr>
          <w:rFonts w:hint="eastAsia" w:ascii="仿宋" w:hAnsi="仿宋" w:eastAsia="仿宋" w:cs="仿宋"/>
          <w:sz w:val="24"/>
        </w:rPr>
        <w:t xml:space="preserve"> 、绍兴平准招标代理有限公司：</w:t>
      </w:r>
    </w:p>
    <w:p w14:paraId="7ED19C47">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 xml:space="preserve">中国共产党新昌县委员会组织部优秀公务员健康休养服务采购项目  </w:t>
      </w:r>
      <w:r>
        <w:rPr>
          <w:rFonts w:hint="eastAsia" w:ascii="仿宋" w:hAnsi="仿宋" w:eastAsia="仿宋" w:cs="仿宋"/>
          <w:kern w:val="0"/>
          <w:sz w:val="24"/>
          <w:lang w:val="zh-CN"/>
        </w:rPr>
        <w:t>【项目编号：SXPZ-F20250707QXY】</w:t>
      </w:r>
      <w:r>
        <w:rPr>
          <w:rFonts w:hint="eastAsia" w:ascii="仿宋" w:hAnsi="仿宋" w:eastAsia="仿宋" w:cs="仿宋"/>
          <w:sz w:val="24"/>
        </w:rPr>
        <w:t>政府采购活动，郑重承诺：</w:t>
      </w:r>
    </w:p>
    <w:p w14:paraId="3C53CDE4">
      <w:pPr>
        <w:snapToGrid w:val="0"/>
        <w:spacing w:line="336"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CE1AF7A">
      <w:pPr>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 w:hAnsi="仿宋" w:eastAsia="仿宋" w:cs="仿宋"/>
          <w:sz w:val="24"/>
          <w:highlight w:val="none"/>
        </w:rPr>
        <w:t>（如</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407E387">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A7AD953">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36ACE731">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54E59E74">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2A8B25AD">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695501C">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5ABF87D">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17A1B0CF">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44D6B7E">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012EE4A">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7F6B5F48">
      <w:pPr>
        <w:spacing w:line="336" w:lineRule="auto"/>
        <w:ind w:firstLine="6960" w:firstLineChars="2900"/>
        <w:rPr>
          <w:rFonts w:ascii="仿宋" w:hAnsi="仿宋" w:eastAsia="仿宋" w:cs="仿宋"/>
          <w:sz w:val="24"/>
        </w:rPr>
      </w:pPr>
      <w:r>
        <w:rPr>
          <w:rFonts w:hint="eastAsia" w:ascii="仿宋" w:hAnsi="仿宋" w:eastAsia="仿宋" w:cs="仿宋"/>
          <w:sz w:val="24"/>
        </w:rPr>
        <w:t>日 期：</w:t>
      </w:r>
    </w:p>
    <w:p w14:paraId="5CD84C38">
      <w:pPr>
        <w:snapToGrid w:val="0"/>
        <w:spacing w:line="336" w:lineRule="auto"/>
        <w:jc w:val="center"/>
        <w:rPr>
          <w:rFonts w:ascii="仿宋" w:hAnsi="仿宋" w:eastAsia="仿宋" w:cs="仿宋"/>
          <w:b/>
          <w:kern w:val="0"/>
          <w:sz w:val="32"/>
          <w:szCs w:val="32"/>
        </w:rPr>
      </w:pPr>
    </w:p>
    <w:p w14:paraId="10B244E7">
      <w:pPr>
        <w:widowControl/>
        <w:adjustRightInd/>
        <w:spacing w:line="336" w:lineRule="auto"/>
        <w:jc w:val="left"/>
        <w:rPr>
          <w:rFonts w:hint="eastAsia" w:ascii="仿宋" w:hAnsi="仿宋" w:eastAsia="仿宋" w:cs="仿宋"/>
          <w:b/>
          <w:color w:val="auto"/>
          <w:kern w:val="0"/>
          <w:sz w:val="32"/>
          <w:szCs w:val="32"/>
        </w:rPr>
      </w:pPr>
      <w:r>
        <w:rPr>
          <w:rFonts w:hint="eastAsia" w:ascii="仿宋" w:hAnsi="仿宋" w:eastAsia="仿宋" w:cs="仿宋"/>
          <w:b/>
          <w:sz w:val="32"/>
          <w:szCs w:val="32"/>
        </w:rPr>
        <w:br w:type="page"/>
      </w:r>
    </w:p>
    <w:p w14:paraId="1510824D">
      <w:pPr>
        <w:adjustRightInd/>
        <w:spacing w:line="336" w:lineRule="auto"/>
        <w:jc w:val="center"/>
        <w:outlineLvl w:val="0"/>
        <w:rPr>
          <w:rFonts w:ascii="仿宋" w:hAnsi="仿宋" w:eastAsia="仿宋" w:cs="仿宋"/>
          <w:b/>
          <w:sz w:val="36"/>
          <w:szCs w:val="36"/>
        </w:rPr>
      </w:pPr>
      <w:r>
        <w:rPr>
          <w:rFonts w:hint="eastAsia" w:ascii="仿宋" w:hAnsi="仿宋" w:eastAsia="仿宋" w:cs="仿宋"/>
          <w:b/>
          <w:color w:val="auto"/>
          <w:kern w:val="0"/>
          <w:sz w:val="32"/>
          <w:szCs w:val="32"/>
          <w:lang w:eastAsia="zh-CN"/>
        </w:rPr>
        <w:t>五、</w:t>
      </w:r>
      <w:r>
        <w:rPr>
          <w:rFonts w:hint="eastAsia" w:ascii="仿宋" w:hAnsi="仿宋" w:eastAsia="仿宋" w:cs="仿宋"/>
          <w:b/>
          <w:sz w:val="36"/>
          <w:szCs w:val="36"/>
        </w:rPr>
        <w:t>中小企业声明函（服务）</w:t>
      </w:r>
    </w:p>
    <w:p w14:paraId="78D3DCA3">
      <w:pPr>
        <w:spacing w:line="336" w:lineRule="auto"/>
        <w:jc w:val="center"/>
        <w:rPr>
          <w:rFonts w:ascii="仿宋" w:hAnsi="仿宋" w:eastAsia="仿宋" w:cs="仿宋"/>
          <w:b/>
          <w:sz w:val="32"/>
          <w:szCs w:val="32"/>
        </w:rPr>
      </w:pPr>
    </w:p>
    <w:p w14:paraId="169909A6">
      <w:pPr>
        <w:spacing w:line="336" w:lineRule="auto"/>
        <w:ind w:firstLine="480" w:firstLineChars="20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中国共产党新昌县委员会组织部优秀公务员健康休养服务采购项目  </w:t>
      </w:r>
      <w:r>
        <w:rPr>
          <w:rFonts w:hint="eastAsia" w:ascii="仿宋" w:hAnsi="仿宋" w:eastAsia="仿宋" w:cs="仿宋"/>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04E29558">
      <w:pPr>
        <w:spacing w:line="336"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9E6FC17">
      <w:pPr>
        <w:spacing w:line="336"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ED1D078">
      <w:pPr>
        <w:spacing w:line="336" w:lineRule="auto"/>
        <w:ind w:firstLine="480" w:firstLineChars="200"/>
        <w:jc w:val="left"/>
        <w:rPr>
          <w:rFonts w:ascii="仿宋" w:hAnsi="仿宋" w:eastAsia="仿宋" w:cs="仿宋"/>
          <w:sz w:val="24"/>
        </w:rPr>
      </w:pPr>
      <w:r>
        <w:rPr>
          <w:rFonts w:hint="eastAsia" w:ascii="仿宋" w:hAnsi="仿宋" w:eastAsia="仿宋" w:cs="仿宋"/>
          <w:sz w:val="24"/>
        </w:rPr>
        <w:t>……</w:t>
      </w:r>
    </w:p>
    <w:p w14:paraId="513FF206">
      <w:pPr>
        <w:spacing w:line="336"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BDC848F">
      <w:pPr>
        <w:spacing w:line="336"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05C9CD8">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4328C9C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6A5EC225">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111163A1">
      <w:pPr>
        <w:spacing w:line="336" w:lineRule="auto"/>
        <w:rPr>
          <w:rFonts w:ascii="仿宋" w:hAnsi="仿宋" w:eastAsia="仿宋" w:cs="仿宋"/>
          <w:sz w:val="24"/>
        </w:rPr>
      </w:pPr>
    </w:p>
    <w:p w14:paraId="2E60D418">
      <w:pPr>
        <w:spacing w:line="336" w:lineRule="auto"/>
        <w:rPr>
          <w:rFonts w:ascii="仿宋" w:hAnsi="仿宋" w:eastAsia="仿宋" w:cs="仿宋"/>
          <w:sz w:val="24"/>
        </w:rPr>
      </w:pPr>
      <w:r>
        <w:rPr>
          <w:rFonts w:hint="eastAsia" w:ascii="仿宋" w:hAnsi="仿宋" w:eastAsia="仿宋" w:cs="仿宋"/>
          <w:sz w:val="24"/>
        </w:rPr>
        <w:t xml:space="preserve">   注：</w:t>
      </w:r>
    </w:p>
    <w:p w14:paraId="209BC83E">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26B88EA">
      <w:pPr>
        <w:pStyle w:val="73"/>
        <w:spacing w:line="336" w:lineRule="auto"/>
        <w:rPr>
          <w:rFonts w:ascii="仿宋" w:hAnsi="仿宋" w:eastAsia="仿宋" w:cs="仿宋"/>
          <w:lang w:val="zh-CN"/>
        </w:rPr>
      </w:pPr>
      <w:r>
        <w:rPr>
          <w:rFonts w:hint="eastAsia" w:ascii="仿宋" w:hAnsi="仿宋" w:eastAsia="仿宋" w:cs="仿宋"/>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6362872">
      <w:pPr>
        <w:spacing w:line="336" w:lineRule="auto"/>
        <w:jc w:val="center"/>
        <w:rPr>
          <w:rFonts w:hint="eastAsia" w:ascii="仿宋" w:hAnsi="仿宋" w:eastAsia="仿宋" w:cs="仿宋"/>
          <w:b/>
          <w:kern w:val="0"/>
          <w:sz w:val="36"/>
          <w:szCs w:val="36"/>
        </w:rPr>
      </w:pPr>
    </w:p>
    <w:p w14:paraId="5C6E91A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453E6AAB">
      <w:pPr>
        <w:spacing w:line="336" w:lineRule="auto"/>
        <w:rPr>
          <w:rFonts w:ascii="仿宋" w:hAnsi="仿宋" w:eastAsia="仿宋" w:cs="仿宋"/>
          <w:b/>
          <w:spacing w:val="6"/>
          <w:sz w:val="30"/>
          <w:szCs w:val="30"/>
        </w:rPr>
      </w:pPr>
    </w:p>
    <w:p w14:paraId="29C4B07B">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中国共产党新昌县委员会组织部优秀公务员健康休养服务采购项目  </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53F7276">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5754AAC9">
      <w:pPr>
        <w:spacing w:line="336" w:lineRule="auto"/>
        <w:ind w:firstLine="480" w:firstLineChars="200"/>
        <w:rPr>
          <w:rFonts w:ascii="仿宋" w:hAnsi="仿宋" w:eastAsia="仿宋" w:cs="仿宋"/>
          <w:sz w:val="24"/>
        </w:rPr>
      </w:pPr>
    </w:p>
    <w:p w14:paraId="3F80D6AB">
      <w:pPr>
        <w:spacing w:line="336" w:lineRule="auto"/>
        <w:ind w:firstLine="480" w:firstLineChars="200"/>
        <w:rPr>
          <w:rFonts w:ascii="仿宋" w:hAnsi="仿宋" w:eastAsia="仿宋" w:cs="仿宋"/>
          <w:sz w:val="24"/>
        </w:rPr>
      </w:pPr>
    </w:p>
    <w:p w14:paraId="05AEA54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586CDB1D">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1C6723EA">
      <w:pPr>
        <w:spacing w:line="360" w:lineRule="auto"/>
        <w:jc w:val="center"/>
        <w:rPr>
          <w:rFonts w:hint="eastAsia" w:ascii="仿宋" w:hAnsi="仿宋" w:eastAsia="仿宋" w:cs="仿宋"/>
          <w:b/>
          <w:color w:val="auto"/>
          <w:spacing w:val="6"/>
          <w:sz w:val="32"/>
          <w:szCs w:val="32"/>
          <w:highlight w:val="none"/>
        </w:rPr>
      </w:pPr>
    </w:p>
    <w:p w14:paraId="2DB3A09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监狱企业声明函</w:t>
      </w:r>
    </w:p>
    <w:p w14:paraId="3CEFDFBD">
      <w:pPr>
        <w:autoSpaceDE w:val="0"/>
        <w:autoSpaceDN w:val="0"/>
        <w:jc w:val="center"/>
        <w:rPr>
          <w:rFonts w:hint="eastAsia" w:ascii="仿宋" w:hAnsi="仿宋" w:eastAsia="仿宋" w:cs="仿宋"/>
          <w:b/>
          <w:color w:val="auto"/>
          <w:spacing w:val="6"/>
          <w:sz w:val="32"/>
          <w:szCs w:val="32"/>
          <w:highlight w:val="none"/>
        </w:rPr>
      </w:pPr>
    </w:p>
    <w:p w14:paraId="2F98ABA4">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 号）的规定，本公司为监狱企业。</w:t>
      </w:r>
    </w:p>
    <w:p w14:paraId="6A61158A">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根据上述标准，我公司属于监狱企业的理由为：本公司为参加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项目采购活动提供本企业提供服务</w:t>
      </w:r>
    </w:p>
    <w:p w14:paraId="69CE4114">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color w:val="auto"/>
          <w:sz w:val="24"/>
          <w:szCs w:val="24"/>
          <w:highlight w:val="none"/>
        </w:rPr>
        <w:t>本公司对上述声明的真实性负责。如有虚假，将依法承担相应责任。</w:t>
      </w:r>
    </w:p>
    <w:p w14:paraId="3E8A68CB">
      <w:pPr>
        <w:autoSpaceDE w:val="0"/>
        <w:autoSpaceDN w:val="0"/>
        <w:jc w:val="center"/>
        <w:rPr>
          <w:rFonts w:hint="eastAsia" w:ascii="仿宋" w:hAnsi="仿宋" w:eastAsia="仿宋" w:cs="仿宋"/>
          <w:b/>
          <w:color w:val="auto"/>
          <w:spacing w:val="6"/>
          <w:sz w:val="32"/>
          <w:szCs w:val="32"/>
          <w:highlight w:val="none"/>
        </w:rPr>
      </w:pPr>
    </w:p>
    <w:p w14:paraId="4BE075DF">
      <w:pPr>
        <w:autoSpaceDE w:val="0"/>
        <w:autoSpaceDN w:val="0"/>
        <w:jc w:val="both"/>
        <w:rPr>
          <w:rFonts w:hint="eastAsia" w:ascii="仿宋" w:hAnsi="仿宋" w:eastAsia="仿宋" w:cs="仿宋"/>
          <w:b/>
          <w:color w:val="auto"/>
          <w:spacing w:val="6"/>
          <w:sz w:val="32"/>
          <w:szCs w:val="32"/>
          <w:highlight w:val="none"/>
        </w:rPr>
      </w:pPr>
    </w:p>
    <w:p w14:paraId="27853BF2">
      <w:pPr>
        <w:autoSpaceDE w:val="0"/>
        <w:autoSpaceDN w:val="0"/>
        <w:jc w:val="center"/>
        <w:rPr>
          <w:rFonts w:hint="eastAsia" w:ascii="仿宋" w:hAnsi="仿宋" w:eastAsia="仿宋" w:cs="仿宋"/>
          <w:b/>
          <w:color w:val="auto"/>
          <w:spacing w:val="6"/>
          <w:sz w:val="32"/>
          <w:szCs w:val="32"/>
          <w:highlight w:val="none"/>
        </w:rPr>
      </w:pPr>
    </w:p>
    <w:p w14:paraId="6043ED1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00D80DA8">
      <w:pPr>
        <w:tabs>
          <w:tab w:val="left" w:pos="4860"/>
        </w:tabs>
        <w:spacing w:line="360" w:lineRule="auto"/>
        <w:ind w:right="1560" w:firstLine="480" w:firstLineChars="200"/>
        <w:jc w:val="center"/>
        <w:rPr>
          <w:rFonts w:hint="eastAsia" w:ascii="仿宋" w:hAnsi="仿宋" w:eastAsia="仿宋" w:cs="仿宋"/>
          <w:b/>
          <w:color w:val="auto"/>
          <w:kern w:val="0"/>
          <w:sz w:val="32"/>
          <w:szCs w:val="32"/>
        </w:rPr>
      </w:pPr>
      <w:r>
        <w:rPr>
          <w:rFonts w:hint="eastAsia" w:ascii="仿宋" w:hAnsi="仿宋" w:eastAsia="仿宋" w:cs="仿宋"/>
          <w:color w:val="auto"/>
          <w:sz w:val="24"/>
          <w:highlight w:val="none"/>
        </w:rPr>
        <w:t xml:space="preserve">       日  期：</w:t>
      </w:r>
    </w:p>
    <w:p w14:paraId="51352A18">
      <w:pPr>
        <w:numPr>
          <w:ilvl w:val="0"/>
          <w:numId w:val="0"/>
        </w:num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kern w:val="0"/>
          <w:sz w:val="36"/>
          <w:szCs w:val="36"/>
          <w:lang w:eastAsia="zh-CN"/>
        </w:rPr>
        <w:t>六、</w:t>
      </w:r>
      <w:r>
        <w:rPr>
          <w:rFonts w:hint="eastAsia" w:ascii="仿宋" w:hAnsi="仿宋" w:eastAsia="仿宋" w:cs="仿宋"/>
          <w:b/>
          <w:color w:val="auto"/>
          <w:kern w:val="0"/>
          <w:sz w:val="32"/>
          <w:szCs w:val="32"/>
        </w:rPr>
        <w:t>旅行社业务经营许可证扫描件</w:t>
      </w:r>
    </w:p>
    <w:p w14:paraId="28AAD567">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（要求提供相应的材料）</w:t>
      </w:r>
    </w:p>
    <w:p w14:paraId="3334E18C">
      <w:pPr>
        <w:rPr>
          <w:rFonts w:hint="eastAsia" w:ascii="仿宋" w:hAnsi="仿宋" w:eastAsia="仿宋" w:cs="仿宋"/>
          <w:b/>
          <w:kern w:val="0"/>
          <w:sz w:val="36"/>
          <w:szCs w:val="36"/>
        </w:rPr>
      </w:pPr>
    </w:p>
    <w:p w14:paraId="2AC3904F">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0F8F883">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4C5A0758">
      <w:pPr>
        <w:spacing w:line="336" w:lineRule="auto"/>
        <w:jc w:val="center"/>
        <w:outlineLvl w:val="0"/>
        <w:rPr>
          <w:rFonts w:ascii="仿宋" w:hAnsi="仿宋" w:eastAsia="仿宋" w:cs="仿宋"/>
          <w:b/>
          <w:kern w:val="0"/>
          <w:sz w:val="24"/>
        </w:rPr>
      </w:pPr>
    </w:p>
    <w:p w14:paraId="1DFFA0D0">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688E4D4D">
      <w:pPr>
        <w:pStyle w:val="187"/>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7"/>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7"/>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7"/>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7"/>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7"/>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7"/>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7"/>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7"/>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7"/>
        <w:numPr>
          <w:ilvl w:val="0"/>
          <w:numId w:val="9"/>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08CE9051">
      <w:pPr>
        <w:rPr>
          <w:lang w:val="zh-CN"/>
        </w:rPr>
        <w:sectPr>
          <w:footerReference r:id="rId10" w:type="default"/>
          <w:pgSz w:w="11906" w:h="16838"/>
          <w:pgMar w:top="1814" w:right="1474" w:bottom="1814" w:left="1474" w:header="851" w:footer="992" w:gutter="0"/>
          <w:pgNumType w:fmt="decimal"/>
          <w:cols w:space="720" w:num="1"/>
          <w:docGrid w:linePitch="312" w:charSpace="0"/>
        </w:sectPr>
      </w:pPr>
    </w:p>
    <w:p w14:paraId="723E18F3">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rPr>
        <w:t>一、</w:t>
      </w:r>
      <w:r>
        <w:rPr>
          <w:rFonts w:hint="eastAsia" w:ascii="仿宋" w:hAnsi="仿宋" w:eastAsia="仿宋" w:cs="仿宋"/>
          <w:b/>
          <w:kern w:val="0"/>
          <w:sz w:val="32"/>
          <w:szCs w:val="32"/>
          <w:lang w:eastAsia="zh-CN"/>
        </w:rPr>
        <w:t>营业执照扫描件</w:t>
      </w:r>
    </w:p>
    <w:p w14:paraId="3D42BDE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14:paraId="42CAC523">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27E04D3F">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48A1F7ED">
      <w:pPr>
        <w:pStyle w:val="334"/>
        <w:keepNext w:val="0"/>
        <w:keepLines w:val="0"/>
        <w:pageBreakBefore w:val="0"/>
        <w:kinsoku/>
        <w:wordWrap/>
        <w:overflowPunct/>
        <w:topLinePunct w:val="0"/>
        <w:autoSpaceDE/>
        <w:autoSpaceDN/>
        <w:bidi w:val="0"/>
        <w:spacing w:afterLines="0" w:line="440" w:lineRule="exact"/>
        <w:ind w:firstLine="0" w:firstLineChars="0"/>
        <w:textAlignment w:val="auto"/>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 w:val="24"/>
          <w:u w:val="single"/>
          <w:lang w:eastAsia="zh-CN"/>
        </w:rPr>
        <w:t>中国共产党新昌县委员会组织部</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绍兴平准招标代理有限公司</w:t>
      </w:r>
      <w:r>
        <w:rPr>
          <w:rFonts w:hint="eastAsia" w:ascii="仿宋" w:hAnsi="仿宋" w:eastAsia="仿宋" w:cs="仿宋"/>
          <w:color w:val="auto"/>
          <w:szCs w:val="24"/>
          <w:u w:val="single"/>
        </w:rPr>
        <w:t xml:space="preserve"> </w:t>
      </w:r>
    </w:p>
    <w:p w14:paraId="6E25069F">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根据贵方磋商文件（</w:t>
      </w:r>
      <w:r>
        <w:rPr>
          <w:rFonts w:hint="eastAsia" w:ascii="仿宋" w:hAnsi="仿宋" w:eastAsia="仿宋" w:cs="仿宋"/>
          <w:b/>
          <w:szCs w:val="24"/>
          <w:u w:val="single"/>
          <w:lang w:val="en-US" w:eastAsia="zh-CN"/>
        </w:rPr>
        <w:t>SXPZ-F20250707QXY</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代表供应商</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提交磋商响应文件。</w:t>
      </w:r>
    </w:p>
    <w:p w14:paraId="539C5084">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我方已完全明白磋商文件的所有条款要求，兹声明同意如下：</w:t>
      </w:r>
    </w:p>
    <w:p w14:paraId="00A8EE3D">
      <w:pPr>
        <w:pStyle w:val="14"/>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rPr>
        <w:t xml:space="preserve"> 我方同意在供应商</w:t>
      </w:r>
      <w:r>
        <w:rPr>
          <w:rFonts w:hint="eastAsia" w:ascii="仿宋" w:hAnsi="仿宋" w:eastAsia="仿宋" w:cs="仿宋"/>
          <w:kern w:val="44"/>
        </w:rPr>
        <w:t>须知</w:t>
      </w:r>
      <w:r>
        <w:rPr>
          <w:rFonts w:hint="eastAsia" w:ascii="仿宋" w:hAnsi="仿宋" w:eastAsia="仿宋" w:cs="仿宋"/>
        </w:rPr>
        <w:t>规定的响应日期起遵守本磋商响应文件中的承诺且在响应有效期满之前均具有约束力</w:t>
      </w:r>
      <w:r>
        <w:rPr>
          <w:rFonts w:hint="eastAsia" w:ascii="仿宋" w:hAnsi="仿宋" w:eastAsia="仿宋" w:cs="仿宋"/>
          <w:szCs w:val="24"/>
        </w:rPr>
        <w:t>。</w:t>
      </w:r>
    </w:p>
    <w:p w14:paraId="6577D993">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14:paraId="17FCCBDE">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rPr>
        <w:t>本公司磋商响应文件中填列的技术参数、配置、服务、数量等相关内容都是真实、准确的。保证在本次项目中所提供的资料全部真实和合法。</w:t>
      </w:r>
      <w:r>
        <w:rPr>
          <w:rFonts w:hint="eastAsia" w:ascii="仿宋" w:hAnsi="仿宋" w:eastAsia="仿宋" w:cs="仿宋"/>
          <w:szCs w:val="24"/>
        </w:rPr>
        <w:t>同意向绍兴虬实企业管理咨询有限公司提供可能另外要求的与磋商有关的任何数据或资料；</w:t>
      </w:r>
    </w:p>
    <w:p w14:paraId="594900D2">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4.我方理解贵方将不受你们所收到的最低报价的约束。</w:t>
      </w:r>
    </w:p>
    <w:p w14:paraId="3492EE21">
      <w:pPr>
        <w:pStyle w:val="14"/>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仿宋" w:hAnsi="仿宋" w:eastAsia="仿宋" w:cs="仿宋"/>
          <w:szCs w:val="24"/>
        </w:rPr>
      </w:pPr>
      <w:r>
        <w:rPr>
          <w:rFonts w:hint="eastAsia" w:ascii="仿宋" w:hAnsi="仿宋" w:eastAsia="仿宋" w:cs="仿宋"/>
        </w:rPr>
        <w:t>5.磋商有效期为从提交磋商响应文件的截止之日起90天。</w:t>
      </w:r>
    </w:p>
    <w:p w14:paraId="18913FB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B5779E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a)提供虚假材料谋取中标、成交的；</w:t>
      </w:r>
    </w:p>
    <w:p w14:paraId="04FCCF6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b)采取不正当手段诋毁、排挤其他供应商的；</w:t>
      </w:r>
    </w:p>
    <w:p w14:paraId="72FAE41C">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c)与采购人、其它供应商或者采购代理机构恶意串通的；</w:t>
      </w:r>
    </w:p>
    <w:p w14:paraId="0BB5EAB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d)向采购人、采购代理机构行贿或者提供其他不正当利益的；</w:t>
      </w:r>
    </w:p>
    <w:p w14:paraId="5BFAFC7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e)在采购过程中与采购人进行协商谈判的；</w:t>
      </w:r>
    </w:p>
    <w:p w14:paraId="46CD3D7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f)拒绝有关部门监督检查或提供虚假情况的。</w:t>
      </w:r>
    </w:p>
    <w:p w14:paraId="5159898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供应商有前款第a)至e)项情形之一的，中标、成交无效。</w:t>
      </w:r>
    </w:p>
    <w:p w14:paraId="1DF99143">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地址：　　　　　　　　　　　　　　　邮政编码：</w:t>
      </w:r>
    </w:p>
    <w:p w14:paraId="32EBF790">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电话：                              传真：</w:t>
      </w:r>
    </w:p>
    <w:p w14:paraId="426129C8">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开户银行：                          账号：</w:t>
      </w:r>
    </w:p>
    <w:p w14:paraId="1E3B89E9">
      <w:pPr>
        <w:pStyle w:val="334"/>
        <w:keepNext w:val="0"/>
        <w:keepLines w:val="0"/>
        <w:pageBreakBefore w:val="0"/>
        <w:kinsoku/>
        <w:wordWrap/>
        <w:overflowPunct/>
        <w:topLinePunct w:val="0"/>
        <w:autoSpaceDE/>
        <w:autoSpaceDN/>
        <w:bidi w:val="0"/>
        <w:spacing w:afterLines="0" w:line="440" w:lineRule="exact"/>
        <w:ind w:firstLine="480"/>
        <w:textAlignment w:val="auto"/>
        <w:rPr>
          <w:rFonts w:hint="eastAsia" w:ascii="仿宋" w:hAnsi="仿宋" w:eastAsia="仿宋" w:cs="仿宋"/>
          <w:szCs w:val="24"/>
        </w:rPr>
      </w:pPr>
      <w:r>
        <w:rPr>
          <w:rFonts w:hint="eastAsia" w:ascii="仿宋" w:hAnsi="仿宋" w:eastAsia="仿宋" w:cs="仿宋"/>
          <w:szCs w:val="24"/>
        </w:rPr>
        <w:t>法定代表人或其授权代表(签字或签章)：</w:t>
      </w:r>
    </w:p>
    <w:p w14:paraId="6277A05C">
      <w:pPr>
        <w:keepNext w:val="0"/>
        <w:keepLines w:val="0"/>
        <w:pageBreakBefore w:val="0"/>
        <w:kinsoku/>
        <w:wordWrap/>
        <w:overflowPunct/>
        <w:topLinePunct w:val="0"/>
        <w:autoSpaceDE/>
        <w:autoSpaceDN/>
        <w:bidi w:val="0"/>
        <w:spacing w:line="440" w:lineRule="exact"/>
        <w:jc w:val="both"/>
        <w:textAlignment w:val="auto"/>
        <w:rPr>
          <w:rFonts w:ascii="仿宋" w:hAnsi="仿宋" w:eastAsia="仿宋" w:cs="仿宋"/>
          <w:sz w:val="24"/>
        </w:rPr>
      </w:pPr>
      <w:r>
        <w:rPr>
          <w:rFonts w:hint="eastAsia" w:ascii="仿宋" w:hAnsi="仿宋" w:eastAsia="仿宋" w:cs="仿宋"/>
          <w:sz w:val="24"/>
        </w:rPr>
        <w:t>供应商名称（电子签名）：</w:t>
      </w:r>
      <w:r>
        <w:rPr>
          <w:rFonts w:hint="eastAsia" w:ascii="仿宋" w:hAnsi="仿宋" w:eastAsia="仿宋" w:cs="仿宋"/>
          <w:sz w:val="24"/>
          <w:lang w:val="en-US" w:eastAsia="zh-CN"/>
        </w:rPr>
        <w:t xml:space="preserve">               </w:t>
      </w:r>
      <w:r>
        <w:rPr>
          <w:rFonts w:hint="eastAsia" w:ascii="仿宋" w:hAnsi="仿宋" w:eastAsia="仿宋" w:cs="仿宋"/>
          <w:szCs w:val="24"/>
        </w:rPr>
        <w:t xml:space="preserve">日期：     </w:t>
      </w: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0DF052B">
      <w:pPr>
        <w:snapToGrid w:val="0"/>
        <w:spacing w:line="360" w:lineRule="auto"/>
        <w:ind w:right="480"/>
        <w:jc w:val="center"/>
        <w:rPr>
          <w:rFonts w:hint="eastAsia" w:ascii="仿宋" w:hAnsi="仿宋" w:eastAsia="仿宋" w:cs="仿宋"/>
          <w:b/>
          <w:color w:val="auto"/>
          <w:kern w:val="0"/>
          <w:sz w:val="32"/>
          <w:szCs w:val="32"/>
          <w:lang w:val="en-US" w:eastAsia="zh-CN"/>
        </w:rPr>
      </w:pPr>
    </w:p>
    <w:p w14:paraId="1416BCCA">
      <w:pPr>
        <w:snapToGrid w:val="0"/>
        <w:spacing w:line="360" w:lineRule="auto"/>
        <w:ind w:right="480"/>
        <w:jc w:val="center"/>
        <w:rPr>
          <w:rFonts w:hint="eastAsia" w:ascii="仿宋" w:hAnsi="仿宋" w:eastAsia="仿宋" w:cs="仿宋"/>
          <w:b/>
          <w:color w:val="auto"/>
          <w:kern w:val="0"/>
          <w:sz w:val="32"/>
          <w:szCs w:val="32"/>
          <w:lang w:val="en-US" w:eastAsia="zh-CN"/>
        </w:rPr>
      </w:pPr>
    </w:p>
    <w:p w14:paraId="430DDC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0D76C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8005B8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2"/>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3"/>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68D31D1A">
      <w:pPr>
        <w:spacing w:line="336" w:lineRule="auto"/>
        <w:jc w:val="center"/>
        <w:rPr>
          <w:rFonts w:ascii="仿宋" w:hAnsi="仿宋" w:eastAsia="仿宋" w:cs="仿宋"/>
          <w:sz w:val="24"/>
        </w:rPr>
      </w:pPr>
      <w:r>
        <w:rPr>
          <w:rFonts w:hint="eastAsia" w:ascii="仿宋" w:hAnsi="仿宋" w:eastAsia="仿宋" w:cs="仿宋"/>
          <w:color w:val="auto"/>
          <w:sz w:val="24"/>
          <w:highlight w:val="none"/>
        </w:rPr>
        <w:t xml:space="preserve">     日期：  年   月   日</w:t>
      </w:r>
    </w:p>
    <w:p w14:paraId="0D194E42">
      <w:pPr>
        <w:pStyle w:val="73"/>
        <w:sectPr>
          <w:headerReference r:id="rId12" w:type="first"/>
          <w:footerReference r:id="rId14" w:type="first"/>
          <w:headerReference r:id="rId11" w:type="default"/>
          <w:footerReference r:id="rId13" w:type="default"/>
          <w:pgSz w:w="11906" w:h="16838"/>
          <w:pgMar w:top="1814" w:right="1474" w:bottom="1814" w:left="1474" w:header="851" w:footer="992" w:gutter="0"/>
          <w:pgNumType w:fmt="decimal"/>
          <w:cols w:space="720" w:num="1"/>
          <w:titlePg/>
          <w:docGrid w:linePitch="312" w:charSpace="0"/>
        </w:sectPr>
      </w:pPr>
    </w:p>
    <w:p w14:paraId="2CF7CA5D">
      <w:pPr>
        <w:spacing w:line="336" w:lineRule="auto"/>
        <w:jc w:val="center"/>
        <w:rPr>
          <w:rFonts w:ascii="仿宋" w:hAnsi="仿宋" w:eastAsia="仿宋" w:cs="仿宋"/>
          <w:b/>
          <w:sz w:val="36"/>
          <w:szCs w:val="36"/>
        </w:rPr>
      </w:pPr>
    </w:p>
    <w:p w14:paraId="3D7BB1D2">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4D08AD0E">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4BBA64B5">
      <w:pPr>
        <w:spacing w:line="336" w:lineRule="auto"/>
        <w:jc w:val="center"/>
        <w:outlineLvl w:val="0"/>
        <w:rPr>
          <w:rFonts w:ascii="仿宋" w:hAnsi="仿宋" w:eastAsia="仿宋" w:cs="仿宋"/>
          <w:b/>
          <w:kern w:val="0"/>
          <w:sz w:val="36"/>
          <w:szCs w:val="36"/>
        </w:rPr>
      </w:pPr>
    </w:p>
    <w:p w14:paraId="7E1ECE6A">
      <w:pPr>
        <w:snapToGrid w:val="0"/>
        <w:spacing w:line="336" w:lineRule="auto"/>
        <w:rPr>
          <w:rFonts w:ascii="仿宋" w:hAnsi="仿宋" w:eastAsia="仿宋" w:cs="仿宋"/>
          <w:sz w:val="24"/>
        </w:rPr>
      </w:pPr>
      <w:r>
        <w:rPr>
          <w:rFonts w:hint="eastAsia" w:ascii="仿宋" w:hAnsi="仿宋" w:eastAsia="仿宋" w:cs="仿宋"/>
          <w:sz w:val="24"/>
        </w:rPr>
        <w:t>（1）磋商一览表（报价表）………………………………………………………（页码）</w:t>
      </w:r>
    </w:p>
    <w:p w14:paraId="264A0ED3">
      <w:pPr>
        <w:numPr>
          <w:ilvl w:val="0"/>
          <w:numId w:val="0"/>
        </w:numPr>
        <w:snapToGrid w:val="0"/>
        <w:spacing w:line="336" w:lineRule="auto"/>
        <w:rPr>
          <w:rFonts w:hint="eastAsia" w:ascii="仿宋" w:hAnsi="仿宋" w:eastAsia="仿宋" w:cs="仿宋"/>
          <w:sz w:val="24"/>
        </w:rPr>
      </w:pPr>
      <w:r>
        <w:rPr>
          <w:rFonts w:hint="eastAsia" w:ascii="仿宋" w:hAnsi="仿宋" w:eastAsia="仿宋" w:cs="仿宋"/>
          <w:sz w:val="24"/>
        </w:rPr>
        <w:t>（2）</w:t>
      </w:r>
      <w:r>
        <w:rPr>
          <w:rFonts w:hint="default" w:ascii="仿宋" w:hAnsi="仿宋" w:eastAsia="仿宋" w:cs="仿宋"/>
          <w:b w:val="0"/>
          <w:bCs w:val="0"/>
          <w:i w:val="0"/>
          <w:iCs w:val="0"/>
          <w:color w:val="auto"/>
          <w:kern w:val="2"/>
          <w:sz w:val="24"/>
          <w:szCs w:val="24"/>
          <w:highlight w:val="none"/>
          <w:vertAlign w:val="baseline"/>
          <w:lang w:val="en-US" w:eastAsia="zh-CN" w:bidi="ar-SA"/>
        </w:rPr>
        <w:t>供应商针对报价需要说明的其他文件和说明（若有）</w:t>
      </w:r>
      <w:r>
        <w:rPr>
          <w:rFonts w:hint="eastAsia" w:ascii="仿宋" w:hAnsi="仿宋" w:eastAsia="仿宋" w:cs="仿宋"/>
          <w:sz w:val="24"/>
        </w:rPr>
        <w:t>……………………（页码）</w:t>
      </w:r>
    </w:p>
    <w:p w14:paraId="709E41EB">
      <w:pPr>
        <w:pStyle w:val="73"/>
        <w:rPr>
          <w:rFonts w:hint="eastAsia" w:eastAsia="仿宋_GB2312"/>
          <w:lang w:eastAsia="zh-CN"/>
        </w:rPr>
      </w:pPr>
    </w:p>
    <w:p w14:paraId="36735A7E">
      <w:pPr>
        <w:snapToGrid w:val="0"/>
        <w:spacing w:line="336" w:lineRule="auto"/>
        <w:jc w:val="center"/>
        <w:rPr>
          <w:rFonts w:ascii="仿宋" w:hAnsi="仿宋" w:eastAsia="仿宋" w:cs="仿宋"/>
          <w:b/>
          <w:kern w:val="0"/>
          <w:sz w:val="32"/>
          <w:szCs w:val="32"/>
        </w:rPr>
      </w:pPr>
    </w:p>
    <w:p w14:paraId="33ACEDDA">
      <w:pPr>
        <w:spacing w:line="336" w:lineRule="auto"/>
        <w:jc w:val="center"/>
        <w:rPr>
          <w:rFonts w:ascii="仿宋" w:hAnsi="仿宋" w:eastAsia="仿宋" w:cs="仿宋"/>
          <w:b/>
          <w:bCs/>
          <w:sz w:val="32"/>
          <w:szCs w:val="32"/>
        </w:rPr>
      </w:pPr>
    </w:p>
    <w:p w14:paraId="4F07C5E0">
      <w:pPr>
        <w:widowControl/>
        <w:adjustRightInd/>
        <w:spacing w:line="336" w:lineRule="auto"/>
        <w:jc w:val="left"/>
        <w:rPr>
          <w:rFonts w:ascii="仿宋" w:hAnsi="仿宋" w:eastAsia="仿宋" w:cs="仿宋"/>
          <w:b/>
          <w:bCs/>
          <w:sz w:val="30"/>
          <w:szCs w:val="30"/>
        </w:rPr>
      </w:pPr>
    </w:p>
    <w:p w14:paraId="1D9E0D42">
      <w:pPr>
        <w:widowControl/>
        <w:adjustRightInd/>
        <w:spacing w:line="336" w:lineRule="auto"/>
        <w:jc w:val="left"/>
        <w:rPr>
          <w:rFonts w:ascii="仿宋" w:hAnsi="仿宋" w:eastAsia="仿宋" w:cs="仿宋"/>
          <w:kern w:val="2"/>
          <w:sz w:val="32"/>
          <w:szCs w:val="32"/>
        </w:rPr>
        <w:sectPr>
          <w:headerReference r:id="rId16" w:type="first"/>
          <w:footerReference r:id="rId19" w:type="first"/>
          <w:headerReference r:id="rId15" w:type="default"/>
          <w:footerReference r:id="rId17" w:type="default"/>
          <w:footerReference r:id="rId18"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2D57823E">
      <w:pPr>
        <w:pStyle w:val="118"/>
        <w:keepNext w:val="0"/>
        <w:pageBreakBefore w:val="0"/>
        <w:tabs>
          <w:tab w:val="clear" w:pos="720"/>
        </w:tabs>
        <w:spacing w:line="336" w:lineRule="auto"/>
        <w:ind w:firstLine="640"/>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t>一、</w:t>
      </w:r>
      <w:r>
        <w:rPr>
          <w:rFonts w:hint="eastAsia" w:ascii="仿宋" w:hAnsi="仿宋" w:eastAsia="仿宋" w:cs="仿宋"/>
          <w:kern w:val="2"/>
          <w:sz w:val="32"/>
          <w:szCs w:val="32"/>
        </w:rPr>
        <w:t>磋商一览表（报价表）</w:t>
      </w:r>
      <w:r>
        <w:rPr>
          <w:rFonts w:hint="eastAsia" w:ascii="仿宋" w:hAnsi="仿宋" w:eastAsia="仿宋" w:cs="仿宋"/>
          <w:kern w:val="2"/>
          <w:sz w:val="32"/>
          <w:szCs w:val="32"/>
          <w:lang w:eastAsia="zh-CN"/>
        </w:rPr>
        <w:t>（标项一）</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2"/>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53179F55">
      <w:pPr>
        <w:pStyle w:val="642"/>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63334E40">
      <w:pPr>
        <w:spacing w:line="336" w:lineRule="auto"/>
        <w:rPr>
          <w:rFonts w:ascii="仿宋" w:hAnsi="仿宋" w:eastAsia="仿宋" w:cs="仿宋"/>
          <w:sz w:val="24"/>
        </w:rPr>
      </w:pPr>
    </w:p>
    <w:p w14:paraId="3FE1CA3D">
      <w:pPr>
        <w:spacing w:line="336" w:lineRule="auto"/>
        <w:rPr>
          <w:rFonts w:ascii="仿宋" w:hAnsi="仿宋" w:eastAsia="仿宋" w:cs="仿宋"/>
          <w:sz w:val="24"/>
        </w:rPr>
      </w:pPr>
    </w:p>
    <w:p w14:paraId="6F0F6DBB">
      <w:pPr>
        <w:rPr>
          <w:rFonts w:ascii="宋体" w:eastAsia="宋体" w:cs="宋体"/>
          <w:b/>
          <w:bCs w:val="0"/>
          <w:color w:val="auto"/>
          <w:sz w:val="28"/>
          <w:szCs w:val="28"/>
        </w:rPr>
      </w:pPr>
      <w:r>
        <w:rPr>
          <w:rFonts w:ascii="宋体" w:eastAsia="宋体" w:cs="宋体"/>
          <w:b/>
          <w:bCs w:val="0"/>
          <w:color w:val="auto"/>
          <w:sz w:val="28"/>
          <w:szCs w:val="28"/>
        </w:rPr>
        <w:br w:type="page"/>
      </w:r>
    </w:p>
    <w:p w14:paraId="031D60E2">
      <w:pPr>
        <w:pStyle w:val="118"/>
        <w:keepNext w:val="0"/>
        <w:pageBreakBefore w:val="0"/>
        <w:tabs>
          <w:tab w:val="clear" w:pos="720"/>
        </w:tabs>
        <w:spacing w:line="336" w:lineRule="auto"/>
        <w:ind w:firstLine="640"/>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磋商一览表（报价表）</w:t>
      </w:r>
      <w:r>
        <w:rPr>
          <w:rFonts w:hint="eastAsia" w:ascii="仿宋" w:hAnsi="仿宋" w:eastAsia="仿宋" w:cs="仿宋"/>
          <w:kern w:val="2"/>
          <w:sz w:val="32"/>
          <w:szCs w:val="32"/>
          <w:lang w:eastAsia="zh-CN"/>
        </w:rPr>
        <w:t>（标项二）</w:t>
      </w:r>
    </w:p>
    <w:p w14:paraId="61E672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0A0C2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1625530C">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2"/>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3537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64C275F3">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7FF18F79">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标项名称</w:t>
            </w:r>
          </w:p>
        </w:tc>
        <w:tc>
          <w:tcPr>
            <w:tcW w:w="3630" w:type="dxa"/>
            <w:vAlign w:val="center"/>
          </w:tcPr>
          <w:p w14:paraId="4E98A388">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6FA4B0F3">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54A0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620CDF29">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4640AE2D">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65D25F20">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0788AF85">
      <w:pPr>
        <w:pStyle w:val="642"/>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357CCEC0">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2C7E1ABE">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684EAABE">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CB5FB51">
      <w:pPr>
        <w:pStyle w:val="118"/>
        <w:keepNext w:val="0"/>
        <w:pageBreakBefore w:val="0"/>
        <w:tabs>
          <w:tab w:val="clear" w:pos="720"/>
        </w:tabs>
        <w:spacing w:line="336" w:lineRule="auto"/>
        <w:ind w:firstLine="640"/>
        <w:outlineLvl w:val="9"/>
        <w:rPr>
          <w:rFonts w:hint="eastAsia" w:ascii="仿宋" w:hAnsi="仿宋" w:eastAsia="仿宋" w:cs="仿宋"/>
          <w:color w:val="auto"/>
          <w:sz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3E0CD39C">
      <w:pPr>
        <w:rPr>
          <w:rFonts w:hint="eastAsia" w:ascii="仿宋" w:hAnsi="仿宋" w:eastAsia="仿宋" w:cs="仿宋"/>
          <w:kern w:val="2"/>
          <w:sz w:val="32"/>
          <w:szCs w:val="32"/>
        </w:rPr>
      </w:pPr>
      <w:r>
        <w:rPr>
          <w:rFonts w:hint="eastAsia" w:ascii="仿宋" w:hAnsi="仿宋" w:eastAsia="仿宋" w:cs="仿宋"/>
          <w:kern w:val="2"/>
          <w:sz w:val="32"/>
          <w:szCs w:val="32"/>
        </w:rPr>
        <w:br w:type="page"/>
      </w:r>
    </w:p>
    <w:p w14:paraId="2E290CDA">
      <w:pPr>
        <w:pStyle w:val="118"/>
        <w:keepNext w:val="0"/>
        <w:pageBreakBefore w:val="0"/>
        <w:tabs>
          <w:tab w:val="clear" w:pos="720"/>
        </w:tabs>
        <w:spacing w:line="336" w:lineRule="auto"/>
        <w:ind w:firstLine="640"/>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磋商一览表（报价表）</w:t>
      </w:r>
      <w:r>
        <w:rPr>
          <w:rFonts w:hint="eastAsia" w:ascii="仿宋" w:hAnsi="仿宋" w:eastAsia="仿宋" w:cs="仿宋"/>
          <w:kern w:val="2"/>
          <w:sz w:val="32"/>
          <w:szCs w:val="32"/>
          <w:lang w:eastAsia="zh-CN"/>
        </w:rPr>
        <w:t>（标项三）</w:t>
      </w:r>
    </w:p>
    <w:p w14:paraId="333CED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6B7685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4F50E88A">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2"/>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68D7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2CB5DDE9">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0CFC68AB">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标项名称</w:t>
            </w:r>
          </w:p>
        </w:tc>
        <w:tc>
          <w:tcPr>
            <w:tcW w:w="3630" w:type="dxa"/>
            <w:vAlign w:val="center"/>
          </w:tcPr>
          <w:p w14:paraId="634ED59C">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47EF781D">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471F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4D4E049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3FBE778">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329121B7">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5C6CA653">
      <w:pPr>
        <w:pStyle w:val="642"/>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6945196D">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2334C73E">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72D3983F">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0B8AB916">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029B163">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p>
    <w:p w14:paraId="0559359E">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bookmarkStart w:id="85" w:name="_GoBack"/>
      <w:bookmarkEnd w:id="85"/>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7463EB16">
      <w:pPr>
        <w:overflowPunct w:val="0"/>
        <w:spacing w:line="460" w:lineRule="exact"/>
        <w:rPr>
          <w:rFonts w:hint="eastAsia" w:ascii="仿宋" w:hAnsi="仿宋" w:eastAsia="仿宋" w:cs="仿宋"/>
          <w:kern w:val="0"/>
          <w:sz w:val="24"/>
          <w:lang w:val="zh-CN" w:eastAsia="zh-CN"/>
        </w:rPr>
        <w:sectPr>
          <w:footerReference r:id="rId20" w:type="default"/>
          <w:pgSz w:w="11906" w:h="16838"/>
          <w:pgMar w:top="1474" w:right="1814" w:bottom="1474" w:left="1814" w:header="851" w:footer="992" w:gutter="0"/>
          <w:pgNumType w:fmt="decimal"/>
          <w:cols w:space="720" w:num="1"/>
          <w:titlePg/>
          <w:docGrid w:linePitch="312" w:charSpace="0"/>
        </w:sectPr>
      </w:pPr>
    </w:p>
    <w:p w14:paraId="562FF6D0">
      <w:pPr>
        <w:pStyle w:val="4"/>
        <w:keepNext w:val="0"/>
        <w:keepLines w:val="0"/>
        <w:pageBreakBefore/>
        <w:widowControl/>
        <w:numPr>
          <w:ilvl w:val="0"/>
          <w:numId w:val="0"/>
        </w:numPr>
        <w:adjustRightInd/>
        <w:spacing w:before="0" w:after="0" w:line="336" w:lineRule="auto"/>
        <w:jc w:val="center"/>
        <w:rPr>
          <w:rFonts w:ascii="仿宋" w:hAnsi="仿宋" w:eastAsia="仿宋" w:cs="仿宋"/>
        </w:rPr>
      </w:pPr>
      <w:bookmarkStart w:id="84" w:name="_Toc465665161"/>
      <w:r>
        <w:rPr>
          <w:rFonts w:hint="eastAsia" w:ascii="仿宋" w:hAnsi="仿宋" w:eastAsia="仿宋" w:cs="仿宋"/>
        </w:rPr>
        <w:t>附件</w:t>
      </w:r>
      <w:bookmarkEnd w:id="84"/>
    </w:p>
    <w:p w14:paraId="27CACDF3">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36CB0F1">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7A1E6325">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58625B01">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CC5D45E">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E651D2D">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34CA01E">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C08CAB3">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DCFC442">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CB6EF77">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5F122647">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174BFC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16DC6DB">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FD5AED7">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EA43B30">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518B167B">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B096B02">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40A8333">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7D01D12D">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76E71F2">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59D5CB2">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50103E73">
      <w:pPr>
        <w:snapToGrid w:val="0"/>
        <w:spacing w:line="336" w:lineRule="auto"/>
        <w:rPr>
          <w:rFonts w:ascii="仿宋" w:hAnsi="仿宋" w:eastAsia="仿宋" w:cs="仿宋"/>
          <w:sz w:val="24"/>
        </w:rPr>
      </w:pPr>
      <w:r>
        <w:rPr>
          <w:rFonts w:hint="eastAsia" w:ascii="仿宋" w:hAnsi="仿宋" w:eastAsia="仿宋" w:cs="仿宋"/>
          <w:sz w:val="24"/>
        </w:rPr>
        <w:t>……</w:t>
      </w:r>
    </w:p>
    <w:p w14:paraId="72E7052D">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04CA7138">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EBA8556">
      <w:pPr>
        <w:spacing w:line="336" w:lineRule="auto"/>
        <w:rPr>
          <w:rFonts w:ascii="仿宋" w:hAnsi="仿宋" w:eastAsia="仿宋" w:cs="仿宋"/>
          <w:sz w:val="24"/>
        </w:rPr>
      </w:pPr>
    </w:p>
    <w:p w14:paraId="4453BDA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309529F2">
      <w:pPr>
        <w:spacing w:line="336" w:lineRule="auto"/>
        <w:rPr>
          <w:rFonts w:ascii="仿宋" w:hAnsi="仿宋" w:eastAsia="仿宋" w:cs="仿宋"/>
          <w:sz w:val="24"/>
        </w:rPr>
      </w:pPr>
      <w:r>
        <w:rPr>
          <w:rFonts w:hint="eastAsia" w:ascii="仿宋" w:hAnsi="仿宋" w:eastAsia="仿宋" w:cs="仿宋"/>
          <w:sz w:val="24"/>
        </w:rPr>
        <w:t xml:space="preserve">日期：    </w:t>
      </w:r>
    </w:p>
    <w:p w14:paraId="7BA99389">
      <w:pPr>
        <w:spacing w:line="336" w:lineRule="auto"/>
        <w:rPr>
          <w:rFonts w:ascii="仿宋" w:hAnsi="仿宋" w:eastAsia="仿宋" w:cs="仿宋"/>
          <w:b/>
          <w:sz w:val="24"/>
        </w:rPr>
      </w:pPr>
      <w:r>
        <w:rPr>
          <w:rFonts w:hint="eastAsia" w:ascii="仿宋" w:hAnsi="仿宋" w:eastAsia="仿宋" w:cs="仿宋"/>
          <w:b/>
          <w:sz w:val="24"/>
        </w:rPr>
        <w:t>质疑函制作说明：</w:t>
      </w:r>
    </w:p>
    <w:p w14:paraId="4796CA8E">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D95C08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6641A9C">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936EE2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65458D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5351B03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3412D33">
      <w:pPr>
        <w:widowControl/>
        <w:spacing w:line="336" w:lineRule="auto"/>
        <w:ind w:firstLine="600" w:firstLineChars="200"/>
        <w:jc w:val="left"/>
        <w:rPr>
          <w:rFonts w:ascii="仿宋" w:hAnsi="仿宋" w:eastAsia="仿宋" w:cs="仿宋"/>
          <w:sz w:val="30"/>
          <w:szCs w:val="30"/>
        </w:rPr>
      </w:pPr>
    </w:p>
    <w:p w14:paraId="358DE1E4">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24B1DC1">
      <w:pPr>
        <w:spacing w:line="336" w:lineRule="auto"/>
        <w:jc w:val="center"/>
        <w:rPr>
          <w:rFonts w:ascii="仿宋" w:hAnsi="仿宋" w:eastAsia="仿宋" w:cs="仿宋"/>
          <w:b/>
          <w:sz w:val="24"/>
        </w:rPr>
      </w:pPr>
    </w:p>
    <w:p w14:paraId="70B7AF97">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63F11FA">
      <w:pPr>
        <w:spacing w:line="336" w:lineRule="auto"/>
        <w:rPr>
          <w:rFonts w:ascii="仿宋" w:hAnsi="仿宋" w:eastAsia="仿宋" w:cs="仿宋"/>
          <w:sz w:val="24"/>
        </w:rPr>
      </w:pPr>
      <w:r>
        <w:rPr>
          <w:rFonts w:hint="eastAsia" w:ascii="仿宋" w:hAnsi="仿宋" w:eastAsia="仿宋" w:cs="仿宋"/>
          <w:sz w:val="24"/>
        </w:rPr>
        <w:t>一、投诉相关主体基本情况</w:t>
      </w:r>
    </w:p>
    <w:p w14:paraId="7C6A81D2">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D79CEB2">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D6FA28">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2FF10AA">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AF7605C">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02122B6">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8254A8B">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C56820">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1B901D8">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DD16C4C">
      <w:pPr>
        <w:spacing w:line="336" w:lineRule="auto"/>
        <w:rPr>
          <w:rFonts w:ascii="仿宋" w:hAnsi="仿宋" w:eastAsia="仿宋" w:cs="仿宋"/>
          <w:sz w:val="24"/>
        </w:rPr>
      </w:pPr>
      <w:r>
        <w:rPr>
          <w:rFonts w:hint="eastAsia" w:ascii="仿宋" w:hAnsi="仿宋" w:eastAsia="仿宋" w:cs="仿宋"/>
          <w:sz w:val="24"/>
        </w:rPr>
        <w:t>被投诉人2</w:t>
      </w:r>
    </w:p>
    <w:p w14:paraId="0902DA96">
      <w:pPr>
        <w:spacing w:line="336" w:lineRule="auto"/>
        <w:rPr>
          <w:rFonts w:ascii="仿宋" w:hAnsi="仿宋" w:eastAsia="仿宋" w:cs="仿宋"/>
          <w:sz w:val="24"/>
          <w:u w:val="dotted"/>
        </w:rPr>
      </w:pPr>
      <w:r>
        <w:rPr>
          <w:rFonts w:hint="eastAsia" w:ascii="仿宋" w:hAnsi="仿宋" w:eastAsia="仿宋" w:cs="仿宋"/>
          <w:sz w:val="24"/>
        </w:rPr>
        <w:t>……</w:t>
      </w:r>
    </w:p>
    <w:p w14:paraId="0ED1B91B">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E40F375">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3AE919C">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8EEEFF5">
      <w:pPr>
        <w:spacing w:line="336" w:lineRule="auto"/>
        <w:rPr>
          <w:rFonts w:ascii="仿宋" w:hAnsi="仿宋" w:eastAsia="仿宋" w:cs="仿宋"/>
          <w:sz w:val="24"/>
        </w:rPr>
      </w:pPr>
      <w:r>
        <w:rPr>
          <w:rFonts w:hint="eastAsia" w:ascii="仿宋" w:hAnsi="仿宋" w:eastAsia="仿宋" w:cs="仿宋"/>
          <w:sz w:val="24"/>
        </w:rPr>
        <w:t>二、投诉项目基本情况</w:t>
      </w:r>
    </w:p>
    <w:p w14:paraId="42A5BE21">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C5FADF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9D54F1B">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13B3901">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E06B54B">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0DC52C4">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DDE071E">
      <w:pPr>
        <w:spacing w:line="336" w:lineRule="auto"/>
        <w:rPr>
          <w:rFonts w:ascii="仿宋" w:hAnsi="仿宋" w:eastAsia="仿宋" w:cs="仿宋"/>
          <w:sz w:val="24"/>
        </w:rPr>
      </w:pPr>
      <w:r>
        <w:rPr>
          <w:rFonts w:hint="eastAsia" w:ascii="仿宋" w:hAnsi="仿宋" w:eastAsia="仿宋" w:cs="仿宋"/>
          <w:sz w:val="24"/>
        </w:rPr>
        <w:t>三、质疑基本情况</w:t>
      </w:r>
    </w:p>
    <w:p w14:paraId="6405061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D8DD8C5">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70F51DB">
      <w:pPr>
        <w:spacing w:line="336" w:lineRule="auto"/>
        <w:ind w:firstLine="480" w:firstLineChars="20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4755B1E">
      <w:pPr>
        <w:spacing w:line="336" w:lineRule="auto"/>
        <w:rPr>
          <w:rFonts w:ascii="仿宋" w:hAnsi="仿宋" w:eastAsia="仿宋" w:cs="仿宋"/>
          <w:sz w:val="24"/>
        </w:rPr>
      </w:pPr>
      <w:r>
        <w:rPr>
          <w:rFonts w:hint="eastAsia" w:ascii="仿宋" w:hAnsi="仿宋" w:eastAsia="仿宋" w:cs="仿宋"/>
          <w:sz w:val="24"/>
        </w:rPr>
        <w:t>四、投诉事项具体内容</w:t>
      </w:r>
    </w:p>
    <w:p w14:paraId="459D5A0F">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05A848D">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1B80605">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E4B7AD9">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110771">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43CB5E33">
      <w:pPr>
        <w:spacing w:line="336" w:lineRule="auto"/>
        <w:rPr>
          <w:rFonts w:ascii="仿宋" w:hAnsi="仿宋" w:eastAsia="仿宋" w:cs="仿宋"/>
          <w:sz w:val="24"/>
        </w:rPr>
      </w:pPr>
      <w:r>
        <w:rPr>
          <w:rFonts w:hint="eastAsia" w:ascii="仿宋" w:hAnsi="仿宋" w:eastAsia="仿宋" w:cs="仿宋"/>
          <w:sz w:val="24"/>
        </w:rPr>
        <w:t>投诉事项2</w:t>
      </w:r>
    </w:p>
    <w:p w14:paraId="455C1747">
      <w:pPr>
        <w:spacing w:line="336" w:lineRule="auto"/>
        <w:rPr>
          <w:rFonts w:ascii="仿宋" w:hAnsi="仿宋" w:eastAsia="仿宋" w:cs="仿宋"/>
          <w:sz w:val="24"/>
          <w:u w:val="dotted"/>
        </w:rPr>
      </w:pPr>
      <w:r>
        <w:rPr>
          <w:rFonts w:hint="eastAsia" w:ascii="仿宋" w:hAnsi="仿宋" w:eastAsia="仿宋" w:cs="仿宋"/>
          <w:sz w:val="24"/>
        </w:rPr>
        <w:t>……</w:t>
      </w:r>
    </w:p>
    <w:p w14:paraId="36CC67D5">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1DBC355D">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E31C0B6">
      <w:pPr>
        <w:spacing w:line="336" w:lineRule="auto"/>
        <w:rPr>
          <w:rFonts w:ascii="仿宋" w:hAnsi="仿宋" w:eastAsia="仿宋" w:cs="仿宋"/>
          <w:sz w:val="24"/>
          <w:u w:val="single"/>
        </w:rPr>
      </w:pPr>
      <w:r>
        <w:rPr>
          <w:rFonts w:hint="eastAsia" w:ascii="仿宋" w:hAnsi="仿宋" w:eastAsia="仿宋" w:cs="仿宋"/>
          <w:sz w:val="24"/>
        </w:rPr>
        <w:t xml:space="preserve">                                                                                                    </w:t>
      </w:r>
    </w:p>
    <w:p w14:paraId="211BACA9">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EC3DA79">
      <w:pPr>
        <w:spacing w:line="336" w:lineRule="auto"/>
        <w:rPr>
          <w:rFonts w:ascii="仿宋" w:hAnsi="仿宋" w:eastAsia="仿宋" w:cs="仿宋"/>
          <w:sz w:val="24"/>
        </w:rPr>
      </w:pPr>
      <w:r>
        <w:rPr>
          <w:rFonts w:hint="eastAsia" w:ascii="仿宋" w:hAnsi="仿宋" w:eastAsia="仿宋" w:cs="仿宋"/>
          <w:sz w:val="24"/>
        </w:rPr>
        <w:t xml:space="preserve">日期：    </w:t>
      </w:r>
    </w:p>
    <w:p w14:paraId="5ED8176D">
      <w:pPr>
        <w:spacing w:line="336" w:lineRule="auto"/>
        <w:rPr>
          <w:rFonts w:ascii="仿宋" w:hAnsi="仿宋" w:eastAsia="仿宋" w:cs="仿宋"/>
          <w:b/>
          <w:sz w:val="24"/>
        </w:rPr>
      </w:pPr>
    </w:p>
    <w:p w14:paraId="27FE2D01">
      <w:pPr>
        <w:spacing w:line="336" w:lineRule="auto"/>
        <w:rPr>
          <w:rFonts w:ascii="仿宋" w:hAnsi="仿宋" w:eastAsia="仿宋" w:cs="仿宋"/>
          <w:b/>
          <w:sz w:val="24"/>
        </w:rPr>
      </w:pPr>
    </w:p>
    <w:p w14:paraId="698EDDBA">
      <w:pPr>
        <w:spacing w:line="336" w:lineRule="auto"/>
        <w:rPr>
          <w:rFonts w:ascii="仿宋" w:hAnsi="仿宋" w:eastAsia="仿宋" w:cs="仿宋"/>
          <w:b/>
          <w:sz w:val="24"/>
        </w:rPr>
      </w:pPr>
      <w:r>
        <w:rPr>
          <w:rFonts w:hint="eastAsia" w:ascii="仿宋" w:hAnsi="仿宋" w:eastAsia="仿宋" w:cs="仿宋"/>
          <w:b/>
          <w:sz w:val="24"/>
        </w:rPr>
        <w:t>投诉书制作说明：</w:t>
      </w:r>
    </w:p>
    <w:p w14:paraId="6CCD53CC">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5EAC1B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E21735A">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3CBAB0D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B6ECE7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A0318D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EE24CEB">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557C004">
      <w:pPr>
        <w:spacing w:line="336" w:lineRule="auto"/>
        <w:rPr>
          <w:rFonts w:ascii="仿宋" w:hAnsi="仿宋" w:eastAsia="仿宋" w:cs="仿宋"/>
          <w:b/>
          <w:sz w:val="24"/>
        </w:rPr>
      </w:pPr>
    </w:p>
    <w:p w14:paraId="45B4DE93">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27615DC5">
      <w:pPr>
        <w:spacing w:line="336" w:lineRule="auto"/>
        <w:rPr>
          <w:rFonts w:ascii="仿宋" w:hAnsi="仿宋" w:eastAsia="仿宋" w:cs="仿宋"/>
          <w:b/>
          <w:spacing w:val="6"/>
          <w:sz w:val="32"/>
          <w:szCs w:val="32"/>
        </w:rPr>
      </w:pPr>
    </w:p>
    <w:p w14:paraId="57F17668">
      <w:pPr>
        <w:spacing w:line="336" w:lineRule="auto"/>
        <w:ind w:firstLine="480" w:firstLineChars="200"/>
        <w:rPr>
          <w:rFonts w:ascii="仿宋" w:hAnsi="仿宋" w:eastAsia="仿宋" w:cs="仿宋"/>
          <w:sz w:val="24"/>
        </w:rPr>
      </w:pPr>
    </w:p>
    <w:p w14:paraId="09EAB804">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67CFC7EC">
      <w:pPr>
        <w:autoSpaceDE w:val="0"/>
        <w:autoSpaceDN w:val="0"/>
        <w:spacing w:line="336" w:lineRule="auto"/>
        <w:jc w:val="center"/>
        <w:rPr>
          <w:rFonts w:ascii="仿宋" w:hAnsi="仿宋" w:eastAsia="仿宋" w:cs="仿宋"/>
          <w:b/>
          <w:bCs/>
          <w:sz w:val="32"/>
          <w:szCs w:val="32"/>
        </w:rPr>
      </w:pPr>
    </w:p>
    <w:p w14:paraId="39F2A42C">
      <w:pPr>
        <w:spacing w:line="336" w:lineRule="auto"/>
        <w:rPr>
          <w:rFonts w:ascii="仿宋" w:hAnsi="仿宋" w:eastAsia="仿宋" w:cs="仿宋"/>
          <w:sz w:val="24"/>
        </w:rPr>
      </w:pPr>
      <w:r>
        <w:rPr>
          <w:rFonts w:hint="eastAsia" w:ascii="仿宋" w:hAnsi="仿宋" w:eastAsia="仿宋" w:cs="仿宋"/>
          <w:sz w:val="24"/>
        </w:rPr>
        <w:t>（采购人）、（采购代理机构）：</w:t>
      </w:r>
    </w:p>
    <w:p w14:paraId="68CEB2BC">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 xml:space="preserve">中国共产党新昌县委员会组织部优秀公务员健康休养服务采购项目  </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2E3CD71">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3A547635">
      <w:pPr>
        <w:spacing w:line="336" w:lineRule="auto"/>
        <w:ind w:firstLine="494"/>
        <w:rPr>
          <w:rFonts w:ascii="仿宋" w:hAnsi="仿宋" w:eastAsia="仿宋" w:cs="仿宋"/>
          <w:sz w:val="24"/>
        </w:rPr>
      </w:pPr>
    </w:p>
    <w:p w14:paraId="2CFF9D17">
      <w:pPr>
        <w:spacing w:line="336" w:lineRule="auto"/>
        <w:ind w:firstLine="494"/>
        <w:rPr>
          <w:rFonts w:ascii="仿宋" w:hAnsi="仿宋" w:eastAsia="仿宋" w:cs="仿宋"/>
          <w:sz w:val="24"/>
        </w:rPr>
      </w:pPr>
    </w:p>
    <w:p w14:paraId="7AB31421">
      <w:pPr>
        <w:spacing w:line="336" w:lineRule="auto"/>
        <w:ind w:firstLine="494"/>
        <w:rPr>
          <w:rFonts w:ascii="仿宋" w:hAnsi="仿宋" w:eastAsia="仿宋" w:cs="仿宋"/>
          <w:sz w:val="24"/>
        </w:rPr>
      </w:pPr>
    </w:p>
    <w:p w14:paraId="3CD40A8C">
      <w:pPr>
        <w:spacing w:line="336" w:lineRule="auto"/>
        <w:ind w:firstLine="494"/>
        <w:rPr>
          <w:rFonts w:ascii="仿宋" w:hAnsi="仿宋" w:eastAsia="仿宋" w:cs="仿宋"/>
          <w:sz w:val="24"/>
        </w:rPr>
      </w:pPr>
    </w:p>
    <w:p w14:paraId="1BF29997">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1578185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3568F632">
      <w:pPr>
        <w:spacing w:line="336" w:lineRule="auto"/>
        <w:rPr>
          <w:rFonts w:ascii="仿宋" w:hAnsi="仿宋" w:eastAsia="仿宋" w:cs="仿宋"/>
          <w:sz w:val="24"/>
        </w:rPr>
      </w:pPr>
      <w:r>
        <w:rPr>
          <w:rFonts w:hint="eastAsia" w:ascii="仿宋" w:hAnsi="仿宋" w:eastAsia="仿宋" w:cs="仿宋"/>
          <w:b/>
          <w:bCs/>
          <w:sz w:val="24"/>
        </w:rPr>
        <w:t>附：</w:t>
      </w:r>
    </w:p>
    <w:p w14:paraId="65F370BA">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632DAD78">
      <w:pPr>
        <w:widowControl/>
        <w:spacing w:line="336" w:lineRule="auto"/>
        <w:ind w:firstLine="480" w:firstLineChars="200"/>
        <w:jc w:val="left"/>
        <w:rPr>
          <w:rFonts w:ascii="仿宋" w:hAnsi="仿宋" w:eastAsia="仿宋" w:cs="仿宋"/>
          <w:kern w:val="0"/>
          <w:sz w:val="24"/>
        </w:rPr>
      </w:pPr>
    </w:p>
    <w:p w14:paraId="26883431">
      <w:pPr>
        <w:snapToGrid w:val="0"/>
        <w:spacing w:line="336" w:lineRule="auto"/>
        <w:jc w:val="center"/>
        <w:rPr>
          <w:rFonts w:ascii="仿宋" w:hAnsi="仿宋" w:eastAsia="仿宋" w:cs="仿宋"/>
          <w:b/>
          <w:sz w:val="24"/>
        </w:rPr>
      </w:pPr>
    </w:p>
    <w:p w14:paraId="5EBB36C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27B637C9">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4CECB61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7C6A5585">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85BC45D">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186ADD4B">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7B98C4BB">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04FA40C8">
      <w:pPr>
        <w:pStyle w:val="24"/>
        <w:spacing w:line="336" w:lineRule="auto"/>
        <w:rPr>
          <w:rFonts w:ascii="仿宋" w:hAnsi="仿宋" w:eastAsia="仿宋" w:cs="仿宋"/>
          <w:lang w:val="en-US"/>
        </w:rPr>
      </w:pPr>
    </w:p>
    <w:p w14:paraId="517759D0">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48C575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D29AED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0E2B101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20BD66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1CD505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DA8550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748F529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A8BD9E7">
      <w:pPr>
        <w:widowControl/>
        <w:spacing w:line="336" w:lineRule="auto"/>
        <w:jc w:val="left"/>
        <w:rPr>
          <w:rFonts w:ascii="仿宋" w:hAnsi="仿宋" w:eastAsia="仿宋" w:cs="仿宋"/>
          <w:kern w:val="0"/>
          <w:sz w:val="24"/>
        </w:rPr>
      </w:pPr>
    </w:p>
    <w:p w14:paraId="10B9C730">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F64F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5A0DA132">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7C8D0784">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61EBF08B">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62076484">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198CDDDC">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1C86F4E2">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5D84E6F1">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73E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E6DA273">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7034EEB1">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B2444E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C78AC6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769179C7">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3FDAEDC5">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EA0ABE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3E05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694FB95">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2AA552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2C0B81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0EA2B2A">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B7FCB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B7CDF00">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12327EB3">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4FF4A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B29B18A">
            <w:pPr>
              <w:widowControl/>
              <w:spacing w:line="336" w:lineRule="auto"/>
              <w:jc w:val="left"/>
              <w:rPr>
                <w:rFonts w:ascii="仿宋" w:hAnsi="仿宋" w:eastAsia="仿宋" w:cs="仿宋"/>
                <w:kern w:val="0"/>
                <w:sz w:val="24"/>
              </w:rPr>
            </w:pPr>
          </w:p>
        </w:tc>
        <w:tc>
          <w:tcPr>
            <w:tcW w:w="1560" w:type="dxa"/>
            <w:vAlign w:val="center"/>
          </w:tcPr>
          <w:p w14:paraId="7FB19A21">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C8E20D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4950B3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0270F72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5BC5FCE1">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5C377E25">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70E4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F58CF38">
            <w:pPr>
              <w:widowControl/>
              <w:spacing w:line="336"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6DC27AE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85D65F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B98B1D">
            <w:pPr>
              <w:widowControl/>
              <w:spacing w:line="336"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13CE3E93">
            <w:pPr>
              <w:widowControl/>
              <w:spacing w:line="336"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2D49A82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5724351D">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4B361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351812C">
            <w:pPr>
              <w:widowControl/>
              <w:spacing w:line="336" w:lineRule="auto"/>
              <w:jc w:val="left"/>
              <w:rPr>
                <w:rFonts w:ascii="仿宋" w:hAnsi="仿宋" w:eastAsia="仿宋" w:cs="仿宋"/>
                <w:kern w:val="0"/>
                <w:sz w:val="24"/>
              </w:rPr>
            </w:pPr>
          </w:p>
        </w:tc>
        <w:tc>
          <w:tcPr>
            <w:tcW w:w="1560" w:type="dxa"/>
            <w:vAlign w:val="center"/>
          </w:tcPr>
          <w:p w14:paraId="39ABB3DA">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07BFA9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A23AEA1">
            <w:pPr>
              <w:widowControl/>
              <w:spacing w:line="336"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452498FE">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5A18E9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1F2B155D">
            <w:pPr>
              <w:widowControl/>
              <w:spacing w:line="336" w:lineRule="auto"/>
              <w:jc w:val="left"/>
              <w:rPr>
                <w:rFonts w:ascii="仿宋" w:hAnsi="仿宋" w:eastAsia="仿宋" w:cs="仿宋"/>
                <w:kern w:val="0"/>
                <w:sz w:val="24"/>
              </w:rPr>
            </w:pPr>
            <w:r>
              <w:rPr>
                <w:rFonts w:hint="eastAsia" w:ascii="仿宋" w:hAnsi="仿宋" w:eastAsia="仿宋" w:cs="仿宋"/>
                <w:kern w:val="0"/>
                <w:sz w:val="24"/>
              </w:rPr>
              <w:t>Z＜300</w:t>
            </w:r>
          </w:p>
        </w:tc>
      </w:tr>
      <w:tr w14:paraId="2FC2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BAC38B">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1DF8756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2FF7AF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36E41A">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276F4B4B">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46DD6B83">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1346AA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6324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8E73B9">
            <w:pPr>
              <w:widowControl/>
              <w:spacing w:line="336" w:lineRule="auto"/>
              <w:jc w:val="left"/>
              <w:rPr>
                <w:rFonts w:ascii="仿宋" w:hAnsi="仿宋" w:eastAsia="仿宋" w:cs="仿宋"/>
                <w:kern w:val="0"/>
                <w:sz w:val="24"/>
              </w:rPr>
            </w:pPr>
          </w:p>
        </w:tc>
        <w:tc>
          <w:tcPr>
            <w:tcW w:w="1560" w:type="dxa"/>
            <w:vAlign w:val="center"/>
          </w:tcPr>
          <w:p w14:paraId="503C323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2DBCB0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1CAEE58">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664DA4BB">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29E8A88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CD06E76">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6C03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39ABF50">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D323622">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E5C18E0">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988F4D4">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5D83631C">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2002DD0C">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1A51C8AC">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53A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7EC5B6C">
            <w:pPr>
              <w:widowControl/>
              <w:spacing w:line="336" w:lineRule="auto"/>
              <w:jc w:val="left"/>
              <w:rPr>
                <w:rFonts w:ascii="仿宋" w:hAnsi="仿宋" w:eastAsia="仿宋" w:cs="仿宋"/>
                <w:kern w:val="0"/>
                <w:sz w:val="24"/>
              </w:rPr>
            </w:pPr>
          </w:p>
        </w:tc>
        <w:tc>
          <w:tcPr>
            <w:tcW w:w="1560" w:type="dxa"/>
            <w:vAlign w:val="center"/>
          </w:tcPr>
          <w:p w14:paraId="615A0CC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FBC09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DC4BF39">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51E2103D">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7C6CBE40">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1711559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D3C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63B5673">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273C14CE">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910AA6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9E18E4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2E57C47">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82D359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9A08DA">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1977C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F343ADC">
            <w:pPr>
              <w:widowControl/>
              <w:spacing w:line="336" w:lineRule="auto"/>
              <w:jc w:val="left"/>
              <w:rPr>
                <w:rFonts w:ascii="仿宋" w:hAnsi="仿宋" w:eastAsia="仿宋" w:cs="仿宋"/>
                <w:kern w:val="0"/>
                <w:sz w:val="24"/>
              </w:rPr>
            </w:pPr>
          </w:p>
        </w:tc>
        <w:tc>
          <w:tcPr>
            <w:tcW w:w="1560" w:type="dxa"/>
            <w:vAlign w:val="center"/>
          </w:tcPr>
          <w:p w14:paraId="03852174">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142F64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F90F30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2AEA7472">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25247D31">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1AF6EB6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3336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5BDC01">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62FAF43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4F1D0F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98B7D3C">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58C573D">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46005EAD">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6520D83A">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2B14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76803F">
            <w:pPr>
              <w:widowControl/>
              <w:spacing w:line="336" w:lineRule="auto"/>
              <w:jc w:val="left"/>
              <w:rPr>
                <w:rFonts w:ascii="仿宋" w:hAnsi="仿宋" w:eastAsia="仿宋" w:cs="仿宋"/>
                <w:kern w:val="0"/>
                <w:sz w:val="24"/>
              </w:rPr>
            </w:pPr>
          </w:p>
        </w:tc>
        <w:tc>
          <w:tcPr>
            <w:tcW w:w="1560" w:type="dxa"/>
            <w:vAlign w:val="center"/>
          </w:tcPr>
          <w:p w14:paraId="2C46141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1BEE92D">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C94C141">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69C25F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A1852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1CF185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9A2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953B55">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3397753C">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794AFB2">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65521B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A1EF36A">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52219BDB">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5645E12B">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7BF8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1863338">
            <w:pPr>
              <w:widowControl/>
              <w:spacing w:line="336" w:lineRule="auto"/>
              <w:jc w:val="left"/>
              <w:rPr>
                <w:rFonts w:ascii="仿宋" w:hAnsi="仿宋" w:eastAsia="仿宋" w:cs="仿宋"/>
                <w:kern w:val="0"/>
                <w:sz w:val="24"/>
              </w:rPr>
            </w:pPr>
          </w:p>
        </w:tc>
        <w:tc>
          <w:tcPr>
            <w:tcW w:w="1560" w:type="dxa"/>
            <w:vAlign w:val="center"/>
          </w:tcPr>
          <w:p w14:paraId="54B370E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F4908E5">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A9DCB6F">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277647BA">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052C1A7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049A08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1B0F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83588B1">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758DB6F2">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C75E6E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7731F27">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3D39527">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54015CE">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4E1C16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02B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169717">
            <w:pPr>
              <w:widowControl/>
              <w:spacing w:line="336" w:lineRule="auto"/>
              <w:jc w:val="left"/>
              <w:rPr>
                <w:rFonts w:ascii="仿宋" w:hAnsi="仿宋" w:eastAsia="仿宋" w:cs="仿宋"/>
                <w:kern w:val="0"/>
                <w:sz w:val="24"/>
              </w:rPr>
            </w:pPr>
          </w:p>
        </w:tc>
        <w:tc>
          <w:tcPr>
            <w:tcW w:w="1560" w:type="dxa"/>
            <w:vAlign w:val="center"/>
          </w:tcPr>
          <w:p w14:paraId="13F45EA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1193E5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610777C">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70BAB9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19E35DF">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6303DF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6E0C0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01D7183">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224D34D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7B1173C">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B8B8D18">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CD65DB7">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22333AB">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C9CCB0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2BF8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972DD1">
            <w:pPr>
              <w:widowControl/>
              <w:spacing w:line="336" w:lineRule="auto"/>
              <w:jc w:val="left"/>
              <w:rPr>
                <w:rFonts w:ascii="仿宋" w:hAnsi="仿宋" w:eastAsia="仿宋" w:cs="仿宋"/>
                <w:kern w:val="0"/>
                <w:sz w:val="24"/>
              </w:rPr>
            </w:pPr>
          </w:p>
        </w:tc>
        <w:tc>
          <w:tcPr>
            <w:tcW w:w="1560" w:type="dxa"/>
            <w:vAlign w:val="center"/>
          </w:tcPr>
          <w:p w14:paraId="721B1F2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3325CA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B34341E">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F234BF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BD4EB2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CC4AD92">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ED5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54DFAF">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E041CB4">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68401DA">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3EC17DE">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C0AE6ED">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09DE2D44">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56CA608">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0AE57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12D0260">
            <w:pPr>
              <w:widowControl/>
              <w:spacing w:line="336" w:lineRule="auto"/>
              <w:jc w:val="left"/>
              <w:rPr>
                <w:rFonts w:ascii="仿宋" w:hAnsi="仿宋" w:eastAsia="仿宋" w:cs="仿宋"/>
                <w:kern w:val="0"/>
                <w:sz w:val="24"/>
              </w:rPr>
            </w:pPr>
          </w:p>
        </w:tc>
        <w:tc>
          <w:tcPr>
            <w:tcW w:w="1560" w:type="dxa"/>
            <w:vAlign w:val="center"/>
          </w:tcPr>
          <w:p w14:paraId="1F52839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433C6C5">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8089DA6">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10D87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449D7A26">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4DA304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197D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30747F8">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1A148D0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0A8A54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453F49A">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F46DAB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2F7AFDF">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41F1696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07D6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EA32C00">
            <w:pPr>
              <w:widowControl/>
              <w:spacing w:line="336" w:lineRule="auto"/>
              <w:jc w:val="left"/>
              <w:rPr>
                <w:rFonts w:ascii="仿宋" w:hAnsi="仿宋" w:eastAsia="仿宋" w:cs="仿宋"/>
                <w:kern w:val="0"/>
                <w:sz w:val="24"/>
              </w:rPr>
            </w:pPr>
          </w:p>
        </w:tc>
        <w:tc>
          <w:tcPr>
            <w:tcW w:w="1560" w:type="dxa"/>
            <w:vAlign w:val="center"/>
          </w:tcPr>
          <w:p w14:paraId="43D30D8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48018F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29AC02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4C9CDD7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195EDADD">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43259B8F">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AABB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08AED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147451A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2ECD80D">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E73221F">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C28C00E">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2B963D05">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E4FFEF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534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9CFAE2">
            <w:pPr>
              <w:widowControl/>
              <w:spacing w:line="336" w:lineRule="auto"/>
              <w:jc w:val="left"/>
              <w:rPr>
                <w:rFonts w:ascii="仿宋" w:hAnsi="仿宋" w:eastAsia="仿宋" w:cs="仿宋"/>
                <w:kern w:val="0"/>
                <w:sz w:val="24"/>
              </w:rPr>
            </w:pPr>
          </w:p>
        </w:tc>
        <w:tc>
          <w:tcPr>
            <w:tcW w:w="1560" w:type="dxa"/>
            <w:vAlign w:val="center"/>
          </w:tcPr>
          <w:p w14:paraId="6950CED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4D515E35">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9E9481C">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2F9239A3">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27D95115">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5A58E831">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1C39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EA56A44">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6A78ED8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AC59DFD">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71DAD6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3894E53F">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C3EF951">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19548ADC">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579B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4C442E">
            <w:pPr>
              <w:widowControl/>
              <w:spacing w:line="336" w:lineRule="auto"/>
              <w:jc w:val="left"/>
              <w:rPr>
                <w:rFonts w:ascii="仿宋" w:hAnsi="仿宋" w:eastAsia="仿宋" w:cs="仿宋"/>
                <w:kern w:val="0"/>
                <w:sz w:val="24"/>
              </w:rPr>
            </w:pPr>
          </w:p>
        </w:tc>
        <w:tc>
          <w:tcPr>
            <w:tcW w:w="1560" w:type="dxa"/>
            <w:vAlign w:val="center"/>
          </w:tcPr>
          <w:p w14:paraId="5CC44C6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B8970CB">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AE662F1">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53800F71">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1E87DAA">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4CB635DF">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749D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4889706">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A80E73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8BEA47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7FEDA4B">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34BF12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1BFBA59E">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D976DA0">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7B8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E2927A4">
            <w:pPr>
              <w:widowControl/>
              <w:spacing w:line="336" w:lineRule="auto"/>
              <w:jc w:val="left"/>
              <w:rPr>
                <w:rFonts w:ascii="仿宋" w:hAnsi="仿宋" w:eastAsia="仿宋" w:cs="仿宋"/>
                <w:kern w:val="0"/>
                <w:sz w:val="24"/>
              </w:rPr>
            </w:pPr>
          </w:p>
        </w:tc>
        <w:tc>
          <w:tcPr>
            <w:tcW w:w="1560" w:type="dxa"/>
            <w:vAlign w:val="center"/>
          </w:tcPr>
          <w:p w14:paraId="3DC0A756">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BC7B30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16112D1">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5EB06A71">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7D3F456F">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2481C396">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43DF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63E06D0">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7585D7AE">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1D68E3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BCE61E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60A7EB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2AC5F4C">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7739860">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059883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2A43CF0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1.大型、中型和小型企业须同时满足所列指标的下限，否则下划一档；微型企业只须满足所列指标中的一项即可。 　　</w:t>
      </w:r>
    </w:p>
    <w:p w14:paraId="2542B0E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778839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3.企业划分指标以现行统计制度为准。</w:t>
      </w:r>
    </w:p>
    <w:p w14:paraId="74968F7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2962B1F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6C4C8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6CF8707D">
      <w:pPr>
        <w:widowControl/>
        <w:spacing w:line="336" w:lineRule="auto"/>
        <w:jc w:val="left"/>
        <w:rPr>
          <w:rFonts w:ascii="仿宋" w:hAnsi="仿宋" w:eastAsia="仿宋" w:cs="仿宋"/>
          <w:kern w:val="0"/>
          <w:sz w:val="24"/>
        </w:rPr>
      </w:pPr>
    </w:p>
    <w:p w14:paraId="57423461">
      <w:pPr>
        <w:widowControl/>
        <w:spacing w:line="336" w:lineRule="auto"/>
        <w:jc w:val="left"/>
        <w:rPr>
          <w:rFonts w:ascii="仿宋" w:hAnsi="仿宋" w:eastAsia="仿宋" w:cs="仿宋"/>
          <w:kern w:val="0"/>
          <w:sz w:val="24"/>
        </w:rPr>
      </w:pPr>
    </w:p>
    <w:p w14:paraId="1873B66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5D903B33">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4879AC9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747007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1F78688">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226DDE3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A74C3A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将交通运输业中包括的“装卸搬运和运输代理业”修改为“多式联运和运输代理业、装卸搬运”。</w:t>
      </w:r>
    </w:p>
    <w:p w14:paraId="759799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仓储业所包括的行业中类，根据《国民经济行业分类》（GB/T4754—2017）调整为“通用仓储，低温仓储，危险品仓储，谷物、棉花等农产品仓储，中药材仓储和其他仓储业”。</w:t>
      </w:r>
    </w:p>
    <w:p w14:paraId="39D98B6F">
      <w:pPr>
        <w:widowControl/>
        <w:spacing w:line="336" w:lineRule="auto"/>
        <w:jc w:val="left"/>
        <w:rPr>
          <w:rFonts w:ascii="仿宋" w:hAnsi="仿宋" w:eastAsia="仿宋" w:cs="仿宋"/>
          <w:kern w:val="0"/>
          <w:sz w:val="18"/>
          <w:szCs w:val="18"/>
        </w:rPr>
      </w:pPr>
    </w:p>
    <w:p w14:paraId="0043CE41">
      <w:pPr>
        <w:widowControl/>
        <w:spacing w:line="336" w:lineRule="auto"/>
        <w:jc w:val="left"/>
        <w:rPr>
          <w:rFonts w:ascii="仿宋" w:hAnsi="仿宋" w:eastAsia="仿宋" w:cs="仿宋"/>
          <w:kern w:val="0"/>
          <w:sz w:val="18"/>
          <w:szCs w:val="18"/>
        </w:rPr>
      </w:pPr>
    </w:p>
    <w:p w14:paraId="19FC3BD4">
      <w:pPr>
        <w:widowControl/>
        <w:spacing w:line="336" w:lineRule="auto"/>
        <w:jc w:val="left"/>
        <w:rPr>
          <w:rFonts w:ascii="仿宋" w:hAnsi="仿宋" w:eastAsia="仿宋" w:cs="仿宋"/>
          <w:kern w:val="0"/>
          <w:sz w:val="18"/>
          <w:szCs w:val="18"/>
        </w:rPr>
      </w:pPr>
    </w:p>
    <w:p w14:paraId="06A22DE9">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66949BF">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4B836A8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D7E4BE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1281A8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请人民银行上海总部，各分行、营业管理部、省会（首府）城市中心支行、副省级城市中心支行会同所在省（区、市）银监局、证监局、保监局、统计局将本通知联合转发至辖内相关机构。</w:t>
      </w:r>
    </w:p>
    <w:p w14:paraId="4088EB7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9D42676">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4EC1830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一、根据《中华人民共和国中小企业促进法》、《国务院关于进一步促进中小企业发展的若干意见》（国发〔2009〕36号）和《国务院办公厅关于金融支持小微企业发展的实施意见》（国办发〔2013〕87号），制定本规定。</w:t>
      </w:r>
    </w:p>
    <w:p w14:paraId="33A6D35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二、适用范围。本规定适用于从事《国民经济行业分类》(GB/T4754-2011)中J门类（金融业）活动的企业。</w:t>
      </w:r>
    </w:p>
    <w:p w14:paraId="44C6F48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D8452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四、划型标准指标。采用一个完整会计年度中四个季度末法人并表口径的资产总额（信托公司为信托资产）平均值作为划型指标，该指标以监管部门数据为准。</w:t>
      </w:r>
    </w:p>
    <w:p w14:paraId="6C42126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五、指标标准值。依据指标标准值，将各类金融业企业划分为大、中、小、微四个规模类型，中型企业标准上限及以上的为大型企业。</w:t>
      </w:r>
    </w:p>
    <w:p w14:paraId="162FD72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069654C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(二) 银行业非存款类金融机构。资产总额1000亿元以下的为中小微型企业。其中，资产总额200亿元及以上的为中型企业，资产总额50亿元及以上的为小型企业，资产总额50亿元以下的为微型企业。</w:t>
      </w:r>
    </w:p>
    <w:p w14:paraId="195E8EB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319A93D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(四) 证券业金融机构。资产总额1000亿元以下的为中小微型企业。其中，资产总额100亿元及以上的为中型企业，资产总额10亿元及以上的为小型企业，资产总额10亿元以下的为微型企业。</w:t>
      </w:r>
    </w:p>
    <w:p w14:paraId="76482C9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638683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30E0C41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2CDCACF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514DA22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7985562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七、标准值的评估和调整。金融业企业划型标准工作组毎五年对划型标准值受经济发展与通货膨胀等因素的响程度进行评估和调整。</w:t>
      </w:r>
    </w:p>
    <w:p w14:paraId="24DEB53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八、本规定的中型金融业企业标准上限即为大型金融业企业下限。国务院有关部门据此进行相关数据的统计分析，不得制定与本规定不一致的金融业企业划型标准。</w:t>
      </w:r>
    </w:p>
    <w:p w14:paraId="30813D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 九、融资担保公司参照本规定中“除贷款公司、小额贷款公司、典当行以外的其他金融机构”标准划型。</w:t>
      </w:r>
    </w:p>
    <w:p w14:paraId="059DBC7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十、本规定由人民银行会同银监会，证监会、保监会和统计局负责解释。</w:t>
      </w:r>
    </w:p>
    <w:p w14:paraId="54635A7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十一、本规定自发布之日起实施。</w:t>
      </w:r>
    </w:p>
    <w:p w14:paraId="60F04A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2AB79519">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17A9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5E43E66B">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15876E52">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F6C4885">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11181EE">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58670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CEC68DC">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78178AA3">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3095B2F9">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032AC457">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1517913">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6432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B996023">
            <w:pPr>
              <w:widowControl/>
              <w:spacing w:line="336" w:lineRule="auto"/>
              <w:jc w:val="left"/>
              <w:rPr>
                <w:rFonts w:ascii="仿宋" w:hAnsi="仿宋" w:eastAsia="仿宋" w:cs="仿宋"/>
                <w:kern w:val="0"/>
                <w:sz w:val="24"/>
              </w:rPr>
            </w:pPr>
          </w:p>
        </w:tc>
        <w:tc>
          <w:tcPr>
            <w:tcW w:w="1025" w:type="dxa"/>
            <w:vMerge w:val="continue"/>
            <w:vAlign w:val="center"/>
          </w:tcPr>
          <w:p w14:paraId="3E2CDC0F">
            <w:pPr>
              <w:widowControl/>
              <w:spacing w:line="336" w:lineRule="auto"/>
              <w:jc w:val="left"/>
              <w:rPr>
                <w:rFonts w:ascii="仿宋" w:hAnsi="仿宋" w:eastAsia="仿宋" w:cs="仿宋"/>
                <w:kern w:val="0"/>
                <w:sz w:val="24"/>
              </w:rPr>
            </w:pPr>
          </w:p>
        </w:tc>
        <w:tc>
          <w:tcPr>
            <w:tcW w:w="2836" w:type="dxa"/>
            <w:vMerge w:val="continue"/>
            <w:vAlign w:val="center"/>
          </w:tcPr>
          <w:p w14:paraId="74ABDB67">
            <w:pPr>
              <w:widowControl/>
              <w:spacing w:line="336" w:lineRule="auto"/>
              <w:jc w:val="left"/>
              <w:rPr>
                <w:rFonts w:ascii="仿宋" w:hAnsi="仿宋" w:eastAsia="仿宋" w:cs="仿宋"/>
                <w:kern w:val="0"/>
                <w:sz w:val="24"/>
              </w:rPr>
            </w:pPr>
          </w:p>
        </w:tc>
        <w:tc>
          <w:tcPr>
            <w:tcW w:w="606" w:type="dxa"/>
            <w:vAlign w:val="center"/>
          </w:tcPr>
          <w:p w14:paraId="600BC2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5657DF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27E9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98A8C50">
            <w:pPr>
              <w:widowControl/>
              <w:spacing w:line="336" w:lineRule="auto"/>
              <w:jc w:val="left"/>
              <w:rPr>
                <w:rFonts w:ascii="仿宋" w:hAnsi="仿宋" w:eastAsia="仿宋" w:cs="仿宋"/>
                <w:kern w:val="0"/>
                <w:sz w:val="24"/>
              </w:rPr>
            </w:pPr>
          </w:p>
        </w:tc>
        <w:tc>
          <w:tcPr>
            <w:tcW w:w="1025" w:type="dxa"/>
            <w:vMerge w:val="continue"/>
            <w:vAlign w:val="center"/>
          </w:tcPr>
          <w:p w14:paraId="318DA0BD">
            <w:pPr>
              <w:widowControl/>
              <w:spacing w:line="336" w:lineRule="auto"/>
              <w:jc w:val="left"/>
              <w:rPr>
                <w:rFonts w:ascii="仿宋" w:hAnsi="仿宋" w:eastAsia="仿宋" w:cs="仿宋"/>
                <w:kern w:val="0"/>
                <w:sz w:val="24"/>
              </w:rPr>
            </w:pPr>
          </w:p>
        </w:tc>
        <w:tc>
          <w:tcPr>
            <w:tcW w:w="2836" w:type="dxa"/>
            <w:vMerge w:val="continue"/>
            <w:vAlign w:val="center"/>
          </w:tcPr>
          <w:p w14:paraId="57DFF879">
            <w:pPr>
              <w:widowControl/>
              <w:spacing w:line="336" w:lineRule="auto"/>
              <w:jc w:val="left"/>
              <w:rPr>
                <w:rFonts w:ascii="仿宋" w:hAnsi="仿宋" w:eastAsia="仿宋" w:cs="仿宋"/>
                <w:kern w:val="0"/>
                <w:sz w:val="24"/>
              </w:rPr>
            </w:pPr>
          </w:p>
        </w:tc>
        <w:tc>
          <w:tcPr>
            <w:tcW w:w="606" w:type="dxa"/>
            <w:vAlign w:val="center"/>
          </w:tcPr>
          <w:p w14:paraId="68467F4E">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495712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239F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784411">
            <w:pPr>
              <w:widowControl/>
              <w:spacing w:line="336" w:lineRule="auto"/>
              <w:jc w:val="left"/>
              <w:rPr>
                <w:rFonts w:ascii="仿宋" w:hAnsi="仿宋" w:eastAsia="仿宋" w:cs="仿宋"/>
                <w:kern w:val="0"/>
                <w:sz w:val="24"/>
              </w:rPr>
            </w:pPr>
          </w:p>
        </w:tc>
        <w:tc>
          <w:tcPr>
            <w:tcW w:w="1025" w:type="dxa"/>
            <w:vMerge w:val="restart"/>
            <w:vAlign w:val="center"/>
          </w:tcPr>
          <w:p w14:paraId="718CE968">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477983E9">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2A98A38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8F46333">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76FD7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38FA52">
            <w:pPr>
              <w:widowControl/>
              <w:spacing w:line="336" w:lineRule="auto"/>
              <w:jc w:val="left"/>
              <w:rPr>
                <w:rFonts w:ascii="仿宋" w:hAnsi="仿宋" w:eastAsia="仿宋" w:cs="仿宋"/>
                <w:kern w:val="0"/>
                <w:sz w:val="24"/>
              </w:rPr>
            </w:pPr>
          </w:p>
        </w:tc>
        <w:tc>
          <w:tcPr>
            <w:tcW w:w="1025" w:type="dxa"/>
            <w:vMerge w:val="continue"/>
            <w:vAlign w:val="center"/>
          </w:tcPr>
          <w:p w14:paraId="1C4AFB9C">
            <w:pPr>
              <w:widowControl/>
              <w:spacing w:line="336" w:lineRule="auto"/>
              <w:jc w:val="left"/>
              <w:rPr>
                <w:rFonts w:ascii="仿宋" w:hAnsi="仿宋" w:eastAsia="仿宋" w:cs="仿宋"/>
                <w:kern w:val="0"/>
                <w:sz w:val="24"/>
              </w:rPr>
            </w:pPr>
          </w:p>
        </w:tc>
        <w:tc>
          <w:tcPr>
            <w:tcW w:w="2836" w:type="dxa"/>
            <w:vMerge w:val="continue"/>
            <w:vAlign w:val="center"/>
          </w:tcPr>
          <w:p w14:paraId="3B4B2CA7">
            <w:pPr>
              <w:widowControl/>
              <w:spacing w:line="336" w:lineRule="auto"/>
              <w:jc w:val="left"/>
              <w:rPr>
                <w:rFonts w:ascii="仿宋" w:hAnsi="仿宋" w:eastAsia="仿宋" w:cs="仿宋"/>
                <w:kern w:val="0"/>
                <w:sz w:val="24"/>
              </w:rPr>
            </w:pPr>
          </w:p>
        </w:tc>
        <w:tc>
          <w:tcPr>
            <w:tcW w:w="606" w:type="dxa"/>
            <w:vAlign w:val="center"/>
          </w:tcPr>
          <w:p w14:paraId="33F42546">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78043E">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31EAD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A4C9BD6">
            <w:pPr>
              <w:widowControl/>
              <w:spacing w:line="336" w:lineRule="auto"/>
              <w:jc w:val="left"/>
              <w:rPr>
                <w:rFonts w:ascii="仿宋" w:hAnsi="仿宋" w:eastAsia="仿宋" w:cs="仿宋"/>
                <w:kern w:val="0"/>
                <w:sz w:val="24"/>
              </w:rPr>
            </w:pPr>
          </w:p>
        </w:tc>
        <w:tc>
          <w:tcPr>
            <w:tcW w:w="1025" w:type="dxa"/>
            <w:vMerge w:val="continue"/>
            <w:vAlign w:val="center"/>
          </w:tcPr>
          <w:p w14:paraId="15BBD4C2">
            <w:pPr>
              <w:widowControl/>
              <w:spacing w:line="336" w:lineRule="auto"/>
              <w:jc w:val="left"/>
              <w:rPr>
                <w:rFonts w:ascii="仿宋" w:hAnsi="仿宋" w:eastAsia="仿宋" w:cs="仿宋"/>
                <w:kern w:val="0"/>
                <w:sz w:val="24"/>
              </w:rPr>
            </w:pPr>
          </w:p>
        </w:tc>
        <w:tc>
          <w:tcPr>
            <w:tcW w:w="2836" w:type="dxa"/>
            <w:vMerge w:val="continue"/>
            <w:vAlign w:val="center"/>
          </w:tcPr>
          <w:p w14:paraId="5F888271">
            <w:pPr>
              <w:widowControl/>
              <w:spacing w:line="336" w:lineRule="auto"/>
              <w:jc w:val="left"/>
              <w:rPr>
                <w:rFonts w:ascii="仿宋" w:hAnsi="仿宋" w:eastAsia="仿宋" w:cs="仿宋"/>
                <w:kern w:val="0"/>
                <w:sz w:val="24"/>
              </w:rPr>
            </w:pPr>
          </w:p>
        </w:tc>
        <w:tc>
          <w:tcPr>
            <w:tcW w:w="606" w:type="dxa"/>
            <w:vAlign w:val="center"/>
          </w:tcPr>
          <w:p w14:paraId="0A632ED5">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0A1A67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02D10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C1FE935">
            <w:pPr>
              <w:widowControl/>
              <w:spacing w:line="336" w:lineRule="auto"/>
              <w:jc w:val="left"/>
              <w:rPr>
                <w:rFonts w:ascii="仿宋" w:hAnsi="仿宋" w:eastAsia="仿宋" w:cs="仿宋"/>
                <w:kern w:val="0"/>
                <w:sz w:val="24"/>
              </w:rPr>
            </w:pPr>
          </w:p>
        </w:tc>
        <w:tc>
          <w:tcPr>
            <w:tcW w:w="1025" w:type="dxa"/>
            <w:vMerge w:val="continue"/>
            <w:vAlign w:val="center"/>
          </w:tcPr>
          <w:p w14:paraId="6E122977">
            <w:pPr>
              <w:widowControl/>
              <w:spacing w:line="336" w:lineRule="auto"/>
              <w:jc w:val="left"/>
              <w:rPr>
                <w:rFonts w:ascii="仿宋" w:hAnsi="仿宋" w:eastAsia="仿宋" w:cs="仿宋"/>
                <w:kern w:val="0"/>
                <w:sz w:val="24"/>
              </w:rPr>
            </w:pPr>
          </w:p>
        </w:tc>
        <w:tc>
          <w:tcPr>
            <w:tcW w:w="2836" w:type="dxa"/>
            <w:vMerge w:val="restart"/>
            <w:vAlign w:val="center"/>
          </w:tcPr>
          <w:p w14:paraId="5634DC7F">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317D5783">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FB1CD4D">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46D6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D88788">
            <w:pPr>
              <w:widowControl/>
              <w:spacing w:line="336" w:lineRule="auto"/>
              <w:jc w:val="left"/>
              <w:rPr>
                <w:rFonts w:ascii="仿宋" w:hAnsi="仿宋" w:eastAsia="仿宋" w:cs="仿宋"/>
                <w:kern w:val="0"/>
                <w:sz w:val="24"/>
              </w:rPr>
            </w:pPr>
          </w:p>
        </w:tc>
        <w:tc>
          <w:tcPr>
            <w:tcW w:w="1025" w:type="dxa"/>
            <w:vMerge w:val="continue"/>
            <w:vAlign w:val="center"/>
          </w:tcPr>
          <w:p w14:paraId="060DF151">
            <w:pPr>
              <w:widowControl/>
              <w:spacing w:line="336" w:lineRule="auto"/>
              <w:jc w:val="left"/>
              <w:rPr>
                <w:rFonts w:ascii="仿宋" w:hAnsi="仿宋" w:eastAsia="仿宋" w:cs="仿宋"/>
                <w:kern w:val="0"/>
                <w:sz w:val="24"/>
              </w:rPr>
            </w:pPr>
          </w:p>
        </w:tc>
        <w:tc>
          <w:tcPr>
            <w:tcW w:w="2836" w:type="dxa"/>
            <w:vMerge w:val="continue"/>
            <w:vAlign w:val="center"/>
          </w:tcPr>
          <w:p w14:paraId="4337EBDE">
            <w:pPr>
              <w:widowControl/>
              <w:spacing w:line="336" w:lineRule="auto"/>
              <w:jc w:val="left"/>
              <w:rPr>
                <w:rFonts w:ascii="仿宋" w:hAnsi="仿宋" w:eastAsia="仿宋" w:cs="仿宋"/>
                <w:kern w:val="0"/>
                <w:sz w:val="24"/>
              </w:rPr>
            </w:pPr>
          </w:p>
        </w:tc>
        <w:tc>
          <w:tcPr>
            <w:tcW w:w="606" w:type="dxa"/>
            <w:vAlign w:val="center"/>
          </w:tcPr>
          <w:p w14:paraId="3C5E2650">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AE47BF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02202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77692CB">
            <w:pPr>
              <w:widowControl/>
              <w:spacing w:line="336" w:lineRule="auto"/>
              <w:jc w:val="left"/>
              <w:rPr>
                <w:rFonts w:ascii="仿宋" w:hAnsi="仿宋" w:eastAsia="仿宋" w:cs="仿宋"/>
                <w:kern w:val="0"/>
                <w:sz w:val="24"/>
              </w:rPr>
            </w:pPr>
          </w:p>
        </w:tc>
        <w:tc>
          <w:tcPr>
            <w:tcW w:w="1025" w:type="dxa"/>
            <w:vMerge w:val="continue"/>
            <w:vAlign w:val="center"/>
          </w:tcPr>
          <w:p w14:paraId="3526F2EA">
            <w:pPr>
              <w:widowControl/>
              <w:spacing w:line="336" w:lineRule="auto"/>
              <w:jc w:val="left"/>
              <w:rPr>
                <w:rFonts w:ascii="仿宋" w:hAnsi="仿宋" w:eastAsia="仿宋" w:cs="仿宋"/>
                <w:kern w:val="0"/>
                <w:sz w:val="24"/>
              </w:rPr>
            </w:pPr>
          </w:p>
        </w:tc>
        <w:tc>
          <w:tcPr>
            <w:tcW w:w="2836" w:type="dxa"/>
            <w:vMerge w:val="continue"/>
            <w:vAlign w:val="center"/>
          </w:tcPr>
          <w:p w14:paraId="2D141FF7">
            <w:pPr>
              <w:widowControl/>
              <w:spacing w:line="336" w:lineRule="auto"/>
              <w:jc w:val="left"/>
              <w:rPr>
                <w:rFonts w:ascii="仿宋" w:hAnsi="仿宋" w:eastAsia="仿宋" w:cs="仿宋"/>
                <w:kern w:val="0"/>
                <w:sz w:val="24"/>
              </w:rPr>
            </w:pPr>
          </w:p>
        </w:tc>
        <w:tc>
          <w:tcPr>
            <w:tcW w:w="606" w:type="dxa"/>
            <w:vAlign w:val="center"/>
          </w:tcPr>
          <w:p w14:paraId="14410E3C">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A4F6DF1">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2055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69D35F6">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7732C81C">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7FB36A3E">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C84DBF7">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15A45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A584BE1">
            <w:pPr>
              <w:widowControl/>
              <w:spacing w:line="336" w:lineRule="auto"/>
              <w:jc w:val="left"/>
              <w:rPr>
                <w:rFonts w:ascii="仿宋" w:hAnsi="仿宋" w:eastAsia="仿宋" w:cs="仿宋"/>
                <w:kern w:val="0"/>
                <w:sz w:val="24"/>
              </w:rPr>
            </w:pPr>
          </w:p>
        </w:tc>
        <w:tc>
          <w:tcPr>
            <w:tcW w:w="2836" w:type="dxa"/>
            <w:vMerge w:val="continue"/>
            <w:vAlign w:val="center"/>
          </w:tcPr>
          <w:p w14:paraId="11D26C2F">
            <w:pPr>
              <w:widowControl/>
              <w:spacing w:line="336" w:lineRule="auto"/>
              <w:jc w:val="left"/>
              <w:rPr>
                <w:rFonts w:ascii="仿宋" w:hAnsi="仿宋" w:eastAsia="仿宋" w:cs="仿宋"/>
                <w:kern w:val="0"/>
                <w:sz w:val="24"/>
              </w:rPr>
            </w:pPr>
          </w:p>
        </w:tc>
        <w:tc>
          <w:tcPr>
            <w:tcW w:w="606" w:type="dxa"/>
            <w:vAlign w:val="center"/>
          </w:tcPr>
          <w:p w14:paraId="04EA8E41">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7AAD23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44576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9751C79">
            <w:pPr>
              <w:widowControl/>
              <w:spacing w:line="336" w:lineRule="auto"/>
              <w:jc w:val="left"/>
              <w:rPr>
                <w:rFonts w:ascii="仿宋" w:hAnsi="仿宋" w:eastAsia="仿宋" w:cs="仿宋"/>
                <w:kern w:val="0"/>
                <w:sz w:val="24"/>
              </w:rPr>
            </w:pPr>
          </w:p>
        </w:tc>
        <w:tc>
          <w:tcPr>
            <w:tcW w:w="2836" w:type="dxa"/>
            <w:vMerge w:val="continue"/>
            <w:vAlign w:val="center"/>
          </w:tcPr>
          <w:p w14:paraId="67BA18FA">
            <w:pPr>
              <w:widowControl/>
              <w:spacing w:line="336" w:lineRule="auto"/>
              <w:jc w:val="left"/>
              <w:rPr>
                <w:rFonts w:ascii="仿宋" w:hAnsi="仿宋" w:eastAsia="仿宋" w:cs="仿宋"/>
                <w:kern w:val="0"/>
                <w:sz w:val="24"/>
              </w:rPr>
            </w:pPr>
          </w:p>
        </w:tc>
        <w:tc>
          <w:tcPr>
            <w:tcW w:w="606" w:type="dxa"/>
            <w:vAlign w:val="center"/>
          </w:tcPr>
          <w:p w14:paraId="3E4A75B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F867A02">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0EFE9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3125E91">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1B718782">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2F94C52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2658E0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51D71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0AF7052">
            <w:pPr>
              <w:widowControl/>
              <w:spacing w:line="336" w:lineRule="auto"/>
              <w:jc w:val="left"/>
              <w:rPr>
                <w:rFonts w:ascii="仿宋" w:hAnsi="仿宋" w:eastAsia="仿宋" w:cs="仿宋"/>
                <w:kern w:val="0"/>
                <w:sz w:val="24"/>
              </w:rPr>
            </w:pPr>
          </w:p>
        </w:tc>
        <w:tc>
          <w:tcPr>
            <w:tcW w:w="2836" w:type="dxa"/>
            <w:vMerge w:val="continue"/>
            <w:vAlign w:val="center"/>
          </w:tcPr>
          <w:p w14:paraId="7289749F">
            <w:pPr>
              <w:widowControl/>
              <w:spacing w:line="336" w:lineRule="auto"/>
              <w:jc w:val="left"/>
              <w:rPr>
                <w:rFonts w:ascii="仿宋" w:hAnsi="仿宋" w:eastAsia="仿宋" w:cs="仿宋"/>
                <w:kern w:val="0"/>
                <w:sz w:val="24"/>
              </w:rPr>
            </w:pPr>
          </w:p>
        </w:tc>
        <w:tc>
          <w:tcPr>
            <w:tcW w:w="606" w:type="dxa"/>
            <w:vAlign w:val="center"/>
          </w:tcPr>
          <w:p w14:paraId="2CAB2C10">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BE2AD10">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6313F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6F5B3EC">
            <w:pPr>
              <w:widowControl/>
              <w:spacing w:line="336" w:lineRule="auto"/>
              <w:jc w:val="left"/>
              <w:rPr>
                <w:rFonts w:ascii="仿宋" w:hAnsi="仿宋" w:eastAsia="仿宋" w:cs="仿宋"/>
                <w:kern w:val="0"/>
                <w:sz w:val="24"/>
              </w:rPr>
            </w:pPr>
          </w:p>
        </w:tc>
        <w:tc>
          <w:tcPr>
            <w:tcW w:w="2836" w:type="dxa"/>
            <w:vMerge w:val="continue"/>
            <w:vAlign w:val="center"/>
          </w:tcPr>
          <w:p w14:paraId="5E146E13">
            <w:pPr>
              <w:widowControl/>
              <w:spacing w:line="336" w:lineRule="auto"/>
              <w:jc w:val="left"/>
              <w:rPr>
                <w:rFonts w:ascii="仿宋" w:hAnsi="仿宋" w:eastAsia="仿宋" w:cs="仿宋"/>
                <w:kern w:val="0"/>
                <w:sz w:val="24"/>
              </w:rPr>
            </w:pPr>
          </w:p>
        </w:tc>
        <w:tc>
          <w:tcPr>
            <w:tcW w:w="606" w:type="dxa"/>
            <w:vAlign w:val="center"/>
          </w:tcPr>
          <w:p w14:paraId="5FC5D655">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5DB982A">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35A92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BE8CE3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51E69E03">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5850BA3D">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12F937B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B0F1024">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323F4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CED222C">
            <w:pPr>
              <w:widowControl/>
              <w:spacing w:line="336" w:lineRule="auto"/>
              <w:jc w:val="left"/>
              <w:rPr>
                <w:rFonts w:ascii="仿宋" w:hAnsi="仿宋" w:eastAsia="仿宋" w:cs="仿宋"/>
                <w:kern w:val="0"/>
                <w:sz w:val="24"/>
              </w:rPr>
            </w:pPr>
          </w:p>
        </w:tc>
        <w:tc>
          <w:tcPr>
            <w:tcW w:w="1025" w:type="dxa"/>
            <w:vMerge w:val="continue"/>
            <w:vAlign w:val="center"/>
          </w:tcPr>
          <w:p w14:paraId="70AFFAEC">
            <w:pPr>
              <w:widowControl/>
              <w:spacing w:line="336" w:lineRule="auto"/>
              <w:jc w:val="left"/>
              <w:rPr>
                <w:rFonts w:ascii="仿宋" w:hAnsi="仿宋" w:eastAsia="仿宋" w:cs="仿宋"/>
                <w:kern w:val="0"/>
                <w:sz w:val="24"/>
              </w:rPr>
            </w:pPr>
          </w:p>
        </w:tc>
        <w:tc>
          <w:tcPr>
            <w:tcW w:w="2836" w:type="dxa"/>
            <w:vMerge w:val="continue"/>
            <w:vAlign w:val="center"/>
          </w:tcPr>
          <w:p w14:paraId="1D9FF474">
            <w:pPr>
              <w:widowControl/>
              <w:spacing w:line="336" w:lineRule="auto"/>
              <w:jc w:val="left"/>
              <w:rPr>
                <w:rFonts w:ascii="仿宋" w:hAnsi="仿宋" w:eastAsia="仿宋" w:cs="仿宋"/>
                <w:kern w:val="0"/>
                <w:sz w:val="24"/>
              </w:rPr>
            </w:pPr>
          </w:p>
        </w:tc>
        <w:tc>
          <w:tcPr>
            <w:tcW w:w="606" w:type="dxa"/>
            <w:vAlign w:val="center"/>
          </w:tcPr>
          <w:p w14:paraId="16C7369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6FE3270">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570B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CC6927D">
            <w:pPr>
              <w:widowControl/>
              <w:spacing w:line="336" w:lineRule="auto"/>
              <w:jc w:val="left"/>
              <w:rPr>
                <w:rFonts w:ascii="仿宋" w:hAnsi="仿宋" w:eastAsia="仿宋" w:cs="仿宋"/>
                <w:kern w:val="0"/>
                <w:sz w:val="24"/>
              </w:rPr>
            </w:pPr>
          </w:p>
        </w:tc>
        <w:tc>
          <w:tcPr>
            <w:tcW w:w="1025" w:type="dxa"/>
            <w:vMerge w:val="continue"/>
            <w:vAlign w:val="center"/>
          </w:tcPr>
          <w:p w14:paraId="1DDD50A1">
            <w:pPr>
              <w:widowControl/>
              <w:spacing w:line="336" w:lineRule="auto"/>
              <w:jc w:val="left"/>
              <w:rPr>
                <w:rFonts w:ascii="仿宋" w:hAnsi="仿宋" w:eastAsia="仿宋" w:cs="仿宋"/>
                <w:kern w:val="0"/>
                <w:sz w:val="24"/>
              </w:rPr>
            </w:pPr>
          </w:p>
        </w:tc>
        <w:tc>
          <w:tcPr>
            <w:tcW w:w="2836" w:type="dxa"/>
            <w:vMerge w:val="continue"/>
            <w:vAlign w:val="center"/>
          </w:tcPr>
          <w:p w14:paraId="3E6511F7">
            <w:pPr>
              <w:widowControl/>
              <w:spacing w:line="336" w:lineRule="auto"/>
              <w:jc w:val="left"/>
              <w:rPr>
                <w:rFonts w:ascii="仿宋" w:hAnsi="仿宋" w:eastAsia="仿宋" w:cs="仿宋"/>
                <w:kern w:val="0"/>
                <w:sz w:val="24"/>
              </w:rPr>
            </w:pPr>
          </w:p>
        </w:tc>
        <w:tc>
          <w:tcPr>
            <w:tcW w:w="606" w:type="dxa"/>
            <w:vAlign w:val="center"/>
          </w:tcPr>
          <w:p w14:paraId="4B2F098E">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8472DF6">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29C8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AB3EAD">
            <w:pPr>
              <w:widowControl/>
              <w:spacing w:line="336" w:lineRule="auto"/>
              <w:jc w:val="left"/>
              <w:rPr>
                <w:rFonts w:ascii="仿宋" w:hAnsi="仿宋" w:eastAsia="仿宋" w:cs="仿宋"/>
                <w:kern w:val="0"/>
                <w:sz w:val="24"/>
              </w:rPr>
            </w:pPr>
          </w:p>
        </w:tc>
        <w:tc>
          <w:tcPr>
            <w:tcW w:w="1025" w:type="dxa"/>
            <w:vMerge w:val="restart"/>
            <w:vAlign w:val="center"/>
          </w:tcPr>
          <w:p w14:paraId="1521E4CF">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5BF86CAE">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2543D3B6">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0B05F2F">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5412B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EDA77E">
            <w:pPr>
              <w:widowControl/>
              <w:spacing w:line="336" w:lineRule="auto"/>
              <w:jc w:val="left"/>
              <w:rPr>
                <w:rFonts w:ascii="仿宋" w:hAnsi="仿宋" w:eastAsia="仿宋" w:cs="仿宋"/>
                <w:kern w:val="0"/>
                <w:sz w:val="24"/>
              </w:rPr>
            </w:pPr>
          </w:p>
        </w:tc>
        <w:tc>
          <w:tcPr>
            <w:tcW w:w="1025" w:type="dxa"/>
            <w:vMerge w:val="continue"/>
            <w:vAlign w:val="center"/>
          </w:tcPr>
          <w:p w14:paraId="386F6409">
            <w:pPr>
              <w:widowControl/>
              <w:spacing w:line="336" w:lineRule="auto"/>
              <w:jc w:val="left"/>
              <w:rPr>
                <w:rFonts w:ascii="仿宋" w:hAnsi="仿宋" w:eastAsia="仿宋" w:cs="仿宋"/>
                <w:kern w:val="0"/>
                <w:sz w:val="24"/>
              </w:rPr>
            </w:pPr>
          </w:p>
        </w:tc>
        <w:tc>
          <w:tcPr>
            <w:tcW w:w="2836" w:type="dxa"/>
            <w:vMerge w:val="continue"/>
            <w:vAlign w:val="center"/>
          </w:tcPr>
          <w:p w14:paraId="20373F6E">
            <w:pPr>
              <w:widowControl/>
              <w:spacing w:line="336" w:lineRule="auto"/>
              <w:jc w:val="left"/>
              <w:rPr>
                <w:rFonts w:ascii="仿宋" w:hAnsi="仿宋" w:eastAsia="仿宋" w:cs="仿宋"/>
                <w:kern w:val="0"/>
                <w:sz w:val="24"/>
              </w:rPr>
            </w:pPr>
          </w:p>
        </w:tc>
        <w:tc>
          <w:tcPr>
            <w:tcW w:w="606" w:type="dxa"/>
            <w:vAlign w:val="center"/>
          </w:tcPr>
          <w:p w14:paraId="500A3F01">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343B70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1357E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8BBF04D">
            <w:pPr>
              <w:widowControl/>
              <w:spacing w:line="336" w:lineRule="auto"/>
              <w:jc w:val="left"/>
              <w:rPr>
                <w:rFonts w:ascii="仿宋" w:hAnsi="仿宋" w:eastAsia="仿宋" w:cs="仿宋"/>
                <w:kern w:val="0"/>
                <w:sz w:val="24"/>
              </w:rPr>
            </w:pPr>
          </w:p>
        </w:tc>
        <w:tc>
          <w:tcPr>
            <w:tcW w:w="1025" w:type="dxa"/>
            <w:vMerge w:val="continue"/>
            <w:vAlign w:val="center"/>
          </w:tcPr>
          <w:p w14:paraId="45F43337">
            <w:pPr>
              <w:widowControl/>
              <w:spacing w:line="336" w:lineRule="auto"/>
              <w:jc w:val="left"/>
              <w:rPr>
                <w:rFonts w:ascii="仿宋" w:hAnsi="仿宋" w:eastAsia="仿宋" w:cs="仿宋"/>
                <w:kern w:val="0"/>
                <w:sz w:val="24"/>
              </w:rPr>
            </w:pPr>
          </w:p>
        </w:tc>
        <w:tc>
          <w:tcPr>
            <w:tcW w:w="2836" w:type="dxa"/>
            <w:vMerge w:val="continue"/>
            <w:vAlign w:val="center"/>
          </w:tcPr>
          <w:p w14:paraId="19D11782">
            <w:pPr>
              <w:widowControl/>
              <w:spacing w:line="336" w:lineRule="auto"/>
              <w:jc w:val="left"/>
              <w:rPr>
                <w:rFonts w:ascii="仿宋" w:hAnsi="仿宋" w:eastAsia="仿宋" w:cs="仿宋"/>
                <w:kern w:val="0"/>
                <w:sz w:val="24"/>
              </w:rPr>
            </w:pPr>
          </w:p>
        </w:tc>
        <w:tc>
          <w:tcPr>
            <w:tcW w:w="606" w:type="dxa"/>
            <w:vAlign w:val="center"/>
          </w:tcPr>
          <w:p w14:paraId="0D01616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E57BBA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A6E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A00063">
            <w:pPr>
              <w:widowControl/>
              <w:spacing w:line="336" w:lineRule="auto"/>
              <w:jc w:val="left"/>
              <w:rPr>
                <w:rFonts w:ascii="仿宋" w:hAnsi="仿宋" w:eastAsia="仿宋" w:cs="仿宋"/>
                <w:kern w:val="0"/>
                <w:sz w:val="24"/>
              </w:rPr>
            </w:pPr>
          </w:p>
        </w:tc>
        <w:tc>
          <w:tcPr>
            <w:tcW w:w="1025" w:type="dxa"/>
            <w:vMerge w:val="restart"/>
            <w:vAlign w:val="center"/>
          </w:tcPr>
          <w:p w14:paraId="0674F660">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AD279A8">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68F6F925">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D14405B">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5A7DB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5A36691">
            <w:pPr>
              <w:widowControl/>
              <w:spacing w:line="336" w:lineRule="auto"/>
              <w:jc w:val="left"/>
              <w:rPr>
                <w:rFonts w:ascii="仿宋" w:hAnsi="仿宋" w:eastAsia="仿宋" w:cs="仿宋"/>
                <w:kern w:val="0"/>
                <w:sz w:val="24"/>
              </w:rPr>
            </w:pPr>
          </w:p>
        </w:tc>
        <w:tc>
          <w:tcPr>
            <w:tcW w:w="1025" w:type="dxa"/>
            <w:vMerge w:val="continue"/>
            <w:vAlign w:val="center"/>
          </w:tcPr>
          <w:p w14:paraId="41C64A7E">
            <w:pPr>
              <w:widowControl/>
              <w:spacing w:line="336" w:lineRule="auto"/>
              <w:jc w:val="left"/>
              <w:rPr>
                <w:rFonts w:ascii="仿宋" w:hAnsi="仿宋" w:eastAsia="仿宋" w:cs="仿宋"/>
                <w:kern w:val="0"/>
                <w:sz w:val="24"/>
              </w:rPr>
            </w:pPr>
          </w:p>
        </w:tc>
        <w:tc>
          <w:tcPr>
            <w:tcW w:w="2836" w:type="dxa"/>
            <w:vMerge w:val="continue"/>
            <w:vAlign w:val="center"/>
          </w:tcPr>
          <w:p w14:paraId="5698F915">
            <w:pPr>
              <w:widowControl/>
              <w:spacing w:line="336" w:lineRule="auto"/>
              <w:jc w:val="left"/>
              <w:rPr>
                <w:rFonts w:ascii="仿宋" w:hAnsi="仿宋" w:eastAsia="仿宋" w:cs="仿宋"/>
                <w:kern w:val="0"/>
                <w:sz w:val="24"/>
              </w:rPr>
            </w:pPr>
          </w:p>
        </w:tc>
        <w:tc>
          <w:tcPr>
            <w:tcW w:w="606" w:type="dxa"/>
            <w:vAlign w:val="center"/>
          </w:tcPr>
          <w:p w14:paraId="7183CFB4">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D6B7868">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79A7C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CAF610E">
            <w:pPr>
              <w:widowControl/>
              <w:spacing w:line="336" w:lineRule="auto"/>
              <w:jc w:val="left"/>
              <w:rPr>
                <w:rFonts w:ascii="仿宋" w:hAnsi="仿宋" w:eastAsia="仿宋" w:cs="仿宋"/>
                <w:kern w:val="0"/>
                <w:sz w:val="24"/>
              </w:rPr>
            </w:pPr>
          </w:p>
        </w:tc>
        <w:tc>
          <w:tcPr>
            <w:tcW w:w="1025" w:type="dxa"/>
            <w:vMerge w:val="continue"/>
            <w:vAlign w:val="center"/>
          </w:tcPr>
          <w:p w14:paraId="098E97DA">
            <w:pPr>
              <w:widowControl/>
              <w:spacing w:line="336" w:lineRule="auto"/>
              <w:jc w:val="left"/>
              <w:rPr>
                <w:rFonts w:ascii="仿宋" w:hAnsi="仿宋" w:eastAsia="仿宋" w:cs="仿宋"/>
                <w:kern w:val="0"/>
                <w:sz w:val="24"/>
              </w:rPr>
            </w:pPr>
          </w:p>
        </w:tc>
        <w:tc>
          <w:tcPr>
            <w:tcW w:w="2836" w:type="dxa"/>
            <w:vMerge w:val="continue"/>
            <w:vAlign w:val="center"/>
          </w:tcPr>
          <w:p w14:paraId="440C1DEF">
            <w:pPr>
              <w:widowControl/>
              <w:spacing w:line="336" w:lineRule="auto"/>
              <w:jc w:val="left"/>
              <w:rPr>
                <w:rFonts w:ascii="仿宋" w:hAnsi="仿宋" w:eastAsia="仿宋" w:cs="仿宋"/>
                <w:kern w:val="0"/>
                <w:sz w:val="24"/>
              </w:rPr>
            </w:pPr>
          </w:p>
        </w:tc>
        <w:tc>
          <w:tcPr>
            <w:tcW w:w="606" w:type="dxa"/>
            <w:vAlign w:val="center"/>
          </w:tcPr>
          <w:p w14:paraId="27BEE314">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A61322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1FFB0B7F">
      <w:pPr>
        <w:spacing w:line="336" w:lineRule="auto"/>
        <w:rPr>
          <w:rFonts w:ascii="仿宋" w:hAnsi="仿宋" w:eastAsia="仿宋" w:cs="仿宋"/>
          <w:sz w:val="24"/>
        </w:rPr>
      </w:pPr>
    </w:p>
    <w:p w14:paraId="3F2293FE">
      <w:pPr>
        <w:spacing w:line="336" w:lineRule="auto"/>
        <w:ind w:firstLine="420" w:firstLineChars="200"/>
        <w:rPr>
          <w:rFonts w:ascii="仿宋" w:hAnsi="仿宋" w:eastAsia="仿宋" w:cs="仿宋"/>
        </w:rPr>
      </w:pPr>
    </w:p>
    <w:p w14:paraId="183E0AFC">
      <w:pPr>
        <w:spacing w:line="336" w:lineRule="auto"/>
        <w:rPr>
          <w:rFonts w:ascii="仿宋" w:hAnsi="仿宋" w:eastAsia="仿宋" w:cs="仿宋"/>
        </w:rPr>
      </w:pPr>
    </w:p>
    <w:p w14:paraId="5085CDB4">
      <w:pPr>
        <w:spacing w:line="360" w:lineRule="auto"/>
        <w:ind w:firstLine="482" w:firstLineChars="200"/>
        <w:rPr>
          <w:rFonts w:ascii="宋体" w:hAnsi="宋体" w:eastAsia="宋体" w:cs="仿宋_GB2312"/>
          <w:b/>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Times New Roman"/>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Lucida Grande">
    <w:altName w:val="Courier New"/>
    <w:panose1 w:val="00000000000000000000"/>
    <w:charset w:val="00"/>
    <w:family w:val="auto"/>
    <w:pitch w:val="default"/>
    <w:sig w:usb0="00000000" w:usb1="00000000" w:usb2="00000000" w:usb3="00000000" w:csb0="00040001" w:csb1="00000000"/>
  </w:font>
  <w:font w:name="Heiti SC Light">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3CC69">
    <w:pPr>
      <w:pStyle w:val="40"/>
      <w:framePr w:wrap="around" w:vAnchor="text" w:hAnchor="margin" w:xAlign="right" w:y="1"/>
      <w:rPr>
        <w:rStyle w:val="66"/>
      </w:rPr>
    </w:pPr>
    <w:r>
      <w:fldChar w:fldCharType="begin"/>
    </w:r>
    <w:r>
      <w:rPr>
        <w:rStyle w:val="66"/>
      </w:rPr>
      <w:instrText xml:space="preserve">PAGE  </w:instrText>
    </w:r>
    <w:r>
      <w:fldChar w:fldCharType="end"/>
    </w:r>
  </w:p>
  <w:p w14:paraId="7175EC7D">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EE98">
    <w:pPr>
      <w:pStyle w:val="4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9C816">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29C816">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6535">
    <w:pPr>
      <w:pStyle w:val="40"/>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C6BF">
    <w:pPr>
      <w:pStyle w:val="40"/>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19421">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019421">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40"/>
      <w:rPr>
        <w:rFonts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E4A9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0E4A9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9D73">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D18E6">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7D18E6">
                    <w:pPr>
                      <w:pStyle w:val="4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15A4">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9592">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E99592">
                    <w:pPr>
                      <w:pStyle w:val="4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2A9D">
    <w:pPr>
      <w:pStyle w:val="40"/>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3794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73794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4DEE8">
    <w:pPr>
      <w:pStyle w:val="40"/>
      <w:framePr w:wrap="around" w:vAnchor="text" w:hAnchor="margin" w:xAlign="right" w:y="1"/>
      <w:rPr>
        <w:rStyle w:val="66"/>
      </w:rPr>
    </w:pPr>
    <w:r>
      <w:fldChar w:fldCharType="begin"/>
    </w:r>
    <w:r>
      <w:rPr>
        <w:rStyle w:val="66"/>
      </w:rPr>
      <w:instrText xml:space="preserve">PAGE  </w:instrText>
    </w:r>
    <w:r>
      <w:fldChar w:fldCharType="end"/>
    </w:r>
  </w:p>
  <w:p w14:paraId="60CAE592">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2A29">
    <w:pPr>
      <w:pStyle w:val="40"/>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C80B">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6FC80B">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DB7C">
    <w:pPr>
      <w:pStyle w:val="41"/>
      <w:jc w:val="left"/>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文件编号: SXPZ-F20250707QXY</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EF97">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04B6">
    <w:pPr>
      <w:pStyle w:val="41"/>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文件编号: SXPZ-F20250707QXY</w:t>
    </w:r>
    <w:r>
      <w:rPr>
        <w:rFonts w:hint="eastAsia" w:ascii="仿宋" w:hAnsi="仿宋" w:eastAsia="仿宋" w:cs="仿宋"/>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310BB">
    <w:pPr>
      <w:spacing w:line="20" w:lineRule="atLeast"/>
      <w:rPr>
        <w:b/>
        <w:color w:val="808080"/>
        <w:sz w:val="10"/>
        <w:u w:val="single"/>
      </w:rPr>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文件编号: SXPZ-F20250707QXY</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lang w:val="en-US" w:eastAsia="zh-CN"/>
      </w:rPr>
      <w:t xml:space="preserve">                                                      </w:t>
    </w:r>
    <w:r>
      <w:rPr>
        <w:b/>
        <w:i/>
        <w:color w:val="808080"/>
        <w:kern w:val="0"/>
        <w:sz w:val="18"/>
        <w:u w:val="single"/>
      </w:rPr>
      <w:t xml:space="preserve"> </w:t>
    </w:r>
    <w:r>
      <w:rPr>
        <w:rFonts w:hint="eastAsia"/>
        <w:b/>
        <w:i/>
        <w:color w:val="808080"/>
        <w:kern w:val="0"/>
        <w:sz w:val="18"/>
        <w:u w:val="single"/>
        <w:lang w:val="en-US" w:eastAsia="zh-CN"/>
      </w:rPr>
      <w:t xml:space="preserve">     </w:t>
    </w:r>
    <w:r>
      <w:rPr>
        <w:b/>
        <w:i/>
        <w:color w:val="808080"/>
        <w:kern w:val="0"/>
        <w:sz w:val="18"/>
        <w:u w:val="single"/>
      </w:rPr>
      <w:t xml:space="preserve">                </w:t>
    </w:r>
  </w:p>
  <w:p w14:paraId="11E1BBED">
    <w:pPr>
      <w:spacing w:line="182" w:lineRule="auto"/>
      <w:ind w:left="352"/>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64CD">
    <w:pPr>
      <w:pStyle w:val="41"/>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磋商</w:t>
    </w:r>
    <w:r>
      <w:rPr>
        <w:rFonts w:hint="eastAsia" w:ascii="仿宋" w:hAnsi="仿宋" w:eastAsia="仿宋" w:cs="仿宋"/>
        <w:lang w:eastAsia="zh-CN"/>
      </w:rPr>
      <w:t>文件编号: SXPZ-F20250707QXY</w:t>
    </w:r>
    <w:r>
      <w:rPr>
        <w:rFonts w:hint="eastAsia" w:ascii="仿宋" w:hAnsi="仿宋" w:eastAsia="仿宋" w:cs="仿宋"/>
      </w:rPr>
      <w:t xml:space="preserve"> </w:t>
    </w:r>
  </w:p>
  <w:p w14:paraId="5CFDCA5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3403">
    <w:pPr>
      <w:pStyle w:val="41"/>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磋商</w:t>
    </w:r>
    <w:r>
      <w:rPr>
        <w:rFonts w:hint="eastAsia" w:ascii="仿宋" w:hAnsi="仿宋" w:eastAsia="仿宋" w:cs="仿宋"/>
        <w:lang w:eastAsia="zh-CN"/>
      </w:rPr>
      <w:t>文件编号: SXPZ-F20250707QXY</w:t>
    </w:r>
    <w:r>
      <w:rPr>
        <w:rFonts w:hint="eastAsia" w:ascii="仿宋" w:hAnsi="仿宋" w:eastAsia="仿宋" w:cs="仿宋"/>
      </w:rPr>
      <w:t xml:space="preserve"> </w:t>
    </w:r>
  </w:p>
  <w:p w14:paraId="5851F46F">
    <w:pPr>
      <w:pStyle w:val="41"/>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949D">
    <w:pPr>
      <w:pStyle w:val="41"/>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磋商</w:t>
    </w:r>
    <w:r>
      <w:rPr>
        <w:rFonts w:hint="eastAsia" w:ascii="仿宋" w:hAnsi="仿宋" w:eastAsia="仿宋" w:cs="仿宋"/>
        <w:lang w:eastAsia="zh-CN"/>
      </w:rPr>
      <w:t>文件编号: SXPZ-F20250707QXY</w:t>
    </w:r>
    <w:r>
      <w:rPr>
        <w:rFonts w:hint="eastAsia" w:ascii="仿宋" w:hAnsi="仿宋" w:eastAsia="仿宋" w:cs="仿宋"/>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3D07">
    <w:pPr>
      <w:pStyle w:val="41"/>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磋商</w:t>
    </w:r>
    <w:r>
      <w:rPr>
        <w:rFonts w:hint="eastAsia" w:ascii="仿宋" w:hAnsi="仿宋" w:eastAsia="仿宋" w:cs="仿宋"/>
        <w:lang w:eastAsia="zh-CN"/>
      </w:rPr>
      <w:t>文件编号: SXPZ-F20250707QXY</w:t>
    </w:r>
    <w:r>
      <w:rPr>
        <w:rFonts w:hint="eastAsia" w:ascii="仿宋" w:hAnsi="仿宋" w:eastAsia="仿宋" w:cs="仿宋"/>
      </w:rPr>
      <w:t xml:space="preserve"> </w:t>
    </w:r>
  </w:p>
  <w:p w14:paraId="57D1ACF2">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2"/>
    <w:multiLevelType w:val="singleLevel"/>
    <w:tmpl w:val="00000002"/>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2"/>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0000010"/>
    <w:multiLevelType w:val="singleLevel"/>
    <w:tmpl w:val="00000010"/>
    <w:lvl w:ilvl="0" w:tentative="0">
      <w:start w:val="2"/>
      <w:numFmt w:val="chineseCounting"/>
      <w:suff w:val="nothing"/>
      <w:lvlText w:val="（%1）"/>
      <w:lvlJc w:val="left"/>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000000"/>
    <w:rsid w:val="012D0479"/>
    <w:rsid w:val="04372FD3"/>
    <w:rsid w:val="079E4577"/>
    <w:rsid w:val="09A60DC8"/>
    <w:rsid w:val="0AFA761E"/>
    <w:rsid w:val="0E5C514F"/>
    <w:rsid w:val="0ED662BA"/>
    <w:rsid w:val="0F3ED602"/>
    <w:rsid w:val="0F9424C5"/>
    <w:rsid w:val="0FC1695C"/>
    <w:rsid w:val="10C32C86"/>
    <w:rsid w:val="11486BC7"/>
    <w:rsid w:val="12506B92"/>
    <w:rsid w:val="126B311C"/>
    <w:rsid w:val="142330A3"/>
    <w:rsid w:val="15680740"/>
    <w:rsid w:val="15E120B7"/>
    <w:rsid w:val="17CD49CB"/>
    <w:rsid w:val="17D45EE2"/>
    <w:rsid w:val="1C106A83"/>
    <w:rsid w:val="1C6B0CC0"/>
    <w:rsid w:val="1F1C10F7"/>
    <w:rsid w:val="1F7FFD0B"/>
    <w:rsid w:val="21B52B49"/>
    <w:rsid w:val="24A26904"/>
    <w:rsid w:val="25261150"/>
    <w:rsid w:val="25C23113"/>
    <w:rsid w:val="25F34121"/>
    <w:rsid w:val="26411D95"/>
    <w:rsid w:val="265B3256"/>
    <w:rsid w:val="29114058"/>
    <w:rsid w:val="29642216"/>
    <w:rsid w:val="2A792363"/>
    <w:rsid w:val="2B050059"/>
    <w:rsid w:val="2B0A69A0"/>
    <w:rsid w:val="2CF55A3F"/>
    <w:rsid w:val="2EF3EADE"/>
    <w:rsid w:val="2FEE7E48"/>
    <w:rsid w:val="317B0FE1"/>
    <w:rsid w:val="364927FB"/>
    <w:rsid w:val="364B8D47"/>
    <w:rsid w:val="379EC62E"/>
    <w:rsid w:val="37B908A3"/>
    <w:rsid w:val="37BF8831"/>
    <w:rsid w:val="38433B03"/>
    <w:rsid w:val="392B413E"/>
    <w:rsid w:val="39841613"/>
    <w:rsid w:val="3ABF0531"/>
    <w:rsid w:val="3BCC188A"/>
    <w:rsid w:val="3BD12312"/>
    <w:rsid w:val="3BFEF285"/>
    <w:rsid w:val="3E8D0BB8"/>
    <w:rsid w:val="3FA33D28"/>
    <w:rsid w:val="3FB460A9"/>
    <w:rsid w:val="3FBCA488"/>
    <w:rsid w:val="3FEF7253"/>
    <w:rsid w:val="3FFF6A35"/>
    <w:rsid w:val="3FFF6B4E"/>
    <w:rsid w:val="41207887"/>
    <w:rsid w:val="41A62D0A"/>
    <w:rsid w:val="425C3B7A"/>
    <w:rsid w:val="46842723"/>
    <w:rsid w:val="47157E5C"/>
    <w:rsid w:val="48050DD4"/>
    <w:rsid w:val="4B354FBD"/>
    <w:rsid w:val="4B693B6E"/>
    <w:rsid w:val="4D21680F"/>
    <w:rsid w:val="4DFDDC90"/>
    <w:rsid w:val="4E052751"/>
    <w:rsid w:val="50A233AE"/>
    <w:rsid w:val="525070F0"/>
    <w:rsid w:val="52BF54F4"/>
    <w:rsid w:val="53D763F9"/>
    <w:rsid w:val="555A4967"/>
    <w:rsid w:val="573B7EDB"/>
    <w:rsid w:val="57E592F7"/>
    <w:rsid w:val="57FD8216"/>
    <w:rsid w:val="580E6B49"/>
    <w:rsid w:val="5959382D"/>
    <w:rsid w:val="595BC42C"/>
    <w:rsid w:val="59C875F2"/>
    <w:rsid w:val="5B181B19"/>
    <w:rsid w:val="5D0A0A4E"/>
    <w:rsid w:val="5EAF99CA"/>
    <w:rsid w:val="5F9B13E4"/>
    <w:rsid w:val="5FE53264"/>
    <w:rsid w:val="5FF335E9"/>
    <w:rsid w:val="5FFF882E"/>
    <w:rsid w:val="6270673C"/>
    <w:rsid w:val="63274CA2"/>
    <w:rsid w:val="63C6577E"/>
    <w:rsid w:val="65834CD5"/>
    <w:rsid w:val="66EA7B14"/>
    <w:rsid w:val="675C780C"/>
    <w:rsid w:val="678E12D8"/>
    <w:rsid w:val="67F51DB4"/>
    <w:rsid w:val="681B302F"/>
    <w:rsid w:val="6B9F715F"/>
    <w:rsid w:val="6BDA4955"/>
    <w:rsid w:val="6BF86DF2"/>
    <w:rsid w:val="6BFC15CF"/>
    <w:rsid w:val="6BFD4436"/>
    <w:rsid w:val="6BFF0ACA"/>
    <w:rsid w:val="6E2B051D"/>
    <w:rsid w:val="6EB6091F"/>
    <w:rsid w:val="6EB802EE"/>
    <w:rsid w:val="6F7D42D5"/>
    <w:rsid w:val="6FB6DEF3"/>
    <w:rsid w:val="70CC4BC0"/>
    <w:rsid w:val="710B37BC"/>
    <w:rsid w:val="71AA44DD"/>
    <w:rsid w:val="71FF3C2E"/>
    <w:rsid w:val="737F2692"/>
    <w:rsid w:val="75534663"/>
    <w:rsid w:val="757FBF67"/>
    <w:rsid w:val="758A77D0"/>
    <w:rsid w:val="75EBCAA0"/>
    <w:rsid w:val="75EF25F8"/>
    <w:rsid w:val="75F9C856"/>
    <w:rsid w:val="77F7767B"/>
    <w:rsid w:val="79031B5E"/>
    <w:rsid w:val="79761A13"/>
    <w:rsid w:val="79BB4302"/>
    <w:rsid w:val="79DBBD22"/>
    <w:rsid w:val="7AF504F4"/>
    <w:rsid w:val="7B9E0203"/>
    <w:rsid w:val="7C736AD9"/>
    <w:rsid w:val="7C7924B7"/>
    <w:rsid w:val="7CE02C9B"/>
    <w:rsid w:val="7D6D1322"/>
    <w:rsid w:val="7D9507EF"/>
    <w:rsid w:val="7DFDDC33"/>
    <w:rsid w:val="7DFFA361"/>
    <w:rsid w:val="7DFFC100"/>
    <w:rsid w:val="7EAA2BA5"/>
    <w:rsid w:val="7EFFAAF5"/>
    <w:rsid w:val="7F5C73BC"/>
    <w:rsid w:val="7F5F520E"/>
    <w:rsid w:val="7F6A734C"/>
    <w:rsid w:val="7F7C9216"/>
    <w:rsid w:val="7FA937D4"/>
    <w:rsid w:val="7FF7BB33"/>
    <w:rsid w:val="7FFBD702"/>
    <w:rsid w:val="85DFE67B"/>
    <w:rsid w:val="95F70E3C"/>
    <w:rsid w:val="9D7BB6FD"/>
    <w:rsid w:val="A9FBCF87"/>
    <w:rsid w:val="ABEDF032"/>
    <w:rsid w:val="ACFD1A74"/>
    <w:rsid w:val="AD5FE341"/>
    <w:rsid w:val="B5F9421A"/>
    <w:rsid w:val="BCB8BC48"/>
    <w:rsid w:val="BCFDA754"/>
    <w:rsid w:val="BEEFF17F"/>
    <w:rsid w:val="BFAD3A34"/>
    <w:rsid w:val="BFF7ABBE"/>
    <w:rsid w:val="CF8F6ECA"/>
    <w:rsid w:val="D39F5CCD"/>
    <w:rsid w:val="D3DE9E14"/>
    <w:rsid w:val="D5F8766E"/>
    <w:rsid w:val="D7F7A0EC"/>
    <w:rsid w:val="DA7FB785"/>
    <w:rsid w:val="DB6FDEBB"/>
    <w:rsid w:val="DBBBA931"/>
    <w:rsid w:val="DE7FAFF3"/>
    <w:rsid w:val="DF53ABF5"/>
    <w:rsid w:val="DF9DB844"/>
    <w:rsid w:val="DFBE38E9"/>
    <w:rsid w:val="DFDF5642"/>
    <w:rsid w:val="DFF7210F"/>
    <w:rsid w:val="DFFE1736"/>
    <w:rsid w:val="DFFF8A01"/>
    <w:rsid w:val="E6CF4CB2"/>
    <w:rsid w:val="E94EBF51"/>
    <w:rsid w:val="EA3BF372"/>
    <w:rsid w:val="EB7C989A"/>
    <w:rsid w:val="EF49C708"/>
    <w:rsid w:val="EF77E395"/>
    <w:rsid w:val="EFFD4173"/>
    <w:rsid w:val="F37BECE9"/>
    <w:rsid w:val="F3FFD1B4"/>
    <w:rsid w:val="F47FCEAD"/>
    <w:rsid w:val="F49B84AA"/>
    <w:rsid w:val="F5DC7718"/>
    <w:rsid w:val="F5F77516"/>
    <w:rsid w:val="F6161A78"/>
    <w:rsid w:val="F6CBB0A8"/>
    <w:rsid w:val="F71BFB77"/>
    <w:rsid w:val="F79F6C66"/>
    <w:rsid w:val="F7DAE7C0"/>
    <w:rsid w:val="F7EFED85"/>
    <w:rsid w:val="F7F56081"/>
    <w:rsid w:val="F9E97419"/>
    <w:rsid w:val="F9F426EE"/>
    <w:rsid w:val="FA8D14FF"/>
    <w:rsid w:val="FA9CB323"/>
    <w:rsid w:val="FABF0D18"/>
    <w:rsid w:val="FB3F0EEA"/>
    <w:rsid w:val="FB686DD5"/>
    <w:rsid w:val="FBFB01D2"/>
    <w:rsid w:val="FCF11277"/>
    <w:rsid w:val="FCF9636D"/>
    <w:rsid w:val="FD3B34A0"/>
    <w:rsid w:val="FD967C7A"/>
    <w:rsid w:val="FDCD71B3"/>
    <w:rsid w:val="FDF71F90"/>
    <w:rsid w:val="FE547347"/>
    <w:rsid w:val="FED3D603"/>
    <w:rsid w:val="FEF70042"/>
    <w:rsid w:val="FEFFFD70"/>
    <w:rsid w:val="FF37A172"/>
    <w:rsid w:val="FF3F0145"/>
    <w:rsid w:val="FF7A0808"/>
    <w:rsid w:val="FFA6085D"/>
    <w:rsid w:val="FFAF3BCA"/>
    <w:rsid w:val="FFBEB7DC"/>
    <w:rsid w:val="FFC22C81"/>
    <w:rsid w:val="FFD7B8FA"/>
    <w:rsid w:val="FFDF0CA7"/>
    <w:rsid w:val="FFE594FF"/>
    <w:rsid w:val="FFEF6CC2"/>
    <w:rsid w:val="FFFA2D3C"/>
    <w:rsid w:val="FFFF9026"/>
    <w:rsid w:val="FFFF9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2">
    <w:name w:val="Body Text First Indent 2"/>
    <w:basedOn w:val="3"/>
    <w:next w:val="1"/>
    <w:link w:val="504"/>
    <w:qFormat/>
    <w:uiPriority w:val="0"/>
    <w:pPr>
      <w:adjustRightInd/>
      <w:spacing w:after="120" w:line="240" w:lineRule="auto"/>
      <w:ind w:left="420" w:leftChars="200" w:firstLine="210"/>
    </w:pPr>
    <w:rPr>
      <w:sz w:val="21"/>
    </w:rPr>
  </w:style>
  <w:style w:type="paragraph" w:styleId="3">
    <w:name w:val="Body Text Indent"/>
    <w:basedOn w:val="1"/>
    <w:next w:val="1"/>
    <w:link w:val="47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qFormat/>
    <w:uiPriority w:val="0"/>
    <w:pPr>
      <w:shd w:val="clear" w:color="auto" w:fill="000080"/>
    </w:pPr>
  </w:style>
  <w:style w:type="paragraph" w:styleId="21">
    <w:name w:val="annotation text"/>
    <w:basedOn w:val="1"/>
    <w:link w:val="616"/>
    <w:qFormat/>
    <w:uiPriority w:val="99"/>
    <w:pPr>
      <w:jc w:val="left"/>
    </w:pPr>
  </w:style>
  <w:style w:type="paragraph" w:styleId="22">
    <w:name w:val="Salutation"/>
    <w:basedOn w:val="1"/>
    <w:next w:val="1"/>
    <w:link w:val="484"/>
    <w:qFormat/>
    <w:uiPriority w:val="0"/>
    <w:rPr>
      <w:rFonts w:ascii="仿宋_GB2312" w:eastAsia="仿宋_GB2312"/>
      <w:sz w:val="28"/>
      <w:szCs w:val="20"/>
    </w:rPr>
  </w:style>
  <w:style w:type="paragraph" w:styleId="23">
    <w:name w:val="Body Text 3"/>
    <w:basedOn w:val="1"/>
    <w:link w:val="583"/>
    <w:qFormat/>
    <w:uiPriority w:val="0"/>
    <w:pPr>
      <w:jc w:val="center"/>
    </w:pPr>
    <w:rPr>
      <w:szCs w:val="20"/>
    </w:rPr>
  </w:style>
  <w:style w:type="paragraph" w:styleId="24">
    <w:name w:val="Body Text"/>
    <w:basedOn w:val="1"/>
    <w:next w:val="25"/>
    <w:link w:val="514"/>
    <w:qFormat/>
    <w:uiPriority w:val="0"/>
    <w:pPr>
      <w:autoSpaceDE w:val="0"/>
      <w:autoSpaceDN w:val="0"/>
      <w:spacing w:line="360" w:lineRule="auto"/>
    </w:pPr>
    <w:rPr>
      <w:rFonts w:ascii="宋体"/>
      <w:sz w:val="24"/>
      <w:szCs w:val="21"/>
      <w:lang w:val="zh-CN"/>
    </w:rPr>
  </w:style>
  <w:style w:type="paragraph" w:customStyle="1" w:styleId="25">
    <w:name w:val="_Style 2"/>
    <w:basedOn w:val="1"/>
    <w:qFormat/>
    <w:uiPriority w:val="0"/>
    <w:pPr>
      <w:tabs>
        <w:tab w:val="left" w:pos="420"/>
      </w:tabs>
      <w:ind w:firstLine="200" w:firstLineChars="200"/>
    </w:pPr>
    <w:rPr>
      <w:sz w:val="28"/>
      <w:szCs w:val="22"/>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91"/>
    <w:qFormat/>
    <w:uiPriority w:val="0"/>
    <w:rPr>
      <w:rFonts w:ascii="宋体" w:hAnsi="Courier New"/>
      <w:szCs w:val="20"/>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0"/>
    <w:qFormat/>
    <w:uiPriority w:val="0"/>
    <w:pPr>
      <w:ind w:left="100" w:leftChars="2500"/>
    </w:pPr>
    <w:rPr>
      <w:rFonts w:ascii="宋体"/>
      <w:sz w:val="24"/>
      <w:szCs w:val="21"/>
      <w:lang w:val="zh-CN"/>
    </w:rPr>
  </w:style>
  <w:style w:type="paragraph" w:styleId="38">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9">
    <w:name w:val="Balloon Text"/>
    <w:basedOn w:val="1"/>
    <w:link w:val="617"/>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0"/>
    <w:qFormat/>
    <w:uiPriority w:val="0"/>
    <w:pPr>
      <w:spacing w:line="360" w:lineRule="auto"/>
      <w:ind w:firstLine="420"/>
    </w:pPr>
    <w:rPr>
      <w:sz w:val="24"/>
      <w:szCs w:val="20"/>
    </w:rPr>
  </w:style>
  <w:style w:type="paragraph" w:styleId="54">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qFormat/>
    <w:uiPriority w:val="0"/>
    <w:rPr>
      <w:b/>
      <w:bCs/>
    </w:rPr>
  </w:style>
  <w:style w:type="paragraph" w:styleId="61">
    <w:name w:val="Body Text First Indent"/>
    <w:basedOn w:val="24"/>
    <w:next w:val="1"/>
    <w:link w:val="547"/>
    <w:qFormat/>
    <w:uiPriority w:val="0"/>
    <w:pPr>
      <w:ind w:firstLine="420"/>
    </w:pPr>
    <w:rPr>
      <w:szCs w:val="20"/>
    </w:rPr>
  </w:style>
  <w:style w:type="table" w:styleId="63">
    <w:name w:val="Table Grid"/>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5"/>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3"/>
    <w:next w:val="73"/>
    <w:qFormat/>
    <w:uiPriority w:val="0"/>
    <w:pPr>
      <w:spacing w:after="68"/>
    </w:pPr>
    <w:rPr>
      <w:rFonts w:ascii="FHLHE E+ Futura Bk" w:eastAsia="FHLHE E+ Futura Bk" w:cs="Times New Roman"/>
      <w:color w:val="auto"/>
    </w:rPr>
  </w:style>
  <w:style w:type="paragraph" w:customStyle="1" w:styleId="10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7"/>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7"/>
    <w:qFormat/>
    <w:uiPriority w:val="0"/>
    <w:pPr>
      <w:numPr>
        <w:ilvl w:val="0"/>
        <w:numId w:val="0"/>
      </w:numPr>
      <w:tabs>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7"/>
    <w:link w:val="561"/>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clear" w:pos="1260"/>
      </w:tabs>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5"/>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7"/>
    <w:qFormat/>
    <w:uiPriority w:val="0"/>
    <w:pPr>
      <w:numPr>
        <w:ilvl w:val="0"/>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4"/>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7"/>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9"/>
    <w:next w:val="1"/>
    <w:qFormat/>
    <w:uiPriority w:val="0"/>
    <w:pPr>
      <w:numPr>
        <w:ilvl w:val="0"/>
        <w:numId w:val="5"/>
      </w:numPr>
      <w:tabs>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4"/>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9">
    <w:name w:val="4"/>
    <w:basedOn w:val="1"/>
    <w:next w:val="38"/>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3"/>
    <w:next w:val="7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4"/>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4"/>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5"/>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customStyle="1"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5"/>
    <w:qFormat/>
    <w:uiPriority w:val="0"/>
    <w:pPr>
      <w:numPr>
        <w:ilvl w:val="0"/>
        <w:numId w:val="0"/>
      </w:numPr>
      <w:tabs>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6"/>
    <w:next w:val="1"/>
    <w:qFormat/>
    <w:uiPriority w:val="0"/>
    <w:pPr>
      <w:numPr>
        <w:ilvl w:val="0"/>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7"/>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6"/>
    <w:qFormat/>
    <w:uiPriority w:val="0"/>
    <w:pPr>
      <w:numPr>
        <w:ilvl w:val="0"/>
        <w:numId w:val="4"/>
      </w:numPr>
      <w:tabs>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7"/>
    <w:link w:val="5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0"/>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5"/>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4"/>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Id w:val="0"/>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8"/>
    <w:next w:val="1"/>
    <w:qFormat/>
    <w:uiPriority w:val="0"/>
    <w:pPr>
      <w:numPr>
        <w:ilvl w:val="0"/>
        <w:numId w:val="5"/>
      </w:numPr>
      <w:tabs>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8"/>
    <w:qFormat/>
    <w:uiPriority w:val="0"/>
    <w:pPr>
      <w:numPr>
        <w:ilvl w:val="0"/>
        <w:numId w:val="4"/>
      </w:numPr>
      <w:tabs>
        <w:tab w:val="clear" w:pos="1008"/>
      </w:tabs>
      <w:adjustRightInd/>
    </w:pPr>
  </w:style>
  <w:style w:type="paragraph" w:customStyle="1" w:styleId="413">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4"/>
    <w:next w:val="1"/>
    <w:qFormat/>
    <w:uiPriority w:val="0"/>
    <w:pPr>
      <w:numPr>
        <w:ilvl w:val="0"/>
        <w:numId w:val="5"/>
      </w:numPr>
      <w:tabs>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4"/>
    <w:qFormat/>
    <w:uiPriority w:val="0"/>
    <w:pPr>
      <w:numPr>
        <w:ilvl w:val="0"/>
        <w:numId w:val="0"/>
      </w:numPr>
      <w:tabs>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2"/>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qFormat/>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qFormat/>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1"/>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50"/>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3"/>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10"/>
    <w:qFormat/>
    <w:uiPriority w:val="0"/>
    <w:rPr>
      <w:b/>
      <w:bCs/>
      <w:kern w:val="2"/>
      <w:sz w:val="24"/>
      <w:szCs w:val="24"/>
    </w:rPr>
  </w:style>
  <w:style w:type="character" w:customStyle="1" w:styleId="484">
    <w:name w:val="称呼 Char"/>
    <w:link w:val="22"/>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7"/>
    <w:qFormat/>
    <w:uiPriority w:val="0"/>
    <w:rPr>
      <w:rFonts w:ascii="Arial" w:hAnsi="Arial" w:eastAsia="隶书"/>
      <w:b/>
      <w:bCs/>
      <w:kern w:val="28"/>
      <w:sz w:val="44"/>
      <w:szCs w:val="32"/>
      <w:lang w:val="en-US" w:eastAsia="zh-CN" w:bidi="ar-SA"/>
    </w:rPr>
  </w:style>
  <w:style w:type="character" w:customStyle="1" w:styleId="49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_7802c35d-a7d5-483c-ad67-f53103fdfb58"/>
    <w:qFormat/>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2"/>
    <w:qFormat/>
    <w:uiPriority w:val="0"/>
    <w:rPr>
      <w:rFonts w:ascii="宋体" w:hAnsi="宋体"/>
      <w:kern w:val="2"/>
      <w:sz w:val="21"/>
      <w:szCs w:val="24"/>
    </w:rPr>
  </w:style>
  <w:style w:type="character" w:customStyle="1" w:styleId="505">
    <w:name w:val="正文文本缩进 2 Char"/>
    <w:link w:val="38"/>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2"/>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7"/>
    <w:qFormat/>
    <w:uiPriority w:val="0"/>
    <w:rPr>
      <w:rFonts w:ascii="黑体" w:hAnsi="Courier New" w:eastAsia="黑体"/>
    </w:rPr>
  </w:style>
  <w:style w:type="character" w:customStyle="1" w:styleId="546">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7">
    <w:name w:val="正文首行缩进 Char"/>
    <w:link w:val="61"/>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4"/>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uiPriority w:val="0"/>
    <w:rPr>
      <w:rFonts w:ascii="宋体" w:hAnsi="宋体" w:eastAsia="宋体"/>
      <w:b/>
      <w:kern w:val="2"/>
      <w:sz w:val="24"/>
      <w:szCs w:val="24"/>
      <w:lang w:val="en-US" w:eastAsia="zh-CN" w:bidi="ar-SA"/>
    </w:rPr>
  </w:style>
  <w:style w:type="character" w:customStyle="1" w:styleId="564">
    <w:name w:val="Document Map Char"/>
    <w:qFormat/>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0"/>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8"/>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3"/>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3"/>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7"/>
    <w:qFormat/>
    <w:uiPriority w:val="0"/>
    <w:rPr>
      <w:rFonts w:ascii="宋体"/>
      <w:kern w:val="2"/>
      <w:sz w:val="24"/>
      <w:szCs w:val="21"/>
      <w:lang w:val="zh-CN"/>
    </w:rPr>
  </w:style>
  <w:style w:type="character" w:customStyle="1" w:styleId="601">
    <w:name w:val="标题 4 Char"/>
    <w:link w:val="7"/>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qFormat/>
    <w:uiPriority w:val="0"/>
    <w:rPr>
      <w:rFonts w:ascii="Times New Roman" w:hAnsi="Times New Roman" w:eastAsia="宋体" w:cs="Times New Roman"/>
      <w:sz w:val="20"/>
      <w:szCs w:val="20"/>
    </w:rPr>
  </w:style>
  <w:style w:type="character" w:customStyle="1" w:styleId="606">
    <w:name w:val="Char Char31"/>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9"/>
    <w:qFormat/>
    <w:uiPriority w:val="0"/>
    <w:rPr>
      <w:rFonts w:ascii="Arial" w:hAnsi="Arial" w:eastAsia="黑体"/>
      <w:b/>
      <w:bCs/>
      <w:kern w:val="2"/>
      <w:sz w:val="24"/>
      <w:szCs w:val="24"/>
    </w:rPr>
  </w:style>
  <w:style w:type="character" w:customStyle="1" w:styleId="615">
    <w:name w:val="正文缩进 Char2"/>
    <w:link w:val="17"/>
    <w:qFormat/>
    <w:uiPriority w:val="0"/>
    <w:rPr>
      <w:rFonts w:ascii="宋体" w:eastAsia="宋体"/>
      <w:snapToGrid w:val="0"/>
      <w:color w:val="000000"/>
      <w:kern w:val="28"/>
      <w:sz w:val="28"/>
      <w:lang w:val="en-US" w:eastAsia="zh-CN" w:bidi="ar-SA"/>
    </w:rPr>
  </w:style>
  <w:style w:type="character" w:customStyle="1" w:styleId="616">
    <w:name w:val="批注文字 Char1"/>
    <w:link w:val="21"/>
    <w:qFormat/>
    <w:uiPriority w:val="99"/>
    <w:rPr>
      <w:kern w:val="2"/>
      <w:sz w:val="21"/>
      <w:szCs w:val="24"/>
    </w:rPr>
  </w:style>
  <w:style w:type="character" w:customStyle="1" w:styleId="617">
    <w:name w:val="批注框文本 Char"/>
    <w:link w:val="39"/>
    <w:qFormat/>
    <w:uiPriority w:val="0"/>
    <w:rPr>
      <w:kern w:val="2"/>
      <w:sz w:val="18"/>
      <w:szCs w:val="18"/>
    </w:rPr>
  </w:style>
  <w:style w:type="character" w:customStyle="1" w:styleId="618">
    <w:name w:val="Footer Char_297ca3bb-e6f6-4cc1-9b27-66816fa3cad9"/>
    <w:qFormat/>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font101"/>
    <w:basedOn w:val="64"/>
    <w:qFormat/>
    <w:uiPriority w:val="0"/>
    <w:rPr>
      <w:rFonts w:hint="default" w:ascii="Arial" w:hAnsi="Arial" w:cs="Arial"/>
      <w:color w:val="000000"/>
      <w:sz w:val="20"/>
      <w:szCs w:val="20"/>
      <w:u w:val="none"/>
    </w:rPr>
  </w:style>
  <w:style w:type="character" w:customStyle="1" w:styleId="635">
    <w:name w:val="font151"/>
    <w:basedOn w:val="64"/>
    <w:qFormat/>
    <w:uiPriority w:val="0"/>
    <w:rPr>
      <w:rFonts w:ascii="Calibri" w:hAnsi="Calibri" w:cs="Calibri"/>
      <w:color w:val="000000"/>
      <w:sz w:val="20"/>
      <w:szCs w:val="20"/>
      <w:u w:val="none"/>
    </w:rPr>
  </w:style>
  <w:style w:type="character" w:customStyle="1" w:styleId="636">
    <w:name w:val="font131"/>
    <w:basedOn w:val="64"/>
    <w:qFormat/>
    <w:uiPriority w:val="0"/>
    <w:rPr>
      <w:rFonts w:hint="default" w:ascii="Lucida Grande" w:hAnsi="Lucida Grande" w:eastAsia="Lucida Grande" w:cs="Lucida Grande"/>
      <w:color w:val="000000"/>
      <w:sz w:val="20"/>
      <w:szCs w:val="20"/>
      <w:u w:val="none"/>
    </w:rPr>
  </w:style>
  <w:style w:type="character" w:customStyle="1" w:styleId="637">
    <w:name w:val="font161"/>
    <w:basedOn w:val="64"/>
    <w:qFormat/>
    <w:uiPriority w:val="0"/>
    <w:rPr>
      <w:rFonts w:hint="default" w:ascii="Heiti SC Light" w:hAnsi="Heiti SC Light" w:eastAsia="Heiti SC Light" w:cs="Heiti SC Light"/>
      <w:color w:val="000000"/>
      <w:sz w:val="20"/>
      <w:szCs w:val="20"/>
      <w:u w:val="none"/>
    </w:rPr>
  </w:style>
  <w:style w:type="paragraph" w:customStyle="1" w:styleId="638">
    <w:name w:val="Table Paragraph"/>
    <w:basedOn w:val="1"/>
    <w:qFormat/>
    <w:uiPriority w:val="1"/>
    <w:rPr>
      <w:rFonts w:ascii="微软雅黑" w:hAnsi="微软雅黑" w:eastAsia="微软雅黑" w:cs="微软雅黑"/>
      <w:lang w:val="zh-CN" w:bidi="zh-CN"/>
    </w:rPr>
  </w:style>
  <w:style w:type="table" w:customStyle="1" w:styleId="639">
    <w:name w:val="Table Normal"/>
    <w:unhideWhenUsed/>
    <w:qFormat/>
    <w:uiPriority w:val="0"/>
    <w:tblPr>
      <w:tblCellMar>
        <w:top w:w="0" w:type="dxa"/>
        <w:left w:w="0" w:type="dxa"/>
        <w:bottom w:w="0" w:type="dxa"/>
        <w:right w:w="0" w:type="dxa"/>
      </w:tblCellMar>
    </w:tblPr>
  </w:style>
  <w:style w:type="paragraph" w:customStyle="1" w:styleId="640">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1">
    <w:name w:val="签发人"/>
    <w:basedOn w:val="1"/>
    <w:qFormat/>
    <w:uiPriority w:val="0"/>
    <w:rPr>
      <w:rFonts w:eastAsia="楷体"/>
      <w:sz w:val="32"/>
    </w:rPr>
  </w:style>
  <w:style w:type="paragraph" w:customStyle="1" w:styleId="642">
    <w:name w:val="样式 列表编号 + 段后: 0.5 行"/>
    <w:basedOn w:val="16"/>
    <w:autoRedefine/>
    <w:qFormat/>
    <w:uiPriority w:val="2"/>
    <w:pPr>
      <w:spacing w:after="0"/>
      <w:ind w:left="840" w:hanging="420"/>
      <w:contextualSpacing/>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705</Words>
  <Characters>859</Characters>
  <Paragraphs>1856</Paragraphs>
  <TotalTime>113</TotalTime>
  <ScaleCrop>false</ScaleCrop>
  <LinksUpToDate>false</LinksUpToDate>
  <CharactersWithSpaces>919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2023-03-26T02:29:00Z</dcterms:created>
  <dc:creator>玥</dc:creator>
  <cp:lastModifiedBy>BM</cp:lastModifiedBy>
  <cp:lastPrinted>2025-07-09T07:46:00Z</cp:lastPrinted>
  <dcterms:modified xsi:type="dcterms:W3CDTF">2025-07-10T07:22:16Z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C71E2A919B1C4D728403A7F4CCBFAA7C_13</vt:lpwstr>
  </property>
  <property fmtid="{D5CDD505-2E9C-101B-9397-08002B2CF9AE}" pid="4" name="KSOTemplateDocerSaveRecord">
    <vt:lpwstr>eyJoZGlkIjoiNTYyMTYxN2I2Y2M4NTRiZTBjZjdhNTkwZDYwMmQwNjEiLCJ1c2VySWQiOiIyNzQ4OTQ2NDUifQ==</vt:lpwstr>
  </property>
</Properties>
</file>