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240" w:lineRule="atLeast"/>
        <w:ind w:right="-107"/>
        <w:jc w:val="center"/>
        <w:rPr>
          <w:rFonts w:ascii="宋体" w:hAnsi="宋体" w:cs="宋体"/>
          <w:b/>
          <w:color w:val="auto"/>
          <w:kern w:val="1"/>
          <w:sz w:val="44"/>
          <w:szCs w:val="44"/>
          <w:highlight w:val="none"/>
        </w:rPr>
      </w:pPr>
      <w:r>
        <w:rPr>
          <w:rFonts w:hint="eastAsia" w:ascii="宋体" w:hAnsi="宋体" w:cs="宋体"/>
          <w:b/>
          <w:color w:val="auto"/>
          <w:kern w:val="1"/>
          <w:sz w:val="44"/>
          <w:szCs w:val="44"/>
          <w:highlight w:val="none"/>
          <w:lang w:val="en-US" w:eastAsia="zh-CN"/>
        </w:rPr>
        <w:t xml:space="preserve"> 嵊州市教育体育局多媒体设备采购</w:t>
      </w:r>
      <w:r>
        <w:rPr>
          <w:rFonts w:hint="eastAsia" w:ascii="宋体" w:hAnsi="宋体" w:cs="宋体"/>
          <w:b/>
          <w:color w:val="auto"/>
          <w:kern w:val="1"/>
          <w:sz w:val="44"/>
          <w:szCs w:val="44"/>
          <w:highlight w:val="none"/>
          <w:lang w:eastAsia="zh-CN"/>
        </w:rPr>
        <w:t>项目</w:t>
      </w:r>
      <w:r>
        <w:rPr>
          <w:rFonts w:hint="eastAsia" w:ascii="宋体" w:hAnsi="宋体" w:cs="宋体"/>
          <w:b/>
          <w:color w:val="auto"/>
          <w:kern w:val="1"/>
          <w:sz w:val="44"/>
          <w:szCs w:val="44"/>
          <w:highlight w:val="none"/>
        </w:rPr>
        <w:t xml:space="preserve"> </w:t>
      </w:r>
    </w:p>
    <w:p>
      <w:pPr>
        <w:spacing w:before="120" w:beforeLines="50" w:line="700" w:lineRule="exact"/>
        <w:jc w:val="center"/>
        <w:rPr>
          <w:rFonts w:ascii="仿宋" w:hAnsi="仿宋" w:eastAsia="仿宋" w:cs="仿宋"/>
          <w:b/>
          <w:color w:val="auto"/>
          <w:sz w:val="28"/>
          <w:szCs w:val="28"/>
          <w:highlight w:val="none"/>
        </w:rPr>
      </w:pPr>
    </w:p>
    <w:p>
      <w:pPr>
        <w:jc w:val="center"/>
        <w:rPr>
          <w:rFonts w:ascii="仿宋" w:hAnsi="仿宋" w:eastAsia="仿宋" w:cs="仿宋"/>
          <w:b/>
          <w:color w:val="auto"/>
          <w:sz w:val="28"/>
          <w:szCs w:val="28"/>
          <w:highlight w:val="none"/>
        </w:rPr>
      </w:pPr>
    </w:p>
    <w:p>
      <w:pPr>
        <w:jc w:val="center"/>
        <w:rPr>
          <w:rFonts w:ascii="仿宋" w:hAnsi="仿宋" w:eastAsia="仿宋" w:cs="仿宋"/>
          <w:b/>
          <w:color w:val="auto"/>
          <w:sz w:val="32"/>
          <w:szCs w:val="32"/>
          <w:highlight w:val="none"/>
        </w:rPr>
      </w:pPr>
    </w:p>
    <w:p>
      <w:pPr>
        <w:spacing w:before="240" w:line="240" w:lineRule="atLeast"/>
        <w:ind w:right="-107"/>
        <w:jc w:val="center"/>
        <w:rPr>
          <w:rFonts w:hint="eastAsia" w:ascii="宋体" w:hAnsi="宋体" w:eastAsia="宋体" w:cs="宋体"/>
          <w:b/>
          <w:color w:val="auto"/>
          <w:kern w:val="1"/>
          <w:sz w:val="32"/>
          <w:szCs w:val="32"/>
          <w:highlight w:val="none"/>
          <w:lang w:eastAsia="zh-CN"/>
        </w:rPr>
      </w:pPr>
      <w:r>
        <w:rPr>
          <w:rFonts w:hint="eastAsia" w:ascii="宋体" w:hAnsi="宋体" w:cs="宋体"/>
          <w:b/>
          <w:color w:val="auto"/>
          <w:kern w:val="1"/>
          <w:sz w:val="32"/>
          <w:szCs w:val="32"/>
          <w:highlight w:val="none"/>
        </w:rPr>
        <w:t>项目编号:</w:t>
      </w:r>
      <w:r>
        <w:rPr>
          <w:rFonts w:hint="eastAsia" w:ascii="宋体" w:hAnsi="宋体" w:cs="宋体"/>
          <w:b/>
          <w:color w:val="auto"/>
          <w:kern w:val="1"/>
          <w:sz w:val="32"/>
          <w:szCs w:val="32"/>
          <w:highlight w:val="none"/>
          <w:lang w:eastAsia="zh-CN"/>
        </w:rPr>
        <w:t>政府采购2025-</w:t>
      </w:r>
      <w:r>
        <w:rPr>
          <w:rFonts w:hint="eastAsia" w:ascii="宋体" w:hAnsi="宋体" w:cs="宋体"/>
          <w:b/>
          <w:color w:val="auto"/>
          <w:kern w:val="1"/>
          <w:sz w:val="32"/>
          <w:szCs w:val="32"/>
          <w:highlight w:val="none"/>
          <w:lang w:val="en-US" w:eastAsia="zh-CN"/>
        </w:rPr>
        <w:t xml:space="preserve">14 </w:t>
      </w:r>
    </w:p>
    <w:p>
      <w:pPr>
        <w:spacing w:before="240" w:line="240" w:lineRule="atLeast"/>
        <w:ind w:right="-107"/>
        <w:jc w:val="center"/>
        <w:rPr>
          <w:rFonts w:ascii="宋体" w:hAnsi="宋体" w:cs="宋体"/>
          <w:b/>
          <w:color w:val="auto"/>
          <w:kern w:val="1"/>
          <w:sz w:val="44"/>
          <w:szCs w:val="44"/>
          <w:highlight w:val="none"/>
        </w:rPr>
      </w:pPr>
    </w:p>
    <w:p>
      <w:pPr>
        <w:jc w:val="center"/>
        <w:outlineLvl w:val="0"/>
        <w:rPr>
          <w:rFonts w:ascii="仿宋" w:hAnsi="仿宋" w:eastAsia="仿宋" w:cs="仿宋"/>
          <w:b/>
          <w:color w:val="auto"/>
          <w:sz w:val="52"/>
          <w:szCs w:val="52"/>
          <w:highlight w:val="none"/>
        </w:rPr>
      </w:pPr>
    </w:p>
    <w:p>
      <w:pPr>
        <w:jc w:val="center"/>
        <w:outlineLvl w:val="0"/>
        <w:rPr>
          <w:rFonts w:hint="eastAsia" w:ascii="仿宋" w:hAnsi="仿宋" w:eastAsia="仿宋" w:cs="仿宋"/>
          <w:b/>
          <w:color w:val="auto"/>
          <w:sz w:val="56"/>
          <w:szCs w:val="56"/>
          <w:highlight w:val="none"/>
          <w:lang w:val="en-US" w:eastAsia="zh-CN"/>
        </w:rPr>
      </w:pPr>
      <w:r>
        <w:rPr>
          <w:rFonts w:hint="eastAsia" w:ascii="仿宋" w:hAnsi="仿宋" w:eastAsia="仿宋" w:cs="仿宋"/>
          <w:b/>
          <w:color w:val="auto"/>
          <w:sz w:val="56"/>
          <w:szCs w:val="56"/>
          <w:highlight w:val="none"/>
        </w:rPr>
        <w:t>公</w:t>
      </w:r>
      <w:r>
        <w:rPr>
          <w:rFonts w:hint="eastAsia" w:ascii="仿宋" w:hAnsi="仿宋" w:eastAsia="仿宋" w:cs="仿宋"/>
          <w:b/>
          <w:color w:val="auto"/>
          <w:sz w:val="56"/>
          <w:szCs w:val="56"/>
          <w:highlight w:val="none"/>
          <w:lang w:val="en-US" w:eastAsia="zh-CN"/>
        </w:rPr>
        <w:t xml:space="preserve"> </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56"/>
          <w:szCs w:val="56"/>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before="120" w:beforeLines="50" w:after="120" w:afterLines="50" w:line="360" w:lineRule="auto"/>
        <w:rPr>
          <w:color w:val="auto"/>
          <w:highlight w:val="none"/>
        </w:rPr>
      </w:pPr>
      <w:r>
        <w:rPr>
          <w:rFonts w:hint="eastAsia" w:ascii="仿宋" w:hAnsi="仿宋" w:eastAsia="仿宋" w:cs="仿宋"/>
          <w:b/>
          <w:color w:val="auto"/>
          <w:sz w:val="44"/>
          <w:szCs w:val="44"/>
          <w:highlight w:val="none"/>
        </w:rPr>
        <w:t xml:space="preserve"> </w:t>
      </w:r>
    </w:p>
    <w:p>
      <w:pPr>
        <w:pStyle w:val="22"/>
        <w:rPr>
          <w:color w:val="auto"/>
          <w:highlight w:val="none"/>
        </w:rPr>
      </w:pPr>
    </w:p>
    <w:tbl>
      <w:tblPr>
        <w:tblStyle w:val="18"/>
        <w:tblW w:w="7919" w:type="dxa"/>
        <w:jc w:val="center"/>
        <w:tblLayout w:type="fixed"/>
        <w:tblCellMar>
          <w:top w:w="0" w:type="dxa"/>
          <w:left w:w="108" w:type="dxa"/>
          <w:bottom w:w="0" w:type="dxa"/>
          <w:right w:w="108" w:type="dxa"/>
        </w:tblCellMar>
      </w:tblPr>
      <w:tblGrid>
        <w:gridCol w:w="2533"/>
        <w:gridCol w:w="5386"/>
      </w:tblGrid>
      <w:tr>
        <w:trPr>
          <w:trHeight w:val="600" w:hRule="atLeast"/>
          <w:jc w:val="center"/>
        </w:trPr>
        <w:tc>
          <w:tcPr>
            <w:tcW w:w="2533" w:type="dxa"/>
          </w:tcPr>
          <w:p>
            <w:pPr>
              <w:spacing w:line="560" w:lineRule="exact"/>
              <w:rPr>
                <w:rFonts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pPr>
              <w:pStyle w:val="23"/>
              <w:ind w:firstLine="0" w:firstLineChars="0"/>
              <w:rPr>
                <w:rFonts w:ascii="仿宋" w:hAnsi="仿宋" w:eastAsia="仿宋" w:cs="仿宋"/>
                <w:color w:val="auto"/>
                <w:sz w:val="32"/>
                <w:szCs w:val="32"/>
                <w:highlight w:val="none"/>
              </w:rPr>
            </w:pPr>
            <w:r>
              <w:rPr>
                <w:rFonts w:hint="eastAsia" w:ascii="仿宋" w:hAnsi="仿宋" w:eastAsia="仿宋" w:cs="仿宋"/>
                <w:color w:val="auto"/>
                <w:spacing w:val="0"/>
                <w:kern w:val="2"/>
                <w:sz w:val="32"/>
                <w:szCs w:val="32"/>
                <w:highlight w:val="none"/>
                <w:lang w:val="en-US" w:eastAsia="zh-CN" w:bidi="ar-SA"/>
              </w:rPr>
              <w:t>嵊州市教育体育局</w:t>
            </w:r>
          </w:p>
        </w:tc>
      </w:tr>
      <w:tr>
        <w:tblPrEx>
          <w:tblCellMar>
            <w:top w:w="0" w:type="dxa"/>
            <w:left w:w="108" w:type="dxa"/>
            <w:bottom w:w="0" w:type="dxa"/>
            <w:right w:w="108" w:type="dxa"/>
          </w:tblCellMar>
        </w:tblPrEx>
        <w:trPr>
          <w:trHeight w:val="645" w:hRule="atLeast"/>
          <w:jc w:val="center"/>
        </w:trPr>
        <w:tc>
          <w:tcPr>
            <w:tcW w:w="2533" w:type="dxa"/>
          </w:tcPr>
          <w:p>
            <w:pPr>
              <w:spacing w:line="560" w:lineRule="exact"/>
              <w:rPr>
                <w:rFonts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769670718"/>
              </w:rPr>
              <w:t>采购代理机</w:t>
            </w:r>
            <w:r>
              <w:rPr>
                <w:rFonts w:hint="eastAsia" w:ascii="仿宋" w:hAnsi="仿宋" w:eastAsia="仿宋" w:cs="仿宋"/>
                <w:color w:val="auto"/>
                <w:spacing w:val="3"/>
                <w:w w:val="87"/>
                <w:kern w:val="0"/>
                <w:sz w:val="32"/>
                <w:szCs w:val="32"/>
                <w:highlight w:val="none"/>
                <w:fitText w:val="1680" w:id="1769670718"/>
              </w:rPr>
              <w:t>构</w:t>
            </w:r>
            <w:r>
              <w:rPr>
                <w:rFonts w:hint="eastAsia" w:ascii="仿宋" w:hAnsi="仿宋" w:eastAsia="仿宋" w:cs="仿宋"/>
                <w:color w:val="auto"/>
                <w:sz w:val="32"/>
                <w:szCs w:val="32"/>
                <w:highlight w:val="none"/>
              </w:rPr>
              <w:t>：</w:t>
            </w:r>
          </w:p>
        </w:tc>
        <w:tc>
          <w:tcPr>
            <w:tcW w:w="5386" w:type="dxa"/>
          </w:tcPr>
          <w:p>
            <w:pPr>
              <w:spacing w:line="56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嵊州市公共资源交易中心</w:t>
            </w:r>
          </w:p>
        </w:tc>
      </w:tr>
      <w:tr>
        <w:tblPrEx>
          <w:tblCellMar>
            <w:top w:w="0" w:type="dxa"/>
            <w:left w:w="108" w:type="dxa"/>
            <w:bottom w:w="0" w:type="dxa"/>
            <w:right w:w="108" w:type="dxa"/>
          </w:tblCellMar>
        </w:tblPrEx>
        <w:trPr>
          <w:trHeight w:val="656" w:hRule="atLeast"/>
          <w:jc w:val="center"/>
        </w:trPr>
        <w:tc>
          <w:tcPr>
            <w:tcW w:w="2533" w:type="dxa"/>
            <w:vAlign w:val="center"/>
          </w:tcPr>
          <w:p>
            <w:pPr>
              <w:spacing w:line="560" w:lineRule="exact"/>
              <w:rPr>
                <w:rFonts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310991975"/>
              </w:rPr>
              <w:t>监督单</w:t>
            </w:r>
            <w:r>
              <w:rPr>
                <w:rFonts w:hint="eastAsia" w:ascii="仿宋" w:hAnsi="仿宋" w:eastAsia="仿宋" w:cs="仿宋"/>
                <w:color w:val="auto"/>
                <w:spacing w:val="2"/>
                <w:kern w:val="0"/>
                <w:sz w:val="32"/>
                <w:szCs w:val="32"/>
                <w:highlight w:val="none"/>
                <w:fitText w:val="1680" w:id="1310991975"/>
              </w:rPr>
              <w:t>位</w:t>
            </w:r>
            <w:r>
              <w:rPr>
                <w:rFonts w:hint="eastAsia" w:ascii="仿宋" w:hAnsi="仿宋" w:eastAsia="仿宋" w:cs="仿宋"/>
                <w:color w:val="auto"/>
                <w:sz w:val="32"/>
                <w:szCs w:val="32"/>
                <w:highlight w:val="none"/>
              </w:rPr>
              <w:t>：</w:t>
            </w:r>
          </w:p>
        </w:tc>
        <w:tc>
          <w:tcPr>
            <w:tcW w:w="5386" w:type="dxa"/>
          </w:tcPr>
          <w:p>
            <w:pPr>
              <w:spacing w:line="560" w:lineRule="exact"/>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嵊州市</w:t>
            </w:r>
            <w:r>
              <w:rPr>
                <w:rFonts w:hint="eastAsia" w:ascii="仿宋" w:hAnsi="仿宋" w:eastAsia="仿宋" w:cs="仿宋"/>
                <w:color w:val="auto"/>
                <w:sz w:val="32"/>
                <w:szCs w:val="32"/>
                <w:highlight w:val="none"/>
                <w:lang w:eastAsia="zh-CN"/>
              </w:rPr>
              <w:t>财政局</w:t>
            </w:r>
          </w:p>
        </w:tc>
      </w:tr>
      <w:tr>
        <w:tblPrEx>
          <w:tblCellMar>
            <w:top w:w="0" w:type="dxa"/>
            <w:left w:w="108" w:type="dxa"/>
            <w:bottom w:w="0" w:type="dxa"/>
            <w:right w:w="108" w:type="dxa"/>
          </w:tblCellMar>
        </w:tblPrEx>
        <w:trPr>
          <w:trHeight w:val="691" w:hRule="atLeast"/>
          <w:jc w:val="center"/>
        </w:trPr>
        <w:tc>
          <w:tcPr>
            <w:tcW w:w="7919" w:type="dxa"/>
            <w:gridSpan w:val="2"/>
          </w:tcPr>
          <w:p>
            <w:pPr>
              <w:spacing w:line="56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pPr>
        <w:pStyle w:val="24"/>
        <w:rPr>
          <w:rFonts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74" w:right="1519" w:bottom="1474" w:left="1678" w:header="851" w:footer="992" w:gutter="0"/>
          <w:cols w:space="720" w:num="1"/>
          <w:titlePg/>
          <w:docGrid w:linePitch="312" w:charSpace="0"/>
        </w:sectPr>
      </w:pPr>
    </w:p>
    <w:p>
      <w:pPr>
        <w:pStyle w:val="24"/>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w:t>
      </w:r>
      <w:r>
        <w:rPr>
          <w:rFonts w:hint="eastAsia" w:ascii="仿宋" w:hAnsi="仿宋" w:eastAsia="仿宋" w:cs="仿宋"/>
          <w:color w:val="auto"/>
          <w:sz w:val="24"/>
          <w:highlight w:val="none"/>
          <w:u w:val="single"/>
          <w:lang w:val="en-US" w:eastAsia="zh-CN"/>
        </w:rPr>
        <w:t>教育体育局多媒体设备采购</w:t>
      </w:r>
      <w:r>
        <w:rPr>
          <w:rFonts w:hint="eastAsia" w:ascii="仿宋" w:hAnsi="仿宋" w:eastAsia="仿宋" w:cs="仿宋"/>
          <w:color w:val="auto"/>
          <w:sz w:val="24"/>
          <w:highlight w:val="none"/>
          <w:u w:val="single"/>
          <w:lang w:eastAsia="zh-CN"/>
        </w:rPr>
        <w:t>项目</w:t>
      </w:r>
      <w:r>
        <w:rPr>
          <w:rFonts w:hint="eastAsia" w:ascii="仿宋" w:hAnsi="仿宋" w:eastAsia="仿宋" w:cs="仿宋"/>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1"/>
          <w:rFonts w:hint="eastAsia" w:ascii="仿宋" w:hAnsi="仿宋" w:eastAsia="仿宋" w:cs="仿宋"/>
          <w:snapToGrid/>
          <w:color w:val="auto"/>
          <w:kern w:val="2"/>
          <w:sz w:val="24"/>
          <w:szCs w:val="24"/>
          <w:highlight w:val="none"/>
        </w:rPr>
        <w:t>https://www.zcygov.cn/）获取（下载）招标文件，并于</w:t>
      </w:r>
      <w:r>
        <w:rPr>
          <w:rStyle w:val="21"/>
          <w:rFonts w:hint="eastAsia" w:ascii="仿宋" w:hAnsi="仿宋" w:eastAsia="仿宋" w:cs="仿宋"/>
          <w:snapToGrid/>
          <w:color w:val="auto"/>
          <w:kern w:val="2"/>
          <w:sz w:val="24"/>
          <w:szCs w:val="24"/>
          <w:highlight w:val="none"/>
          <w:lang w:eastAsia="zh-CN"/>
        </w:rPr>
        <w:t>2025</w:t>
      </w:r>
      <w:r>
        <w:rPr>
          <w:rStyle w:val="21"/>
          <w:rFonts w:hint="eastAsia" w:ascii="仿宋" w:hAnsi="仿宋" w:eastAsia="仿宋" w:cs="仿宋"/>
          <w:snapToGrid/>
          <w:color w:val="auto"/>
          <w:kern w:val="2"/>
          <w:sz w:val="24"/>
          <w:szCs w:val="24"/>
          <w:highlight w:val="none"/>
        </w:rPr>
        <w:t>年</w:t>
      </w:r>
      <w:r>
        <w:rPr>
          <w:rStyle w:val="21"/>
          <w:rFonts w:hint="eastAsia" w:ascii="仿宋" w:hAnsi="仿宋" w:eastAsia="仿宋" w:cs="仿宋"/>
          <w:snapToGrid/>
          <w:color w:val="auto"/>
          <w:kern w:val="2"/>
          <w:sz w:val="24"/>
          <w:szCs w:val="24"/>
          <w:highlight w:val="none"/>
          <w:lang w:val="en-US" w:eastAsia="zh-CN"/>
        </w:rPr>
        <w:t>7月31日9</w:t>
      </w:r>
      <w:r>
        <w:rPr>
          <w:rStyle w:val="21"/>
          <w:rFonts w:hint="eastAsia" w:ascii="仿宋" w:hAnsi="仿宋" w:eastAsia="仿宋" w:cs="仿宋"/>
          <w:snapToGrid/>
          <w:color w:val="auto"/>
          <w:kern w:val="2"/>
          <w:sz w:val="24"/>
          <w:szCs w:val="24"/>
          <w:highlight w:val="none"/>
        </w:rPr>
        <w:t>点</w:t>
      </w:r>
      <w:r>
        <w:rPr>
          <w:rStyle w:val="21"/>
          <w:rFonts w:hint="eastAsia" w:ascii="仿宋" w:hAnsi="仿宋" w:eastAsia="仿宋" w:cs="仿宋"/>
          <w:snapToGrid/>
          <w:color w:val="auto"/>
          <w:kern w:val="2"/>
          <w:sz w:val="24"/>
          <w:szCs w:val="24"/>
          <w:highlight w:val="none"/>
          <w:lang w:val="en-US" w:eastAsia="zh-CN"/>
        </w:rPr>
        <w:t>30</w:t>
      </w:r>
      <w:r>
        <w:rPr>
          <w:rStyle w:val="21"/>
          <w:rFonts w:hint="eastAsia" w:ascii="仿宋" w:hAnsi="仿宋" w:eastAsia="仿宋" w:cs="仿宋"/>
          <w:snapToGrid/>
          <w:color w:val="auto"/>
          <w:kern w:val="2"/>
          <w:sz w:val="24"/>
          <w:szCs w:val="24"/>
          <w:highlight w:val="none"/>
        </w:rPr>
        <w:t>分</w:t>
      </w:r>
      <w:r>
        <w:rPr>
          <w:rStyle w:val="21"/>
          <w:rFonts w:hint="eastAsia" w:ascii="仿宋" w:hAnsi="仿宋" w:eastAsia="仿宋" w:cs="仿宋"/>
          <w:bCs/>
          <w:snapToGrid/>
          <w:color w:val="auto"/>
          <w:kern w:val="2"/>
          <w:sz w:val="24"/>
          <w:szCs w:val="24"/>
          <w:highlight w:val="none"/>
        </w:rPr>
        <w:t>00秒</w:t>
      </w:r>
      <w:r>
        <w:rPr>
          <w:rStyle w:val="21"/>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ind w:firstLine="482" w:firstLineChars="200"/>
        <w:rPr>
          <w:rFonts w:hint="default" w:ascii="仿宋" w:hAnsi="仿宋" w:eastAsia="仿宋" w:cs="仿宋"/>
          <w:color w:val="auto"/>
          <w:sz w:val="24"/>
          <w:highlight w:val="none"/>
          <w:u w:val="none"/>
          <w:lang w:val="en-US" w:eastAsia="zh-CN"/>
        </w:rPr>
      </w:pPr>
      <w:r>
        <w:rPr>
          <w:rFonts w:hint="eastAsia" w:ascii="仿宋" w:hAnsi="仿宋" w:eastAsia="仿宋" w:cs="仿宋"/>
          <w:b/>
          <w:color w:val="auto"/>
          <w:sz w:val="24"/>
          <w:highlight w:val="none"/>
        </w:rPr>
        <w:t>1.项目编号：</w:t>
      </w:r>
      <w:r>
        <w:rPr>
          <w:rFonts w:hint="eastAsia" w:ascii="仿宋" w:hAnsi="仿宋" w:eastAsia="仿宋" w:cs="仿宋"/>
          <w:color w:val="auto"/>
          <w:sz w:val="24"/>
          <w:highlight w:val="none"/>
          <w:u w:val="none"/>
          <w:lang w:val="en-US" w:eastAsia="zh-CN"/>
        </w:rPr>
        <w:t>政府采购2025-14</w:t>
      </w:r>
    </w:p>
    <w:p>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2.项目名称：</w:t>
      </w:r>
      <w:r>
        <w:rPr>
          <w:rFonts w:hint="eastAsia" w:ascii="仿宋" w:hAnsi="仿宋" w:eastAsia="仿宋" w:cs="仿宋"/>
          <w:color w:val="auto"/>
          <w:sz w:val="24"/>
          <w:highlight w:val="none"/>
          <w:u w:val="none"/>
          <w:lang w:eastAsia="zh-CN"/>
        </w:rPr>
        <w:t>嵊州市</w:t>
      </w:r>
      <w:r>
        <w:rPr>
          <w:rFonts w:hint="eastAsia" w:ascii="仿宋" w:hAnsi="仿宋" w:eastAsia="仿宋" w:cs="仿宋"/>
          <w:color w:val="auto"/>
          <w:sz w:val="24"/>
          <w:highlight w:val="none"/>
          <w:u w:val="none"/>
          <w:lang w:val="en-US" w:eastAsia="zh-CN"/>
        </w:rPr>
        <w:t>教育体育局多媒体设备采购</w:t>
      </w:r>
      <w:r>
        <w:rPr>
          <w:rFonts w:hint="eastAsia" w:ascii="仿宋" w:hAnsi="仿宋" w:eastAsia="仿宋" w:cs="仿宋"/>
          <w:color w:val="auto"/>
          <w:sz w:val="24"/>
          <w:highlight w:val="none"/>
          <w:u w:val="none"/>
          <w:lang w:eastAsia="zh-CN"/>
        </w:rPr>
        <w:t>项目</w:t>
      </w:r>
    </w:p>
    <w:p>
      <w:pPr>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3.预算金额（元）：</w:t>
      </w:r>
      <w:r>
        <w:rPr>
          <w:rFonts w:hint="eastAsia" w:ascii="仿宋" w:hAnsi="仿宋" w:eastAsia="仿宋" w:cs="仿宋"/>
          <w:b/>
          <w:color w:val="auto"/>
          <w:sz w:val="24"/>
          <w:highlight w:val="none"/>
          <w:lang w:val="en-US" w:eastAsia="zh-CN"/>
        </w:rPr>
        <w:t>1625000</w:t>
      </w:r>
      <w:r>
        <w:rPr>
          <w:rFonts w:hint="eastAsia" w:ascii="仿宋" w:hAnsi="仿宋" w:eastAsia="仿宋" w:cs="仿宋"/>
          <w:b/>
          <w:color w:val="auto"/>
          <w:sz w:val="24"/>
          <w:highlight w:val="none"/>
        </w:rPr>
        <w:t>.00</w:t>
      </w:r>
      <w:r>
        <w:rPr>
          <w:rFonts w:hint="eastAsia" w:ascii="仿宋" w:hAnsi="仿宋" w:eastAsia="仿宋" w:cs="仿宋"/>
          <w:bCs/>
          <w:color w:val="auto"/>
          <w:sz w:val="24"/>
          <w:highlight w:val="none"/>
        </w:rPr>
        <w:t>元</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4.最高限价（元）：</w:t>
      </w:r>
      <w:r>
        <w:rPr>
          <w:rFonts w:hint="eastAsia" w:ascii="仿宋" w:hAnsi="仿宋" w:eastAsia="仿宋" w:cs="仿宋"/>
          <w:b/>
          <w:color w:val="auto"/>
          <w:sz w:val="24"/>
          <w:highlight w:val="none"/>
          <w:lang w:val="en-US" w:eastAsia="zh-CN"/>
        </w:rPr>
        <w:t>1625000</w:t>
      </w:r>
      <w:r>
        <w:rPr>
          <w:rFonts w:hint="eastAsia" w:ascii="仿宋" w:hAnsi="仿宋" w:eastAsia="仿宋" w:cs="仿宋"/>
          <w:b/>
          <w:color w:val="auto"/>
          <w:sz w:val="24"/>
          <w:highlight w:val="none"/>
        </w:rPr>
        <w:t>.00元</w:t>
      </w:r>
    </w:p>
    <w:p>
      <w:pPr>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5.采购需求：</w:t>
      </w:r>
      <w:r>
        <w:rPr>
          <w:rFonts w:hint="eastAsia" w:ascii="仿宋" w:hAnsi="仿宋" w:eastAsia="仿宋" w:cs="仿宋"/>
          <w:bCs/>
          <w:color w:val="auto"/>
          <w:sz w:val="24"/>
          <w:highlight w:val="none"/>
        </w:rPr>
        <w:t>详见第三部分招标项目范围及要求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bCs/>
          <w:color w:val="auto"/>
          <w:sz w:val="24"/>
          <w:highlight w:val="none"/>
        </w:rPr>
        <w:t>6.合同履行期限：要求于</w:t>
      </w:r>
      <w:r>
        <w:rPr>
          <w:rFonts w:hint="eastAsia" w:ascii="仿宋" w:hAnsi="仿宋" w:eastAsia="仿宋" w:cs="仿宋"/>
          <w:bCs/>
          <w:color w:val="auto"/>
          <w:sz w:val="24"/>
          <w:highlight w:val="none"/>
          <w:lang w:val="en-US" w:eastAsia="zh-CN"/>
        </w:rPr>
        <w:t>合同签订后20</w:t>
      </w:r>
      <w:r>
        <w:rPr>
          <w:rFonts w:hint="eastAsia" w:ascii="仿宋" w:hAnsi="仿宋" w:eastAsia="仿宋" w:cs="仿宋"/>
          <w:bCs/>
          <w:color w:val="auto"/>
          <w:sz w:val="24"/>
          <w:highlight w:val="none"/>
        </w:rPr>
        <w:t>日历天内完成供货、安装并交付使用。</w:t>
      </w:r>
    </w:p>
    <w:p>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7.本项目接受联合体投标：☐是，</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否。</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eastAsia="zh-CN"/>
        </w:rPr>
        <w:t>失信主体</w:t>
      </w:r>
      <w:r>
        <w:rPr>
          <w:rFonts w:hint="eastAsia" w:ascii="仿宋" w:hAnsi="仿宋" w:eastAsia="仿宋" w:cs="仿宋"/>
          <w:snapToGrid w:val="0"/>
          <w:color w:val="auto"/>
          <w:kern w:val="28"/>
          <w:sz w:val="24"/>
          <w:szCs w:val="20"/>
          <w:highlight w:val="none"/>
        </w:rPr>
        <w:t>、政府采购严重违法失信行为记录名单；</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专门面向中小企业</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货物全部由符合政策要求的中小企业承接，提供中小企业声明函；</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pacing w:val="8"/>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1.时间：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2.地点（网址）：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3.方式：</w:t>
      </w:r>
      <w:r>
        <w:rPr>
          <w:rFonts w:hint="eastAsia" w:ascii="仿宋" w:hAnsi="仿宋" w:eastAsia="仿宋" w:cs="仿宋"/>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4.售价（元）：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1.提交投标文件截止时间：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7月31日9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3.开标时间：</w:t>
      </w:r>
      <w:r>
        <w:rPr>
          <w:rFonts w:hint="eastAsia" w:ascii="仿宋" w:hAnsi="仿宋" w:eastAsia="仿宋" w:cs="仿宋"/>
          <w:color w:val="auto"/>
          <w:sz w:val="24"/>
          <w:highlight w:val="none"/>
          <w:u w:val="single"/>
          <w:lang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7月31日9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4.开标地点（网址）：</w:t>
      </w:r>
      <w:r>
        <w:rPr>
          <w:rFonts w:hint="eastAsia" w:ascii="仿宋" w:hAnsi="仿宋" w:eastAsia="仿宋" w:cs="仿宋"/>
          <w:color w:val="auto"/>
          <w:sz w:val="24"/>
          <w:highlight w:val="none"/>
        </w:rPr>
        <w:t>政采云平台（https://www.zcygov.cn/）</w:t>
      </w:r>
    </w:p>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8号）已分别于2022年1月29日、2022年2月1日和2022年7月1日开始实施，此前有关规定与上述文件内容不一致的，按上述文件要求执行</w:t>
      </w:r>
      <w:r>
        <w:rPr>
          <w:rFonts w:hint="default" w:ascii="仿宋" w:hAnsi="仿宋" w:eastAsia="仿宋" w:cs="仿宋"/>
          <w:color w:val="auto"/>
          <w:sz w:val="24"/>
          <w:lang w:val="en"/>
        </w:rPr>
        <w:t>(</w:t>
      </w:r>
      <w:r>
        <w:rPr>
          <w:rFonts w:hint="eastAsia" w:ascii="仿宋" w:hAnsi="仿宋" w:eastAsia="仿宋" w:cs="仿宋"/>
          <w:color w:val="auto"/>
          <w:sz w:val="24"/>
          <w:lang w:val="en" w:eastAsia="zh-CN"/>
        </w:rPr>
        <w:t>政策落实根据财政部门要求更新）</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pPr>
        <w:numPr>
          <w:ilvl w:val="0"/>
          <w:numId w:val="4"/>
        </w:num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ind w:left="0" w:firstLine="482" w:firstLineChars="200"/>
        <w:rPr>
          <w:rFonts w:asci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pPr>
        <w:widowControl/>
        <w:spacing w:line="360" w:lineRule="auto"/>
        <w:ind w:firstLine="48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嵊州市</w:t>
      </w:r>
      <w:r>
        <w:rPr>
          <w:rFonts w:hint="eastAsia" w:ascii="仿宋" w:hAnsi="仿宋" w:eastAsia="仿宋" w:cs="仿宋"/>
          <w:color w:val="auto"/>
          <w:sz w:val="24"/>
          <w:highlight w:val="none"/>
          <w:lang w:val="en-US" w:eastAsia="zh-CN"/>
        </w:rPr>
        <w:t>教育体育局</w:t>
      </w:r>
    </w:p>
    <w:p>
      <w:pPr>
        <w:widowControl/>
        <w:spacing w:line="360" w:lineRule="auto"/>
        <w:ind w:firstLine="48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 xml:space="preserve"> 嵊州市</w:t>
      </w:r>
      <w:r>
        <w:rPr>
          <w:rFonts w:hint="eastAsia" w:ascii="仿宋" w:hAnsi="仿宋" w:eastAsia="仿宋" w:cs="仿宋"/>
          <w:color w:val="auto"/>
          <w:sz w:val="24"/>
          <w:highlight w:val="none"/>
          <w:lang w:val="en-US" w:eastAsia="zh-CN"/>
        </w:rPr>
        <w:t>剡湖街道官河横路333号</w:t>
      </w:r>
    </w:p>
    <w:p>
      <w:pPr>
        <w:widowControl/>
        <w:spacing w:line="360" w:lineRule="auto"/>
        <w:ind w:firstLine="480"/>
        <w:rPr>
          <w:rFonts w:hint="eastAsia" w:ascii="仿宋" w:hAnsi="仿宋" w:eastAsia="仿宋" w:cs="仿宋"/>
          <w:color w:val="auto"/>
          <w:sz w:val="24"/>
          <w:highlight w:val="none"/>
          <w:lang w:eastAsia="zh-CN"/>
        </w:rPr>
      </w:pPr>
      <w:bookmarkStart w:id="9" w:name="OLE_LINK7"/>
      <w:bookmarkStart w:id="10" w:name="_Toc28359020"/>
      <w:bookmarkStart w:id="11" w:name="_Toc35393807"/>
      <w:bookmarkStart w:id="12" w:name="_Toc28359097"/>
      <w:bookmarkStart w:id="13" w:name="_Toc35393638"/>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孔</w:t>
      </w:r>
      <w:r>
        <w:rPr>
          <w:rFonts w:hint="eastAsia" w:ascii="仿宋" w:hAnsi="仿宋" w:eastAsia="仿宋" w:cs="仿宋"/>
          <w:color w:val="auto"/>
          <w:sz w:val="24"/>
          <w:highlight w:val="none"/>
          <w:lang w:eastAsia="zh-CN"/>
        </w:rPr>
        <w:t>老师</w:t>
      </w:r>
    </w:p>
    <w:p>
      <w:pPr>
        <w:widowControl/>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83022136</w:t>
      </w:r>
      <w:r>
        <w:rPr>
          <w:rFonts w:hint="eastAsia" w:ascii="仿宋" w:hAnsi="仿宋" w:eastAsia="仿宋" w:cs="仿宋"/>
          <w:color w:val="auto"/>
          <w:sz w:val="24"/>
          <w:highlight w:val="none"/>
        </w:rPr>
        <w:t xml:space="preserve"> </w:t>
      </w:r>
    </w:p>
    <w:p>
      <w:pPr>
        <w:widowControl/>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杨</w:t>
      </w:r>
      <w:r>
        <w:rPr>
          <w:rFonts w:hint="eastAsia" w:ascii="仿宋" w:hAnsi="仿宋" w:eastAsia="仿宋" w:cs="仿宋"/>
          <w:color w:val="auto"/>
          <w:sz w:val="24"/>
          <w:highlight w:val="none"/>
          <w:lang w:eastAsia="zh-CN"/>
        </w:rPr>
        <w:t>老师</w:t>
      </w:r>
    </w:p>
    <w:p>
      <w:pPr>
        <w:widowControl/>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83795935</w:t>
      </w:r>
    </w:p>
    <w:bookmarkEnd w:id="9"/>
    <w:p>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0"/>
      <w:bookmarkEnd w:id="11"/>
      <w:bookmarkEnd w:id="12"/>
      <w:bookmarkEnd w:id="13"/>
      <w:r>
        <w:rPr>
          <w:rFonts w:hint="eastAsia" w:ascii="仿宋" w:eastAsia="仿宋" w:cs="仿宋"/>
          <w:color w:val="auto"/>
          <w:sz w:val="24"/>
          <w:szCs w:val="24"/>
          <w:highlight w:val="none"/>
        </w:rPr>
        <w:t>：</w:t>
      </w:r>
    </w:p>
    <w:p>
      <w:pPr>
        <w:widowControl/>
        <w:spacing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称：嵊州市公共资源交易中心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址：嵊州市官河南路699号国际会展中心北楼三楼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lang w:eastAsia="zh-CN"/>
        </w:rPr>
        <w:t>潘</w:t>
      </w:r>
      <w:r>
        <w:rPr>
          <w:rFonts w:hint="eastAsia" w:ascii="仿宋" w:hAnsi="仿宋" w:eastAsia="仿宋" w:cs="仿宋"/>
          <w:color w:val="auto"/>
          <w:sz w:val="24"/>
        </w:rPr>
        <w:t xml:space="preserve">老师 </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bookmarkStart w:id="14" w:name="OLE_LINK2"/>
      <w:r>
        <w:rPr>
          <w:rFonts w:hint="eastAsia" w:ascii="仿宋" w:hAnsi="仿宋" w:eastAsia="仿宋" w:cs="仿宋"/>
          <w:color w:val="auto"/>
          <w:sz w:val="24"/>
        </w:rPr>
        <w:t xml:space="preserve">0575-83360392 </w:t>
      </w:r>
      <w:bookmarkEnd w:id="14"/>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倪</w:t>
      </w:r>
      <w:r>
        <w:rPr>
          <w:rFonts w:hint="eastAsia" w:ascii="仿宋" w:hAnsi="仿宋" w:eastAsia="仿宋" w:cs="仿宋"/>
          <w:color w:val="auto"/>
          <w:sz w:val="24"/>
        </w:rPr>
        <w:t>老师</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rPr>
        <w:t>0575-83360392</w:t>
      </w:r>
    </w:p>
    <w:p>
      <w:pPr>
        <w:spacing w:line="360" w:lineRule="auto"/>
        <w:ind w:firstLine="482" w:firstLineChars="200"/>
        <w:rPr>
          <w:rFonts w:ascii="仿宋" w:hAnsi="仿宋" w:eastAsia="仿宋" w:cs="仿宋"/>
          <w:b/>
          <w:color w:val="auto"/>
          <w:sz w:val="24"/>
          <w:highlight w:val="none"/>
        </w:rPr>
      </w:pPr>
      <w:bookmarkStart w:id="15" w:name="_Toc35393639"/>
      <w:bookmarkStart w:id="16" w:name="_Toc35393808"/>
      <w:bookmarkStart w:id="17" w:name="_Toc28359098"/>
      <w:bookmarkStart w:id="18"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称：嵊州市采购监管</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址：嵊州市三江街道国资综合大楼1004室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人：郑老师</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监督投诉电话：0575-83032507     </w:t>
      </w:r>
    </w:p>
    <w:p>
      <w:pPr>
        <w:spacing w:line="360" w:lineRule="auto"/>
        <w:ind w:firstLine="480" w:firstLineChars="200"/>
        <w:rPr>
          <w:rFonts w:ascii="仿宋" w:hAnsi="仿宋" w:eastAsia="仿宋" w:cs="仿宋"/>
          <w:color w:val="auto"/>
          <w:sz w:val="24"/>
          <w:highlight w:val="none"/>
        </w:rPr>
      </w:pP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pPr>
        <w:widowControl/>
        <w:adjustRightInd/>
        <w:jc w:val="left"/>
        <w:rPr>
          <w:rFonts w:ascii="仿宋" w:hAnsi="仿宋" w:eastAsia="仿宋" w:cs="仿宋"/>
          <w:b/>
          <w:bCs/>
          <w:color w:val="auto"/>
          <w:sz w:val="36"/>
          <w:szCs w:val="20"/>
          <w:highlight w:val="none"/>
        </w:rPr>
      </w:pPr>
      <w:r>
        <w:rPr>
          <w:rFonts w:hint="eastAsia" w:ascii="仿宋" w:hAnsi="仿宋" w:eastAsia="仿宋" w:cs="仿宋"/>
          <w:b/>
          <w:bCs/>
          <w:color w:val="auto"/>
          <w:sz w:val="36"/>
          <w:szCs w:val="20"/>
          <w:highlight w:val="none"/>
        </w:rPr>
        <w:br w:type="page"/>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spacing w:line="440" w:lineRule="exact"/>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（1）样品：</w:t>
            </w:r>
            <w:r>
              <w:rPr>
                <w:rFonts w:hint="eastAsia" w:ascii="仿宋" w:hAnsi="仿宋" w:eastAsia="仿宋" w:cs="仿宋"/>
                <w:snapToGrid w:val="0"/>
                <w:color w:val="auto"/>
                <w:kern w:val="28"/>
                <w:sz w:val="24"/>
                <w:lang w:val="en-US" w:eastAsia="zh-CN"/>
              </w:rPr>
              <w:t>投标品牌型号一致的触控一体机一台，推拉式书写板</w:t>
            </w:r>
            <w:r>
              <w:rPr>
                <w:rFonts w:hint="eastAsia" w:ascii="仿宋" w:hAnsi="仿宋" w:eastAsia="仿宋" w:cs="仿宋"/>
                <w:snapToGrid w:val="0"/>
                <w:color w:val="auto"/>
                <w:kern w:val="28"/>
                <w:sz w:val="24"/>
              </w:rPr>
              <w:t>小样一块</w:t>
            </w:r>
            <w:r>
              <w:rPr>
                <w:rFonts w:hint="eastAsia" w:ascii="仿宋" w:hAnsi="仿宋" w:eastAsia="仿宋" w:cs="仿宋"/>
                <w:snapToGrid w:val="0"/>
                <w:color w:val="auto"/>
                <w:kern w:val="28"/>
                <w:sz w:val="24"/>
                <w:lang w:eastAsia="zh-CN"/>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样品制作的标准和要求：详见</w:t>
            </w:r>
            <w:r>
              <w:rPr>
                <w:rFonts w:hint="eastAsia" w:ascii="仿宋" w:hAnsi="仿宋" w:eastAsia="仿宋" w:cs="仿宋"/>
                <w:snapToGrid w:val="0"/>
                <w:color w:val="auto"/>
                <w:kern w:val="28"/>
                <w:sz w:val="24"/>
                <w:u w:val="single"/>
              </w:rPr>
              <w:t>招标项目范围及要求</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w:t>
            </w:r>
            <w:r>
              <w:rPr>
                <w:rFonts w:hint="eastAsia" w:ascii="仿宋" w:hAnsi="仿宋" w:eastAsia="仿宋" w:cs="仿宋"/>
                <w:color w:val="auto"/>
                <w:sz w:val="24"/>
                <w:u w:val="single"/>
                <w:lang w:val="en-US" w:eastAsia="zh-CN"/>
              </w:rPr>
              <w:t>方</w:t>
            </w:r>
            <w:r>
              <w:rPr>
                <w:rFonts w:hint="eastAsia" w:ascii="仿宋" w:hAnsi="仿宋" w:eastAsia="仿宋" w:cs="仿宋"/>
                <w:color w:val="auto"/>
                <w:sz w:val="24"/>
                <w:u w:val="single"/>
              </w:rPr>
              <w:t>法</w:t>
            </w:r>
            <w:r>
              <w:rPr>
                <w:rFonts w:hint="eastAsia" w:ascii="仿宋" w:hAnsi="仿宋" w:eastAsia="仿宋" w:cs="仿宋"/>
                <w:color w:val="auto"/>
                <w:sz w:val="24"/>
                <w:u w:val="single"/>
                <w:lang w:val="en-US" w:eastAsia="zh-CN"/>
              </w:rPr>
              <w:t>及标准</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widowControl/>
              <w:spacing w:line="360" w:lineRule="auto"/>
              <w:jc w:val="lef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7月31日</w:t>
            </w:r>
            <w:r>
              <w:rPr>
                <w:rFonts w:hint="eastAsia" w:ascii="仿宋" w:hAnsi="仿宋" w:eastAsia="仿宋" w:cs="仿宋"/>
                <w:color w:val="auto"/>
                <w:sz w:val="24"/>
                <w:u w:val="single"/>
              </w:rPr>
              <w:t xml:space="preserve">9:30前 </w:t>
            </w:r>
            <w:r>
              <w:rPr>
                <w:rFonts w:hint="eastAsia" w:ascii="仿宋" w:hAnsi="仿宋" w:eastAsia="仿宋" w:cs="仿宋"/>
                <w:color w:val="auto"/>
                <w:kern w:val="0"/>
                <w:sz w:val="24"/>
              </w:rPr>
              <w:t>；地点：</w:t>
            </w:r>
            <w:r>
              <w:rPr>
                <w:rFonts w:hint="eastAsia" w:ascii="仿宋" w:hAnsi="仿宋" w:eastAsia="仿宋" w:cs="仿宋"/>
                <w:color w:val="auto"/>
                <w:sz w:val="24"/>
                <w:u w:val="single"/>
              </w:rPr>
              <w:t>嵊州市公共资源交易中心（嵊州市官河南路699号国际会展中心北楼三楼）</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lang w:eastAsia="zh-CN"/>
              </w:rPr>
              <w:t>潘</w:t>
            </w:r>
            <w:r>
              <w:rPr>
                <w:rFonts w:hint="eastAsia" w:ascii="仿宋" w:hAnsi="仿宋" w:eastAsia="仿宋" w:cs="仿宋"/>
                <w:color w:val="auto"/>
                <w:sz w:val="24"/>
                <w:u w:val="single"/>
              </w:rPr>
              <w:t xml:space="preserve">老师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kern w:val="28"/>
                <w:sz w:val="24"/>
                <w:u w:val="single"/>
              </w:rPr>
              <w:t>0575-83360392</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b/>
                <w:color w:val="auto"/>
                <w:sz w:val="24"/>
                <w:highlight w:val="none"/>
                <w:lang w:val="en-US" w:eastAsia="zh-CN"/>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lang w:val="en-US" w:eastAsia="zh-CN"/>
              </w:rPr>
              <w:t>嵊州市公共资源交易中心</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kern w:val="0"/>
                <w:sz w:val="24"/>
                <w:highlight w:val="none"/>
                <w:lang w:val="en-US" w:eastAsia="zh-CN"/>
              </w:rPr>
              <w:t>要求使用与</w:t>
            </w:r>
            <w:r>
              <w:rPr>
                <w:rFonts w:hint="eastAsia" w:ascii="仿宋" w:hAnsi="仿宋" w:eastAsia="仿宋" w:cs="仿宋"/>
                <w:color w:val="auto"/>
                <w:kern w:val="0"/>
                <w:sz w:val="24"/>
                <w:highlight w:val="none"/>
                <w:u w:val="single"/>
                <w:lang w:val="en-US" w:eastAsia="zh-CN"/>
              </w:rPr>
              <w:t>所投产品一致的触控一体机进行现场讲解演示</w:t>
            </w:r>
            <w:r>
              <w:rPr>
                <w:rFonts w:hint="eastAsia" w:ascii="仿宋" w:hAnsi="仿宋" w:eastAsia="仿宋" w:cs="仿宋"/>
                <w:color w:val="auto"/>
                <w:sz w:val="24"/>
                <w:highlight w:val="none"/>
                <w:lang w:val="zh-CN"/>
              </w:rPr>
              <w:t>。现场讲解演示人员进场时提供讲解人员名单（加盖公章或授权代表签名）及身份证明，否则不得讲解演示。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pacing w:val="-20"/>
                <w:sz w:val="24"/>
                <w:highlight w:val="none"/>
              </w:rPr>
              <w:t>进口 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☑本项目不允许采购进口产品。</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触控一体机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根据《工业和信息化部、国家统计局、国家发展和改革委员会、财政部关于印发中小企业划型标准规定的通知》（工信部联企业[2011]300号）规定（有最新中小企业划型标准的以更新后的为准）：</w:t>
            </w:r>
          </w:p>
          <w:p>
            <w:pPr>
              <w:pStyle w:val="25"/>
              <w:spacing w:afterLines="0" w:line="440" w:lineRule="exact"/>
              <w:ind w:firstLine="0" w:firstLineChars="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（1）标的：</w:t>
            </w:r>
            <w:r>
              <w:rPr>
                <w:rFonts w:hint="eastAsia" w:ascii="仿宋" w:hAnsi="仿宋" w:eastAsia="仿宋" w:cs="仿宋"/>
                <w:color w:val="auto"/>
                <w:szCs w:val="24"/>
                <w:highlight w:val="none"/>
                <w:u w:val="single"/>
                <w:lang w:eastAsia="zh-CN"/>
              </w:rPr>
              <w:t>嵊州市</w:t>
            </w:r>
            <w:r>
              <w:rPr>
                <w:rFonts w:hint="eastAsia" w:ascii="仿宋" w:hAnsi="仿宋" w:eastAsia="仿宋" w:cs="仿宋"/>
                <w:color w:val="auto"/>
                <w:szCs w:val="24"/>
                <w:highlight w:val="none"/>
                <w:u w:val="single"/>
                <w:lang w:val="en-US" w:eastAsia="zh-CN"/>
              </w:rPr>
              <w:t>教育体育局多媒体设备</w:t>
            </w:r>
            <w:r>
              <w:rPr>
                <w:rFonts w:hint="eastAsia" w:ascii="仿宋" w:hAnsi="仿宋" w:eastAsia="仿宋" w:cs="仿宋"/>
                <w:color w:val="auto"/>
                <w:szCs w:val="24"/>
                <w:highlight w:val="none"/>
                <w:u w:val="single"/>
                <w:lang w:eastAsia="zh-CN"/>
              </w:rPr>
              <w:t>采购项目</w:t>
            </w:r>
            <w:r>
              <w:rPr>
                <w:rFonts w:hint="eastAsia" w:ascii="仿宋" w:hAnsi="仿宋" w:eastAsia="仿宋" w:cs="仿宋"/>
                <w:color w:val="auto"/>
                <w:szCs w:val="24"/>
                <w:highlight w:val="none"/>
              </w:rPr>
              <w:t>，属于</w:t>
            </w:r>
            <w:r>
              <w:rPr>
                <w:rFonts w:hint="eastAsia" w:ascii="仿宋" w:hAnsi="仿宋" w:eastAsia="仿宋" w:cs="仿宋"/>
                <w:color w:val="auto"/>
                <w:szCs w:val="24"/>
                <w:highlight w:val="none"/>
                <w:u w:val="single"/>
              </w:rPr>
              <w:t xml:space="preserve"> 工业 </w:t>
            </w:r>
            <w:r>
              <w:rPr>
                <w:rFonts w:hint="eastAsia" w:ascii="仿宋" w:hAnsi="仿宋" w:eastAsia="仿宋" w:cs="仿宋"/>
                <w:color w:val="auto"/>
                <w:szCs w:val="24"/>
                <w:highlight w:val="none"/>
              </w:rPr>
              <w:t>；</w:t>
            </w:r>
          </w:p>
          <w:p>
            <w:pPr>
              <w:snapToGrid w:val="0"/>
              <w:spacing w:line="440" w:lineRule="exact"/>
              <w:rPr>
                <w:rFonts w:ascii="仿宋" w:hAnsi="仿宋" w:eastAsia="仿宋" w:cs="仿宋"/>
                <w:color w:val="auto"/>
                <w:highlight w:val="none"/>
              </w:rPr>
            </w:pPr>
            <w:r>
              <w:rPr>
                <w:rFonts w:hint="eastAsia" w:ascii="仿宋" w:hAnsi="仿宋" w:eastAsia="仿宋" w:cs="仿宋"/>
                <w:color w:val="auto"/>
                <w:sz w:val="24"/>
                <w:highlight w:val="none"/>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color w:val="auto"/>
          <w:sz w:val="32"/>
          <w:szCs w:val="32"/>
          <w:highlight w:val="none"/>
        </w:rPr>
      </w:pPr>
      <w:bookmarkStart w:id="19" w:name="_Toc164416483"/>
      <w:bookmarkStart w:id="20" w:name="第三部分"/>
    </w:p>
    <w:p>
      <w:pPr>
        <w:pStyle w:val="17"/>
        <w:rPr>
          <w:color w:val="auto"/>
          <w:highlight w:val="none"/>
        </w:rPr>
      </w:pPr>
    </w:p>
    <w:p>
      <w:pPr>
        <w:pStyle w:val="10"/>
        <w:rPr>
          <w:rFonts w:ascii="仿宋" w:hAnsi="仿宋" w:eastAsia="仿宋" w:cs="仿宋"/>
          <w:b/>
          <w:color w:val="auto"/>
          <w:sz w:val="32"/>
          <w:szCs w:val="32"/>
          <w:highlight w:val="none"/>
        </w:rPr>
      </w:pPr>
    </w:p>
    <w:p>
      <w:pPr>
        <w:rPr>
          <w:color w:val="auto"/>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val="0"/>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hint="eastAsia" w:ascii="仿宋" w:hAnsi="仿宋" w:eastAsia="仿宋" w:cs="仿宋"/>
          <w:bCs w:val="0"/>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val="0"/>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符合中小企业划分标准的个体工商户，在政府采购活动中视同中小企业。</w:t>
      </w:r>
    </w:p>
    <w:p>
      <w:pPr>
        <w:spacing w:line="440" w:lineRule="exact"/>
        <w:ind w:firstLine="480" w:firstLineChars="200"/>
        <w:rPr>
          <w:rFonts w:ascii="仿宋_GB2312" w:hAnsi="仿宋" w:eastAsia="仿宋_GB2312"/>
          <w:bCs/>
          <w:color w:val="auto"/>
          <w:sz w:val="24"/>
          <w:highlight w:val="none"/>
        </w:rPr>
      </w:pPr>
      <w:r>
        <w:rPr>
          <w:rFonts w:hint="eastAsia" w:ascii="仿宋" w:hAnsi="仿宋" w:eastAsia="仿宋" w:cs="仿宋"/>
          <w:bCs w:val="0"/>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hint="eastAsia" w:ascii="仿宋" w:hAnsi="仿宋" w:eastAsia="仿宋" w:cs="仿宋"/>
          <w:bCs w:val="0"/>
          <w:color w:val="auto"/>
          <w:sz w:val="24"/>
          <w:highlight w:val="none"/>
        </w:rPr>
      </w:pPr>
      <w:r>
        <w:rPr>
          <w:rFonts w:hint="eastAsia" w:ascii="仿宋" w:hAnsi="仿宋" w:eastAsia="仿宋" w:cs="仿宋"/>
          <w:bCs w:val="0"/>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w:t>
      </w:r>
      <w:r>
        <w:rPr>
          <w:rFonts w:hint="eastAsia" w:ascii="仿宋" w:hAnsi="仿宋" w:eastAsia="仿宋" w:cs="仿宋"/>
          <w:color w:val="auto"/>
          <w:sz w:val="24"/>
        </w:rPr>
        <w:t>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rPr>
        <w:t>的扣除</w:t>
      </w:r>
      <w:r>
        <w:rPr>
          <w:rFonts w:hint="eastAsia" w:ascii="仿宋" w:hAnsi="仿宋" w:eastAsia="仿宋" w:cs="仿宋"/>
          <w:color w:val="auto"/>
          <w:sz w:val="24"/>
          <w:lang w:eastAsia="zh-CN"/>
        </w:rPr>
        <w:t>（由采购人或其委托代理机构根据项目情况自行确定扣除比例）</w:t>
      </w:r>
      <w:r>
        <w:rPr>
          <w:rFonts w:hint="eastAsia" w:ascii="仿宋" w:hAnsi="仿宋" w:eastAsia="仿宋" w:cs="仿宋"/>
          <w:color w:val="auto"/>
          <w:sz w:val="24"/>
        </w:rPr>
        <w:t>，用扣除后的价格参加评审。</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lang w:val="en-US" w:eastAsia="zh-CN"/>
        </w:rPr>
        <w:t>%-6</w:t>
      </w:r>
      <w:r>
        <w:rPr>
          <w:rFonts w:hint="eastAsia" w:ascii="仿宋" w:hAnsi="仿宋" w:eastAsia="仿宋" w:cs="仿宋"/>
          <w:color w:val="auto"/>
          <w:sz w:val="24"/>
        </w:rPr>
        <w:t>%的扣除</w:t>
      </w:r>
      <w:r>
        <w:rPr>
          <w:rFonts w:hint="eastAsia" w:ascii="仿宋" w:hAnsi="仿宋" w:eastAsia="仿宋" w:cs="仿宋"/>
          <w:color w:val="auto"/>
          <w:sz w:val="24"/>
          <w:lang w:eastAsia="zh-CN"/>
        </w:rPr>
        <w:t>（由采购人或其委托代理机构根据项目情况自行确定扣除比例）</w:t>
      </w:r>
      <w:r>
        <w:rPr>
          <w:rFonts w:hint="eastAsia" w:ascii="仿宋" w:hAnsi="仿宋" w:eastAsia="仿宋" w:cs="仿宋"/>
          <w:color w:val="auto"/>
          <w:sz w:val="24"/>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val="0"/>
          <w:color w:val="auto"/>
          <w:sz w:val="24"/>
          <w:highlight w:val="none"/>
        </w:rPr>
        <w:t>支持科技创新发展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440" w:lineRule="exact"/>
        <w:rPr>
          <w:color w:val="auto"/>
          <w:highlight w:val="none"/>
        </w:rPr>
      </w:pP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7"/>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pStyle w:val="10"/>
        <w:ind w:firstLine="480" w:firstLineChars="200"/>
        <w:rPr>
          <w:rFonts w:ascii="仿宋" w:hAnsi="仿宋" w:eastAsia="仿宋" w:cs="仿宋"/>
          <w:color w:val="auto"/>
          <w:sz w:val="32"/>
          <w:szCs w:val="32"/>
          <w:highlight w:val="none"/>
          <w:lang w:val="en-US"/>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3"/>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2.1.3联合协议（如有)；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2.1.4分包意向协议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2.1.5落实政府采购政策需满足的资格要求（如有)；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2.1.6本项目的特定资格要求（如有)；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2.1.7开标时提供《政府采购活动现场确认声明书》，发送至邮箱</w:t>
      </w:r>
      <w:r>
        <w:rPr>
          <w:rFonts w:hint="eastAsia" w:ascii="仿宋" w:hAnsi="仿宋" w:eastAsia="仿宋" w:cs="仿宋"/>
          <w:color w:val="auto"/>
          <w:sz w:val="24"/>
          <w:highlight w:val="none"/>
          <w:lang w:val="en-US" w:eastAsia="zh-CN"/>
        </w:rPr>
        <w:t>982507355</w:t>
      </w:r>
      <w:r>
        <w:rPr>
          <w:rFonts w:hint="eastAsia" w:ascii="仿宋" w:hAnsi="仿宋" w:eastAsia="仿宋" w:cs="仿宋"/>
          <w:color w:val="auto"/>
          <w:sz w:val="24"/>
          <w:highlight w:val="none"/>
        </w:rPr>
        <w:t>@qq.com。</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2.2.1评分索引表；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bookmarkStart w:id="21" w:name="OLE_LINK3"/>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bookmarkEnd w:id="21"/>
      <w:r>
        <w:rPr>
          <w:rFonts w:hint="eastAsia" w:ascii="仿宋" w:hAnsi="仿宋" w:eastAsia="仿宋" w:cs="仿宋"/>
          <w:color w:val="auto"/>
          <w:sz w:val="24"/>
          <w:highlight w:val="none"/>
        </w:rPr>
        <w:t>法定代表人授权委托书；</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rPr>
        <w:t>法定代表人及其授权代表身份证复印件</w:t>
      </w:r>
      <w:r>
        <w:rPr>
          <w:rFonts w:hint="eastAsia" w:ascii="仿宋" w:hAnsi="仿宋" w:eastAsia="仿宋" w:cs="仿宋"/>
          <w:color w:val="auto"/>
          <w:sz w:val="24"/>
          <w:lang w:eastAsia="zh-CN"/>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2.2.5授权代表社保证明；</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2.2.6法定代表人身份证明书；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2.2.7商务资信响应表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w:t>
      </w:r>
      <w:bookmarkStart w:id="22" w:name="OLE_LINK4"/>
      <w:r>
        <w:rPr>
          <w:rFonts w:hint="eastAsia" w:ascii="仿宋" w:hAnsi="仿宋" w:eastAsia="仿宋" w:cs="仿宋"/>
          <w:color w:val="auto"/>
          <w:sz w:val="24"/>
          <w:highlight w:val="none"/>
        </w:rPr>
        <w:t>技术响应偏离表</w:t>
      </w:r>
      <w:bookmarkEnd w:id="22"/>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2.2.9主要业绩证明；</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2.2.10投标产品详细配置清单；</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2.2.11项目小组人员名单；</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2.2.12廉政承诺书；</w:t>
      </w:r>
    </w:p>
    <w:p>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2.2.13投标人需要说明的其他文件和说明（格式自拟）。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11"/>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2.3.1</w:t>
      </w:r>
      <w:bookmarkStart w:id="23" w:name="OLE_LINK1"/>
      <w:r>
        <w:rPr>
          <w:rFonts w:hint="eastAsia" w:ascii="仿宋" w:hAnsi="仿宋" w:eastAsia="仿宋" w:cs="仿宋"/>
          <w:color w:val="auto"/>
          <w:highlight w:val="none"/>
        </w:rPr>
        <w:t>开标一览表（报价表）</w:t>
      </w:r>
      <w:bookmarkEnd w:id="23"/>
      <w:r>
        <w:rPr>
          <w:rFonts w:hint="eastAsia" w:ascii="仿宋" w:hAnsi="仿宋" w:eastAsia="仿宋" w:cs="仿宋"/>
          <w:color w:val="auto"/>
          <w:highlight w:val="none"/>
        </w:rPr>
        <w:t>；</w:t>
      </w:r>
    </w:p>
    <w:p>
      <w:pPr>
        <w:pStyle w:val="11"/>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lang w:val="en-US"/>
        </w:rPr>
        <w:t>2.3.2</w:t>
      </w:r>
      <w:r>
        <w:rPr>
          <w:rFonts w:hint="eastAsia" w:ascii="仿宋" w:hAnsi="仿宋" w:eastAsia="仿宋" w:cs="仿宋"/>
          <w:color w:val="auto"/>
          <w:highlight w:val="none"/>
        </w:rPr>
        <w:t>中小企业声明函（如有）；</w:t>
      </w:r>
    </w:p>
    <w:p>
      <w:pPr>
        <w:pStyle w:val="11"/>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rPr>
        <w:t>3</w:t>
      </w:r>
      <w:r>
        <w:rPr>
          <w:rFonts w:hint="eastAsia" w:ascii="仿宋" w:hAnsi="仿宋" w:eastAsia="仿宋" w:cs="仿宋"/>
          <w:color w:val="auto"/>
          <w:highlight w:val="none"/>
        </w:rPr>
        <w:t>残疾人福利性单位声明函（如有）。</w:t>
      </w:r>
    </w:p>
    <w:p>
      <w:pPr>
        <w:pStyle w:val="11"/>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1"/>
        <w:autoSpaceDE/>
        <w:autoSpaceDN/>
        <w:snapToGrid w:val="0"/>
        <w:spacing w:line="440" w:lineRule="exact"/>
        <w:ind w:firstLine="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6"/>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26"/>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24"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3"/>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24"/>
    <w:p>
      <w:pPr>
        <w:pStyle w:val="13"/>
        <w:spacing w:line="360" w:lineRule="auto"/>
        <w:ind w:firstLine="726"/>
        <w:jc w:val="center"/>
        <w:rPr>
          <w:rFonts w:ascii="仿宋" w:hAnsi="仿宋" w:eastAsia="仿宋" w:cs="仿宋"/>
          <w:b/>
          <w:color w:val="auto"/>
          <w:sz w:val="32"/>
          <w:szCs w:val="32"/>
          <w:highlight w:val="none"/>
        </w:rPr>
      </w:pPr>
      <w:bookmarkStart w:id="25" w:name="_Hlt75236101"/>
      <w:bookmarkEnd w:id="25"/>
      <w:bookmarkStart w:id="26" w:name="_Hlt74714665"/>
      <w:bookmarkEnd w:id="26"/>
      <w:bookmarkStart w:id="27" w:name="_Hlt75236011"/>
      <w:bookmarkEnd w:id="27"/>
      <w:bookmarkStart w:id="28" w:name="_Hlt74729768"/>
      <w:bookmarkEnd w:id="28"/>
      <w:bookmarkStart w:id="29" w:name="_Hlt68072990"/>
      <w:bookmarkEnd w:id="29"/>
      <w:bookmarkStart w:id="30" w:name="_Hlt68057669"/>
      <w:bookmarkEnd w:id="30"/>
      <w:bookmarkStart w:id="31" w:name="_Hlt75236290"/>
      <w:bookmarkEnd w:id="31"/>
      <w:bookmarkStart w:id="32" w:name="_Hlt74730295"/>
      <w:bookmarkEnd w:id="32"/>
      <w:bookmarkStart w:id="33" w:name="_Hlt68403820"/>
      <w:bookmarkEnd w:id="33"/>
      <w:bookmarkStart w:id="34" w:name="_Hlt68072998"/>
      <w:bookmarkEnd w:id="34"/>
      <w:bookmarkStart w:id="35" w:name="_Hlt74707468"/>
      <w:bookmarkEnd w:id="35"/>
      <w:bookmarkStart w:id="36" w:name="_Hlt68073093"/>
      <w:bookmarkEnd w:id="36"/>
      <w:bookmarkStart w:id="37" w:name="_Toc81372776"/>
      <w:bookmarkStart w:id="38" w:name="_Toc81372953"/>
      <w:bookmarkStart w:id="39" w:name="_Toc84325929"/>
      <w:r>
        <w:rPr>
          <w:rFonts w:hint="eastAsia" w:ascii="仿宋" w:hAnsi="仿宋" w:eastAsia="仿宋" w:cs="仿宋"/>
          <w:b/>
          <w:color w:val="auto"/>
          <w:sz w:val="32"/>
          <w:szCs w:val="32"/>
          <w:highlight w:val="none"/>
        </w:rPr>
        <w:t>五、授予合同</w:t>
      </w:r>
    </w:p>
    <w:bookmarkEnd w:id="37"/>
    <w:bookmarkEnd w:id="38"/>
    <w:bookmarkEnd w:id="39"/>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，视同按评标报告推荐的顺序确定的中标候选人为</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w:t>
      </w:r>
      <w:r>
        <w:rPr>
          <w:rFonts w:hint="eastAsia" w:ascii="仿宋" w:hAnsi="仿宋" w:eastAsia="仿宋" w:cs="仿宋"/>
          <w:color w:val="auto"/>
          <w:sz w:val="24"/>
        </w:rPr>
        <w:t>（浙江政府采购网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w:t>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rPr>
        <w:t>采购代理机构向</w:t>
      </w:r>
      <w:r>
        <w:rPr>
          <w:rFonts w:hint="eastAsia" w:ascii="仿宋" w:hAnsi="仿宋" w:eastAsia="仿宋" w:cs="仿宋"/>
          <w:color w:val="auto"/>
          <w:sz w:val="24"/>
          <w:lang w:eastAsia="zh-CN"/>
        </w:rPr>
        <w:t>中标人</w:t>
      </w:r>
      <w:r>
        <w:rPr>
          <w:rFonts w:hint="eastAsia" w:ascii="仿宋" w:hAnsi="仿宋" w:eastAsia="仿宋" w:cs="仿宋"/>
          <w:color w:val="auto"/>
          <w:sz w:val="24"/>
        </w:rPr>
        <w:t>签发中标通知书。在采购代理机构发出中标通知书前，</w:t>
      </w:r>
      <w:r>
        <w:rPr>
          <w:rFonts w:hint="eastAsia" w:ascii="仿宋" w:hAnsi="仿宋" w:eastAsia="仿宋" w:cs="仿宋"/>
          <w:color w:val="auto"/>
          <w:sz w:val="24"/>
          <w:lang w:eastAsia="zh-CN"/>
        </w:rPr>
        <w:t>中标人</w:t>
      </w:r>
      <w:r>
        <w:rPr>
          <w:rFonts w:hint="eastAsia" w:ascii="仿宋" w:hAnsi="仿宋" w:eastAsia="仿宋" w:cs="仿宋"/>
          <w:color w:val="auto"/>
          <w:sz w:val="24"/>
        </w:rPr>
        <w:t>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4.2服务期满且没有服务质量问题的，采购人应及时退还履约保证金。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应当在中标通知书发出之日起</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天内与采购人签订合同，自采购合同签订之日起</w:t>
      </w:r>
      <w:r>
        <w:rPr>
          <w:rFonts w:hint="eastAsia" w:ascii="仿宋" w:hAnsi="仿宋" w:eastAsia="仿宋" w:cs="仿宋"/>
          <w:color w:val="auto"/>
          <w:sz w:val="24"/>
          <w:highlight w:val="none"/>
          <w:lang w:val="en-US" w:eastAsia="zh-CN"/>
        </w:rPr>
        <w:t>3</w:t>
      </w:r>
      <w:r>
        <w:rPr>
          <w:rFonts w:hint="eastAsia" w:ascii="仿宋" w:hAnsi="仿宋" w:eastAsia="仿宋" w:cs="仿宋"/>
          <w:b/>
          <w:bCs/>
          <w:color w:val="auto"/>
          <w:sz w:val="24"/>
          <w:highlight w:val="none"/>
        </w:rPr>
        <w:t>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w:t>
      </w:r>
      <w:r>
        <w:rPr>
          <w:rFonts w:hint="eastAsia" w:ascii="仿宋" w:hAnsi="仿宋" w:eastAsia="仿宋" w:cs="仿宋"/>
          <w:color w:val="auto"/>
          <w:sz w:val="24"/>
          <w:lang w:eastAsia="zh-CN"/>
        </w:rPr>
        <w:t>供应商</w:t>
      </w:r>
      <w:r>
        <w:rPr>
          <w:rFonts w:hint="eastAsia" w:ascii="仿宋" w:hAnsi="仿宋" w:eastAsia="仿宋" w:cs="仿宋"/>
          <w:color w:val="auto"/>
          <w:sz w:val="24"/>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color w:val="auto"/>
          <w:sz w:val="24"/>
          <w:lang w:eastAsia="zh-CN"/>
        </w:rPr>
        <w:t>供应商</w:t>
      </w:r>
      <w:r>
        <w:rPr>
          <w:rFonts w:hint="eastAsia" w:ascii="仿宋" w:hAnsi="仿宋" w:eastAsia="仿宋" w:cs="仿宋"/>
          <w:color w:val="auto"/>
          <w:sz w:val="24"/>
        </w:rPr>
        <w:t>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w:t>
      </w:r>
      <w:r>
        <w:rPr>
          <w:rFonts w:hint="eastAsia" w:ascii="仿宋" w:hAnsi="仿宋" w:eastAsia="仿宋" w:cs="仿宋"/>
          <w:color w:val="auto"/>
          <w:sz w:val="24"/>
          <w:lang w:eastAsia="zh-CN"/>
        </w:rPr>
        <w:t>中标人</w:t>
      </w:r>
      <w:r>
        <w:rPr>
          <w:rFonts w:hint="eastAsia" w:ascii="仿宋" w:hAnsi="仿宋" w:eastAsia="仿宋" w:cs="仿宋"/>
          <w:color w:val="auto"/>
          <w:sz w:val="24"/>
        </w:rPr>
        <w:t>的履约管理，并按照采购合同约定，及时向</w:t>
      </w:r>
      <w:r>
        <w:rPr>
          <w:rFonts w:hint="eastAsia" w:ascii="仿宋" w:hAnsi="仿宋" w:eastAsia="仿宋" w:cs="仿宋"/>
          <w:color w:val="auto"/>
          <w:sz w:val="24"/>
          <w:lang w:eastAsia="zh-CN"/>
        </w:rPr>
        <w:t>中标人</w:t>
      </w:r>
      <w:r>
        <w:rPr>
          <w:rFonts w:hint="eastAsia" w:ascii="仿宋" w:hAnsi="仿宋" w:eastAsia="仿宋" w:cs="仿宋"/>
          <w:color w:val="auto"/>
          <w:sz w:val="24"/>
        </w:rPr>
        <w:t>支付采购资金。对于</w:t>
      </w:r>
      <w:r>
        <w:rPr>
          <w:rFonts w:hint="eastAsia" w:ascii="仿宋" w:hAnsi="仿宋" w:eastAsia="仿宋" w:cs="仿宋"/>
          <w:color w:val="auto"/>
          <w:sz w:val="24"/>
          <w:lang w:eastAsia="zh-CN"/>
        </w:rPr>
        <w:t>中标人</w:t>
      </w:r>
      <w:r>
        <w:rPr>
          <w:rFonts w:hint="eastAsia" w:ascii="仿宋" w:hAnsi="仿宋" w:eastAsia="仿宋" w:cs="仿宋"/>
          <w:color w:val="auto"/>
          <w:sz w:val="24"/>
        </w:rPr>
        <w:t>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w:t>
      </w:r>
      <w:r>
        <w:rPr>
          <w:rFonts w:hint="default" w:ascii="仿宋" w:hAnsi="仿宋" w:eastAsia="仿宋" w:cs="仿宋"/>
          <w:b w:val="0"/>
          <w:bCs w:val="0"/>
          <w:i w:val="0"/>
          <w:iCs w:val="0"/>
          <w:color w:val="auto"/>
          <w:kern w:val="2"/>
          <w:sz w:val="24"/>
          <w:szCs w:val="20"/>
          <w:highlight w:val="none"/>
          <w:vertAlign w:val="baseline"/>
          <w:lang w:val="en-US" w:eastAsia="zh-CN" w:bidi="ar-SA"/>
        </w:rPr>
        <w:t>（浙财</w:t>
      </w:r>
      <w:r>
        <w:rPr>
          <w:rFonts w:hint="default" w:ascii="仿宋" w:hAnsi="仿宋" w:eastAsia="仿宋" w:cs="仿宋"/>
          <w:color w:val="auto"/>
          <w:sz w:val="24"/>
          <w:szCs w:val="20"/>
          <w:highlight w:val="none"/>
          <w:lang w:val="en-US" w:eastAsia="zh-CN"/>
        </w:rPr>
        <w:t>采监</w:t>
      </w:r>
      <w:r>
        <w:rPr>
          <w:rFonts w:hint="eastAsia" w:ascii="仿宋" w:hAnsi="仿宋" w:eastAsia="仿宋" w:cs="仿宋"/>
          <w:color w:val="auto"/>
          <w:sz w:val="24"/>
          <w:szCs w:val="20"/>
          <w:highlight w:val="none"/>
        </w:rPr>
        <w:t>〔2021</w:t>
      </w:r>
      <w:r>
        <w:rPr>
          <w:rFonts w:hint="eastAsia" w:ascii="仿宋" w:hAnsi="仿宋" w:eastAsia="仿宋" w:cs="仿宋"/>
          <w:color w:val="auto"/>
          <w:sz w:val="24"/>
          <w:szCs w:val="20"/>
          <w:highlight w:val="none"/>
          <w:lang w:eastAsia="zh-CN"/>
        </w:rPr>
        <w:t>〕</w:t>
      </w:r>
      <w:r>
        <w:rPr>
          <w:rFonts w:hint="default" w:ascii="仿宋" w:hAnsi="仿宋" w:eastAsia="仿宋" w:cs="仿宋"/>
          <w:color w:val="auto"/>
          <w:sz w:val="24"/>
          <w:szCs w:val="20"/>
          <w:highlight w:val="none"/>
          <w:lang w:val="en-US" w:eastAsia="zh-CN"/>
        </w:rPr>
        <w:t>22号）</w:t>
      </w:r>
      <w:r>
        <w:rPr>
          <w:rFonts w:ascii="仿宋" w:hAnsi="仿宋" w:eastAsia="仿宋" w:cs="仿宋"/>
          <w:color w:val="auto"/>
          <w:sz w:val="24"/>
          <w:szCs w:val="20"/>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szCs w:val="20"/>
          <w:highlight w:val="none"/>
          <w:lang w:eastAsia="zh-CN"/>
        </w:rPr>
        <w:t>务</w:t>
      </w:r>
      <w:r>
        <w:rPr>
          <w:rFonts w:ascii="仿宋" w:hAnsi="仿宋" w:eastAsia="仿宋" w:cs="仿宋"/>
          <w:color w:val="auto"/>
          <w:sz w:val="24"/>
          <w:szCs w:val="20"/>
          <w:highlight w:val="none"/>
        </w:rPr>
        <w:t>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10"/>
        <w:spacing w:line="440" w:lineRule="exact"/>
        <w:ind w:firstLine="480" w:firstLineChars="200"/>
        <w:rPr>
          <w:rFonts w:ascii="仿宋" w:hAnsi="仿宋" w:eastAsia="仿宋" w:cs="仿宋"/>
          <w:color w:val="auto"/>
          <w:highlight w:val="none"/>
        </w:rPr>
        <w:sectPr>
          <w:footerReference r:id="rId7" w:type="default"/>
          <w:pgSz w:w="11906" w:h="16838"/>
          <w:pgMar w:top="1474" w:right="1616" w:bottom="1474" w:left="1644" w:header="851" w:footer="992" w:gutter="0"/>
          <w:pgNumType w:fmt="numberInDash" w:start="1"/>
          <w:cols w:space="720" w:num="1"/>
          <w:docGrid w:linePitch="312" w:charSpace="0"/>
        </w:sectPr>
      </w:pPr>
    </w:p>
    <w:bookmarkEnd w:id="19"/>
    <w:bookmarkEnd w:id="20"/>
    <w:p>
      <w:pPr>
        <w:pStyle w:val="2"/>
        <w:keepNext w:val="0"/>
        <w:keepLines w:val="0"/>
        <w:pageBreakBefore/>
        <w:widowControl/>
        <w:numPr>
          <w:ilvl w:val="0"/>
          <w:numId w:val="5"/>
        </w:numPr>
        <w:tabs>
          <w:tab w:val="left" w:pos="478"/>
          <w:tab w:val="clear" w:pos="432"/>
        </w:tabs>
        <w:autoSpaceDE w:val="0"/>
        <w:autoSpaceDN w:val="0"/>
        <w:adjustRightInd/>
        <w:spacing w:before="0" w:after="0" w:line="700" w:lineRule="exact"/>
        <w:ind w:left="476" w:hanging="958"/>
        <w:jc w:val="center"/>
        <w:rPr>
          <w:color w:val="auto"/>
          <w:sz w:val="36"/>
          <w:szCs w:val="36"/>
          <w:highlight w:val="none"/>
        </w:rPr>
      </w:pPr>
      <w:bookmarkStart w:id="40" w:name="第四部分"/>
      <w:r>
        <w:rPr>
          <w:rFonts w:hint="eastAsia"/>
          <w:color w:val="auto"/>
          <w:sz w:val="36"/>
          <w:szCs w:val="36"/>
          <w:highlight w:val="none"/>
        </w:rPr>
        <w:t>项目招标范围及服务要求</w:t>
      </w:r>
    </w:p>
    <w:p>
      <w:pPr>
        <w:adjustRightInd/>
        <w:spacing w:line="360" w:lineRule="auto"/>
        <w:rPr>
          <w:rFonts w:ascii="仿宋" w:hAnsi="仿宋" w:eastAsia="仿宋" w:cs="仿宋"/>
          <w:b/>
          <w:bCs/>
          <w:color w:val="auto"/>
          <w:sz w:val="24"/>
          <w:highlight w:val="none"/>
        </w:rPr>
      </w:pPr>
      <w:bookmarkStart w:id="41" w:name="_Toc447271488"/>
      <w:bookmarkStart w:id="42" w:name="_Toc340322183"/>
      <w:bookmarkStart w:id="43" w:name="_Toc339302144"/>
      <w:bookmarkStart w:id="44" w:name="_Toc340321928"/>
      <w:bookmarkStart w:id="45" w:name="_Toc4171"/>
      <w:bookmarkStart w:id="46" w:name="_Toc248065071"/>
      <w:bookmarkStart w:id="47" w:name="_Toc17741"/>
      <w:bookmarkStart w:id="48" w:name="_Toc340322195"/>
      <w:bookmarkStart w:id="49" w:name="_Toc226337793"/>
      <w:bookmarkStart w:id="50" w:name="_Toc297662418"/>
      <w:bookmarkStart w:id="51" w:name="_Toc339302155"/>
      <w:bookmarkStart w:id="52" w:name="_Toc513456150"/>
      <w:bookmarkStart w:id="53" w:name="_Toc340321940"/>
      <w:bookmarkStart w:id="54" w:name="_Toc22296"/>
      <w:r>
        <w:rPr>
          <w:rFonts w:hint="eastAsia" w:ascii="仿宋" w:hAnsi="仿宋" w:eastAsia="仿宋" w:cs="仿宋"/>
          <w:b/>
          <w:bCs/>
          <w:color w:val="auto"/>
          <w:sz w:val="24"/>
          <w:highlight w:val="none"/>
        </w:rPr>
        <w:t>一、采购内容及要求</w:t>
      </w:r>
    </w:p>
    <w:p>
      <w:pPr>
        <w:adjustRightInd/>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嵊州市教育体育局为下属学校</w:t>
      </w:r>
      <w:r>
        <w:rPr>
          <w:rFonts w:hint="eastAsia" w:ascii="仿宋" w:hAnsi="仿宋" w:eastAsia="仿宋" w:cs="仿宋"/>
          <w:color w:val="auto"/>
          <w:sz w:val="24"/>
          <w:highlight w:val="none"/>
        </w:rPr>
        <w:t>采购</w:t>
      </w:r>
      <w:r>
        <w:rPr>
          <w:rFonts w:hint="eastAsia" w:ascii="仿宋" w:hAnsi="仿宋" w:eastAsia="仿宋" w:cs="仿宋"/>
          <w:color w:val="auto"/>
          <w:sz w:val="24"/>
          <w:highlight w:val="none"/>
          <w:lang w:val="en-US" w:eastAsia="zh-CN"/>
        </w:rPr>
        <w:t>125套多媒体设备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投标人应根据招标文件所提出的采购需求和服务要求，综合考虑，选择具有最佳性能价格比的货物前来投标。希望投标人以精良的货物、优良的服务和优惠的价格，充分显示你们的竞争实力。</w:t>
      </w:r>
    </w:p>
    <w:p>
      <w:pPr>
        <w:numPr>
          <w:ilvl w:val="0"/>
          <w:numId w:val="6"/>
        </w:num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采购</w:t>
      </w:r>
      <w:r>
        <w:rPr>
          <w:rFonts w:hint="eastAsia" w:ascii="仿宋" w:hAnsi="仿宋" w:eastAsia="仿宋" w:cs="仿宋"/>
          <w:b/>
          <w:bCs/>
          <w:color w:val="auto"/>
          <w:sz w:val="24"/>
          <w:highlight w:val="none"/>
          <w:lang w:val="en-US" w:eastAsia="zh-CN"/>
        </w:rPr>
        <w:t>清单及学校分配</w:t>
      </w:r>
    </w:p>
    <w:tbl>
      <w:tblPr>
        <w:tblStyle w:val="18"/>
        <w:tblW w:w="826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1"/>
        <w:gridCol w:w="2573"/>
        <w:gridCol w:w="1004"/>
        <w:gridCol w:w="819"/>
        <w:gridCol w:w="785"/>
        <w:gridCol w:w="784"/>
        <w:gridCol w:w="784"/>
        <w:gridCol w:w="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序号</w:t>
            </w:r>
          </w:p>
        </w:tc>
        <w:tc>
          <w:tcPr>
            <w:tcW w:w="2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学校名称</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触控一体机</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实物展台</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color w:val="auto"/>
                <w:kern w:val="0"/>
                <w:sz w:val="22"/>
                <w:szCs w:val="22"/>
                <w:u w:val="none"/>
                <w:lang w:bidi="ar"/>
              </w:rPr>
              <w:t>推拉式书写板</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移动支架</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集控管理系统</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安装集成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嵊州市爱德初级中学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嵊州市城关中学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10</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10</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2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嵊州市崇仁镇中学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嵊州市初级中学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5</w:t>
            </w:r>
          </w:p>
        </w:tc>
        <w:tc>
          <w:tcPr>
            <w:tcW w:w="2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嵊州市甘霖镇中学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6</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嵊州市黄泽镇中学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6</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6</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嵊州市浦口街道浦口中学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嵊州市石璜镇幼托中心</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9</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嵊州市长乐镇中学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10</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嵊州市三界镇蒋镇学校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11</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嵊州市剡湖街道中心学校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12</w:t>
            </w:r>
          </w:p>
        </w:tc>
        <w:tc>
          <w:tcPr>
            <w:tcW w:w="2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嵊州市少年儿童业余体校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13</w:t>
            </w:r>
          </w:p>
        </w:tc>
        <w:tc>
          <w:tcPr>
            <w:tcW w:w="2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嵊州市高级中学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14</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嵊州市三界中学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15</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嵊州市爱德小学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16</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嵊州市城北小学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17</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嵊州市城东小学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18</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嵊州市城南小学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19</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嵊州市崇仁镇富润学校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20</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嵊州市甘霖镇中心小学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21</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嵊州市黄泽镇中心小学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22</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嵊州市三界镇中心小学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23</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嵊州市长乐镇中心小学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24</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嵊州市三江小学</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25</w:t>
            </w:r>
          </w:p>
        </w:tc>
        <w:tc>
          <w:tcPr>
            <w:tcW w:w="2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嵊州市中等职业技术学校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37</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37</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仿宋" w:hAnsi="仿宋" w:eastAsia="仿宋" w:cs="仿宋"/>
                <w:i w:val="0"/>
                <w:iCs w:val="0"/>
                <w:color w:val="auto"/>
                <w:kern w:val="0"/>
                <w:sz w:val="22"/>
                <w:szCs w:val="22"/>
                <w:u w:val="none"/>
                <w:lang w:bidi="ar"/>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3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数量合计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125</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119</w:t>
            </w: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119</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bidi="ar"/>
              </w:rPr>
            </w:pPr>
            <w:r>
              <w:rPr>
                <w:rFonts w:hint="eastAsia" w:ascii="仿宋" w:hAnsi="仿宋" w:eastAsia="仿宋" w:cs="仿宋"/>
                <w:i w:val="0"/>
                <w:iCs w:val="0"/>
                <w:color w:val="auto"/>
                <w:kern w:val="0"/>
                <w:sz w:val="22"/>
                <w:szCs w:val="22"/>
                <w:u w:val="none"/>
                <w:lang w:val="en-US" w:eastAsia="zh-CN" w:bidi="ar"/>
              </w:rPr>
              <w:t>6</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125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125</w:t>
            </w:r>
          </w:p>
        </w:tc>
      </w:tr>
    </w:tbl>
    <w:p>
      <w:pPr>
        <w:numPr>
          <w:ilvl w:val="0"/>
          <w:numId w:val="0"/>
        </w:numPr>
        <w:spacing w:line="360" w:lineRule="auto"/>
        <w:rPr>
          <w:rFonts w:hint="eastAsia" w:ascii="仿宋" w:hAnsi="仿宋" w:eastAsia="仿宋" w:cs="仿宋"/>
          <w:b/>
          <w:bCs/>
          <w:color w:val="auto"/>
          <w:kern w:val="2"/>
          <w:sz w:val="24"/>
          <w:szCs w:val="24"/>
          <w:lang w:val="en-US" w:eastAsia="zh-CN" w:bidi="ar-SA"/>
        </w:rPr>
      </w:pPr>
    </w:p>
    <w:p>
      <w:pPr>
        <w:numPr>
          <w:ilvl w:val="0"/>
          <w:numId w:val="0"/>
        </w:numPr>
        <w:spacing w:line="360" w:lineRule="auto"/>
        <w:rPr>
          <w:rFonts w:ascii="仿宋" w:hAnsi="仿宋" w:eastAsia="仿宋" w:cs="仿宋"/>
          <w:b/>
          <w:bCs/>
          <w:color w:val="auto"/>
          <w:sz w:val="24"/>
          <w:highlight w:val="none"/>
        </w:rPr>
      </w:pPr>
      <w:r>
        <w:rPr>
          <w:rFonts w:hint="eastAsia" w:ascii="仿宋" w:hAnsi="仿宋" w:eastAsia="仿宋" w:cs="仿宋"/>
          <w:b/>
          <w:bCs/>
          <w:color w:val="auto"/>
          <w:kern w:val="2"/>
          <w:sz w:val="24"/>
          <w:szCs w:val="24"/>
          <w:lang w:val="en-US" w:eastAsia="zh-CN" w:bidi="ar-SA"/>
        </w:rPr>
        <w:t>三、</w:t>
      </w:r>
      <w:r>
        <w:rPr>
          <w:rFonts w:hint="eastAsia" w:ascii="仿宋" w:hAnsi="仿宋" w:eastAsia="仿宋" w:cs="仿宋"/>
          <w:b/>
          <w:bCs/>
          <w:color w:val="auto"/>
          <w:sz w:val="24"/>
          <w:highlight w:val="none"/>
        </w:rPr>
        <w:t>技术</w:t>
      </w:r>
      <w:r>
        <w:rPr>
          <w:rFonts w:hint="eastAsia" w:ascii="仿宋" w:hAnsi="仿宋" w:eastAsia="仿宋" w:cs="仿宋"/>
          <w:b/>
          <w:bCs/>
          <w:color w:val="auto"/>
          <w:sz w:val="24"/>
          <w:highlight w:val="none"/>
          <w:lang w:val="en-US" w:eastAsia="zh-CN"/>
        </w:rPr>
        <w:t>指标及服务</w:t>
      </w:r>
      <w:r>
        <w:rPr>
          <w:rFonts w:hint="eastAsia" w:ascii="仿宋" w:hAnsi="仿宋" w:eastAsia="仿宋" w:cs="仿宋"/>
          <w:b/>
          <w:bCs/>
          <w:color w:val="auto"/>
          <w:sz w:val="24"/>
          <w:highlight w:val="none"/>
        </w:rPr>
        <w:t>要求</w:t>
      </w:r>
    </w:p>
    <w:p>
      <w:pPr>
        <w:spacing w:line="440" w:lineRule="exact"/>
        <w:rPr>
          <w:rFonts w:ascii="仿宋" w:hAnsi="仿宋" w:eastAsia="仿宋" w:cs="仿宋"/>
          <w:b/>
          <w:color w:val="auto"/>
          <w:sz w:val="24"/>
          <w:highlight w:val="none"/>
        </w:rPr>
      </w:pPr>
      <w:bookmarkStart w:id="55" w:name="_Toc43374621"/>
      <w:bookmarkStart w:id="56" w:name="_Toc26535777"/>
      <w:bookmarkStart w:id="57" w:name="_Toc5728"/>
      <w:r>
        <w:rPr>
          <w:rFonts w:hint="eastAsia" w:ascii="仿宋" w:hAnsi="仿宋" w:eastAsia="仿宋" w:cs="仿宋"/>
          <w:b/>
          <w:color w:val="auto"/>
          <w:sz w:val="24"/>
          <w:highlight w:val="none"/>
        </w:rPr>
        <w:t>[一]、基本要求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、设备（材料）要求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（1）投标人所投设备必须是厂商全新的，型号、性能及指标符合国家及招标文件提出的有关技术、质量、安全标准。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（2）所有设备在开箱检验时必须完好，无破损，配置与装箱单相符。数量、质量及性能不低于招标文件的要求。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（3）设备外观清洁，标记编号以及盘面显示等字体清晰，明确。铭牌、使用指示、警告指示应以中文或英文及易懂的通用符号来表示；应准确无误地表明设备之型号、规格、制造厂及生产或出厂日期。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（4）对于影响设备正常工作的必要组成部分，无论在技术规范中指出与否，投标人都应提供并在投标文件中明确列出。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（5）所有货物提供出厂合格证等质量证明文件，国外生产的必须有合法的进货渠道证明，如海关报关单、原产地证明、商检证明。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（6）备随带资料（原件）齐全，并在工程竣工后统一移交给采购人。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、制造监制和出厂检验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（1）在设备制造期间，采购人有权在适当的时间到</w:t>
      </w:r>
      <w:r>
        <w:rPr>
          <w:rFonts w:hint="eastAsia" w:ascii="仿宋" w:hAnsi="仿宋" w:eastAsia="仿宋" w:cs="仿宋"/>
          <w:color w:val="auto"/>
          <w:sz w:val="24"/>
          <w:highlight w:val="none"/>
          <w:lang w:eastAsia="zh-CN"/>
        </w:rPr>
        <w:t>品牌</w:t>
      </w:r>
      <w:r>
        <w:rPr>
          <w:rFonts w:hint="eastAsia" w:ascii="仿宋" w:hAnsi="仿宋" w:eastAsia="仿宋" w:cs="仿宋"/>
          <w:color w:val="auto"/>
          <w:sz w:val="24"/>
          <w:highlight w:val="none"/>
        </w:rPr>
        <w:t>厂</w:t>
      </w:r>
      <w:r>
        <w:rPr>
          <w:rFonts w:hint="eastAsia" w:ascii="仿宋" w:hAnsi="仿宋" w:eastAsia="仿宋" w:cs="仿宋"/>
          <w:color w:val="auto"/>
          <w:sz w:val="24"/>
          <w:highlight w:val="none"/>
          <w:lang w:eastAsia="zh-CN"/>
        </w:rPr>
        <w:t>商</w:t>
      </w:r>
      <w:r>
        <w:rPr>
          <w:rFonts w:hint="eastAsia" w:ascii="仿宋" w:hAnsi="仿宋" w:eastAsia="仿宋" w:cs="仿宋"/>
          <w:color w:val="auto"/>
          <w:sz w:val="24"/>
          <w:highlight w:val="none"/>
        </w:rPr>
        <w:t>进行制造监制，在制造监制期间，</w:t>
      </w:r>
      <w:r>
        <w:rPr>
          <w:rFonts w:hint="eastAsia" w:ascii="仿宋" w:hAnsi="仿宋" w:eastAsia="仿宋" w:cs="仿宋"/>
          <w:color w:val="auto"/>
          <w:sz w:val="24"/>
          <w:highlight w:val="none"/>
          <w:lang w:eastAsia="zh-CN"/>
        </w:rPr>
        <w:t>品牌厂</w:t>
      </w:r>
      <w:r>
        <w:rPr>
          <w:rFonts w:hint="eastAsia" w:ascii="仿宋" w:hAnsi="仿宋" w:eastAsia="仿宋" w:cs="仿宋"/>
          <w:color w:val="auto"/>
          <w:sz w:val="24"/>
          <w:highlight w:val="none"/>
        </w:rPr>
        <w:t>商有责任提供有关设备包括各种数据，设备结构图和部件图的详细中文资料。但采购人监制并不解除</w:t>
      </w:r>
      <w:r>
        <w:rPr>
          <w:rFonts w:hint="eastAsia" w:ascii="仿宋" w:hAnsi="仿宋" w:eastAsia="仿宋" w:cs="仿宋"/>
          <w:color w:val="auto"/>
          <w:sz w:val="24"/>
          <w:highlight w:val="none"/>
          <w:lang w:eastAsia="zh-CN"/>
        </w:rPr>
        <w:t>品牌厂</w:t>
      </w:r>
      <w:r>
        <w:rPr>
          <w:rFonts w:hint="eastAsia" w:ascii="仿宋" w:hAnsi="仿宋" w:eastAsia="仿宋" w:cs="仿宋"/>
          <w:color w:val="auto"/>
          <w:sz w:val="24"/>
          <w:highlight w:val="none"/>
        </w:rPr>
        <w:t>商对所有产品在制造质量上应负的全部责任。</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（2）主要部件的检验都应在工厂内完成。采购人的工厂检验并不解除</w:t>
      </w:r>
      <w:r>
        <w:rPr>
          <w:rFonts w:hint="eastAsia" w:ascii="仿宋" w:hAnsi="仿宋" w:eastAsia="仿宋" w:cs="仿宋"/>
          <w:color w:val="auto"/>
          <w:sz w:val="24"/>
          <w:highlight w:val="none"/>
          <w:lang w:eastAsia="zh-CN"/>
        </w:rPr>
        <w:t>品牌厂</w:t>
      </w:r>
      <w:r>
        <w:rPr>
          <w:rFonts w:hint="eastAsia" w:ascii="仿宋" w:hAnsi="仿宋" w:eastAsia="仿宋" w:cs="仿宋"/>
          <w:color w:val="auto"/>
          <w:sz w:val="24"/>
          <w:highlight w:val="none"/>
        </w:rPr>
        <w:t>商对所有产品在制造质量上应负的全部责任。</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、数量调整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采购人保留在签约时调整部分方案及定购设备数量和服务的权力，投标人应对系统方案中设备和服务明细报价，施工设计变更后发生的数量增减，按投标单价不变的前提下进行调整，双方不得拒绝。</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提供申请，采购人确认后实施。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、运输、保管、保险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负责设备材料货到现场或采购人指定的地点过程中的全部运输，包括装卸车、货物现场的搬运。</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（2）货物在项目安装调试验收合格前的保险由</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负责，</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负责其派出的现场服务人员人身意外保险。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、安装、调试及验收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应派经采购人认可的有经验和能力、具有相应资质的技术人员，负责系统设备安装工作，在设备安装期间应充分了解设备安装进度要求，保证施工质量，解决施工中出现的技术问题。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负责设备的安装、调试、验收。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（2）调试所需专用工具设施物料由</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自备、自费运到现场，完工后自费搬走。</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）货物的拆箱、调试等各项工作由中标人负责，但必须在招标人指定人员的参与下进行。在实际实施前必须先经</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人同意方可进行。调试的原始记录须经各方签字后作为验收的文件之一。</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所有的招标货物应按照国家有关技术标准在制造厂检查和试验合格，以表明其运行性能、安全性能以及货物材料和结构的完整性。</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）安装</w:t>
      </w:r>
      <w:r>
        <w:rPr>
          <w:rFonts w:hint="eastAsia" w:ascii="仿宋" w:hAnsi="仿宋" w:eastAsia="仿宋" w:cs="仿宋"/>
          <w:color w:val="auto"/>
          <w:sz w:val="24"/>
          <w:highlight w:val="none"/>
          <w:lang w:val="en-US" w:eastAsia="zh-CN"/>
        </w:rPr>
        <w:t>调试</w:t>
      </w:r>
      <w:r>
        <w:rPr>
          <w:rFonts w:hint="eastAsia" w:ascii="仿宋" w:hAnsi="仿宋" w:eastAsia="仿宋" w:cs="仿宋"/>
          <w:color w:val="auto"/>
          <w:sz w:val="24"/>
          <w:highlight w:val="none"/>
        </w:rPr>
        <w:t>完成后，</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验收按国家有关规范标准（国家无验收规范标准的按双方合同规定的要求）</w:t>
      </w:r>
      <w:r>
        <w:rPr>
          <w:rFonts w:hint="eastAsia" w:ascii="仿宋" w:hAnsi="仿宋" w:eastAsia="仿宋" w:cs="仿宋"/>
          <w:color w:val="auto"/>
          <w:sz w:val="24"/>
          <w:highlight w:val="none"/>
          <w:lang w:val="en-US" w:eastAsia="zh-CN"/>
        </w:rPr>
        <w:t>和招投标文件要求</w:t>
      </w:r>
      <w:r>
        <w:rPr>
          <w:rFonts w:hint="eastAsia" w:ascii="仿宋" w:hAnsi="仿宋" w:eastAsia="仿宋" w:cs="仿宋"/>
          <w:color w:val="auto"/>
          <w:sz w:val="24"/>
          <w:highlight w:val="none"/>
        </w:rPr>
        <w:t>进行。</w:t>
      </w:r>
      <w:r>
        <w:rPr>
          <w:rFonts w:hint="eastAsia" w:ascii="仿宋" w:hAnsi="仿宋" w:eastAsia="仿宋" w:cs="仿宋"/>
          <w:color w:val="auto"/>
          <w:sz w:val="24"/>
          <w:highlight w:val="none"/>
          <w:lang w:val="en-US" w:eastAsia="zh-CN"/>
        </w:rPr>
        <w:t>项目验收不合格的，</w:t>
      </w:r>
      <w:r>
        <w:rPr>
          <w:rFonts w:hint="eastAsia" w:ascii="仿宋" w:hAnsi="仿宋" w:eastAsia="仿宋" w:cs="仿宋"/>
          <w:color w:val="auto"/>
          <w:sz w:val="24"/>
          <w:highlight w:val="none"/>
        </w:rPr>
        <w:t>采购人可以退货，造成的损失由中标人承担。</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、技术培训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（1）供货方须对采购人的技术人员维修培训。供货方须在投标文件中提供详细的培训计划，包括培训内容、培训时间、培训费用等。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（2）供货方提供的负责培训的人员应具备同类工程五年以上的工程经验。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（3）技术培训费用应包含在投标总价中。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（4）技术培训至少应包括下列内容：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1）设备系统的原理、构成和功能的描述；</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2）常见故障的处理或排除；</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3）各设备系统（部件）的检查、调整和维护。</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对使用者关于设备基本操作技能的培训。</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、售后服务</w:t>
      </w:r>
    </w:p>
    <w:p>
      <w:pPr>
        <w:spacing w:line="440" w:lineRule="exact"/>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设备的质量保证期为现场安装完毕，经</w:t>
      </w:r>
      <w:r>
        <w:rPr>
          <w:rFonts w:hint="eastAsia" w:ascii="仿宋" w:hAnsi="仿宋" w:eastAsia="仿宋" w:cs="仿宋"/>
          <w:color w:val="auto"/>
          <w:sz w:val="24"/>
          <w:highlight w:val="none"/>
          <w:lang w:eastAsia="zh-CN"/>
        </w:rPr>
        <w:t>相关部门</w:t>
      </w:r>
      <w:r>
        <w:rPr>
          <w:rFonts w:hint="eastAsia" w:ascii="仿宋" w:hAnsi="仿宋" w:eastAsia="仿宋" w:cs="仿宋"/>
          <w:color w:val="auto"/>
          <w:sz w:val="24"/>
          <w:highlight w:val="none"/>
        </w:rPr>
        <w:t>验收合格并交付使用之后</w:t>
      </w:r>
      <w:r>
        <w:rPr>
          <w:rFonts w:hint="eastAsia" w:ascii="仿宋" w:hAnsi="仿宋" w:eastAsia="仿宋" w:cs="仿宋"/>
          <w:color w:val="auto"/>
          <w:sz w:val="24"/>
          <w:highlight w:val="none"/>
          <w:lang w:val="en-US" w:eastAsia="zh-CN"/>
        </w:rPr>
        <w:t>三年</w:t>
      </w:r>
      <w:r>
        <w:rPr>
          <w:rFonts w:hint="eastAsia" w:ascii="仿宋" w:hAnsi="仿宋" w:eastAsia="仿宋" w:cs="仿宋"/>
          <w:color w:val="auto"/>
          <w:sz w:val="24"/>
          <w:highlight w:val="none"/>
        </w:rPr>
        <w:t>（投标人可以根据自身的实际情况提供更长的更有竞争力的质量保证期，当投标人的承诺时间超过</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年时，按投标人承诺时间）。在此期间，投标人应免费处理因质量发生的故障，并进行正常保养。</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须设</w:t>
      </w:r>
      <w:r>
        <w:rPr>
          <w:rFonts w:hint="eastAsia" w:ascii="仿宋" w:hAnsi="仿宋" w:eastAsia="仿宋" w:cs="仿宋"/>
          <w:color w:val="auto"/>
          <w:sz w:val="24"/>
          <w:highlight w:val="none"/>
          <w:lang w:eastAsia="zh-CN"/>
        </w:rPr>
        <w:t>维修点</w:t>
      </w:r>
      <w:r>
        <w:rPr>
          <w:rFonts w:hint="eastAsia" w:ascii="仿宋" w:hAnsi="仿宋" w:eastAsia="仿宋" w:cs="仿宋"/>
          <w:color w:val="auto"/>
          <w:sz w:val="24"/>
          <w:highlight w:val="none"/>
        </w:rPr>
        <w:t>，以处理所有的维修服务，需提供24小时服务，而且维修人员需在接到维修电话后</w:t>
      </w:r>
      <w:r>
        <w:rPr>
          <w:rFonts w:hint="eastAsia" w:ascii="仿宋" w:hAnsi="仿宋" w:eastAsia="仿宋" w:cs="仿宋"/>
          <w:color w:val="auto"/>
          <w:sz w:val="24"/>
          <w:highlight w:val="none"/>
          <w:lang w:val="en-US" w:eastAsia="zh-CN"/>
        </w:rPr>
        <w:t>2小时</w:t>
      </w:r>
      <w:r>
        <w:rPr>
          <w:rFonts w:hint="eastAsia" w:ascii="仿宋" w:hAnsi="仿宋" w:eastAsia="仿宋" w:cs="仿宋"/>
          <w:color w:val="auto"/>
          <w:sz w:val="24"/>
          <w:highlight w:val="none"/>
        </w:rPr>
        <w:t>内赶到现场。维修点需提供足够的备件以适应使用人维修需求，供应商在接到使用人保修电话后</w:t>
      </w:r>
      <w:r>
        <w:rPr>
          <w:rFonts w:hint="eastAsia" w:ascii="仿宋" w:hAnsi="仿宋" w:eastAsia="仿宋" w:cs="仿宋"/>
          <w:color w:val="auto"/>
          <w:sz w:val="24"/>
          <w:highlight w:val="none"/>
          <w:lang w:val="en-US" w:eastAsia="zh-CN"/>
        </w:rPr>
        <w:t>2小时</w:t>
      </w:r>
      <w:r>
        <w:rPr>
          <w:rFonts w:hint="eastAsia" w:ascii="仿宋" w:hAnsi="仿宋" w:eastAsia="仿宋" w:cs="仿宋"/>
          <w:color w:val="auto"/>
          <w:sz w:val="24"/>
          <w:highlight w:val="none"/>
        </w:rPr>
        <w:t>内响应并到达现场，无重大故障的</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小时内排除故障。重大故障的，必须采取临时调换等措施，以保证使用人的正常使用。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维修服务人员均经过良好的系统技术培训，并有丰富的现场维修经验。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、安全生产</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在施工过程中应严格遵守国家安全生产规范，杜绝安全事故的发生。如发生安全生产事故由</w:t>
      </w: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承担一切责任，与采购人无关。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、备品备件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按商务条款要求提供备品备件，备品备件</w:t>
      </w:r>
      <w:r>
        <w:rPr>
          <w:rFonts w:hint="eastAsia" w:ascii="仿宋" w:hAnsi="仿宋" w:eastAsia="仿宋" w:cs="仿宋"/>
          <w:color w:val="auto"/>
          <w:sz w:val="24"/>
          <w:highlight w:val="none"/>
        </w:rPr>
        <w:t>价格包括在报价总价内。</w:t>
      </w:r>
    </w:p>
    <w:p>
      <w:pPr>
        <w:spacing w:line="440" w:lineRule="exact"/>
        <w:ind w:firstLine="480" w:firstLineChars="200"/>
        <w:rPr>
          <w:rFonts w:hint="eastAsia" w:ascii="仿宋" w:hAnsi="仿宋" w:eastAsia="仿宋" w:cs="仿宋"/>
          <w:color w:val="auto"/>
          <w:sz w:val="24"/>
          <w:highlight w:val="none"/>
        </w:rPr>
      </w:pP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[二]、招标范围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嵊州市</w:t>
      </w:r>
      <w:r>
        <w:rPr>
          <w:rFonts w:hint="eastAsia" w:ascii="仿宋" w:hAnsi="仿宋" w:eastAsia="仿宋" w:cs="仿宋"/>
          <w:color w:val="auto"/>
          <w:sz w:val="24"/>
          <w:highlight w:val="none"/>
          <w:lang w:val="en-US" w:eastAsia="zh-CN"/>
        </w:rPr>
        <w:t>教育体育局多媒体设备</w:t>
      </w:r>
      <w:r>
        <w:rPr>
          <w:rFonts w:hint="eastAsia" w:ascii="仿宋" w:hAnsi="仿宋" w:eastAsia="仿宋" w:cs="仿宋"/>
          <w:color w:val="auto"/>
          <w:sz w:val="24"/>
          <w:highlight w:val="none"/>
          <w:lang w:eastAsia="zh-CN"/>
        </w:rPr>
        <w:t>采购项目</w:t>
      </w:r>
      <w:r>
        <w:rPr>
          <w:rFonts w:hint="eastAsia" w:ascii="仿宋" w:hAnsi="仿宋" w:eastAsia="仿宋" w:cs="仿宋"/>
          <w:color w:val="auto"/>
          <w:sz w:val="24"/>
          <w:highlight w:val="none"/>
          <w:lang w:val="en-US" w:eastAsia="zh-CN"/>
        </w:rPr>
        <w:t>含</w:t>
      </w:r>
      <w:r>
        <w:rPr>
          <w:rFonts w:hint="eastAsia" w:ascii="仿宋" w:hAnsi="仿宋" w:eastAsia="仿宋" w:cs="仿宋"/>
          <w:color w:val="auto"/>
          <w:sz w:val="24"/>
          <w:highlight w:val="none"/>
        </w:rPr>
        <w:t>供货、运输、卸货、安装、调试、保养、验收、交付使用、培训、售后服务。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投标人须接受资格审查和认可。采购人将从设备制造、供货、运输、安装及调试、试运行、培训、验收费、售后服务、技术培训、维修等各方面对投标人进行全方位的综合考核。</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中标人</w:t>
      </w:r>
      <w:r>
        <w:rPr>
          <w:rFonts w:hint="eastAsia" w:ascii="仿宋" w:hAnsi="仿宋" w:eastAsia="仿宋" w:cs="仿宋"/>
          <w:color w:val="auto"/>
          <w:sz w:val="24"/>
          <w:highlight w:val="none"/>
        </w:rPr>
        <w:t>的工作范围需包含但不局限于以下内容：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（1）设备的制造与供货；</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）设备及部件的包装、保护、运输及仓储和现场内运输；</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）设备的安装及部件的就位和固定；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）设备调试；</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）实施过程中与其他供应商的协调和配合；</w:t>
      </w:r>
      <w:r>
        <w:rPr>
          <w:rFonts w:hint="eastAsia" w:ascii="仿宋" w:hAnsi="仿宋" w:eastAsia="仿宋" w:cs="仿宋"/>
          <w:color w:val="auto"/>
          <w:sz w:val="24"/>
          <w:highlight w:val="none"/>
          <w:lang w:val="en-US" w:eastAsia="zh-CN"/>
        </w:rPr>
        <w:t xml:space="preserve">  </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）验收</w:t>
      </w:r>
      <w:r>
        <w:rPr>
          <w:rFonts w:hint="eastAsia" w:ascii="仿宋" w:hAnsi="仿宋" w:eastAsia="仿宋" w:cs="仿宋"/>
          <w:color w:val="auto"/>
          <w:sz w:val="24"/>
          <w:highlight w:val="none"/>
          <w:lang w:val="en-US" w:eastAsia="zh-CN"/>
        </w:rPr>
        <w:t>资料准备；</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）无偿提供在招标文件中未明确但验收要求具备的一切条件、设施、设备及物料；</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）技术培训；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）售后服务。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投标人应承担招标范围内所有工作的一切费用（包括验收费用）和风险。</w:t>
      </w:r>
    </w:p>
    <w:p>
      <w:pPr>
        <w:spacing w:line="440" w:lineRule="exact"/>
        <w:ind w:firstLine="482" w:firstLineChars="200"/>
        <w:contextualSpacing/>
        <w:rPr>
          <w:rFonts w:hint="eastAsia" w:ascii="仿宋" w:hAnsi="仿宋" w:eastAsia="仿宋" w:cs="仿宋"/>
          <w:snapToGrid w:val="0"/>
          <w:color w:val="auto"/>
          <w:kern w:val="24"/>
          <w:sz w:val="24"/>
          <w:szCs w:val="24"/>
        </w:rPr>
      </w:pPr>
      <w:r>
        <w:rPr>
          <w:rFonts w:hint="eastAsia" w:ascii="仿宋" w:hAnsi="仿宋" w:eastAsia="仿宋" w:cs="仿宋"/>
          <w:b/>
          <w:color w:val="auto"/>
          <w:sz w:val="24"/>
          <w:highlight w:val="none"/>
        </w:rPr>
        <w:t>[三]、</w:t>
      </w:r>
      <w:bookmarkEnd w:id="55"/>
      <w:bookmarkEnd w:id="56"/>
      <w:bookmarkEnd w:id="57"/>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snapToGrid w:val="0"/>
          <w:color w:val="auto"/>
          <w:kern w:val="24"/>
          <w:sz w:val="24"/>
          <w:szCs w:val="24"/>
        </w:rPr>
        <w:t>触控一体机（</w:t>
      </w:r>
      <w:r>
        <w:rPr>
          <w:rFonts w:hint="eastAsia" w:ascii="仿宋" w:hAnsi="仿宋" w:eastAsia="仿宋" w:cs="仿宋"/>
          <w:snapToGrid w:val="0"/>
          <w:color w:val="auto"/>
          <w:kern w:val="24"/>
          <w:sz w:val="24"/>
          <w:szCs w:val="24"/>
          <w:lang w:val="en-US" w:eastAsia="zh-CN"/>
        </w:rPr>
        <w:t>125</w:t>
      </w:r>
      <w:r>
        <w:rPr>
          <w:rFonts w:hint="eastAsia" w:ascii="仿宋" w:hAnsi="仿宋" w:eastAsia="仿宋" w:cs="仿宋"/>
          <w:snapToGrid w:val="0"/>
          <w:color w:val="auto"/>
          <w:kern w:val="24"/>
          <w:sz w:val="24"/>
          <w:szCs w:val="24"/>
        </w:rPr>
        <w:t>台）</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8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41" w:type="pct"/>
            <w:vAlign w:val="center"/>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整体设计要求</w:t>
            </w:r>
          </w:p>
        </w:tc>
        <w:tc>
          <w:tcPr>
            <w:tcW w:w="4441" w:type="pct"/>
            <w:vAlign w:val="center"/>
          </w:tcPr>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1、内置一体化设计，外部无任何可见内部功能模块的连接线。</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2、采用喇叭前置设计，适合与推拉式书写板配合安装。</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3、触控一体机钢化玻璃厚度≤4mm，钢化玻璃表面硬度≥9H。</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4、电源：AC 220V±20%。</w:t>
            </w:r>
          </w:p>
          <w:p>
            <w:pPr>
              <w:widowControl w:val="0"/>
              <w:spacing w:line="400" w:lineRule="exact"/>
              <w:jc w:val="both"/>
              <w:rPr>
                <w:rFonts w:hint="eastAsia" w:ascii="仿宋" w:hAnsi="仿宋" w:eastAsia="仿宋" w:cs="仿宋"/>
                <w:color w:val="auto"/>
                <w:lang w:val="en-US" w:eastAsia="zh-CN"/>
              </w:rPr>
            </w:pPr>
            <w:r>
              <w:rPr>
                <w:rFonts w:hint="eastAsia" w:ascii="仿宋" w:hAnsi="仿宋" w:eastAsia="仿宋" w:cs="仿宋"/>
                <w:color w:val="auto"/>
              </w:rPr>
              <w:t>5、符合浪涌抗扰度试验标准（GB/T17626.5-2019），保障产品在雷雨天气也能正常使用，确保课堂教学不受环境影响。</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6、信号端子口具有抗静电干扰功能,确保外连设备间的信号稳定及设备安全。</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7、整机物理按键前置，配备</w:t>
            </w:r>
            <w:r>
              <w:rPr>
                <w:rFonts w:hint="eastAsia" w:ascii="仿宋" w:hAnsi="仿宋" w:eastAsia="仿宋" w:cs="仿宋"/>
                <w:color w:val="auto"/>
                <w:lang w:val="zh-CN"/>
              </w:rPr>
              <w:t>≥</w:t>
            </w:r>
            <w:r>
              <w:rPr>
                <w:rFonts w:hint="eastAsia" w:ascii="仿宋" w:hAnsi="仿宋" w:eastAsia="仿宋" w:cs="仿宋"/>
                <w:color w:val="auto"/>
              </w:rPr>
              <w:t>2路双通道USB接口，且不少于1路USB3.0，前置USB接口可支持Windows及Android系统下被读取，适合与推拉式书写板搭配使用，方便拓展其他多媒体应用或给外部设备供电、充电。</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8、设备自带嵌入式操作系统，在该系统下可实现白板书写、PPT 课件播放、多媒体播放、网页浏览，与内置/外接电脑后形成双系统冗余备份。</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9、内置触摸中控功能菜单，将设备常用的信号源切换、声音调节、亮度对比度调整、图像分辨率调节等功能整合到同一中控菜单下。</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10、支持终端投屏，不需借助任何外接设备，可支持同一网段下的手机、平板与电脑的屏幕画面在交互智能平板进行显示。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显示系统参数</w:t>
            </w:r>
          </w:p>
        </w:tc>
        <w:tc>
          <w:tcPr>
            <w:tcW w:w="4441" w:type="pct"/>
            <w:vAlign w:val="center"/>
          </w:tcPr>
          <w:p>
            <w:pPr>
              <w:widowControl w:val="0"/>
              <w:spacing w:line="400" w:lineRule="exact"/>
              <w:jc w:val="both"/>
              <w:rPr>
                <w:rFonts w:hint="eastAsia" w:ascii="仿宋" w:hAnsi="仿宋" w:eastAsia="仿宋" w:cs="仿宋"/>
                <w:color w:val="auto"/>
                <w:szCs w:val="21"/>
                <w:lang w:val="en-US" w:eastAsia="zh-CN"/>
              </w:rPr>
            </w:pPr>
            <w:r>
              <w:rPr>
                <w:rFonts w:hint="eastAsia" w:ascii="仿宋" w:hAnsi="仿宋" w:eastAsia="仿宋" w:cs="仿宋"/>
                <w:color w:val="auto"/>
                <w:szCs w:val="21"/>
              </w:rPr>
              <w:t>★</w:t>
            </w:r>
            <w:r>
              <w:rPr>
                <w:rFonts w:hint="eastAsia" w:ascii="仿宋" w:hAnsi="仿宋" w:eastAsia="仿宋" w:cs="仿宋"/>
                <w:color w:val="auto"/>
                <w:szCs w:val="21"/>
                <w:lang w:val="zh-CN"/>
              </w:rPr>
              <w:t>1、屏幕要求：采用86寸A规或A+LED液晶屏，高清4K屏体，图像物理分辨率达3840×2160，显示性能满足UD超高清点对点要求。</w:t>
            </w:r>
          </w:p>
          <w:p>
            <w:pPr>
              <w:widowControl w:val="0"/>
              <w:spacing w:line="400" w:lineRule="exact"/>
              <w:jc w:val="both"/>
              <w:rPr>
                <w:rFonts w:hint="eastAsia" w:ascii="仿宋" w:hAnsi="仿宋" w:eastAsia="仿宋" w:cs="仿宋"/>
                <w:color w:val="auto"/>
                <w:szCs w:val="21"/>
                <w:lang w:val="zh-CN"/>
              </w:rPr>
            </w:pPr>
            <w:r>
              <w:rPr>
                <w:rFonts w:hint="eastAsia" w:ascii="仿宋" w:hAnsi="仿宋" w:eastAsia="仿宋" w:cs="仿宋"/>
                <w:color w:val="auto"/>
                <w:szCs w:val="21"/>
                <w:lang w:val="zh-CN"/>
              </w:rPr>
              <w:t>2、显示比例16:9，可视角度≥178°。</w:t>
            </w:r>
          </w:p>
          <w:p>
            <w:pPr>
              <w:widowControl w:val="0"/>
              <w:spacing w:line="400" w:lineRule="exact"/>
              <w:jc w:val="both"/>
              <w:rPr>
                <w:rFonts w:hint="eastAsia" w:ascii="仿宋" w:hAnsi="仿宋" w:eastAsia="仿宋" w:cs="仿宋"/>
                <w:color w:val="auto"/>
                <w:szCs w:val="21"/>
                <w:lang w:val="zh-CN"/>
              </w:rPr>
            </w:pPr>
            <w:r>
              <w:rPr>
                <w:rFonts w:hint="eastAsia" w:ascii="仿宋" w:hAnsi="仿宋" w:eastAsia="仿宋" w:cs="仿宋"/>
                <w:color w:val="auto"/>
                <w:szCs w:val="21"/>
                <w:lang w:val="zh-CN"/>
              </w:rPr>
              <w:t>3、</w:t>
            </w:r>
            <w:r>
              <w:rPr>
                <w:rFonts w:hint="eastAsia" w:ascii="仿宋" w:hAnsi="仿宋" w:eastAsia="仿宋" w:cs="仿宋"/>
                <w:color w:val="auto"/>
                <w:szCs w:val="21"/>
              </w:rPr>
              <w:t>接口：≥2路HDMI、≥1路RS232、≥4路USB（包含前置≥1路Type-C、≥2路USB）、≥1路音频、≥1路TOUCH USB</w:t>
            </w:r>
            <w:r>
              <w:rPr>
                <w:rFonts w:hint="eastAsia" w:ascii="仿宋" w:hAnsi="仿宋" w:eastAsia="仿宋" w:cs="仿宋"/>
                <w:color w:val="auto"/>
                <w:szCs w:val="21"/>
                <w:lang w:val="zh-CN"/>
              </w:rPr>
              <w:t>。</w:t>
            </w:r>
          </w:p>
          <w:p>
            <w:pPr>
              <w:widowControl w:val="0"/>
              <w:spacing w:line="400" w:lineRule="exact"/>
              <w:jc w:val="both"/>
              <w:rPr>
                <w:rFonts w:hint="eastAsia" w:ascii="仿宋" w:hAnsi="仿宋" w:eastAsia="仿宋" w:cs="仿宋"/>
                <w:color w:val="auto"/>
                <w:szCs w:val="21"/>
                <w:lang w:val="zh-CN"/>
              </w:rPr>
            </w:pPr>
            <w:r>
              <w:rPr>
                <w:rFonts w:hint="eastAsia" w:ascii="仿宋" w:hAnsi="仿宋" w:eastAsia="仿宋" w:cs="仿宋"/>
                <w:color w:val="auto"/>
                <w:szCs w:val="21"/>
              </w:rPr>
              <w:t>4</w:t>
            </w:r>
            <w:r>
              <w:rPr>
                <w:rFonts w:hint="eastAsia" w:ascii="仿宋" w:hAnsi="仿宋" w:eastAsia="仿宋" w:cs="仿宋"/>
                <w:color w:val="auto"/>
                <w:szCs w:val="21"/>
                <w:lang w:val="zh-CN"/>
              </w:rPr>
              <w:t>、喇叭输出功率：≥1</w:t>
            </w:r>
            <w:r>
              <w:rPr>
                <w:rFonts w:hint="eastAsia" w:ascii="仿宋" w:hAnsi="仿宋" w:eastAsia="仿宋" w:cs="仿宋"/>
                <w:color w:val="auto"/>
                <w:szCs w:val="21"/>
              </w:rPr>
              <w:t>0</w:t>
            </w:r>
            <w:r>
              <w:rPr>
                <w:rFonts w:hint="eastAsia" w:ascii="仿宋" w:hAnsi="仿宋" w:eastAsia="仿宋" w:cs="仿宋"/>
                <w:color w:val="auto"/>
                <w:szCs w:val="21"/>
                <w:lang w:val="zh-CN"/>
              </w:rPr>
              <w:t>瓦</w:t>
            </w:r>
            <w:r>
              <w:rPr>
                <w:rFonts w:hint="eastAsia" w:ascii="仿宋" w:hAnsi="仿宋" w:eastAsia="仿宋" w:cs="仿宋"/>
                <w:color w:val="auto"/>
                <w:szCs w:val="21"/>
              </w:rPr>
              <w:t>×</w:t>
            </w:r>
            <w:r>
              <w:rPr>
                <w:rFonts w:hint="eastAsia" w:ascii="仿宋" w:hAnsi="仿宋" w:eastAsia="仿宋" w:cs="仿宋"/>
                <w:color w:val="auto"/>
                <w:szCs w:val="21"/>
                <w:lang w:val="zh-CN"/>
              </w:rPr>
              <w:t>2</w:t>
            </w:r>
            <w:r>
              <w:rPr>
                <w:rFonts w:hint="eastAsia" w:ascii="仿宋" w:hAnsi="仿宋" w:eastAsia="仿宋" w:cs="仿宋"/>
                <w:color w:val="auto"/>
                <w:szCs w:val="21"/>
              </w:rPr>
              <w:t>双声道</w:t>
            </w:r>
            <w:r>
              <w:rPr>
                <w:rFonts w:hint="eastAsia" w:ascii="仿宋" w:hAnsi="仿宋" w:eastAsia="仿宋" w:cs="仿宋"/>
                <w:color w:val="auto"/>
                <w:szCs w:val="21"/>
                <w:lang w:val="zh-CN"/>
              </w:rPr>
              <w:t xml:space="preserve"> 和20瓦</w:t>
            </w:r>
            <w:r>
              <w:rPr>
                <w:rFonts w:hint="eastAsia" w:ascii="仿宋" w:hAnsi="仿宋" w:eastAsia="仿宋" w:cs="仿宋"/>
                <w:color w:val="auto"/>
                <w:szCs w:val="21"/>
              </w:rPr>
              <w:t>×2</w:t>
            </w:r>
            <w:r>
              <w:rPr>
                <w:rFonts w:hint="eastAsia" w:ascii="仿宋" w:hAnsi="仿宋" w:eastAsia="仿宋" w:cs="仿宋"/>
                <w:color w:val="auto"/>
                <w:szCs w:val="21"/>
                <w:lang w:val="zh-CN"/>
              </w:rPr>
              <w:t>内置低音炮。</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5</w:t>
            </w:r>
            <w:r>
              <w:rPr>
                <w:rFonts w:hint="eastAsia" w:ascii="仿宋" w:hAnsi="仿宋" w:eastAsia="仿宋" w:cs="仿宋"/>
                <w:color w:val="auto"/>
                <w:szCs w:val="21"/>
                <w:lang w:val="zh-CN"/>
              </w:rPr>
              <w:t>、整机屏幕色域值≥NTSC 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嵌入式系统</w:t>
            </w:r>
          </w:p>
        </w:tc>
        <w:tc>
          <w:tcPr>
            <w:tcW w:w="4441" w:type="pct"/>
            <w:vAlign w:val="center"/>
          </w:tcPr>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1、嵌入式系统为安卓14.0或以上，内存不低于2GB，存储空间不低于8GB。</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2、无PC状态下，嵌入式互动白板支持十笔或以上书写及手势擦除，支持十种以上图形工具，白板书写内容可导出PDF格式。</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3、整机可一键进行硬件自检，包括且不限于对系统硬盘、系统内存、触摸框、PC模块、光感系统等模块进行检测，并针对不同模块给出问题原因提示。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电脑模块参数</w:t>
            </w:r>
          </w:p>
        </w:tc>
        <w:tc>
          <w:tcPr>
            <w:tcW w:w="4441" w:type="pct"/>
            <w:vAlign w:val="center"/>
          </w:tcPr>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1、采用模块化电脑方案，抽拉内置式，PC模块可完全插入整机，保护PC模块不易受教室灰尘影响；</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2、可快速拆卸电脑模块，采用40pin或以上接口，与大屏无单独接线；</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3、处理器：八核及以上，主频2.0GHz及以上；</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4、内存：16G DDR4及以上；</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 xml:space="preserve">5、硬盘：内置 </w:t>
            </w:r>
            <w:r>
              <w:rPr>
                <w:rFonts w:hint="eastAsia" w:ascii="仿宋" w:hAnsi="仿宋" w:eastAsia="仿宋" w:cs="仿宋"/>
                <w:color w:val="auto"/>
                <w:szCs w:val="21"/>
                <w:lang w:val="en-US" w:eastAsia="zh-CN"/>
              </w:rPr>
              <w:t>256</w:t>
            </w:r>
            <w:r>
              <w:rPr>
                <w:rFonts w:hint="eastAsia" w:ascii="仿宋" w:hAnsi="仿宋" w:eastAsia="仿宋" w:cs="仿宋"/>
                <w:color w:val="auto"/>
                <w:szCs w:val="21"/>
              </w:rPr>
              <w:t>GB SSD固态硬盘 ；</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6、显卡：集成显卡或以上；</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7、内置（或整机一体化设计）双频WiFi：支持IEEE 802.11 a/b/g/n/ac/ax标准；</w:t>
            </w:r>
          </w:p>
          <w:p>
            <w:pPr>
              <w:widowControl w:val="0"/>
              <w:spacing w:line="400" w:lineRule="exact"/>
              <w:jc w:val="both"/>
              <w:rPr>
                <w:rFonts w:hint="eastAsia" w:ascii="仿宋" w:hAnsi="仿宋" w:eastAsia="仿宋" w:cs="仿宋"/>
                <w:bCs/>
                <w:color w:val="auto"/>
                <w:szCs w:val="21"/>
              </w:rPr>
            </w:pPr>
            <w:r>
              <w:rPr>
                <w:rFonts w:hint="eastAsia" w:ascii="仿宋" w:hAnsi="仿宋" w:eastAsia="仿宋" w:cs="仿宋"/>
                <w:color w:val="auto"/>
                <w:szCs w:val="21"/>
              </w:rPr>
              <w:t>8、内置网卡：10M/100M/1000M；；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触控参数</w:t>
            </w:r>
          </w:p>
        </w:tc>
        <w:tc>
          <w:tcPr>
            <w:tcW w:w="4441" w:type="pct"/>
            <w:vAlign w:val="center"/>
          </w:tcPr>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1、采用非接触式红外二十点或以上触控技术，支持二十点或以上同时书写；</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2、书写方式：手指或笔触摸；</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3、触摸精准性：整机屏幕触摸有效识别高度小于 3.5mm,，即触摸物体距离玻璃外表面高度低于 3.5mm 时，触摸屏识别为点击操作，保证触摸精准。</w:t>
            </w:r>
          </w:p>
          <w:p>
            <w:pPr>
              <w:widowControl w:val="0"/>
              <w:spacing w:line="400" w:lineRule="exact"/>
              <w:jc w:val="both"/>
              <w:rPr>
                <w:rFonts w:hint="eastAsia" w:ascii="仿宋" w:hAnsi="仿宋" w:eastAsia="仿宋" w:cs="仿宋"/>
                <w:color w:val="auto"/>
                <w:szCs w:val="21"/>
                <w:lang w:val="en-US" w:eastAsia="zh-CN"/>
              </w:rPr>
            </w:pPr>
            <w:r>
              <w:rPr>
                <w:rFonts w:hint="eastAsia" w:ascii="仿宋" w:hAnsi="仿宋" w:eastAsia="仿宋" w:cs="仿宋"/>
                <w:color w:val="auto"/>
                <w:szCs w:val="21"/>
              </w:rPr>
              <w:t>4、触摸屏具有防遮挡功能，触摸接收器在单点或多点遮挡后仍能正常书写，确保老师课堂操作的流畅性。</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szCs w:val="21"/>
              </w:rPr>
              <w:t>5、触摸屏具有防强光干扰功能，能在照度100K LUX（勒克司）环境下仍能正常工作。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58"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教学书写软件</w:t>
            </w:r>
          </w:p>
        </w:tc>
        <w:tc>
          <w:tcPr>
            <w:tcW w:w="4441" w:type="pct"/>
            <w:vAlign w:val="center"/>
          </w:tcPr>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书写软件：</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1、书写：提供硬笔、毛笔、荧光笔、智能笔、激光笔、竹笔、对象笔、纹理笔。</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2、板擦：支持点擦除、区域擦除及全部擦除（清页操作）,并可支持在选择笔工具状态下直接通过手势识别动作实现擦除。</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3、多点支持：支持同时对两个或以上的图片、音视频、图形对象进行多点缩放与旋转功能，支持三点以上同时书写操作。</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4、边写边擦：支持两到三个人在选择书写工具的状态下同时书写和擦除，互不影响，方便不同学生在屏幕上同时书写。</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5、文本输入：提供键盘输入文本，并可对文本内容统一编辑与排版。</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6、手写识别：支持手写中文与英文自动识别。</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7、手势操作：在书写状态下，支持多种手势的快捷操作，如选择对象、漫游、擦除等。</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8、页面无限漫游：支持页面书写区域无限延伸，提供页面缩略图导航，可快速定位书写区域，同时也支持对整个页面或局部进行放大和缩小。</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9、多学科模式支持：提供语文、数学、英语、物理、化学教学场景，在各学科教学场景中提供相应的教学工具。</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10、教学小工具：提供遮幕、日历、时钟、聚光灯、屏幕截图、放大镜、计算器、屏幕录制、板中板、实物展台等教学展示的辅助功能；屏幕截图提供全屏截图、矩形截图、任意区域截图。</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rPr>
              <w:t>11、Office 集成：提供 PPT、Word、Excel 文档的嵌入打开，演示、批注，及批注保存功能。</w:t>
            </w:r>
          </w:p>
          <w:p>
            <w:pPr>
              <w:widowControl w:val="0"/>
              <w:spacing w:line="400" w:lineRule="exact"/>
              <w:jc w:val="both"/>
              <w:rPr>
                <w:rFonts w:hint="eastAsia" w:ascii="仿宋" w:hAnsi="仿宋" w:eastAsia="仿宋" w:cs="仿宋"/>
                <w:color w:val="auto"/>
                <w:szCs w:val="21"/>
              </w:rPr>
            </w:pPr>
            <w:r>
              <w:rPr>
                <w:rFonts w:hint="eastAsia" w:ascii="仿宋" w:hAnsi="仿宋" w:eastAsia="仿宋" w:cs="仿宋"/>
                <w:color w:val="auto"/>
              </w:rPr>
              <w:t>12、要求配备教学资源：资源必须符合新课程标准，涵盖新课标多种教材版本，根据学科知识点教学要求，规范分类各教学资源素材。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58" w:type="pct"/>
            <w:vAlign w:val="center"/>
          </w:tcPr>
          <w:p>
            <w:pPr>
              <w:spacing w:line="400" w:lineRule="exact"/>
              <w:jc w:val="center"/>
              <w:rPr>
                <w:rFonts w:hint="eastAsia" w:ascii="仿宋" w:hAnsi="仿宋" w:eastAsia="仿宋" w:cs="仿宋"/>
                <w:color w:val="auto"/>
              </w:rPr>
            </w:pPr>
            <w:r>
              <w:rPr>
                <w:rFonts w:hint="eastAsia" w:ascii="仿宋" w:hAnsi="仿宋" w:eastAsia="仿宋" w:cs="仿宋"/>
                <w:color w:val="auto"/>
              </w:rPr>
              <w:t>AI应用</w:t>
            </w:r>
          </w:p>
        </w:tc>
        <w:tc>
          <w:tcPr>
            <w:tcW w:w="4441" w:type="pct"/>
          </w:tcPr>
          <w:p>
            <w:pPr>
              <w:widowControl w:val="0"/>
              <w:spacing w:line="400" w:lineRule="exact"/>
              <w:jc w:val="both"/>
              <w:rPr>
                <w:rFonts w:hint="eastAsia" w:ascii="仿宋" w:hAnsi="仿宋" w:eastAsia="仿宋" w:cs="仿宋"/>
                <w:color w:val="auto"/>
                <w:kern w:val="2"/>
                <w:szCs w:val="21"/>
              </w:rPr>
            </w:pPr>
            <w:r>
              <w:rPr>
                <w:rFonts w:hint="eastAsia" w:ascii="仿宋" w:hAnsi="仿宋" w:eastAsia="仿宋" w:cs="仿宋"/>
                <w:color w:val="auto"/>
                <w:kern w:val="2"/>
                <w:szCs w:val="21"/>
              </w:rPr>
              <w:t>1.包含AI支持的备授课端；</w:t>
            </w:r>
          </w:p>
          <w:p>
            <w:pPr>
              <w:tabs>
                <w:tab w:val="right" w:leader="dot" w:pos="8268"/>
              </w:tabs>
              <w:spacing w:line="400" w:lineRule="exact"/>
              <w:ind w:left="0"/>
              <w:rPr>
                <w:rFonts w:hint="eastAsia" w:ascii="仿宋" w:hAnsi="仿宋" w:eastAsia="仿宋" w:cs="仿宋"/>
                <w:color w:val="auto"/>
                <w:kern w:val="2"/>
                <w:szCs w:val="21"/>
              </w:rPr>
            </w:pPr>
            <w:r>
              <w:rPr>
                <w:rFonts w:hint="eastAsia" w:ascii="仿宋" w:hAnsi="仿宋" w:eastAsia="仿宋" w:cs="仿宋"/>
                <w:color w:val="auto"/>
                <w:kern w:val="2"/>
                <w:szCs w:val="21"/>
              </w:rPr>
              <w:t>2.通过内置的教学知识库，基于新课程标准，快速生成涵盖教学目标、教学重难点、教学活动设计等完整的教学设计和与之相对应的教学课件；</w:t>
            </w:r>
          </w:p>
          <w:p>
            <w:pPr>
              <w:spacing w:line="400" w:lineRule="exact"/>
              <w:rPr>
                <w:rFonts w:hint="eastAsia" w:ascii="仿宋" w:hAnsi="仿宋" w:eastAsia="仿宋" w:cs="仿宋"/>
                <w:color w:val="auto"/>
                <w:kern w:val="2"/>
                <w:szCs w:val="21"/>
              </w:rPr>
            </w:pPr>
            <w:r>
              <w:rPr>
                <w:rFonts w:hint="eastAsia" w:ascii="仿宋" w:hAnsi="仿宋" w:eastAsia="仿宋" w:cs="仿宋"/>
                <w:color w:val="auto"/>
                <w:kern w:val="2"/>
                <w:szCs w:val="21"/>
              </w:rPr>
              <w:t>3.根据用户要求，AI生成相应内容，包括:生成图片、生成思维导图、生成实践作业、生成表格等；</w:t>
            </w:r>
          </w:p>
          <w:p>
            <w:pPr>
              <w:widowControl w:val="0"/>
              <w:spacing w:line="400" w:lineRule="exact"/>
              <w:jc w:val="both"/>
              <w:rPr>
                <w:rFonts w:hint="eastAsia" w:ascii="仿宋" w:hAnsi="仿宋" w:eastAsia="仿宋" w:cs="仿宋"/>
                <w:color w:val="auto"/>
              </w:rPr>
            </w:pPr>
            <w:r>
              <w:rPr>
                <w:rFonts w:hint="eastAsia" w:ascii="仿宋" w:hAnsi="仿宋" w:eastAsia="仿宋" w:cs="仿宋"/>
                <w:color w:val="auto"/>
                <w:kern w:val="2"/>
                <w:szCs w:val="21"/>
                <w:shd w:val="clear" w:color="auto" w:fill="auto"/>
              </w:rPr>
              <w:t>▲</w:t>
            </w:r>
            <w:r>
              <w:rPr>
                <w:rFonts w:hint="eastAsia" w:ascii="仿宋" w:hAnsi="仿宋" w:eastAsia="仿宋" w:cs="仿宋"/>
                <w:color w:val="auto"/>
                <w:kern w:val="2"/>
                <w:szCs w:val="21"/>
                <w:shd w:val="clear" w:color="auto" w:fill="auto"/>
                <w:lang w:val="en-US" w:eastAsia="zh-CN"/>
              </w:rPr>
              <w:t>4</w:t>
            </w:r>
            <w:r>
              <w:rPr>
                <w:rFonts w:hint="eastAsia" w:ascii="仿宋" w:hAnsi="仿宋" w:eastAsia="仿宋" w:cs="仿宋"/>
                <w:color w:val="auto"/>
                <w:kern w:val="2"/>
                <w:szCs w:val="21"/>
                <w:shd w:val="clear" w:color="auto" w:fill="auto"/>
              </w:rPr>
              <w:t>.</w:t>
            </w:r>
            <w:r>
              <w:rPr>
                <w:rFonts w:hint="eastAsia" w:ascii="仿宋" w:hAnsi="仿宋" w:eastAsia="仿宋" w:cs="仿宋"/>
                <w:color w:val="auto"/>
                <w:kern w:val="2"/>
                <w:szCs w:val="21"/>
                <w:shd w:val="clear" w:color="auto" w:fill="auto"/>
                <w:lang w:val="en-US" w:eastAsia="zh-CN"/>
              </w:rPr>
              <w:t>AI应用</w:t>
            </w:r>
            <w:r>
              <w:rPr>
                <w:rFonts w:hint="eastAsia" w:ascii="仿宋" w:hAnsi="仿宋" w:eastAsia="仿宋" w:cs="仿宋"/>
                <w:color w:val="auto"/>
                <w:kern w:val="2"/>
                <w:szCs w:val="21"/>
                <w:shd w:val="clear" w:color="auto" w:fill="auto"/>
              </w:rPr>
              <w:t>软件为交互式触控一体机生产厂家自主开发（投标文件中提供软件著作权证书复印件）。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58" w:type="pct"/>
            <w:tcBorders>
              <w:bottom w:val="single" w:color="000000" w:sz="4" w:space="0"/>
            </w:tcBorders>
            <w:vAlign w:val="center"/>
          </w:tcPr>
          <w:p>
            <w:pPr>
              <w:spacing w:line="400" w:lineRule="exact"/>
              <w:jc w:val="center"/>
              <w:rPr>
                <w:rFonts w:hint="eastAsia" w:ascii="仿宋" w:hAnsi="仿宋" w:eastAsia="仿宋" w:cs="仿宋"/>
                <w:bCs w:val="0"/>
                <w:color w:val="auto"/>
                <w:szCs w:val="21"/>
              </w:rPr>
            </w:pPr>
            <w:r>
              <w:rPr>
                <w:rFonts w:hint="eastAsia" w:ascii="仿宋" w:hAnsi="仿宋" w:eastAsia="仿宋" w:cs="仿宋"/>
                <w:bCs w:val="0"/>
                <w:color w:val="auto"/>
                <w:szCs w:val="21"/>
              </w:rPr>
              <w:t>键盘鼠标</w:t>
            </w:r>
          </w:p>
        </w:tc>
        <w:tc>
          <w:tcPr>
            <w:tcW w:w="4441" w:type="pct"/>
            <w:tcBorders>
              <w:bottom w:val="single" w:color="000000" w:sz="4" w:space="0"/>
            </w:tcBorders>
            <w:vAlign w:val="center"/>
          </w:tcPr>
          <w:p>
            <w:pPr>
              <w:widowControl/>
              <w:spacing w:line="400" w:lineRule="exact"/>
              <w:jc w:val="left"/>
              <w:rPr>
                <w:rFonts w:hint="eastAsia" w:ascii="仿宋" w:hAnsi="仿宋" w:eastAsia="仿宋" w:cs="仿宋"/>
                <w:color w:val="auto"/>
                <w:kern w:val="2"/>
                <w:szCs w:val="21"/>
              </w:rPr>
            </w:pPr>
            <w:r>
              <w:rPr>
                <w:rFonts w:hint="eastAsia" w:ascii="仿宋" w:hAnsi="仿宋" w:eastAsia="仿宋" w:cs="仿宋"/>
                <w:color w:val="auto"/>
                <w:kern w:val="2"/>
                <w:szCs w:val="21"/>
              </w:rPr>
              <w:t>配备2.4GHz无线键盘鼠标套装。</w:t>
            </w:r>
          </w:p>
        </w:tc>
      </w:tr>
    </w:tbl>
    <w:p>
      <w:pPr>
        <w:spacing w:line="440" w:lineRule="exact"/>
        <w:ind w:firstLine="420" w:firstLineChars="200"/>
        <w:contextualSpacing/>
        <w:rPr>
          <w:rFonts w:hint="eastAsia" w:ascii="仿宋" w:hAnsi="仿宋" w:eastAsia="仿宋" w:cs="仿宋"/>
          <w:color w:val="auto"/>
          <w:szCs w:val="21"/>
        </w:rPr>
      </w:pPr>
    </w:p>
    <w:p>
      <w:pPr>
        <w:spacing w:line="440" w:lineRule="exact"/>
        <w:ind w:firstLine="480" w:firstLineChars="200"/>
        <w:contextualSpacing/>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、实物展台（</w:t>
      </w:r>
      <w:r>
        <w:rPr>
          <w:rFonts w:hint="eastAsia" w:ascii="仿宋" w:hAnsi="仿宋" w:eastAsia="仿宋" w:cs="仿宋"/>
          <w:color w:val="auto"/>
          <w:sz w:val="24"/>
          <w:szCs w:val="24"/>
          <w:lang w:val="en-US" w:eastAsia="zh-CN"/>
        </w:rPr>
        <w:t>119</w:t>
      </w:r>
      <w:r>
        <w:rPr>
          <w:rFonts w:hint="eastAsia" w:ascii="仿宋" w:hAnsi="仿宋" w:eastAsia="仿宋" w:cs="仿宋"/>
          <w:color w:val="auto"/>
          <w:sz w:val="24"/>
          <w:szCs w:val="24"/>
        </w:rPr>
        <w:t>台）</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8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3" w:type="pct"/>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36" w:type="pct"/>
            <w:vAlign w:val="center"/>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实物展台</w:t>
            </w:r>
          </w:p>
        </w:tc>
        <w:tc>
          <w:tcPr>
            <w:tcW w:w="4436" w:type="pct"/>
            <w:vAlign w:val="center"/>
          </w:tcPr>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1、金属材质，壁挂式安装，内置机箱锁，防盗防破坏。</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2、无锐角无利边设计，塑胶包裹，有效防止师生碰伤、划伤。</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3、采用USB3.0高速接口，单根USB线实现供电、高清数据传输需求。</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4、采用800万像素自动对焦摄像头，可拍摄≥A4画幅。</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5、展台按键可实现一键启动展台画面、画面放大、画面缩小、画面旋转、拍照截图等功能，同时也支持在一体机或电脑上进行同样的操作。</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6、整机自带均光罩LED补光灯，光线不足时可进行亮度补充，亮度均匀。</w:t>
            </w:r>
          </w:p>
          <w:p>
            <w:pPr>
              <w:spacing w:line="400" w:lineRule="exact"/>
              <w:rPr>
                <w:rFonts w:hint="eastAsia" w:ascii="仿宋" w:hAnsi="仿宋" w:eastAsia="仿宋" w:cs="仿宋"/>
                <w:bCs/>
                <w:color w:val="auto"/>
                <w:szCs w:val="21"/>
              </w:rPr>
            </w:pPr>
            <w:r>
              <w:rPr>
                <w:rFonts w:hint="eastAsia" w:ascii="仿宋" w:hAnsi="仿宋" w:eastAsia="仿宋" w:cs="仿宋"/>
                <w:bCs/>
                <w:color w:val="auto"/>
                <w:szCs w:val="21"/>
              </w:rPr>
              <w:t>7、支持对展台实时画面进行放大、缩小、旋转、自适应、满屏、截图、锁定等操作。</w:t>
            </w:r>
          </w:p>
          <w:p>
            <w:pPr>
              <w:spacing w:line="400" w:lineRule="exact"/>
              <w:rPr>
                <w:rFonts w:hint="eastAsia" w:ascii="仿宋" w:hAnsi="仿宋" w:eastAsia="仿宋" w:cs="仿宋"/>
                <w:color w:val="auto"/>
                <w:szCs w:val="21"/>
              </w:rPr>
            </w:pPr>
            <w:r>
              <w:rPr>
                <w:rFonts w:hint="eastAsia" w:ascii="仿宋" w:hAnsi="仿宋" w:eastAsia="仿宋" w:cs="仿宋"/>
                <w:bCs/>
                <w:color w:val="auto"/>
                <w:szCs w:val="21"/>
              </w:rPr>
              <w:t>8、支持展台画面实时批注，预设多种笔划粗细及颜色供选择，且支持对展台画面联同批注内容进行同步缩放、移动。</w:t>
            </w:r>
          </w:p>
        </w:tc>
      </w:tr>
    </w:tbl>
    <w:p>
      <w:pPr>
        <w:pStyle w:val="27"/>
        <w:rPr>
          <w:rFonts w:hint="eastAsia" w:ascii="仿宋" w:hAnsi="仿宋" w:eastAsia="仿宋" w:cs="仿宋"/>
          <w:color w:val="auto"/>
        </w:rPr>
      </w:pPr>
    </w:p>
    <w:p>
      <w:pPr>
        <w:spacing w:line="440" w:lineRule="exact"/>
        <w:ind w:firstLine="480" w:firstLineChars="200"/>
        <w:contextualSpacing/>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、推拉式书写板（</w:t>
      </w:r>
      <w:r>
        <w:rPr>
          <w:rFonts w:hint="eastAsia" w:ascii="仿宋" w:hAnsi="仿宋" w:eastAsia="仿宋" w:cs="仿宋"/>
          <w:color w:val="auto"/>
          <w:sz w:val="24"/>
          <w:szCs w:val="24"/>
          <w:lang w:val="en-US" w:eastAsia="zh-CN"/>
        </w:rPr>
        <w:t>119</w:t>
      </w:r>
      <w:r>
        <w:rPr>
          <w:rFonts w:hint="eastAsia" w:ascii="仿宋" w:hAnsi="仿宋" w:eastAsia="仿宋" w:cs="仿宋"/>
          <w:color w:val="auto"/>
          <w:sz w:val="24"/>
          <w:szCs w:val="24"/>
        </w:rPr>
        <w:t>套）</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8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9" w:type="pct"/>
            <w:vAlign w:val="center"/>
          </w:tcPr>
          <w:p>
            <w:pPr>
              <w:spacing w:line="44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90" w:type="pct"/>
            <w:vAlign w:val="center"/>
          </w:tcPr>
          <w:p>
            <w:pPr>
              <w:spacing w:line="44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0" w:hRule="atLeast"/>
        </w:trPr>
        <w:tc>
          <w:tcPr>
            <w:tcW w:w="509" w:type="pct"/>
            <w:vAlign w:val="center"/>
          </w:tcPr>
          <w:p>
            <w:pPr>
              <w:spacing w:line="440" w:lineRule="exact"/>
              <w:jc w:val="center"/>
              <w:rPr>
                <w:rFonts w:hint="eastAsia" w:ascii="仿宋" w:hAnsi="仿宋" w:eastAsia="仿宋" w:cs="仿宋"/>
                <w:color w:val="auto"/>
                <w:szCs w:val="21"/>
              </w:rPr>
            </w:pPr>
            <w:r>
              <w:rPr>
                <w:rFonts w:hint="eastAsia" w:ascii="仿宋" w:hAnsi="仿宋" w:eastAsia="仿宋" w:cs="仿宋"/>
                <w:color w:val="auto"/>
                <w:szCs w:val="21"/>
              </w:rPr>
              <w:t>推拉式书写板</w:t>
            </w:r>
          </w:p>
        </w:tc>
        <w:tc>
          <w:tcPr>
            <w:tcW w:w="4490" w:type="pct"/>
            <w:vAlign w:val="center"/>
          </w:tcPr>
          <w:p>
            <w:pPr>
              <w:spacing w:line="440" w:lineRule="exact"/>
              <w:rPr>
                <w:rFonts w:hint="eastAsia" w:ascii="仿宋" w:hAnsi="仿宋" w:eastAsia="仿宋" w:cs="仿宋"/>
                <w:color w:val="auto"/>
                <w:szCs w:val="21"/>
              </w:rPr>
            </w:pPr>
            <w:r>
              <w:rPr>
                <w:rFonts w:hint="eastAsia" w:ascii="仿宋" w:hAnsi="仿宋" w:eastAsia="仿宋" w:cs="仿宋"/>
                <w:color w:val="auto"/>
                <w:szCs w:val="21"/>
              </w:rPr>
              <w:t>1、</w:t>
            </w:r>
            <w:r>
              <w:rPr>
                <w:rFonts w:hint="eastAsia" w:ascii="仿宋" w:hAnsi="仿宋" w:eastAsia="仿宋" w:cs="仿宋"/>
                <w:color w:val="auto"/>
                <w:szCs w:val="21"/>
              </w:rPr>
              <w:tab/>
            </w:r>
            <w:r>
              <w:rPr>
                <w:rFonts w:hint="eastAsia" w:ascii="仿宋" w:hAnsi="仿宋" w:eastAsia="仿宋" w:cs="仿宋"/>
                <w:color w:val="auto"/>
                <w:szCs w:val="21"/>
              </w:rPr>
              <w:t>结构：双层结构，外挂式推拉绿板由大框及四块≥1000 mm×1200mm的书写板组成；多媒体触控一体机中置，开闭自如，基本尺寸：≥4300mm×1250mm左右（注：书写板的大小，允许用户根据实际的安装位置和一体机尺寸做出变更）。</w:t>
            </w:r>
          </w:p>
          <w:p>
            <w:pPr>
              <w:spacing w:line="440" w:lineRule="exact"/>
              <w:contextualSpacing/>
              <w:rPr>
                <w:rFonts w:hint="eastAsia" w:ascii="仿宋" w:hAnsi="仿宋" w:eastAsia="仿宋" w:cs="仿宋"/>
                <w:color w:val="auto"/>
                <w:szCs w:val="21"/>
              </w:rPr>
            </w:pPr>
            <w:r>
              <w:rPr>
                <w:rFonts w:hint="eastAsia" w:ascii="仿宋" w:hAnsi="仿宋" w:eastAsia="仿宋" w:cs="仿宋"/>
                <w:color w:val="auto"/>
                <w:szCs w:val="21"/>
              </w:rPr>
              <w:t>2、书写面：采用烤漆板技术，优质烤漆板面，墨绿色、亚光。</w:t>
            </w:r>
          </w:p>
          <w:p>
            <w:pPr>
              <w:spacing w:line="440" w:lineRule="exact"/>
              <w:contextualSpacing/>
              <w:rPr>
                <w:rFonts w:hint="eastAsia" w:ascii="仿宋" w:hAnsi="仿宋" w:eastAsia="仿宋" w:cs="仿宋"/>
                <w:color w:val="auto"/>
                <w:szCs w:val="21"/>
              </w:rPr>
            </w:pPr>
            <w:r>
              <w:rPr>
                <w:rFonts w:hint="eastAsia" w:ascii="仿宋" w:hAnsi="仿宋" w:eastAsia="仿宋" w:cs="仿宋"/>
                <w:color w:val="auto"/>
                <w:szCs w:val="21"/>
              </w:rPr>
              <w:t>3、内芯材料：防潮、吸音、高强度聚苯乙烯泡沫板（泡沫板适应长期潮湿环境），厚度≥15mm。</w:t>
            </w:r>
          </w:p>
          <w:p>
            <w:pPr>
              <w:spacing w:line="440" w:lineRule="exact"/>
              <w:contextualSpacing/>
              <w:rPr>
                <w:rFonts w:hint="eastAsia" w:ascii="仿宋" w:hAnsi="仿宋" w:eastAsia="仿宋" w:cs="仿宋"/>
                <w:color w:val="auto"/>
                <w:szCs w:val="21"/>
              </w:rPr>
            </w:pPr>
            <w:r>
              <w:rPr>
                <w:rFonts w:hint="eastAsia" w:ascii="仿宋" w:hAnsi="仿宋" w:eastAsia="仿宋" w:cs="仿宋"/>
                <w:color w:val="auto"/>
                <w:szCs w:val="21"/>
              </w:rPr>
              <w:t>4、背板：采用优质彩钢板，流水线一次成型</w:t>
            </w:r>
            <w:r>
              <w:rPr>
                <w:rFonts w:hint="eastAsia" w:ascii="仿宋" w:hAnsi="仿宋" w:eastAsia="仿宋" w:cs="仿宋"/>
                <w:color w:val="auto"/>
                <w:szCs w:val="21"/>
                <w:lang w:eastAsia="zh-CN"/>
              </w:rPr>
              <w:t>，</w:t>
            </w:r>
            <w:r>
              <w:rPr>
                <w:rFonts w:hint="eastAsia" w:ascii="仿宋" w:hAnsi="仿宋" w:eastAsia="仿宋" w:cs="仿宋"/>
                <w:color w:val="auto"/>
                <w:szCs w:val="21"/>
              </w:rPr>
              <w:t>设有</w:t>
            </w:r>
            <w:r>
              <w:rPr>
                <w:rFonts w:hint="eastAsia" w:ascii="仿宋" w:hAnsi="仿宋" w:eastAsia="仿宋" w:cs="仿宋"/>
                <w:color w:val="auto"/>
                <w:szCs w:val="21"/>
                <w:lang w:val="en-US" w:eastAsia="zh-CN"/>
              </w:rPr>
              <w:t>多个</w:t>
            </w:r>
            <w:r>
              <w:rPr>
                <w:rFonts w:hint="eastAsia" w:ascii="仿宋" w:hAnsi="仿宋" w:eastAsia="仿宋" w:cs="仿宋"/>
                <w:color w:val="auto"/>
                <w:szCs w:val="21"/>
              </w:rPr>
              <w:t>的加强凹槽</w:t>
            </w:r>
            <w:r>
              <w:rPr>
                <w:rFonts w:hint="eastAsia" w:ascii="仿宋" w:hAnsi="仿宋" w:eastAsia="仿宋" w:cs="仿宋"/>
                <w:color w:val="auto"/>
                <w:szCs w:val="21"/>
                <w:lang w:eastAsia="zh-CN"/>
              </w:rPr>
              <w:t>。</w:t>
            </w:r>
          </w:p>
          <w:p>
            <w:pPr>
              <w:spacing w:line="440" w:lineRule="exact"/>
              <w:contextualSpacing/>
              <w:rPr>
                <w:rFonts w:hint="eastAsia" w:ascii="仿宋" w:hAnsi="仿宋" w:eastAsia="仿宋" w:cs="仿宋"/>
                <w:color w:val="auto"/>
                <w:szCs w:val="21"/>
              </w:rPr>
            </w:pPr>
            <w:r>
              <w:rPr>
                <w:rFonts w:hint="eastAsia" w:ascii="仿宋" w:hAnsi="仿宋" w:eastAsia="仿宋" w:cs="仿宋"/>
                <w:color w:val="auto"/>
                <w:szCs w:val="21"/>
              </w:rPr>
              <w:t>5、边框：横立框采用双层加强结构，厚1.2㎜</w:t>
            </w:r>
            <w:r>
              <w:rPr>
                <w:rFonts w:hint="eastAsia" w:ascii="仿宋" w:hAnsi="仿宋" w:eastAsia="仿宋" w:cs="仿宋"/>
                <w:color w:val="auto"/>
                <w:szCs w:val="21"/>
                <w:lang w:eastAsia="zh-CN"/>
              </w:rPr>
              <w:t>。</w:t>
            </w:r>
            <w:r>
              <w:rPr>
                <w:rFonts w:hint="eastAsia" w:ascii="仿宋" w:hAnsi="仿宋" w:eastAsia="仿宋" w:cs="仿宋"/>
                <w:color w:val="auto"/>
                <w:szCs w:val="21"/>
              </w:rPr>
              <w:t>包角材料采用抗老化高强度ABS工程塑料。（提供耐盐雾腐蚀性能10级的检测报告）</w:t>
            </w:r>
          </w:p>
          <w:p>
            <w:pPr>
              <w:spacing w:line="440" w:lineRule="exact"/>
              <w:contextualSpacing/>
              <w:rPr>
                <w:rFonts w:hint="eastAsia" w:ascii="仿宋" w:hAnsi="仿宋" w:eastAsia="仿宋" w:cs="仿宋"/>
                <w:color w:val="auto"/>
                <w:szCs w:val="21"/>
              </w:rPr>
            </w:pPr>
            <w:r>
              <w:rPr>
                <w:rFonts w:hint="eastAsia" w:ascii="仿宋" w:hAnsi="仿宋" w:eastAsia="仿宋" w:cs="仿宋"/>
                <w:color w:val="auto"/>
                <w:szCs w:val="21"/>
              </w:rPr>
              <w:t>6、书写板轨道及滑轮：整体采用铝合金，采用一体化槽轨道</w:t>
            </w:r>
            <w:r>
              <w:rPr>
                <w:rFonts w:hint="eastAsia" w:ascii="仿宋" w:hAnsi="仿宋" w:eastAsia="仿宋" w:cs="仿宋"/>
                <w:color w:val="auto"/>
                <w:szCs w:val="21"/>
                <w:lang w:eastAsia="zh-CN"/>
              </w:rPr>
              <w:t>，</w:t>
            </w:r>
            <w:r>
              <w:rPr>
                <w:rFonts w:hint="eastAsia" w:ascii="仿宋" w:hAnsi="仿宋" w:eastAsia="仿宋" w:cs="仿宋"/>
                <w:color w:val="auto"/>
                <w:szCs w:val="21"/>
              </w:rPr>
              <w:t>采用高精度轴承滑轮，每块滑动板上下各4组，每组不低于3个滑轮。滑动板、固定板均可在不拆除教学书写板整板的前提下，于正面单独拆卸，以便于维修/更换大屏OPS、内板。</w:t>
            </w:r>
          </w:p>
          <w:p>
            <w:pPr>
              <w:spacing w:line="440" w:lineRule="exact"/>
              <w:rPr>
                <w:rFonts w:hint="eastAsia" w:ascii="仿宋" w:hAnsi="仿宋" w:eastAsia="仿宋" w:cs="仿宋"/>
                <w:color w:val="auto"/>
                <w:szCs w:val="21"/>
              </w:rPr>
            </w:pPr>
          </w:p>
        </w:tc>
      </w:tr>
    </w:tbl>
    <w:p>
      <w:pPr>
        <w:spacing w:line="440" w:lineRule="exact"/>
        <w:ind w:firstLine="480" w:firstLineChars="200"/>
        <w:contextualSpacing/>
        <w:rPr>
          <w:rFonts w:hint="eastAsia" w:ascii="仿宋" w:hAnsi="仿宋" w:eastAsia="仿宋" w:cs="仿宋"/>
          <w:color w:val="auto"/>
          <w:sz w:val="24"/>
          <w:szCs w:val="24"/>
          <w:lang w:val="en-US" w:eastAsia="zh-CN"/>
        </w:rPr>
      </w:pPr>
    </w:p>
    <w:p>
      <w:pPr>
        <w:numPr>
          <w:ilvl w:val="0"/>
          <w:numId w:val="7"/>
        </w:numPr>
        <w:spacing w:line="440" w:lineRule="exact"/>
        <w:ind w:firstLine="480" w:firstLineChars="200"/>
        <w:contextualSpacing/>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移动支架（6个）</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66" w:type="pct"/>
            <w:vAlign w:val="center"/>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u w:val="none"/>
                <w:lang w:val="en-US" w:eastAsia="zh-CN"/>
              </w:rPr>
              <w:t>移动支架</w:t>
            </w:r>
          </w:p>
        </w:tc>
        <w:tc>
          <w:tcPr>
            <w:tcW w:w="4466" w:type="pct"/>
          </w:tcPr>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 xml:space="preserve">1.移动支架通过防倾斜实验，正负10度倾斜角度下不能翻倒；  </w:t>
            </w:r>
          </w:p>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2.承挂≥100kg，壁挂高度可调；整体高度≥15</w:t>
            </w:r>
            <w:r>
              <w:rPr>
                <w:rFonts w:hint="eastAsia" w:ascii="仿宋" w:hAnsi="仿宋" w:eastAsia="仿宋" w:cs="仿宋"/>
                <w:color w:val="auto"/>
                <w:szCs w:val="21"/>
                <w:lang w:val="en-US" w:eastAsia="zh-CN"/>
              </w:rPr>
              <w:t>00</w:t>
            </w:r>
            <w:r>
              <w:rPr>
                <w:rFonts w:hint="eastAsia" w:ascii="仿宋" w:hAnsi="仿宋" w:eastAsia="仿宋" w:cs="仿宋"/>
                <w:color w:val="auto"/>
                <w:szCs w:val="21"/>
              </w:rPr>
              <w:t xml:space="preserve">mm；  </w:t>
            </w:r>
          </w:p>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 xml:space="preserve">3.托盘承重25KG,模具设置U型置物槽，方便触摸笔、遥控器等物品放置；  </w:t>
            </w:r>
          </w:p>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 xml:space="preserve">4.支撑立杆采用壁厚≥1.8mm方通冷轧钢材质，表面黑色喷涂；  </w:t>
            </w:r>
          </w:p>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 xml:space="preserve">5.脚轮为万向轮，聚氨酯（PU）材质，均带脚刹，直径不小于∮75mm；  </w:t>
            </w:r>
          </w:p>
          <w:p>
            <w:pPr>
              <w:spacing w:line="400" w:lineRule="exact"/>
              <w:jc w:val="left"/>
              <w:rPr>
                <w:rFonts w:hint="eastAsia" w:ascii="仿宋" w:hAnsi="仿宋" w:eastAsia="仿宋" w:cs="仿宋"/>
                <w:color w:val="auto"/>
                <w:szCs w:val="21"/>
              </w:rPr>
            </w:pPr>
            <w:r>
              <w:rPr>
                <w:rFonts w:hint="eastAsia" w:ascii="仿宋" w:hAnsi="仿宋" w:eastAsia="仿宋" w:cs="仿宋"/>
                <w:color w:val="auto"/>
                <w:szCs w:val="21"/>
              </w:rPr>
              <w:t>脚轮中心距横向≥11</w:t>
            </w:r>
            <w:r>
              <w:rPr>
                <w:rFonts w:hint="eastAsia" w:ascii="仿宋" w:hAnsi="仿宋" w:eastAsia="仿宋" w:cs="仿宋"/>
                <w:color w:val="auto"/>
                <w:szCs w:val="21"/>
                <w:lang w:val="en-US" w:eastAsia="zh-CN"/>
              </w:rPr>
              <w:t>00</w:t>
            </w:r>
            <w:r>
              <w:rPr>
                <w:rFonts w:hint="eastAsia" w:ascii="仿宋" w:hAnsi="仿宋" w:eastAsia="仿宋" w:cs="仿宋"/>
                <w:color w:val="auto"/>
                <w:szCs w:val="21"/>
              </w:rPr>
              <w:t>mm，纵向≥6</w:t>
            </w:r>
            <w:r>
              <w:rPr>
                <w:rFonts w:hint="eastAsia" w:ascii="仿宋" w:hAnsi="仿宋" w:eastAsia="仿宋" w:cs="仿宋"/>
                <w:color w:val="auto"/>
                <w:szCs w:val="21"/>
                <w:lang w:val="en-US" w:eastAsia="zh-CN"/>
              </w:rPr>
              <w:t>00</w:t>
            </w:r>
            <w:r>
              <w:rPr>
                <w:rFonts w:hint="eastAsia" w:ascii="仿宋" w:hAnsi="仿宋" w:eastAsia="仿宋" w:cs="仿宋"/>
                <w:color w:val="auto"/>
                <w:szCs w:val="21"/>
              </w:rPr>
              <w:t>mm</w:t>
            </w:r>
          </w:p>
        </w:tc>
      </w:tr>
    </w:tbl>
    <w:p>
      <w:pPr>
        <w:numPr>
          <w:ilvl w:val="-1"/>
          <w:numId w:val="0"/>
        </w:numPr>
        <w:spacing w:line="440" w:lineRule="exact"/>
        <w:ind w:firstLine="0" w:firstLineChars="0"/>
        <w:contextualSpacing/>
        <w:rPr>
          <w:rFonts w:hint="eastAsia" w:ascii="仿宋" w:hAnsi="仿宋" w:eastAsia="仿宋" w:cs="仿宋"/>
          <w:color w:val="auto"/>
          <w:sz w:val="24"/>
          <w:szCs w:val="24"/>
          <w:lang w:val="en-US" w:eastAsia="zh-CN"/>
        </w:rPr>
      </w:pPr>
    </w:p>
    <w:p>
      <w:pPr>
        <w:spacing w:line="440" w:lineRule="exact"/>
        <w:ind w:firstLine="480" w:firstLineChars="200"/>
        <w:contextualSpacing/>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、多媒体集控管理</w:t>
      </w:r>
      <w:r>
        <w:rPr>
          <w:rFonts w:hint="eastAsia" w:ascii="仿宋" w:hAnsi="仿宋" w:eastAsia="仿宋" w:cs="仿宋"/>
          <w:color w:val="auto"/>
          <w:sz w:val="24"/>
          <w:szCs w:val="24"/>
          <w:lang w:val="en-US" w:eastAsia="zh-CN"/>
        </w:rPr>
        <w:t>系统</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125套</w:t>
      </w:r>
      <w:r>
        <w:rPr>
          <w:rFonts w:hint="eastAsia" w:ascii="仿宋" w:hAnsi="仿宋" w:eastAsia="仿宋" w:cs="仿宋"/>
          <w:color w:val="auto"/>
          <w:sz w:val="24"/>
          <w:szCs w:val="24"/>
        </w:rPr>
        <w:t>）</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66" w:type="pct"/>
            <w:vAlign w:val="center"/>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架构及管理</w:t>
            </w:r>
          </w:p>
        </w:tc>
        <w:tc>
          <w:tcPr>
            <w:tcW w:w="4466" w:type="pct"/>
          </w:tcPr>
          <w:p>
            <w:pPr>
              <w:spacing w:line="400" w:lineRule="exact"/>
              <w:rPr>
                <w:rFonts w:hint="eastAsia" w:ascii="仿宋" w:hAnsi="仿宋" w:eastAsia="仿宋" w:cs="仿宋"/>
                <w:color w:val="auto"/>
                <w:szCs w:val="21"/>
              </w:rPr>
            </w:pPr>
            <w:r>
              <w:rPr>
                <w:rFonts w:hint="eastAsia" w:ascii="仿宋" w:hAnsi="仿宋" w:eastAsia="仿宋" w:cs="仿宋"/>
                <w:color w:val="auto"/>
                <w:szCs w:val="21"/>
              </w:rPr>
              <w:t>1、为本项目所有多媒体触控一体机提供多媒体集控管理服务</w:t>
            </w:r>
            <w:r>
              <w:rPr>
                <w:rFonts w:hint="eastAsia" w:ascii="仿宋" w:hAnsi="仿宋" w:eastAsia="仿宋" w:cs="仿宋"/>
                <w:color w:val="auto"/>
                <w:szCs w:val="21"/>
                <w:lang w:eastAsia="zh-CN"/>
              </w:rPr>
              <w:t>。</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2、后台控制端采用 B/S 架构设计，可在 Windows、Linux、Android、IOS 等多种不同的操作系统上通过网页浏览器登录进行操作；</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3、安全管理：首次登录，切换环境登录时须验证用户身份，保障系统安全性。</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4、多层级用户管理：管理权限需支持区级、校级、校区级等多级分配，共同管理受控范围内设备；顶级管理员可查看普通管理员进行的操作，并可对普通管理员进行权限管理，根据不同管理员职责开放适当权限；并可对教室多媒体进行分组、分级控制管理。</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5、支持按照触控一体机安装的学校、年级、班级，自定义设置名称。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设备控制</w:t>
            </w:r>
          </w:p>
        </w:tc>
        <w:tc>
          <w:tcPr>
            <w:tcW w:w="4466" w:type="pct"/>
          </w:tcPr>
          <w:p>
            <w:pPr>
              <w:spacing w:line="400" w:lineRule="exact"/>
              <w:rPr>
                <w:rFonts w:hint="eastAsia" w:ascii="仿宋" w:hAnsi="仿宋" w:eastAsia="仿宋" w:cs="仿宋"/>
                <w:color w:val="auto"/>
              </w:rPr>
            </w:pPr>
            <w:r>
              <w:rPr>
                <w:rFonts w:hint="eastAsia" w:ascii="仿宋" w:hAnsi="仿宋" w:eastAsia="仿宋" w:cs="仿宋"/>
                <w:color w:val="auto"/>
              </w:rPr>
              <w:t>1、可查看设备基本信息：如：型号、系统、CPU、内存、操作系统版本等配置信息。</w:t>
            </w:r>
          </w:p>
          <w:p>
            <w:pPr>
              <w:spacing w:line="400" w:lineRule="exact"/>
              <w:rPr>
                <w:rFonts w:hint="eastAsia" w:ascii="仿宋" w:hAnsi="仿宋" w:eastAsia="仿宋" w:cs="仿宋"/>
                <w:color w:val="auto"/>
              </w:rPr>
            </w:pPr>
            <w:r>
              <w:rPr>
                <w:rFonts w:hint="eastAsia" w:ascii="仿宋" w:hAnsi="仿宋" w:eastAsia="仿宋" w:cs="仿宋"/>
                <w:color w:val="auto"/>
              </w:rPr>
              <w:t>2、可远程查看教育城域网内所有设备的状态，包括开关机状态、使用状态评估、整机温度、以及系统内存、硬盘空间等设备信息。</w:t>
            </w:r>
          </w:p>
          <w:p>
            <w:pPr>
              <w:spacing w:line="400" w:lineRule="exact"/>
              <w:rPr>
                <w:rFonts w:hint="eastAsia" w:ascii="仿宋" w:hAnsi="仿宋" w:eastAsia="仿宋" w:cs="仿宋"/>
                <w:color w:val="auto"/>
              </w:rPr>
            </w:pPr>
            <w:r>
              <w:rPr>
                <w:rFonts w:hint="eastAsia" w:ascii="仿宋" w:hAnsi="仿宋" w:eastAsia="仿宋" w:cs="仿宋"/>
                <w:color w:val="auto"/>
              </w:rPr>
              <w:t>3、可跨网段实时监控已连接设备桌面，支持同时查看多台设备；并可远程控制所选择设备桌面，方便用户管理。</w:t>
            </w:r>
          </w:p>
          <w:p>
            <w:pPr>
              <w:spacing w:line="400" w:lineRule="exact"/>
              <w:rPr>
                <w:rFonts w:hint="eastAsia" w:ascii="仿宋" w:hAnsi="仿宋" w:eastAsia="仿宋" w:cs="仿宋"/>
                <w:color w:val="auto"/>
              </w:rPr>
            </w:pPr>
            <w:r>
              <w:rPr>
                <w:rFonts w:hint="eastAsia" w:ascii="仿宋" w:hAnsi="仿宋" w:eastAsia="仿宋" w:cs="仿宋"/>
                <w:color w:val="auto"/>
              </w:rPr>
              <w:t>4、可批量对选定的受控设备进行关机、重启、切换通道、更改图像及声音模式、锁屏等操作；同时支持定时计划控制功能。</w:t>
            </w:r>
          </w:p>
          <w:p>
            <w:pPr>
              <w:spacing w:line="400" w:lineRule="exact"/>
              <w:rPr>
                <w:rFonts w:hint="eastAsia" w:ascii="仿宋" w:hAnsi="仿宋" w:eastAsia="仿宋" w:cs="仿宋"/>
                <w:color w:val="auto"/>
              </w:rPr>
            </w:pPr>
            <w:r>
              <w:rPr>
                <w:rFonts w:hint="eastAsia" w:ascii="仿宋" w:hAnsi="仿宋" w:eastAsia="仿宋" w:cs="仿宋"/>
                <w:color w:val="auto"/>
              </w:rPr>
              <w:t>5、支持查看控制列表，查看立即控制、定时计划、信息发布等内容；包含下发命令内容、执行时间、执行策略、已执行数量等内容。</w:t>
            </w:r>
          </w:p>
          <w:p>
            <w:pPr>
              <w:spacing w:line="400" w:lineRule="exact"/>
              <w:rPr>
                <w:rFonts w:hint="eastAsia" w:ascii="仿宋" w:hAnsi="仿宋" w:eastAsia="仿宋" w:cs="仿宋"/>
                <w:color w:val="auto"/>
              </w:rPr>
            </w:pPr>
            <w:r>
              <w:rPr>
                <w:rFonts w:hint="eastAsia" w:ascii="仿宋" w:hAnsi="仿宋" w:eastAsia="仿宋" w:cs="仿宋"/>
                <w:color w:val="auto"/>
              </w:rPr>
              <w:t>6、根据权限分级可远程对选定的已开机的教室多媒体即时发布多种类型媒体信息，并可设置相关参数。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报表统计</w:t>
            </w:r>
          </w:p>
        </w:tc>
        <w:tc>
          <w:tcPr>
            <w:tcW w:w="4466" w:type="pct"/>
          </w:tcPr>
          <w:p>
            <w:pPr>
              <w:spacing w:line="400" w:lineRule="exact"/>
              <w:rPr>
                <w:rFonts w:hint="eastAsia" w:ascii="仿宋" w:hAnsi="仿宋" w:eastAsia="仿宋" w:cs="仿宋"/>
                <w:color w:val="auto"/>
                <w:szCs w:val="21"/>
              </w:rPr>
            </w:pPr>
            <w:r>
              <w:rPr>
                <w:rFonts w:hint="eastAsia" w:ascii="仿宋" w:hAnsi="仿宋" w:eastAsia="仿宋" w:cs="仿宋"/>
                <w:color w:val="auto"/>
                <w:szCs w:val="21"/>
              </w:rPr>
              <w:t>1、以图文形式对设备的使用情况进行数据统计，可以按照一定时间周期进行统计，也支持按日、周、月进行统计；</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2、统计内容包括设备数量、设备开机率、设备开机时长、软件使用活跃度、设备活跃度排行、设备使用时长分布、设备在线数量等，支持以统计图表显示及以Excel格式导出；</w:t>
            </w:r>
          </w:p>
          <w:p>
            <w:pPr>
              <w:numPr>
                <w:ilvl w:val="-1"/>
                <w:numId w:val="0"/>
              </w:numPr>
              <w:spacing w:line="400" w:lineRule="exact"/>
              <w:ind w:left="0" w:firstLine="0"/>
              <w:rPr>
                <w:rFonts w:hint="eastAsia" w:ascii="仿宋" w:hAnsi="仿宋" w:eastAsia="仿宋" w:cs="仿宋"/>
                <w:color w:val="auto"/>
                <w:szCs w:val="21"/>
              </w:rPr>
            </w:pPr>
            <w:r>
              <w:rPr>
                <w:rFonts w:hint="eastAsia" w:ascii="仿宋" w:hAnsi="仿宋" w:eastAsia="仿宋" w:cs="仿宋"/>
                <w:color w:val="auto"/>
                <w:szCs w:val="21"/>
                <w:lang w:val="en-US" w:eastAsia="zh-CN"/>
              </w:rPr>
              <w:t>3、</w:t>
            </w:r>
            <w:r>
              <w:rPr>
                <w:rFonts w:hint="eastAsia" w:ascii="仿宋" w:hAnsi="仿宋" w:eastAsia="仿宋" w:cs="仿宋"/>
                <w:color w:val="auto"/>
                <w:szCs w:val="21"/>
              </w:rPr>
              <w:t>区级管理员可查看该区域下所有学校设备数据，校级管理员可查看本校所有设备数据。</w:t>
            </w:r>
          </w:p>
        </w:tc>
      </w:tr>
    </w:tbl>
    <w:p>
      <w:pPr>
        <w:pStyle w:val="27"/>
        <w:rPr>
          <w:rFonts w:hint="eastAsia" w:ascii="仿宋" w:hAnsi="仿宋" w:eastAsia="仿宋" w:cs="仿宋"/>
          <w:color w:val="auto"/>
        </w:rPr>
      </w:pPr>
    </w:p>
    <w:p>
      <w:pPr>
        <w:spacing w:line="440" w:lineRule="exact"/>
        <w:ind w:firstLine="480" w:firstLineChars="200"/>
        <w:contextualSpacing/>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6、系统安装</w:t>
      </w:r>
      <w:r>
        <w:rPr>
          <w:rFonts w:hint="eastAsia" w:ascii="仿宋" w:hAnsi="仿宋" w:eastAsia="仿宋" w:cs="仿宋"/>
          <w:color w:val="auto"/>
          <w:sz w:val="24"/>
          <w:szCs w:val="24"/>
        </w:rPr>
        <w:t>集成（</w:t>
      </w:r>
      <w:r>
        <w:rPr>
          <w:rFonts w:hint="eastAsia" w:ascii="仿宋" w:hAnsi="仿宋" w:eastAsia="仿宋" w:cs="仿宋"/>
          <w:color w:val="auto"/>
          <w:sz w:val="24"/>
          <w:szCs w:val="24"/>
          <w:lang w:val="en-US" w:eastAsia="zh-CN"/>
        </w:rPr>
        <w:t>125</w:t>
      </w:r>
      <w:r>
        <w:rPr>
          <w:rFonts w:hint="eastAsia" w:ascii="仿宋" w:hAnsi="仿宋" w:eastAsia="仿宋" w:cs="仿宋"/>
          <w:color w:val="auto"/>
          <w:sz w:val="24"/>
          <w:szCs w:val="24"/>
        </w:rPr>
        <w:t>套）</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8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pct"/>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技术指标</w:t>
            </w:r>
          </w:p>
        </w:tc>
        <w:tc>
          <w:tcPr>
            <w:tcW w:w="4466" w:type="pct"/>
            <w:vAlign w:val="center"/>
          </w:tcPr>
          <w:p>
            <w:pPr>
              <w:spacing w:line="400" w:lineRule="exact"/>
              <w:jc w:val="center"/>
              <w:rPr>
                <w:rFonts w:hint="eastAsia" w:ascii="仿宋" w:hAnsi="仿宋" w:eastAsia="仿宋" w:cs="仿宋"/>
                <w:b/>
                <w:bCs/>
                <w:color w:val="auto"/>
                <w:szCs w:val="21"/>
              </w:rPr>
            </w:pPr>
            <w:r>
              <w:rPr>
                <w:rFonts w:hint="eastAsia" w:ascii="仿宋" w:hAnsi="仿宋" w:eastAsia="仿宋" w:cs="仿宋"/>
                <w:b/>
                <w:bCs/>
                <w:color w:val="auto"/>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人工及辅材</w:t>
            </w:r>
          </w:p>
        </w:tc>
        <w:tc>
          <w:tcPr>
            <w:tcW w:w="4466" w:type="pct"/>
            <w:vAlign w:val="center"/>
          </w:tcPr>
          <w:p>
            <w:pPr>
              <w:widowControl w:val="0"/>
              <w:numPr>
                <w:ilvl w:val="0"/>
                <w:numId w:val="8"/>
              </w:numPr>
              <w:spacing w:line="400" w:lineRule="exact"/>
              <w:rPr>
                <w:rFonts w:hint="eastAsia" w:ascii="仿宋" w:hAnsi="仿宋" w:eastAsia="仿宋" w:cs="仿宋"/>
                <w:color w:val="auto"/>
                <w:szCs w:val="21"/>
              </w:rPr>
            </w:pPr>
            <w:r>
              <w:rPr>
                <w:rFonts w:hint="eastAsia" w:ascii="仿宋" w:hAnsi="仿宋" w:eastAsia="仿宋" w:cs="仿宋"/>
                <w:color w:val="auto"/>
                <w:szCs w:val="21"/>
              </w:rPr>
              <w:t>本项目每套多媒体系统集成的所有辅材费用，包括音频线、视频线、数据线、网线、线槽、电源线、控制信号线等所有工程所需辅材；触控一体机、实物展示台等电源线统一连接到空气开关（可统一开关整套设备电源）；</w:t>
            </w:r>
          </w:p>
          <w:p>
            <w:pPr>
              <w:widowControl w:val="0"/>
              <w:numPr>
                <w:ilvl w:val="0"/>
                <w:numId w:val="8"/>
              </w:numPr>
              <w:spacing w:line="400" w:lineRule="exact"/>
              <w:rPr>
                <w:rFonts w:hint="eastAsia" w:ascii="仿宋" w:hAnsi="仿宋" w:eastAsia="仿宋" w:cs="仿宋"/>
                <w:color w:val="auto"/>
                <w:szCs w:val="21"/>
              </w:rPr>
            </w:pPr>
            <w:r>
              <w:rPr>
                <w:rFonts w:hint="eastAsia" w:ascii="仿宋" w:hAnsi="仿宋" w:eastAsia="仿宋" w:cs="仿宋"/>
                <w:color w:val="auto"/>
                <w:szCs w:val="21"/>
              </w:rPr>
              <w:t>包含项目实施过程中所产生的物流、搬运、安装、打孔、开槽、清理等所有附属开支；</w:t>
            </w:r>
          </w:p>
          <w:p>
            <w:pPr>
              <w:widowControl w:val="0"/>
              <w:numPr>
                <w:ilvl w:val="0"/>
                <w:numId w:val="8"/>
              </w:numPr>
              <w:spacing w:line="400" w:lineRule="exact"/>
              <w:rPr>
                <w:rFonts w:hint="eastAsia" w:ascii="仿宋" w:hAnsi="仿宋" w:eastAsia="仿宋" w:cs="仿宋"/>
                <w:color w:val="auto"/>
                <w:szCs w:val="21"/>
              </w:rPr>
            </w:pPr>
            <w:r>
              <w:rPr>
                <w:rFonts w:hint="eastAsia" w:ascii="仿宋" w:hAnsi="仿宋" w:eastAsia="仿宋" w:cs="仿宋"/>
                <w:color w:val="auto"/>
                <w:szCs w:val="21"/>
              </w:rPr>
              <w:t>包含确保项目按时完工所需的所有工程技术人员劳务费及相关费用支出。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3" w:type="pct"/>
            <w:vAlign w:val="center"/>
          </w:tcPr>
          <w:p>
            <w:pPr>
              <w:spacing w:line="400" w:lineRule="exact"/>
              <w:jc w:val="center"/>
              <w:rPr>
                <w:rFonts w:hint="eastAsia" w:ascii="仿宋" w:hAnsi="仿宋" w:eastAsia="仿宋" w:cs="仿宋"/>
                <w:color w:val="auto"/>
                <w:szCs w:val="21"/>
              </w:rPr>
            </w:pPr>
            <w:r>
              <w:rPr>
                <w:rFonts w:hint="eastAsia" w:ascii="仿宋" w:hAnsi="仿宋" w:eastAsia="仿宋" w:cs="仿宋"/>
                <w:color w:val="auto"/>
                <w:szCs w:val="21"/>
              </w:rPr>
              <w:t>安装调试</w:t>
            </w:r>
          </w:p>
        </w:tc>
        <w:tc>
          <w:tcPr>
            <w:tcW w:w="4466" w:type="pct"/>
            <w:vAlign w:val="center"/>
          </w:tcPr>
          <w:p>
            <w:pPr>
              <w:spacing w:line="400" w:lineRule="exact"/>
              <w:rPr>
                <w:rFonts w:hint="eastAsia" w:ascii="仿宋" w:hAnsi="仿宋" w:eastAsia="仿宋" w:cs="仿宋"/>
                <w:color w:val="auto"/>
                <w:szCs w:val="21"/>
              </w:rPr>
            </w:pPr>
            <w:r>
              <w:rPr>
                <w:rFonts w:hint="eastAsia" w:ascii="仿宋" w:hAnsi="仿宋" w:eastAsia="仿宋" w:cs="仿宋"/>
                <w:color w:val="auto"/>
                <w:szCs w:val="21"/>
              </w:rPr>
              <w:t>1、承担多媒体设备采购项目涉及的软硬件和系统的安装、调试和配置工作；</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2、完成教室原旧设备拆除并迁移到学校指定地点；</w:t>
            </w:r>
          </w:p>
          <w:p>
            <w:pPr>
              <w:spacing w:line="400" w:lineRule="exact"/>
              <w:rPr>
                <w:rFonts w:hint="eastAsia" w:ascii="仿宋" w:hAnsi="仿宋" w:eastAsia="仿宋" w:cs="仿宋"/>
                <w:color w:val="auto"/>
                <w:szCs w:val="21"/>
              </w:rPr>
            </w:pPr>
            <w:r>
              <w:rPr>
                <w:rFonts w:hint="eastAsia" w:ascii="仿宋" w:hAnsi="仿宋" w:eastAsia="仿宋" w:cs="仿宋"/>
                <w:color w:val="auto"/>
                <w:szCs w:val="21"/>
              </w:rPr>
              <w:t>3、提供系统集成安装的配置文件和说明文件等档案资料。</w:t>
            </w:r>
          </w:p>
        </w:tc>
      </w:tr>
    </w:tbl>
    <w:p>
      <w:pPr>
        <w:spacing w:line="440" w:lineRule="exact"/>
        <w:ind w:firstLine="420" w:firstLineChars="200"/>
        <w:contextualSpacing/>
        <w:rPr>
          <w:rFonts w:hint="eastAsia" w:ascii="仿宋" w:hAnsi="仿宋" w:eastAsia="仿宋" w:cs="仿宋"/>
          <w:color w:val="auto"/>
          <w:szCs w:val="21"/>
        </w:rPr>
      </w:pPr>
    </w:p>
    <w:p>
      <w:pPr>
        <w:spacing w:line="360" w:lineRule="auto"/>
        <w:ind w:firstLine="0" w:firstLineChars="0"/>
        <w:rPr>
          <w:rFonts w:hint="eastAsia" w:ascii="仿宋" w:hAnsi="仿宋" w:eastAsia="仿宋" w:cs="仿宋"/>
          <w:b/>
          <w:color w:val="auto"/>
          <w:szCs w:val="21"/>
          <w:highlight w:val="yellow"/>
        </w:rPr>
      </w:pPr>
    </w:p>
    <w:p>
      <w:pPr>
        <w:adjustRightInd/>
        <w:spacing w:before="120" w:beforeLines="50" w:after="120" w:afterLines="50" w:line="440" w:lineRule="exact"/>
        <w:ind w:left="-850" w:leftChars="-405" w:firstLine="723" w:firstLineChars="300"/>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rPr>
        <w:t>、</w:t>
      </w:r>
      <w:bookmarkEnd w:id="41"/>
      <w:r>
        <w:rPr>
          <w:rFonts w:hint="eastAsia" w:ascii="仿宋" w:hAnsi="仿宋" w:eastAsia="仿宋" w:cs="仿宋"/>
          <w:b/>
          <w:bCs/>
          <w:color w:val="auto"/>
          <w:sz w:val="24"/>
          <w:highlight w:val="none"/>
        </w:rPr>
        <w:t>商务条款</w:t>
      </w:r>
    </w:p>
    <w:tbl>
      <w:tblPr>
        <w:tblStyle w:val="18"/>
        <w:tblpPr w:leftFromText="180" w:rightFromText="180" w:vertAnchor="text" w:horzAnchor="page" w:tblpX="1456" w:tblpY="168"/>
        <w:tblOverlap w:val="never"/>
        <w:tblW w:w="982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3"/>
        <w:gridCol w:w="1228"/>
        <w:gridCol w:w="75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1053"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28"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1053" w:type="dxa"/>
            <w:tcBorders>
              <w:top w:val="single" w:color="auto" w:sz="4" w:space="0"/>
              <w:left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1</w:t>
            </w:r>
          </w:p>
        </w:tc>
        <w:tc>
          <w:tcPr>
            <w:tcW w:w="1228" w:type="dxa"/>
            <w:tcBorders>
              <w:top w:val="single" w:color="auto" w:sz="4" w:space="0"/>
              <w:left w:val="single" w:color="auto" w:sz="4" w:space="0"/>
              <w:right w:val="single" w:color="auto" w:sz="4" w:space="0"/>
            </w:tcBorders>
            <w:shd w:val="clear" w:color="auto" w:fill="auto"/>
            <w:vAlign w:val="center"/>
          </w:tcPr>
          <w:p>
            <w:pPr>
              <w:widowControl/>
              <w:adjustRightInd/>
              <w:snapToGrid w:val="0"/>
              <w:spacing w:line="440" w:lineRule="exact"/>
              <w:jc w:val="center"/>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履约</w:t>
            </w:r>
          </w:p>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CN" w:eastAsia="zh-CN"/>
              </w:rPr>
              <w:t>保证金</w:t>
            </w:r>
          </w:p>
        </w:tc>
        <w:tc>
          <w:tcPr>
            <w:tcW w:w="7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val="0"/>
              <w:spacing w:line="440" w:lineRule="exact"/>
              <w:jc w:val="lef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履约保证金的数额为合同金额的 1% 。</w:t>
            </w:r>
          </w:p>
          <w:p>
            <w:pPr>
              <w:widowControl/>
              <w:adjustRightInd/>
              <w:snapToGrid w:val="0"/>
              <w:spacing w:line="440" w:lineRule="exact"/>
              <w:jc w:val="lef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履约保证金缴纳的形式：供应商应当以支票或汇票或本票或者金融机构出具的保函等非现金形式提交。</w:t>
            </w:r>
          </w:p>
          <w:p>
            <w:pPr>
              <w:widowControl/>
              <w:adjustRightInd/>
              <w:snapToGrid w:val="0"/>
              <w:spacing w:line="440" w:lineRule="exact"/>
              <w:jc w:val="lef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￭履约保证金形式为支票或汇票或本票（账户另行通知）的，履约保证金待验收通过后视履约情况到采购人处办理履约保证金的退还手续。</w:t>
            </w:r>
          </w:p>
          <w:p>
            <w:pPr>
              <w:widowControl/>
              <w:adjustRightInd/>
              <w:snapToGrid w:val="0"/>
              <w:spacing w:line="440" w:lineRule="exact"/>
              <w:jc w:val="lef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如出现保函或保险失效的情况，导致中标人的违约金额无法从保函或保险出具单位理赔的，采购人有权从合同款中予以直接扣除。</w:t>
            </w:r>
          </w:p>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CN" w:eastAsia="zh-CN"/>
              </w:rPr>
              <w:t>履约保证金退还时间：项目经验收合格并经采购人认可后</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lang w:val="zh-CN" w:eastAsia="zh-CN"/>
              </w:rPr>
              <w:t>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1053" w:type="dxa"/>
            <w:tcBorders>
              <w:top w:val="single" w:color="auto" w:sz="4" w:space="0"/>
              <w:left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28" w:type="dxa"/>
            <w:tcBorders>
              <w:top w:val="single" w:color="auto" w:sz="4" w:space="0"/>
              <w:left w:val="single" w:color="auto" w:sz="4" w:space="0"/>
              <w:right w:val="single" w:color="auto" w:sz="4" w:space="0"/>
            </w:tcBorders>
            <w:shd w:val="clear" w:color="auto" w:fill="auto"/>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w:t>
            </w:r>
          </w:p>
        </w:tc>
        <w:tc>
          <w:tcPr>
            <w:tcW w:w="7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中标后5天内完成合同签订。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1053" w:type="dxa"/>
            <w:tcBorders>
              <w:top w:val="single" w:color="auto" w:sz="4" w:space="0"/>
              <w:left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228" w:type="dxa"/>
            <w:tcBorders>
              <w:top w:val="single" w:color="auto" w:sz="4" w:space="0"/>
              <w:left w:val="single" w:color="auto" w:sz="4" w:space="0"/>
              <w:right w:val="single" w:color="auto" w:sz="4" w:space="0"/>
            </w:tcBorders>
            <w:shd w:val="clear" w:color="auto" w:fill="auto"/>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质保期</w:t>
            </w:r>
          </w:p>
        </w:tc>
        <w:tc>
          <w:tcPr>
            <w:tcW w:w="7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验收合格之日起</w:t>
            </w:r>
            <w:r>
              <w:rPr>
                <w:rFonts w:hint="eastAsia" w:ascii="仿宋" w:hAnsi="仿宋" w:eastAsia="仿宋" w:cs="仿宋"/>
                <w:color w:val="auto"/>
                <w:sz w:val="24"/>
                <w:szCs w:val="24"/>
                <w:highlight w:val="none"/>
              </w:rPr>
              <w:t>5年原厂硬件质保（合同签订前提供原厂质保函）、5年软件升级服务和5年系统集成维保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lang w:val="en-US" w:eastAsia="zh-CN"/>
              </w:rPr>
              <w:t>质保期内免费维修、更换缺陷部件。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1053" w:type="dxa"/>
            <w:tcBorders>
              <w:top w:val="single" w:color="auto" w:sz="4" w:space="0"/>
              <w:left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228" w:type="dxa"/>
            <w:tcBorders>
              <w:top w:val="single" w:color="auto" w:sz="4" w:space="0"/>
              <w:left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项目验收</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1.符合我国国家有关技术规范要求和技术标准；</w:t>
            </w:r>
          </w:p>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2.验收由采购人组织相关人员进行验收。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053"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p>
        </w:tc>
        <w:tc>
          <w:tcPr>
            <w:tcW w:w="1228"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供货及工期要求</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1.中标人所供的货物必须为全新的，符合国家标准的合格产品；</w:t>
            </w:r>
          </w:p>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2.中标人保证交付的所有货物及服务等，不会侵犯任何第三方的知识产权和其它权益。如因此发生任何针对采购人的争议、索赔、诉讼等，生产的一切法律责任与费用均由中标人承担。</w:t>
            </w:r>
          </w:p>
          <w:p>
            <w:pPr>
              <w:widowControl/>
              <w:adjustRightInd/>
              <w:snapToGrid w:val="0"/>
              <w:spacing w:line="44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3.供货及安装：送货到采购人指定的学校，按学校要求在指定教室安装到位，含免费拆除原多媒体设备。</w:t>
            </w:r>
          </w:p>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4.工期要求：自合同签订之日起20日内供货并完成安装调试。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3"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228"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培训服务</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根据采购人需要，</w:t>
            </w:r>
            <w:r>
              <w:rPr>
                <w:rFonts w:hint="eastAsia" w:ascii="仿宋" w:hAnsi="仿宋" w:eastAsia="仿宋" w:cs="仿宋"/>
                <w:color w:val="auto"/>
                <w:sz w:val="24"/>
                <w:szCs w:val="24"/>
                <w:highlight w:val="none"/>
              </w:rPr>
              <w:t>提供不少于</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次</w:t>
            </w:r>
            <w:r>
              <w:rPr>
                <w:rFonts w:hint="eastAsia" w:ascii="仿宋" w:hAnsi="仿宋" w:eastAsia="仿宋" w:cs="仿宋"/>
                <w:color w:val="auto"/>
                <w:sz w:val="24"/>
                <w:szCs w:val="24"/>
                <w:highlight w:val="none"/>
                <w:lang w:val="en-US" w:eastAsia="zh-CN"/>
              </w:rPr>
              <w:t>区县级</w:t>
            </w:r>
            <w:r>
              <w:rPr>
                <w:rFonts w:hint="eastAsia" w:ascii="仿宋" w:hAnsi="仿宋" w:eastAsia="仿宋" w:cs="仿宋"/>
                <w:color w:val="auto"/>
                <w:sz w:val="24"/>
                <w:szCs w:val="24"/>
                <w:highlight w:val="none"/>
              </w:rPr>
              <w:t>集中培训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也可根据分配学校需要开展1次入校培训</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53"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付款方式</w:t>
            </w:r>
          </w:p>
        </w:tc>
        <w:tc>
          <w:tcPr>
            <w:tcW w:w="7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合同生效及具备实施条件后，采购人支付合同金额的40%作为预付款，同时中标人提供金融机构、担保机构出具的预付款保函，项目验收合格后，支付到合同金额的100%。</w:t>
            </w:r>
            <w:r>
              <w:rPr>
                <w:rFonts w:hint="eastAsia" w:ascii="仿宋" w:hAnsi="仿宋" w:eastAsia="仿宋" w:cs="仿宋"/>
                <w:color w:val="auto"/>
                <w:sz w:val="24"/>
                <w:highlight w:val="none"/>
                <w:lang w:val="en-US"/>
              </w:rPr>
              <w:t>采购人支付前，中标人须提供正规财务发票，否则采购人有权不予支付。</w:t>
            </w:r>
            <w:r>
              <w:rPr>
                <w:rFonts w:hint="eastAsia" w:ascii="仿宋" w:hAnsi="仿宋" w:eastAsia="仿宋" w:cs="仿宋"/>
                <w:color w:val="auto"/>
                <w:sz w:val="24"/>
                <w:highlight w:val="none"/>
                <w:lang w:val="en-US" w:eastAsia="zh-CN"/>
              </w:rPr>
              <w:t>在签订合同时，如中标人明确表示无需预付款或者主动要求降低预付款比例的，预付款比例以双方协商为准。项目验收合格后</w:t>
            </w:r>
            <w:r>
              <w:rPr>
                <w:rFonts w:hint="eastAsia" w:ascii="仿宋" w:hAnsi="仿宋" w:eastAsia="仿宋" w:cs="仿宋"/>
                <w:color w:val="auto"/>
                <w:sz w:val="24"/>
                <w:highlight w:val="none"/>
              </w:rPr>
              <w:t>十五个工作日内</w:t>
            </w:r>
            <w:r>
              <w:rPr>
                <w:rFonts w:hint="eastAsia" w:ascii="仿宋" w:hAnsi="仿宋" w:eastAsia="仿宋" w:cs="仿宋"/>
                <w:color w:val="auto"/>
                <w:sz w:val="24"/>
                <w:highlight w:val="none"/>
                <w:lang w:val="en-US" w:eastAsia="zh-CN"/>
              </w:rPr>
              <w:t>一次性付清。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5" w:hRule="atLeast"/>
        </w:trPr>
        <w:tc>
          <w:tcPr>
            <w:tcW w:w="1053"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p>
        </w:tc>
        <w:tc>
          <w:tcPr>
            <w:tcW w:w="1228"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备品备件</w:t>
            </w:r>
          </w:p>
        </w:tc>
        <w:tc>
          <w:tcPr>
            <w:tcW w:w="7544" w:type="dxa"/>
            <w:tcBorders>
              <w:top w:val="single" w:color="auto" w:sz="4" w:space="0"/>
              <w:left w:val="single" w:color="auto" w:sz="4" w:space="0"/>
              <w:bottom w:val="single" w:color="auto" w:sz="4" w:space="0"/>
              <w:right w:val="single" w:color="auto" w:sz="4" w:space="0"/>
            </w:tcBorders>
            <w:vAlign w:val="center"/>
          </w:tcPr>
          <w:p>
            <w:pPr>
              <w:widowControl/>
              <w:adjustRightInd/>
              <w:snapToGrid w:val="0"/>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b w:val="0"/>
                <w:color w:val="auto"/>
                <w:sz w:val="24"/>
                <w:szCs w:val="24"/>
                <w:highlight w:val="none"/>
                <w:lang w:val="en-US" w:eastAsia="zh-CN"/>
              </w:rPr>
              <w:t>项目验收前，提供投标产品一致</w:t>
            </w:r>
            <w:r>
              <w:rPr>
                <w:rFonts w:hint="eastAsia" w:ascii="仿宋" w:hAnsi="仿宋" w:eastAsia="仿宋" w:cs="仿宋"/>
                <w:b w:val="0"/>
                <w:color w:val="auto"/>
                <w:sz w:val="24"/>
                <w:szCs w:val="24"/>
                <w:highlight w:val="none"/>
              </w:rPr>
              <w:t>触控一体机</w:t>
            </w:r>
            <w:r>
              <w:rPr>
                <w:rFonts w:hint="eastAsia" w:ascii="仿宋" w:hAnsi="仿宋" w:eastAsia="仿宋" w:cs="仿宋"/>
                <w:b w:val="0"/>
                <w:color w:val="auto"/>
                <w:sz w:val="24"/>
                <w:szCs w:val="24"/>
                <w:highlight w:val="none"/>
                <w:lang w:val="en-US" w:eastAsia="zh-CN"/>
              </w:rPr>
              <w:t>全新备机1</w:t>
            </w:r>
            <w:r>
              <w:rPr>
                <w:rFonts w:hint="eastAsia" w:ascii="仿宋" w:hAnsi="仿宋" w:eastAsia="仿宋" w:cs="仿宋"/>
                <w:b w:val="0"/>
                <w:color w:val="auto"/>
                <w:sz w:val="24"/>
                <w:szCs w:val="24"/>
                <w:highlight w:val="none"/>
              </w:rPr>
              <w:t>台</w:t>
            </w:r>
            <w:r>
              <w:rPr>
                <w:rFonts w:hint="eastAsia" w:ascii="仿宋" w:hAnsi="仿宋" w:eastAsia="仿宋" w:cs="仿宋"/>
                <w:b w:val="0"/>
                <w:color w:val="auto"/>
                <w:sz w:val="24"/>
                <w:szCs w:val="24"/>
                <w:highlight w:val="none"/>
                <w:lang w:eastAsia="zh-CN"/>
              </w:rPr>
              <w:t>（</w:t>
            </w:r>
            <w:r>
              <w:rPr>
                <w:rFonts w:hint="eastAsia" w:ascii="仿宋" w:hAnsi="仿宋" w:eastAsia="仿宋" w:cs="仿宋"/>
                <w:b w:val="0"/>
                <w:color w:val="auto"/>
                <w:sz w:val="24"/>
                <w:szCs w:val="24"/>
                <w:highlight w:val="none"/>
                <w:lang w:val="en-US" w:eastAsia="zh-CN"/>
              </w:rPr>
              <w:t>含 OPS模块）和实物展示台1台，</w:t>
            </w:r>
            <w:r>
              <w:rPr>
                <w:rFonts w:hint="eastAsia" w:ascii="仿宋" w:hAnsi="仿宋" w:eastAsia="仿宋" w:cs="仿宋"/>
                <w:b w:val="0"/>
                <w:color w:val="auto"/>
                <w:sz w:val="24"/>
                <w:szCs w:val="24"/>
                <w:highlight w:val="none"/>
              </w:rPr>
              <w:t>存放于招标人指定地点，用于质保期内快速维保替换服务；同时核心产品主要零部件备件充足，便于及时维修更换。</w:t>
            </w:r>
          </w:p>
        </w:tc>
      </w:tr>
      <w:bookmarkEnd w:id="42"/>
      <w:bookmarkEnd w:id="43"/>
      <w:bookmarkEnd w:id="44"/>
      <w:bookmarkEnd w:id="45"/>
      <w:bookmarkEnd w:id="46"/>
      <w:bookmarkEnd w:id="47"/>
      <w:bookmarkEnd w:id="48"/>
      <w:bookmarkEnd w:id="49"/>
      <w:bookmarkEnd w:id="50"/>
      <w:bookmarkEnd w:id="51"/>
      <w:bookmarkEnd w:id="52"/>
      <w:bookmarkEnd w:id="53"/>
      <w:bookmarkEnd w:id="54"/>
    </w:tbl>
    <w:p>
      <w:pPr>
        <w:rPr>
          <w:color w:val="auto"/>
          <w:highlight w:val="none"/>
        </w:rPr>
      </w:pPr>
      <w:bookmarkStart w:id="58" w:name="_Toc18406"/>
      <w:bookmarkStart w:id="59" w:name="_Toc84325981"/>
      <w:bookmarkStart w:id="60" w:name="_Toc80157775"/>
      <w:bookmarkStart w:id="61" w:name="_Toc81372964"/>
      <w:bookmarkStart w:id="62" w:name="_Toc81372787"/>
    </w:p>
    <w:p>
      <w:pPr>
        <w:rPr>
          <w:rFonts w:hint="eastAsia" w:ascii="宋体" w:hAnsi="宋体" w:cs="宋体"/>
          <w:color w:val="auto"/>
          <w:highlight w:val="none"/>
        </w:rPr>
      </w:pPr>
      <w:r>
        <w:rPr>
          <w:rFonts w:hint="eastAsia" w:ascii="宋体" w:hAnsi="宋体" w:cs="宋体"/>
          <w:color w:val="auto"/>
          <w:highlight w:val="none"/>
        </w:rPr>
        <w:br w:type="page"/>
      </w:r>
    </w:p>
    <w:p>
      <w:pPr>
        <w:pStyle w:val="2"/>
        <w:tabs>
          <w:tab w:val="left" w:pos="478"/>
          <w:tab w:val="clear" w:pos="432"/>
        </w:tabs>
        <w:spacing w:before="0" w:after="0" w:line="240" w:lineRule="auto"/>
        <w:ind w:left="0" w:firstLine="0"/>
        <w:jc w:val="center"/>
        <w:rPr>
          <w:rFonts w:ascii="宋体" w:hAnsi="宋体" w:cs="宋体"/>
          <w:color w:val="auto"/>
          <w:highlight w:val="none"/>
        </w:rPr>
      </w:pPr>
      <w:r>
        <w:rPr>
          <w:rFonts w:hint="eastAsia" w:ascii="宋体" w:hAnsi="宋体" w:cs="宋体"/>
          <w:color w:val="auto"/>
          <w:highlight w:val="none"/>
        </w:rPr>
        <w:t>第四部分  合同主要条款</w:t>
      </w:r>
      <w:bookmarkEnd w:id="58"/>
    </w:p>
    <w:p>
      <w:pPr>
        <w:pStyle w:val="13"/>
        <w:snapToGrid w:val="0"/>
        <w:spacing w:line="360" w:lineRule="auto"/>
        <w:rPr>
          <w:rFonts w:ascii="仿宋" w:hAnsi="仿宋" w:eastAsia="仿宋" w:cs="仿宋"/>
          <w:color w:val="auto"/>
          <w:sz w:val="24"/>
          <w:szCs w:val="24"/>
          <w:highlight w:val="none"/>
        </w:rPr>
      </w:pPr>
    </w:p>
    <w:p>
      <w:pPr>
        <w:pStyle w:val="13"/>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项目名称：                                      项目编号：</w:t>
      </w:r>
      <w:r>
        <w:rPr>
          <w:rFonts w:hint="eastAsia" w:ascii="仿宋" w:hAnsi="仿宋" w:eastAsia="仿宋" w:cs="仿宋"/>
          <w:b/>
          <w:color w:val="auto"/>
          <w:sz w:val="24"/>
          <w:szCs w:val="24"/>
          <w:highlight w:val="none"/>
        </w:rPr>
        <w:t xml:space="preserve">                             </w:t>
      </w:r>
    </w:p>
    <w:p>
      <w:pPr>
        <w:pStyle w:val="13"/>
        <w:adjustRightInd/>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甲方（</w:t>
      </w:r>
      <w:r>
        <w:rPr>
          <w:rFonts w:hint="eastAsia" w:ascii="仿宋" w:hAnsi="仿宋" w:eastAsia="仿宋" w:cs="仿宋"/>
          <w:color w:val="auto"/>
          <w:sz w:val="24"/>
          <w:lang w:val="en-US" w:eastAsia="zh-CN"/>
        </w:rPr>
        <w:t>采购方</w:t>
      </w:r>
      <w:r>
        <w:rPr>
          <w:rFonts w:hint="eastAsia" w:ascii="仿宋" w:hAnsi="仿宋" w:eastAsia="仿宋" w:cs="仿宋"/>
          <w:color w:val="auto"/>
          <w:sz w:val="24"/>
        </w:rPr>
        <w:t>）：</w:t>
      </w:r>
    </w:p>
    <w:p>
      <w:pPr>
        <w:pStyle w:val="13"/>
        <w:adjustRightInd/>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乙</w:t>
      </w:r>
      <w:r>
        <w:rPr>
          <w:rFonts w:hint="eastAsia" w:ascii="仿宋" w:hAnsi="仿宋" w:eastAsia="仿宋" w:cs="仿宋"/>
          <w:color w:val="auto"/>
          <w:sz w:val="24"/>
        </w:rPr>
        <w:t>方（</w:t>
      </w:r>
      <w:r>
        <w:rPr>
          <w:rFonts w:hint="eastAsia" w:ascii="仿宋" w:hAnsi="仿宋" w:eastAsia="仿宋" w:cs="仿宋"/>
          <w:color w:val="auto"/>
          <w:sz w:val="24"/>
          <w:lang w:val="en-US" w:eastAsia="zh-CN"/>
        </w:rPr>
        <w:t>供应方</w:t>
      </w:r>
      <w:r>
        <w:rPr>
          <w:rFonts w:hint="eastAsia" w:ascii="仿宋" w:hAnsi="仿宋" w:eastAsia="仿宋" w:cs="仿宋"/>
          <w:color w:val="auto"/>
          <w:sz w:val="24"/>
        </w:rPr>
        <w:t xml:space="preserve">）： </w:t>
      </w:r>
    </w:p>
    <w:p>
      <w:pPr>
        <w:spacing w:line="380" w:lineRule="exact"/>
        <w:ind w:firstLine="480" w:firstLineChars="200"/>
        <w:jc w:val="left"/>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根据《中华人民共和国政府采购法》、《中华人民共和国民法典》之规定，本合同当事人在平等、自愿的基础上，经协商一致，同意按下述条款和条件签署本合同：</w:t>
      </w:r>
    </w:p>
    <w:p>
      <w:pPr>
        <w:spacing w:line="380" w:lineRule="exact"/>
        <w:ind w:firstLine="482" w:firstLineChars="200"/>
        <w:jc w:val="left"/>
        <w:rPr>
          <w:rFonts w:hint="eastAsia" w:ascii="仿宋" w:hAnsi="仿宋" w:eastAsia="仿宋" w:cs="仿宋"/>
          <w:b/>
          <w:bCs/>
          <w:color w:val="auto"/>
          <w:sz w:val="24"/>
        </w:rPr>
      </w:pPr>
      <w:bookmarkStart w:id="63" w:name="_Toc269217275"/>
      <w:bookmarkStart w:id="64" w:name="_Toc340321917"/>
      <w:bookmarkStart w:id="65" w:name="_Toc19146"/>
      <w:bookmarkStart w:id="66" w:name="_Toc340322172"/>
      <w:bookmarkStart w:id="67" w:name="_Toc339302133"/>
      <w:bookmarkStart w:id="68" w:name="_Toc480884136"/>
      <w:r>
        <w:rPr>
          <w:rFonts w:hint="eastAsia" w:ascii="仿宋" w:hAnsi="仿宋" w:eastAsia="仿宋" w:cs="仿宋"/>
          <w:b/>
          <w:bCs/>
          <w:color w:val="auto"/>
          <w:sz w:val="24"/>
        </w:rPr>
        <w:t>第一条 乙方根据本合同的规定向甲方提供以下设备：</w:t>
      </w:r>
      <w:bookmarkEnd w:id="63"/>
      <w:bookmarkEnd w:id="64"/>
      <w:bookmarkEnd w:id="65"/>
      <w:bookmarkEnd w:id="66"/>
      <w:bookmarkEnd w:id="67"/>
      <w:bookmarkEnd w:id="68"/>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（一）合同货物</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乙方应按照采购文件内容提供项目清单中：</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800"/>
        <w:gridCol w:w="1440"/>
        <w:gridCol w:w="1569"/>
        <w:gridCol w:w="113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11"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1800"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rPr>
              <w:t>名称</w:t>
            </w:r>
          </w:p>
        </w:tc>
        <w:tc>
          <w:tcPr>
            <w:tcW w:w="1440"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rPr>
              <w:t>规格</w:t>
            </w:r>
          </w:p>
        </w:tc>
        <w:tc>
          <w:tcPr>
            <w:tcW w:w="1569"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rPr>
              <w:t>数量</w:t>
            </w:r>
          </w:p>
        </w:tc>
        <w:tc>
          <w:tcPr>
            <w:tcW w:w="1131"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rPr>
              <w:t>单位</w:t>
            </w:r>
          </w:p>
        </w:tc>
        <w:tc>
          <w:tcPr>
            <w:tcW w:w="1843" w:type="dxa"/>
            <w:vAlign w:val="center"/>
          </w:tcPr>
          <w:p>
            <w:pPr>
              <w:spacing w:line="38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金额</w:t>
            </w:r>
            <w:r>
              <w:rPr>
                <w:rFonts w:hint="eastAsia" w:ascii="仿宋" w:hAnsi="仿宋" w:eastAsia="仿宋" w:cs="仿宋"/>
                <w:color w:val="auto"/>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11" w:type="dxa"/>
            <w:vAlign w:val="center"/>
          </w:tcPr>
          <w:p>
            <w:pPr>
              <w:spacing w:line="380" w:lineRule="exact"/>
              <w:jc w:val="center"/>
              <w:rPr>
                <w:rFonts w:hint="eastAsia" w:ascii="仿宋" w:hAnsi="仿宋" w:eastAsia="仿宋" w:cs="仿宋"/>
                <w:color w:val="auto"/>
                <w:sz w:val="24"/>
              </w:rPr>
            </w:pPr>
          </w:p>
        </w:tc>
        <w:tc>
          <w:tcPr>
            <w:tcW w:w="1800" w:type="dxa"/>
            <w:vAlign w:val="center"/>
          </w:tcPr>
          <w:p>
            <w:pPr>
              <w:spacing w:line="380" w:lineRule="exact"/>
              <w:jc w:val="center"/>
              <w:rPr>
                <w:rFonts w:hint="eastAsia" w:ascii="仿宋" w:hAnsi="仿宋" w:eastAsia="仿宋" w:cs="仿宋"/>
                <w:color w:val="auto"/>
                <w:sz w:val="24"/>
              </w:rPr>
            </w:pPr>
          </w:p>
        </w:tc>
        <w:tc>
          <w:tcPr>
            <w:tcW w:w="1440" w:type="dxa"/>
            <w:vAlign w:val="center"/>
          </w:tcPr>
          <w:p>
            <w:pPr>
              <w:spacing w:line="380" w:lineRule="exact"/>
              <w:jc w:val="center"/>
              <w:rPr>
                <w:rFonts w:hint="eastAsia" w:ascii="仿宋" w:hAnsi="仿宋" w:eastAsia="仿宋" w:cs="仿宋"/>
                <w:color w:val="auto"/>
                <w:sz w:val="24"/>
              </w:rPr>
            </w:pPr>
          </w:p>
        </w:tc>
        <w:tc>
          <w:tcPr>
            <w:tcW w:w="1569" w:type="dxa"/>
            <w:vAlign w:val="center"/>
          </w:tcPr>
          <w:p>
            <w:pPr>
              <w:spacing w:line="380" w:lineRule="exact"/>
              <w:jc w:val="center"/>
              <w:rPr>
                <w:rFonts w:hint="eastAsia" w:ascii="仿宋" w:hAnsi="仿宋" w:eastAsia="仿宋" w:cs="仿宋"/>
                <w:color w:val="auto"/>
                <w:sz w:val="24"/>
              </w:rPr>
            </w:pPr>
          </w:p>
        </w:tc>
        <w:tc>
          <w:tcPr>
            <w:tcW w:w="1131" w:type="dxa"/>
            <w:vAlign w:val="center"/>
          </w:tcPr>
          <w:p>
            <w:pPr>
              <w:spacing w:line="380" w:lineRule="exact"/>
              <w:jc w:val="center"/>
              <w:rPr>
                <w:rFonts w:hint="eastAsia" w:ascii="仿宋" w:hAnsi="仿宋" w:eastAsia="仿宋" w:cs="仿宋"/>
                <w:color w:val="auto"/>
                <w:sz w:val="24"/>
              </w:rPr>
            </w:pPr>
          </w:p>
        </w:tc>
        <w:tc>
          <w:tcPr>
            <w:tcW w:w="1843" w:type="dxa"/>
            <w:vAlign w:val="center"/>
          </w:tcPr>
          <w:p>
            <w:pPr>
              <w:spacing w:line="380" w:lineRule="exact"/>
              <w:jc w:val="center"/>
              <w:rPr>
                <w:rFonts w:hint="eastAsia" w:ascii="仿宋" w:hAnsi="仿宋" w:eastAsia="仿宋" w:cs="仿宋"/>
                <w:color w:val="auto"/>
                <w:sz w:val="24"/>
              </w:rPr>
            </w:pPr>
          </w:p>
        </w:tc>
      </w:tr>
    </w:tbl>
    <w:p>
      <w:pPr>
        <w:spacing w:line="380" w:lineRule="exact"/>
        <w:ind w:firstLine="480" w:firstLineChars="200"/>
        <w:jc w:val="left"/>
        <w:rPr>
          <w:rFonts w:hint="eastAsia" w:ascii="仿宋" w:hAnsi="仿宋" w:eastAsia="仿宋" w:cs="仿宋"/>
          <w:color w:val="auto"/>
          <w:sz w:val="24"/>
        </w:rPr>
      </w:pPr>
      <w:bookmarkStart w:id="69" w:name="_Toc340322173"/>
      <w:bookmarkStart w:id="70" w:name="_Toc269217276"/>
      <w:bookmarkStart w:id="71" w:name="_Toc339302134"/>
      <w:bookmarkStart w:id="72" w:name="_Toc340321918"/>
      <w:bookmarkStart w:id="73" w:name="_Toc15932"/>
      <w:r>
        <w:rPr>
          <w:rFonts w:hint="eastAsia" w:ascii="仿宋" w:hAnsi="仿宋" w:eastAsia="仿宋" w:cs="仿宋"/>
          <w:color w:val="auto"/>
          <w:sz w:val="24"/>
        </w:rPr>
        <w:t>（二）本合同总价内包含的内容：货款、标准附件、专用工具、管理费、利润、安装调试费、包装、运输、装卸、相关验收费用、保险、税金、货到就位、技术指导、培训、服务费、检验费、设计费等完成招标内容及评审涉及的一切费用。</w:t>
      </w:r>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74" w:name="_Toc480884137"/>
      <w:r>
        <w:rPr>
          <w:rFonts w:hint="eastAsia" w:ascii="仿宋" w:hAnsi="仿宋" w:eastAsia="仿宋" w:cs="仿宋"/>
          <w:b/>
          <w:bCs/>
          <w:color w:val="auto"/>
          <w:sz w:val="24"/>
        </w:rPr>
        <w:t>第二条  供货、安装及验收</w:t>
      </w:r>
      <w:bookmarkEnd w:id="69"/>
      <w:bookmarkEnd w:id="70"/>
      <w:bookmarkEnd w:id="71"/>
      <w:bookmarkEnd w:id="72"/>
      <w:bookmarkEnd w:id="73"/>
      <w:bookmarkEnd w:id="74"/>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（一）</w:t>
      </w:r>
      <w:r>
        <w:rPr>
          <w:rFonts w:hint="eastAsia" w:ascii="仿宋" w:hAnsi="仿宋" w:eastAsia="仿宋" w:cs="仿宋"/>
          <w:color w:val="auto"/>
          <w:sz w:val="24"/>
          <w:lang w:val="en-US" w:eastAsia="zh-CN"/>
        </w:rPr>
        <w:t>供货及安装时间。</w:t>
      </w:r>
      <w:r>
        <w:rPr>
          <w:rFonts w:hint="eastAsia" w:ascii="仿宋" w:hAnsi="仿宋" w:eastAsia="仿宋" w:cs="仿宋"/>
          <w:color w:val="auto"/>
          <w:sz w:val="24"/>
        </w:rPr>
        <w:t>合同签订之日后接到甲方的供货及安装通知后，在   年    月   日前，乙方应将货物送至甲方指定的现场地点，并负责卸货、安装调试、系统集成完毕。</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1.乙方</w:t>
      </w:r>
      <w:r>
        <w:rPr>
          <w:rFonts w:hint="eastAsia" w:ascii="仿宋" w:hAnsi="仿宋" w:eastAsia="仿宋" w:cs="仿宋"/>
          <w:color w:val="auto"/>
          <w:sz w:val="24"/>
        </w:rPr>
        <w:t>在施工过程中应严格遵守国家安全生产规范，杜绝安全事故的发生，</w:t>
      </w:r>
      <w:r>
        <w:rPr>
          <w:rFonts w:hint="eastAsia" w:ascii="仿宋" w:hAnsi="仿宋" w:eastAsia="仿宋" w:cs="仿宋"/>
          <w:color w:val="auto"/>
          <w:sz w:val="24"/>
          <w:lang w:val="en-US" w:eastAsia="zh-CN"/>
        </w:rPr>
        <w:t>并为施</w:t>
      </w:r>
      <w:r>
        <w:rPr>
          <w:rFonts w:hint="eastAsia" w:ascii="仿宋" w:hAnsi="仿宋" w:eastAsia="仿宋" w:cs="仿宋"/>
          <w:color w:val="auto"/>
          <w:sz w:val="24"/>
        </w:rPr>
        <w:t>工人</w:t>
      </w:r>
      <w:r>
        <w:rPr>
          <w:rFonts w:hint="eastAsia" w:ascii="仿宋" w:hAnsi="仿宋" w:eastAsia="仿宋" w:cs="仿宋"/>
          <w:color w:val="auto"/>
          <w:sz w:val="24"/>
          <w:lang w:val="en-US" w:eastAsia="zh-CN"/>
        </w:rPr>
        <w:t>员</w:t>
      </w:r>
      <w:r>
        <w:rPr>
          <w:rFonts w:hint="eastAsia" w:ascii="仿宋" w:hAnsi="仿宋" w:eastAsia="仿宋" w:cs="仿宋"/>
          <w:color w:val="auto"/>
          <w:sz w:val="24"/>
        </w:rPr>
        <w:t>投保人身意外伤害保险等。如发生安全生产事故由</w:t>
      </w:r>
      <w:r>
        <w:rPr>
          <w:rFonts w:hint="eastAsia" w:ascii="仿宋" w:hAnsi="仿宋" w:eastAsia="仿宋" w:cs="仿宋"/>
          <w:color w:val="auto"/>
          <w:sz w:val="24"/>
          <w:lang w:val="en-US" w:eastAsia="zh-CN"/>
        </w:rPr>
        <w:t>乙方</w:t>
      </w:r>
      <w:r>
        <w:rPr>
          <w:rFonts w:hint="eastAsia" w:ascii="仿宋" w:hAnsi="仿宋" w:eastAsia="仿宋" w:cs="仿宋"/>
          <w:color w:val="auto"/>
          <w:sz w:val="24"/>
        </w:rPr>
        <w:t>承担一切责任，与</w:t>
      </w:r>
      <w:r>
        <w:rPr>
          <w:rFonts w:hint="eastAsia" w:ascii="仿宋" w:hAnsi="仿宋" w:eastAsia="仿宋" w:cs="仿宋"/>
          <w:color w:val="auto"/>
          <w:sz w:val="24"/>
          <w:lang w:val="en-US" w:eastAsia="zh-CN"/>
        </w:rPr>
        <w:t>甲方</w:t>
      </w:r>
      <w:r>
        <w:rPr>
          <w:rFonts w:hint="eastAsia" w:ascii="仿宋" w:hAnsi="仿宋" w:eastAsia="仿宋" w:cs="仿宋"/>
          <w:color w:val="auto"/>
          <w:sz w:val="24"/>
        </w:rPr>
        <w:t>无关。</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为保证正常教育教学秩序，供货方安装时间原则上为正常教育教学时间之外。</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（二）项目及产品的质量、技术标准按招标文件规定和投标文件承诺执行。</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乙方</w:t>
      </w:r>
      <w:r>
        <w:rPr>
          <w:rFonts w:hint="eastAsia" w:ascii="仿宋" w:hAnsi="仿宋" w:eastAsia="仿宋" w:cs="仿宋"/>
          <w:color w:val="auto"/>
          <w:sz w:val="24"/>
        </w:rPr>
        <w:t>提供</w:t>
      </w:r>
      <w:r>
        <w:rPr>
          <w:rFonts w:hint="eastAsia" w:ascii="仿宋" w:hAnsi="仿宋" w:eastAsia="仿宋" w:cs="仿宋"/>
          <w:color w:val="auto"/>
          <w:sz w:val="24"/>
          <w:lang w:val="zh-CN"/>
        </w:rPr>
        <w:t>的货物必须为全新的，符合国家标准的合格产品，</w:t>
      </w:r>
      <w:r>
        <w:rPr>
          <w:rFonts w:hint="eastAsia" w:ascii="仿宋" w:hAnsi="仿宋" w:eastAsia="仿宋" w:cs="仿宋"/>
          <w:color w:val="auto"/>
          <w:sz w:val="24"/>
        </w:rPr>
        <w:t>产品及服务必须是经合法途径取得</w:t>
      </w:r>
      <w:r>
        <w:rPr>
          <w:rFonts w:hint="eastAsia" w:ascii="仿宋" w:hAnsi="仿宋" w:eastAsia="仿宋" w:cs="仿宋"/>
          <w:color w:val="auto"/>
          <w:sz w:val="24"/>
          <w:lang w:eastAsia="zh-CN"/>
        </w:rPr>
        <w:t>，</w:t>
      </w:r>
      <w:r>
        <w:rPr>
          <w:rFonts w:hint="eastAsia" w:ascii="仿宋" w:hAnsi="仿宋" w:eastAsia="仿宋" w:cs="仿宋"/>
          <w:color w:val="auto"/>
          <w:sz w:val="24"/>
          <w:lang w:val="zh-CN"/>
        </w:rPr>
        <w:t>不会侵犯任何第三方的知识产权和其它权益。如因此发生任何针对采购人的争议、索赔、诉讼等，生产的一切法律责任与费用均由中标人承担。</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乙方</w:t>
      </w:r>
      <w:r>
        <w:rPr>
          <w:rFonts w:hint="eastAsia" w:ascii="仿宋" w:hAnsi="仿宋" w:eastAsia="仿宋" w:cs="仿宋"/>
          <w:color w:val="auto"/>
          <w:sz w:val="24"/>
        </w:rPr>
        <w:t>应按现行的国家或行业技术及验收标准和招标文件的规定提供工程、货物或服务，因</w:t>
      </w:r>
      <w:r>
        <w:rPr>
          <w:rFonts w:hint="eastAsia" w:ascii="仿宋" w:hAnsi="仿宋" w:eastAsia="仿宋" w:cs="仿宋"/>
          <w:color w:val="auto"/>
          <w:sz w:val="24"/>
          <w:lang w:val="en-US" w:eastAsia="zh-CN"/>
        </w:rPr>
        <w:t>乙方</w:t>
      </w:r>
      <w:r>
        <w:rPr>
          <w:rFonts w:hint="eastAsia" w:ascii="仿宋" w:hAnsi="仿宋" w:eastAsia="仿宋" w:cs="仿宋"/>
          <w:color w:val="auto"/>
          <w:sz w:val="24"/>
        </w:rPr>
        <w:t>提供的工程、货物或服务达不到约定的质量标准，</w:t>
      </w:r>
      <w:r>
        <w:rPr>
          <w:rFonts w:hint="eastAsia" w:ascii="仿宋" w:hAnsi="仿宋" w:eastAsia="仿宋" w:cs="仿宋"/>
          <w:color w:val="auto"/>
          <w:sz w:val="24"/>
          <w:lang w:val="en-US" w:eastAsia="zh-CN"/>
        </w:rPr>
        <w:t>乙方</w:t>
      </w:r>
      <w:r>
        <w:rPr>
          <w:rFonts w:hint="eastAsia" w:ascii="仿宋" w:hAnsi="仿宋" w:eastAsia="仿宋" w:cs="仿宋"/>
          <w:color w:val="auto"/>
          <w:sz w:val="24"/>
        </w:rPr>
        <w:t>承担违约责任。</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（三）</w:t>
      </w:r>
      <w:r>
        <w:rPr>
          <w:rFonts w:hint="eastAsia" w:ascii="仿宋" w:hAnsi="仿宋" w:eastAsia="仿宋" w:cs="仿宋"/>
          <w:color w:val="auto"/>
          <w:sz w:val="24"/>
          <w:lang w:val="en-US" w:eastAsia="zh-CN"/>
        </w:rPr>
        <w:t>项目</w:t>
      </w:r>
      <w:r>
        <w:rPr>
          <w:rFonts w:hint="eastAsia" w:ascii="仿宋" w:hAnsi="仿宋" w:eastAsia="仿宋" w:cs="仿宋"/>
          <w:color w:val="auto"/>
          <w:sz w:val="24"/>
        </w:rPr>
        <w:t>验收</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1．甲方对乙方提</w:t>
      </w:r>
      <w:r>
        <w:rPr>
          <w:rFonts w:hint="eastAsia" w:ascii="仿宋" w:hAnsi="仿宋" w:eastAsia="仿宋" w:cs="仿宋"/>
          <w:color w:val="auto"/>
          <w:sz w:val="24"/>
          <w:lang w:val="en-US" w:eastAsia="zh-CN"/>
        </w:rPr>
        <w:t>供</w:t>
      </w:r>
      <w:r>
        <w:rPr>
          <w:rFonts w:hint="eastAsia" w:ascii="仿宋" w:hAnsi="仿宋" w:eastAsia="仿宋" w:cs="仿宋"/>
          <w:color w:val="auto"/>
          <w:sz w:val="24"/>
        </w:rPr>
        <w:t>的货物</w:t>
      </w:r>
      <w:r>
        <w:rPr>
          <w:rFonts w:hint="eastAsia" w:ascii="仿宋" w:hAnsi="仿宋" w:eastAsia="仿宋" w:cs="仿宋"/>
          <w:color w:val="auto"/>
          <w:sz w:val="24"/>
          <w:lang w:eastAsia="zh-CN"/>
        </w:rPr>
        <w:t>，</w:t>
      </w:r>
      <w:r>
        <w:rPr>
          <w:rFonts w:hint="eastAsia" w:ascii="仿宋" w:hAnsi="仿宋" w:eastAsia="仿宋" w:cs="仿宋"/>
          <w:color w:val="auto"/>
          <w:sz w:val="24"/>
        </w:rPr>
        <w:t>依据招标文件上的技术规格要求和国家有关质量标准进行现场初步验收，外观、说明书符合招标文件技术要求的，给予验收。</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2．乙方交货前应对产品作出全面检查，提交验收文件清单，作为甲方收货验收和使用的技术条件依据，检验的结果应随货物交甲方。</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3．甲方对乙方提供的货物在使用前进行调试时，乙方需负责协助甲方调试并培训甲方的使用操作人员，直到符合技术要求，甲方才做最终验收。</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4．验收时乙方必须在现场，验收完毕后作出验收结果报告，验收费用由乙方负责。</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 </w:t>
      </w:r>
    </w:p>
    <w:p>
      <w:pPr>
        <w:spacing w:line="380" w:lineRule="exact"/>
        <w:ind w:firstLine="482" w:firstLineChars="200"/>
        <w:jc w:val="left"/>
        <w:rPr>
          <w:rFonts w:hint="eastAsia" w:ascii="仿宋" w:hAnsi="仿宋" w:eastAsia="仿宋" w:cs="仿宋"/>
          <w:b/>
          <w:bCs/>
          <w:color w:val="auto"/>
          <w:sz w:val="24"/>
        </w:rPr>
      </w:pPr>
      <w:bookmarkStart w:id="75" w:name="_Toc269217278"/>
      <w:bookmarkStart w:id="76" w:name="_Toc339302136"/>
      <w:bookmarkStart w:id="77" w:name="_Toc25232"/>
      <w:bookmarkStart w:id="78" w:name="_Toc340321920"/>
      <w:bookmarkStart w:id="79" w:name="_Toc480884138"/>
      <w:bookmarkStart w:id="80" w:name="_Toc340322175"/>
      <w:r>
        <w:rPr>
          <w:rFonts w:hint="eastAsia" w:ascii="仿宋" w:hAnsi="仿宋" w:eastAsia="仿宋" w:cs="仿宋"/>
          <w:b/>
          <w:bCs/>
          <w:color w:val="auto"/>
          <w:sz w:val="24"/>
        </w:rPr>
        <w:t>第三条  售后服务</w:t>
      </w:r>
      <w:bookmarkEnd w:id="75"/>
      <w:bookmarkEnd w:id="76"/>
      <w:bookmarkEnd w:id="77"/>
      <w:bookmarkEnd w:id="78"/>
      <w:bookmarkEnd w:id="79"/>
      <w:bookmarkEnd w:id="80"/>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（一）验收合格之日起计算，设备质保期</w:t>
      </w:r>
      <w:r>
        <w:rPr>
          <w:rFonts w:hint="eastAsia" w:ascii="仿宋" w:hAnsi="仿宋" w:eastAsia="仿宋" w:cs="仿宋"/>
          <w:color w:val="auto"/>
          <w:sz w:val="24"/>
          <w:lang w:val="en-US" w:eastAsia="zh-CN"/>
        </w:rPr>
        <w:t>5</w:t>
      </w:r>
      <w:r>
        <w:rPr>
          <w:rFonts w:hint="eastAsia" w:ascii="仿宋" w:hAnsi="仿宋" w:eastAsia="仿宋" w:cs="仿宋"/>
          <w:color w:val="auto"/>
          <w:sz w:val="24"/>
        </w:rPr>
        <w:t>年或投标承诺年限。在质保期内，乙方免费保修或更换。免费是指免材料费、人工费等与上门保修服务有关的一切费用。当用户提交报修信息后必须在2小时内到达现场，48小时内并解决问题，修理或直接免费更换，如不能当场修复的，须使用备机作暂时替换，以满足甲方的正常使用要求。</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（二）保修期外，乙方承诺提供终身服务。</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（三）备品备件供应：</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1．乙方供货时应根据投标文件的承诺提供一定量的常用备品备件给采购人。</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2．确保有足够的原厂备件、附件和易损件满足采购人正常使用需求。</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3．乙方应按照甲方要求在投标时承诺提供常用备件、附件和易损件，并明确承诺优惠供货价格。</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（四）其他售后服务标准按照乙方投标承诺的服务计划实施。</w:t>
      </w:r>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81" w:name="_Toc340322176"/>
      <w:bookmarkStart w:id="82" w:name="_Toc340321921"/>
      <w:bookmarkStart w:id="83" w:name="_Toc339302137"/>
      <w:bookmarkStart w:id="84" w:name="_Toc269217280"/>
      <w:bookmarkStart w:id="85" w:name="_Toc28298"/>
      <w:bookmarkStart w:id="86" w:name="_Toc480884140"/>
      <w:r>
        <w:rPr>
          <w:rFonts w:hint="eastAsia" w:ascii="仿宋" w:hAnsi="仿宋" w:eastAsia="仿宋" w:cs="仿宋"/>
          <w:b/>
          <w:bCs/>
          <w:color w:val="auto"/>
          <w:sz w:val="24"/>
        </w:rPr>
        <w:t>第四条 付款方法</w:t>
      </w:r>
      <w:bookmarkEnd w:id="81"/>
      <w:bookmarkEnd w:id="82"/>
      <w:bookmarkEnd w:id="83"/>
      <w:bookmarkEnd w:id="84"/>
      <w:bookmarkEnd w:id="85"/>
      <w:bookmarkEnd w:id="86"/>
    </w:p>
    <w:p>
      <w:pPr>
        <w:spacing w:line="380" w:lineRule="exact"/>
        <w:ind w:firstLine="480" w:firstLineChars="200"/>
        <w:jc w:val="left"/>
        <w:rPr>
          <w:rFonts w:hint="eastAsia" w:ascii="仿宋" w:hAnsi="仿宋" w:eastAsia="仿宋" w:cs="仿宋"/>
          <w:color w:val="auto"/>
          <w:sz w:val="24"/>
        </w:rPr>
      </w:pPr>
      <w:bookmarkStart w:id="87" w:name="_Toc340322177"/>
      <w:bookmarkStart w:id="88" w:name="_Toc28139"/>
      <w:bookmarkStart w:id="89" w:name="_Toc269217281"/>
      <w:bookmarkStart w:id="90" w:name="_Toc340321922"/>
      <w:bookmarkStart w:id="91" w:name="_Toc339302138"/>
      <w:r>
        <w:rPr>
          <w:rFonts w:hint="eastAsia" w:ascii="仿宋" w:hAnsi="仿宋" w:eastAsia="仿宋" w:cs="仿宋"/>
          <w:color w:val="auto"/>
          <w:sz w:val="24"/>
        </w:rPr>
        <w:t>（一）合同履约保证金：签订合同前向采购人缴纳合同金额的1%作为履约保证金，项目验收合格后退还。</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（二）付款方式：</w:t>
      </w:r>
      <w:r>
        <w:rPr>
          <w:rFonts w:hint="eastAsia" w:ascii="仿宋" w:hAnsi="仿宋" w:eastAsia="仿宋" w:cs="仿宋"/>
          <w:color w:val="auto"/>
          <w:sz w:val="24"/>
          <w:lang w:val="zh-CN" w:eastAsia="zh-CN"/>
        </w:rPr>
        <w:t>合同生效及具备实施条件后，采购人支付合同金额的40%作为预付款，</w:t>
      </w:r>
      <w:r>
        <w:rPr>
          <w:rFonts w:hint="eastAsia" w:ascii="仿宋" w:hAnsi="仿宋" w:eastAsia="仿宋" w:cs="仿宋"/>
          <w:color w:val="auto"/>
          <w:sz w:val="24"/>
          <w:lang w:val="en-US" w:eastAsia="zh-CN"/>
        </w:rPr>
        <w:t>同时中标人</w:t>
      </w:r>
      <w:r>
        <w:rPr>
          <w:rFonts w:hint="eastAsia" w:ascii="仿宋" w:hAnsi="仿宋" w:eastAsia="仿宋" w:cs="仿宋"/>
          <w:color w:val="auto"/>
          <w:sz w:val="24"/>
          <w:lang w:val="zh-CN" w:eastAsia="zh-CN"/>
        </w:rPr>
        <w:t>提供金融机构、担保机构出具的预付款保函，项目验收合格后，支付到合同金额的100%。</w:t>
      </w:r>
      <w:r>
        <w:rPr>
          <w:rFonts w:hint="eastAsia" w:ascii="仿宋" w:hAnsi="仿宋" w:eastAsia="仿宋" w:cs="仿宋"/>
          <w:color w:val="auto"/>
          <w:sz w:val="24"/>
          <w:lang w:val="zh-CN"/>
        </w:rPr>
        <w:t>采购人支付前，中标人须提供正规财务发票，否则采购人有权不予支付。</w:t>
      </w:r>
      <w:r>
        <w:rPr>
          <w:rFonts w:hint="eastAsia" w:ascii="仿宋" w:hAnsi="仿宋" w:eastAsia="仿宋" w:cs="仿宋"/>
          <w:color w:val="auto"/>
          <w:sz w:val="24"/>
          <w:lang w:val="zh-CN" w:eastAsia="zh-CN"/>
        </w:rPr>
        <w:t>在签订合同时，如中标人明确表示无需预付款或者主动要求降低预付款比例的，预付款比例以双方协商为准。</w:t>
      </w:r>
      <w:r>
        <w:rPr>
          <w:rFonts w:hint="eastAsia" w:ascii="仿宋" w:hAnsi="仿宋" w:eastAsia="仿宋" w:cs="仿宋"/>
          <w:color w:val="auto"/>
          <w:sz w:val="24"/>
          <w:lang w:val="en-US" w:eastAsia="zh-CN"/>
        </w:rPr>
        <w:t>项目验收合格后</w:t>
      </w:r>
      <w:r>
        <w:rPr>
          <w:rFonts w:hint="eastAsia" w:ascii="仿宋" w:hAnsi="仿宋" w:eastAsia="仿宋" w:cs="仿宋"/>
          <w:color w:val="auto"/>
          <w:sz w:val="24"/>
        </w:rPr>
        <w:t>十五个工作日内</w:t>
      </w:r>
      <w:r>
        <w:rPr>
          <w:rFonts w:hint="eastAsia" w:ascii="仿宋" w:hAnsi="仿宋" w:eastAsia="仿宋" w:cs="仿宋"/>
          <w:color w:val="auto"/>
          <w:sz w:val="24"/>
          <w:lang w:val="en-US" w:eastAsia="zh-CN"/>
        </w:rPr>
        <w:t>一次性付清。</w:t>
      </w:r>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92" w:name="_Toc480884141"/>
      <w:r>
        <w:rPr>
          <w:rFonts w:hint="eastAsia" w:ascii="仿宋" w:hAnsi="仿宋" w:eastAsia="仿宋" w:cs="仿宋"/>
          <w:b/>
          <w:bCs/>
          <w:color w:val="auto"/>
          <w:sz w:val="24"/>
        </w:rPr>
        <w:t>第五条  违约责任</w:t>
      </w:r>
      <w:bookmarkEnd w:id="87"/>
      <w:bookmarkEnd w:id="88"/>
      <w:bookmarkEnd w:id="89"/>
      <w:bookmarkEnd w:id="90"/>
      <w:bookmarkEnd w:id="91"/>
      <w:bookmarkEnd w:id="92"/>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（一）如乙方在合同期间有未能达到甲方的招标文件所明示的采购要求之行为的，除责令改正外，甲方即有权单方解除本合同。</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（二）甲方未按约定时间及时付款（有正当理由的除外），每逾期一天，甲方支付</w:t>
      </w:r>
      <w:r>
        <w:rPr>
          <w:rFonts w:hint="eastAsia" w:ascii="仿宋" w:hAnsi="仿宋" w:eastAsia="仿宋" w:cs="仿宋"/>
          <w:color w:val="auto"/>
          <w:sz w:val="24"/>
          <w:lang w:val="en-US" w:eastAsia="zh-CN"/>
        </w:rPr>
        <w:t>5</w:t>
      </w:r>
      <w:r>
        <w:rPr>
          <w:rFonts w:hint="eastAsia" w:ascii="仿宋" w:hAnsi="仿宋" w:eastAsia="仿宋" w:cs="仿宋"/>
          <w:color w:val="auto"/>
          <w:sz w:val="24"/>
        </w:rPr>
        <w:t>00元违约金。</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（三）乙方未在约定时间按质供货并安装调试完毕且验收合格的（有正当理由的除外），每逾期一天，则按每天</w:t>
      </w:r>
      <w:r>
        <w:rPr>
          <w:rFonts w:hint="eastAsia" w:ascii="仿宋" w:hAnsi="仿宋" w:eastAsia="仿宋" w:cs="仿宋"/>
          <w:color w:val="auto"/>
          <w:sz w:val="24"/>
          <w:lang w:val="en-US" w:eastAsia="zh-CN"/>
        </w:rPr>
        <w:t>5</w:t>
      </w:r>
      <w:r>
        <w:rPr>
          <w:rFonts w:hint="eastAsia" w:ascii="仿宋" w:hAnsi="仿宋" w:eastAsia="仿宋" w:cs="仿宋"/>
          <w:color w:val="auto"/>
          <w:sz w:val="24"/>
        </w:rPr>
        <w:t>00元向甲方支付违约金，如违约金不足以抵付甲方造成的经济损失，乙方还应另行作出相应赔偿。与此同时，甲方还有权视情形作出解除本合同，乙方因此给甲方造成其他经济损失的，则乙方还应作出相应赔偿。</w:t>
      </w:r>
    </w:p>
    <w:p>
      <w:pPr>
        <w:spacing w:line="380" w:lineRule="exact"/>
        <w:ind w:firstLine="482" w:firstLineChars="200"/>
        <w:jc w:val="left"/>
        <w:rPr>
          <w:rFonts w:hint="eastAsia" w:ascii="仿宋" w:hAnsi="仿宋" w:eastAsia="仿宋" w:cs="仿宋"/>
          <w:b/>
          <w:bCs/>
          <w:color w:val="auto"/>
          <w:sz w:val="24"/>
        </w:rPr>
      </w:pPr>
      <w:bookmarkStart w:id="93" w:name="_Toc269217282"/>
      <w:bookmarkStart w:id="94" w:name="_Toc339302139"/>
      <w:bookmarkStart w:id="95" w:name="_Toc340322178"/>
      <w:bookmarkStart w:id="96" w:name="_Toc480884142"/>
      <w:bookmarkStart w:id="97" w:name="_Toc15180"/>
      <w:bookmarkStart w:id="98" w:name="_Toc340321923"/>
      <w:r>
        <w:rPr>
          <w:rFonts w:hint="eastAsia" w:ascii="仿宋" w:hAnsi="仿宋" w:eastAsia="仿宋" w:cs="仿宋"/>
          <w:b/>
          <w:bCs/>
          <w:color w:val="auto"/>
          <w:sz w:val="24"/>
        </w:rPr>
        <w:t>第六条 合同相关文件</w:t>
      </w:r>
      <w:bookmarkEnd w:id="93"/>
      <w:bookmarkEnd w:id="94"/>
      <w:bookmarkEnd w:id="95"/>
      <w:bookmarkEnd w:id="96"/>
      <w:bookmarkEnd w:id="97"/>
      <w:bookmarkEnd w:id="98"/>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有关本次采购项目的采购文件以及相关的函件如答疑函、承诺函等均为本合同不可分割的一部份。</w:t>
      </w:r>
      <w:bookmarkStart w:id="99" w:name="_Toc340322179"/>
      <w:bookmarkStart w:id="100" w:name="_Toc340321924"/>
      <w:bookmarkStart w:id="101" w:name="_Toc339302140"/>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102" w:name="_Toc480884143"/>
      <w:r>
        <w:rPr>
          <w:rFonts w:hint="eastAsia" w:ascii="仿宋" w:hAnsi="仿宋" w:eastAsia="仿宋" w:cs="仿宋"/>
          <w:b/>
          <w:bCs/>
          <w:color w:val="auto"/>
          <w:sz w:val="24"/>
        </w:rPr>
        <w:t>第七条  争议解决</w:t>
      </w:r>
      <w:bookmarkEnd w:id="99"/>
      <w:bookmarkEnd w:id="100"/>
      <w:bookmarkEnd w:id="101"/>
      <w:bookmarkEnd w:id="102"/>
    </w:p>
    <w:p>
      <w:pPr>
        <w:spacing w:line="380" w:lineRule="exact"/>
        <w:ind w:firstLine="480" w:firstLineChars="200"/>
        <w:jc w:val="left"/>
        <w:rPr>
          <w:rFonts w:hint="eastAsia" w:ascii="仿宋" w:hAnsi="仿宋" w:eastAsia="仿宋" w:cs="仿宋"/>
          <w:color w:val="auto"/>
          <w:sz w:val="24"/>
          <w:lang w:eastAsia="zh-CN"/>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w:t>
      </w:r>
      <w:r>
        <w:rPr>
          <w:rFonts w:hint="eastAsia" w:ascii="仿宋" w:hAnsi="仿宋" w:eastAsia="仿宋" w:cs="仿宋"/>
          <w:color w:val="auto"/>
          <w:sz w:val="24"/>
          <w:lang w:eastAsia="zh-CN"/>
        </w:rPr>
        <w:t>向嵊州市仲裁委员会申请仲裁</w:t>
      </w:r>
      <w:r>
        <w:rPr>
          <w:rFonts w:hint="eastAsia" w:ascii="仿宋" w:hAnsi="仿宋" w:eastAsia="仿宋" w:cs="仿宋"/>
          <w:color w:val="auto"/>
          <w:sz w:val="24"/>
        </w:rPr>
        <w:t>解决</w:t>
      </w:r>
      <w:r>
        <w:rPr>
          <w:rFonts w:hint="eastAsia" w:ascii="仿宋" w:hAnsi="仿宋" w:eastAsia="仿宋" w:cs="仿宋"/>
          <w:color w:val="auto"/>
          <w:sz w:val="24"/>
          <w:lang w:eastAsia="zh-CN"/>
        </w:rPr>
        <w:t>。</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如</w:t>
      </w:r>
      <w:r>
        <w:rPr>
          <w:rFonts w:hint="eastAsia" w:ascii="仿宋" w:hAnsi="仿宋" w:eastAsia="仿宋" w:cs="仿宋"/>
          <w:color w:val="auto"/>
          <w:sz w:val="24"/>
          <w:lang w:eastAsia="zh-CN"/>
        </w:rPr>
        <w:t>甲乙双方</w:t>
      </w:r>
      <w:r>
        <w:rPr>
          <w:rFonts w:hint="eastAsia" w:ascii="仿宋" w:hAnsi="仿宋" w:eastAsia="仿宋" w:cs="仿宋"/>
          <w:color w:val="auto"/>
          <w:sz w:val="24"/>
        </w:rPr>
        <w:t>有争议的事项不影响合同其他部分的履行，在争议解决期间，合同其他部分应</w:t>
      </w:r>
      <w:r>
        <w:rPr>
          <w:rFonts w:hint="eastAsia" w:ascii="仿宋" w:hAnsi="仿宋" w:eastAsia="仿宋" w:cs="仿宋"/>
          <w:color w:val="auto"/>
          <w:sz w:val="24"/>
          <w:lang w:eastAsia="zh-CN"/>
        </w:rPr>
        <w:t>当</w:t>
      </w:r>
      <w:r>
        <w:rPr>
          <w:rFonts w:hint="eastAsia" w:ascii="仿宋" w:hAnsi="仿宋" w:eastAsia="仿宋" w:cs="仿宋"/>
          <w:color w:val="auto"/>
          <w:sz w:val="24"/>
        </w:rPr>
        <w:t>继续履行。</w:t>
      </w:r>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103" w:name="_Toc480884144"/>
      <w:bookmarkStart w:id="104" w:name="_Toc340322180"/>
      <w:bookmarkStart w:id="105" w:name="_Toc340321925"/>
      <w:bookmarkStart w:id="106" w:name="_Toc339302141"/>
      <w:r>
        <w:rPr>
          <w:rFonts w:hint="eastAsia" w:ascii="仿宋" w:hAnsi="仿宋" w:eastAsia="仿宋" w:cs="仿宋"/>
          <w:b/>
          <w:bCs/>
          <w:color w:val="auto"/>
          <w:sz w:val="24"/>
        </w:rPr>
        <w:t>第八条 免责条款</w:t>
      </w:r>
      <w:bookmarkEnd w:id="103"/>
      <w:bookmarkEnd w:id="104"/>
      <w:bookmarkEnd w:id="105"/>
      <w:bookmarkEnd w:id="106"/>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pPr>
        <w:spacing w:line="380" w:lineRule="exact"/>
        <w:ind w:firstLine="482" w:firstLineChars="200"/>
        <w:jc w:val="left"/>
        <w:rPr>
          <w:rFonts w:hint="eastAsia" w:ascii="仿宋" w:hAnsi="仿宋" w:eastAsia="仿宋" w:cs="仿宋"/>
          <w:b/>
          <w:bCs/>
          <w:color w:val="auto"/>
          <w:sz w:val="24"/>
        </w:rPr>
      </w:pPr>
    </w:p>
    <w:p>
      <w:pPr>
        <w:spacing w:line="380" w:lineRule="exact"/>
        <w:ind w:firstLine="482" w:firstLineChars="200"/>
        <w:jc w:val="left"/>
        <w:rPr>
          <w:rFonts w:hint="eastAsia" w:ascii="仿宋" w:hAnsi="仿宋" w:eastAsia="仿宋" w:cs="仿宋"/>
          <w:b/>
          <w:bCs/>
          <w:color w:val="auto"/>
          <w:sz w:val="24"/>
        </w:rPr>
      </w:pPr>
      <w:bookmarkStart w:id="107" w:name="_Toc340322181"/>
      <w:bookmarkStart w:id="108" w:name="_Toc339302142"/>
      <w:bookmarkStart w:id="109" w:name="_Toc480884145"/>
      <w:bookmarkStart w:id="110" w:name="_Toc340321926"/>
      <w:r>
        <w:rPr>
          <w:rFonts w:hint="eastAsia" w:ascii="仿宋" w:hAnsi="仿宋" w:eastAsia="仿宋" w:cs="仿宋"/>
          <w:b/>
          <w:bCs/>
          <w:color w:val="auto"/>
          <w:sz w:val="24"/>
        </w:rPr>
        <w:t>第九条 协议生效</w:t>
      </w:r>
      <w:bookmarkEnd w:id="107"/>
      <w:bookmarkEnd w:id="108"/>
      <w:bookmarkEnd w:id="109"/>
      <w:bookmarkEnd w:id="110"/>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本协议及所含附件自双方签订之日即生效。</w:t>
      </w:r>
    </w:p>
    <w:p>
      <w:pPr>
        <w:spacing w:line="380" w:lineRule="exact"/>
        <w:ind w:firstLine="480" w:firstLineChars="200"/>
        <w:jc w:val="left"/>
        <w:rPr>
          <w:rFonts w:hint="eastAsia" w:ascii="仿宋" w:hAnsi="仿宋" w:eastAsia="仿宋" w:cs="仿宋"/>
          <w:color w:val="auto"/>
          <w:sz w:val="24"/>
        </w:rPr>
      </w:pPr>
    </w:p>
    <w:p>
      <w:pPr>
        <w:spacing w:line="380" w:lineRule="exact"/>
        <w:ind w:firstLine="482" w:firstLineChars="200"/>
        <w:jc w:val="left"/>
        <w:rPr>
          <w:rFonts w:hint="eastAsia" w:ascii="仿宋" w:hAnsi="仿宋" w:eastAsia="仿宋" w:cs="仿宋"/>
          <w:b/>
          <w:bCs/>
          <w:color w:val="auto"/>
          <w:sz w:val="24"/>
        </w:rPr>
      </w:pPr>
      <w:bookmarkStart w:id="111" w:name="_Toc340322182"/>
      <w:bookmarkStart w:id="112" w:name="_Toc340321927"/>
      <w:bookmarkStart w:id="113" w:name="_Toc480884146"/>
      <w:bookmarkStart w:id="114" w:name="_Toc339302143"/>
      <w:r>
        <w:rPr>
          <w:rFonts w:hint="eastAsia" w:ascii="仿宋" w:hAnsi="仿宋" w:eastAsia="仿宋" w:cs="仿宋"/>
          <w:b/>
          <w:bCs/>
          <w:color w:val="auto"/>
          <w:sz w:val="24"/>
        </w:rPr>
        <w:t>第十条  附  则</w:t>
      </w:r>
      <w:bookmarkEnd w:id="111"/>
      <w:bookmarkEnd w:id="112"/>
      <w:bookmarkEnd w:id="113"/>
      <w:bookmarkEnd w:id="114"/>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（一）协议正本条款受国家《中华人民共和国民法典》的保护。</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（二）未经甲乙双方书面确认，任何一方不得自行变更或修改本协议。甲方委托相关学校负责本项目的施工、协调、监督、验收等具体事项。</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三）合同在执行过程中出现的未尽事宜，遵照《中华人民共和国民法典》有关条文，双方在不违背本合同和招标文件的原则下，协商解决，协商结果以书面形式盖章记录在案，作为本合同的附件，具有同等效力。</w:t>
      </w:r>
    </w:p>
    <w:p>
      <w:pPr>
        <w:spacing w:line="3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（四）本协议一式</w:t>
      </w:r>
      <w:r>
        <w:rPr>
          <w:rFonts w:hint="eastAsia" w:ascii="仿宋" w:hAnsi="仿宋" w:eastAsia="仿宋" w:cs="仿宋"/>
          <w:color w:val="auto"/>
          <w:sz w:val="24"/>
          <w:lang w:val="en-US" w:eastAsia="zh-CN"/>
        </w:rPr>
        <w:t>三</w:t>
      </w:r>
      <w:r>
        <w:rPr>
          <w:rFonts w:hint="eastAsia" w:ascii="仿宋" w:hAnsi="仿宋" w:eastAsia="仿宋" w:cs="仿宋"/>
          <w:color w:val="auto"/>
          <w:sz w:val="24"/>
        </w:rPr>
        <w:t>份，甲方执</w:t>
      </w:r>
      <w:r>
        <w:rPr>
          <w:rFonts w:hint="eastAsia" w:ascii="仿宋" w:hAnsi="仿宋" w:eastAsia="仿宋" w:cs="仿宋"/>
          <w:color w:val="auto"/>
          <w:sz w:val="24"/>
          <w:lang w:val="en-US" w:eastAsia="zh-CN"/>
        </w:rPr>
        <w:t>一</w:t>
      </w:r>
      <w:r>
        <w:rPr>
          <w:rFonts w:hint="eastAsia" w:ascii="仿宋" w:hAnsi="仿宋" w:eastAsia="仿宋" w:cs="仿宋"/>
          <w:color w:val="auto"/>
          <w:sz w:val="24"/>
        </w:rPr>
        <w:t>份，乙方执</w:t>
      </w:r>
      <w:r>
        <w:rPr>
          <w:rFonts w:hint="eastAsia" w:ascii="仿宋" w:hAnsi="仿宋" w:eastAsia="仿宋" w:cs="仿宋"/>
          <w:color w:val="auto"/>
          <w:sz w:val="24"/>
          <w:lang w:val="en-US" w:eastAsia="zh-CN"/>
        </w:rPr>
        <w:t>一</w:t>
      </w:r>
      <w:r>
        <w:rPr>
          <w:rFonts w:hint="eastAsia" w:ascii="仿宋" w:hAnsi="仿宋" w:eastAsia="仿宋" w:cs="仿宋"/>
          <w:color w:val="auto"/>
          <w:sz w:val="24"/>
        </w:rPr>
        <w:t>份，嵊州市公共资源交易中心执一份。合同附件和本合同均具有同等法律效力。</w:t>
      </w:r>
    </w:p>
    <w:p>
      <w:pPr>
        <w:spacing w:line="360" w:lineRule="auto"/>
        <w:ind w:firstLine="720" w:firstLineChars="300"/>
        <w:rPr>
          <w:rFonts w:hint="eastAsia" w:ascii="仿宋" w:hAnsi="仿宋" w:eastAsia="仿宋" w:cs="仿宋"/>
          <w:color w:val="auto"/>
          <w:sz w:val="24"/>
          <w:highlight w:val="none"/>
        </w:rPr>
      </w:pPr>
    </w:p>
    <w:p>
      <w:pPr>
        <w:spacing w:line="36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甲方（盖章）：                       乙方（盖章）：</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法定代表人或受委托人                 法定代表人或受委托人</w:t>
      </w:r>
    </w:p>
    <w:p>
      <w:pPr>
        <w:spacing w:line="360" w:lineRule="auto"/>
        <w:ind w:left="239" w:leftChars="114" w:firstLine="420" w:firstLineChars="175"/>
        <w:rPr>
          <w:rFonts w:ascii="仿宋" w:hAnsi="仿宋" w:eastAsia="仿宋" w:cs="仿宋"/>
          <w:color w:val="auto"/>
          <w:sz w:val="24"/>
          <w:highlight w:val="none"/>
        </w:rPr>
      </w:pPr>
      <w:r>
        <w:rPr>
          <w:rFonts w:hint="eastAsia" w:ascii="仿宋" w:hAnsi="仿宋" w:eastAsia="仿宋" w:cs="仿宋"/>
          <w:color w:val="auto"/>
          <w:sz w:val="24"/>
          <w:highlight w:val="none"/>
        </w:rPr>
        <w:t>（签名或盖章）                      （签名或盖章）</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地址： </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邮编：                               邮编：</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电话：                               电话：</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pPr>
        <w:spacing w:line="360" w:lineRule="auto"/>
        <w:ind w:left="239" w:leftChars="114" w:firstLine="477" w:firstLineChars="199"/>
        <w:rPr>
          <w:rFonts w:ascii="仿宋" w:hAnsi="仿宋" w:eastAsia="仿宋" w:cs="仿宋"/>
          <w:color w:val="auto"/>
          <w:sz w:val="24"/>
          <w:highlight w:val="none"/>
        </w:rPr>
      </w:pPr>
      <w:r>
        <w:rPr>
          <w:rFonts w:hint="eastAsia" w:ascii="仿宋" w:hAnsi="仿宋" w:eastAsia="仿宋" w:cs="仿宋"/>
          <w:color w:val="auto"/>
          <w:sz w:val="24"/>
          <w:highlight w:val="none"/>
        </w:rPr>
        <w:t>帐号：                               帐号：</w:t>
      </w:r>
    </w:p>
    <w:p>
      <w:pPr>
        <w:spacing w:line="360" w:lineRule="auto"/>
        <w:ind w:firstLine="1200" w:firstLineChars="500"/>
        <w:rPr>
          <w:rFonts w:ascii="仿宋" w:hAnsi="仿宋" w:eastAsia="仿宋" w:cs="仿宋"/>
          <w:color w:val="auto"/>
          <w:sz w:val="24"/>
          <w:highlight w:val="none"/>
        </w:rPr>
      </w:pPr>
      <w:r>
        <w:rPr>
          <w:rFonts w:hint="eastAsia" w:ascii="仿宋" w:hAnsi="仿宋" w:eastAsia="仿宋" w:cs="仿宋"/>
          <w:color w:val="auto"/>
          <w:sz w:val="24"/>
          <w:highlight w:val="none"/>
        </w:rPr>
        <w:t>年    月   日                        年   月   日</w:t>
      </w:r>
    </w:p>
    <w:p>
      <w:pPr>
        <w:rPr>
          <w:rFonts w:ascii="宋体" w:hAnsi="宋体" w:cs="宋体"/>
          <w:color w:val="auto"/>
          <w:sz w:val="24"/>
          <w:highlight w:val="none"/>
        </w:rPr>
      </w:pPr>
    </w:p>
    <w:p>
      <w:pPr>
        <w:pStyle w:val="1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推荐资格；评审得分相同的，由采购人或者采购人委托评标委员会按照招标文件规定的方式确定一个投标人获得</w:t>
      </w:r>
      <w:r>
        <w:rPr>
          <w:rFonts w:hint="eastAsia" w:ascii="仿宋" w:hAnsi="仿宋" w:eastAsia="仿宋" w:cs="仿宋"/>
          <w:b/>
          <w:color w:val="auto"/>
          <w:sz w:val="24"/>
          <w:highlight w:val="none"/>
          <w:lang w:eastAsia="zh-CN"/>
        </w:rPr>
        <w:t>中标人</w:t>
      </w:r>
      <w:r>
        <w:rPr>
          <w:rFonts w:hint="eastAsia" w:ascii="仿宋" w:hAnsi="仿宋" w:eastAsia="仿宋" w:cs="仿宋"/>
          <w:b/>
          <w:color w:val="auto"/>
          <w:sz w:val="24"/>
          <w:highlight w:val="none"/>
        </w:rPr>
        <w:t>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60</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4</w:t>
      </w:r>
      <w:r>
        <w:rPr>
          <w:rFonts w:hint="eastAsia" w:ascii="仿宋" w:hAnsi="仿宋" w:eastAsia="仿宋" w:cs="仿宋"/>
          <w:color w:val="auto"/>
          <w:sz w:val="24"/>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6</w:t>
      </w:r>
      <w:r>
        <w:rPr>
          <w:rFonts w:hint="eastAsia" w:ascii="仿宋" w:hAnsi="仿宋" w:eastAsia="仿宋" w:cs="仿宋"/>
          <w:b/>
          <w:bCs/>
          <w:iCs/>
          <w:color w:val="auto"/>
          <w:sz w:val="24"/>
        </w:rPr>
        <w:t>0分）</w:t>
      </w:r>
    </w:p>
    <w:tbl>
      <w:tblPr>
        <w:tblStyle w:val="18"/>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94"/>
        <w:gridCol w:w="6945"/>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1294"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评分内容</w:t>
            </w:r>
          </w:p>
        </w:tc>
        <w:tc>
          <w:tcPr>
            <w:tcW w:w="6945"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评</w:t>
            </w:r>
            <w:r>
              <w:rPr>
                <w:rFonts w:hint="eastAsia" w:ascii="仿宋" w:hAnsi="仿宋" w:eastAsia="仿宋" w:cs="仿宋"/>
                <w:color w:val="auto"/>
                <w:sz w:val="24"/>
                <w:lang w:val="en-US" w:eastAsia="zh-CN"/>
              </w:rPr>
              <w:t>分</w:t>
            </w:r>
            <w:r>
              <w:rPr>
                <w:rFonts w:hint="eastAsia" w:ascii="仿宋" w:hAnsi="仿宋" w:eastAsia="仿宋" w:cs="仿宋"/>
                <w:color w:val="auto"/>
                <w:sz w:val="24"/>
              </w:rPr>
              <w:t>标准</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294"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企业资质</w:t>
            </w:r>
          </w:p>
          <w:p>
            <w:pPr>
              <w:spacing w:line="440" w:lineRule="exact"/>
              <w:jc w:val="center"/>
              <w:rPr>
                <w:rFonts w:hint="eastAsia" w:ascii="仿宋" w:hAnsi="仿宋" w:eastAsia="仿宋" w:cs="仿宋"/>
                <w:color w:val="auto"/>
                <w:sz w:val="24"/>
                <w:lang w:val="en-US" w:eastAsia="zh-CN"/>
              </w:rPr>
            </w:pPr>
          </w:p>
        </w:tc>
        <w:tc>
          <w:tcPr>
            <w:tcW w:w="6945" w:type="dxa"/>
            <w:noWrap/>
            <w:vAlign w:val="center"/>
          </w:tcPr>
          <w:p>
            <w:pPr>
              <w:pStyle w:val="10"/>
              <w:spacing w:line="440" w:lineRule="exact"/>
              <w:jc w:val="left"/>
              <w:rPr>
                <w:rFonts w:hint="eastAsia" w:ascii="仿宋" w:hAnsi="仿宋" w:eastAsia="仿宋" w:cs="仿宋"/>
                <w:snapToGrid/>
                <w:color w:val="auto"/>
                <w:sz w:val="24"/>
                <w:szCs w:val="24"/>
                <w:lang w:val="en-US"/>
              </w:rPr>
            </w:pPr>
            <w:r>
              <w:rPr>
                <w:rFonts w:hint="eastAsia" w:ascii="仿宋" w:hAnsi="仿宋" w:eastAsia="仿宋" w:cs="仿宋"/>
                <w:snapToGrid/>
                <w:color w:val="auto"/>
                <w:sz w:val="24"/>
                <w:szCs w:val="24"/>
                <w:lang w:val="en-US"/>
              </w:rPr>
              <w:t>1．</w:t>
            </w:r>
            <w:r>
              <w:rPr>
                <w:rFonts w:hint="eastAsia" w:ascii="仿宋" w:hAnsi="仿宋" w:eastAsia="仿宋" w:cs="仿宋"/>
                <w:snapToGrid/>
                <w:color w:val="auto"/>
                <w:sz w:val="24"/>
                <w:szCs w:val="24"/>
                <w:lang w:val="en-US" w:eastAsia="zh-CN"/>
              </w:rPr>
              <w:t>投标人或核心产品品牌厂商</w:t>
            </w:r>
            <w:r>
              <w:rPr>
                <w:rFonts w:hint="eastAsia" w:ascii="仿宋" w:hAnsi="仿宋" w:eastAsia="仿宋" w:cs="仿宋"/>
                <w:snapToGrid/>
                <w:color w:val="auto"/>
                <w:sz w:val="24"/>
                <w:szCs w:val="24"/>
                <w:lang w:val="en-US"/>
              </w:rPr>
              <w:t>具有有效期内ISO9001质量管理体系认证的得</w:t>
            </w:r>
            <w:r>
              <w:rPr>
                <w:rFonts w:hint="eastAsia" w:ascii="仿宋" w:hAnsi="仿宋" w:eastAsia="仿宋" w:cs="仿宋"/>
                <w:snapToGrid/>
                <w:color w:val="auto"/>
                <w:sz w:val="24"/>
                <w:szCs w:val="24"/>
                <w:lang w:val="en-US" w:eastAsia="zh-CN"/>
              </w:rPr>
              <w:t>1</w:t>
            </w:r>
            <w:r>
              <w:rPr>
                <w:rFonts w:hint="eastAsia" w:ascii="仿宋" w:hAnsi="仿宋" w:eastAsia="仿宋" w:cs="仿宋"/>
                <w:snapToGrid/>
                <w:color w:val="auto"/>
                <w:sz w:val="24"/>
                <w:szCs w:val="24"/>
                <w:lang w:val="en-US"/>
              </w:rPr>
              <w:t>分</w:t>
            </w:r>
            <w:r>
              <w:rPr>
                <w:rFonts w:hint="eastAsia" w:ascii="仿宋" w:hAnsi="仿宋" w:eastAsia="仿宋" w:cs="仿宋"/>
                <w:snapToGrid/>
                <w:color w:val="auto"/>
                <w:sz w:val="24"/>
                <w:szCs w:val="24"/>
                <w:lang w:val="en-US" w:eastAsia="zh-CN"/>
              </w:rPr>
              <w:t>。</w:t>
            </w:r>
          </w:p>
          <w:p>
            <w:pPr>
              <w:spacing w:line="440" w:lineRule="exact"/>
              <w:jc w:val="left"/>
              <w:rPr>
                <w:rFonts w:hint="eastAsia" w:ascii="仿宋" w:hAnsi="仿宋" w:eastAsia="仿宋" w:cs="仿宋"/>
                <w:snapToGrid/>
                <w:color w:val="auto"/>
                <w:sz w:val="24"/>
                <w:szCs w:val="24"/>
              </w:rPr>
            </w:pPr>
            <w:r>
              <w:rPr>
                <w:rFonts w:hint="eastAsia" w:ascii="仿宋" w:hAnsi="仿宋" w:eastAsia="仿宋" w:cs="仿宋"/>
                <w:snapToGrid/>
                <w:color w:val="auto"/>
                <w:sz w:val="24"/>
                <w:szCs w:val="24"/>
              </w:rPr>
              <w:t>2．</w:t>
            </w:r>
            <w:r>
              <w:rPr>
                <w:rFonts w:hint="eastAsia" w:ascii="仿宋" w:hAnsi="仿宋" w:eastAsia="仿宋" w:cs="仿宋"/>
                <w:snapToGrid/>
                <w:color w:val="auto"/>
                <w:sz w:val="24"/>
                <w:szCs w:val="24"/>
                <w:lang w:val="en-US" w:eastAsia="zh-CN"/>
              </w:rPr>
              <w:t>投标人或核心产品品牌厂商</w:t>
            </w:r>
            <w:r>
              <w:rPr>
                <w:rFonts w:hint="eastAsia" w:ascii="仿宋" w:hAnsi="仿宋" w:eastAsia="仿宋" w:cs="仿宋"/>
                <w:snapToGrid/>
                <w:color w:val="auto"/>
                <w:sz w:val="24"/>
                <w:szCs w:val="24"/>
              </w:rPr>
              <w:t>具有有效期内ISO14001环境管理体系证书的得</w:t>
            </w:r>
            <w:r>
              <w:rPr>
                <w:rFonts w:hint="eastAsia" w:ascii="仿宋" w:hAnsi="仿宋" w:eastAsia="仿宋" w:cs="仿宋"/>
                <w:snapToGrid/>
                <w:color w:val="auto"/>
                <w:sz w:val="24"/>
                <w:szCs w:val="24"/>
                <w:lang w:val="en-US" w:eastAsia="zh-CN"/>
              </w:rPr>
              <w:t>1</w:t>
            </w:r>
            <w:r>
              <w:rPr>
                <w:rFonts w:hint="eastAsia" w:ascii="仿宋" w:hAnsi="仿宋" w:eastAsia="仿宋" w:cs="仿宋"/>
                <w:snapToGrid/>
                <w:color w:val="auto"/>
                <w:sz w:val="24"/>
                <w:szCs w:val="24"/>
              </w:rPr>
              <w:t>分</w:t>
            </w:r>
            <w:r>
              <w:rPr>
                <w:rFonts w:hint="eastAsia" w:ascii="仿宋" w:hAnsi="仿宋" w:eastAsia="仿宋" w:cs="仿宋"/>
                <w:snapToGrid/>
                <w:color w:val="auto"/>
                <w:sz w:val="24"/>
                <w:szCs w:val="24"/>
                <w:lang w:eastAsia="zh-CN"/>
              </w:rPr>
              <w:t>。</w:t>
            </w:r>
          </w:p>
          <w:p>
            <w:pPr>
              <w:pStyle w:val="10"/>
              <w:spacing w:line="440" w:lineRule="exact"/>
              <w:jc w:val="left"/>
              <w:rPr>
                <w:rFonts w:hint="eastAsia" w:ascii="仿宋" w:hAnsi="仿宋" w:eastAsia="仿宋" w:cs="仿宋"/>
                <w:snapToGrid/>
                <w:color w:val="auto"/>
                <w:sz w:val="24"/>
                <w:szCs w:val="24"/>
                <w:lang w:val="en-US" w:eastAsia="zh-CN"/>
              </w:rPr>
            </w:pPr>
            <w:r>
              <w:rPr>
                <w:rFonts w:hint="eastAsia" w:ascii="仿宋" w:hAnsi="仿宋" w:eastAsia="仿宋" w:cs="仿宋"/>
                <w:snapToGrid/>
                <w:color w:val="auto"/>
                <w:sz w:val="24"/>
                <w:szCs w:val="24"/>
                <w:lang w:val="en-US"/>
              </w:rPr>
              <w:t>3．</w:t>
            </w:r>
            <w:r>
              <w:rPr>
                <w:rFonts w:hint="eastAsia" w:ascii="仿宋" w:hAnsi="仿宋" w:eastAsia="仿宋" w:cs="仿宋"/>
                <w:snapToGrid/>
                <w:color w:val="auto"/>
                <w:sz w:val="24"/>
                <w:szCs w:val="24"/>
                <w:lang w:val="en-US" w:eastAsia="zh-CN"/>
              </w:rPr>
              <w:t>投标人或核心产品品牌厂商</w:t>
            </w:r>
            <w:r>
              <w:rPr>
                <w:rFonts w:hint="eastAsia" w:ascii="仿宋" w:hAnsi="仿宋" w:eastAsia="仿宋" w:cs="仿宋"/>
                <w:snapToGrid/>
                <w:color w:val="auto"/>
                <w:sz w:val="24"/>
                <w:szCs w:val="24"/>
                <w:lang w:val="en-US"/>
              </w:rPr>
              <w:t>具有有效期内ISO18001职业健康管理体系认证的得</w:t>
            </w:r>
            <w:r>
              <w:rPr>
                <w:rFonts w:hint="eastAsia" w:ascii="仿宋" w:hAnsi="仿宋" w:eastAsia="仿宋" w:cs="仿宋"/>
                <w:snapToGrid/>
                <w:color w:val="auto"/>
                <w:sz w:val="24"/>
                <w:szCs w:val="24"/>
                <w:lang w:val="en-US" w:eastAsia="zh-CN"/>
              </w:rPr>
              <w:t>1</w:t>
            </w:r>
            <w:r>
              <w:rPr>
                <w:rFonts w:hint="eastAsia" w:ascii="仿宋" w:hAnsi="仿宋" w:eastAsia="仿宋" w:cs="仿宋"/>
                <w:snapToGrid/>
                <w:color w:val="auto"/>
                <w:sz w:val="24"/>
                <w:szCs w:val="24"/>
                <w:lang w:val="en-US"/>
              </w:rPr>
              <w:t>分</w:t>
            </w:r>
            <w:r>
              <w:rPr>
                <w:rFonts w:hint="eastAsia" w:ascii="仿宋" w:hAnsi="仿宋" w:eastAsia="仿宋" w:cs="仿宋"/>
                <w:snapToGrid/>
                <w:color w:val="auto"/>
                <w:sz w:val="24"/>
                <w:szCs w:val="24"/>
                <w:lang w:val="en-US" w:eastAsia="zh-CN"/>
              </w:rPr>
              <w:t>。</w:t>
            </w:r>
          </w:p>
          <w:p>
            <w:pPr>
              <w:pStyle w:val="10"/>
              <w:rPr>
                <w:rFonts w:hint="eastAsia" w:ascii="仿宋" w:hAnsi="仿宋" w:eastAsia="仿宋" w:cs="仿宋"/>
                <w:snapToGrid/>
                <w:color w:val="auto"/>
                <w:szCs w:val="24"/>
                <w:lang w:val="en-US"/>
              </w:rPr>
            </w:pPr>
            <w:r>
              <w:rPr>
                <w:rFonts w:hint="eastAsia" w:ascii="仿宋" w:hAnsi="仿宋" w:eastAsia="仿宋" w:cs="仿宋"/>
                <w:snapToGrid/>
                <w:color w:val="auto"/>
                <w:sz w:val="24"/>
                <w:szCs w:val="24"/>
                <w:lang w:val="en-US" w:eastAsia="zh-CN"/>
              </w:rPr>
              <w:t>提供上述有效期内的证书扫描件。</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12"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294"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核心产品市场情况</w:t>
            </w:r>
          </w:p>
        </w:tc>
        <w:tc>
          <w:tcPr>
            <w:tcW w:w="6945" w:type="dxa"/>
            <w:noWrap/>
            <w:vAlign w:val="center"/>
          </w:tcPr>
          <w:p>
            <w:pPr>
              <w:pStyle w:val="10"/>
              <w:rPr>
                <w:rFonts w:hint="eastAsia" w:ascii="仿宋" w:hAnsi="仿宋" w:eastAsia="仿宋" w:cs="仿宋"/>
                <w:snapToGrid/>
                <w:color w:val="auto"/>
                <w:sz w:val="24"/>
                <w:szCs w:val="24"/>
                <w:lang w:val="en-US" w:eastAsia="zh-CN"/>
              </w:rPr>
            </w:pPr>
            <w:r>
              <w:rPr>
                <w:rFonts w:hint="eastAsia" w:ascii="仿宋" w:hAnsi="仿宋" w:eastAsia="仿宋" w:cs="仿宋"/>
                <w:snapToGrid/>
                <w:color w:val="auto"/>
                <w:kern w:val="2"/>
                <w:sz w:val="24"/>
                <w:szCs w:val="24"/>
                <w:lang w:val="en-US" w:eastAsia="zh-CN" w:bidi="ar-SA"/>
              </w:rPr>
              <w:t>投标人提供相关材料，评委根据材料和自身了解，对核心产品的品牌影响力、教育领域占有率、用户口碑等因素进行综合评分：优得2-3分，良得1-2分，一般得0-1分。</w:t>
            </w:r>
          </w:p>
        </w:tc>
        <w:tc>
          <w:tcPr>
            <w:tcW w:w="760"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12" w:type="dxa"/>
            <w:shd w:val="clear" w:color="auto" w:fill="auto"/>
            <w:noWrap/>
            <w:vAlign w:val="center"/>
          </w:tcPr>
          <w:p>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3</w:t>
            </w:r>
          </w:p>
        </w:tc>
        <w:tc>
          <w:tcPr>
            <w:tcW w:w="1294" w:type="dxa"/>
            <w:shd w:val="clear" w:color="auto" w:fill="auto"/>
            <w:noWrap/>
            <w:vAlign w:val="center"/>
          </w:tcPr>
          <w:p>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同类业项目业绩</w:t>
            </w:r>
          </w:p>
        </w:tc>
        <w:tc>
          <w:tcPr>
            <w:tcW w:w="6945" w:type="dxa"/>
            <w:shd w:val="clear" w:color="auto" w:fill="auto"/>
            <w:noWrap/>
            <w:vAlign w:val="center"/>
          </w:tcPr>
          <w:p>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投标人或</w:t>
            </w:r>
            <w:r>
              <w:rPr>
                <w:rFonts w:hint="eastAsia" w:ascii="仿宋" w:hAnsi="仿宋" w:eastAsia="仿宋" w:cs="仿宋"/>
                <w:color w:val="auto"/>
                <w:sz w:val="24"/>
                <w:szCs w:val="24"/>
                <w:lang w:val="en-US" w:eastAsia="zh-CN"/>
              </w:rPr>
              <w:t>所投核心产品品牌自</w:t>
            </w:r>
            <w:r>
              <w:rPr>
                <w:rFonts w:hint="eastAsia" w:ascii="仿宋" w:hAnsi="仿宋" w:eastAsia="仿宋" w:cs="仿宋"/>
                <w:color w:val="auto"/>
                <w:sz w:val="24"/>
                <w:szCs w:val="24"/>
              </w:rPr>
              <w:t>202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1月1日</w:t>
            </w:r>
            <w:r>
              <w:rPr>
                <w:rFonts w:hint="eastAsia" w:ascii="仿宋" w:hAnsi="仿宋" w:eastAsia="仿宋" w:cs="仿宋"/>
                <w:color w:val="auto"/>
                <w:sz w:val="24"/>
                <w:szCs w:val="24"/>
              </w:rPr>
              <w:t>以来</w:t>
            </w:r>
            <w:r>
              <w:rPr>
                <w:rFonts w:hint="eastAsia" w:ascii="仿宋" w:hAnsi="仿宋" w:eastAsia="仿宋" w:cs="仿宋"/>
                <w:color w:val="auto"/>
                <w:sz w:val="24"/>
                <w:szCs w:val="24"/>
                <w:lang w:val="en-US" w:eastAsia="zh-CN"/>
              </w:rPr>
              <w:t>获得的区域（区县及以上）集中采购多媒体设备项目（提供</w:t>
            </w:r>
            <w:r>
              <w:rPr>
                <w:rFonts w:hint="eastAsia" w:ascii="仿宋" w:hAnsi="仿宋" w:eastAsia="仿宋" w:cs="仿宋"/>
                <w:color w:val="auto"/>
                <w:sz w:val="24"/>
                <w:szCs w:val="24"/>
              </w:rPr>
              <w:t>成交通知书、合同</w:t>
            </w:r>
            <w:r>
              <w:rPr>
                <w:rFonts w:hint="eastAsia" w:ascii="仿宋" w:hAnsi="仿宋" w:eastAsia="仿宋" w:cs="仿宋"/>
                <w:color w:val="auto"/>
                <w:sz w:val="24"/>
                <w:szCs w:val="24"/>
                <w:lang w:eastAsia="zh-CN"/>
              </w:rPr>
              <w:t>，</w:t>
            </w:r>
            <w:r>
              <w:rPr>
                <w:rFonts w:hint="eastAsia" w:ascii="仿宋" w:hAnsi="仿宋" w:eastAsia="仿宋" w:cs="仿宋"/>
                <w:bCs w:val="0"/>
                <w:color w:val="auto"/>
                <w:kern w:val="2"/>
                <w:sz w:val="24"/>
                <w:szCs w:val="24"/>
              </w:rPr>
              <w:t>时间以合同签订时间为准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每个项目得1分，最多得3分</w:t>
            </w:r>
            <w:r>
              <w:rPr>
                <w:rFonts w:hint="eastAsia" w:ascii="仿宋" w:hAnsi="仿宋" w:eastAsia="仿宋" w:cs="仿宋"/>
                <w:color w:val="auto"/>
                <w:sz w:val="24"/>
                <w:szCs w:val="24"/>
              </w:rPr>
              <w:t>。</w:t>
            </w:r>
          </w:p>
        </w:tc>
        <w:tc>
          <w:tcPr>
            <w:tcW w:w="760" w:type="dxa"/>
            <w:shd w:val="clear" w:color="auto" w:fill="auto"/>
            <w:noWrap/>
            <w:vAlign w:val="center"/>
          </w:tcPr>
          <w:p>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12"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294"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培训方案</w:t>
            </w:r>
          </w:p>
        </w:tc>
        <w:tc>
          <w:tcPr>
            <w:tcW w:w="6945" w:type="dxa"/>
            <w:noWrap/>
            <w:vAlign w:val="center"/>
          </w:tcPr>
          <w:p>
            <w:pPr>
              <w:pStyle w:val="10"/>
              <w:rPr>
                <w:rFonts w:hint="eastAsia" w:ascii="仿宋" w:hAnsi="仿宋" w:eastAsia="仿宋" w:cs="仿宋"/>
                <w:snapToGrid/>
                <w:color w:val="auto"/>
                <w:kern w:val="2"/>
                <w:sz w:val="24"/>
                <w:szCs w:val="24"/>
                <w:lang w:val="en-US" w:eastAsia="zh-CN" w:bidi="ar-SA"/>
              </w:rPr>
            </w:pPr>
            <w:r>
              <w:rPr>
                <w:rFonts w:hint="eastAsia" w:ascii="仿宋" w:hAnsi="仿宋" w:eastAsia="仿宋" w:cs="仿宋"/>
                <w:color w:val="auto"/>
                <w:sz w:val="24"/>
              </w:rPr>
              <w:t>根据提供的培训计划和使用指导方案，从方案的完整性、实用性和合理性进行综合评分</w:t>
            </w:r>
            <w:r>
              <w:rPr>
                <w:rFonts w:hint="eastAsia" w:ascii="仿宋" w:hAnsi="仿宋" w:eastAsia="仿宋" w:cs="仿宋"/>
                <w:color w:val="auto"/>
                <w:sz w:val="24"/>
                <w:lang w:val="zh-CN"/>
              </w:rPr>
              <w:t>。</w:t>
            </w:r>
            <w:r>
              <w:rPr>
                <w:rFonts w:hint="eastAsia" w:ascii="仿宋" w:hAnsi="仿宋" w:eastAsia="仿宋" w:cs="仿宋"/>
                <w:color w:val="auto"/>
                <w:sz w:val="24"/>
              </w:rPr>
              <w:t>优秀（</w:t>
            </w:r>
            <w:r>
              <w:rPr>
                <w:rFonts w:hint="eastAsia" w:ascii="仿宋" w:hAnsi="仿宋" w:eastAsia="仿宋" w:cs="仿宋"/>
                <w:color w:val="auto"/>
                <w:sz w:val="24"/>
                <w:lang w:val="en-US" w:eastAsia="zh-CN"/>
              </w:rPr>
              <w:t>2</w:t>
            </w: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分），良好（</w:t>
            </w:r>
            <w:r>
              <w:rPr>
                <w:rFonts w:hint="eastAsia" w:ascii="仿宋" w:hAnsi="仿宋" w:eastAsia="仿宋" w:cs="仿宋"/>
                <w:color w:val="auto"/>
                <w:sz w:val="24"/>
                <w:lang w:val="en-US" w:eastAsia="zh-CN"/>
              </w:rPr>
              <w:t>1</w:t>
            </w:r>
            <w:r>
              <w:rPr>
                <w:rFonts w:hint="eastAsia" w:ascii="仿宋" w:hAnsi="仿宋" w:eastAsia="仿宋" w:cs="仿宋"/>
                <w:color w:val="auto"/>
                <w:sz w:val="24"/>
              </w:rPr>
              <w:t>-</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w:t>
            </w:r>
            <w:r>
              <w:rPr>
                <w:rFonts w:hint="eastAsia" w:ascii="仿宋" w:hAnsi="仿宋" w:eastAsia="仿宋" w:cs="仿宋"/>
                <w:color w:val="auto"/>
                <w:sz w:val="24"/>
                <w:lang w:val="en-US" w:eastAsia="zh-CN"/>
              </w:rPr>
              <w:t>0</w:t>
            </w:r>
            <w:r>
              <w:rPr>
                <w:rFonts w:hint="eastAsia" w:ascii="仿宋" w:hAnsi="仿宋" w:eastAsia="仿宋" w:cs="仿宋"/>
                <w:color w:val="auto"/>
                <w:sz w:val="24"/>
              </w:rPr>
              <w:t>-</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eastAsia="zh-CN"/>
              </w:rPr>
              <w:t>5</w:t>
            </w:r>
          </w:p>
        </w:tc>
        <w:tc>
          <w:tcPr>
            <w:tcW w:w="1294"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售后服务</w:t>
            </w:r>
          </w:p>
        </w:tc>
        <w:tc>
          <w:tcPr>
            <w:tcW w:w="6945" w:type="dxa"/>
            <w:noWrap/>
            <w:vAlign w:val="center"/>
          </w:tcPr>
          <w:p>
            <w:pPr>
              <w:spacing w:line="440" w:lineRule="exact"/>
              <w:jc w:val="left"/>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根据投标人技术实力、施工能力和售后服务方案、紧急故障处理预案、</w:t>
            </w:r>
            <w:r>
              <w:rPr>
                <w:rFonts w:hint="eastAsia" w:ascii="仿宋" w:hAnsi="仿宋" w:eastAsia="仿宋" w:cs="仿宋"/>
                <w:color w:val="auto"/>
                <w:sz w:val="24"/>
                <w:lang w:val="en-US" w:eastAsia="zh-CN"/>
              </w:rPr>
              <w:t>快速现场响应</w:t>
            </w:r>
            <w:r>
              <w:rPr>
                <w:rFonts w:hint="eastAsia" w:ascii="仿宋" w:hAnsi="仿宋" w:eastAsia="仿宋" w:cs="仿宋"/>
                <w:color w:val="auto"/>
                <w:sz w:val="24"/>
                <w:lang w:val="zh-CN" w:eastAsia="zh-CN"/>
              </w:rPr>
              <w:t>能力等进行综合评分。（0-</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eastAsia="zh-CN"/>
              </w:rPr>
              <w:t>分）</w:t>
            </w:r>
          </w:p>
          <w:p>
            <w:pPr>
              <w:spacing w:line="440" w:lineRule="exact"/>
              <w:jc w:val="left"/>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售后服务实用性强、</w:t>
            </w:r>
            <w:r>
              <w:rPr>
                <w:rFonts w:hint="eastAsia" w:ascii="仿宋" w:hAnsi="仿宋" w:eastAsia="仿宋" w:cs="仿宋"/>
                <w:color w:val="auto"/>
                <w:sz w:val="24"/>
                <w:lang w:val="en-US" w:eastAsia="zh-CN"/>
              </w:rPr>
              <w:t>快速现场响应</w:t>
            </w:r>
            <w:r>
              <w:rPr>
                <w:rFonts w:hint="eastAsia" w:ascii="仿宋" w:hAnsi="仿宋" w:eastAsia="仿宋" w:cs="仿宋"/>
                <w:color w:val="auto"/>
                <w:sz w:val="24"/>
                <w:lang w:val="zh-CN" w:eastAsia="zh-CN"/>
              </w:rPr>
              <w:t>措施周全可行的得</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eastAsia="zh-CN"/>
              </w:rPr>
              <w:t>分</w:t>
            </w:r>
            <w:r>
              <w:rPr>
                <w:rFonts w:hint="eastAsia" w:ascii="仿宋" w:hAnsi="仿宋" w:eastAsia="仿宋" w:cs="仿宋"/>
                <w:color w:val="auto"/>
                <w:sz w:val="24"/>
                <w:lang w:val="en-US" w:eastAsia="zh-CN"/>
              </w:rPr>
              <w:t>；</w:t>
            </w:r>
          </w:p>
          <w:p>
            <w:pPr>
              <w:spacing w:line="440" w:lineRule="exact"/>
              <w:jc w:val="left"/>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售后服务实用性较强、</w:t>
            </w:r>
            <w:r>
              <w:rPr>
                <w:rFonts w:hint="eastAsia" w:ascii="仿宋" w:hAnsi="仿宋" w:eastAsia="仿宋" w:cs="仿宋"/>
                <w:color w:val="auto"/>
                <w:sz w:val="24"/>
                <w:lang w:val="en-US" w:eastAsia="zh-CN"/>
              </w:rPr>
              <w:t>快速现场响应</w:t>
            </w:r>
            <w:r>
              <w:rPr>
                <w:rFonts w:hint="eastAsia" w:ascii="仿宋" w:hAnsi="仿宋" w:eastAsia="仿宋" w:cs="仿宋"/>
                <w:color w:val="auto"/>
                <w:sz w:val="24"/>
                <w:lang w:val="zh-CN" w:eastAsia="zh-CN"/>
              </w:rPr>
              <w:t>措施较周全可行的得</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eastAsia="zh-CN"/>
              </w:rPr>
              <w:t>分</w:t>
            </w:r>
            <w:r>
              <w:rPr>
                <w:rFonts w:hint="eastAsia" w:ascii="仿宋" w:hAnsi="仿宋" w:eastAsia="仿宋" w:cs="仿宋"/>
                <w:color w:val="auto"/>
                <w:sz w:val="24"/>
                <w:lang w:val="en-US" w:eastAsia="zh-CN"/>
              </w:rPr>
              <w:t>；</w:t>
            </w:r>
          </w:p>
          <w:p>
            <w:pPr>
              <w:spacing w:line="440" w:lineRule="exact"/>
              <w:jc w:val="left"/>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售后服务实用性不强、</w:t>
            </w:r>
            <w:r>
              <w:rPr>
                <w:rFonts w:hint="eastAsia" w:ascii="仿宋" w:hAnsi="仿宋" w:eastAsia="仿宋" w:cs="仿宋"/>
                <w:color w:val="auto"/>
                <w:sz w:val="24"/>
                <w:lang w:val="en-US" w:eastAsia="zh-CN"/>
              </w:rPr>
              <w:t>快速现场响应</w:t>
            </w:r>
            <w:r>
              <w:rPr>
                <w:rFonts w:hint="eastAsia" w:ascii="仿宋" w:hAnsi="仿宋" w:eastAsia="仿宋" w:cs="仿宋"/>
                <w:color w:val="auto"/>
                <w:sz w:val="24"/>
                <w:lang w:val="zh-CN" w:eastAsia="zh-CN"/>
              </w:rPr>
              <w:t>保障措施欠周全可行的得</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eastAsia="zh-CN"/>
              </w:rPr>
              <w:t>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zh-CN" w:eastAsia="zh-CN"/>
              </w:rPr>
              <w:t>未提供方案的不得分。</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eastAsia="zh-CN"/>
              </w:rPr>
              <w:t>6</w:t>
            </w:r>
          </w:p>
        </w:tc>
        <w:tc>
          <w:tcPr>
            <w:tcW w:w="1294"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技术指标响应</w:t>
            </w:r>
          </w:p>
        </w:tc>
        <w:tc>
          <w:tcPr>
            <w:tcW w:w="6945" w:type="dxa"/>
            <w:noWrap/>
            <w:vAlign w:val="center"/>
          </w:tcPr>
          <w:p>
            <w:pPr>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rPr>
              <w:t>投标产品完全响应技术参数要求得2</w:t>
            </w:r>
            <w:r>
              <w:rPr>
                <w:rFonts w:hint="eastAsia" w:ascii="仿宋" w:hAnsi="仿宋" w:eastAsia="仿宋" w:cs="仿宋"/>
                <w:color w:val="auto"/>
                <w:sz w:val="24"/>
                <w:lang w:val="en-US" w:eastAsia="zh-CN"/>
              </w:rPr>
              <w:t>4</w:t>
            </w:r>
            <w:r>
              <w:rPr>
                <w:rFonts w:hint="eastAsia" w:ascii="仿宋" w:hAnsi="仿宋" w:eastAsia="仿宋" w:cs="仿宋"/>
                <w:color w:val="auto"/>
                <w:sz w:val="24"/>
              </w:rPr>
              <w:t>分，正偏离不加分。</w:t>
            </w:r>
            <w:r>
              <w:rPr>
                <w:rFonts w:hint="eastAsia" w:ascii="仿宋" w:hAnsi="仿宋" w:eastAsia="仿宋" w:cs="仿宋"/>
                <w:color w:val="auto"/>
                <w:sz w:val="24"/>
                <w:lang w:eastAsia="zh-CN"/>
              </w:rPr>
              <w:t>打</w:t>
            </w:r>
            <w:r>
              <w:rPr>
                <w:rFonts w:hint="eastAsia" w:ascii="仿宋" w:hAnsi="仿宋" w:eastAsia="仿宋" w:cs="仿宋"/>
                <w:color w:val="auto"/>
                <w:sz w:val="24"/>
                <w:highlight w:val="none"/>
              </w:rPr>
              <w:t>“★”</w:t>
            </w:r>
            <w:r>
              <w:rPr>
                <w:rFonts w:hint="eastAsia" w:ascii="仿宋" w:hAnsi="仿宋" w:eastAsia="仿宋" w:cs="仿宋"/>
                <w:color w:val="auto"/>
                <w:sz w:val="24"/>
              </w:rPr>
              <w:t>技术参数有负偏离或缺漏项的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作无效标处理；</w:t>
            </w:r>
            <w:r>
              <w:rPr>
                <w:rFonts w:hint="eastAsia" w:ascii="仿宋" w:hAnsi="仿宋" w:eastAsia="仿宋" w:cs="仿宋"/>
                <w:color w:val="auto"/>
                <w:sz w:val="24"/>
              </w:rPr>
              <w:t>打“▲”技术参数有负偏离或缺漏项的</w:t>
            </w:r>
            <w:r>
              <w:rPr>
                <w:rFonts w:hint="eastAsia" w:ascii="仿宋" w:hAnsi="仿宋" w:eastAsia="仿宋" w:cs="仿宋"/>
                <w:color w:val="auto"/>
                <w:sz w:val="24"/>
                <w:lang w:val="en-US" w:eastAsia="zh-CN"/>
              </w:rPr>
              <w:t>每一项扣4分；其他</w:t>
            </w:r>
            <w:r>
              <w:rPr>
                <w:rFonts w:hint="eastAsia" w:ascii="仿宋" w:hAnsi="仿宋" w:eastAsia="仿宋" w:cs="仿宋"/>
                <w:color w:val="auto"/>
                <w:sz w:val="24"/>
              </w:rPr>
              <w:t>技术参数有负偏离或缺漏项的每一项扣</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val="en-US" w:eastAsia="zh-CN"/>
              </w:rPr>
              <w:t>扣完为止</w:t>
            </w:r>
            <w:r>
              <w:rPr>
                <w:rFonts w:hint="eastAsia" w:ascii="仿宋" w:hAnsi="仿宋" w:eastAsia="仿宋" w:cs="仿宋"/>
                <w:color w:val="auto"/>
                <w:sz w:val="24"/>
              </w:rPr>
              <w:t>。</w:t>
            </w:r>
          </w:p>
        </w:tc>
        <w:tc>
          <w:tcPr>
            <w:tcW w:w="760" w:type="dxa"/>
            <w:noWrap/>
            <w:vAlign w:val="center"/>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eastAsia="zh-CN"/>
              </w:rPr>
              <w:t>7</w:t>
            </w:r>
          </w:p>
        </w:tc>
        <w:tc>
          <w:tcPr>
            <w:tcW w:w="1294" w:type="dxa"/>
            <w:noWrap/>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信息安全</w:t>
            </w:r>
          </w:p>
        </w:tc>
        <w:tc>
          <w:tcPr>
            <w:tcW w:w="6945" w:type="dxa"/>
            <w:noWrap/>
            <w:vAlign w:val="center"/>
          </w:tcPr>
          <w:p>
            <w:pPr>
              <w:numPr>
                <w:ilvl w:val="0"/>
                <w:numId w:val="9"/>
              </w:numPr>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触控一体机品牌厂商</w:t>
            </w:r>
            <w:r>
              <w:rPr>
                <w:rFonts w:hint="eastAsia" w:ascii="仿宋" w:hAnsi="仿宋" w:eastAsia="仿宋" w:cs="仿宋"/>
                <w:color w:val="auto"/>
                <w:sz w:val="24"/>
                <w:highlight w:val="none"/>
              </w:rPr>
              <w:t>具备信息系统安全应急处理三级或以上服务资质</w:t>
            </w:r>
            <w:r>
              <w:rPr>
                <w:rFonts w:hint="eastAsia" w:ascii="仿宋" w:hAnsi="仿宋" w:eastAsia="仿宋" w:cs="仿宋"/>
                <w:color w:val="auto"/>
                <w:sz w:val="24"/>
                <w:highlight w:val="none"/>
                <w:lang w:val="en-US" w:eastAsia="zh-CN"/>
              </w:rPr>
              <w:t>得1分。</w:t>
            </w:r>
          </w:p>
          <w:p>
            <w:pPr>
              <w:numPr>
                <w:ilvl w:val="0"/>
                <w:numId w:val="9"/>
              </w:num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多媒体集控</w:t>
            </w:r>
            <w:r>
              <w:rPr>
                <w:rFonts w:hint="eastAsia" w:ascii="仿宋" w:hAnsi="仿宋" w:eastAsia="仿宋" w:cs="仿宋"/>
                <w:color w:val="auto"/>
                <w:sz w:val="24"/>
                <w:szCs w:val="24"/>
                <w:highlight w:val="none"/>
                <w:lang w:val="en-US" w:eastAsia="zh-CN"/>
              </w:rPr>
              <w:t>管理系统具备信息安全</w:t>
            </w:r>
            <w:r>
              <w:rPr>
                <w:rFonts w:hint="eastAsia" w:ascii="仿宋" w:hAnsi="仿宋" w:eastAsia="仿宋" w:cs="仿宋"/>
                <w:i w:val="0"/>
                <w:iCs w:val="0"/>
                <w:caps w:val="0"/>
                <w:color w:val="auto"/>
                <w:spacing w:val="0"/>
                <w:sz w:val="24"/>
                <w:szCs w:val="24"/>
                <w:highlight w:val="none"/>
                <w:shd w:val="clear" w:fill="auto"/>
              </w:rPr>
              <w:t>等级保护</w:t>
            </w:r>
            <w:r>
              <w:rPr>
                <w:rFonts w:hint="eastAsia" w:ascii="仿宋" w:hAnsi="仿宋" w:eastAsia="仿宋" w:cs="仿宋"/>
                <w:i w:val="0"/>
                <w:iCs w:val="0"/>
                <w:caps w:val="0"/>
                <w:color w:val="auto"/>
                <w:spacing w:val="0"/>
                <w:sz w:val="24"/>
                <w:szCs w:val="24"/>
                <w:highlight w:val="none"/>
                <w:shd w:val="clear"/>
                <w:lang w:eastAsia="zh-CN"/>
              </w:rPr>
              <w:t>（</w:t>
            </w:r>
            <w:r>
              <w:rPr>
                <w:rFonts w:hint="eastAsia" w:ascii="仿宋" w:hAnsi="仿宋" w:eastAsia="仿宋" w:cs="仿宋"/>
                <w:color w:val="auto"/>
                <w:sz w:val="24"/>
                <w:szCs w:val="24"/>
                <w:highlight w:val="none"/>
                <w:lang w:val="en-US" w:eastAsia="zh-CN"/>
              </w:rPr>
              <w:t>三级）证书得1分</w:t>
            </w:r>
            <w:r>
              <w:rPr>
                <w:rFonts w:hint="eastAsia" w:ascii="仿宋" w:hAnsi="仿宋" w:eastAsia="仿宋" w:cs="仿宋"/>
                <w:color w:val="auto"/>
                <w:sz w:val="24"/>
                <w:szCs w:val="24"/>
                <w:lang w:val="en-US" w:eastAsia="zh-CN"/>
              </w:rPr>
              <w:t>。</w:t>
            </w:r>
          </w:p>
          <w:p>
            <w:pPr>
              <w:numPr>
                <w:numId w:val="0"/>
              </w:num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相关</w:t>
            </w:r>
            <w:r>
              <w:rPr>
                <w:rFonts w:hint="eastAsia" w:ascii="仿宋" w:hAnsi="仿宋" w:eastAsia="仿宋" w:cs="仿宋"/>
                <w:color w:val="auto"/>
                <w:sz w:val="24"/>
                <w:highlight w:val="none"/>
              </w:rPr>
              <w:t>证书复印件并加盖</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公章。</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12"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eastAsia="zh-CN"/>
              </w:rPr>
              <w:t>8</w:t>
            </w:r>
          </w:p>
        </w:tc>
        <w:tc>
          <w:tcPr>
            <w:tcW w:w="1294" w:type="dxa"/>
            <w:noWrap/>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视觉</w:t>
            </w:r>
            <w:r>
              <w:rPr>
                <w:rFonts w:hint="eastAsia" w:ascii="仿宋" w:hAnsi="仿宋" w:eastAsia="仿宋" w:cs="仿宋"/>
                <w:color w:val="auto"/>
                <w:sz w:val="24"/>
                <w:highlight w:val="none"/>
                <w:lang w:val="en-US" w:eastAsia="zh-CN"/>
              </w:rPr>
              <w:t>健康</w:t>
            </w:r>
          </w:p>
        </w:tc>
        <w:tc>
          <w:tcPr>
            <w:tcW w:w="6945" w:type="dxa"/>
            <w:noWrap/>
            <w:vAlign w:val="center"/>
          </w:tcPr>
          <w:p>
            <w:pPr>
              <w:spacing w:line="44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触控一体机</w:t>
            </w:r>
            <w:r>
              <w:rPr>
                <w:rFonts w:hint="eastAsia" w:ascii="仿宋" w:hAnsi="仿宋" w:eastAsia="仿宋" w:cs="仿宋"/>
                <w:color w:val="auto"/>
                <w:sz w:val="24"/>
                <w:highlight w:val="none"/>
              </w:rPr>
              <w:t>通过由中国标准化研究院制定的视觉舒适度（VICO）体系认证，达到视觉健康舒适度A</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级或以上标准</w:t>
            </w:r>
            <w:r>
              <w:rPr>
                <w:rFonts w:hint="eastAsia" w:ascii="仿宋" w:hAnsi="仿宋" w:eastAsia="仿宋" w:cs="仿宋"/>
                <w:color w:val="auto"/>
                <w:sz w:val="24"/>
                <w:highlight w:val="none"/>
                <w:lang w:val="en-US" w:eastAsia="zh-CN"/>
              </w:rPr>
              <w:t>得2分，A级得1分，其他不得分。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提供中国标准化研究院或其他国家级社会公益类标准化科研机构出具的证书及测试报告复印件并加盖</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公章。</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restart"/>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eastAsia="zh-CN"/>
              </w:rPr>
              <w:t>9</w:t>
            </w:r>
          </w:p>
        </w:tc>
        <w:tc>
          <w:tcPr>
            <w:tcW w:w="1294" w:type="dxa"/>
            <w:vMerge w:val="restart"/>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样品与功能演示</w:t>
            </w:r>
          </w:p>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（投标</w:t>
            </w:r>
            <w:r>
              <w:rPr>
                <w:rFonts w:hint="eastAsia" w:ascii="仿宋" w:hAnsi="仿宋" w:eastAsia="仿宋" w:cs="仿宋"/>
                <w:color w:val="auto"/>
                <w:sz w:val="24"/>
                <w:lang w:eastAsia="zh-CN"/>
              </w:rPr>
              <w:t>人</w:t>
            </w:r>
            <w:r>
              <w:rPr>
                <w:rFonts w:hint="eastAsia" w:ascii="仿宋" w:hAnsi="仿宋" w:eastAsia="仿宋" w:cs="仿宋"/>
                <w:color w:val="auto"/>
                <w:sz w:val="24"/>
              </w:rPr>
              <w:t>不提供样品</w:t>
            </w:r>
            <w:r>
              <w:rPr>
                <w:rFonts w:hint="eastAsia" w:ascii="仿宋" w:hAnsi="仿宋" w:eastAsia="仿宋" w:cs="仿宋"/>
                <w:color w:val="auto"/>
                <w:sz w:val="24"/>
                <w:lang w:val="en-US" w:eastAsia="zh-CN"/>
              </w:rPr>
              <w:t>或者样品不全的</w:t>
            </w:r>
            <w:r>
              <w:rPr>
                <w:rFonts w:hint="eastAsia" w:ascii="仿宋" w:hAnsi="仿宋" w:eastAsia="仿宋" w:cs="仿宋"/>
                <w:color w:val="auto"/>
                <w:sz w:val="24"/>
                <w:lang w:eastAsia="zh-CN"/>
              </w:rPr>
              <w:t>作无效标处理</w:t>
            </w:r>
            <w:r>
              <w:rPr>
                <w:rFonts w:hint="eastAsia" w:ascii="仿宋" w:hAnsi="仿宋" w:eastAsia="仿宋" w:cs="仿宋"/>
                <w:color w:val="auto"/>
                <w:sz w:val="24"/>
              </w:rPr>
              <w:t>）</w:t>
            </w:r>
          </w:p>
        </w:tc>
        <w:tc>
          <w:tcPr>
            <w:tcW w:w="6945" w:type="dxa"/>
            <w:noWrap/>
            <w:vAlign w:val="center"/>
          </w:tcPr>
          <w:p>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rPr>
              <w:t>1.AI课件生成：根据教学主题，一键生成教学目标、教学大纲、教学课件与教案，老师可对生成的课件二次编辑，</w:t>
            </w:r>
            <w:r>
              <w:rPr>
                <w:rFonts w:hint="eastAsia" w:ascii="仿宋" w:hAnsi="仿宋" w:eastAsia="仿宋" w:cs="仿宋"/>
                <w:color w:val="auto"/>
                <w:sz w:val="24"/>
                <w:lang w:eastAsia="zh-Hans"/>
              </w:rPr>
              <w:t>支持在线</w:t>
            </w:r>
            <w:r>
              <w:rPr>
                <w:rFonts w:hint="eastAsia" w:ascii="仿宋" w:hAnsi="仿宋" w:eastAsia="仿宋" w:cs="仿宋"/>
                <w:color w:val="auto"/>
                <w:sz w:val="24"/>
                <w:lang w:val="en-US" w:eastAsia="zh-CN"/>
              </w:rPr>
              <w:t>视频链接</w:t>
            </w:r>
            <w:r>
              <w:rPr>
                <w:rFonts w:hint="eastAsia" w:ascii="仿宋" w:hAnsi="仿宋" w:eastAsia="仿宋" w:cs="仿宋"/>
                <w:color w:val="auto"/>
                <w:sz w:val="24"/>
                <w:lang w:eastAsia="zh-Hans"/>
              </w:rPr>
              <w:t>播放</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AI</w:t>
            </w:r>
            <w:r>
              <w:rPr>
                <w:rFonts w:hint="eastAsia" w:ascii="仿宋" w:hAnsi="仿宋" w:eastAsia="仿宋" w:cs="仿宋"/>
                <w:color w:val="auto"/>
                <w:sz w:val="24"/>
              </w:rPr>
              <w:t>配图、文生图、更换课件主题风格等操作（不</w:t>
            </w:r>
            <w:r>
              <w:rPr>
                <w:rFonts w:hint="eastAsia" w:ascii="仿宋" w:hAnsi="仿宋" w:eastAsia="仿宋" w:cs="仿宋"/>
                <w:color w:val="auto"/>
                <w:sz w:val="24"/>
                <w:lang w:val="en-US" w:eastAsia="zh-CN"/>
              </w:rPr>
              <w:t>建议</w:t>
            </w:r>
            <w:r>
              <w:rPr>
                <w:rFonts w:hint="eastAsia" w:ascii="仿宋" w:hAnsi="仿宋" w:eastAsia="仿宋" w:cs="仿宋"/>
                <w:color w:val="auto"/>
                <w:sz w:val="24"/>
              </w:rPr>
              <w:t>使用第三方通用大模型软件）优秀（2-3分），良好（1-</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continue"/>
            <w:noWrap/>
            <w:vAlign w:val="center"/>
          </w:tcPr>
          <w:p>
            <w:pPr>
              <w:spacing w:line="440" w:lineRule="exact"/>
              <w:jc w:val="center"/>
              <w:rPr>
                <w:rFonts w:hint="eastAsia" w:ascii="仿宋" w:hAnsi="仿宋" w:eastAsia="仿宋" w:cs="仿宋"/>
                <w:color w:val="auto"/>
                <w:sz w:val="24"/>
              </w:rPr>
            </w:pPr>
          </w:p>
        </w:tc>
        <w:tc>
          <w:tcPr>
            <w:tcW w:w="1294" w:type="dxa"/>
            <w:vMerge w:val="continue"/>
            <w:noWrap/>
            <w:vAlign w:val="center"/>
          </w:tcPr>
          <w:p>
            <w:pPr>
              <w:spacing w:line="440" w:lineRule="exact"/>
              <w:jc w:val="center"/>
              <w:rPr>
                <w:rFonts w:hint="eastAsia" w:ascii="仿宋" w:hAnsi="仿宋" w:eastAsia="仿宋" w:cs="仿宋"/>
                <w:color w:val="auto"/>
                <w:sz w:val="24"/>
              </w:rPr>
            </w:pPr>
          </w:p>
        </w:tc>
        <w:tc>
          <w:tcPr>
            <w:tcW w:w="6945" w:type="dxa"/>
            <w:noWrap/>
            <w:vAlign w:val="center"/>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触控一体机白板软件支持快速录制微课，支持屏幕内容及教室声音画面同时进行录制；支持对微课进行剪辑拆分以及删除；支持对微课内容进行教学元素的插入；支持通过点击关键帧方式快速精准定位微课内容；支持对微课的高效分享。优秀（2-3分），良好（1-</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continue"/>
            <w:noWrap/>
            <w:vAlign w:val="center"/>
          </w:tcPr>
          <w:p>
            <w:pPr>
              <w:spacing w:line="440" w:lineRule="exact"/>
              <w:jc w:val="center"/>
              <w:rPr>
                <w:rFonts w:hint="eastAsia" w:ascii="仿宋" w:hAnsi="仿宋" w:eastAsia="仿宋" w:cs="仿宋"/>
                <w:color w:val="auto"/>
                <w:sz w:val="24"/>
              </w:rPr>
            </w:pPr>
          </w:p>
        </w:tc>
        <w:tc>
          <w:tcPr>
            <w:tcW w:w="1294" w:type="dxa"/>
            <w:vMerge w:val="continue"/>
            <w:noWrap/>
            <w:vAlign w:val="center"/>
          </w:tcPr>
          <w:p>
            <w:pPr>
              <w:spacing w:line="440" w:lineRule="exact"/>
              <w:jc w:val="center"/>
              <w:rPr>
                <w:rFonts w:hint="eastAsia" w:ascii="仿宋" w:hAnsi="仿宋" w:eastAsia="仿宋" w:cs="仿宋"/>
                <w:color w:val="auto"/>
                <w:sz w:val="24"/>
              </w:rPr>
            </w:pPr>
          </w:p>
        </w:tc>
        <w:tc>
          <w:tcPr>
            <w:tcW w:w="6945" w:type="dxa"/>
            <w:noWrap/>
            <w:vAlign w:val="center"/>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3.教学大纲编辑：演示对教学大纲进行</w:t>
            </w:r>
            <w:r>
              <w:rPr>
                <w:rFonts w:hint="eastAsia" w:ascii="仿宋" w:hAnsi="仿宋" w:eastAsia="仿宋" w:cs="仿宋"/>
                <w:color w:val="auto"/>
                <w:sz w:val="24"/>
                <w:lang w:val="en-US" w:eastAsia="zh-CN"/>
              </w:rPr>
              <w:t>个性化</w:t>
            </w:r>
            <w:r>
              <w:rPr>
                <w:rFonts w:hint="eastAsia" w:ascii="仿宋" w:hAnsi="仿宋" w:eastAsia="仿宋" w:cs="仿宋"/>
                <w:color w:val="auto"/>
                <w:sz w:val="24"/>
              </w:rPr>
              <w:t>编辑，包括添加二级、三级主题以及对课件内容进行编辑；支持AI拓展和优化，提供智能拓展、跨学科、新课标等三种</w:t>
            </w:r>
            <w:r>
              <w:rPr>
                <w:rFonts w:hint="eastAsia" w:ascii="仿宋" w:hAnsi="仿宋" w:eastAsia="仿宋" w:cs="仿宋"/>
                <w:color w:val="auto"/>
                <w:sz w:val="24"/>
                <w:lang w:val="en-US" w:eastAsia="zh-CN"/>
              </w:rPr>
              <w:t>方式进行</w:t>
            </w:r>
            <w:r>
              <w:rPr>
                <w:rFonts w:hint="eastAsia" w:ascii="仿宋" w:hAnsi="仿宋" w:eastAsia="仿宋" w:cs="仿宋"/>
                <w:color w:val="auto"/>
                <w:sz w:val="24"/>
              </w:rPr>
              <w:t>拓展，根据输入的内容主题进一步生成大纲（不</w:t>
            </w:r>
            <w:r>
              <w:rPr>
                <w:rFonts w:hint="eastAsia" w:ascii="仿宋" w:hAnsi="仿宋" w:eastAsia="仿宋" w:cs="仿宋"/>
                <w:color w:val="auto"/>
                <w:sz w:val="24"/>
                <w:lang w:val="en-US" w:eastAsia="zh-CN"/>
              </w:rPr>
              <w:t>建议</w:t>
            </w:r>
            <w:r>
              <w:rPr>
                <w:rFonts w:hint="eastAsia" w:ascii="仿宋" w:hAnsi="仿宋" w:eastAsia="仿宋" w:cs="仿宋"/>
                <w:color w:val="auto"/>
                <w:sz w:val="24"/>
              </w:rPr>
              <w:t>使用第三方通用大模型软件）优秀（2-3分），良好（1-</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continue"/>
            <w:noWrap/>
            <w:vAlign w:val="center"/>
          </w:tcPr>
          <w:p>
            <w:pPr>
              <w:spacing w:line="440" w:lineRule="exact"/>
              <w:jc w:val="center"/>
              <w:rPr>
                <w:rFonts w:hint="eastAsia" w:ascii="仿宋" w:hAnsi="仿宋" w:eastAsia="仿宋" w:cs="仿宋"/>
                <w:color w:val="auto"/>
                <w:sz w:val="24"/>
              </w:rPr>
            </w:pPr>
          </w:p>
        </w:tc>
        <w:tc>
          <w:tcPr>
            <w:tcW w:w="1294" w:type="dxa"/>
            <w:vMerge w:val="continue"/>
            <w:noWrap/>
            <w:vAlign w:val="center"/>
          </w:tcPr>
          <w:p>
            <w:pPr>
              <w:spacing w:line="440" w:lineRule="exact"/>
              <w:jc w:val="center"/>
              <w:rPr>
                <w:rFonts w:hint="eastAsia" w:ascii="仿宋" w:hAnsi="仿宋" w:eastAsia="仿宋" w:cs="仿宋"/>
                <w:color w:val="auto"/>
                <w:sz w:val="24"/>
              </w:rPr>
            </w:pPr>
          </w:p>
        </w:tc>
        <w:tc>
          <w:tcPr>
            <w:tcW w:w="6945" w:type="dxa"/>
            <w:noWrap/>
            <w:vAlign w:val="center"/>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4.触控一体机</w:t>
            </w:r>
            <w:r>
              <w:rPr>
                <w:rFonts w:hint="eastAsia" w:ascii="仿宋" w:hAnsi="仿宋" w:eastAsia="仿宋" w:cs="仿宋"/>
                <w:color w:val="auto"/>
                <w:sz w:val="24"/>
                <w:lang w:val="en-US" w:eastAsia="zh-CN"/>
              </w:rPr>
              <w:t>硬件</w:t>
            </w:r>
            <w:r>
              <w:rPr>
                <w:rFonts w:hint="eastAsia" w:ascii="仿宋" w:hAnsi="仿宋" w:eastAsia="仿宋" w:cs="仿宋"/>
                <w:color w:val="auto"/>
                <w:sz w:val="24"/>
                <w:lang w:val="zh-CN"/>
              </w:rPr>
              <w:t>整体</w:t>
            </w:r>
            <w:r>
              <w:rPr>
                <w:rFonts w:hint="eastAsia" w:ascii="仿宋" w:hAnsi="仿宋" w:eastAsia="仿宋" w:cs="仿宋"/>
                <w:color w:val="auto"/>
                <w:sz w:val="24"/>
                <w:lang w:val="en-US" w:eastAsia="zh-CN"/>
              </w:rPr>
              <w:t>性能展示</w:t>
            </w:r>
            <w:r>
              <w:rPr>
                <w:rFonts w:hint="eastAsia" w:ascii="仿宋" w:hAnsi="仿宋" w:eastAsia="仿宋" w:cs="仿宋"/>
                <w:color w:val="auto"/>
                <w:sz w:val="24"/>
                <w:lang w:val="zh-CN"/>
              </w:rPr>
              <w:t>效果情况</w:t>
            </w:r>
            <w:r>
              <w:rPr>
                <w:rFonts w:hint="eastAsia" w:ascii="仿宋" w:hAnsi="仿宋" w:eastAsia="仿宋" w:cs="仿宋"/>
                <w:color w:val="auto"/>
                <w:sz w:val="24"/>
              </w:rPr>
              <w:t>：</w:t>
            </w:r>
            <w:r>
              <w:rPr>
                <w:rFonts w:hint="eastAsia" w:ascii="仿宋" w:hAnsi="仿宋" w:eastAsia="仿宋" w:cs="仿宋"/>
                <w:color w:val="auto"/>
                <w:sz w:val="24"/>
                <w:lang w:val="en-US" w:eastAsia="zh-CN"/>
              </w:rPr>
              <w:t>针对</w:t>
            </w:r>
            <w:r>
              <w:rPr>
                <w:rFonts w:hint="eastAsia" w:ascii="仿宋" w:hAnsi="仿宋" w:eastAsia="仿宋" w:cs="仿宋"/>
                <w:color w:val="auto"/>
                <w:sz w:val="24"/>
              </w:rPr>
              <w:t>投标产品</w:t>
            </w:r>
            <w:r>
              <w:rPr>
                <w:rFonts w:hint="eastAsia" w:ascii="仿宋" w:hAnsi="仿宋" w:eastAsia="仿宋" w:cs="仿宋"/>
                <w:color w:val="auto"/>
                <w:sz w:val="24"/>
                <w:lang w:val="en-US" w:eastAsia="zh-CN"/>
              </w:rPr>
              <w:t>硬件集成化程度、使用安全性、操作便捷性等硬件性能</w:t>
            </w:r>
            <w:r>
              <w:rPr>
                <w:rFonts w:hint="eastAsia" w:ascii="仿宋" w:hAnsi="仿宋" w:eastAsia="仿宋" w:cs="仿宋"/>
                <w:color w:val="auto"/>
                <w:sz w:val="24"/>
                <w:lang w:val="zh-CN"/>
              </w:rPr>
              <w:t>演示综合效果情况。</w:t>
            </w:r>
            <w:r>
              <w:rPr>
                <w:rFonts w:hint="eastAsia" w:ascii="仿宋" w:hAnsi="仿宋" w:eastAsia="仿宋" w:cs="仿宋"/>
                <w:color w:val="auto"/>
                <w:sz w:val="24"/>
              </w:rPr>
              <w:t>优秀（2-3分），良好（1-</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continue"/>
            <w:noWrap/>
            <w:vAlign w:val="center"/>
          </w:tcPr>
          <w:p>
            <w:pPr>
              <w:spacing w:line="440" w:lineRule="exact"/>
              <w:jc w:val="center"/>
              <w:rPr>
                <w:rFonts w:hint="eastAsia" w:ascii="仿宋" w:hAnsi="仿宋" w:eastAsia="仿宋" w:cs="仿宋"/>
                <w:color w:val="auto"/>
                <w:sz w:val="24"/>
              </w:rPr>
            </w:pPr>
          </w:p>
        </w:tc>
        <w:tc>
          <w:tcPr>
            <w:tcW w:w="1294" w:type="dxa"/>
            <w:vMerge w:val="continue"/>
            <w:noWrap/>
            <w:vAlign w:val="center"/>
          </w:tcPr>
          <w:p>
            <w:pPr>
              <w:spacing w:line="440" w:lineRule="exact"/>
              <w:jc w:val="center"/>
              <w:rPr>
                <w:rFonts w:hint="eastAsia" w:ascii="仿宋" w:hAnsi="仿宋" w:eastAsia="仿宋" w:cs="仿宋"/>
                <w:color w:val="auto"/>
                <w:sz w:val="24"/>
              </w:rPr>
            </w:pPr>
          </w:p>
        </w:tc>
        <w:tc>
          <w:tcPr>
            <w:tcW w:w="6945" w:type="dxa"/>
            <w:noWrap/>
            <w:vAlign w:val="center"/>
          </w:tcPr>
          <w:p>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r>
              <w:rPr>
                <w:rFonts w:hint="eastAsia" w:ascii="仿宋" w:hAnsi="仿宋" w:eastAsia="仿宋" w:cs="仿宋"/>
                <w:color w:val="auto"/>
                <w:sz w:val="24"/>
              </w:rPr>
              <w:t>触控一体机特色</w:t>
            </w:r>
            <w:r>
              <w:rPr>
                <w:rFonts w:hint="eastAsia" w:ascii="仿宋" w:hAnsi="仿宋" w:eastAsia="仿宋" w:cs="仿宋"/>
                <w:color w:val="auto"/>
                <w:sz w:val="24"/>
                <w:lang w:val="en-US" w:eastAsia="zh-CN"/>
              </w:rPr>
              <w:t>软件</w:t>
            </w:r>
            <w:r>
              <w:rPr>
                <w:rFonts w:hint="eastAsia" w:ascii="仿宋" w:hAnsi="仿宋" w:eastAsia="仿宋" w:cs="仿宋"/>
                <w:color w:val="auto"/>
                <w:sz w:val="24"/>
              </w:rPr>
              <w:t>功能展示：投标主要产品进行个性化</w:t>
            </w:r>
            <w:r>
              <w:rPr>
                <w:rFonts w:hint="eastAsia" w:ascii="仿宋" w:hAnsi="仿宋" w:eastAsia="仿宋" w:cs="仿宋"/>
                <w:color w:val="auto"/>
                <w:sz w:val="24"/>
                <w:lang w:val="en-US" w:eastAsia="zh-CN"/>
              </w:rPr>
              <w:t>软件</w:t>
            </w:r>
            <w:r>
              <w:rPr>
                <w:rFonts w:hint="eastAsia" w:ascii="仿宋" w:hAnsi="仿宋" w:eastAsia="仿宋" w:cs="仿宋"/>
                <w:color w:val="auto"/>
                <w:sz w:val="24"/>
              </w:rPr>
              <w:t>功能演示</w:t>
            </w:r>
            <w:r>
              <w:rPr>
                <w:rFonts w:hint="eastAsia" w:ascii="仿宋" w:hAnsi="仿宋" w:eastAsia="仿宋" w:cs="仿宋"/>
                <w:color w:val="auto"/>
                <w:sz w:val="24"/>
                <w:lang w:val="zh-CN"/>
              </w:rPr>
              <w:t>。</w:t>
            </w:r>
            <w:r>
              <w:rPr>
                <w:rFonts w:hint="eastAsia" w:ascii="仿宋" w:hAnsi="仿宋" w:eastAsia="仿宋" w:cs="仿宋"/>
                <w:color w:val="auto"/>
                <w:sz w:val="24"/>
              </w:rPr>
              <w:t>优秀（2-3分），良好（1-</w:t>
            </w:r>
            <w:r>
              <w:rPr>
                <w:rFonts w:hint="eastAsia" w:ascii="仿宋" w:hAnsi="仿宋" w:eastAsia="仿宋" w:cs="仿宋"/>
                <w:color w:val="auto"/>
                <w:sz w:val="24"/>
                <w:lang w:val="en-US" w:eastAsia="zh-CN"/>
              </w:rPr>
              <w:t>2分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1分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712" w:type="dxa"/>
            <w:vMerge w:val="continue"/>
            <w:noWrap/>
            <w:vAlign w:val="center"/>
          </w:tcPr>
          <w:p>
            <w:pPr>
              <w:spacing w:line="440" w:lineRule="exact"/>
              <w:jc w:val="center"/>
              <w:rPr>
                <w:rFonts w:hint="eastAsia" w:ascii="仿宋" w:hAnsi="仿宋" w:eastAsia="仿宋" w:cs="仿宋"/>
                <w:color w:val="auto"/>
                <w:sz w:val="24"/>
              </w:rPr>
            </w:pPr>
          </w:p>
        </w:tc>
        <w:tc>
          <w:tcPr>
            <w:tcW w:w="1294" w:type="dxa"/>
            <w:vMerge w:val="continue"/>
            <w:noWrap/>
            <w:vAlign w:val="center"/>
          </w:tcPr>
          <w:p>
            <w:pPr>
              <w:spacing w:line="440" w:lineRule="exact"/>
              <w:jc w:val="center"/>
              <w:rPr>
                <w:rFonts w:hint="eastAsia" w:ascii="仿宋" w:hAnsi="仿宋" w:eastAsia="仿宋" w:cs="仿宋"/>
                <w:color w:val="auto"/>
                <w:sz w:val="24"/>
              </w:rPr>
            </w:pPr>
          </w:p>
        </w:tc>
        <w:tc>
          <w:tcPr>
            <w:tcW w:w="6945" w:type="dxa"/>
            <w:noWrap/>
            <w:vAlign w:val="center"/>
          </w:tcPr>
          <w:p>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6.推拉式书板用材质量、结构牢固度、操控便捷性等方面进行评价。</w:t>
            </w:r>
            <w:r>
              <w:rPr>
                <w:rFonts w:hint="eastAsia" w:ascii="仿宋" w:hAnsi="仿宋" w:eastAsia="仿宋" w:cs="仿宋"/>
                <w:color w:val="auto"/>
                <w:sz w:val="24"/>
              </w:rPr>
              <w:t>优秀（</w:t>
            </w:r>
            <w:r>
              <w:rPr>
                <w:rFonts w:hint="eastAsia" w:ascii="仿宋" w:hAnsi="仿宋" w:eastAsia="仿宋" w:cs="仿宋"/>
                <w:color w:val="auto"/>
                <w:sz w:val="24"/>
                <w:lang w:val="en-US" w:eastAsia="zh-CN"/>
              </w:rPr>
              <w:t>1.5-2</w:t>
            </w:r>
            <w:r>
              <w:rPr>
                <w:rFonts w:hint="eastAsia" w:ascii="仿宋" w:hAnsi="仿宋" w:eastAsia="仿宋" w:cs="仿宋"/>
                <w:color w:val="auto"/>
                <w:sz w:val="24"/>
              </w:rPr>
              <w:t>分），良好（</w:t>
            </w:r>
            <w:r>
              <w:rPr>
                <w:rFonts w:hint="eastAsia" w:ascii="仿宋" w:hAnsi="仿宋" w:eastAsia="仿宋" w:cs="仿宋"/>
                <w:color w:val="auto"/>
                <w:sz w:val="24"/>
                <w:lang w:val="en-US" w:eastAsia="zh-CN"/>
              </w:rPr>
              <w:t>0.5</w:t>
            </w:r>
            <w:r>
              <w:rPr>
                <w:rFonts w:hint="eastAsia" w:ascii="仿宋" w:hAnsi="仿宋" w:eastAsia="仿宋" w:cs="仿宋"/>
                <w:color w:val="auto"/>
                <w:sz w:val="24"/>
              </w:rPr>
              <w:t>-</w:t>
            </w:r>
            <w:r>
              <w:rPr>
                <w:rFonts w:hint="eastAsia" w:ascii="仿宋" w:hAnsi="仿宋" w:eastAsia="仿宋" w:cs="仿宋"/>
                <w:color w:val="auto"/>
                <w:sz w:val="24"/>
                <w:lang w:val="en-US" w:eastAsia="zh-CN"/>
              </w:rPr>
              <w:t>1.5分</w:t>
            </w:r>
            <w:r>
              <w:rPr>
                <w:rFonts w:hint="eastAsia" w:ascii="仿宋" w:hAnsi="仿宋" w:eastAsia="仿宋" w:cs="仿宋"/>
                <w:color w:val="auto"/>
                <w:sz w:val="24"/>
              </w:rPr>
              <w:t>），一般（0-</w:t>
            </w:r>
            <w:r>
              <w:rPr>
                <w:rFonts w:hint="eastAsia" w:ascii="仿宋" w:hAnsi="仿宋" w:eastAsia="仿宋" w:cs="仿宋"/>
                <w:color w:val="auto"/>
                <w:sz w:val="24"/>
                <w:lang w:val="en-US" w:eastAsia="zh-CN"/>
              </w:rPr>
              <w:t>0.5分</w:t>
            </w:r>
            <w:r>
              <w:rPr>
                <w:rFonts w:hint="eastAsia" w:ascii="仿宋" w:hAnsi="仿宋" w:eastAsia="仿宋" w:cs="仿宋"/>
                <w:color w:val="auto"/>
                <w:sz w:val="24"/>
              </w:rPr>
              <w:t>）</w:t>
            </w:r>
          </w:p>
        </w:tc>
        <w:tc>
          <w:tcPr>
            <w:tcW w:w="760" w:type="dxa"/>
            <w:noWrap/>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2分</w:t>
            </w:r>
          </w:p>
        </w:tc>
      </w:tr>
    </w:tbl>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注：投标文件评分索引不全或与内容不一致所导致的不良后果由投标人承担。</w:t>
      </w:r>
      <w:bookmarkStart w:id="126" w:name="_GoBack"/>
      <w:bookmarkEnd w:id="126"/>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40</w:t>
      </w:r>
      <w:r>
        <w:rPr>
          <w:rFonts w:hint="eastAsia" w:ascii="仿宋" w:hAnsi="仿宋" w:eastAsia="仿宋" w:cs="仿宋"/>
          <w:b/>
          <w:bCs/>
          <w:iCs/>
          <w:color w:val="auto"/>
          <w:sz w:val="24"/>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pacing w:line="440" w:lineRule="exact"/>
        <w:ind w:firstLine="482" w:firstLineChars="200"/>
        <w:rPr>
          <w:rFonts w:hint="eastAsia" w:ascii="仿宋" w:hAnsi="仿宋" w:eastAsia="仿宋" w:cs="仿宋"/>
          <w:bCs/>
          <w:iCs/>
          <w:color w:val="auto"/>
          <w:sz w:val="24"/>
          <w:highlight w:val="none"/>
        </w:rPr>
      </w:pPr>
      <w:r>
        <w:rPr>
          <w:rFonts w:hint="eastAsia" w:ascii="仿宋" w:hAnsi="仿宋" w:eastAsia="仿宋" w:cs="仿宋"/>
          <w:b/>
          <w:i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40"/>
    <w:bookmarkEnd w:id="59"/>
    <w:bookmarkEnd w:id="60"/>
    <w:bookmarkEnd w:id="61"/>
    <w:bookmarkEnd w:id="62"/>
    <w:p>
      <w:pPr>
        <w:widowControl/>
        <w:adjustRightInd/>
        <w:jc w:val="center"/>
        <w:rPr>
          <w:rFonts w:ascii="仿宋" w:hAnsi="仿宋" w:eastAsia="仿宋" w:cs="仿宋"/>
          <w:b/>
          <w:color w:val="auto"/>
          <w:sz w:val="36"/>
          <w:szCs w:val="20"/>
          <w:highlight w:val="none"/>
        </w:rPr>
      </w:pPr>
      <w:bookmarkStart w:id="115" w:name="第五部分"/>
      <w:bookmarkStart w:id="116" w:name="_Toc86217003"/>
    </w:p>
    <w:p>
      <w:pPr>
        <w:pStyle w:val="10"/>
        <w:rPr>
          <w:rFonts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115"/>
      <w:r>
        <w:rPr>
          <w:rFonts w:hint="eastAsia" w:ascii="仿宋" w:hAnsi="仿宋" w:eastAsia="仿宋" w:cs="仿宋"/>
          <w:b/>
          <w:color w:val="auto"/>
          <w:sz w:val="36"/>
          <w:szCs w:val="20"/>
          <w:highlight w:val="none"/>
        </w:rPr>
        <w:t xml:space="preserve"> </w:t>
      </w:r>
      <w:bookmarkEnd w:id="116"/>
      <w:r>
        <w:rPr>
          <w:rFonts w:hint="eastAsia" w:ascii="仿宋" w:hAnsi="仿宋" w:eastAsia="仿宋" w:cs="仿宋"/>
          <w:b/>
          <w:color w:val="auto"/>
          <w:sz w:val="36"/>
          <w:szCs w:val="20"/>
          <w:highlight w:val="none"/>
        </w:rPr>
        <w:t>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（1）营业执照扫描件………………………………………………………（页码）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（3）联合协议</w:t>
      </w:r>
      <w:r>
        <w:rPr>
          <w:rFonts w:hint="eastAsia" w:ascii="仿宋" w:hAnsi="仿宋" w:eastAsia="仿宋" w:cs="仿宋"/>
          <w:color w:val="auto"/>
          <w:sz w:val="24"/>
          <w:highlight w:val="none"/>
        </w:rPr>
        <w:t>………………………………………………………………（页码）</w:t>
      </w:r>
    </w:p>
    <w:p>
      <w:pPr>
        <w:pStyle w:val="10"/>
        <w:rPr>
          <w:rFonts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rPr>
        <w:t>4</w:t>
      </w:r>
      <w:r>
        <w:rPr>
          <w:rFonts w:hint="eastAsia" w:ascii="仿宋" w:hAnsi="仿宋" w:eastAsia="仿宋" w:cs="仿宋"/>
          <w:color w:val="auto"/>
          <w:highlight w:val="none"/>
        </w:rPr>
        <w:t>）分包协议………………………………………………………………（页码）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营业执照扫描件</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ascii="仿宋" w:hAnsi="仿宋" w:eastAsia="仿宋" w:cs="仿宋"/>
          <w:color w:val="auto"/>
          <w:sz w:val="24"/>
          <w:highlight w:val="none"/>
        </w:rPr>
      </w:pP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w:t>
      </w:r>
      <w:bookmarkStart w:id="117" w:name="OLE_LINK6"/>
      <w:r>
        <w:rPr>
          <w:rFonts w:hint="eastAsia" w:ascii="仿宋" w:hAnsi="仿宋" w:eastAsia="仿宋" w:cs="仿宋"/>
          <w:b/>
          <w:color w:val="auto"/>
          <w:kern w:val="0"/>
          <w:sz w:val="32"/>
          <w:szCs w:val="32"/>
          <w:highlight w:val="none"/>
        </w:rPr>
        <w:t>落实政府采购政策需满足的资格要求</w:t>
      </w:r>
      <w:bookmarkEnd w:id="117"/>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color w:val="auto"/>
          <w:kern w:val="0"/>
          <w:sz w:val="24"/>
          <w:highlight w:val="none"/>
        </w:rPr>
      </w:pPr>
    </w:p>
    <w:p>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评分索引表……………………………………………………………………（页码）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营业执照………………………………………………………………………（页码）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28"/>
        <w:numPr>
          <w:ilvl w:val="0"/>
          <w:numId w:val="10"/>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pPr>
        <w:pStyle w:val="28"/>
        <w:numPr>
          <w:ilvl w:val="0"/>
          <w:numId w:val="10"/>
        </w:numPr>
        <w:spacing w:line="336" w:lineRule="auto"/>
        <w:ind w:left="0" w:firstLine="0" w:firstLineChars="0"/>
        <w:rPr>
          <w:rFonts w:ascii="仿宋" w:eastAsia="仿宋" w:cs="仿宋"/>
          <w:color w:val="auto"/>
          <w:highlight w:val="none"/>
        </w:rPr>
      </w:pPr>
      <w:bookmarkStart w:id="118" w:name="OLE_LINK8"/>
      <w:r>
        <w:rPr>
          <w:rFonts w:hint="eastAsia" w:ascii="仿宋" w:eastAsia="仿宋" w:cs="仿宋"/>
          <w:color w:val="auto"/>
          <w:highlight w:val="none"/>
        </w:rPr>
        <w:t>技术响应</w:t>
      </w:r>
      <w:r>
        <w:rPr>
          <w:rFonts w:hint="eastAsia" w:ascii="仿宋" w:eastAsia="仿宋" w:cs="仿宋"/>
          <w:color w:val="auto"/>
          <w:highlight w:val="none"/>
          <w:lang w:val="zh-CN"/>
        </w:rPr>
        <w:t>偏离表</w:t>
      </w:r>
      <w:bookmarkEnd w:id="118"/>
      <w:r>
        <w:rPr>
          <w:rFonts w:hint="eastAsia" w:ascii="仿宋" w:eastAsia="仿宋" w:cs="仿宋"/>
          <w:color w:val="auto"/>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bookmarkStart w:id="119" w:name="OLE_LINK9"/>
      <w:r>
        <w:rPr>
          <w:rFonts w:hint="eastAsia" w:ascii="仿宋_GB2312" w:hAnsi="仿宋_GB2312" w:eastAsia="仿宋_GB2312" w:cs="仿宋_GB2312"/>
          <w:color w:val="auto"/>
          <w:kern w:val="0"/>
          <w:sz w:val="24"/>
          <w:highlight w:val="none"/>
        </w:rPr>
        <w:t>投标产品规格配置清单</w:t>
      </w:r>
      <w:bookmarkEnd w:id="119"/>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（12）</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500" w:lineRule="exact"/>
        <w:jc w:val="center"/>
        <w:textAlignment w:val="baseline"/>
        <w:rPr>
          <w:rStyle w:val="29"/>
          <w:rFonts w:ascii="仿宋" w:hAnsi="仿宋" w:eastAsia="仿宋" w:cs="仿宋"/>
          <w:b/>
          <w:bCs/>
          <w:color w:val="auto"/>
          <w:sz w:val="30"/>
          <w:szCs w:val="30"/>
          <w:highlight w:val="none"/>
        </w:rPr>
      </w:pPr>
      <w:r>
        <w:rPr>
          <w:rStyle w:val="29"/>
          <w:rFonts w:hint="eastAsia" w:ascii="仿宋" w:hAnsi="仿宋" w:eastAsia="仿宋" w:cs="仿宋"/>
          <w:b/>
          <w:bCs/>
          <w:color w:val="auto"/>
          <w:sz w:val="30"/>
          <w:szCs w:val="30"/>
          <w:highlight w:val="none"/>
        </w:rPr>
        <w:t>一、评分索引表</w:t>
      </w:r>
    </w:p>
    <w:tbl>
      <w:tblPr>
        <w:tblStyle w:val="18"/>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baseline"/>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29"/>
                <w:rFonts w:ascii="仿宋" w:hAnsi="仿宋" w:eastAsia="仿宋" w:cs="仿宋"/>
                <w:color w:val="auto"/>
                <w:sz w:val="24"/>
                <w:szCs w:val="24"/>
                <w:highlight w:val="none"/>
              </w:rPr>
            </w:pPr>
            <w:r>
              <w:rPr>
                <w:rStyle w:val="29"/>
                <w:rFonts w:hint="eastAsia" w:ascii="仿宋" w:hAnsi="仿宋" w:eastAsia="仿宋" w:cs="仿宋"/>
                <w:color w:val="auto"/>
                <w:sz w:val="24"/>
                <w:szCs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29"/>
                <w:rFonts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29"/>
                <w:rFonts w:ascii="仿宋" w:hAnsi="仿宋" w:eastAsia="仿宋" w:cs="仿宋"/>
                <w:color w:val="auto"/>
                <w:sz w:val="24"/>
                <w:szCs w:val="24"/>
                <w:highlight w:val="none"/>
              </w:rPr>
            </w:pPr>
          </w:p>
        </w:tc>
      </w:tr>
    </w:tbl>
    <w:p>
      <w:pPr>
        <w:spacing w:line="440" w:lineRule="exact"/>
        <w:textAlignment w:val="baseline"/>
        <w:rPr>
          <w:rStyle w:val="29"/>
          <w:rFonts w:ascii="仿宋" w:hAnsi="仿宋" w:eastAsia="仿宋" w:cs="仿宋"/>
          <w:b/>
          <w:bCs/>
          <w:color w:val="auto"/>
          <w:sz w:val="24"/>
          <w:szCs w:val="24"/>
          <w:highlight w:val="none"/>
        </w:rPr>
      </w:pPr>
      <w:r>
        <w:rPr>
          <w:rStyle w:val="29"/>
          <w:rFonts w:hint="eastAsia" w:ascii="仿宋" w:hAnsi="仿宋" w:eastAsia="仿宋" w:cs="仿宋"/>
          <w:b/>
          <w:bCs/>
          <w:color w:val="auto"/>
          <w:sz w:val="24"/>
          <w:szCs w:val="24"/>
          <w:highlight w:val="none"/>
        </w:rPr>
        <w:t>注：评审内容、评分标准、分值对应“评审标准”内容。</w:t>
      </w: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二、投标</w:t>
      </w:r>
      <w:r>
        <w:rPr>
          <w:rFonts w:hint="eastAsia" w:ascii="仿宋" w:hAnsi="仿宋" w:eastAsia="仿宋" w:cs="仿宋"/>
          <w:b/>
          <w:color w:val="auto"/>
          <w:sz w:val="32"/>
          <w:szCs w:val="32"/>
          <w:highlight w:val="none"/>
        </w:rPr>
        <w:t>函</w:t>
      </w:r>
    </w:p>
    <w:p>
      <w:pPr>
        <w:pStyle w:val="2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4"/>
        <w:spacing w:after="120" w:line="360" w:lineRule="auto"/>
        <w:ind w:left="0" w:firstLine="42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4"/>
        <w:spacing w:after="120" w:line="360" w:lineRule="auto"/>
        <w:ind w:left="0" w:firstLine="42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25"/>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2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2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2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pPr>
        <w:pStyle w:val="2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Style w:val="17"/>
        <w:rPr>
          <w:rFonts w:ascii="仿宋" w:hAnsi="仿宋" w:eastAsia="仿宋" w:cs="仿宋"/>
          <w:b/>
          <w:color w:val="auto"/>
          <w:kern w:val="0"/>
          <w:sz w:val="32"/>
          <w:szCs w:val="32"/>
          <w:highlight w:val="none"/>
        </w:rPr>
      </w:pPr>
    </w:p>
    <w:p>
      <w:pPr>
        <w:rPr>
          <w:color w:val="auto"/>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br w:type="page"/>
      </w:r>
    </w:p>
    <w:p>
      <w:pPr>
        <w:numPr>
          <w:ilvl w:val="0"/>
          <w:numId w:val="0"/>
        </w:numPr>
        <w:spacing w:line="800" w:lineRule="exact"/>
        <w:ind w:leftChars="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pStyle w:val="3"/>
        <w:keepNext/>
        <w:keepLines/>
        <w:widowControl w:val="0"/>
        <w:numPr>
          <w:ilvl w:val="0"/>
          <w:numId w:val="0"/>
        </w:numPr>
        <w:adjustRightInd/>
        <w:spacing w:line="360" w:lineRule="auto"/>
        <w:jc w:val="left"/>
        <w:outlineLvl w:val="1"/>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lang w:eastAsia="zh-CN"/>
        </w:rPr>
        <w:t>五</w:t>
      </w:r>
      <w:r>
        <w:rPr>
          <w:rFonts w:hint="eastAsia" w:ascii="仿宋_GB2312" w:hAnsi="宋体" w:eastAsia="仿宋_GB2312"/>
          <w:b/>
          <w:color w:val="auto"/>
          <w:sz w:val="30"/>
          <w:szCs w:val="30"/>
        </w:rPr>
        <w:t>、授权代表社保证明（复印件）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rPr>
          <w:color w:val="auto"/>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Style w:val="17"/>
        <w:ind w:left="0" w:leftChars="0" w:firstLine="0" w:firstLineChars="0"/>
        <w:rPr>
          <w:rFonts w:ascii="仿宋" w:hAnsi="仿宋" w:eastAsia="仿宋" w:cs="仿宋"/>
          <w:b/>
          <w:color w:val="auto"/>
          <w:sz w:val="30"/>
          <w:szCs w:val="30"/>
          <w:highlight w:val="none"/>
        </w:rPr>
      </w:pPr>
    </w:p>
    <w:p>
      <w:pPr>
        <w:rPr>
          <w:color w:val="auto"/>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六、法定代表人身份证明书(格式)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pPr>
        <w:jc w:val="center"/>
        <w:rPr>
          <w:rFonts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rPr>
        <w:t>七、</w:t>
      </w:r>
      <w:r>
        <w:rPr>
          <w:rFonts w:hint="eastAsia" w:ascii="仿宋" w:hAnsi="仿宋" w:eastAsia="仿宋" w:cs="仿宋"/>
          <w:b/>
          <w:bCs/>
          <w:color w:val="auto"/>
          <w:sz w:val="30"/>
          <w:szCs w:val="30"/>
          <w:highlight w:val="none"/>
          <w:lang w:val="zh-CN"/>
        </w:rPr>
        <w:t>商务资信响应表</w:t>
      </w:r>
    </w:p>
    <w:p>
      <w:pPr>
        <w:spacing w:line="360" w:lineRule="auto"/>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根据采购需求及采购文件要求编制）</w:t>
      </w:r>
    </w:p>
    <w:tbl>
      <w:tblPr>
        <w:tblStyle w:val="18"/>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供应商的承诺或说明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color w:val="auto"/>
                <w:sz w:val="24"/>
                <w:highlight w:val="none"/>
              </w:rPr>
            </w:pPr>
          </w:p>
        </w:tc>
      </w:tr>
    </w:tbl>
    <w:p>
      <w:pPr>
        <w:snapToGrid w:val="0"/>
        <w:spacing w:before="50" w:after="50" w:line="6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bidi="ar"/>
        </w:rPr>
        <w:t xml:space="preserve">                          </w:t>
      </w:r>
      <w:r>
        <w:rPr>
          <w:rFonts w:hint="eastAsia" w:ascii="仿宋" w:hAnsi="仿宋" w:eastAsia="仿宋" w:cs="仿宋"/>
          <w:color w:val="auto"/>
          <w:kern w:val="0"/>
          <w:sz w:val="24"/>
          <w:highlight w:val="none"/>
        </w:rPr>
        <w:t xml:space="preserve">                      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pPr>
        <w:pStyle w:val="7"/>
        <w:ind w:firstLine="482"/>
        <w:jc w:val="center"/>
        <w:rPr>
          <w:rFonts w:ascii="仿宋" w:hAnsi="仿宋" w:eastAsia="仿宋" w:cs="仿宋"/>
          <w:b/>
          <w:bCs/>
          <w:color w:val="auto"/>
          <w:highlight w:val="none"/>
        </w:rPr>
      </w:pPr>
    </w:p>
    <w:p>
      <w:pPr>
        <w:pStyle w:val="7"/>
        <w:ind w:firstLine="602"/>
        <w:jc w:val="center"/>
        <w:rPr>
          <w:rFonts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rPr>
        <w:t>八、技术响应偏离</w:t>
      </w:r>
      <w:r>
        <w:rPr>
          <w:rFonts w:hint="eastAsia" w:ascii="仿宋" w:hAnsi="仿宋" w:eastAsia="仿宋" w:cs="仿宋"/>
          <w:b/>
          <w:bCs/>
          <w:color w:val="auto"/>
          <w:sz w:val="30"/>
          <w:szCs w:val="30"/>
          <w:highlight w:val="none"/>
          <w:lang w:val="zh-CN"/>
        </w:rPr>
        <w:t>表</w:t>
      </w:r>
    </w:p>
    <w:p>
      <w:pPr>
        <w:spacing w:line="360" w:lineRule="auto"/>
        <w:ind w:firstLine="240" w:firstLineChars="10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根据采购需求及采购文件要求编制）</w:t>
      </w:r>
    </w:p>
    <w:tbl>
      <w:tblPr>
        <w:tblStyle w:val="18"/>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bl>
    <w:p>
      <w:pPr>
        <w:tabs>
          <w:tab w:val="left" w:pos="570"/>
        </w:tabs>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采购文件“招标项目范围及要求”</w:t>
      </w:r>
      <w:r>
        <w:rPr>
          <w:rFonts w:hint="eastAsia" w:ascii="仿宋" w:hAnsi="仿宋" w:eastAsia="仿宋" w:cs="仿宋"/>
          <w:color w:val="auto"/>
          <w:sz w:val="24"/>
          <w:highlight w:val="none"/>
        </w:rPr>
        <w:t>相应标项内的所有技术要求相比较且一一对应真实逐条填列。</w:t>
      </w:r>
    </w:p>
    <w:p>
      <w:pPr>
        <w:tabs>
          <w:tab w:val="left" w:pos="570"/>
        </w:tabs>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递交的服务要求中必须真实逐条列明，否则由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自行承担相关风险。</w:t>
      </w:r>
    </w:p>
    <w:p>
      <w:pPr>
        <w:snapToGrid w:val="0"/>
        <w:spacing w:before="50" w:after="50" w:line="600" w:lineRule="exact"/>
        <w:ind w:firstLine="4320" w:firstLineChars="1800"/>
        <w:rPr>
          <w:rFonts w:ascii="仿宋" w:hAnsi="仿宋" w:eastAsia="仿宋" w:cs="仿宋"/>
          <w:color w:val="auto"/>
          <w:kern w:val="0"/>
          <w:sz w:val="24"/>
          <w:highlight w:val="none"/>
        </w:rPr>
      </w:pPr>
      <w:r>
        <w:rPr>
          <w:rFonts w:hint="eastAsia" w:ascii="仿宋" w:hAnsi="仿宋" w:eastAsia="仿宋" w:cs="仿宋"/>
          <w:color w:val="auto"/>
          <w:sz w:val="24"/>
          <w:highlight w:val="none"/>
          <w:lang w:bidi="ar"/>
        </w:rPr>
        <w:t xml:space="preserve">                 </w:t>
      </w: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pPr>
        <w:snapToGrid w:val="0"/>
        <w:spacing w:before="50" w:after="50" w:line="60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 xml:space="preserve">                                                         日期：  年  月   日</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注：此表仅提供了表格形式，</w:t>
      </w:r>
      <w:r>
        <w:rPr>
          <w:rFonts w:hint="eastAsia" w:ascii="仿宋" w:hAnsi="仿宋" w:eastAsia="仿宋" w:cs="仿宋"/>
          <w:b/>
          <w:bCs/>
          <w:color w:val="auto"/>
          <w:sz w:val="24"/>
          <w:highlight w:val="none"/>
          <w:lang w:eastAsia="zh-CN"/>
        </w:rPr>
        <w:t>投标人</w:t>
      </w:r>
      <w:r>
        <w:rPr>
          <w:rFonts w:hint="eastAsia" w:ascii="仿宋" w:hAnsi="仿宋" w:eastAsia="仿宋" w:cs="仿宋"/>
          <w:b/>
          <w:bCs/>
          <w:color w:val="auto"/>
          <w:sz w:val="24"/>
          <w:highlight w:val="none"/>
        </w:rPr>
        <w:t>可按此表格格式进行扩展。</w:t>
      </w:r>
    </w:p>
    <w:p>
      <w:pPr>
        <w:pStyle w:val="22"/>
        <w:jc w:val="center"/>
        <w:rPr>
          <w:rFonts w:ascii="仿宋" w:hAnsi="仿宋" w:eastAsia="仿宋" w:cs="仿宋"/>
          <w:b/>
          <w:bCs/>
          <w:color w:val="auto"/>
          <w:highlight w:val="none"/>
        </w:rPr>
      </w:pPr>
    </w:p>
    <w:p>
      <w:pP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br w:type="page"/>
      </w: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九、</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8"/>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rPr>
                <w:rFonts w:ascii="仿宋_GB2312" w:hAnsi="仿宋_GB2312" w:eastAsia="仿宋_GB2312" w:cs="仿宋_GB2312"/>
                <w:color w:val="auto"/>
                <w:sz w:val="24"/>
                <w:highlight w:val="none"/>
              </w:rPr>
            </w:pPr>
            <w:r>
              <w:rPr>
                <w:rFonts w:hint="eastAsia" w:ascii="仿宋" w:hAnsi="仿宋" w:eastAsia="仿宋" w:cs="仿宋"/>
                <w:color w:val="auto"/>
                <w:sz w:val="24"/>
                <w:highlight w:val="none"/>
              </w:rPr>
              <w:t>合同</w:t>
            </w:r>
          </w:p>
          <w:p>
            <w:pPr>
              <w:adjustRightInd/>
              <w:spacing w:line="38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r>
        <w:rPr>
          <w:rFonts w:hint="eastAsia" w:ascii="仿宋_GB2312" w:hAnsi="仿宋_GB2312" w:eastAsia="仿宋_GB2312" w:cs="仿宋_GB2312"/>
          <w:b/>
          <w:color w:val="auto"/>
          <w:sz w:val="24"/>
          <w:highlight w:val="none"/>
          <w:lang w:eastAsia="zh-CN"/>
        </w:rPr>
        <w:t>投标人</w:t>
      </w:r>
      <w:r>
        <w:rPr>
          <w:rFonts w:hint="eastAsia" w:ascii="仿宋_GB2312" w:hAnsi="仿宋_GB2312" w:eastAsia="仿宋_GB2312" w:cs="仿宋_GB2312"/>
          <w:b/>
          <w:color w:val="auto"/>
          <w:sz w:val="24"/>
          <w:highlight w:val="none"/>
        </w:rPr>
        <w:t>可按上述的格式自行编制，须随表提交相应的证明资料并注明页码。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1"/>
        <w:ind w:firstLine="0"/>
        <w:jc w:val="both"/>
        <w:rPr>
          <w:rFonts w:hAnsi="仿宋_GB2312" w:cs="仿宋_GB2312"/>
          <w:color w:val="auto"/>
          <w:highlight w:val="none"/>
        </w:rPr>
      </w:pPr>
    </w:p>
    <w:p>
      <w:pPr>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color w:val="auto"/>
          <w:sz w:val="32"/>
          <w:szCs w:val="32"/>
          <w:highlight w:val="none"/>
        </w:rPr>
        <w:t>投标产品规格配置清单（如有）</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3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5pt;width:520.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w:t>
      </w:r>
      <w:r>
        <w:rPr>
          <w:rFonts w:hint="eastAsia" w:ascii="仿宋_GB2312" w:hAnsi="仿宋_GB2312" w:eastAsia="仿宋_GB2312" w:cs="仿宋_GB2312"/>
          <w:b/>
          <w:bCs/>
          <w:color w:val="auto"/>
          <w:sz w:val="32"/>
          <w:szCs w:val="32"/>
          <w:lang w:eastAsia="zh-CN"/>
        </w:rPr>
        <w:t>一</w:t>
      </w:r>
      <w:r>
        <w:rPr>
          <w:rFonts w:hint="eastAsia" w:ascii="仿宋_GB2312" w:hAnsi="仿宋_GB2312" w:eastAsia="仿宋_GB2312" w:cs="仿宋_GB2312"/>
          <w:b/>
          <w:bCs/>
          <w:color w:val="auto"/>
          <w:sz w:val="32"/>
          <w:szCs w:val="32"/>
        </w:rPr>
        <w:t>、项目小组人员名单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right="960"/>
        <w:rPr>
          <w:rFonts w:ascii="仿宋_GB2312" w:hAnsi="仿宋_GB2312" w:eastAsia="仿宋_GB2312" w:cs="仿宋_GB2312"/>
          <w:color w:val="auto"/>
          <w:kern w:val="0"/>
          <w:sz w:val="24"/>
          <w:lang w:val="zh-CN"/>
        </w:rPr>
      </w:pPr>
    </w:p>
    <w:p>
      <w:pPr>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十二</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十三、认为需要的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2"/>
        <w:rPr>
          <w:color w:val="auto"/>
          <w:highlight w:val="none"/>
        </w:rPr>
        <w:sectPr>
          <w:headerReference r:id="rId9" w:type="first"/>
          <w:footerReference r:id="rId11" w:type="first"/>
          <w:headerReference r:id="rId8" w:type="default"/>
          <w:footerReference r:id="rId10" w:type="default"/>
          <w:pgSz w:w="11906" w:h="16838"/>
          <w:pgMar w:top="1276" w:right="1418" w:bottom="1082" w:left="1418" w:header="851" w:footer="992" w:gutter="0"/>
          <w:pgNumType w:fmt="numberInDash"/>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10"/>
        <w:snapToGrid w:val="0"/>
        <w:rPr>
          <w:rFonts w:ascii="仿宋" w:hAnsi="仿宋" w:eastAsia="仿宋" w:cs="仿宋"/>
          <w:color w:val="auto"/>
          <w:highlight w:val="none"/>
        </w:rPr>
      </w:pPr>
      <w:r>
        <w:rPr>
          <w:rFonts w:ascii="仿宋" w:hAnsi="仿宋" w:eastAsia="仿宋" w:cs="仿宋"/>
          <w:color w:val="auto"/>
          <w:szCs w:val="24"/>
          <w:highlight w:val="none"/>
          <w:lang w:val="en-US"/>
        </w:rPr>
        <w:t>（</w:t>
      </w:r>
      <w:r>
        <w:rPr>
          <w:rFonts w:hint="eastAsia" w:ascii="仿宋" w:hAnsi="仿宋" w:eastAsia="仿宋" w:cs="仿宋"/>
          <w:color w:val="auto"/>
          <w:szCs w:val="24"/>
          <w:highlight w:val="none"/>
          <w:lang w:val="en-US"/>
        </w:rPr>
        <w:t>3</w:t>
      </w:r>
      <w:r>
        <w:rPr>
          <w:rFonts w:ascii="仿宋" w:hAnsi="仿宋" w:eastAsia="仿宋" w:cs="仿宋"/>
          <w:color w:val="auto"/>
          <w:szCs w:val="24"/>
          <w:highlight w:val="none"/>
          <w:lang w:val="en-US"/>
        </w:rPr>
        <w:t>）残疾人福利性单位声明函……………………………………………………（页码）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numberInDash"/>
          <w:cols w:space="720" w:num="1"/>
          <w:titlePg/>
          <w:docGrid w:linePitch="312" w:charSpace="0"/>
        </w:sectPr>
      </w:pP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ascii="仿宋" w:hAnsi="仿宋" w:eastAsia="仿宋" w:cs="仿宋"/>
          <w:color w:val="auto"/>
          <w:sz w:val="24"/>
          <w:highlight w:val="none"/>
        </w:rPr>
      </w:pP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单位：元</w:t>
      </w:r>
    </w:p>
    <w:tbl>
      <w:tblPr>
        <w:tblStyle w:val="18"/>
        <w:tblW w:w="83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9"/>
        <w:gridCol w:w="1950"/>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8" w:hRule="atLeast"/>
        </w:trPr>
        <w:tc>
          <w:tcPr>
            <w:tcW w:w="4569" w:type="dxa"/>
            <w:tcBorders>
              <w:tl2br w:val="nil"/>
              <w:tr2bl w:val="nil"/>
            </w:tcBorders>
            <w:tcMar>
              <w:top w:w="15" w:type="dxa"/>
              <w:left w:w="15" w:type="dxa"/>
              <w:right w:w="15" w:type="dxa"/>
            </w:tcMar>
            <w:vAlign w:val="center"/>
          </w:tcPr>
          <w:p>
            <w:pPr>
              <w:pStyle w:val="6"/>
              <w:spacing w:line="440" w:lineRule="exact"/>
              <w:ind w:firstLine="0"/>
              <w:jc w:val="center"/>
              <w:rPr>
                <w:rFonts w:ascii="仿宋" w:hAnsi="仿宋" w:eastAsia="仿宋" w:cs="仿宋"/>
                <w:b/>
                <w:color w:val="auto"/>
                <w:sz w:val="24"/>
                <w:szCs w:val="24"/>
                <w:highlight w:val="none"/>
              </w:rPr>
            </w:pPr>
            <w:r>
              <w:rPr>
                <w:rFonts w:hint="eastAsia" w:ascii="仿宋" w:hAnsi="仿宋" w:eastAsia="仿宋" w:cs="仿宋"/>
                <w:b/>
                <w:snapToGrid/>
                <w:color w:val="auto"/>
                <w:kern w:val="2"/>
                <w:sz w:val="24"/>
                <w:szCs w:val="24"/>
                <w:highlight w:val="none"/>
              </w:rPr>
              <w:t>采购内容</w:t>
            </w:r>
          </w:p>
        </w:tc>
        <w:tc>
          <w:tcPr>
            <w:tcW w:w="1950"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870"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4569" w:type="dxa"/>
            <w:tcBorders>
              <w:tl2br w:val="nil"/>
              <w:tr2bl w:val="nil"/>
            </w:tcBorders>
            <w:tcMar>
              <w:top w:w="15" w:type="dxa"/>
              <w:left w:w="15" w:type="dxa"/>
              <w:right w:w="15" w:type="dxa"/>
            </w:tcMar>
            <w:vAlign w:val="center"/>
          </w:tcPr>
          <w:p>
            <w:pPr>
              <w:widowControl/>
              <w:jc w:val="center"/>
              <w:textAlignment w:val="center"/>
              <w:rPr>
                <w:rFonts w:ascii="仿宋" w:hAnsi="仿宋" w:eastAsia="仿宋" w:cs="仿宋"/>
                <w:color w:val="auto"/>
                <w:sz w:val="24"/>
                <w:highlight w:val="none"/>
              </w:rPr>
            </w:pPr>
          </w:p>
        </w:tc>
        <w:tc>
          <w:tcPr>
            <w:tcW w:w="1950" w:type="dxa"/>
            <w:tcBorders>
              <w:tl2br w:val="nil"/>
              <w:tr2bl w:val="nil"/>
            </w:tcBorders>
            <w:tcMar>
              <w:top w:w="15" w:type="dxa"/>
              <w:left w:w="15" w:type="dxa"/>
              <w:right w:w="15" w:type="dxa"/>
            </w:tcMar>
            <w:vAlign w:val="center"/>
          </w:tcPr>
          <w:p>
            <w:pPr>
              <w:jc w:val="center"/>
              <w:rPr>
                <w:rFonts w:ascii="仿宋" w:hAnsi="仿宋" w:eastAsia="仿宋" w:cs="仿宋"/>
                <w:color w:val="auto"/>
                <w:sz w:val="24"/>
                <w:highlight w:val="none"/>
                <w:u w:val="single"/>
              </w:rPr>
            </w:pPr>
          </w:p>
        </w:tc>
        <w:tc>
          <w:tcPr>
            <w:tcW w:w="1870" w:type="dxa"/>
            <w:tcBorders>
              <w:tl2br w:val="nil"/>
              <w:tr2bl w:val="nil"/>
            </w:tcBorders>
            <w:tcMar>
              <w:top w:w="15" w:type="dxa"/>
              <w:left w:w="15" w:type="dxa"/>
              <w:right w:w="15" w:type="dxa"/>
            </w:tcMar>
            <w:vAlign w:val="center"/>
          </w:tcPr>
          <w:p>
            <w:pPr>
              <w:jc w:val="center"/>
              <w:rPr>
                <w:rFonts w:ascii="仿宋" w:hAnsi="仿宋" w:eastAsia="仿宋" w:cs="仿宋"/>
                <w:b/>
                <w:color w:val="auto"/>
                <w:sz w:val="24"/>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8389" w:type="dxa"/>
            <w:gridSpan w:val="3"/>
            <w:tcBorders>
              <w:tl2br w:val="nil"/>
              <w:tr2bl w:val="nil"/>
            </w:tcBorders>
            <w:tcMar>
              <w:top w:w="15" w:type="dxa"/>
              <w:left w:w="15" w:type="dxa"/>
              <w:right w:w="15" w:type="dxa"/>
            </w:tcMar>
            <w:vAlign w:val="center"/>
          </w:tcPr>
          <w:p>
            <w:pPr>
              <w:ind w:firstLine="480" w:firstLineChars="200"/>
              <w:jc w:val="left"/>
              <w:rPr>
                <w:rFonts w:ascii="仿宋" w:hAnsi="仿宋" w:eastAsia="仿宋" w:cs="仿宋"/>
                <w:b/>
                <w:color w:val="auto"/>
                <w:sz w:val="24"/>
                <w:highlight w:val="none"/>
                <w:u w:val="single"/>
              </w:rPr>
            </w:pPr>
            <w:r>
              <w:rPr>
                <w:rFonts w:hint="eastAsia" w:ascii="仿宋" w:hAnsi="仿宋" w:eastAsia="仿宋" w:cs="仿宋"/>
                <w:bCs/>
                <w:color w:val="auto"/>
                <w:sz w:val="24"/>
                <w:highlight w:val="none"/>
              </w:rPr>
              <w:t>合计：（人民币大写）</w:t>
            </w:r>
          </w:p>
        </w:tc>
      </w:tr>
    </w:tbl>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kern w:val="2"/>
          <w:sz w:val="32"/>
          <w:szCs w:val="32"/>
          <w:highlight w:val="none"/>
        </w:rPr>
      </w:pPr>
      <w:r>
        <w:rPr>
          <w:rFonts w:ascii="仿宋" w:hAnsi="仿宋" w:eastAsia="仿宋" w:cs="仿宋"/>
          <w:color w:val="auto"/>
          <w:kern w:val="2"/>
          <w:sz w:val="32"/>
          <w:szCs w:val="32"/>
          <w:highlight w:val="none"/>
        </w:rPr>
        <w:br w:type="page"/>
      </w:r>
    </w:p>
    <w:p>
      <w:pPr>
        <w:pStyle w:val="33"/>
        <w:keepNext w:val="0"/>
        <w:pageBreakBefore w:val="0"/>
        <w:tabs>
          <w:tab w:val="clear" w:pos="720"/>
        </w:tabs>
        <w:snapToGrid w:val="0"/>
        <w:spacing w:before="120" w:after="120"/>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投标报价明细清单</w:t>
      </w:r>
    </w:p>
    <w:p>
      <w:pPr>
        <w:pStyle w:val="13"/>
        <w:snapToGrid w:val="0"/>
        <w:spacing w:before="295" w:after="295"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项目名称：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项目编号：                 </w:t>
      </w:r>
    </w:p>
    <w:p>
      <w:pPr>
        <w:pStyle w:val="13"/>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金额单位：人民币（元）</w:t>
      </w:r>
    </w:p>
    <w:tbl>
      <w:tblPr>
        <w:tblStyle w:val="1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序号</w:t>
            </w:r>
          </w:p>
        </w:tc>
        <w:tc>
          <w:tcPr>
            <w:tcW w:w="1080" w:type="dxa"/>
            <w:vAlign w:val="center"/>
          </w:tcPr>
          <w:p>
            <w:pPr>
              <w:snapToGrid w:val="0"/>
              <w:ind w:left="-107" w:leftChars="-51" w:right="-107" w:rightChars="-51" w:firstLine="2"/>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名称</w:t>
            </w:r>
          </w:p>
        </w:tc>
        <w:tc>
          <w:tcPr>
            <w:tcW w:w="1261" w:type="dxa"/>
            <w:vAlign w:val="center"/>
          </w:tcPr>
          <w:p>
            <w:pPr>
              <w:snapToGrid w:val="0"/>
              <w:ind w:left="-107" w:leftChars="-51" w:right="-107" w:rightChars="-51"/>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货物的制造商或服务的提供商</w:t>
            </w:r>
          </w:p>
        </w:tc>
        <w:tc>
          <w:tcPr>
            <w:tcW w:w="900" w:type="dxa"/>
            <w:vAlign w:val="center"/>
          </w:tcPr>
          <w:p>
            <w:pPr>
              <w:snapToGrid w:val="0"/>
              <w:ind w:left="-107" w:leftChars="-51" w:right="-107" w:rightChars="-51" w:firstLine="1"/>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品牌（如有）</w:t>
            </w:r>
          </w:p>
        </w:tc>
        <w:tc>
          <w:tcPr>
            <w:tcW w:w="720" w:type="dxa"/>
            <w:vAlign w:val="center"/>
          </w:tcPr>
          <w:p>
            <w:pPr>
              <w:snapToGrid w:val="0"/>
              <w:ind w:left="-107" w:leftChars="-51" w:right="-107" w:rightChars="-51"/>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数量</w:t>
            </w:r>
          </w:p>
        </w:tc>
        <w:tc>
          <w:tcPr>
            <w:tcW w:w="1440" w:type="dxa"/>
            <w:vAlign w:val="center"/>
          </w:tcPr>
          <w:p>
            <w:pPr>
              <w:snapToGrid w:val="0"/>
              <w:ind w:left="-107" w:leftChars="-51" w:right="-107" w:rightChars="-51" w:firstLine="1"/>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型号和规格</w:t>
            </w:r>
            <w:r>
              <w:rPr>
                <w:rFonts w:hint="eastAsia" w:ascii="仿宋" w:hAnsi="仿宋" w:eastAsia="仿宋" w:cs="仿宋"/>
                <w:b/>
                <w:color w:val="auto"/>
                <w:sz w:val="24"/>
                <w:szCs w:val="24"/>
              </w:rPr>
              <w:t>（或具体服务）</w:t>
            </w:r>
          </w:p>
        </w:tc>
        <w:tc>
          <w:tcPr>
            <w:tcW w:w="540" w:type="dxa"/>
            <w:vAlign w:val="center"/>
          </w:tcPr>
          <w:p>
            <w:pPr>
              <w:snapToGrid w:val="0"/>
              <w:ind w:left="-107" w:leftChars="-51" w:right="-107" w:rightChars="-51" w:firstLine="1"/>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单价</w:t>
            </w:r>
          </w:p>
        </w:tc>
        <w:tc>
          <w:tcPr>
            <w:tcW w:w="540" w:type="dxa"/>
            <w:vAlign w:val="center"/>
          </w:tcPr>
          <w:p>
            <w:pPr>
              <w:snapToGrid w:val="0"/>
              <w:ind w:left="-107" w:leftChars="-51" w:right="-107" w:rightChars="-51" w:firstLine="1"/>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总价</w:t>
            </w:r>
          </w:p>
        </w:tc>
        <w:tc>
          <w:tcPr>
            <w:tcW w:w="720" w:type="dxa"/>
            <w:vAlign w:val="center"/>
          </w:tcPr>
          <w:p>
            <w:pPr>
              <w:snapToGrid w:val="0"/>
              <w:ind w:left="30" w:leftChars="-51" w:right="-107" w:rightChars="-51" w:hanging="137" w:hangingChars="49"/>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交货期</w:t>
            </w:r>
          </w:p>
        </w:tc>
        <w:tc>
          <w:tcPr>
            <w:tcW w:w="1078" w:type="dxa"/>
            <w:vAlign w:val="center"/>
          </w:tcPr>
          <w:p>
            <w:pPr>
              <w:tabs>
                <w:tab w:val="left" w:pos="1224"/>
              </w:tabs>
              <w:snapToGrid w:val="0"/>
              <w:ind w:right="-107" w:rightChars="-51"/>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质保期/服务要求（年限）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7" w:type="dxa"/>
            <w:vAlign w:val="center"/>
          </w:tcPr>
          <w:p>
            <w:pPr>
              <w:snapToGrid w:val="0"/>
              <w:ind w:right="-134" w:rightChars="-64"/>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1</w:t>
            </w:r>
          </w:p>
        </w:tc>
        <w:tc>
          <w:tcPr>
            <w:tcW w:w="108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261"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90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4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078" w:type="dxa"/>
          </w:tcPr>
          <w:p>
            <w:pPr>
              <w:snapToGrid w:val="0"/>
              <w:ind w:right="172" w:rightChars="82" w:firstLine="565" w:firstLineChars="202"/>
              <w:rPr>
                <w:rFonts w:hint="eastAsia"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7" w:type="dxa"/>
            <w:vAlign w:val="center"/>
          </w:tcPr>
          <w:p>
            <w:pPr>
              <w:snapToGrid w:val="0"/>
              <w:ind w:right="-134" w:rightChars="-64"/>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2</w:t>
            </w:r>
          </w:p>
        </w:tc>
        <w:tc>
          <w:tcPr>
            <w:tcW w:w="108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261"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90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4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078" w:type="dxa"/>
          </w:tcPr>
          <w:p>
            <w:pPr>
              <w:snapToGrid w:val="0"/>
              <w:ind w:right="172" w:rightChars="82" w:firstLine="565" w:firstLineChars="202"/>
              <w:rPr>
                <w:rFonts w:hint="eastAsia"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7" w:type="dxa"/>
            <w:vAlign w:val="center"/>
          </w:tcPr>
          <w:p>
            <w:pPr>
              <w:snapToGrid w:val="0"/>
              <w:ind w:right="-134" w:rightChars="-64"/>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3</w:t>
            </w:r>
          </w:p>
        </w:tc>
        <w:tc>
          <w:tcPr>
            <w:tcW w:w="108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261"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90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4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078" w:type="dxa"/>
          </w:tcPr>
          <w:p>
            <w:pPr>
              <w:snapToGrid w:val="0"/>
              <w:ind w:right="172" w:rightChars="82" w:firstLine="565" w:firstLineChars="202"/>
              <w:rPr>
                <w:rFonts w:hint="eastAsia"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7" w:type="dxa"/>
            <w:vAlign w:val="center"/>
          </w:tcPr>
          <w:p>
            <w:pPr>
              <w:snapToGrid w:val="0"/>
              <w:ind w:right="-134" w:rightChars="-64"/>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4</w:t>
            </w:r>
          </w:p>
        </w:tc>
        <w:tc>
          <w:tcPr>
            <w:tcW w:w="108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261"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90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4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54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720" w:type="dxa"/>
            <w:vAlign w:val="center"/>
          </w:tcPr>
          <w:p>
            <w:pPr>
              <w:snapToGrid w:val="0"/>
              <w:ind w:right="172" w:rightChars="82" w:firstLine="565" w:firstLineChars="202"/>
              <w:rPr>
                <w:rFonts w:hint="eastAsia" w:ascii="仿宋" w:hAnsi="仿宋" w:eastAsia="仿宋" w:cs="仿宋"/>
                <w:color w:val="auto"/>
                <w:spacing w:val="20"/>
                <w:sz w:val="24"/>
                <w:szCs w:val="24"/>
              </w:rPr>
            </w:pPr>
          </w:p>
        </w:tc>
        <w:tc>
          <w:tcPr>
            <w:tcW w:w="1078" w:type="dxa"/>
          </w:tcPr>
          <w:p>
            <w:pPr>
              <w:snapToGrid w:val="0"/>
              <w:ind w:right="172" w:rightChars="82" w:firstLine="565" w:firstLineChars="202"/>
              <w:rPr>
                <w:rFonts w:hint="eastAsia" w:ascii="仿宋" w:hAnsi="仿宋" w:eastAsia="仿宋" w:cs="仿宋"/>
                <w:color w:val="auto"/>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27" w:type="dxa"/>
            <w:gridSpan w:val="2"/>
            <w:vMerge w:val="restart"/>
            <w:vAlign w:val="center"/>
          </w:tcPr>
          <w:p>
            <w:pPr>
              <w:snapToGrid w:val="0"/>
              <w:ind w:right="172" w:rightChars="82"/>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投标总价</w:t>
            </w:r>
          </w:p>
        </w:tc>
        <w:tc>
          <w:tcPr>
            <w:tcW w:w="7199" w:type="dxa"/>
            <w:gridSpan w:val="8"/>
            <w:vAlign w:val="center"/>
          </w:tcPr>
          <w:p>
            <w:pPr>
              <w:snapToGrid w:val="0"/>
              <w:ind w:right="172" w:rightChars="82"/>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727" w:type="dxa"/>
            <w:gridSpan w:val="2"/>
            <w:vMerge w:val="continue"/>
            <w:vAlign w:val="center"/>
          </w:tcPr>
          <w:p>
            <w:pPr>
              <w:snapToGrid w:val="0"/>
              <w:ind w:right="172" w:rightChars="82" w:firstLine="565" w:firstLineChars="202"/>
              <w:jc w:val="center"/>
              <w:rPr>
                <w:rFonts w:hint="eastAsia" w:ascii="仿宋" w:hAnsi="仿宋" w:eastAsia="仿宋" w:cs="仿宋"/>
                <w:color w:val="auto"/>
                <w:spacing w:val="20"/>
                <w:sz w:val="24"/>
                <w:szCs w:val="24"/>
              </w:rPr>
            </w:pPr>
          </w:p>
        </w:tc>
        <w:tc>
          <w:tcPr>
            <w:tcW w:w="7199" w:type="dxa"/>
            <w:gridSpan w:val="8"/>
            <w:vAlign w:val="center"/>
          </w:tcPr>
          <w:p>
            <w:pPr>
              <w:snapToGrid w:val="0"/>
              <w:ind w:right="172" w:rightChars="82"/>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大写：</w:t>
            </w:r>
          </w:p>
        </w:tc>
      </w:tr>
    </w:tbl>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注: </w:t>
      </w:r>
    </w:p>
    <w:p>
      <w:pPr>
        <w:autoSpaceDE w:val="0"/>
        <w:autoSpaceDN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1.投标报价的组成及考虑的因素按招标文件要求。</w:t>
      </w:r>
    </w:p>
    <w:p>
      <w:pPr>
        <w:autoSpaceDE w:val="0"/>
        <w:autoSpaceDN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.“投标报价明细表”中投标报价应与“开标一览表”中的相应报价相一致，不一致时，以开标一览表为准。</w:t>
      </w:r>
    </w:p>
    <w:p>
      <w:pPr>
        <w:autoSpaceDE w:val="0"/>
        <w:autoSpaceDN w:val="0"/>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.漏报的或未列明的视同已包含在投标总报价内，有重大缺漏项的其投标将被拒绝。</w:t>
      </w:r>
    </w:p>
    <w:p>
      <w:pPr>
        <w:pStyle w:val="13"/>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.以上报价包括货款、标准附件、备品备件、专用工具、包装、运输、装卸、安装、调试、保修、税金、规费、保险、检测费及其他费用等。</w:t>
      </w:r>
    </w:p>
    <w:p>
      <w:pPr>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.此表仅提供了表格形式，投标人可按此表格格式进行扩展。</w:t>
      </w:r>
    </w:p>
    <w:p>
      <w:pPr>
        <w:autoSpaceDE w:val="0"/>
        <w:autoSpaceDN w:val="0"/>
        <w:snapToGrid w:val="0"/>
        <w:ind w:right="1120"/>
        <w:jc w:val="left"/>
        <w:rPr>
          <w:rFonts w:hint="eastAsia" w:ascii="仿宋" w:hAnsi="仿宋" w:eastAsia="仿宋" w:cs="仿宋"/>
          <w:color w:val="auto"/>
          <w:sz w:val="24"/>
          <w:szCs w:val="24"/>
          <w:highlight w:val="none"/>
          <w:lang w:val="zh-CN"/>
        </w:rPr>
      </w:pPr>
    </w:p>
    <w:p>
      <w:pPr>
        <w:autoSpaceDE w:val="0"/>
        <w:autoSpaceDN w:val="0"/>
        <w:snapToGrid w:val="0"/>
        <w:ind w:right="112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投标人名称（</w:t>
      </w:r>
      <w:r>
        <w:rPr>
          <w:rFonts w:hint="eastAsia" w:ascii="仿宋" w:hAnsi="仿宋" w:eastAsia="仿宋" w:cs="仿宋"/>
          <w:color w:val="auto"/>
          <w:sz w:val="24"/>
          <w:szCs w:val="24"/>
          <w:highlight w:val="none"/>
        </w:rPr>
        <w:t>电子签章</w:t>
      </w:r>
      <w:r>
        <w:rPr>
          <w:rFonts w:hint="eastAsia" w:ascii="仿宋" w:hAnsi="仿宋" w:eastAsia="仿宋" w:cs="仿宋"/>
          <w:color w:val="auto"/>
          <w:sz w:val="24"/>
          <w:szCs w:val="24"/>
          <w:highlight w:val="none"/>
          <w:lang w:val="zh-CN"/>
        </w:rPr>
        <w:t>）：</w:t>
      </w:r>
    </w:p>
    <w:p>
      <w:pPr>
        <w:autoSpaceDE w:val="0"/>
        <w:autoSpaceDN w:val="0"/>
        <w:snapToGrid w:val="0"/>
        <w:ind w:right="112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p>
    <w:p>
      <w:pPr>
        <w:autoSpaceDE w:val="0"/>
        <w:autoSpaceDN w:val="0"/>
        <w:snapToGrid w:val="0"/>
        <w:ind w:right="112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法定代表人或其授权代表(签字或盖章)：</w:t>
      </w:r>
    </w:p>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zh-CN"/>
        </w:rPr>
        <w:t xml:space="preserve">                                                                                                                                                                                                              日期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 xml:space="preserve">   年   月</w:t>
      </w: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3"/>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pgNumType w:fmt="numberInDash"/>
          <w:cols w:space="720" w:num="1"/>
          <w:titlePg/>
          <w:docGrid w:linePitch="312" w:charSpace="0"/>
        </w:sectPr>
      </w:pPr>
    </w:p>
    <w:p>
      <w:pPr>
        <w:pStyle w:val="33"/>
        <w:keepNext w:val="0"/>
        <w:pageBreakBefore w:val="0"/>
        <w:tabs>
          <w:tab w:val="clear" w:pos="720"/>
        </w:tabs>
        <w:snapToGrid w:val="0"/>
        <w:spacing w:before="120" w:after="120"/>
        <w:outlineLvl w:val="9"/>
        <w:rPr>
          <w:rFonts w:ascii="仿宋" w:hAnsi="仿宋" w:eastAsia="仿宋" w:cs="仿宋"/>
          <w:color w:val="auto"/>
          <w:kern w:val="2"/>
          <w:sz w:val="32"/>
          <w:szCs w:val="32"/>
          <w:highlight w:val="none"/>
        </w:rPr>
      </w:pPr>
    </w:p>
    <w:p>
      <w:pPr>
        <w:pStyle w:val="3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二、中小企业声明函（如有）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2"/>
        <w:rPr>
          <w:rFonts w:ascii="仿宋" w:hAnsi="仿宋" w:eastAsia="仿宋" w:cs="仿宋"/>
          <w:b/>
          <w:color w:val="auto"/>
          <w:highlight w:val="none"/>
        </w:rPr>
      </w:pPr>
    </w:p>
    <w:p>
      <w:pPr>
        <w:pStyle w:val="32"/>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2"/>
        <w:rPr>
          <w:rFonts w:ascii="仿宋" w:hAnsi="仿宋" w:eastAsia="仿宋" w:cs="仿宋"/>
          <w:b/>
          <w:color w:val="auto"/>
          <w:highlight w:val="none"/>
        </w:rPr>
      </w:pPr>
    </w:p>
    <w:p>
      <w:pPr>
        <w:pStyle w:val="32"/>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pPr>
        <w:pStyle w:val="10"/>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3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17"/>
        <w:rPr>
          <w:color w:val="auto"/>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pStyle w:val="17"/>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spacing w:val="6"/>
          <w:sz w:val="32"/>
          <w:szCs w:val="32"/>
          <w:highlight w:val="none"/>
        </w:rPr>
      </w:pPr>
    </w:p>
    <w:p>
      <w:pPr>
        <w:autoSpaceDE w:val="0"/>
        <w:autoSpaceDN w:val="0"/>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20" w:name="_Hlk101131882"/>
      <w:r>
        <w:rPr>
          <w:rFonts w:hint="eastAsia" w:ascii="仿宋" w:hAnsi="仿宋" w:eastAsia="仿宋" w:cs="仿宋"/>
          <w:color w:val="auto"/>
          <w:kern w:val="0"/>
          <w:sz w:val="24"/>
          <w:highlight w:val="none"/>
          <w:u w:val="single"/>
        </w:rPr>
        <w:t>联合体成员X,……</w:t>
      </w:r>
      <w:bookmarkEnd w:id="12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2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21"/>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2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22"/>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jc w:val="left"/>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的中标人，将依法采取分包方式履行合同。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2"/>
        <w:rPr>
          <w:rFonts w:ascii="仿宋" w:hAnsi="仿宋" w:eastAsia="仿宋" w:cs="仿宋"/>
          <w:b/>
          <w:color w:val="auto"/>
          <w:spacing w:val="6"/>
          <w:sz w:val="32"/>
          <w:szCs w:val="32"/>
          <w:highlight w:val="none"/>
        </w:rPr>
      </w:pPr>
    </w:p>
    <w:p>
      <w:pPr>
        <w:pStyle w:val="32"/>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2"/>
        <w:rPr>
          <w:rFonts w:ascii="仿宋" w:hAnsi="仿宋" w:eastAsia="仿宋" w:cs="仿宋"/>
          <w:b/>
          <w:color w:val="auto"/>
          <w:spacing w:val="6"/>
          <w:sz w:val="32"/>
          <w:szCs w:val="32"/>
          <w:highlight w:val="none"/>
        </w:rPr>
      </w:pPr>
    </w:p>
    <w:p>
      <w:pPr>
        <w:pStyle w:val="32"/>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2"/>
        <w:rPr>
          <w:rFonts w:ascii="仿宋" w:hAnsi="仿宋" w:eastAsia="仿宋" w:cs="仿宋"/>
          <w:b/>
          <w:color w:val="auto"/>
          <w:spacing w:val="6"/>
          <w:sz w:val="32"/>
          <w:szCs w:val="32"/>
          <w:highlight w:val="none"/>
        </w:rPr>
      </w:pPr>
    </w:p>
    <w:p>
      <w:pPr>
        <w:pStyle w:val="32"/>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2"/>
        <w:rPr>
          <w:rFonts w:ascii="仿宋" w:hAnsi="仿宋" w:eastAsia="仿宋" w:cs="仿宋"/>
          <w:b/>
          <w:color w:val="auto"/>
          <w:spacing w:val="6"/>
          <w:sz w:val="32"/>
          <w:szCs w:val="32"/>
          <w:highlight w:val="none"/>
        </w:rPr>
      </w:pPr>
    </w:p>
    <w:p>
      <w:pPr>
        <w:pStyle w:val="32"/>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2"/>
        <w:rPr>
          <w:rFonts w:ascii="仿宋" w:hAnsi="仿宋" w:eastAsia="仿宋" w:cs="仿宋"/>
          <w:b/>
          <w:color w:val="auto"/>
          <w:spacing w:val="6"/>
          <w:sz w:val="32"/>
          <w:szCs w:val="32"/>
          <w:highlight w:val="none"/>
        </w:rPr>
      </w:pPr>
    </w:p>
    <w:p>
      <w:pPr>
        <w:pStyle w:val="32"/>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23" w:name="OLE_LINK13"/>
      <w:bookmarkStart w:id="124" w:name="OLE_LINK14"/>
      <w:r>
        <w:rPr>
          <w:rFonts w:hint="eastAsia" w:ascii="仿宋" w:hAnsi="仿宋" w:eastAsia="仿宋" w:cs="仿宋"/>
          <w:b/>
          <w:color w:val="auto"/>
          <w:spacing w:val="6"/>
          <w:sz w:val="32"/>
          <w:szCs w:val="32"/>
          <w:highlight w:val="none"/>
        </w:rPr>
        <w:t>残疾人福利性单位声明函</w:t>
      </w:r>
    </w:p>
    <w:bookmarkEnd w:id="123"/>
    <w:bookmarkEnd w:id="124"/>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right="420"/>
        <w:rPr>
          <w:rFonts w:ascii="仿宋" w:hAnsi="仿宋" w:eastAsia="仿宋" w:cs="仿宋"/>
          <w:color w:val="auto"/>
          <w:sz w:val="24"/>
          <w:highlight w:val="none"/>
        </w:rPr>
      </w:pPr>
    </w:p>
    <w:p>
      <w:pPr>
        <w:pStyle w:val="10"/>
        <w:rPr>
          <w:color w:val="auto"/>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仿宋" w:eastAsia="仿宋" w:cs="仿宋"/>
          <w:color w:val="auto"/>
          <w:highlight w:val="none"/>
          <w:lang w:val="en-US"/>
        </w:rPr>
      </w:pPr>
    </w:p>
    <w:p>
      <w:pPr>
        <w:pStyle w:val="34"/>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pPr>
        <w:pStyle w:val="34"/>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pPr>
        <w:pStyle w:val="34"/>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4"/>
          <w:szCs w:val="24"/>
          <w:highlight w:val="none"/>
        </w:rPr>
      </w:pPr>
    </w:p>
    <w:p>
      <w:pPr>
        <w:pStyle w:val="34"/>
        <w:numPr>
          <w:ilvl w:val="0"/>
          <w:numId w:val="0"/>
        </w:numPr>
        <w:adjustRightInd/>
        <w:snapToGrid w:val="0"/>
        <w:spacing w:line="360" w:lineRule="auto"/>
        <w:rPr>
          <w:rFonts w:hint="default" w:hAnsi="宋体" w:cs="宋体"/>
          <w:b/>
          <w:bCs/>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b/>
          <w:bCs/>
          <w:color w:val="auto"/>
          <w:sz w:val="28"/>
          <w:szCs w:val="28"/>
          <w:highlight w:val="none"/>
        </w:rPr>
      </w:pPr>
      <w:r>
        <w:rPr>
          <w:rFonts w:hAnsi="宋体" w:cs="宋体"/>
          <w:b/>
          <w:bCs/>
          <w:color w:val="auto"/>
          <w:sz w:val="24"/>
          <w:szCs w:val="24"/>
          <w:highlight w:val="none"/>
        </w:rPr>
        <w:br w:type="page"/>
      </w:r>
      <w:r>
        <w:rPr>
          <w:rFonts w:ascii="仿宋" w:hAnsi="仿宋" w:eastAsia="仿宋" w:cs="仿宋"/>
          <w:b/>
          <w:bCs/>
          <w:color w:val="auto"/>
          <w:sz w:val="28"/>
          <w:szCs w:val="28"/>
          <w:highlight w:val="none"/>
        </w:rPr>
        <w:t xml:space="preserve">附表：               </w:t>
      </w:r>
    </w:p>
    <w:p>
      <w:pPr>
        <w:pStyle w:val="34"/>
        <w:numPr>
          <w:ilvl w:val="0"/>
          <w:numId w:val="0"/>
        </w:numPr>
        <w:adjustRightInd/>
        <w:snapToGrid w:val="0"/>
        <w:spacing w:line="360" w:lineRule="auto"/>
        <w:jc w:val="center"/>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政府采购活动现场确认声明书</w:t>
      </w:r>
    </w:p>
    <w:p>
      <w:pPr>
        <w:pStyle w:val="34"/>
        <w:numPr>
          <w:ilvl w:val="0"/>
          <w:numId w:val="0"/>
        </w:numPr>
        <w:adjustRightInd/>
        <w:snapToGrid w:val="0"/>
        <w:spacing w:line="460" w:lineRule="exact"/>
        <w:rPr>
          <w:rFonts w:hint="default" w:ascii="仿宋" w:hAnsi="仿宋" w:eastAsia="仿宋" w:cs="仿宋"/>
          <w:b/>
          <w:color w:val="auto"/>
          <w:sz w:val="24"/>
          <w:szCs w:val="24"/>
          <w:highlight w:val="none"/>
        </w:rPr>
      </w:pP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pPr>
        <w:pStyle w:val="34"/>
        <w:numPr>
          <w:ilvl w:val="0"/>
          <w:numId w:val="0"/>
        </w:numPr>
        <w:adjustRightInd/>
        <w:snapToGrid w:val="0"/>
        <w:spacing w:line="460" w:lineRule="exact"/>
        <w:ind w:firstLine="504" w:firstLineChars="200"/>
        <w:rPr>
          <w:rFonts w:hint="default" w:ascii="仿宋" w:hAnsi="仿宋" w:eastAsia="仿宋" w:cs="仿宋"/>
          <w:color w:val="auto"/>
          <w:spacing w:val="6"/>
          <w:sz w:val="24"/>
          <w:szCs w:val="24"/>
          <w:highlight w:val="none"/>
        </w:rPr>
      </w:pPr>
      <w:r>
        <w:rPr>
          <w:rFonts w:ascii="仿宋" w:hAnsi="仿宋" w:eastAsia="仿宋" w:cs="仿宋"/>
          <w:color w:val="auto"/>
          <w:spacing w:val="6"/>
          <w:sz w:val="24"/>
          <w:szCs w:val="24"/>
          <w:highlight w:val="none"/>
        </w:rPr>
        <w:t>本人</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经由</w:t>
      </w:r>
      <w:r>
        <w:rPr>
          <w:rFonts w:ascii="仿宋" w:hAnsi="仿宋" w:eastAsia="仿宋" w:cs="仿宋"/>
          <w:color w:val="auto"/>
          <w:spacing w:val="6"/>
          <w:sz w:val="24"/>
          <w:szCs w:val="24"/>
          <w:highlight w:val="none"/>
          <w:u w:val="single"/>
        </w:rPr>
        <w:t xml:space="preserve">                                （单位）</w:t>
      </w:r>
      <w:r>
        <w:rPr>
          <w:rFonts w:ascii="仿宋" w:hAnsi="仿宋" w:eastAsia="仿宋" w:cs="仿宋"/>
          <w:color w:val="auto"/>
          <w:spacing w:val="6"/>
          <w:sz w:val="24"/>
          <w:szCs w:val="24"/>
          <w:highlight w:val="none"/>
        </w:rPr>
        <w:t>负责人</w:t>
      </w:r>
      <w:r>
        <w:rPr>
          <w:rFonts w:ascii="仿宋" w:hAnsi="仿宋" w:eastAsia="仿宋" w:cs="仿宋"/>
          <w:color w:val="auto"/>
          <w:spacing w:val="6"/>
          <w:sz w:val="24"/>
          <w:szCs w:val="24"/>
          <w:highlight w:val="none"/>
          <w:u w:val="single"/>
        </w:rPr>
        <w:t xml:space="preserve"> </w:t>
      </w:r>
      <w:r>
        <w:rPr>
          <w:rFonts w:ascii="仿宋" w:hAnsi="仿宋" w:eastAsia="仿宋" w:cs="仿宋"/>
          <w:i/>
          <w:iCs/>
          <w:color w:val="auto"/>
          <w:spacing w:val="6"/>
          <w:sz w:val="24"/>
          <w:szCs w:val="24"/>
          <w:highlight w:val="none"/>
          <w:u w:val="single"/>
        </w:rPr>
        <w:t xml:space="preserve">     </w:t>
      </w:r>
      <w:r>
        <w:rPr>
          <w:rFonts w:ascii="仿宋" w:hAnsi="仿宋" w:eastAsia="仿宋" w:cs="仿宋"/>
          <w:color w:val="auto"/>
          <w:spacing w:val="6"/>
          <w:sz w:val="24"/>
          <w:szCs w:val="24"/>
          <w:highlight w:val="none"/>
          <w:u w:val="single"/>
        </w:rPr>
        <w:t>（姓名）</w:t>
      </w:r>
      <w:r>
        <w:rPr>
          <w:rFonts w:ascii="仿宋" w:hAnsi="仿宋" w:eastAsia="仿宋" w:cs="仿宋"/>
          <w:color w:val="auto"/>
          <w:spacing w:val="6"/>
          <w:sz w:val="24"/>
          <w:szCs w:val="24"/>
          <w:highlight w:val="none"/>
        </w:rPr>
        <w:t>合法授权参加</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（项目编号：</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一、本单位与采购人之间 </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□不存在利害关系;</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A.投资关系    B.行政隶属关系    C.业务指导关系</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D.其他可能</w:t>
      </w:r>
      <w:r>
        <w:rPr>
          <w:rFonts w:ascii="仿宋" w:hAnsi="仿宋" w:eastAsia="仿宋" w:cs="仿宋"/>
          <w:color w:val="auto"/>
          <w:sz w:val="24"/>
          <w:szCs w:val="24"/>
          <w:highlight w:val="none"/>
        </w:rPr>
        <w:t>影响采购公正的</w:t>
      </w:r>
      <w:r>
        <w:rPr>
          <w:rFonts w:ascii="仿宋" w:hAnsi="仿宋" w:eastAsia="仿宋" w:cs="仿宋"/>
          <w:color w:val="auto"/>
          <w:kern w:val="0"/>
          <w:sz w:val="24"/>
          <w:szCs w:val="24"/>
          <w:highlight w:val="none"/>
        </w:rPr>
        <w:t>利害关系</w:t>
      </w:r>
      <w:r>
        <w:rPr>
          <w:rFonts w:ascii="仿宋" w:hAnsi="仿宋" w:eastAsia="仿宋" w:cs="仿宋"/>
          <w:color w:val="auto"/>
          <w:kern w:val="0"/>
          <w:sz w:val="24"/>
          <w:szCs w:val="24"/>
          <w:highlight w:val="none"/>
          <w:u w:val="single"/>
        </w:rPr>
        <w:t xml:space="preserve">（如有，请如实说明）                 </w:t>
      </w:r>
      <w:r>
        <w:rPr>
          <w:rFonts w:ascii="仿宋" w:hAnsi="仿宋" w:eastAsia="仿宋" w:cs="仿宋"/>
          <w:color w:val="auto"/>
          <w:kern w:val="0"/>
          <w:sz w:val="24"/>
          <w:szCs w:val="24"/>
          <w:highlight w:val="none"/>
        </w:rPr>
        <w:t>。</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pacing w:val="6"/>
          <w:sz w:val="24"/>
          <w:szCs w:val="24"/>
          <w:highlight w:val="none"/>
        </w:rPr>
        <w:t>二、</w:t>
      </w:r>
      <w:r>
        <w:rPr>
          <w:rFonts w:ascii="仿宋" w:hAnsi="仿宋" w:eastAsia="仿宋" w:cs="仿宋"/>
          <w:color w:val="auto"/>
          <w:kern w:val="0"/>
          <w:sz w:val="24"/>
          <w:szCs w:val="24"/>
          <w:highlight w:val="none"/>
        </w:rPr>
        <w:t xml:space="preserve">现已清楚知道参加本项目采购活动的其他所有供应商名称，本单位 </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□与其他所有供应商之间均不存在利害关系 </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w:t>
      </w:r>
      <w:r>
        <w:rPr>
          <w:rFonts w:ascii="仿宋" w:hAnsi="仿宋" w:eastAsia="仿宋" w:cs="仿宋"/>
          <w:color w:val="auto"/>
          <w:kern w:val="0"/>
          <w:sz w:val="24"/>
          <w:szCs w:val="24"/>
          <w:highlight w:val="none"/>
          <w:u w:val="single"/>
        </w:rPr>
        <w:t xml:space="preserve">           （供应商名称）</w:t>
      </w:r>
      <w:r>
        <w:rPr>
          <w:rFonts w:ascii="仿宋" w:hAnsi="仿宋" w:eastAsia="仿宋" w:cs="仿宋"/>
          <w:color w:val="auto"/>
          <w:kern w:val="0"/>
          <w:sz w:val="24"/>
          <w:szCs w:val="24"/>
          <w:highlight w:val="none"/>
        </w:rPr>
        <w:t>之间存在下列利害关系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A.法定代表人或负责人或实际控制人是同一人</w:t>
      </w:r>
    </w:p>
    <w:p>
      <w:pPr>
        <w:pStyle w:val="34"/>
        <w:numPr>
          <w:ilvl w:val="0"/>
          <w:numId w:val="0"/>
        </w:numPr>
        <w:adjustRightInd/>
        <w:snapToGrid w:val="0"/>
        <w:spacing w:line="44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B.法定代表人或负责人或实际控制人是夫妻关系</w:t>
      </w:r>
    </w:p>
    <w:p>
      <w:pPr>
        <w:pStyle w:val="34"/>
        <w:numPr>
          <w:ilvl w:val="0"/>
          <w:numId w:val="0"/>
        </w:numPr>
        <w:adjustRightInd/>
        <w:snapToGrid w:val="0"/>
        <w:spacing w:line="44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C.法定代表人或负责人或实际控制人是直系血亲关系</w:t>
      </w:r>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D.法定代表人或负责人或实际控制人存在三代以内旁系血亲关系</w:t>
      </w:r>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E.法定代表人或负责人或实际控制人存在近姻亲关系</w:t>
      </w:r>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F.法定代表人或负责人或实际控制人存在股份控制或实际控制关系</w:t>
      </w:r>
      <w:bookmarkStart w:id="125" w:name="_Toc11926"/>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G.存在共同直接或间接投资设立子公司、联营企业和合营企业情况</w:t>
      </w:r>
      <w:bookmarkEnd w:id="125"/>
    </w:p>
    <w:p>
      <w:pPr>
        <w:pStyle w:val="34"/>
        <w:numPr>
          <w:ilvl w:val="0"/>
          <w:numId w:val="0"/>
        </w:numPr>
        <w:adjustRightInd/>
        <w:snapToGrid w:val="0"/>
        <w:spacing w:line="44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H.存在分级代理或代销关系、同一生产制造商关系、管理关系、重要业务（占主营业务收入50%以上）或重要财务往来关系（如融资）等其他实质性控制关系</w:t>
      </w:r>
    </w:p>
    <w:p>
      <w:pPr>
        <w:pStyle w:val="34"/>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I.其他利害关系情况</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z w:val="24"/>
          <w:szCs w:val="24"/>
          <w:highlight w:val="none"/>
        </w:rPr>
        <w:t>三、现已清楚知道并</w:t>
      </w:r>
      <w:r>
        <w:rPr>
          <w:rFonts w:ascii="仿宋" w:hAnsi="仿宋" w:eastAsia="仿宋" w:cs="仿宋"/>
          <w:color w:val="auto"/>
          <w:kern w:val="0"/>
          <w:sz w:val="24"/>
          <w:szCs w:val="24"/>
          <w:highlight w:val="none"/>
        </w:rPr>
        <w:t>严格遵守政府采购法律法规和现场纪律。</w:t>
      </w:r>
    </w:p>
    <w:p>
      <w:pPr>
        <w:pStyle w:val="35"/>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四、我发现</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供应商之间存在或可能存在上述第二条第</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项利害关系。</w:t>
      </w:r>
    </w:p>
    <w:p>
      <w:pPr>
        <w:pStyle w:val="34"/>
        <w:numPr>
          <w:ilvl w:val="0"/>
          <w:numId w:val="0"/>
        </w:numPr>
        <w:adjustRightInd/>
        <w:snapToGrid w:val="0"/>
        <w:spacing w:line="360" w:lineRule="auto"/>
        <w:rPr>
          <w:rFonts w:hint="default" w:ascii="仿宋" w:hAnsi="仿宋" w:eastAsia="仿宋" w:cs="仿宋"/>
          <w:color w:val="auto"/>
          <w:sz w:val="24"/>
          <w:szCs w:val="24"/>
          <w:highlight w:val="none"/>
        </w:rPr>
      </w:pPr>
    </w:p>
    <w:p>
      <w:pPr>
        <w:pStyle w:val="34"/>
        <w:numPr>
          <w:ilvl w:val="0"/>
          <w:numId w:val="0"/>
        </w:numPr>
        <w:adjustRightInd/>
        <w:snapToGrid w:val="0"/>
        <w:spacing w:line="360" w:lineRule="auto"/>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 xml:space="preserve">（供应商代表签名）：                                  </w:t>
      </w:r>
    </w:p>
    <w:p>
      <w:pPr>
        <w:pStyle w:val="34"/>
        <w:numPr>
          <w:ilvl w:val="0"/>
          <w:numId w:val="0"/>
        </w:numPr>
        <w:adjustRightInd/>
        <w:snapToGrid w:val="0"/>
        <w:spacing w:line="360" w:lineRule="auto"/>
        <w:jc w:val="righ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2025</w:t>
      </w:r>
      <w:r>
        <w:rPr>
          <w:rFonts w:ascii="仿宋" w:hAnsi="仿宋" w:eastAsia="仿宋" w:cs="仿宋"/>
          <w:color w:val="auto"/>
          <w:sz w:val="24"/>
          <w:szCs w:val="24"/>
          <w:highlight w:val="none"/>
        </w:rPr>
        <w:t>年  月   日</w:t>
      </w:r>
    </w:p>
    <w:p>
      <w:pPr>
        <w:pStyle w:val="34"/>
        <w:numPr>
          <w:ilvl w:val="0"/>
          <w:numId w:val="0"/>
        </w:numPr>
        <w:adjustRightInd/>
        <w:snapToGrid w:val="0"/>
        <w:spacing w:line="360" w:lineRule="auto"/>
        <w:jc w:val="right"/>
        <w:rPr>
          <w:rFonts w:ascii="仿宋" w:hAnsi="仿宋" w:eastAsia="仿宋" w:cs="仿宋"/>
          <w:color w:val="auto"/>
          <w:sz w:val="24"/>
          <w:szCs w:val="24"/>
          <w:highlight w:val="none"/>
        </w:rPr>
      </w:pPr>
    </w:p>
    <w:p>
      <w:pPr>
        <w:pStyle w:val="34"/>
        <w:numPr>
          <w:ilvl w:val="0"/>
          <w:numId w:val="0"/>
        </w:numPr>
        <w:adjustRightInd/>
        <w:snapToGrid w:val="0"/>
        <w:spacing w:line="360" w:lineRule="auto"/>
        <w:jc w:val="left"/>
        <w:rPr>
          <w:rFonts w:hint="default" w:ascii="仿宋" w:hAnsi="仿宋" w:eastAsia="仿宋" w:cs="仿宋"/>
          <w:color w:val="auto"/>
          <w:sz w:val="24"/>
          <w:szCs w:val="24"/>
          <w:highlight w:val="none"/>
        </w:rPr>
      </w:pPr>
      <w:r>
        <w:rPr>
          <w:rFonts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982507355</w:t>
      </w:r>
      <w:r>
        <w:rPr>
          <w:rFonts w:ascii="仿宋" w:hAnsi="仿宋" w:eastAsia="仿宋" w:cs="仿宋"/>
          <w:b/>
          <w:bCs/>
          <w:color w:val="auto"/>
          <w:sz w:val="24"/>
          <w:szCs w:val="24"/>
          <w:highlight w:val="none"/>
        </w:rPr>
        <w:t>@qq.com邮箱，如未如实填写，将有可能影响你的投标文件评审（政府采购活动现场确认声明书格式见附表）。</w:t>
      </w: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10"/>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0"/>
      </w:rPr>
    </w:pPr>
    <w:r>
      <w:fldChar w:fldCharType="begin"/>
    </w:r>
    <w:r>
      <w:rPr>
        <w:rStyle w:val="20"/>
      </w:rPr>
      <w:instrText xml:space="preserve">PAGE  </w:instrText>
    </w:r>
    <w:r>
      <w:fldChar w:fldCharType="end"/>
    </w: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- 28 -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left"/>
      <w:rPr>
        <w:rFonts w:hint="eastAsia" w:eastAsia="仿宋"/>
        <w:lang w:eastAsia="zh-CN"/>
      </w:rPr>
    </w:pP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ascii="仿宋_GB2312" w:eastAsia="仿宋_GB2312"/>
        <w:i/>
        <w:u w:val="single"/>
      </w:rPr>
    </w:pPr>
    <w:r>
      <w:rPr>
        <w:rFonts w:hint="eastAsia" w:ascii="仿宋" w:hAnsi="仿宋" w:eastAsia="仿宋" w:cs="仿宋"/>
      </w:rPr>
      <w:t xml:space="preserve">                                                                             </w:t>
    </w:r>
  </w:p>
  <w:p>
    <w:pPr>
      <w:pStyle w:val="16"/>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ascii="仿宋_GB2312" w:eastAsia="仿宋"/>
        <w:i/>
        <w:u w:val="single"/>
      </w:rPr>
    </w:pPr>
    <w:r>
      <w:rPr>
        <w:rFonts w:hint="eastAsia" w:ascii="仿宋" w:hAnsi="仿宋" w:eastAsia="仿宋" w:cs="仿宋"/>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ascii="仿宋_GB2312" w:eastAsia="仿宋"/>
        <w:i/>
        <w:u w:val="single"/>
      </w:rPr>
    </w:pPr>
    <w:r>
      <w:t></w:t>
    </w:r>
    <w:r>
      <w:rPr>
        <w:rFonts w:hint="eastAsia" w:ascii="仿宋" w:hAnsi="仿宋" w:eastAsia="仿宋" w:cs="仿宋"/>
      </w:rPr>
      <w:t xml:space="preserve">                                                                                </w:t>
    </w:r>
  </w:p>
  <w:p>
    <w:pPr>
      <w:pStyle w:val="16"/>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default" w:ascii="仿宋_GB2312" w:eastAsia="仿宋"/>
        <w:b/>
        <w:i/>
        <w:u w:val="single"/>
        <w:lang w:val="en-US" w:eastAsia="zh-CN"/>
      </w:rPr>
    </w:pPr>
    <w:r>
      <w:rPr>
        <w:rFonts w:hint="eastAsia"/>
      </w:rPr>
      <w:t xml:space="preserve">                            </w:t>
    </w:r>
    <w:r>
      <w:rPr>
        <w:rFonts w:hint="eastAsia" w:ascii="仿宋" w:hAnsi="仿宋" w:eastAsia="仿宋" w:cs="仿宋"/>
        <w:lang w:eastAsia="zh-CN"/>
      </w:rPr>
      <w:t>嵊州市公共资源交易中心</w:t>
    </w:r>
    <w:r>
      <w:rPr>
        <w:rFonts w:hint="eastAsia" w:ascii="仿宋" w:hAnsi="仿宋" w:eastAsia="仿宋" w:cs="仿宋"/>
      </w:rPr>
      <w:t xml:space="preserve">              文件编号: </w:t>
    </w:r>
    <w:r>
      <w:rPr>
        <w:rFonts w:hint="eastAsia" w:ascii="仿宋" w:hAnsi="仿宋" w:eastAsia="仿宋" w:cs="仿宋"/>
        <w:lang w:eastAsia="zh-CN"/>
      </w:rPr>
      <w:t>政府采购</w:t>
    </w:r>
    <w:r>
      <w:rPr>
        <w:rFonts w:hint="eastAsia" w:ascii="仿宋" w:hAnsi="仿宋" w:eastAsia="仿宋" w:cs="仿宋"/>
        <w:lang w:val="en-US" w:eastAsia="zh-CN"/>
      </w:rPr>
      <w:t>2025-14</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180" w:firstLineChars="10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518A4"/>
    <w:multiLevelType w:val="singleLevel"/>
    <w:tmpl w:val="934518A4"/>
    <w:lvl w:ilvl="0" w:tentative="0">
      <w:start w:val="4"/>
      <w:numFmt w:val="decimal"/>
      <w:suff w:val="nothing"/>
      <w:lvlText w:val="%1、"/>
      <w:lvlJc w:val="left"/>
    </w:lvl>
  </w:abstractNum>
  <w:abstractNum w:abstractNumId="1">
    <w:nsid w:val="DFF77403"/>
    <w:multiLevelType w:val="singleLevel"/>
    <w:tmpl w:val="DFF77403"/>
    <w:lvl w:ilvl="0" w:tentative="0">
      <w:start w:val="1"/>
      <w:numFmt w:val="decimal"/>
      <w:pStyle w:val="4"/>
      <w:lvlText w:val="%1."/>
      <w:lvlJc w:val="left"/>
      <w:pPr>
        <w:tabs>
          <w:tab w:val="left" w:pos="780"/>
        </w:tabs>
        <w:ind w:left="780" w:hanging="360"/>
      </w:pPr>
    </w:lvl>
  </w:abstractNum>
  <w:abstractNum w:abstractNumId="2">
    <w:nsid w:val="E75566D0"/>
    <w:multiLevelType w:val="singleLevel"/>
    <w:tmpl w:val="E75566D0"/>
    <w:lvl w:ilvl="0" w:tentative="0">
      <w:start w:val="1"/>
      <w:numFmt w:val="decimal"/>
      <w:lvlText w:val="%1."/>
      <w:lvlJc w:val="left"/>
      <w:pPr>
        <w:tabs>
          <w:tab w:val="left" w:pos="312"/>
        </w:tabs>
      </w:p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21595DAD"/>
    <w:multiLevelType w:val="singleLevel"/>
    <w:tmpl w:val="21595DAD"/>
    <w:lvl w:ilvl="0" w:tentative="0">
      <w:start w:val="2"/>
      <w:numFmt w:val="chineseCounting"/>
      <w:suff w:val="nothing"/>
      <w:lvlText w:val="%1、"/>
      <w:lvlJc w:val="left"/>
      <w:rPr>
        <w:rFonts w:hint="eastAsia"/>
      </w:rPr>
    </w:lvl>
  </w:abstractNum>
  <w:abstractNum w:abstractNumId="5">
    <w:nsid w:val="4FBD528A"/>
    <w:multiLevelType w:val="multilevel"/>
    <w:tmpl w:val="4FBD52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45A512C"/>
    <w:multiLevelType w:val="multilevel"/>
    <w:tmpl w:val="545A512C"/>
    <w:lvl w:ilvl="0" w:tentative="0">
      <w:start w:val="1"/>
      <w:numFmt w:val="chineseCountingThousand"/>
      <w:pStyle w:val="34"/>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5DB204C1"/>
    <w:multiLevelType w:val="singleLevel"/>
    <w:tmpl w:val="5DB204C1"/>
    <w:lvl w:ilvl="0" w:tentative="0">
      <w:start w:val="1"/>
      <w:numFmt w:val="decimal"/>
      <w:pStyle w:val="5"/>
      <w:lvlText w:val="%1."/>
      <w:lvlJc w:val="left"/>
      <w:pPr>
        <w:tabs>
          <w:tab w:val="left" w:pos="360"/>
        </w:tabs>
        <w:ind w:left="360" w:hanging="360"/>
      </w:pPr>
    </w:lvl>
  </w:abstractNum>
  <w:abstractNum w:abstractNumId="8">
    <w:nsid w:val="60F5B51F"/>
    <w:multiLevelType w:val="singleLevel"/>
    <w:tmpl w:val="60F5B51F"/>
    <w:lvl w:ilvl="0" w:tentative="0">
      <w:start w:val="3"/>
      <w:numFmt w:val="decimal"/>
      <w:lvlText w:val="%1."/>
      <w:lvlJc w:val="left"/>
      <w:pPr>
        <w:tabs>
          <w:tab w:val="left" w:pos="312"/>
        </w:tabs>
      </w:pPr>
    </w:lvl>
  </w:abstractNum>
  <w:abstractNum w:abstractNumId="9">
    <w:nsid w:val="67B15C4F"/>
    <w:multiLevelType w:val="singleLevel"/>
    <w:tmpl w:val="67B15C4F"/>
    <w:lvl w:ilvl="0" w:tentative="0">
      <w:start w:val="3"/>
      <w:numFmt w:val="chineseCounting"/>
      <w:suff w:val="space"/>
      <w:lvlText w:val="第%1部分"/>
      <w:lvlJc w:val="left"/>
      <w:rPr>
        <w:rFonts w:hint="eastAsia"/>
      </w:rPr>
    </w:lvl>
  </w:abstractNum>
  <w:num w:numId="1">
    <w:abstractNumId w:val="1"/>
  </w:num>
  <w:num w:numId="2">
    <w:abstractNumId w:val="7"/>
  </w:num>
  <w:num w:numId="3">
    <w:abstractNumId w:val="6"/>
  </w:num>
  <w:num w:numId="4">
    <w:abstractNumId w:val="8"/>
  </w:num>
  <w:num w:numId="5">
    <w:abstractNumId w:val="9"/>
  </w:num>
  <w:num w:numId="6">
    <w:abstractNumId w:val="4"/>
  </w:num>
  <w:num w:numId="7">
    <w:abstractNumId w:val="0"/>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F637B"/>
    <w:rsid w:val="005C7D1A"/>
    <w:rsid w:val="01355166"/>
    <w:rsid w:val="026F0944"/>
    <w:rsid w:val="03746D9F"/>
    <w:rsid w:val="07611AB1"/>
    <w:rsid w:val="091802EC"/>
    <w:rsid w:val="09D66B4F"/>
    <w:rsid w:val="0A102D91"/>
    <w:rsid w:val="0B114781"/>
    <w:rsid w:val="0D95362E"/>
    <w:rsid w:val="1AAC755C"/>
    <w:rsid w:val="1F8E2CEF"/>
    <w:rsid w:val="1FA11974"/>
    <w:rsid w:val="20015A7F"/>
    <w:rsid w:val="238253EE"/>
    <w:rsid w:val="28973DFD"/>
    <w:rsid w:val="2A1E73EC"/>
    <w:rsid w:val="2B5324A4"/>
    <w:rsid w:val="2B561EF5"/>
    <w:rsid w:val="2D1533EC"/>
    <w:rsid w:val="2DA31F80"/>
    <w:rsid w:val="2FF651A9"/>
    <w:rsid w:val="329713B9"/>
    <w:rsid w:val="342F2C68"/>
    <w:rsid w:val="34BF382F"/>
    <w:rsid w:val="360B7A4E"/>
    <w:rsid w:val="39336168"/>
    <w:rsid w:val="3A0B4DB8"/>
    <w:rsid w:val="3AD36617"/>
    <w:rsid w:val="3B233ABD"/>
    <w:rsid w:val="3C0D0E14"/>
    <w:rsid w:val="48D10CB7"/>
    <w:rsid w:val="4BB110AF"/>
    <w:rsid w:val="4F9A464E"/>
    <w:rsid w:val="4FD32086"/>
    <w:rsid w:val="51C46B7C"/>
    <w:rsid w:val="572F637B"/>
    <w:rsid w:val="57B316F0"/>
    <w:rsid w:val="58014F1F"/>
    <w:rsid w:val="593E223D"/>
    <w:rsid w:val="5AA224B3"/>
    <w:rsid w:val="5D0E227E"/>
    <w:rsid w:val="5DCF52DB"/>
    <w:rsid w:val="65E163CD"/>
    <w:rsid w:val="673E3563"/>
    <w:rsid w:val="6BA13792"/>
    <w:rsid w:val="6FF922AC"/>
    <w:rsid w:val="712E4649"/>
    <w:rsid w:val="724C7C99"/>
    <w:rsid w:val="730A5F1C"/>
    <w:rsid w:val="73E75E94"/>
    <w:rsid w:val="77E238C6"/>
    <w:rsid w:val="792D6B21"/>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qFormat/>
    <w:uiPriority w:val="0"/>
    <w:pPr>
      <w:numPr>
        <w:ilvl w:val="0"/>
        <w:numId w:val="2"/>
      </w:numPr>
    </w:pPr>
  </w:style>
  <w:style w:type="paragraph" w:styleId="6">
    <w:name w:val="Normal Indent"/>
    <w:basedOn w:val="1"/>
    <w:next w:val="7"/>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Indent"/>
    <w:basedOn w:val="1"/>
    <w:next w:val="8"/>
    <w:qFormat/>
    <w:uiPriority w:val="0"/>
    <w:pPr>
      <w:spacing w:line="480" w:lineRule="exact"/>
      <w:ind w:firstLine="480" w:firstLineChars="200"/>
    </w:pPr>
    <w:rPr>
      <w:rFonts w:ascii="宋体" w:hAnsi="宋体"/>
      <w:sz w:val="24"/>
    </w:rPr>
  </w:style>
  <w:style w:type="paragraph" w:styleId="8">
    <w:name w:val="envelope return"/>
    <w:basedOn w:val="1"/>
    <w:qFormat/>
    <w:uiPriority w:val="0"/>
    <w:pPr>
      <w:snapToGrid w:val="0"/>
    </w:pPr>
    <w:rPr>
      <w:rFonts w:ascii="Arial" w:hAnsi="Arial" w:eastAsia="宋体" w:cs="Times New Roman"/>
    </w:rPr>
  </w:style>
  <w:style w:type="paragraph" w:styleId="9">
    <w:name w:val="annotation text"/>
    <w:basedOn w:val="1"/>
    <w:qFormat/>
    <w:uiPriority w:val="0"/>
    <w:pPr>
      <w:jc w:val="left"/>
    </w:pPr>
  </w:style>
  <w:style w:type="paragraph" w:styleId="10">
    <w:name w:val="Body Text"/>
    <w:basedOn w:val="1"/>
    <w:next w:val="11"/>
    <w:qFormat/>
    <w:uiPriority w:val="0"/>
    <w:pPr>
      <w:autoSpaceDE w:val="0"/>
      <w:autoSpaceDN w:val="0"/>
      <w:spacing w:line="360" w:lineRule="auto"/>
    </w:pPr>
    <w:rPr>
      <w:rFonts w:ascii="宋体" w:hAnsi="Arial" w:cs="Arial"/>
      <w:snapToGrid w:val="0"/>
      <w:sz w:val="24"/>
      <w:szCs w:val="21"/>
      <w:lang w:val="zh-CN"/>
    </w:rPr>
  </w:style>
  <w:style w:type="paragraph" w:styleId="11">
    <w:name w:val="Body Text First Indent"/>
    <w:basedOn w:val="10"/>
    <w:next w:val="1"/>
    <w:qFormat/>
    <w:uiPriority w:val="0"/>
    <w:pPr>
      <w:ind w:firstLine="420"/>
    </w:pPr>
    <w:rPr>
      <w:rFonts w:hAnsi="Calibri" w:cs="Times New Roman"/>
      <w:snapToGrid/>
      <w:szCs w:val="20"/>
    </w:rPr>
  </w:style>
  <w:style w:type="paragraph" w:styleId="1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13">
    <w:name w:val="Plain Text"/>
    <w:basedOn w:val="1"/>
    <w:next w:val="14"/>
    <w:qFormat/>
    <w:uiPriority w:val="0"/>
    <w:rPr>
      <w:rFonts w:ascii="宋体" w:hAnsi="Courier New" w:cs="Arial"/>
      <w:snapToGrid w:val="0"/>
      <w:szCs w:val="21"/>
    </w:rPr>
  </w:style>
  <w:style w:type="paragraph" w:styleId="14">
    <w:name w:val="Date"/>
    <w:basedOn w:val="1"/>
    <w:next w:val="1"/>
    <w:qFormat/>
    <w:uiPriority w:val="0"/>
    <w:pPr>
      <w:ind w:left="100" w:leftChars="2500"/>
    </w:pPr>
    <w:rPr>
      <w:rFonts w:ascii="宋体"/>
      <w:sz w:val="24"/>
      <w:szCs w:val="21"/>
      <w:lang w:val="zh-CN"/>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First Indent 2"/>
    <w:basedOn w:val="7"/>
    <w:next w:val="1"/>
    <w:qFormat/>
    <w:uiPriority w:val="0"/>
    <w:pPr>
      <w:adjustRightInd/>
      <w:spacing w:after="120" w:line="240" w:lineRule="auto"/>
      <w:ind w:left="420" w:leftChars="200" w:firstLine="210"/>
    </w:pPr>
    <w:rPr>
      <w:sz w:val="21"/>
    </w:rPr>
  </w:style>
  <w:style w:type="character" w:styleId="20">
    <w:name w:val="page number"/>
    <w:basedOn w:val="19"/>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paragraph" w:customStyle="1" w:styleId="22">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3">
    <w:name w:val="NormalIndent"/>
    <w:basedOn w:val="1"/>
    <w:next w:val="1"/>
    <w:qFormat/>
    <w:uiPriority w:val="0"/>
    <w:pPr>
      <w:ind w:firstLine="420" w:firstLineChars="200"/>
    </w:pPr>
    <w:rPr>
      <w:rFonts w:ascii="宋体" w:hAnsi="宋体"/>
      <w:spacing w:val="14"/>
      <w:kern w:val="24"/>
      <w:sz w:val="24"/>
    </w:rPr>
  </w:style>
  <w:style w:type="paragraph" w:customStyle="1" w:styleId="2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5">
    <w:name w:val="正文段"/>
    <w:basedOn w:val="1"/>
    <w:qFormat/>
    <w:uiPriority w:val="0"/>
    <w:pPr>
      <w:widowControl/>
      <w:snapToGrid w:val="0"/>
      <w:spacing w:after="156" w:afterLines="50"/>
      <w:ind w:firstLine="200" w:firstLineChars="200"/>
    </w:pPr>
    <w:rPr>
      <w:kern w:val="0"/>
      <w:sz w:val="24"/>
      <w:szCs w:val="20"/>
    </w:rPr>
  </w:style>
  <w:style w:type="paragraph" w:customStyle="1" w:styleId="26">
    <w:name w:val="正文2"/>
    <w:basedOn w:val="1"/>
    <w:qFormat/>
    <w:uiPriority w:val="0"/>
    <w:pPr>
      <w:spacing w:before="156" w:line="360" w:lineRule="auto"/>
      <w:ind w:firstLine="510" w:firstLineChars="200"/>
    </w:pPr>
    <w:rPr>
      <w:sz w:val="24"/>
      <w:szCs w:val="20"/>
    </w:rPr>
  </w:style>
  <w:style w:type="paragraph" w:customStyle="1" w:styleId="27">
    <w:name w:val="正文1"/>
    <w:basedOn w:val="12"/>
    <w:next w:val="1"/>
    <w:qFormat/>
    <w:uiPriority w:val="0"/>
    <w:pPr>
      <w:ind w:left="0" w:leftChars="0" w:firstLine="480" w:firstLineChars="200"/>
    </w:pPr>
    <w:rPr>
      <w:rFonts w:ascii="仿宋_GB2312" w:hAnsi="Courier New" w:eastAsia="仿宋_GB2312"/>
      <w:kern w:val="28"/>
      <w:sz w:val="24"/>
    </w:rPr>
  </w:style>
  <w:style w:type="paragraph" w:customStyle="1" w:styleId="28">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29">
    <w:name w:val="NormalCharacter"/>
    <w:link w:val="30"/>
    <w:semiHidden/>
    <w:qFormat/>
    <w:uiPriority w:val="0"/>
    <w:rPr>
      <w:rFonts w:ascii="Calibri"/>
      <w:szCs w:val="22"/>
    </w:rPr>
  </w:style>
  <w:style w:type="paragraph" w:customStyle="1" w:styleId="30">
    <w:name w:val="UserStyle_127"/>
    <w:basedOn w:val="1"/>
    <w:link w:val="29"/>
    <w:qFormat/>
    <w:uiPriority w:val="0"/>
    <w:pPr>
      <w:spacing w:after="160" w:line="240" w:lineRule="exact"/>
      <w:jc w:val="left"/>
    </w:pPr>
    <w:rPr>
      <w:rFonts w:ascii="Calibri"/>
      <w:szCs w:val="22"/>
    </w:rPr>
  </w:style>
  <w:style w:type="paragraph" w:customStyle="1" w:styleId="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4">
    <w:name w:val="纯文本3"/>
    <w:basedOn w:val="35"/>
    <w:qFormat/>
    <w:uiPriority w:val="0"/>
    <w:pPr>
      <w:numPr>
        <w:ilvl w:val="0"/>
        <w:numId w:val="3"/>
      </w:numPr>
      <w:autoSpaceDE w:val="0"/>
      <w:autoSpaceDN w:val="0"/>
      <w:adjustRightInd w:val="0"/>
      <w:ind w:left="0" w:firstLine="0"/>
      <w:textAlignment w:val="baseline"/>
    </w:pPr>
    <w:rPr>
      <w:rFonts w:ascii="宋体" w:hAnsi="Tms Rmn"/>
      <w:kern w:val="0"/>
    </w:rPr>
  </w:style>
  <w:style w:type="paragraph" w:customStyle="1" w:styleId="35">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9666</Words>
  <Characters>10447</Characters>
  <Lines>0</Lines>
  <Paragraphs>0</Paragraphs>
  <TotalTime>1094</TotalTime>
  <ScaleCrop>false</ScaleCrop>
  <LinksUpToDate>false</LinksUpToDate>
  <CharactersWithSpaces>12010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2025-06-30T17:17:00Z</dcterms:created>
  <dc:creator>Aska</dc:creator>
  <cp:lastModifiedBy>Administrator</cp:lastModifiedBy>
  <dcterms:modified xsi:type="dcterms:W3CDTF">2025-07-11T02:57:36Z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8C978609B91148219C15DEC88BE9CAA2_11</vt:lpwstr>
  </property>
  <property fmtid="{D5CDD505-2E9C-101B-9397-08002B2CF9AE}" pid="4" name="KSOTemplateDocerSaveRecord">
    <vt:lpwstr>eyJoZGlkIjoiNDZkMGQ2MGE5M2JiYTlkNzkzMGRkMDQyMTE3OTQ4YTgiLCJ1c2VySWQiOiIyNDc4NTY3MTAifQ==</vt:lpwstr>
  </property>
</Properties>
</file>