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56"/>
          <w:szCs w:val="56"/>
          <w:lang w:eastAsia="zh-CN"/>
        </w:rPr>
        <w:t>嵊州市高级中学2025年度职工疗休养</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磋商</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SXPZ-F20250627ZXX</w:t>
      </w:r>
    </w:p>
    <w:tbl>
      <w:tblPr>
        <w:tblStyle w:val="63"/>
        <w:tblW w:w="6146" w:type="dxa"/>
        <w:jc w:val="center"/>
        <w:tblLayout w:type="fixed"/>
        <w:tblCellMar>
          <w:top w:w="0" w:type="dxa"/>
          <w:left w:w="108" w:type="dxa"/>
          <w:bottom w:w="0" w:type="dxa"/>
          <w:right w:w="108" w:type="dxa"/>
        </w:tblCellMar>
      </w:tblPr>
      <w:tblGrid>
        <w:gridCol w:w="2356"/>
        <w:gridCol w:w="3790"/>
      </w:tblGrid>
      <w:tr w14:paraId="73D4A241">
        <w:trPr>
          <w:trHeight w:val="680" w:hRule="atLeast"/>
          <w:jc w:val="center"/>
        </w:trPr>
        <w:tc>
          <w:tcPr>
            <w:tcW w:w="2356" w:type="dxa"/>
            <w:vAlign w:val="center"/>
          </w:tcPr>
          <w:p w14:paraId="27F930F3">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ascii="仿宋" w:hAnsi="仿宋" w:eastAsia="仿宋" w:cs="仿宋"/>
                <w:b/>
                <w:bCs/>
                <w:color w:val="auto"/>
                <w:sz w:val="32"/>
                <w:szCs w:val="32"/>
              </w:rPr>
            </w:pPr>
            <w:r>
              <w:rPr>
                <w:rFonts w:hint="eastAsia" w:ascii="仿宋" w:hAnsi="仿宋" w:eastAsia="仿宋" w:cs="仿宋"/>
                <w:b/>
                <w:bCs/>
                <w:color w:val="auto"/>
                <w:spacing w:val="105"/>
                <w:kern w:val="0"/>
                <w:sz w:val="28"/>
                <w:szCs w:val="28"/>
                <w:fitText w:val="2240" w:id="827001518"/>
              </w:rPr>
              <w:t>采购单位</w:t>
            </w:r>
            <w:r>
              <w:rPr>
                <w:rFonts w:hint="eastAsia" w:ascii="仿宋" w:hAnsi="仿宋" w:eastAsia="仿宋" w:cs="仿宋"/>
                <w:b/>
                <w:bCs/>
                <w:color w:val="auto"/>
                <w:spacing w:val="0"/>
                <w:kern w:val="0"/>
                <w:sz w:val="28"/>
                <w:szCs w:val="28"/>
                <w:fitText w:val="2240" w:id="827001518"/>
              </w:rPr>
              <w:t>：</w:t>
            </w:r>
          </w:p>
        </w:tc>
        <w:tc>
          <w:tcPr>
            <w:tcW w:w="3790" w:type="dxa"/>
            <w:vAlign w:val="center"/>
          </w:tcPr>
          <w:p w14:paraId="791CE37C">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outlineLvl w:val="0"/>
              <w:rPr>
                <w:rFonts w:ascii="仿宋" w:hAnsi="仿宋" w:eastAsia="仿宋" w:cs="仿宋"/>
                <w:b/>
                <w:bCs/>
                <w:color w:val="auto"/>
                <w:sz w:val="32"/>
                <w:szCs w:val="32"/>
              </w:rPr>
            </w:pPr>
            <w:r>
              <w:rPr>
                <w:rFonts w:hint="eastAsia" w:ascii="仿宋" w:hAnsi="仿宋" w:eastAsia="仿宋" w:cs="仿宋"/>
                <w:b/>
                <w:bCs/>
                <w:color w:val="auto"/>
                <w:sz w:val="28"/>
                <w:szCs w:val="28"/>
                <w:lang w:eastAsia="zh-CN"/>
              </w:rPr>
              <w:t xml:space="preserve">嵊州市高级中学  </w:t>
            </w:r>
          </w:p>
        </w:tc>
      </w:tr>
      <w:tr w14:paraId="1AE1FCF9">
        <w:tblPrEx>
          <w:tblCellMar>
            <w:top w:w="0" w:type="dxa"/>
            <w:left w:w="108" w:type="dxa"/>
            <w:bottom w:w="0" w:type="dxa"/>
            <w:right w:w="108" w:type="dxa"/>
          </w:tblCellMar>
        </w:tblPrEx>
        <w:trPr>
          <w:trHeight w:val="680" w:hRule="atLeast"/>
          <w:jc w:val="center"/>
        </w:trPr>
        <w:tc>
          <w:tcPr>
            <w:tcW w:w="2356" w:type="dxa"/>
            <w:vAlign w:val="center"/>
          </w:tcPr>
          <w:p w14:paraId="6479E916">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ascii="仿宋" w:hAnsi="仿宋" w:eastAsia="仿宋" w:cs="仿宋"/>
                <w:b/>
                <w:bCs/>
                <w:color w:val="auto"/>
                <w:sz w:val="32"/>
                <w:szCs w:val="32"/>
              </w:rPr>
            </w:pPr>
            <w:r>
              <w:rPr>
                <w:rFonts w:hint="eastAsia" w:ascii="仿宋" w:hAnsi="仿宋" w:eastAsia="仿宋" w:cs="仿宋"/>
                <w:b/>
                <w:bCs/>
                <w:color w:val="auto"/>
                <w:kern w:val="0"/>
                <w:sz w:val="28"/>
                <w:szCs w:val="28"/>
              </w:rPr>
              <w:t>采购代理机构</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sz w:val="28"/>
                <w:szCs w:val="28"/>
              </w:rPr>
              <w:t>：</w:t>
            </w:r>
          </w:p>
        </w:tc>
        <w:tc>
          <w:tcPr>
            <w:tcW w:w="3790" w:type="dxa"/>
            <w:vAlign w:val="center"/>
          </w:tcPr>
          <w:p w14:paraId="0D2EAC69">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ascii="仿宋" w:hAnsi="仿宋" w:eastAsia="仿宋" w:cs="仿宋"/>
                <w:b/>
                <w:bCs/>
                <w:color w:val="auto"/>
                <w:sz w:val="32"/>
                <w:szCs w:val="32"/>
              </w:rPr>
            </w:pPr>
            <w:r>
              <w:rPr>
                <w:rFonts w:hint="eastAsia" w:ascii="仿宋" w:hAnsi="仿宋" w:eastAsia="仿宋" w:cs="仿宋"/>
                <w:b/>
                <w:bCs/>
                <w:color w:val="auto"/>
                <w:sz w:val="28"/>
                <w:szCs w:val="28"/>
              </w:rPr>
              <w:t>绍兴平准招标代理有限公司</w:t>
            </w:r>
          </w:p>
        </w:tc>
      </w:tr>
      <w:tr w14:paraId="0099699B">
        <w:tblPrEx>
          <w:tblCellMar>
            <w:top w:w="0" w:type="dxa"/>
            <w:left w:w="108" w:type="dxa"/>
            <w:bottom w:w="0" w:type="dxa"/>
            <w:right w:w="108" w:type="dxa"/>
          </w:tblCellMar>
        </w:tblPrEx>
        <w:trPr>
          <w:trHeight w:val="680" w:hRule="atLeast"/>
          <w:jc w:val="center"/>
        </w:trPr>
        <w:tc>
          <w:tcPr>
            <w:tcW w:w="2356" w:type="dxa"/>
            <w:vAlign w:val="center"/>
          </w:tcPr>
          <w:p w14:paraId="21419D99">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spacing w:val="105"/>
                <w:kern w:val="0"/>
                <w:sz w:val="28"/>
                <w:szCs w:val="28"/>
                <w:fitText w:val="2240" w:id="827001518"/>
                <w:lang w:val="en-US" w:eastAsia="zh-CN"/>
              </w:rPr>
              <w:t>监督单位</w:t>
            </w:r>
            <w:r>
              <w:rPr>
                <w:rFonts w:hint="eastAsia" w:ascii="仿宋" w:hAnsi="仿宋" w:eastAsia="仿宋" w:cs="仿宋"/>
                <w:b/>
                <w:bCs/>
                <w:color w:val="auto"/>
                <w:spacing w:val="0"/>
                <w:kern w:val="0"/>
                <w:sz w:val="28"/>
                <w:szCs w:val="28"/>
                <w:fitText w:val="2240" w:id="827001518"/>
                <w:lang w:val="en-US" w:eastAsia="zh-CN"/>
              </w:rPr>
              <w:t>：</w:t>
            </w:r>
          </w:p>
        </w:tc>
        <w:tc>
          <w:tcPr>
            <w:tcW w:w="3790" w:type="dxa"/>
            <w:vAlign w:val="center"/>
          </w:tcPr>
          <w:p w14:paraId="06DE2EE8">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嵊州市政府采购监管</w:t>
            </w:r>
          </w:p>
        </w:tc>
      </w:tr>
      <w:tr w14:paraId="434D363C">
        <w:tblPrEx>
          <w:tblCellMar>
            <w:top w:w="0" w:type="dxa"/>
            <w:left w:w="108" w:type="dxa"/>
            <w:bottom w:w="0" w:type="dxa"/>
            <w:right w:w="108" w:type="dxa"/>
          </w:tblCellMar>
        </w:tblPrEx>
        <w:trPr>
          <w:trHeight w:val="680" w:hRule="atLeast"/>
          <w:jc w:val="center"/>
        </w:trPr>
        <w:tc>
          <w:tcPr>
            <w:tcW w:w="6146" w:type="dxa"/>
            <w:gridSpan w:val="2"/>
            <w:vAlign w:val="center"/>
          </w:tcPr>
          <w:p w14:paraId="1CE6DF83">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月</w:t>
            </w:r>
          </w:p>
        </w:tc>
      </w:tr>
    </w:tbl>
    <w:p w14:paraId="747C2073">
      <w:pPr>
        <w:tabs>
          <w:tab w:val="left" w:pos="2268"/>
        </w:tabs>
        <w:spacing w:line="360" w:lineRule="auto"/>
        <w:jc w:val="center"/>
        <w:rPr>
          <w:rFonts w:ascii="宋体" w:hAnsi="宋体" w:eastAsia="宋体" w:cs="仿宋_GB2312"/>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rPr>
      </w:pPr>
      <w:r>
        <w:rPr>
          <w:rFonts w:hint="eastAsia" w:ascii="仿宋" w:hAnsi="仿宋" w:eastAsia="仿宋" w:cs="仿宋"/>
          <w:b/>
          <w:color w:val="auto"/>
          <w:sz w:val="48"/>
          <w:szCs w:val="48"/>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14:paraId="1576399A">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2B6530ED">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4334F539">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14:paraId="1481B949">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14:paraId="68956160">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14:paraId="14BF1CA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rPr>
      </w:pPr>
    </w:p>
    <w:p w14:paraId="00605772">
      <w:pPr>
        <w:spacing w:line="360" w:lineRule="auto"/>
        <w:ind w:firstLine="549" w:firstLineChars="229"/>
        <w:rPr>
          <w:rFonts w:ascii="宋体" w:hAnsi="宋体" w:eastAsia="宋体" w:cs="仿宋_GB2312"/>
          <w:color w:val="auto"/>
          <w:sz w:val="24"/>
        </w:rPr>
      </w:pPr>
    </w:p>
    <w:p w14:paraId="1FC92CFD">
      <w:pPr>
        <w:spacing w:line="360" w:lineRule="auto"/>
        <w:ind w:firstLine="549" w:firstLineChars="229"/>
        <w:rPr>
          <w:rFonts w:ascii="宋体" w:hAnsi="宋体" w:eastAsia="宋体" w:cs="仿宋_GB2312"/>
          <w:color w:val="auto"/>
          <w:sz w:val="24"/>
        </w:rPr>
      </w:pPr>
    </w:p>
    <w:p w14:paraId="7B9E6D94">
      <w:pPr>
        <w:spacing w:line="360" w:lineRule="auto"/>
        <w:ind w:firstLine="549" w:firstLineChars="229"/>
        <w:rPr>
          <w:rFonts w:ascii="宋体" w:hAnsi="宋体" w:eastAsia="宋体" w:cs="仿宋_GB2312"/>
          <w:color w:val="auto"/>
          <w:sz w:val="24"/>
        </w:rPr>
      </w:pPr>
    </w:p>
    <w:p w14:paraId="75EB7B26">
      <w:pPr>
        <w:spacing w:line="360" w:lineRule="auto"/>
        <w:ind w:firstLine="549" w:firstLineChars="229"/>
        <w:rPr>
          <w:rFonts w:ascii="宋体" w:hAnsi="宋体" w:eastAsia="宋体" w:cs="仿宋_GB2312"/>
          <w:color w:val="auto"/>
          <w:sz w:val="24"/>
        </w:rPr>
      </w:pPr>
    </w:p>
    <w:p w14:paraId="10861C21">
      <w:pPr>
        <w:spacing w:line="360" w:lineRule="auto"/>
        <w:ind w:firstLine="549" w:firstLineChars="229"/>
        <w:rPr>
          <w:rFonts w:ascii="宋体" w:hAnsi="宋体" w:eastAsia="宋体" w:cs="仿宋_GB2312"/>
          <w:color w:val="auto"/>
          <w:sz w:val="24"/>
        </w:rPr>
      </w:pPr>
    </w:p>
    <w:p w14:paraId="121E0939">
      <w:pPr>
        <w:spacing w:line="360" w:lineRule="auto"/>
        <w:ind w:firstLine="549" w:firstLineChars="229"/>
        <w:rPr>
          <w:rFonts w:ascii="宋体" w:hAnsi="宋体" w:eastAsia="宋体" w:cs="仿宋_GB2312"/>
          <w:color w:val="auto"/>
          <w:sz w:val="24"/>
        </w:rPr>
      </w:pPr>
    </w:p>
    <w:p w14:paraId="40BC8B9A">
      <w:pPr>
        <w:spacing w:line="360" w:lineRule="auto"/>
        <w:ind w:firstLine="549" w:firstLineChars="229"/>
        <w:rPr>
          <w:rFonts w:ascii="宋体" w:hAnsi="宋体" w:eastAsia="宋体" w:cs="仿宋_GB2312"/>
          <w:color w:val="auto"/>
          <w:sz w:val="24"/>
        </w:rPr>
      </w:pPr>
    </w:p>
    <w:p w14:paraId="6C506E0E">
      <w:pPr>
        <w:spacing w:line="360" w:lineRule="auto"/>
        <w:ind w:firstLine="549" w:firstLineChars="229"/>
        <w:rPr>
          <w:rFonts w:ascii="宋体" w:hAnsi="宋体" w:eastAsia="宋体" w:cs="仿宋_GB2312"/>
          <w:color w:val="auto"/>
          <w:sz w:val="24"/>
        </w:rPr>
      </w:pPr>
    </w:p>
    <w:p w14:paraId="50418608">
      <w:pPr>
        <w:spacing w:line="360" w:lineRule="auto"/>
        <w:ind w:firstLine="549" w:firstLineChars="229"/>
        <w:rPr>
          <w:rFonts w:ascii="宋体" w:hAnsi="宋体" w:eastAsia="宋体" w:cs="仿宋_GB2312"/>
          <w:color w:val="auto"/>
          <w:sz w:val="24"/>
        </w:rPr>
      </w:pPr>
    </w:p>
    <w:bookmarkEnd w:id="1"/>
    <w:p w14:paraId="43F415AE">
      <w:pPr>
        <w:adjustRightInd/>
        <w:spacing w:line="360" w:lineRule="auto"/>
        <w:jc w:val="center"/>
        <w:outlineLvl w:val="0"/>
        <w:rPr>
          <w:rFonts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嵊州市高级中学2025年度职工疗休养</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ascii="仿宋" w:hAnsi="仿宋" w:eastAsia="仿宋" w:cs="仿宋"/>
          <w:color w:val="auto"/>
          <w:sz w:val="24"/>
          <w:u w:val="single"/>
        </w:rPr>
        <w:t>https://www.zcygov.cn/</w:t>
      </w:r>
      <w:r>
        <w:rPr>
          <w:rStyle w:val="71"/>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rPr>
        <w:t>月</w:t>
      </w:r>
      <w:r>
        <w:rPr>
          <w:rFonts w:hint="eastAsia" w:ascii="仿宋" w:hAnsi="仿宋" w:eastAsia="仿宋" w:cs="仿宋"/>
          <w:bCs/>
          <w:color w:val="auto"/>
          <w:sz w:val="24"/>
          <w:u w:val="single"/>
          <w:lang w:val="en-US" w:eastAsia="zh-CN"/>
        </w:rPr>
        <w:t xml:space="preserve"> 8 </w:t>
      </w:r>
      <w:r>
        <w:rPr>
          <w:rFonts w:hint="eastAsia" w:ascii="仿宋" w:hAnsi="仿宋" w:eastAsia="仿宋" w:cs="仿宋"/>
          <w:bCs/>
          <w:color w:val="auto"/>
          <w:sz w:val="24"/>
          <w:u w:val="non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36E21078">
      <w:pPr>
        <w:pStyle w:val="3"/>
        <w:numPr>
          <w:ilvl w:val="0"/>
          <w:numId w:val="0"/>
        </w:numPr>
        <w:spacing w:line="336" w:lineRule="auto"/>
        <w:rPr>
          <w:rFonts w:ascii="仿宋" w:eastAsia="仿宋" w:cs="仿宋"/>
          <w:color w:val="auto"/>
          <w:sz w:val="24"/>
          <w:szCs w:val="24"/>
        </w:rPr>
      </w:pPr>
      <w:bookmarkStart w:id="9" w:name="_Toc35393629"/>
      <w:bookmarkStart w:id="10" w:name="_Toc28359089"/>
      <w:bookmarkStart w:id="11" w:name="_Toc28359012"/>
      <w:bookmarkStart w:id="12" w:name="_Toc35393798"/>
      <w:r>
        <w:rPr>
          <w:rFonts w:hint="eastAsia" w:ascii="仿宋" w:eastAsia="仿宋" w:cs="仿宋"/>
          <w:color w:val="auto"/>
          <w:sz w:val="24"/>
          <w:szCs w:val="24"/>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SXPZ-F20250627ZXX</w:t>
      </w:r>
    </w:p>
    <w:p w14:paraId="20015D82">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嵊州市高级中学2025年度职工疗休养</w:t>
      </w:r>
    </w:p>
    <w:p w14:paraId="29AE6CB4">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18403E10">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eastAsia="zh-CN"/>
        </w:rPr>
        <w:t>378000.00</w:t>
      </w:r>
    </w:p>
    <w:p w14:paraId="6367AD1B">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eastAsia="zh-CN"/>
        </w:rPr>
        <w:t>378000.00</w:t>
      </w:r>
    </w:p>
    <w:p w14:paraId="14091F21">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采购需求：</w:t>
      </w:r>
    </w:p>
    <w:p w14:paraId="1E88E7AA">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Cs/>
          <w:color w:val="auto"/>
          <w:sz w:val="24"/>
        </w:rPr>
      </w:pPr>
    </w:p>
    <w:p w14:paraId="4107DE8E">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标项名称：</w:t>
      </w:r>
      <w:r>
        <w:rPr>
          <w:rFonts w:hint="eastAsia" w:ascii="仿宋" w:hAnsi="仿宋" w:eastAsia="仿宋" w:cs="仿宋"/>
          <w:b w:val="0"/>
          <w:bCs/>
          <w:color w:val="auto"/>
          <w:sz w:val="24"/>
          <w:lang w:eastAsia="zh-CN"/>
        </w:rPr>
        <w:t>嵊州市高级中学2025年度职工疗休养</w:t>
      </w:r>
    </w:p>
    <w:p w14:paraId="401E4F99">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default" w:ascii="仿宋" w:hAnsi="仿宋" w:eastAsia="仿宋"/>
          <w:b w:val="0"/>
          <w:bCs/>
          <w:color w:val="auto"/>
          <w:sz w:val="24"/>
          <w:lang w:val="en-US" w:eastAsia="zh-CN"/>
        </w:rPr>
      </w:pPr>
      <w:r>
        <w:rPr>
          <w:rFonts w:hint="eastAsia" w:ascii="仿宋" w:hAnsi="仿宋" w:eastAsia="仿宋"/>
          <w:b w:val="0"/>
          <w:bCs/>
          <w:color w:val="auto"/>
          <w:sz w:val="24"/>
        </w:rPr>
        <w:t>数量：</w:t>
      </w:r>
      <w:r>
        <w:rPr>
          <w:rFonts w:hint="eastAsia" w:ascii="仿宋" w:hAnsi="仿宋" w:eastAsia="仿宋"/>
          <w:b w:val="0"/>
          <w:bCs/>
          <w:color w:val="auto"/>
          <w:sz w:val="24"/>
          <w:lang w:val="en-US" w:eastAsia="zh-CN"/>
        </w:rPr>
        <w:t>1项</w:t>
      </w:r>
    </w:p>
    <w:p w14:paraId="29FE210D">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预算金额：</w:t>
      </w:r>
      <w:r>
        <w:rPr>
          <w:rFonts w:hint="eastAsia" w:ascii="仿宋" w:hAnsi="仿宋" w:eastAsia="仿宋"/>
          <w:b w:val="0"/>
          <w:bCs/>
          <w:color w:val="auto"/>
          <w:sz w:val="24"/>
          <w:lang w:eastAsia="zh-CN"/>
        </w:rPr>
        <w:t>378000.00</w:t>
      </w:r>
    </w:p>
    <w:p w14:paraId="315439B2">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eastAsia="zh-CN"/>
        </w:rPr>
      </w:pPr>
      <w:r>
        <w:rPr>
          <w:rFonts w:hint="eastAsia" w:ascii="仿宋" w:hAnsi="仿宋" w:eastAsia="仿宋"/>
          <w:b w:val="0"/>
          <w:bCs/>
          <w:color w:val="auto"/>
          <w:sz w:val="24"/>
        </w:rPr>
        <w:t>简要规格描述：线路等具体内容和相关要求详见招标文件“第三部分 采购需求”</w:t>
      </w:r>
      <w:r>
        <w:rPr>
          <w:rFonts w:hint="eastAsia" w:ascii="仿宋" w:hAnsi="仿宋" w:eastAsia="仿宋"/>
          <w:b w:val="0"/>
          <w:bCs/>
          <w:color w:val="auto"/>
          <w:sz w:val="24"/>
          <w:lang w:eastAsia="zh-CN"/>
        </w:rPr>
        <w:t>；</w:t>
      </w:r>
    </w:p>
    <w:p w14:paraId="2FC41EAA">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lang w:val="en-US" w:eastAsia="zh-CN"/>
        </w:rPr>
        <w:t>备注：</w:t>
      </w:r>
    </w:p>
    <w:p w14:paraId="22A0B497">
      <w:pPr>
        <w:pStyle w:val="3"/>
        <w:pageBreakBefore w:val="0"/>
        <w:widowControl w:val="0"/>
        <w:numPr>
          <w:ilvl w:val="0"/>
          <w:numId w:val="0"/>
        </w:numPr>
        <w:kinsoku/>
        <w:wordWrap/>
        <w:overflowPunct/>
        <w:topLinePunct w:val="0"/>
        <w:autoSpaceDE/>
        <w:autoSpaceDN/>
        <w:bidi w:val="0"/>
        <w:snapToGrid/>
        <w:spacing w:line="400" w:lineRule="exact"/>
        <w:ind w:leftChars="0"/>
        <w:textAlignment w:val="auto"/>
        <w:rPr>
          <w:rFonts w:hint="eastAsia"/>
          <w:color w:val="auto"/>
        </w:rPr>
      </w:pPr>
    </w:p>
    <w:p w14:paraId="5DEA77C7">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200D09F0">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258B210D">
      <w:pPr>
        <w:spacing w:line="336" w:lineRule="auto"/>
        <w:rPr>
          <w:rFonts w:ascii="仿宋" w:hAnsi="仿宋" w:eastAsia="仿宋" w:cs="仿宋"/>
          <w:b/>
          <w:bCs/>
          <w:color w:val="auto"/>
          <w:sz w:val="24"/>
        </w:rPr>
      </w:pPr>
      <w:bookmarkStart w:id="13" w:name="_Toc35393799"/>
      <w:bookmarkStart w:id="14" w:name="_Toc35393630"/>
      <w:bookmarkStart w:id="15" w:name="_Toc28359013"/>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CB0267E">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60B80EB5">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A923EF1">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b/>
          <w:bCs/>
          <w:color w:val="auto"/>
          <w:sz w:val="24"/>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rPr>
      </w:pPr>
      <w:bookmarkStart w:id="17" w:name="_Toc35393631"/>
      <w:bookmarkStart w:id="18" w:name="_Toc28359014"/>
      <w:bookmarkStart w:id="19" w:name="_Toc35393800"/>
      <w:bookmarkStart w:id="20" w:name="_Toc28359091"/>
      <w:r>
        <w:rPr>
          <w:rFonts w:hint="eastAsia" w:ascii="仿宋" w:hAnsi="仿宋" w:eastAsia="仿宋" w:cs="仿宋"/>
          <w:b/>
          <w:bCs/>
          <w:color w:val="auto"/>
          <w:sz w:val="24"/>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7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8 </w:t>
      </w:r>
      <w:r>
        <w:rPr>
          <w:rFonts w:hint="eastAsia" w:ascii="仿宋" w:hAnsi="仿宋" w:eastAsia="仿宋" w:cs="仿宋"/>
          <w:color w:val="auto"/>
          <w:sz w:val="24"/>
          <w:lang w:val="en-US"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sz w:val="24"/>
        </w:rPr>
        <w:t>https://www.zcygov.cn/</w:t>
      </w:r>
      <w:r>
        <w:rPr>
          <w:rStyle w:val="71"/>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78724198">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52E54FC4">
      <w:pPr>
        <w:pStyle w:val="3"/>
        <w:numPr>
          <w:ilvl w:val="0"/>
          <w:numId w:val="0"/>
        </w:numPr>
        <w:spacing w:line="336" w:lineRule="auto"/>
        <w:rPr>
          <w:rFonts w:ascii="仿宋" w:eastAsia="仿宋" w:cs="仿宋"/>
          <w:color w:val="auto"/>
          <w:sz w:val="24"/>
          <w:szCs w:val="24"/>
        </w:rPr>
      </w:pPr>
      <w:bookmarkStart w:id="21" w:name="_Toc35393632"/>
      <w:bookmarkStart w:id="22" w:name="_Toc28359092"/>
      <w:bookmarkStart w:id="23" w:name="_Toc28359015"/>
      <w:bookmarkStart w:id="24" w:name="_Toc35393801"/>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0B7B03E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lang w:val="en-US" w:eastAsia="zh-CN"/>
        </w:rPr>
        <w:t>月</w:t>
      </w:r>
      <w:r>
        <w:rPr>
          <w:rFonts w:hint="eastAsia" w:ascii="仿宋" w:hAnsi="仿宋" w:eastAsia="仿宋" w:cs="仿宋"/>
          <w:bCs/>
          <w:color w:val="auto"/>
          <w:sz w:val="24"/>
          <w:u w:val="single"/>
          <w:lang w:val="en-US" w:eastAsia="zh-CN"/>
        </w:rPr>
        <w:t xml:space="preserve"> 8 </w:t>
      </w:r>
      <w:r>
        <w:rPr>
          <w:rFonts w:hint="eastAsia" w:ascii="仿宋" w:hAnsi="仿宋" w:eastAsia="仿宋" w:cs="仿宋"/>
          <w:bCs/>
          <w:color w:val="auto"/>
          <w:sz w:val="24"/>
          <w:u w:val="none"/>
          <w:lang w:val="en-US" w:eastAsia="zh-CN"/>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w:t>
      </w:r>
    </w:p>
    <w:p w14:paraId="52A7A36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kern w:val="2"/>
          <w:sz w:val="24"/>
          <w:szCs w:val="24"/>
        </w:rPr>
        <w:t>https://www.zcygov.cn/</w:t>
      </w:r>
      <w:r>
        <w:rPr>
          <w:rStyle w:val="71"/>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6C61CF7D">
      <w:pPr>
        <w:pStyle w:val="3"/>
        <w:numPr>
          <w:ilvl w:val="0"/>
          <w:numId w:val="0"/>
        </w:numPr>
        <w:spacing w:line="336" w:lineRule="auto"/>
        <w:rPr>
          <w:rFonts w:ascii="仿宋" w:eastAsia="仿宋" w:cs="仿宋"/>
          <w:color w:val="auto"/>
          <w:sz w:val="24"/>
          <w:szCs w:val="24"/>
        </w:rPr>
      </w:pPr>
      <w:bookmarkStart w:id="25" w:name="_Toc28359093"/>
      <w:bookmarkStart w:id="26" w:name="_Toc35393633"/>
      <w:bookmarkStart w:id="27" w:name="_Toc28359016"/>
      <w:bookmarkStart w:id="28" w:name="_Toc35393802"/>
      <w:r>
        <w:rPr>
          <w:rFonts w:hint="eastAsia" w:ascii="仿宋" w:eastAsia="仿宋" w:cs="仿宋"/>
          <w:color w:val="auto"/>
          <w:sz w:val="24"/>
          <w:szCs w:val="24"/>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lang w:val="en-US" w:eastAsia="zh-CN"/>
        </w:rPr>
        <w:t>月</w:t>
      </w:r>
      <w:r>
        <w:rPr>
          <w:rFonts w:hint="eastAsia" w:ascii="仿宋" w:hAnsi="仿宋" w:eastAsia="仿宋" w:cs="仿宋"/>
          <w:bCs/>
          <w:color w:val="auto"/>
          <w:sz w:val="24"/>
          <w:u w:val="single"/>
          <w:lang w:val="en-US" w:eastAsia="zh-CN"/>
        </w:rPr>
        <w:t xml:space="preserve"> 8 </w:t>
      </w:r>
      <w:r>
        <w:rPr>
          <w:rFonts w:hint="eastAsia" w:ascii="仿宋" w:hAnsi="仿宋" w:eastAsia="仿宋" w:cs="仿宋"/>
          <w:bCs/>
          <w:color w:val="auto"/>
          <w:sz w:val="24"/>
          <w:u w:val="none"/>
          <w:lang w:val="en-US" w:eastAsia="zh-CN"/>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w:t>
      </w:r>
    </w:p>
    <w:p w14:paraId="5DEC4467">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71486E13">
      <w:pPr>
        <w:pStyle w:val="3"/>
        <w:numPr>
          <w:ilvl w:val="0"/>
          <w:numId w:val="0"/>
        </w:numPr>
        <w:spacing w:line="336" w:lineRule="auto"/>
        <w:rPr>
          <w:rFonts w:ascii="仿宋" w:eastAsia="仿宋" w:cs="仿宋"/>
          <w:color w:val="auto"/>
          <w:sz w:val="24"/>
          <w:szCs w:val="24"/>
        </w:rPr>
      </w:pPr>
      <w:bookmarkStart w:id="29" w:name="_Toc35393634"/>
      <w:bookmarkStart w:id="30" w:name="_Toc28359094"/>
      <w:bookmarkStart w:id="31" w:name="_Toc28359017"/>
      <w:bookmarkStart w:id="32" w:name="_Toc35393803"/>
      <w:r>
        <w:rPr>
          <w:rFonts w:hint="eastAsia" w:ascii="仿宋" w:eastAsia="仿宋" w:cs="仿宋"/>
          <w:color w:val="auto"/>
          <w:sz w:val="24"/>
          <w:szCs w:val="24"/>
          <w:lang w:val="en-US" w:eastAsia="zh-CN"/>
        </w:rPr>
        <w:t>六、</w:t>
      </w:r>
      <w:r>
        <w:rPr>
          <w:rFonts w:hint="eastAsia" w:ascii="仿宋" w:eastAsia="仿宋" w:cs="仿宋"/>
          <w:color w:val="auto"/>
          <w:sz w:val="24"/>
          <w:szCs w:val="24"/>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EFE1A09">
      <w:pPr>
        <w:pStyle w:val="3"/>
        <w:numPr>
          <w:ilvl w:val="0"/>
          <w:numId w:val="0"/>
        </w:numPr>
        <w:spacing w:line="336" w:lineRule="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lang w:val="en-US" w:eastAsia="zh-CN"/>
        </w:rPr>
        <w:t>七</w:t>
      </w:r>
      <w:r>
        <w:rPr>
          <w:rFonts w:hint="eastAsia" w:ascii="仿宋" w:eastAsia="仿宋" w:cs="仿宋"/>
          <w:color w:val="auto"/>
          <w:sz w:val="24"/>
          <w:szCs w:val="24"/>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w:t>
      </w:r>
      <w:r>
        <w:rPr>
          <w:rFonts w:hint="eastAsia" w:ascii="仿宋" w:hAnsi="仿宋" w:eastAsia="仿宋" w:cs="仿宋"/>
          <w:color w:val="auto"/>
          <w:sz w:val="24"/>
          <w:highlight w:val="none"/>
        </w:rPr>
        <w:t>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w:t>
      </w:r>
      <w:r>
        <w:rPr>
          <w:rFonts w:hint="eastAsia" w:ascii="仿宋" w:hAnsi="仿宋" w:eastAsia="仿宋" w:cs="仿宋"/>
          <w:color w:val="auto"/>
          <w:sz w:val="24"/>
        </w:rPr>
        <w:t>疑投诉-质疑列表。质疑供应商对在线质疑答复不满意的，可在线提起投诉，路径为：浙江</w:t>
      </w:r>
      <w:r>
        <w:rPr>
          <w:rFonts w:hint="eastAsia" w:ascii="仿宋" w:hAnsi="仿宋" w:eastAsia="仿宋" w:cs="仿宋"/>
          <w:color w:val="auto"/>
          <w:sz w:val="24"/>
          <w:lang w:val="en-US" w:eastAsia="zh-CN"/>
        </w:rPr>
        <w:t>政务</w:t>
      </w:r>
      <w:r>
        <w:rPr>
          <w:rFonts w:hint="eastAsia" w:ascii="仿宋" w:hAnsi="仿宋" w:eastAsia="仿宋" w:cs="仿宋"/>
          <w:color w:val="auto"/>
          <w:sz w:val="24"/>
        </w:rPr>
        <w:t>服务网-政府采购投诉处理-在线办理。</w:t>
      </w:r>
    </w:p>
    <w:p w14:paraId="5690D35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促进中小企业发展等，详见磋商文件第三部分。</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639B42FC">
      <w:pPr>
        <w:pStyle w:val="3"/>
        <w:numPr>
          <w:ilvl w:val="0"/>
          <w:numId w:val="0"/>
        </w:numPr>
        <w:spacing w:line="336" w:lineRule="auto"/>
        <w:rPr>
          <w:rFonts w:ascii="仿宋" w:eastAsia="仿宋" w:cs="仿宋"/>
          <w:color w:val="auto"/>
          <w:sz w:val="24"/>
          <w:szCs w:val="24"/>
        </w:rPr>
      </w:pPr>
      <w:bookmarkStart w:id="35" w:name="_Toc35393636"/>
      <w:bookmarkStart w:id="36" w:name="_Toc28359095"/>
      <w:bookmarkStart w:id="37" w:name="_Toc28359018"/>
      <w:bookmarkStart w:id="38" w:name="_Toc35393805"/>
      <w:r>
        <w:rPr>
          <w:rFonts w:hint="eastAsia" w:ascii="仿宋" w:eastAsia="仿宋" w:cs="仿宋"/>
          <w:color w:val="auto"/>
          <w:sz w:val="24"/>
          <w:szCs w:val="24"/>
          <w:lang w:val="en-US" w:eastAsia="zh-CN"/>
        </w:rPr>
        <w:t>八</w:t>
      </w:r>
      <w:r>
        <w:rPr>
          <w:rFonts w:hint="eastAsia" w:ascii="仿宋" w:eastAsia="仿宋" w:cs="仿宋"/>
          <w:color w:val="auto"/>
          <w:sz w:val="24"/>
          <w:szCs w:val="24"/>
        </w:rPr>
        <w:t>、凡对本次采购提出询问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198EB319">
      <w:pPr>
        <w:pStyle w:val="3"/>
        <w:numPr>
          <w:ilvl w:val="0"/>
          <w:numId w:val="0"/>
        </w:numPr>
        <w:spacing w:line="336" w:lineRule="auto"/>
        <w:ind w:firstLine="482" w:firstLineChars="200"/>
        <w:rPr>
          <w:rFonts w:ascii="仿宋" w:eastAsia="仿宋" w:cs="仿宋"/>
          <w:color w:val="auto"/>
          <w:sz w:val="24"/>
          <w:szCs w:val="24"/>
        </w:rPr>
      </w:pPr>
      <w:bookmarkStart w:id="39" w:name="_Toc35393806"/>
      <w:bookmarkStart w:id="40" w:name="_Toc35393637"/>
      <w:bookmarkStart w:id="41" w:name="_Toc28359096"/>
      <w:bookmarkStart w:id="42" w:name="_Toc28359019"/>
      <w:r>
        <w:rPr>
          <w:rFonts w:hint="eastAsia" w:ascii="仿宋" w:eastAsia="仿宋" w:cs="仿宋"/>
          <w:color w:val="auto"/>
          <w:sz w:val="24"/>
          <w:szCs w:val="24"/>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 xml:space="preserve">嵊州市高级中学  </w:t>
      </w:r>
    </w:p>
    <w:p w14:paraId="3326C787">
      <w:pPr>
        <w:spacing w:line="336"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地    址：嵊州市城南新区新七路555号</w:t>
      </w:r>
    </w:p>
    <w:p w14:paraId="231CF28B">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项目联系人（询问）：陆老师</w:t>
      </w:r>
    </w:p>
    <w:p w14:paraId="24CF24A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项目联系方式（询问）：0575-89302210 </w:t>
      </w:r>
    </w:p>
    <w:p w14:paraId="0A52A630">
      <w:pPr>
        <w:pStyle w:val="3"/>
        <w:numPr>
          <w:ilvl w:val="0"/>
          <w:numId w:val="0"/>
        </w:numPr>
        <w:spacing w:line="336" w:lineRule="auto"/>
        <w:ind w:firstLine="480" w:firstLineChars="200"/>
        <w:rPr>
          <w:rFonts w:hint="eastAsia" w:ascii="仿宋" w:eastAsia="仿宋" w:cs="仿宋"/>
          <w:b w:val="0"/>
          <w:bCs w:val="0"/>
          <w:color w:val="auto"/>
          <w:sz w:val="24"/>
          <w:szCs w:val="24"/>
        </w:rPr>
      </w:pPr>
      <w:bookmarkStart w:id="43" w:name="_Toc35393807"/>
      <w:bookmarkStart w:id="44" w:name="_Toc35393638"/>
      <w:bookmarkStart w:id="45" w:name="_Toc28359097"/>
      <w:bookmarkStart w:id="46" w:name="_Toc28359020"/>
      <w:r>
        <w:rPr>
          <w:rFonts w:hint="eastAsia" w:ascii="仿宋" w:eastAsia="仿宋" w:cs="仿宋"/>
          <w:b w:val="0"/>
          <w:bCs w:val="0"/>
          <w:color w:val="auto"/>
          <w:sz w:val="24"/>
          <w:szCs w:val="24"/>
        </w:rPr>
        <w:t>质疑联系人：魏老师</w:t>
      </w:r>
    </w:p>
    <w:p w14:paraId="0FD4F1E1">
      <w:pPr>
        <w:pStyle w:val="3"/>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质疑联系方式：0575-89302210</w:t>
      </w:r>
    </w:p>
    <w:p w14:paraId="69A86692">
      <w:pPr>
        <w:pStyle w:val="3"/>
        <w:numPr>
          <w:ilvl w:val="0"/>
          <w:numId w:val="0"/>
        </w:numPr>
        <w:spacing w:line="336" w:lineRule="auto"/>
        <w:ind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14:paraId="78EC2452">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14:paraId="0AED1595">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竺</w:t>
      </w:r>
      <w:r>
        <w:rPr>
          <w:rFonts w:hint="eastAsia" w:ascii="仿宋" w:hAnsi="仿宋" w:eastAsia="仿宋" w:cs="仿宋"/>
          <w:color w:val="auto"/>
          <w:sz w:val="24"/>
        </w:rPr>
        <w:t>女士</w:t>
      </w:r>
    </w:p>
    <w:p w14:paraId="00467422">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项目联系方式（询问）：0575-83176688 </w:t>
      </w:r>
    </w:p>
    <w:p w14:paraId="7B82762F">
      <w:pPr>
        <w:spacing w:line="336"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孙女士</w:t>
      </w:r>
      <w:r>
        <w:rPr>
          <w:rFonts w:hint="eastAsia" w:ascii="仿宋" w:hAnsi="仿宋" w:eastAsia="仿宋" w:cs="仿宋"/>
          <w:color w:val="auto"/>
          <w:sz w:val="24"/>
        </w:rPr>
        <w:t xml:space="preserve">             </w:t>
      </w:r>
    </w:p>
    <w:p w14:paraId="7F07CBB5">
      <w:pPr>
        <w:spacing w:line="336" w:lineRule="auto"/>
        <w:ind w:firstLine="480"/>
        <w:rPr>
          <w:rFonts w:ascii="仿宋" w:hAnsi="仿宋" w:eastAsia="仿宋" w:cs="仿宋"/>
          <w:color w:val="auto"/>
          <w:sz w:val="24"/>
        </w:rPr>
      </w:pPr>
      <w:r>
        <w:rPr>
          <w:rFonts w:hint="eastAsia" w:ascii="仿宋" w:hAnsi="仿宋" w:eastAsia="仿宋" w:cs="仿宋"/>
          <w:color w:val="auto"/>
          <w:sz w:val="24"/>
        </w:rPr>
        <w:t>质疑联系方式：</w:t>
      </w:r>
      <w:bookmarkStart w:id="47" w:name="_Toc28359098"/>
      <w:bookmarkStart w:id="48" w:name="_Toc35393639"/>
      <w:bookmarkStart w:id="49" w:name="_Toc28359021"/>
      <w:bookmarkStart w:id="50" w:name="_Toc35393808"/>
      <w:r>
        <w:rPr>
          <w:rFonts w:hint="eastAsia" w:ascii="仿宋" w:hAnsi="仿宋" w:eastAsia="仿宋" w:cs="仿宋"/>
          <w:color w:val="auto"/>
          <w:sz w:val="24"/>
        </w:rPr>
        <w:t>0575-83176688</w:t>
      </w:r>
    </w:p>
    <w:p w14:paraId="41CC1A5F">
      <w:pPr>
        <w:spacing w:line="336" w:lineRule="auto"/>
        <w:ind w:firstLine="480"/>
        <w:rPr>
          <w:rFonts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14:paraId="57804F32">
      <w:pPr>
        <w:spacing w:line="336" w:lineRule="auto"/>
        <w:rPr>
          <w:rFonts w:ascii="仿宋" w:hAnsi="仿宋" w:eastAsia="仿宋" w:cs="仿宋"/>
          <w:color w:val="auto"/>
          <w:sz w:val="24"/>
        </w:rPr>
      </w:pPr>
      <w:r>
        <w:rPr>
          <w:rFonts w:hint="eastAsia" w:ascii="仿宋" w:hAnsi="仿宋" w:eastAsia="仿宋" w:cs="仿宋"/>
          <w:color w:val="auto"/>
          <w:sz w:val="24"/>
        </w:rPr>
        <w:t xml:space="preserve">    </w:t>
      </w:r>
      <w:bookmarkEnd w:id="47"/>
      <w:bookmarkEnd w:id="48"/>
      <w:bookmarkEnd w:id="49"/>
      <w:bookmarkEnd w:id="50"/>
      <w:r>
        <w:rPr>
          <w:rFonts w:hint="eastAsia" w:ascii="仿宋" w:hAnsi="仿宋" w:eastAsia="仿宋" w:cs="仿宋"/>
          <w:color w:val="auto"/>
          <w:sz w:val="24"/>
        </w:rPr>
        <w:t>名    称：嵊州市采购监管</w:t>
      </w:r>
    </w:p>
    <w:p w14:paraId="4906E97E">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址：浙江省绍兴市嵊州市三江街道国资综合大楼1004室 </w:t>
      </w:r>
    </w:p>
    <w:p w14:paraId="4D830FFA">
      <w:pPr>
        <w:spacing w:line="336" w:lineRule="auto"/>
        <w:rPr>
          <w:rFonts w:ascii="仿宋" w:hAnsi="仿宋" w:eastAsia="仿宋" w:cs="仿宋"/>
          <w:color w:val="auto"/>
          <w:sz w:val="24"/>
        </w:rPr>
      </w:pPr>
      <w:r>
        <w:rPr>
          <w:rFonts w:hint="eastAsia" w:ascii="仿宋" w:hAnsi="仿宋" w:eastAsia="仿宋" w:cs="仿宋"/>
          <w:color w:val="auto"/>
          <w:sz w:val="24"/>
        </w:rPr>
        <w:t xml:space="preserve">    联系人 ：郑老师 </w:t>
      </w:r>
    </w:p>
    <w:p w14:paraId="2AF92418">
      <w:pPr>
        <w:spacing w:line="336" w:lineRule="auto"/>
        <w:ind w:firstLine="480"/>
        <w:rPr>
          <w:rFonts w:ascii="仿宋" w:hAnsi="仿宋" w:eastAsia="仿宋" w:cs="仿宋"/>
          <w:color w:val="auto"/>
          <w:sz w:val="24"/>
        </w:rPr>
      </w:pPr>
      <w:r>
        <w:rPr>
          <w:rFonts w:hint="eastAsia" w:ascii="仿宋" w:hAnsi="仿宋" w:eastAsia="仿宋" w:cs="仿宋"/>
          <w:color w:val="auto"/>
          <w:sz w:val="24"/>
        </w:rPr>
        <w:t xml:space="preserve">监督投诉电话：0575-83032507     </w:t>
      </w:r>
    </w:p>
    <w:p w14:paraId="335AE9A6">
      <w:pPr>
        <w:spacing w:line="336" w:lineRule="auto"/>
        <w:ind w:firstLine="480" w:firstLineChars="200"/>
        <w:rPr>
          <w:rFonts w:hint="eastAsia" w:ascii="仿宋" w:hAnsi="仿宋" w:eastAsia="仿宋" w:cs="仿宋"/>
          <w:color w:val="auto"/>
          <w:sz w:val="24"/>
        </w:rPr>
      </w:pPr>
    </w:p>
    <w:p w14:paraId="2BF4DB4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09B2BA6">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045F2FD">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以政采云平台中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color w:val="auto"/>
                <w:sz w:val="24"/>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rPr>
            </w:pPr>
            <w:r>
              <w:rPr>
                <w:rFonts w:hint="eastAsia" w:ascii="仿宋" w:hAnsi="仿宋" w:eastAsia="仿宋" w:cs="仿宋"/>
                <w:color w:val="auto"/>
                <w:sz w:val="24"/>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嵊州市高级中学2025年度职工疗休养</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w:t>
            </w:r>
            <w:r>
              <w:rPr>
                <w:rFonts w:hint="eastAsia" w:ascii="仿宋" w:hAnsi="仿宋" w:eastAsia="仿宋" w:cs="仿宋"/>
                <w:b/>
                <w:bCs/>
                <w:color w:val="auto"/>
                <w:sz w:val="24"/>
                <w:u w:val="single"/>
              </w:rPr>
              <w:t>若供应商未按时解密的，视为磋商响应文件撤回</w:t>
            </w:r>
            <w:r>
              <w:rPr>
                <w:rFonts w:hint="eastAsia" w:ascii="仿宋" w:hAnsi="仿宋" w:eastAsia="仿宋" w:cs="仿宋"/>
                <w:color w:val="auto"/>
                <w:sz w:val="24"/>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rPr>
            </w:pPr>
            <w:r>
              <w:rPr>
                <w:rFonts w:hint="eastAsia" w:ascii="仿宋" w:hAnsi="仿宋" w:eastAsia="仿宋" w:cs="仿宋"/>
                <w:b/>
                <w:color w:val="auto"/>
                <w:sz w:val="24"/>
              </w:rPr>
              <w:t>特别说明：</w:t>
            </w:r>
          </w:p>
          <w:p w14:paraId="0707398D">
            <w:pPr>
              <w:spacing w:line="336" w:lineRule="auto"/>
              <w:rPr>
                <w:rFonts w:hint="eastAsia" w:ascii="仿宋" w:hAnsi="仿宋" w:eastAsia="仿宋" w:cs="仿宋"/>
                <w:color w:val="auto"/>
                <w:kern w:val="2"/>
                <w:sz w:val="24"/>
                <w:szCs w:val="24"/>
                <w:lang w:val="zh-CN" w:eastAsia="zh-CN" w:bidi="ar-SA"/>
              </w:rPr>
            </w:pPr>
            <w:r>
              <w:rPr>
                <w:rFonts w:hint="eastAsia" w:ascii="仿宋" w:hAnsi="仿宋" w:eastAsia="仿宋" w:cs="仿宋"/>
                <w:snapToGrid w:val="0"/>
                <w:color w:val="auto"/>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3"/>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6939CEC">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②用银行支票、电汇、现金等付款方式直接交纳代理服务费。</w:t>
            </w:r>
          </w:p>
          <w:p w14:paraId="074C7B7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公司名称: 绍兴平准招标代理有限公司</w:t>
            </w:r>
          </w:p>
          <w:p w14:paraId="7CEF5722">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开户银行：建设银行嵊州新城支行</w:t>
            </w:r>
          </w:p>
          <w:p w14:paraId="2B6694B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rPr>
            </w:pPr>
            <w:r>
              <w:rPr>
                <w:rFonts w:hint="eastAsia" w:ascii="仿宋" w:hAnsi="仿宋" w:eastAsia="仿宋" w:cs="仿宋"/>
                <w:snapToGrid w:val="0"/>
                <w:color w:val="auto"/>
                <w:kern w:val="28"/>
                <w:sz w:val="24"/>
                <w:szCs w:val="24"/>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1" w:type="dxa"/>
            <w:gridSpan w:val="2"/>
            <w:vAlign w:val="center"/>
          </w:tcPr>
          <w:p w14:paraId="7F2CD9C4">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yellow"/>
                <w:u w:val="single"/>
              </w:rPr>
            </w:pPr>
            <w:r>
              <w:rPr>
                <w:rFonts w:hint="eastAsia" w:ascii="仿宋" w:hAnsi="仿宋" w:eastAsia="仿宋" w:cs="仿宋"/>
                <w:b w:val="0"/>
                <w:bCs w:val="0"/>
                <w:color w:val="auto"/>
                <w:sz w:val="24"/>
              </w:rPr>
              <w:t>在领取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通知书时</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供应商需根据采购人要求提供纸质</w:t>
            </w:r>
            <w:r>
              <w:rPr>
                <w:rFonts w:hint="eastAsia" w:ascii="仿宋" w:hAnsi="仿宋" w:eastAsia="仿宋" w:cs="仿宋"/>
                <w:b w:val="0"/>
                <w:bCs w:val="0"/>
                <w:color w:val="auto"/>
                <w:sz w:val="24"/>
                <w:lang w:val="en-US" w:eastAsia="zh-CN"/>
              </w:rPr>
              <w:t>磋商响应</w:t>
            </w:r>
            <w:r>
              <w:rPr>
                <w:rFonts w:hint="eastAsia" w:ascii="仿宋" w:hAnsi="仿宋" w:eastAsia="仿宋" w:cs="仿宋"/>
                <w:b w:val="0"/>
                <w:bCs w:val="0"/>
                <w:color w:val="auto"/>
                <w:sz w:val="24"/>
              </w:rPr>
              <w:t>文件（与电子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文件一致）至少三份，递交至代理机构，如与电子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文件不符将影响</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r>
              <w:rPr>
                <w:rFonts w:hint="eastAsia" w:ascii="仿宋" w:hAnsi="仿宋" w:eastAsia="仿宋" w:cs="仿宋"/>
                <w:color w:val="auto"/>
                <w:sz w:val="24"/>
                <w:lang w:val="en-US" w:eastAsia="zh-CN"/>
              </w:rPr>
              <w:t>和</w:t>
            </w:r>
            <w:r>
              <w:rPr>
                <w:rFonts w:hint="eastAsia" w:ascii="仿宋" w:hAnsi="仿宋" w:eastAsia="仿宋" w:cs="仿宋"/>
                <w:color w:val="auto"/>
                <w:sz w:val="24"/>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val="0"/>
                <w:bCs/>
                <w:color w:val="auto"/>
                <w:sz w:val="24"/>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rPr>
      </w:pPr>
    </w:p>
    <w:p w14:paraId="5B1F7B1F">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1"/>
          <w:rFonts w:hint="eastAsia" w:ascii="仿宋" w:hAnsi="仿宋" w:eastAsia="仿宋" w:cs="仿宋"/>
          <w:snapToGrid/>
          <w:color w:val="auto"/>
          <w:kern w:val="2"/>
          <w:sz w:val="24"/>
          <w:szCs w:val="24"/>
        </w:rPr>
        <w:t>https://www.zcygov.cn/</w:t>
      </w:r>
      <w:r>
        <w:rPr>
          <w:rStyle w:val="71"/>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rPr>
        <w:t>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rPr>
      </w:pPr>
    </w:p>
    <w:p w14:paraId="276B8355">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14:paraId="7DF7292E">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14:paraId="66451A11">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14:paraId="4CD4BCD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rPr>
      </w:pPr>
    </w:p>
    <w:p w14:paraId="2D6296A1">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1"/>
          <w:rFonts w:hint="eastAsia" w:ascii="仿宋" w:hAnsi="仿宋" w:eastAsia="仿宋"/>
          <w:color w:val="auto"/>
          <w:sz w:val="24"/>
          <w:szCs w:val="24"/>
          <w:highlight w:val="white"/>
          <w:lang w:val="en-US" w:eastAsia="zh-CN"/>
        </w:rPr>
        <w:t>2</w:t>
      </w:r>
      <w:r>
        <w:rPr>
          <w:rFonts w:hint="eastAsia" w:ascii="仿宋" w:hAnsi="仿宋" w:eastAsia="仿宋"/>
          <w:color w:val="auto"/>
          <w:sz w:val="24"/>
          <w:szCs w:val="24"/>
          <w:highlight w:val="whit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white"/>
          <w:vertAlign w:val="baseline"/>
          <w:lang w:val="en-US" w:eastAsia="zh-CN" w:bidi="ar-SA"/>
        </w:rPr>
        <w:t>3.1报价</w:t>
      </w:r>
      <w:r>
        <w:rPr>
          <w:rFonts w:hint="eastAsia" w:ascii="仿宋" w:hAnsi="仿宋" w:eastAsia="仿宋"/>
          <w:color w:val="auto"/>
          <w:sz w:val="24"/>
          <w:szCs w:val="24"/>
          <w:highlight w:val="whit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rPr>
      </w:pPr>
    </w:p>
    <w:p w14:paraId="71B0E660">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14:paraId="749A7E76">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14:paraId="746C555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10.</w:t>
      </w:r>
      <w:r>
        <w:rPr>
          <w:rFonts w:hint="eastAsia" w:ascii="仿宋" w:hAnsi="仿宋" w:eastAsia="仿宋" w:cs="仿宋"/>
          <w:b/>
          <w:color w:val="auto"/>
          <w:kern w:val="0"/>
          <w:sz w:val="24"/>
          <w:szCs w:val="24"/>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rPr>
      </w:pPr>
    </w:p>
    <w:p w14:paraId="0159BFAC">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bookmarkStart w:id="51" w:name="_Toc84325929"/>
      <w:bookmarkStart w:id="52" w:name="_Toc81372776"/>
      <w:bookmarkStart w:id="53" w:name="_Toc81372953"/>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62C0D988">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14:paraId="1EAE51BC">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14:paraId="5C44830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14:paraId="4F0D1C7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w:t>
      </w:r>
      <w:r>
        <w:rPr>
          <w:rFonts w:hint="eastAsia" w:ascii="仿宋" w:hAnsi="仿宋" w:eastAsia="仿宋" w:cs="仿宋"/>
          <w:color w:val="auto"/>
          <w:kern w:val="0"/>
        </w:rPr>
        <w:t>（浙江政府采购网</w:t>
      </w:r>
      <w:r>
        <w:rPr>
          <w:color w:val="auto"/>
        </w:rPr>
        <w:fldChar w:fldCharType="begin"/>
      </w:r>
      <w:r>
        <w:rPr>
          <w:color w:val="auto"/>
        </w:rPr>
        <w:instrText xml:space="preserve"> HYPERLINK "http://www.zjzfcg.gov.cn" </w:instrText>
      </w:r>
      <w:r>
        <w:rPr>
          <w:color w:val="auto"/>
        </w:rPr>
        <w:fldChar w:fldCharType="separate"/>
      </w:r>
      <w:r>
        <w:rPr>
          <w:rStyle w:val="71"/>
          <w:rFonts w:hint="eastAsia" w:ascii="仿宋" w:hAnsi="仿宋" w:eastAsia="仿宋" w:cs="仿宋"/>
          <w:color w:val="auto"/>
        </w:rPr>
        <w:t>http://zfcg.czt.zj.gov.cn/</w:t>
      </w:r>
      <w:r>
        <w:rPr>
          <w:rStyle w:val="71"/>
          <w:rFonts w:hint="eastAsia" w:ascii="仿宋" w:hAnsi="仿宋" w:eastAsia="仿宋" w:cs="仿宋"/>
          <w:color w:val="auto"/>
        </w:rPr>
        <w:fldChar w:fldCharType="end"/>
      </w:r>
      <w:r>
        <w:rPr>
          <w:rFonts w:hint="eastAsia" w:ascii="仿宋" w:hAnsi="仿宋" w:eastAsia="仿宋" w:cs="仿宋"/>
          <w:color w:val="auto"/>
          <w:kern w:val="0"/>
        </w:rPr>
        <w:t>、绍兴公共资源交易网</w:t>
      </w:r>
      <w:r>
        <w:rPr>
          <w:color w:val="auto"/>
        </w:rPr>
        <w:fldChar w:fldCharType="begin"/>
      </w:r>
      <w:r>
        <w:rPr>
          <w:color w:val="auto"/>
        </w:rPr>
        <w:instrText xml:space="preserve"> HYPERLINK "http://ggb.sx.gov.cn" </w:instrText>
      </w:r>
      <w:r>
        <w:rPr>
          <w:color w:val="auto"/>
        </w:rPr>
        <w:fldChar w:fldCharType="separate"/>
      </w:r>
      <w:r>
        <w:rPr>
          <w:rStyle w:val="71"/>
          <w:rFonts w:hint="eastAsia" w:ascii="仿宋" w:hAnsi="仿宋" w:eastAsia="仿宋" w:cs="仿宋"/>
          <w:color w:val="auto"/>
        </w:rPr>
        <w:t>http://ggb.sx.gov.cn</w:t>
      </w:r>
      <w:r>
        <w:rPr>
          <w:rStyle w:val="71"/>
          <w:rFonts w:hint="eastAsia" w:ascii="仿宋" w:hAnsi="仿宋" w:eastAsia="仿宋" w:cs="仿宋"/>
          <w:color w:val="auto"/>
        </w:rPr>
        <w:fldChar w:fldCharType="end"/>
      </w:r>
      <w:r>
        <w:rPr>
          <w:rFonts w:hint="eastAsia" w:ascii="仿宋" w:hAnsi="仿宋" w:eastAsia="仿宋" w:cs="仿宋"/>
          <w:color w:val="auto"/>
          <w:kern w:val="0"/>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4C88506">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14:paraId="0277171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合同签订及备案</w:t>
      </w:r>
    </w:p>
    <w:p w14:paraId="3E2634F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rPr>
        <w:t>子交易平台进行备案。</w:t>
      </w:r>
    </w:p>
    <w:p w14:paraId="5B8FCEA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.验收</w:t>
      </w:r>
    </w:p>
    <w:p w14:paraId="66E46234">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7.售后服务考核</w:t>
      </w:r>
      <w:r>
        <w:rPr>
          <w:rFonts w:hint="eastAsia" w:ascii="仿宋" w:hAnsi="仿宋" w:eastAsia="仿宋" w:cs="仿宋"/>
          <w:b/>
          <w:color w:val="auto"/>
          <w:sz w:val="24"/>
        </w:rPr>
        <w:tab/>
      </w:r>
    </w:p>
    <w:p w14:paraId="689CFC20">
      <w:pPr>
        <w:spacing w:line="336" w:lineRule="auto"/>
        <w:ind w:firstLine="480" w:firstLineChars="200"/>
        <w:rPr>
          <w:rFonts w:ascii="仿宋" w:hAnsi="仿宋" w:eastAsia="仿宋" w:cs="仿宋"/>
          <w:color w:val="auto"/>
          <w:sz w:val="32"/>
          <w:szCs w:val="32"/>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lang w:val="en-US" w:eastAsia="zh-CN"/>
        </w:rPr>
        <w:t>政务</w:t>
      </w:r>
      <w:r>
        <w:rPr>
          <w:rFonts w:hint="eastAsia" w:ascii="仿宋" w:hAnsi="仿宋" w:eastAsia="仿宋" w:cs="仿宋"/>
          <w:color w:val="auto"/>
          <w:sz w:val="24"/>
          <w:szCs w:val="24"/>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14:paraId="0D289A70">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14:paraId="7A0821E7">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bookmarkEnd w:id="8"/>
    <w:p w14:paraId="1FBAA89B">
      <w:pPr>
        <w:tabs>
          <w:tab w:val="left" w:pos="0"/>
        </w:tabs>
        <w:spacing w:line="336" w:lineRule="auto"/>
        <w:jc w:val="center"/>
        <w:rPr>
          <w:rFonts w:hint="eastAsia" w:ascii="仿宋" w:hAnsi="仿宋" w:eastAsia="仿宋" w:cs="仿宋"/>
          <w:b/>
          <w:color w:val="auto"/>
          <w:sz w:val="36"/>
          <w:szCs w:val="36"/>
        </w:rPr>
      </w:pPr>
      <w:bookmarkStart w:id="54" w:name="_Hlt75236011"/>
      <w:bookmarkEnd w:id="54"/>
      <w:bookmarkStart w:id="55" w:name="_Hlt74730295"/>
      <w:bookmarkEnd w:id="55"/>
      <w:bookmarkStart w:id="56" w:name="_Hlt75236290"/>
      <w:bookmarkEnd w:id="56"/>
      <w:bookmarkStart w:id="57" w:name="_Hlt74714665"/>
      <w:bookmarkEnd w:id="57"/>
      <w:bookmarkStart w:id="58" w:name="_Hlt68072990"/>
      <w:bookmarkEnd w:id="58"/>
      <w:bookmarkStart w:id="59" w:name="_Hlt75236101"/>
      <w:bookmarkEnd w:id="59"/>
      <w:bookmarkStart w:id="60" w:name="_Hlt74729768"/>
      <w:bookmarkEnd w:id="60"/>
      <w:bookmarkStart w:id="61" w:name="_Hlt68057669"/>
      <w:bookmarkEnd w:id="61"/>
      <w:bookmarkStart w:id="62" w:name="_Hlt74707468"/>
      <w:bookmarkEnd w:id="62"/>
      <w:bookmarkStart w:id="63" w:name="第三部分"/>
      <w:bookmarkStart w:id="64" w:name="_Toc164416483"/>
      <w:r>
        <w:rPr>
          <w:rFonts w:hint="eastAsia" w:ascii="仿宋" w:hAnsi="仿宋" w:eastAsia="仿宋" w:cs="仿宋"/>
          <w:b/>
          <w:color w:val="auto"/>
          <w:sz w:val="36"/>
          <w:szCs w:val="36"/>
          <w:lang w:val="en-US" w:eastAsia="zh-CN"/>
        </w:rPr>
        <w:t xml:space="preserve">第三部分 </w:t>
      </w:r>
      <w:r>
        <w:rPr>
          <w:rFonts w:hint="eastAsia" w:ascii="仿宋" w:hAnsi="仿宋" w:eastAsia="仿宋" w:cs="仿宋"/>
          <w:b/>
          <w:color w:val="auto"/>
          <w:sz w:val="36"/>
          <w:szCs w:val="36"/>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rPr>
      </w:pPr>
      <w:bookmarkStart w:id="65" w:name="_Toc14231"/>
      <w:bookmarkStart w:id="66" w:name="_Toc25190"/>
      <w:r>
        <w:rPr>
          <w:rFonts w:hint="eastAsia" w:ascii="仿宋" w:hAnsi="仿宋" w:eastAsia="仿宋" w:cs="仿宋"/>
          <w:b/>
          <w:bCs/>
          <w:color w:val="auto"/>
          <w:sz w:val="24"/>
          <w:szCs w:val="24"/>
        </w:rPr>
        <w:t>一、招标内容</w:t>
      </w:r>
      <w:bookmarkEnd w:id="65"/>
      <w:bookmarkEnd w:id="66"/>
    </w:p>
    <w:tbl>
      <w:tblPr>
        <w:tblStyle w:val="642"/>
        <w:tblW w:w="909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0"/>
        <w:gridCol w:w="2825"/>
        <w:gridCol w:w="1950"/>
        <w:gridCol w:w="1650"/>
        <w:gridCol w:w="1936"/>
      </w:tblGrid>
      <w:tr w14:paraId="0D0B64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333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50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A85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线路（</w:t>
            </w:r>
            <w:r>
              <w:rPr>
                <w:rFonts w:hint="eastAsia" w:ascii="仿宋" w:hAnsi="仿宋" w:eastAsia="仿宋" w:cs="仿宋"/>
                <w:b/>
                <w:bCs/>
                <w:color w:val="auto"/>
                <w:sz w:val="24"/>
                <w:szCs w:val="24"/>
                <w:highlight w:val="none"/>
              </w:rPr>
              <w:t>暂定</w:t>
            </w:r>
            <w:r>
              <w:rPr>
                <w:rFonts w:hint="eastAsia" w:ascii="仿宋" w:hAnsi="仿宋" w:eastAsia="仿宋" w:cs="仿宋"/>
                <w:b/>
                <w:color w:val="auto"/>
                <w:sz w:val="24"/>
                <w:szCs w:val="24"/>
                <w:highlight w:val="none"/>
                <w:lang w:val="en-US" w:eastAsia="zh-CN"/>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6C7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人数（暂定）</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15F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预算单价</w:t>
            </w:r>
          </w:p>
        </w:tc>
      </w:tr>
      <w:tr w14:paraId="67FDDF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restart"/>
            <w:tcBorders>
              <w:top w:val="single" w:color="000000" w:sz="4" w:space="0"/>
              <w:left w:val="single" w:color="000000" w:sz="4" w:space="0"/>
              <w:right w:val="single" w:color="000000" w:sz="4" w:space="0"/>
            </w:tcBorders>
            <w:shd w:val="clear" w:color="auto" w:fill="FFFFFF"/>
            <w:noWrap w:val="0"/>
            <w:vAlign w:val="center"/>
          </w:tcPr>
          <w:p w14:paraId="5FAF87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754BE9DC">
            <w:pPr>
              <w:keepNext w:val="0"/>
              <w:keepLines w:val="0"/>
              <w:pageBreakBefore w:val="0"/>
              <w:widowControl w:val="0"/>
              <w:tabs>
                <w:tab w:val="left" w:pos="553"/>
              </w:tabs>
              <w:kinsoku/>
              <w:wordWrap/>
              <w:overflowPunct/>
              <w:topLinePunct w:val="0"/>
              <w:autoSpaceDE/>
              <w:autoSpaceDN/>
              <w:bidi w:val="0"/>
              <w:adjustRightInd/>
              <w:snapToGrid/>
              <w:spacing w:line="440" w:lineRule="exact"/>
              <w:ind w:left="105" w:leftChars="50" w:right="105" w:rightChars="5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嵊州市高级中学2025年度职工疗休养</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3D1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舟山</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1F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约24人</w:t>
            </w:r>
          </w:p>
        </w:tc>
        <w:tc>
          <w:tcPr>
            <w:tcW w:w="1936" w:type="dxa"/>
            <w:vMerge w:val="restart"/>
            <w:tcBorders>
              <w:top w:val="single" w:color="000000" w:sz="4" w:space="0"/>
              <w:left w:val="single" w:color="000000" w:sz="4" w:space="0"/>
              <w:right w:val="single" w:color="000000" w:sz="4" w:space="0"/>
            </w:tcBorders>
            <w:shd w:val="clear" w:color="auto" w:fill="FFFFFF"/>
            <w:noWrap w:val="0"/>
            <w:vAlign w:val="center"/>
          </w:tcPr>
          <w:p w14:paraId="79D7F6F3">
            <w:pPr>
              <w:keepNext w:val="0"/>
              <w:keepLines w:val="0"/>
              <w:pageBreakBefore w:val="0"/>
              <w:widowControl w:val="0"/>
              <w:tabs>
                <w:tab w:val="left" w:pos="553"/>
              </w:tabs>
              <w:kinsoku/>
              <w:wordWrap/>
              <w:overflowPunct/>
              <w:topLinePunct w:val="0"/>
              <w:autoSpaceDE/>
              <w:autoSpaceDN/>
              <w:bidi w:val="0"/>
              <w:adjustRightInd/>
              <w:snapToGrid/>
              <w:spacing w:line="440" w:lineRule="exact"/>
              <w:ind w:left="105" w:leftChars="50" w:right="105" w:rightChars="5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r>
      <w:tr w14:paraId="2E4C6B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continue"/>
            <w:tcBorders>
              <w:left w:val="single" w:color="000000" w:sz="4" w:space="0"/>
              <w:right w:val="single" w:color="000000" w:sz="4" w:space="0"/>
            </w:tcBorders>
            <w:shd w:val="clear" w:color="auto" w:fill="FFFFFF"/>
            <w:noWrap w:val="0"/>
            <w:vAlign w:val="center"/>
          </w:tcPr>
          <w:p w14:paraId="4B938F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p>
        </w:tc>
        <w:tc>
          <w:tcPr>
            <w:tcW w:w="2825" w:type="dxa"/>
            <w:vMerge w:val="continue"/>
            <w:tcBorders>
              <w:left w:val="single" w:color="000000" w:sz="4" w:space="0"/>
              <w:right w:val="single" w:color="000000" w:sz="4" w:space="0"/>
            </w:tcBorders>
            <w:shd w:val="clear" w:color="auto" w:fill="FFFFFF"/>
            <w:noWrap w:val="0"/>
            <w:vAlign w:val="center"/>
          </w:tcPr>
          <w:p w14:paraId="17F505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E9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_GB2312" w:hAnsi="Times New Roman" w:eastAsia="仿宋_GB2312" w:cs="Times New Roman"/>
                <w:color w:val="000000"/>
                <w:sz w:val="28"/>
                <w:szCs w:val="28"/>
                <w14:ligatures w14:val="none"/>
              </w:rPr>
              <w:t>桐庐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BC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约36人</w:t>
            </w:r>
          </w:p>
        </w:tc>
        <w:tc>
          <w:tcPr>
            <w:tcW w:w="1936" w:type="dxa"/>
            <w:vMerge w:val="continue"/>
            <w:tcBorders>
              <w:left w:val="single" w:color="000000" w:sz="4" w:space="0"/>
              <w:right w:val="single" w:color="000000" w:sz="4" w:space="0"/>
            </w:tcBorders>
            <w:shd w:val="clear" w:color="auto" w:fill="FFFFFF"/>
            <w:noWrap w:val="0"/>
            <w:vAlign w:val="center"/>
          </w:tcPr>
          <w:p w14:paraId="189AAEB6">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r w14:paraId="6ECECD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continue"/>
            <w:tcBorders>
              <w:left w:val="single" w:color="000000" w:sz="4" w:space="0"/>
              <w:bottom w:val="single" w:color="000000" w:sz="4" w:space="0"/>
              <w:right w:val="single" w:color="000000" w:sz="4" w:space="0"/>
            </w:tcBorders>
            <w:shd w:val="clear" w:color="auto" w:fill="FFFFFF"/>
            <w:noWrap w:val="0"/>
            <w:vAlign w:val="center"/>
          </w:tcPr>
          <w:p w14:paraId="74545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19BE7A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41E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C5A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约66人</w:t>
            </w:r>
          </w:p>
        </w:tc>
        <w:tc>
          <w:tcPr>
            <w:tcW w:w="1936" w:type="dxa"/>
            <w:vMerge w:val="continue"/>
            <w:tcBorders>
              <w:left w:val="single" w:color="000000" w:sz="4" w:space="0"/>
              <w:bottom w:val="single" w:color="000000" w:sz="4" w:space="0"/>
              <w:right w:val="single" w:color="000000" w:sz="4" w:space="0"/>
            </w:tcBorders>
            <w:shd w:val="clear" w:color="auto" w:fill="FFFFFF"/>
            <w:noWrap w:val="0"/>
            <w:vAlign w:val="center"/>
          </w:tcPr>
          <w:p w14:paraId="36F34838">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518"/>
      <w:bookmarkStart w:id="68" w:name="_Toc982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从事导游工作五年以上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网评四钻以上(海岛线除外），海岛线不得低于网评三钻或精品民宿</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团</w:t>
      </w:r>
      <w:r>
        <w:rPr>
          <w:rFonts w:hint="eastAsia" w:ascii="仿宋" w:hAnsi="仿宋" w:eastAsia="仿宋" w:cs="仿宋"/>
          <w:color w:val="auto"/>
          <w:sz w:val="24"/>
          <w:szCs w:val="24"/>
          <w:highlight w:val="none"/>
          <w:lang w:eastAsia="zh-CN"/>
        </w:rPr>
        <w:t>餐标不低于</w:t>
      </w:r>
      <w:r>
        <w:rPr>
          <w:rFonts w:hint="eastAsia" w:ascii="仿宋" w:hAnsi="仿宋" w:eastAsia="仿宋" w:cs="仿宋"/>
          <w:color w:val="auto"/>
          <w:sz w:val="24"/>
          <w:szCs w:val="24"/>
          <w:highlight w:val="none"/>
          <w:lang w:val="en-US" w:eastAsia="zh-CN"/>
        </w:rPr>
        <w:t>120元/人/天</w:t>
      </w:r>
      <w:r>
        <w:rPr>
          <w:rFonts w:hint="eastAsia" w:ascii="仿宋" w:hAnsi="仿宋" w:eastAsia="仿宋" w:cs="仿宋"/>
          <w:color w:val="auto"/>
          <w:sz w:val="24"/>
          <w:szCs w:val="24"/>
          <w:highlight w:val="none"/>
        </w:rPr>
        <w:t>。用餐次数按旅游天数算足，旅游期间，如遇未用餐的情况，结算时须退还相应餐费。中、晚餐菜单与用餐人数须交一份给带队人员方便核对。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504951C2">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lang w:val="en-US" w:eastAsia="zh-CN"/>
        </w:rPr>
        <w:t>若出现单独线路人数不足成团要求，则需中标单位协助完成拼团工作。</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07"/>
      <w:bookmarkStart w:id="71" w:name="_Toc28301"/>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3"/>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2025年10月31日前完成出行，具体每条线路出行时间以采购人通知为准。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olor w:val="000000"/>
                <w:sz w:val="24"/>
                <w:szCs w:val="24"/>
                <w:highlight w:val="white"/>
                <w:lang w:val="en-US" w:eastAsia="zh-CN"/>
              </w:rPr>
              <w:t>采购人通知</w:t>
            </w:r>
            <w:r>
              <w:rPr>
                <w:rFonts w:hint="eastAsia" w:ascii="仿宋" w:hAnsi="仿宋" w:eastAsia="仿宋"/>
                <w:color w:val="000000"/>
                <w:sz w:val="24"/>
                <w:szCs w:val="24"/>
                <w:highlight w:val="white"/>
              </w:rPr>
              <w:t>的</w:t>
            </w:r>
            <w:r>
              <w:rPr>
                <w:rFonts w:hint="eastAsia" w:ascii="仿宋" w:hAnsi="仿宋" w:eastAsia="仿宋"/>
                <w:color w:val="000000"/>
                <w:sz w:val="24"/>
                <w:szCs w:val="24"/>
                <w:highlight w:val="white"/>
                <w:lang w:val="en-US" w:eastAsia="zh-CN"/>
              </w:rPr>
              <w:t>健康</w:t>
            </w:r>
            <w:r>
              <w:rPr>
                <w:rFonts w:hint="eastAsia" w:ascii="仿宋" w:hAnsi="仿宋" w:eastAsia="仿宋"/>
                <w:color w:val="000000"/>
                <w:sz w:val="24"/>
                <w:szCs w:val="24"/>
                <w:highlight w:val="white"/>
              </w:rPr>
              <w:t>休养路线。</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_Toc86217003"/>
      <w:bookmarkStart w:id="74" w:name="第五部分"/>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bookmarkStart w:id="75" w:name="第四部分"/>
      <w:r>
        <w:rPr>
          <w:rFonts w:ascii="仿宋" w:hAnsi="仿宋" w:eastAsia="仿宋"/>
          <w:color w:val="000000"/>
          <w:sz w:val="24"/>
          <w:szCs w:val="24"/>
          <w:u w:val="single" w:color="000000"/>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日，</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w:t>
      </w:r>
      <w:r>
        <w:rPr>
          <w:rFonts w:hint="eastAsia" w:ascii="仿宋" w:hAnsi="仿宋" w:eastAsia="仿宋"/>
          <w:color w:val="000000"/>
          <w:sz w:val="24"/>
          <w:szCs w:val="24"/>
          <w:u w:val="single" w:color="000000"/>
        </w:rPr>
        <w:t xml:space="preserve">   （政府采购方式）  </w:t>
      </w:r>
      <w:r>
        <w:rPr>
          <w:rFonts w:hint="eastAsia" w:ascii="仿宋" w:hAnsi="仿宋" w:eastAsia="仿宋"/>
          <w:color w:val="000000"/>
          <w:sz w:val="24"/>
          <w:szCs w:val="24"/>
        </w:rPr>
        <w:t>对</w:t>
      </w:r>
      <w:r>
        <w:rPr>
          <w:rFonts w:hint="eastAsia" w:ascii="仿宋" w:hAnsi="仿宋" w:eastAsia="仿宋"/>
          <w:color w:val="000000"/>
          <w:sz w:val="24"/>
          <w:szCs w:val="24"/>
          <w:u w:val="single" w:color="000000"/>
        </w:rPr>
        <w:t xml:space="preserve">  （项目名称）    </w:t>
      </w:r>
      <w:r>
        <w:rPr>
          <w:rFonts w:hint="eastAsia" w:ascii="仿宋" w:hAnsi="仿宋" w:eastAsia="仿宋"/>
          <w:color w:val="000000"/>
          <w:sz w:val="24"/>
          <w:szCs w:val="24"/>
        </w:rPr>
        <w:t>项目进行了采购。经</w:t>
      </w:r>
      <w:r>
        <w:rPr>
          <w:rFonts w:hint="eastAsia" w:ascii="仿宋" w:hAnsi="仿宋" w:eastAsia="仿宋"/>
          <w:color w:val="000000"/>
          <w:sz w:val="24"/>
          <w:szCs w:val="24"/>
          <w:u w:val="single" w:color="000000"/>
        </w:rPr>
        <w:t xml:space="preserve">   （相关评定主体名称）   </w:t>
      </w:r>
      <w:r>
        <w:rPr>
          <w:rFonts w:hint="eastAsia" w:ascii="仿宋" w:hAnsi="仿宋" w:eastAsia="仿宋"/>
          <w:color w:val="000000"/>
          <w:sz w:val="24"/>
          <w:szCs w:val="24"/>
        </w:rPr>
        <w:t>评定，</w:t>
      </w:r>
      <w:r>
        <w:rPr>
          <w:rFonts w:hint="eastAsia" w:ascii="仿宋" w:hAnsi="仿宋" w:eastAsia="仿宋"/>
          <w:color w:val="000000"/>
          <w:sz w:val="24"/>
          <w:szCs w:val="24"/>
          <w:u w:val="single" w:color="000000"/>
        </w:rPr>
        <w:t xml:space="preserve">   （中标或者成交供应商名称） </w:t>
      </w:r>
      <w:r>
        <w:rPr>
          <w:rFonts w:hint="eastAsia" w:ascii="仿宋" w:hAnsi="仿宋" w:eastAsia="仿宋"/>
          <w:color w:val="000000"/>
          <w:sz w:val="24"/>
          <w:szCs w:val="24"/>
        </w:rPr>
        <w:t>为该项目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根据《中华人民共和国民法典》</w:t>
      </w:r>
      <w:r>
        <w:rPr>
          <w:rFonts w:hint="eastAsia" w:ascii="仿宋" w:hAnsi="仿宋" w:eastAsia="仿宋"/>
          <w:color w:val="000000"/>
          <w:sz w:val="24"/>
          <w:szCs w:val="24"/>
          <w:lang w:eastAsia="zh-CN"/>
        </w:rPr>
        <w:t>、</w:t>
      </w:r>
      <w:r>
        <w:rPr>
          <w:rFonts w:hint="eastAsia" w:ascii="仿宋" w:hAnsi="仿宋" w:eastAsia="仿宋"/>
          <w:color w:val="000000"/>
          <w:sz w:val="24"/>
          <w:szCs w:val="24"/>
        </w:rPr>
        <w:t>《中华人民共和国政府采购法》等相关法律法规之规定，按照平等、自愿、公平和诚实信用的原则，经</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(以下简称：甲方)和</w:t>
      </w:r>
      <w:r>
        <w:rPr>
          <w:rFonts w:hint="eastAsia" w:ascii="仿宋" w:hAnsi="仿宋" w:eastAsia="仿宋"/>
          <w:color w:val="000000"/>
          <w:sz w:val="24"/>
          <w:szCs w:val="24"/>
          <w:u w:val="single" w:color="000000"/>
        </w:rPr>
        <w:t>   （中</w:t>
      </w:r>
      <w:r>
        <w:rPr>
          <w:rFonts w:hint="eastAsia" w:ascii="仿宋" w:hAnsi="仿宋" w:eastAsia="仿宋"/>
          <w:color w:val="000000"/>
          <w:sz w:val="24"/>
          <w:szCs w:val="24"/>
          <w:u w:val="single" w:color="000000"/>
          <w:lang w:val="en-US" w:eastAsia="zh-CN"/>
        </w:rPr>
        <w:t>标</w:t>
      </w:r>
      <w:r>
        <w:rPr>
          <w:rFonts w:hint="eastAsia" w:ascii="仿宋" w:hAnsi="仿宋" w:eastAsia="仿宋"/>
          <w:color w:val="000000"/>
          <w:sz w:val="24"/>
          <w:szCs w:val="24"/>
          <w:u w:val="single" w:color="000000"/>
        </w:rPr>
        <w:t xml:space="preserve">或者成交标供应商名称）   </w:t>
      </w:r>
      <w:r>
        <w:rPr>
          <w:rFonts w:hint="eastAsia" w:ascii="仿宋" w:hAnsi="仿宋" w:eastAsia="仿宋"/>
          <w:color w:val="000000"/>
          <w:sz w:val="24"/>
          <w:szCs w:val="24"/>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pPr>
      <w:bookmarkStart w:id="76" w:name="_Toc19273"/>
      <w:bookmarkStart w:id="77" w:name="_Toc15367"/>
      <w:bookmarkStart w:id="78" w:name="_Toc22967"/>
      <w:bookmarkStart w:id="79" w:name="_Toc28855"/>
      <w:bookmarkStart w:id="80" w:name="_Toc20421"/>
      <w:r>
        <w:rPr>
          <w:rFonts w:hint="eastAsia" w:ascii="仿宋" w:hAnsi="仿宋" w:eastAsia="仿宋"/>
          <w:b/>
          <w:bCs/>
          <w:color w:val="000000"/>
          <w:sz w:val="24"/>
          <w:szCs w:val="24"/>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pPr>
      <w:r>
        <w:rPr>
          <w:rFonts w:hint="eastAsia" w:ascii="仿宋" w:eastAsia="仿宋"/>
          <w:color w:val="000000"/>
          <w:kern w:val="0"/>
          <w:sz w:val="24"/>
          <w:lang w:val="en-US" w:eastAsia="zh-CN"/>
        </w:rPr>
        <w:t>2.</w:t>
      </w:r>
      <w:r>
        <w:rPr>
          <w:rFonts w:ascii="仿宋" w:hAnsi="仿宋" w:eastAsia="仿宋"/>
          <w:b/>
          <w:bCs/>
          <w:color w:val="000000"/>
          <w:sz w:val="24"/>
          <w:szCs w:val="24"/>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2.1 服务内容：</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2.2 服务标准：</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详见采购需求</w:t>
      </w:r>
      <w:r>
        <w:rPr>
          <w:rFonts w:hint="eastAsia" w:ascii="仿宋" w:hAnsi="仿宋" w:eastAsia="仿宋"/>
          <w:color w:val="000000"/>
          <w:sz w:val="24"/>
          <w:szCs w:val="24"/>
          <w:u w:val="single" w:color="000000"/>
        </w:rPr>
        <w:t>                                 </w:t>
      </w:r>
      <w:r>
        <w:rPr>
          <w:rFonts w:hint="eastAsia" w:ascii="仿宋" w:hAnsi="仿宋" w:eastAsia="仿宋"/>
          <w:color w:val="000000"/>
          <w:sz w:val="24"/>
          <w:szCs w:val="24"/>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2.3 技术保障：</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pPr>
      <w:r>
        <w:rPr>
          <w:rFonts w:hint="eastAsia" w:ascii="仿宋" w:hAnsi="仿宋" w:eastAsia="仿宋"/>
          <w:color w:val="000000"/>
          <w:sz w:val="24"/>
          <w:szCs w:val="24"/>
        </w:rPr>
        <w:t>2.4 服务人员组成：</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000000"/>
          <w:sz w:val="24"/>
        </w:rPr>
      </w:pPr>
      <w:r>
        <w:rPr>
          <w:rFonts w:hint="eastAsia" w:ascii="仿宋" w:eastAsia="仿宋"/>
          <w:b/>
          <w:bCs/>
          <w:color w:val="000000"/>
          <w:kern w:val="0"/>
          <w:sz w:val="24"/>
          <w:lang w:val="en-US" w:eastAsia="zh-CN"/>
        </w:rPr>
        <w:t>3.</w:t>
      </w:r>
      <w:r>
        <w:rPr>
          <w:rFonts w:ascii="仿宋" w:hAnsi="仿宋" w:eastAsia="仿宋"/>
          <w:b/>
          <w:bCs/>
          <w:color w:val="000000"/>
          <w:sz w:val="24"/>
          <w:szCs w:val="24"/>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r>
        <w:rPr>
          <w:rFonts w:ascii="仿宋" w:hAnsi="仿宋" w:eastAsia="仿宋"/>
          <w:color w:val="000000"/>
          <w:sz w:val="24"/>
          <w:szCs w:val="24"/>
        </w:rPr>
        <w:t>本项目采用</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单价合同</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000000"/>
          <w:kern w:val="0"/>
          <w:sz w:val="24"/>
        </w:rPr>
        <w:t>本合同单价（含税）标准为：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元/人</w:t>
      </w:r>
      <w:r>
        <w:rPr>
          <w:rFonts w:hint="eastAsia" w:ascii="仿宋" w:eastAsia="仿宋"/>
          <w:color w:val="000000"/>
          <w:kern w:val="0"/>
          <w:sz w:val="24"/>
        </w:rPr>
        <w:t>。服务工作量的计量方式为：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按实际人数结算</w:t>
      </w:r>
      <w:r>
        <w:rPr>
          <w:rFonts w:hint="eastAsia" w:ascii="仿宋" w:eastAsia="仿宋"/>
          <w:color w:val="000000"/>
          <w:kern w:val="0"/>
          <w:sz w:val="24"/>
          <w:u w:val="single" w:color="000000"/>
        </w:rPr>
        <w:t xml:space="preserve"> </w:t>
      </w:r>
      <w:r>
        <w:rPr>
          <w:rFonts w:hint="eastAsia" w:ascii="仿宋" w:eastAsia="仿宋"/>
          <w:color w:val="000000"/>
          <w:kern w:val="0"/>
          <w:sz w:val="24"/>
        </w:rPr>
        <w:t>。单价合同，在合同履行期间内，根据实际完成的工作量据实结算，但结算总价上限不</w:t>
      </w:r>
      <w:r>
        <w:rPr>
          <w:rFonts w:hint="eastAsia" w:ascii="仿宋" w:eastAsia="仿宋"/>
          <w:color w:val="auto"/>
          <w:kern w:val="0"/>
          <w:sz w:val="24"/>
          <w:highlight w:val="none"/>
        </w:rPr>
        <w:t>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3"/>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32454"/>
      <w:bookmarkStart w:id="82" w:name="_Toc26807"/>
      <w:bookmarkStart w:id="83" w:name="_Toc9497"/>
      <w:bookmarkStart w:id="84" w:name="_Toc18683"/>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w:t>
      </w:r>
      <w:bookmarkStart w:id="87" w:name="_GoBack"/>
      <w:bookmarkEnd w:id="87"/>
      <w:r>
        <w:rPr>
          <w:rFonts w:hint="eastAsia" w:ascii="仿宋" w:hAnsi="仿宋" w:eastAsia="仿宋"/>
          <w:color w:val="auto"/>
          <w:sz w:val="24"/>
          <w:szCs w:val="24"/>
          <w:highlight w:val="none"/>
        </w:rPr>
        <w:t>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19A2E429">
      <w:pPr>
        <w:spacing w:line="336" w:lineRule="auto"/>
        <w:ind w:firstLine="241" w:firstLineChars="100"/>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3"/>
        <w:tblW w:w="8945"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716"/>
        <w:gridCol w:w="1137"/>
        <w:gridCol w:w="6289"/>
        <w:gridCol w:w="803"/>
      </w:tblGrid>
      <w:tr w14:paraId="535606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595"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1C79E0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序号</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9C43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评分因素</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175CF22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6254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分值</w:t>
            </w:r>
          </w:p>
        </w:tc>
      </w:tr>
      <w:tr w14:paraId="68957E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F1421C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67DE030">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企业实力</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ED7ECA4">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磋商响应方被主管部门评定为星级品质旅行社等级为2星级的得1分，3星级的得2分，4星级及以上的得3分，提供证书或相关证明文件扫描件加盖CA签章。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5724127">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19CE81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74"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75E52CB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C6E9F1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同类业绩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A29D854">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磋商响应方</w:t>
            </w:r>
            <w:r>
              <w:rPr>
                <w:rFonts w:hint="eastAsia" w:ascii="仿宋" w:hAnsi="仿宋" w:eastAsia="仿宋" w:cs="仿宋"/>
                <w:bCs w:val="0"/>
                <w:color w:val="auto"/>
                <w:sz w:val="24"/>
                <w:szCs w:val="24"/>
                <w:highlight w:val="none"/>
              </w:rPr>
              <w:t>自202</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年1月1日（以合同签订时间为准）以来具有同类项目业绩的每提供一份得</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.5分，本项最高得</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分</w:t>
            </w:r>
            <w:r>
              <w:rPr>
                <w:rFonts w:hint="eastAsia" w:ascii="仿宋" w:hAnsi="仿宋" w:eastAsia="仿宋" w:cs="仿宋"/>
                <w:bCs w:val="0"/>
                <w:color w:val="auto"/>
                <w:sz w:val="24"/>
                <w:szCs w:val="24"/>
                <w:highlight w:val="none"/>
                <w:lang w:eastAsia="zh-CN"/>
              </w:rPr>
              <w:t>。</w:t>
            </w:r>
          </w:p>
          <w:p w14:paraId="2B6BE80B">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提供合同扫描件加盖CA签章。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322382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14:paraId="62DEB3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33"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64BE76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10780A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zh-CN"/>
              </w:rPr>
              <w:t>保险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8AD45C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旅行社责任险</w:t>
            </w:r>
            <w:r>
              <w:rPr>
                <w:rFonts w:hint="eastAsia" w:ascii="仿宋" w:hAnsi="仿宋" w:eastAsia="仿宋" w:cs="仿宋"/>
                <w:bCs w:val="0"/>
                <w:color w:val="auto"/>
                <w:sz w:val="24"/>
                <w:szCs w:val="24"/>
                <w:highlight w:val="none"/>
                <w:lang w:val="en-US" w:eastAsia="zh-CN"/>
              </w:rPr>
              <w:t>100万以下不得分，100万-500万（含）得1分，500万-800万（含）得2分，800万及以上得3分。</w:t>
            </w:r>
          </w:p>
          <w:p w14:paraId="210EEE6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提供相关保单证明扫描件加盖CA签章</w:t>
            </w:r>
            <w:r>
              <w:rPr>
                <w:rFonts w:hint="eastAsia" w:ascii="仿宋" w:hAnsi="仿宋" w:eastAsia="仿宋" w:cs="仿宋"/>
                <w:bCs w:val="0"/>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0DA997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62477E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restart"/>
            <w:tcBorders>
              <w:top w:val="single" w:color="auto" w:sz="4" w:space="0"/>
              <w:left w:val="single" w:color="auto" w:sz="4" w:space="0"/>
              <w:right w:val="single" w:color="auto" w:sz="4" w:space="0"/>
            </w:tcBorders>
            <w:shd w:val="clear" w:color="auto" w:fill="FFFFFF"/>
            <w:vAlign w:val="center"/>
          </w:tcPr>
          <w:p w14:paraId="5AAD26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37" w:type="dxa"/>
            <w:vMerge w:val="restart"/>
            <w:tcBorders>
              <w:top w:val="single" w:color="auto" w:sz="4" w:space="0"/>
              <w:left w:val="single" w:color="auto" w:sz="4" w:space="0"/>
              <w:right w:val="single" w:color="auto" w:sz="4" w:space="0"/>
            </w:tcBorders>
            <w:shd w:val="clear" w:color="auto" w:fill="FFFFFF"/>
            <w:vAlign w:val="center"/>
          </w:tcPr>
          <w:p w14:paraId="5826AC6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服务团队</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7505F6B3">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拟派本项目的项目负责人的专业素质、技术能力、经验以及调动各项资源的能力。（</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3，2.5，2，1.5，1，0.5，0）</w:t>
            </w:r>
          </w:p>
          <w:p w14:paraId="18B43E5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提供相关证明材料及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为其缴纳的近3个月社保证明扫描件加盖CA签章。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416C878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4415F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continue"/>
            <w:tcBorders>
              <w:left w:val="single" w:color="auto" w:sz="4" w:space="0"/>
              <w:right w:val="single" w:color="auto" w:sz="4" w:space="0"/>
            </w:tcBorders>
            <w:shd w:val="clear" w:color="auto" w:fill="FFFFFF"/>
            <w:vAlign w:val="center"/>
          </w:tcPr>
          <w:p w14:paraId="23A4ED8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left w:val="single" w:color="auto" w:sz="4" w:space="0"/>
              <w:right w:val="single" w:color="auto" w:sz="4" w:space="0"/>
            </w:tcBorders>
            <w:shd w:val="clear" w:color="auto" w:fill="FFFFFF"/>
            <w:vAlign w:val="center"/>
          </w:tcPr>
          <w:p w14:paraId="7D39CE8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0F5A9AE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拟投入本项目导游（除项目负责人外）：</w:t>
            </w:r>
          </w:p>
          <w:p w14:paraId="0A18CBC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具有初级及以上导游证得每人得0.5分，最高不超过3分，其中具有中级及以上导游证的再加2分。</w:t>
            </w:r>
          </w:p>
          <w:p w14:paraId="4EEB4A6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注：同一人的导游按级别最高的得分，不累计得分。提供有效期内的导游证书及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w:t>
            </w:r>
            <w:r>
              <w:rPr>
                <w:rFonts w:hint="eastAsia" w:ascii="仿宋" w:hAnsi="仿宋" w:eastAsia="仿宋" w:cs="仿宋"/>
                <w:color w:val="auto"/>
                <w:sz w:val="24"/>
                <w:szCs w:val="24"/>
                <w:highlight w:val="none"/>
                <w:lang w:val="en-US" w:eastAsia="zh-CN"/>
              </w:rPr>
              <w:t>2025年3月-5月的</w:t>
            </w:r>
            <w:r>
              <w:rPr>
                <w:rFonts w:hint="eastAsia" w:ascii="仿宋" w:hAnsi="仿宋" w:eastAsia="仿宋" w:cs="仿宋"/>
                <w:color w:val="auto"/>
                <w:sz w:val="24"/>
                <w:szCs w:val="24"/>
                <w:highlight w:val="none"/>
              </w:rPr>
              <w:t>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70C47D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14:paraId="4C89FB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vMerge w:val="continue"/>
            <w:tcBorders>
              <w:left w:val="single" w:color="auto" w:sz="4" w:space="0"/>
              <w:right w:val="single" w:color="auto" w:sz="4" w:space="0"/>
            </w:tcBorders>
            <w:shd w:val="clear" w:color="auto" w:fill="FFFFFF"/>
            <w:vAlign w:val="center"/>
          </w:tcPr>
          <w:p w14:paraId="63391DA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right w:val="single" w:color="auto" w:sz="4" w:space="0"/>
            </w:tcBorders>
            <w:shd w:val="clear" w:color="auto" w:fill="FFFFFF"/>
            <w:vAlign w:val="center"/>
          </w:tcPr>
          <w:p w14:paraId="13D5B2A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D520C7C">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提供的人员配置方案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val="zh-CN"/>
              </w:rPr>
              <w:t>项目管理组织机构设置、人员分工</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28D8EB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5EE4A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5" w:hRule="atLeast"/>
        </w:trPr>
        <w:tc>
          <w:tcPr>
            <w:tcW w:w="716" w:type="dxa"/>
            <w:vMerge w:val="continue"/>
            <w:tcBorders>
              <w:left w:val="single" w:color="auto" w:sz="4" w:space="0"/>
              <w:bottom w:val="single" w:color="auto" w:sz="4" w:space="0"/>
              <w:right w:val="single" w:color="auto" w:sz="4" w:space="0"/>
            </w:tcBorders>
            <w:shd w:val="clear" w:color="auto" w:fill="FFFFFF"/>
            <w:vAlign w:val="center"/>
          </w:tcPr>
          <w:p w14:paraId="5DDCAE6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bottom w:val="single" w:color="auto" w:sz="4" w:space="0"/>
              <w:right w:val="single" w:color="auto" w:sz="4" w:space="0"/>
            </w:tcBorders>
            <w:shd w:val="clear" w:color="auto" w:fill="FFFFFF"/>
            <w:vAlign w:val="center"/>
          </w:tcPr>
          <w:p w14:paraId="0F5E9C8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E8D9A5D">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是否有完善的人员培训体系，能够有效提升员工工作技能，提高服务质量。</w:t>
            </w:r>
            <w:r>
              <w:rPr>
                <w:rFonts w:hint="eastAsia" w:ascii="仿宋" w:hAnsi="仿宋" w:eastAsia="仿宋" w:cs="仿宋"/>
                <w:color w:val="auto"/>
                <w:sz w:val="24"/>
                <w:szCs w:val="24"/>
                <w:highlight w:val="none"/>
                <w:lang w:val="en-US" w:eastAsia="zh-CN"/>
              </w:rPr>
              <w:t>具体内容包括培训目标</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培训内容</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培训方法</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师资力量</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CA5BFD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CA40C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365BB3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D70900">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zh-CN"/>
              </w:rPr>
              <w:t>健康休养服务方案</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6DABC8A">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线路设计：</w:t>
            </w:r>
            <w:r>
              <w:rPr>
                <w:rFonts w:hint="eastAsia" w:ascii="仿宋" w:hAnsi="仿宋" w:eastAsia="仿宋" w:cs="仿宋"/>
                <w:color w:val="auto"/>
                <w:sz w:val="24"/>
                <w:szCs w:val="24"/>
                <w:highlight w:val="none"/>
                <w:lang w:val="en-US" w:eastAsia="zh-CN"/>
              </w:rPr>
              <w:t>制定</w:t>
            </w:r>
            <w:r>
              <w:rPr>
                <w:rFonts w:hint="eastAsia" w:ascii="仿宋" w:hAnsi="仿宋" w:eastAsia="仿宋" w:cs="仿宋"/>
                <w:color w:val="auto"/>
                <w:sz w:val="24"/>
                <w:szCs w:val="24"/>
                <w:highlight w:val="none"/>
                <w:lang w:val="zh-CN"/>
              </w:rPr>
              <w:t>详细的行程单，标明各景点特色、游玩时间，景点与宾馆之间的车程时间等。（评分分值范围：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39EABE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703DB6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0D66AD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A5D73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353EC503">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酒店住宿安排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包括备选酒店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拟住宿酒店安排（须标明酒店星级、</w:t>
            </w:r>
            <w:r>
              <w:rPr>
                <w:rFonts w:hint="eastAsia" w:ascii="仿宋" w:hAnsi="仿宋" w:eastAsia="仿宋" w:cs="仿宋"/>
                <w:bCs/>
                <w:iCs/>
                <w:color w:val="auto"/>
                <w:sz w:val="24"/>
                <w:szCs w:val="24"/>
                <w:highlight w:val="none"/>
                <w:lang w:val="zh-CN" w:eastAsia="zh-CN"/>
              </w:rPr>
              <w:t>交通条件、</w:t>
            </w:r>
            <w:r>
              <w:rPr>
                <w:rFonts w:hint="eastAsia" w:ascii="仿宋" w:hAnsi="仿宋" w:eastAsia="仿宋" w:cs="仿宋"/>
                <w:color w:val="auto"/>
                <w:sz w:val="24"/>
                <w:szCs w:val="24"/>
                <w:highlight w:val="none"/>
                <w:lang w:val="zh-CN"/>
              </w:rPr>
              <w:t>酒店环境、</w:t>
            </w:r>
            <w:r>
              <w:rPr>
                <w:rFonts w:hint="eastAsia" w:ascii="仿宋" w:hAnsi="仿宋" w:eastAsia="仿宋" w:cs="仿宋"/>
                <w:bCs/>
                <w:iCs/>
                <w:color w:val="auto"/>
                <w:sz w:val="24"/>
                <w:szCs w:val="24"/>
                <w:highlight w:val="none"/>
                <w:lang w:val="zh-CN" w:eastAsia="zh-CN"/>
              </w:rPr>
              <w:t>酒店位置</w:t>
            </w:r>
            <w:r>
              <w:rPr>
                <w:rFonts w:hint="eastAsia" w:ascii="仿宋" w:hAnsi="仿宋" w:eastAsia="仿宋" w:cs="仿宋"/>
                <w:bCs/>
                <w:iCs/>
                <w:color w:val="auto"/>
                <w:sz w:val="24"/>
                <w:szCs w:val="24"/>
                <w:highlight w:val="none"/>
                <w:lang w:val="en-US" w:eastAsia="zh-CN"/>
              </w:rPr>
              <w:t>等</w:t>
            </w:r>
            <w:r>
              <w:rPr>
                <w:rFonts w:hint="eastAsia" w:ascii="仿宋" w:hAnsi="仿宋" w:eastAsia="仿宋" w:cs="仿宋"/>
                <w:color w:val="auto"/>
                <w:sz w:val="24"/>
                <w:szCs w:val="24"/>
                <w:highlight w:val="none"/>
                <w:lang w:val="zh-CN"/>
              </w:rPr>
              <w:t>）的合理性打分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DFD71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AD3BB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1324"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F76BC3A">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F2EB9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671E5B27">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就餐及餐标安排：根据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拟安排就餐及餐标的安排，提供餐厅照片、餐厅环境介绍、菜谱标准介绍、餐厅特色服务等合理性和有效性，进行打分。（评分分值范围：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684A713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412E7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14:paraId="783FA02C">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CF8A3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车辆安排</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05BB4933">
            <w:pPr>
              <w:keepNext w:val="0"/>
              <w:keepLines w:val="0"/>
              <w:pageBreakBefore w:val="0"/>
              <w:widowControl w:val="0"/>
              <w:kinsoku/>
              <w:wordWrap/>
              <w:overflowPunct/>
              <w:topLinePunct w:val="0"/>
              <w:bidi w:val="0"/>
              <w:snapToGrid/>
              <w:spacing w:line="360" w:lineRule="auto"/>
              <w:ind w:left="0" w:leftChars="0" w:right="105" w:rightChars="5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zh-CN" w:eastAsia="zh-CN"/>
              </w:rPr>
              <w:t>针对本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提供的车辆配置、车龄车况、车上物品配备情况进行打分。</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0181A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59D79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30537DB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p>
        </w:tc>
        <w:tc>
          <w:tcPr>
            <w:tcW w:w="1137" w:type="dxa"/>
            <w:tcBorders>
              <w:top w:val="single" w:color="auto" w:sz="4" w:space="0"/>
              <w:left w:val="single" w:color="auto" w:sz="4" w:space="0"/>
              <w:bottom w:val="single" w:color="auto" w:sz="4" w:space="0"/>
              <w:right w:val="single" w:color="auto" w:sz="4" w:space="0"/>
            </w:tcBorders>
            <w:vAlign w:val="center"/>
          </w:tcPr>
          <w:p w14:paraId="7464A6F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安全服务方案</w:t>
            </w:r>
          </w:p>
        </w:tc>
        <w:tc>
          <w:tcPr>
            <w:tcW w:w="6289" w:type="dxa"/>
            <w:tcBorders>
              <w:top w:val="single" w:color="auto" w:sz="4" w:space="0"/>
              <w:left w:val="single" w:color="auto" w:sz="4" w:space="0"/>
              <w:bottom w:val="single" w:color="auto" w:sz="4" w:space="0"/>
              <w:right w:val="single" w:color="auto" w:sz="4" w:space="0"/>
            </w:tcBorders>
            <w:vAlign w:val="center"/>
          </w:tcPr>
          <w:p w14:paraId="154FE9D8">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疗休养全过程中</w:t>
            </w:r>
            <w:r>
              <w:rPr>
                <w:rFonts w:hint="eastAsia" w:ascii="仿宋" w:hAnsi="仿宋" w:eastAsia="仿宋" w:cs="仿宋"/>
                <w:bCs/>
                <w:color w:val="auto"/>
                <w:sz w:val="24"/>
                <w:szCs w:val="24"/>
                <w:highlight w:val="none"/>
              </w:rPr>
              <w:t>安全服务方案（如出行安全、食宿安全等）</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114069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CBB9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7585D12F">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lang w:val="en-US" w:eastAsia="zh-CN"/>
              </w:rPr>
              <w:t>8</w:t>
            </w:r>
          </w:p>
        </w:tc>
        <w:tc>
          <w:tcPr>
            <w:tcW w:w="1137" w:type="dxa"/>
            <w:tcBorders>
              <w:top w:val="single" w:color="auto" w:sz="4" w:space="0"/>
              <w:left w:val="single" w:color="auto" w:sz="4" w:space="0"/>
              <w:bottom w:val="single" w:color="auto" w:sz="4" w:space="0"/>
              <w:right w:val="single" w:color="auto" w:sz="4" w:space="0"/>
            </w:tcBorders>
            <w:vAlign w:val="center"/>
          </w:tcPr>
          <w:p w14:paraId="71B0B50E">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服务质量保障措施</w:t>
            </w:r>
          </w:p>
        </w:tc>
        <w:tc>
          <w:tcPr>
            <w:tcW w:w="6289" w:type="dxa"/>
            <w:tcBorders>
              <w:top w:val="single" w:color="auto" w:sz="4" w:space="0"/>
              <w:left w:val="single" w:color="auto" w:sz="4" w:space="0"/>
              <w:bottom w:val="single" w:color="auto" w:sz="4" w:space="0"/>
              <w:right w:val="single" w:color="auto" w:sz="4" w:space="0"/>
            </w:tcBorders>
            <w:vAlign w:val="center"/>
          </w:tcPr>
          <w:p w14:paraId="33E7AD0A">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的服务质量保障措施。</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9B6F6B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9B5C6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7FDC745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06FBE57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突发事件的处理方案</w:t>
            </w:r>
          </w:p>
        </w:tc>
        <w:tc>
          <w:tcPr>
            <w:tcW w:w="6289" w:type="dxa"/>
            <w:tcBorders>
              <w:top w:val="single" w:color="auto" w:sz="4" w:space="0"/>
              <w:left w:val="single" w:color="auto" w:sz="4" w:space="0"/>
              <w:bottom w:val="single" w:color="auto" w:sz="4" w:space="0"/>
              <w:right w:val="single" w:color="auto" w:sz="4" w:space="0"/>
            </w:tcBorders>
            <w:vAlign w:val="center"/>
          </w:tcPr>
          <w:p w14:paraId="4F87948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采购人临时性要求发团及线路调整。</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0C8B6B4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029F2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D89C85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4B33D9E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E7D06A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D95C5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41E3BD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76EBD5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51709F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70931DD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其他特殊情况或突发事件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含交通事故、突发疾病等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的应急处置方案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7595A7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46E5D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2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47BBFC2">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2DB5D2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增值服务</w:t>
            </w:r>
          </w:p>
        </w:tc>
        <w:tc>
          <w:tcPr>
            <w:tcW w:w="6289" w:type="dxa"/>
            <w:tcBorders>
              <w:top w:val="single" w:color="auto" w:sz="4" w:space="0"/>
              <w:left w:val="single" w:color="auto" w:sz="4" w:space="0"/>
              <w:bottom w:val="single" w:color="auto" w:sz="4" w:space="0"/>
              <w:right w:val="single" w:color="auto" w:sz="4" w:space="0"/>
            </w:tcBorders>
            <w:vAlign w:val="center"/>
          </w:tcPr>
          <w:p w14:paraId="6F710A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贴合</w:t>
            </w:r>
            <w:r>
              <w:rPr>
                <w:rFonts w:hint="eastAsia" w:ascii="仿宋" w:hAnsi="仿宋" w:eastAsia="仿宋" w:cs="仿宋"/>
                <w:bCs w:val="0"/>
                <w:color w:val="auto"/>
                <w:sz w:val="24"/>
                <w:szCs w:val="24"/>
                <w:highlight w:val="none"/>
                <w:lang w:val="en-US" w:eastAsia="zh-CN"/>
              </w:rPr>
              <w:t>嵊州市总工会下发的关于职工疗休养的文件要求制定</w:t>
            </w: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444871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21BFD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A3B0EC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66572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61E4336">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增值服务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16354A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5C058E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tcBorders>
              <w:top w:val="single" w:color="auto" w:sz="4" w:space="0"/>
              <w:left w:val="single" w:color="auto" w:sz="4" w:space="0"/>
              <w:bottom w:val="single" w:color="auto" w:sz="4" w:space="0"/>
              <w:right w:val="single" w:color="auto" w:sz="4" w:space="0"/>
            </w:tcBorders>
            <w:vAlign w:val="center"/>
          </w:tcPr>
          <w:p w14:paraId="020575E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11</w:t>
            </w:r>
          </w:p>
        </w:tc>
        <w:tc>
          <w:tcPr>
            <w:tcW w:w="1137" w:type="dxa"/>
            <w:tcBorders>
              <w:top w:val="single" w:color="auto" w:sz="4" w:space="0"/>
              <w:left w:val="single" w:color="auto" w:sz="4" w:space="0"/>
              <w:bottom w:val="single" w:color="auto" w:sz="4" w:space="0"/>
              <w:right w:val="single" w:color="auto" w:sz="4" w:space="0"/>
            </w:tcBorders>
            <w:vAlign w:val="center"/>
          </w:tcPr>
          <w:p w14:paraId="63D9A06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c>
          <w:tcPr>
            <w:tcW w:w="6289" w:type="dxa"/>
            <w:tcBorders>
              <w:top w:val="single" w:color="auto" w:sz="4" w:space="0"/>
              <w:left w:val="single" w:color="auto" w:sz="4" w:space="0"/>
              <w:bottom w:val="single" w:color="auto" w:sz="4" w:space="0"/>
              <w:right w:val="single" w:color="auto" w:sz="4" w:space="0"/>
            </w:tcBorders>
            <w:vAlign w:val="center"/>
          </w:tcPr>
          <w:p w14:paraId="6B004B1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lang w:val="zh-CN" w:eastAsia="zh-CN"/>
              </w:rPr>
              <w:t>针对本项目</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4FED926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4AF0ABD6">
      <w:pPr>
        <w:pStyle w:val="77"/>
        <w:spacing w:line="336" w:lineRule="auto"/>
        <w:ind w:left="0"/>
        <w:rPr>
          <w:rFonts w:ascii="仿宋" w:hAnsi="仿宋" w:eastAsia="仿宋" w:cs="仿宋"/>
          <w:b/>
          <w:sz w:val="24"/>
        </w:rPr>
      </w:pPr>
    </w:p>
    <w:p w14:paraId="03950E35">
      <w:pPr>
        <w:spacing w:line="336" w:lineRule="auto"/>
        <w:rPr>
          <w:rFonts w:ascii="仿宋" w:hAnsi="仿宋" w:eastAsia="仿宋" w:cs="仿宋"/>
          <w:b/>
          <w:kern w:val="0"/>
          <w:sz w:val="24"/>
        </w:rPr>
      </w:pPr>
    </w:p>
    <w:p w14:paraId="3A120B18">
      <w:pPr>
        <w:pStyle w:val="76"/>
        <w:spacing w:line="336" w:lineRule="auto"/>
        <w:rPr>
          <w:rFonts w:ascii="仿宋" w:hAnsi="仿宋" w:eastAsia="仿宋" w:cs="仿宋"/>
        </w:rPr>
      </w:pPr>
    </w:p>
    <w:bookmarkEnd w:id="75"/>
    <w:p w14:paraId="606F3A58">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42C995D">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8CE0B4">
      <w:pPr>
        <w:spacing w:line="336" w:lineRule="auto"/>
        <w:jc w:val="center"/>
        <w:outlineLvl w:val="0"/>
        <w:rPr>
          <w:rFonts w:ascii="仿宋" w:hAnsi="仿宋" w:eastAsia="仿宋" w:cs="仿宋"/>
          <w:b/>
          <w:kern w:val="0"/>
          <w:sz w:val="36"/>
          <w:szCs w:val="36"/>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嵊州市高级中学  、</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嵊州市高级中学2025年度职工疗休养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SXPZ-F20250627ZXX</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8"/>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21A16FF0">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嵊州市高级中学  、绍兴平准招标代理有限公司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SXPZ-F20250627ZXX</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3"/>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3"/>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2C2BA16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嵊州市高级中学2025年度职工疗休养</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3EE1D81D">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2D592B47">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2"/>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嵊州市高级中学2025年度职工疗休养</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嵊州市高级中学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嵊州市高级中学2025年度职工疗休养</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嵊州市高级中学2025年度职工疗休养</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7"/>
      </w:rPr>
    </w:pPr>
    <w:r>
      <w:fldChar w:fldCharType="begin"/>
    </w:r>
    <w:r>
      <w:rPr>
        <w:rStyle w:val="67"/>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7"/>
      </w:rPr>
    </w:pPr>
    <w:r>
      <w:fldChar w:fldCharType="begin"/>
    </w:r>
    <w:r>
      <w:rPr>
        <w:rStyle w:val="67"/>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磋商文件编号:SXPZ-F20250606SZ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磋商文件编号:SXPZ-F20250606SZ</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4A3471"/>
    <w:multiLevelType w:val="singleLevel"/>
    <w:tmpl w:val="DE4A3471"/>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0"/>
  </w:num>
  <w:num w:numId="8">
    <w:abstractNumId w:val="1"/>
  </w:num>
  <w:num w:numId="9">
    <w:abstractNumId w:val="2"/>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084A3E"/>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DD7393"/>
    <w:rsid w:val="0D2C3CDA"/>
    <w:rsid w:val="0D397A5A"/>
    <w:rsid w:val="0D9024E9"/>
    <w:rsid w:val="0D972629"/>
    <w:rsid w:val="0DA11FD2"/>
    <w:rsid w:val="0DF66459"/>
    <w:rsid w:val="0DF90060"/>
    <w:rsid w:val="0E7B261C"/>
    <w:rsid w:val="0E9C4E0F"/>
    <w:rsid w:val="0EC55518"/>
    <w:rsid w:val="0ED662BA"/>
    <w:rsid w:val="0F02123D"/>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172444"/>
    <w:rsid w:val="141B040C"/>
    <w:rsid w:val="148E15C6"/>
    <w:rsid w:val="149039CB"/>
    <w:rsid w:val="14A16D5C"/>
    <w:rsid w:val="152E5EA7"/>
    <w:rsid w:val="156A35F2"/>
    <w:rsid w:val="158E5532"/>
    <w:rsid w:val="15CF16A7"/>
    <w:rsid w:val="15E862C7"/>
    <w:rsid w:val="16AC06BC"/>
    <w:rsid w:val="16AD19E8"/>
    <w:rsid w:val="16CA58C7"/>
    <w:rsid w:val="17852965"/>
    <w:rsid w:val="17C0574B"/>
    <w:rsid w:val="18087165"/>
    <w:rsid w:val="180A6D34"/>
    <w:rsid w:val="181D494B"/>
    <w:rsid w:val="18673E19"/>
    <w:rsid w:val="192341E3"/>
    <w:rsid w:val="192B3098"/>
    <w:rsid w:val="19E03152"/>
    <w:rsid w:val="19E35BE4"/>
    <w:rsid w:val="19EC6CCB"/>
    <w:rsid w:val="1A0538E9"/>
    <w:rsid w:val="1A3A7A37"/>
    <w:rsid w:val="1AD734D7"/>
    <w:rsid w:val="1B09565B"/>
    <w:rsid w:val="1B722ECF"/>
    <w:rsid w:val="1B7449F1"/>
    <w:rsid w:val="1B8C2514"/>
    <w:rsid w:val="1BF304AD"/>
    <w:rsid w:val="1C3404B6"/>
    <w:rsid w:val="1C5C75D3"/>
    <w:rsid w:val="1C625023"/>
    <w:rsid w:val="1C8F0E89"/>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5564EA"/>
    <w:rsid w:val="20800028"/>
    <w:rsid w:val="20D66B76"/>
    <w:rsid w:val="21C26084"/>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7075144"/>
    <w:rsid w:val="270858F0"/>
    <w:rsid w:val="270E4E27"/>
    <w:rsid w:val="27346014"/>
    <w:rsid w:val="276C3EAC"/>
    <w:rsid w:val="27CB7F20"/>
    <w:rsid w:val="28043472"/>
    <w:rsid w:val="28422C36"/>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536736"/>
    <w:rsid w:val="2CE74D6E"/>
    <w:rsid w:val="2CF55A3F"/>
    <w:rsid w:val="2D197980"/>
    <w:rsid w:val="2D1B0291"/>
    <w:rsid w:val="2D9B0395"/>
    <w:rsid w:val="2E4B1814"/>
    <w:rsid w:val="2EA414CB"/>
    <w:rsid w:val="2EAB3FA9"/>
    <w:rsid w:val="2EC333C5"/>
    <w:rsid w:val="2EDA4EED"/>
    <w:rsid w:val="2F8135BA"/>
    <w:rsid w:val="2FAB0996"/>
    <w:rsid w:val="2FCF07C9"/>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256460"/>
    <w:rsid w:val="343C0D0E"/>
    <w:rsid w:val="34433534"/>
    <w:rsid w:val="3481782D"/>
    <w:rsid w:val="35042CC3"/>
    <w:rsid w:val="351D3D85"/>
    <w:rsid w:val="35366BF5"/>
    <w:rsid w:val="35633E8E"/>
    <w:rsid w:val="3632560E"/>
    <w:rsid w:val="36637EBD"/>
    <w:rsid w:val="36B67FED"/>
    <w:rsid w:val="36BB3856"/>
    <w:rsid w:val="3719197E"/>
    <w:rsid w:val="373F4487"/>
    <w:rsid w:val="374970B3"/>
    <w:rsid w:val="37B908A3"/>
    <w:rsid w:val="37E1109A"/>
    <w:rsid w:val="38172D0E"/>
    <w:rsid w:val="38433B03"/>
    <w:rsid w:val="38482EC7"/>
    <w:rsid w:val="38C033A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DFE15C4"/>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D499A"/>
    <w:rsid w:val="42C121F4"/>
    <w:rsid w:val="43151407"/>
    <w:rsid w:val="434E71CA"/>
    <w:rsid w:val="435A582F"/>
    <w:rsid w:val="43686B13"/>
    <w:rsid w:val="436D4129"/>
    <w:rsid w:val="43770B04"/>
    <w:rsid w:val="439369B8"/>
    <w:rsid w:val="43B27D8E"/>
    <w:rsid w:val="43F74732"/>
    <w:rsid w:val="44150A49"/>
    <w:rsid w:val="4438539D"/>
    <w:rsid w:val="4475773A"/>
    <w:rsid w:val="44C45FCB"/>
    <w:rsid w:val="44FA7C3F"/>
    <w:rsid w:val="450D7972"/>
    <w:rsid w:val="454809AA"/>
    <w:rsid w:val="458A0BEF"/>
    <w:rsid w:val="458F0425"/>
    <w:rsid w:val="45B147A1"/>
    <w:rsid w:val="45D24718"/>
    <w:rsid w:val="462A6302"/>
    <w:rsid w:val="46842723"/>
    <w:rsid w:val="46871D95"/>
    <w:rsid w:val="4690085B"/>
    <w:rsid w:val="47236529"/>
    <w:rsid w:val="47666BD1"/>
    <w:rsid w:val="47ED3A8B"/>
    <w:rsid w:val="47F46BC7"/>
    <w:rsid w:val="48050DD4"/>
    <w:rsid w:val="49746212"/>
    <w:rsid w:val="497A75A0"/>
    <w:rsid w:val="499917D4"/>
    <w:rsid w:val="4A1B668D"/>
    <w:rsid w:val="4A1E1CDA"/>
    <w:rsid w:val="4A6E2C61"/>
    <w:rsid w:val="4B647BC0"/>
    <w:rsid w:val="4BAF1783"/>
    <w:rsid w:val="4BE40D01"/>
    <w:rsid w:val="4C76404F"/>
    <w:rsid w:val="4E2F0959"/>
    <w:rsid w:val="4E4875AB"/>
    <w:rsid w:val="4EE07EA5"/>
    <w:rsid w:val="4F4425D1"/>
    <w:rsid w:val="508C278F"/>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597012"/>
    <w:rsid w:val="54B0031A"/>
    <w:rsid w:val="54B03E76"/>
    <w:rsid w:val="54B90F7D"/>
    <w:rsid w:val="54F5115A"/>
    <w:rsid w:val="54F75F49"/>
    <w:rsid w:val="555A4967"/>
    <w:rsid w:val="55F61D5C"/>
    <w:rsid w:val="560C1580"/>
    <w:rsid w:val="562E2A42"/>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811074"/>
    <w:rsid w:val="62570027"/>
    <w:rsid w:val="6260512D"/>
    <w:rsid w:val="6282499E"/>
    <w:rsid w:val="630428F0"/>
    <w:rsid w:val="633B16F7"/>
    <w:rsid w:val="64395C36"/>
    <w:rsid w:val="64A82F69"/>
    <w:rsid w:val="64EA6F30"/>
    <w:rsid w:val="651421FF"/>
    <w:rsid w:val="652361D8"/>
    <w:rsid w:val="657244F7"/>
    <w:rsid w:val="65864EAB"/>
    <w:rsid w:val="65921AA2"/>
    <w:rsid w:val="65D8322D"/>
    <w:rsid w:val="65F904D8"/>
    <w:rsid w:val="66140709"/>
    <w:rsid w:val="66AA4D03"/>
    <w:rsid w:val="66C07AEC"/>
    <w:rsid w:val="66DD4F9F"/>
    <w:rsid w:val="66EA7B14"/>
    <w:rsid w:val="67177D85"/>
    <w:rsid w:val="672506F4"/>
    <w:rsid w:val="67281E5E"/>
    <w:rsid w:val="67566AFF"/>
    <w:rsid w:val="678216A2"/>
    <w:rsid w:val="67BB4BB4"/>
    <w:rsid w:val="6885769C"/>
    <w:rsid w:val="68FA3E26"/>
    <w:rsid w:val="69163EF1"/>
    <w:rsid w:val="696B139F"/>
    <w:rsid w:val="699F653B"/>
    <w:rsid w:val="69B00415"/>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8C6099"/>
    <w:rsid w:val="76A94EFA"/>
    <w:rsid w:val="7757591A"/>
    <w:rsid w:val="77925931"/>
    <w:rsid w:val="77B452E7"/>
    <w:rsid w:val="77BF424C"/>
    <w:rsid w:val="78061E7B"/>
    <w:rsid w:val="786170B2"/>
    <w:rsid w:val="789456D9"/>
    <w:rsid w:val="79006A46"/>
    <w:rsid w:val="79031B5E"/>
    <w:rsid w:val="791D747D"/>
    <w:rsid w:val="79D7762B"/>
    <w:rsid w:val="7A0A19CE"/>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9"/>
    <w:autoRedefine/>
    <w:qFormat/>
    <w:uiPriority w:val="0"/>
    <w:pPr>
      <w:ind w:firstLine="420"/>
    </w:pPr>
    <w:rPr>
      <w:szCs w:val="20"/>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2"/>
    <w:basedOn w:val="24"/>
    <w:next w:val="62"/>
    <w:link w:val="506"/>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_Style 2"/>
    <w:basedOn w:val="1"/>
    <w:qFormat/>
    <w:uiPriority w:val="0"/>
    <w:pPr>
      <w:tabs>
        <w:tab w:val="left" w:pos="420"/>
      </w:tabs>
      <w:ind w:firstLine="200" w:firstLineChars="200"/>
    </w:pPr>
    <w:rPr>
      <w:sz w:val="28"/>
      <w:szCs w:val="22"/>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5"/>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4"/>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5"/>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1"/>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5"/>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5"/>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23"/>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2"/>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5"/>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5"/>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38871</Words>
  <Characters>41703</Characters>
  <Paragraphs>1856</Paragraphs>
  <TotalTime>49</TotalTime>
  <ScaleCrop>false</ScaleCrop>
  <LinksUpToDate>false</LinksUpToDate>
  <CharactersWithSpaces>48547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123</cp:lastModifiedBy>
  <cp:lastPrinted>2024-03-11T02:43:00Z</cp:lastPrinted>
  <dcterms:modified xsi:type="dcterms:W3CDTF">2025-06-27T09:52:58Z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F916D467CD4C459F98073B5A9DB892B1_13</vt:lpwstr>
  </property>
  <property fmtid="{D5CDD505-2E9C-101B-9397-08002B2CF9AE}" pid="4" name="KSOTemplateDocerSaveRecord">
    <vt:lpwstr>eyJoZGlkIjoiMmEzNzZjZTZlOTY3YjBhZDM0ZTY4N2YwMTg0YTI0ZTQiLCJ1c2VySWQiOiI0NzgzOTc0NjMifQ==</vt:lpwstr>
  </property>
</Properties>
</file>