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color w:val="auto"/>
          <w:sz w:val="48"/>
          <w:szCs w:val="48"/>
          <w:highlight w:val="none"/>
          <w:lang w:val="en-US" w:eastAsia="zh-CN"/>
        </w:rPr>
      </w:pPr>
    </w:p>
    <w:p>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48"/>
          <w:szCs w:val="48"/>
          <w:highlight w:val="none"/>
          <w:lang w:val="en-US" w:eastAsia="zh-CN"/>
        </w:rPr>
        <w:t>嵊州市中医院便携超声设备采购项目</w:t>
      </w:r>
    </w:p>
    <w:p>
      <w:pPr>
        <w:jc w:val="center"/>
        <w:rPr>
          <w:rFonts w:hint="eastAsia" w:ascii="仿宋" w:hAnsi="仿宋" w:eastAsia="仿宋" w:cs="仿宋"/>
          <w:b/>
          <w:color w:val="auto"/>
          <w:sz w:val="32"/>
          <w:szCs w:val="32"/>
          <w:highlight w:val="none"/>
          <w:lang w:eastAsia="zh-CN"/>
        </w:rPr>
      </w:pPr>
    </w:p>
    <w:p>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SXWH2024-11-28</w:t>
      </w:r>
    </w:p>
    <w:p>
      <w:pPr>
        <w:jc w:val="center"/>
        <w:outlineLvl w:val="0"/>
        <w:rPr>
          <w:rFonts w:hint="eastAsia" w:ascii="仿宋" w:hAnsi="仿宋" w:eastAsia="仿宋" w:cs="仿宋"/>
          <w:b/>
          <w:color w:val="auto"/>
          <w:sz w:val="52"/>
          <w:szCs w:val="52"/>
          <w:highlight w:val="none"/>
        </w:rPr>
      </w:pPr>
    </w:p>
    <w:p>
      <w:pPr>
        <w:jc w:val="center"/>
        <w:outlineLvl w:val="0"/>
        <w:rPr>
          <w:rFonts w:hint="eastAsia" w:ascii="仿宋" w:hAnsi="仿宋" w:eastAsia="仿宋" w:cs="仿宋"/>
          <w:b/>
          <w:color w:val="auto"/>
          <w:sz w:val="52"/>
          <w:szCs w:val="52"/>
          <w:highlight w:val="none"/>
        </w:rPr>
      </w:pPr>
    </w:p>
    <w:p>
      <w:pPr>
        <w:pStyle w:val="25"/>
        <w:rPr>
          <w:rFonts w:hint="eastAsia"/>
          <w:color w:val="auto"/>
        </w:rPr>
      </w:pP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rPr>
          <w:rFonts w:hint="eastAsia"/>
          <w:color w:val="auto"/>
        </w:rPr>
      </w:pPr>
    </w:p>
    <w:p>
      <w:pPr>
        <w:rPr>
          <w:rFonts w:hint="eastAsia"/>
          <w:color w:val="auto"/>
        </w:rPr>
      </w:pPr>
    </w:p>
    <w:p>
      <w:pPr>
        <w:pStyle w:val="20"/>
        <w:numPr>
          <w:ilvl w:val="0"/>
          <w:numId w:val="0"/>
        </w:numPr>
        <w:jc w:val="both"/>
        <w:rPr>
          <w:rFonts w:hint="eastAsia"/>
          <w:color w:val="auto"/>
        </w:rPr>
      </w:pPr>
    </w:p>
    <w:p>
      <w:pPr>
        <w:rPr>
          <w:rFonts w:hint="eastAsia"/>
          <w:color w:val="auto"/>
        </w:rPr>
      </w:pPr>
    </w:p>
    <w:p>
      <w:pPr>
        <w:rPr>
          <w:rFonts w:hint="eastAsia"/>
          <w:color w:val="auto"/>
        </w:rPr>
      </w:pPr>
    </w:p>
    <w:p>
      <w:pPr>
        <w:rPr>
          <w:rFonts w:hint="eastAsia"/>
          <w:color w:val="auto"/>
        </w:rPr>
      </w:pPr>
    </w:p>
    <w:tbl>
      <w:tblPr>
        <w:tblStyle w:val="63"/>
        <w:tblW w:w="7919" w:type="dxa"/>
        <w:jc w:val="center"/>
        <w:tblInd w:w="0" w:type="dxa"/>
        <w:tblLayout w:type="fixed"/>
        <w:tblCellMar>
          <w:top w:w="0" w:type="dxa"/>
          <w:left w:w="108" w:type="dxa"/>
          <w:bottom w:w="0" w:type="dxa"/>
          <w:right w:w="108" w:type="dxa"/>
        </w:tblCellMar>
      </w:tblPr>
      <w:tblGrid>
        <w:gridCol w:w="2533"/>
        <w:gridCol w:w="5386"/>
      </w:tblGrid>
      <w:tr>
        <w:tblPrEx>
          <w:tblLayout w:type="fixed"/>
          <w:tblCellMar>
            <w:top w:w="0" w:type="dxa"/>
            <w:left w:w="108" w:type="dxa"/>
            <w:bottom w:w="0" w:type="dxa"/>
            <w:right w:w="108" w:type="dxa"/>
          </w:tblCellMar>
        </w:tblPrEx>
        <w:trPr>
          <w:trHeight w:val="610"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嵊州市中医院</w:t>
            </w:r>
          </w:p>
        </w:tc>
      </w:tr>
      <w:tr>
        <w:tblPrEx>
          <w:tblLayout w:type="fixed"/>
          <w:tblCellMar>
            <w:top w:w="0" w:type="dxa"/>
            <w:left w:w="108" w:type="dxa"/>
            <w:bottom w:w="0" w:type="dxa"/>
            <w:right w:w="108" w:type="dxa"/>
          </w:tblCellMar>
        </w:tblPrEx>
        <w:trPr>
          <w:trHeight w:val="610" w:hRule="atLeast"/>
          <w:jc w:val="center"/>
        </w:trPr>
        <w:tc>
          <w:tcPr>
            <w:tcW w:w="2533"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64518454"/>
              </w:rPr>
              <w:t>采购代理机</w:t>
            </w:r>
            <w:r>
              <w:rPr>
                <w:rFonts w:hint="eastAsia" w:ascii="仿宋" w:hAnsi="仿宋" w:eastAsia="仿宋" w:cs="仿宋"/>
                <w:color w:val="auto"/>
                <w:spacing w:val="3"/>
                <w:w w:val="87"/>
                <w:kern w:val="0"/>
                <w:sz w:val="32"/>
                <w:szCs w:val="32"/>
                <w:highlight w:val="none"/>
                <w:fitText w:val="1680" w:id="1964518454"/>
              </w:rPr>
              <w:t>构</w:t>
            </w:r>
            <w:r>
              <w:rPr>
                <w:rFonts w:hint="eastAsia" w:ascii="仿宋" w:hAnsi="仿宋" w:eastAsia="仿宋" w:cs="仿宋"/>
                <w:color w:val="auto"/>
                <w:sz w:val="32"/>
                <w:szCs w:val="32"/>
                <w:highlight w:val="none"/>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tblPrEx>
          <w:tblLayout w:type="fixed"/>
          <w:tblCellMar>
            <w:top w:w="0" w:type="dxa"/>
            <w:left w:w="108" w:type="dxa"/>
            <w:bottom w:w="0" w:type="dxa"/>
            <w:right w:w="108" w:type="dxa"/>
          </w:tblCellMar>
        </w:tblPrEx>
        <w:trPr>
          <w:trHeight w:val="610" w:hRule="atLeast"/>
          <w:jc w:val="center"/>
        </w:trPr>
        <w:tc>
          <w:tcPr>
            <w:tcW w:w="2533" w:type="dxa"/>
            <w:vAlign w:val="center"/>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tblPrEx>
          <w:tblLayout w:type="fixed"/>
          <w:tblCellMar>
            <w:top w:w="0" w:type="dxa"/>
            <w:left w:w="108" w:type="dxa"/>
            <w:bottom w:w="0" w:type="dxa"/>
            <w:right w:w="108" w:type="dxa"/>
          </w:tblCellMar>
        </w:tblPrEx>
        <w:trPr>
          <w:trHeight w:val="610" w:hRule="atLeast"/>
          <w:jc w:val="center"/>
        </w:trPr>
        <w:tc>
          <w:tcPr>
            <w:tcW w:w="7919" w:type="dxa"/>
            <w:gridSpan w:val="2"/>
          </w:tcPr>
          <w:p>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嵊州市中医院便携超声设备采购项目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8</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0</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SXWH2024-11-28</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嵊州市中医院便携超声设备采购项目</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45万元。</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45万元。</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3"/>
        <w:tblW w:w="8775"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3370"/>
        <w:gridCol w:w="1282"/>
        <w:gridCol w:w="1731"/>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exact"/>
        </w:trPr>
        <w:tc>
          <w:tcPr>
            <w:tcW w:w="934"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序号</w:t>
            </w:r>
          </w:p>
        </w:tc>
        <w:tc>
          <w:tcPr>
            <w:tcW w:w="3370"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8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458"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exact"/>
        </w:trPr>
        <w:tc>
          <w:tcPr>
            <w:tcW w:w="934"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370"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嵊州市中医院便携超声设备采购项目</w:t>
            </w:r>
          </w:p>
        </w:tc>
        <w:tc>
          <w:tcPr>
            <w:tcW w:w="1282"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1套</w:t>
            </w:r>
          </w:p>
        </w:tc>
        <w:tc>
          <w:tcPr>
            <w:tcW w:w="1731" w:type="dxa"/>
            <w:noWrap w:val="0"/>
            <w:vAlign w:val="center"/>
          </w:tcPr>
          <w:p>
            <w:pPr>
              <w:pStyle w:val="5"/>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45万元</w:t>
            </w:r>
          </w:p>
        </w:tc>
        <w:tc>
          <w:tcPr>
            <w:tcW w:w="1458" w:type="dxa"/>
            <w:noWrap w:val="0"/>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p>
        </w:tc>
      </w:tr>
    </w:tbl>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val="0"/>
          <w:snapToGrid/>
          <w:color w:val="auto"/>
          <w:kern w:val="2"/>
          <w:sz w:val="24"/>
          <w:szCs w:val="24"/>
          <w:highlight w:val="none"/>
          <w:lang w:val="en-US" w:eastAsia="zh-CN" w:bidi="ar-SA"/>
        </w:rPr>
        <w:t>6.合同履行期限：</w:t>
      </w:r>
      <w:r>
        <w:rPr>
          <w:rFonts w:hint="eastAsia" w:ascii="仿宋" w:hAnsi="仿宋" w:eastAsia="仿宋" w:cs="仿宋"/>
          <w:b w:val="0"/>
          <w:bCs/>
          <w:snapToGrid/>
          <w:color w:val="auto"/>
          <w:kern w:val="2"/>
          <w:sz w:val="24"/>
          <w:szCs w:val="24"/>
          <w:highlight w:val="none"/>
          <w:lang w:val="en-US" w:eastAsia="zh-CN" w:bidi="ar-SA"/>
        </w:rPr>
        <w:t>详见招标文件。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货物全部由符合政策要求的中小企业制造，提供中小企业声明函；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A8"/>
      </w:r>
      <w:r>
        <w:rPr>
          <w:rFonts w:hint="eastAsia" w:ascii="仿宋" w:hAnsi="仿宋" w:eastAsia="仿宋" w:cs="仿宋"/>
          <w:snapToGrid w:val="0"/>
          <w:color w:val="auto"/>
          <w:kern w:val="28"/>
          <w:sz w:val="24"/>
          <w:szCs w:val="20"/>
          <w:highlight w:val="none"/>
        </w:rPr>
        <w:t>货物全部由符合政策要求的小微企业制造，提供中小企业声明函；</w:t>
      </w:r>
    </w:p>
    <w:p>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eastAsia="zh-CN"/>
        </w:rPr>
        <w:t>投标人须为医疗器械合法经营或生产企业，投标产品属第三类医疗器械的，投标人提供有效的医疗器械生产或经营许可证，投标产品属第二类医疗器械的，投标人提供有效的医疗器械生产许可证或经营备案凭证。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lang w:val="en-US" w:eastAsia="zh-CN"/>
        </w:rPr>
        <w:t>2025年7月11日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嵊州市中医院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嵊州市医院路208号</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bookmarkStart w:id="9" w:name="_Toc28359020"/>
      <w:bookmarkStart w:id="10" w:name="_Toc35393638"/>
      <w:bookmarkStart w:id="11" w:name="_Toc28359097"/>
      <w:bookmarkStart w:id="12" w:name="_Toc35393807"/>
      <w:r>
        <w:rPr>
          <w:rFonts w:hint="eastAsia" w:ascii="仿宋" w:hAnsi="仿宋" w:eastAsia="仿宋" w:cs="仿宋"/>
          <w:b w:val="0"/>
          <w:bCs w:val="0"/>
          <w:color w:val="auto"/>
          <w:sz w:val="24"/>
          <w:szCs w:val="24"/>
          <w:highlight w:val="none"/>
        </w:rPr>
        <w:t>项目联系人（询问）：</w:t>
      </w:r>
      <w:r>
        <w:rPr>
          <w:rFonts w:hint="eastAsia" w:ascii="仿宋" w:hAnsi="仿宋" w:eastAsia="仿宋" w:cs="仿宋"/>
          <w:b w:val="0"/>
          <w:bCs w:val="0"/>
          <w:color w:val="auto"/>
          <w:sz w:val="24"/>
          <w:szCs w:val="24"/>
          <w:highlight w:val="none"/>
          <w:lang w:val="en-US" w:eastAsia="zh-CN"/>
        </w:rPr>
        <w:t>陈老师</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项目联系方式（询问）：0575-83015922</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质疑联系人：</w:t>
      </w:r>
      <w:r>
        <w:rPr>
          <w:rFonts w:hint="eastAsia" w:ascii="仿宋" w:hAnsi="仿宋" w:eastAsia="仿宋" w:cs="仿宋"/>
          <w:b w:val="0"/>
          <w:bCs w:val="0"/>
          <w:color w:val="auto"/>
          <w:sz w:val="24"/>
          <w:szCs w:val="24"/>
          <w:highlight w:val="none"/>
          <w:lang w:val="en-US" w:eastAsia="zh-CN"/>
        </w:rPr>
        <w:t>黄老师</w:t>
      </w:r>
    </w:p>
    <w:p>
      <w:pPr>
        <w:pStyle w:val="3"/>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质疑联系方式：0575-8301592</w:t>
      </w:r>
      <w:r>
        <w:rPr>
          <w:rFonts w:hint="eastAsia" w:ascii="仿宋" w:eastAsia="仿宋" w:cs="仿宋"/>
          <w:b w:val="0"/>
          <w:bCs w:val="0"/>
          <w:color w:val="auto"/>
          <w:sz w:val="24"/>
          <w:szCs w:val="24"/>
          <w:highlight w:val="none"/>
          <w:lang w:val="en-US" w:eastAsia="zh-CN"/>
        </w:rPr>
        <w:t>2</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邹秋莉</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sz w:val="24"/>
          <w:highlight w:val="none"/>
        </w:rPr>
        <w:t>CA问题联系电话（人工）：汇信CA 400-888-4636；天谷CA 400-087-8198。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便携超声设备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u w:val="single"/>
                <w:lang w:eastAsia="zh-CN"/>
              </w:rPr>
              <w:t>便携超声设备</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①中标供应商需支付以下费用，根据项目的中标金额，采用差额定率累进法进行计算，具体费率标准如下，请在投标报价中自行考虑：</w:t>
            </w:r>
          </w:p>
          <w:tbl>
            <w:tblPr>
              <w:tblStyle w:val="63"/>
              <w:tblW w:w="7876" w:type="dxa"/>
              <w:tblInd w:w="91" w:type="dxa"/>
              <w:tblLayout w:type="fixed"/>
              <w:tblCellMar>
                <w:top w:w="0" w:type="dxa"/>
                <w:left w:w="108" w:type="dxa"/>
                <w:bottom w:w="0" w:type="dxa"/>
                <w:right w:w="108" w:type="dxa"/>
              </w:tblCellMar>
            </w:tblPr>
            <w:tblGrid>
              <w:gridCol w:w="3441"/>
              <w:gridCol w:w="2271"/>
              <w:gridCol w:w="2164"/>
            </w:tblGrid>
            <w:tr>
              <w:tblPrEx>
                <w:tblLayout w:type="fixed"/>
                <w:tblCellMar>
                  <w:top w:w="0" w:type="dxa"/>
                  <w:left w:w="108" w:type="dxa"/>
                  <w:bottom w:w="0" w:type="dxa"/>
                  <w:right w:w="108" w:type="dxa"/>
                </w:tblCellMar>
              </w:tblPrEx>
              <w:trPr>
                <w:trHeight w:val="880" w:hRule="atLeast"/>
              </w:trPr>
              <w:tc>
                <w:tcPr>
                  <w:tcW w:w="3441"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              服务类型</w:t>
                  </w:r>
                </w:p>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 xml:space="preserve">金额（万元）        </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货物招标</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服务招标</w:t>
                  </w:r>
                </w:p>
              </w:tc>
            </w:tr>
            <w:tr>
              <w:tblPrEx>
                <w:tblLayout w:type="fixed"/>
                <w:tblCellMar>
                  <w:top w:w="0" w:type="dxa"/>
                  <w:left w:w="108" w:type="dxa"/>
                  <w:bottom w:w="0" w:type="dxa"/>
                  <w:right w:w="108" w:type="dxa"/>
                </w:tblCellMar>
              </w:tblPrEx>
              <w:trPr>
                <w:trHeight w:val="34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30以下部分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1.5%</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1.5%</w:t>
                  </w:r>
                </w:p>
              </w:tc>
            </w:tr>
            <w:tr>
              <w:tblPrEx>
                <w:tblLayout w:type="fixed"/>
                <w:tblCellMar>
                  <w:top w:w="0" w:type="dxa"/>
                  <w:left w:w="108" w:type="dxa"/>
                  <w:bottom w:w="0" w:type="dxa"/>
                  <w:right w:w="108" w:type="dxa"/>
                </w:tblCellMar>
              </w:tblPrEx>
              <w:trPr>
                <w:trHeight w:val="34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30-100部分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1.0%</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1.0%</w:t>
                  </w:r>
                </w:p>
              </w:tc>
            </w:tr>
            <w:tr>
              <w:tblPrEx>
                <w:tblLayout w:type="fixed"/>
                <w:tblCellMar>
                  <w:top w:w="0" w:type="dxa"/>
                  <w:left w:w="108" w:type="dxa"/>
                  <w:bottom w:w="0" w:type="dxa"/>
                  <w:right w:w="108" w:type="dxa"/>
                </w:tblCellMar>
              </w:tblPrEx>
              <w:trPr>
                <w:trHeight w:val="34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100-500部分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0.6%</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0.5%</w:t>
                  </w:r>
                </w:p>
              </w:tc>
            </w:tr>
            <w:tr>
              <w:tblPrEx>
                <w:tblLayout w:type="fixed"/>
                <w:tblCellMar>
                  <w:top w:w="0" w:type="dxa"/>
                  <w:left w:w="108" w:type="dxa"/>
                  <w:bottom w:w="0" w:type="dxa"/>
                  <w:right w:w="108" w:type="dxa"/>
                </w:tblCellMar>
              </w:tblPrEx>
              <w:trPr>
                <w:trHeight w:val="376" w:hRule="atLeast"/>
              </w:trPr>
              <w:tc>
                <w:tcPr>
                  <w:tcW w:w="34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500以上部分</w:t>
                  </w:r>
                </w:p>
              </w:tc>
              <w:tc>
                <w:tcPr>
                  <w:tcW w:w="22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0.3%</w:t>
                  </w:r>
                </w:p>
              </w:tc>
              <w:tc>
                <w:tcPr>
                  <w:tcW w:w="216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bidi="ar"/>
                    </w:rPr>
                    <w:t>0.2%</w:t>
                  </w:r>
                </w:p>
              </w:tc>
            </w:tr>
          </w:tbl>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288" w:lineRule="auto"/>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嵊州市中医院（合同中的甲方）</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w:t>
      </w:r>
      <w:r>
        <w:rPr>
          <w:rFonts w:hint="eastAsia" w:ascii="仿宋" w:hAnsi="仿宋" w:eastAsia="仿宋" w:cs="仿宋"/>
          <w:color w:val="auto"/>
          <w:sz w:val="24"/>
        </w:rPr>
        <w:t>经评审产生并经批准的投标人为中标候选人，经公告无异议，并签订合同后的中标人为供应商（合同中的乙方）</w:t>
      </w:r>
      <w:r>
        <w:rPr>
          <w:rFonts w:hint="eastAsia" w:ascii="仿宋" w:hAnsi="仿宋" w:eastAsia="仿宋" w:cs="仿宋"/>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“产品”系指供方按招标文件规定，经合法途径取得的，须向采购人提供的一切产品、保险、税金、安装、施工、调试、备品备件、工具、手册及其它有关技术资料和材料。</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rPr>
        <w:t>“服务”系指招标文件规定投标人须承担的安装、调试、技术协助、校准、培训、技术指导以及其他类似的义务。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2.7</w:t>
      </w:r>
      <w:r>
        <w:rPr>
          <w:rFonts w:hint="eastAsia" w:ascii="仿宋" w:hAnsi="仿宋" w:eastAsia="仿宋" w:cs="仿宋"/>
          <w:color w:val="auto"/>
          <w:sz w:val="24"/>
        </w:rPr>
        <w:t>“项目”系指投标人按招标文件规定向采购人提供的产品和服务。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w:t>
      </w:r>
      <w:r>
        <w:rPr>
          <w:rFonts w:hint="eastAsia" w:ascii="仿宋" w:hAnsi="仿宋" w:eastAsia="仿宋" w:cs="仿宋"/>
          <w:color w:val="auto"/>
          <w:sz w:val="24"/>
        </w:rPr>
        <w:t>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10</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11</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lang w:eastAsia="zh-CN"/>
        </w:rPr>
        <w:t>☑</w:t>
      </w:r>
      <w:r>
        <w:rPr>
          <w:rFonts w:hint="eastAsia" w:ascii="仿宋" w:hAnsi="仿宋" w:eastAsia="仿宋" w:cs="仿宋"/>
          <w:color w:val="auto"/>
          <w:sz w:val="24"/>
        </w:rPr>
        <w:t>”系指适用本项目的要求，“☐”系指不适用本项目的要求。</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因特殊原因需要使用冠以法定名称的业务专用章的，投标时须提供《业务专用章使用说明函》(详见附件)</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6"/>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bCs/>
          <w:color w:val="auto"/>
          <w:sz w:val="24"/>
          <w:highlight w:val="none"/>
          <w:lang w:val="en-US" w:eastAsia="zh-CN"/>
        </w:rPr>
        <w:t>本项目的特定资格要求：投标人须为医疗器械合法经营或生产企业，投标产品属第三类医疗器械的，投标人提供有效的医疗器械生产或经营许可证，投标产品属第二类医疗器械的，投标人提供有效的医疗器械生产许可证或经营备案凭证。</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2.2.9医疗器械生产或经营许可证（属于药字号的，提供药品生产或经营许可证）、医疗器械注册证及登记表扫描件；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2.2.10商务资信响应表、技术偏离表；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2.2.11覆盖招标范围的代理证明（制造商出具的授权书及分级代理授权书），须明确授权范围、授权期限；</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2.2.14所投标项评标标准相应的商务技术资料；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2.2.17</w:t>
      </w:r>
      <w:r>
        <w:rPr>
          <w:rFonts w:hint="eastAsia" w:ascii="仿宋" w:hAnsi="仿宋" w:eastAsia="仿宋" w:cs="仿宋"/>
          <w:color w:val="auto"/>
          <w:sz w:val="24"/>
          <w:highlight w:val="none"/>
          <w:lang w:val="zh-CN" w:eastAsia="zh-CN"/>
        </w:rPr>
        <w:t>投标人应提供针对项目的完整技术解决方案：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2.2.18</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spacing w:line="288" w:lineRule="auto"/>
        <w:jc w:val="left"/>
        <w:rPr>
          <w:rFonts w:ascii="仿宋" w:hAnsi="仿宋" w:eastAsia="仿宋" w:cs="仿宋"/>
          <w:b/>
          <w:color w:val="auto"/>
          <w:sz w:val="24"/>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rPr>
        <w:t>电子投标文件部分：投标人应根据“政采云供应商项目采购-电子招投标操作指南”及本招标文件规定的格式和顺序编制电子投标文件并进行关联定位。</w:t>
      </w:r>
    </w:p>
    <w:p>
      <w:pPr>
        <w:pStyle w:val="13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8.25未按招标文件要求提供样品或提供样品不满足采购需求实质性条件的；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8.26参与同一个采购包(标段)的供应商存在下列情形之一的其投标(响应)文件无效:</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8.26.1不同供应商的电子投标(响应)文件上传计算机的网卡MAC地址</w:t>
      </w:r>
      <w:r>
        <w:rPr>
          <w:rFonts w:hint="eastAsia" w:ascii="仿宋" w:hAnsi="仿宋" w:eastAsia="仿宋" w:cs="仿宋"/>
          <w:b/>
          <w:color w:val="auto"/>
          <w:sz w:val="24"/>
          <w:lang w:val="en-US" w:eastAsia="zh-CN"/>
        </w:rPr>
        <w:t>或</w:t>
      </w:r>
      <w:r>
        <w:rPr>
          <w:rFonts w:hint="eastAsia" w:ascii="仿宋" w:hAnsi="仿宋" w:eastAsia="仿宋" w:cs="仿宋"/>
          <w:b/>
          <w:color w:val="auto"/>
          <w:sz w:val="24"/>
        </w:rPr>
        <w:t>硬盘序列号等硬件信息相同的;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8.26.3不同供应商的投标(响应)文件的内容存在三处(含)以上错误一致，且无法合理解释的;</w:t>
      </w:r>
    </w:p>
    <w:p>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8.26.4不同供应商联系人为同一人或不同联系人的联系电话一致，且无法合理解释的。</w:t>
      </w:r>
    </w:p>
    <w:p>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8.27其他违反法律、法规的情形。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75236101"/>
      <w:bookmarkEnd w:id="21"/>
      <w:bookmarkStart w:id="22" w:name="_Hlt74729768"/>
      <w:bookmarkEnd w:id="22"/>
      <w:bookmarkStart w:id="23" w:name="_Hlt75236290"/>
      <w:bookmarkEnd w:id="23"/>
      <w:bookmarkStart w:id="24" w:name="_Hlt68403820"/>
      <w:bookmarkEnd w:id="24"/>
      <w:bookmarkStart w:id="25" w:name="_Hlt74714665"/>
      <w:bookmarkEnd w:id="25"/>
      <w:bookmarkStart w:id="26" w:name="_Hlt74707468"/>
      <w:bookmarkEnd w:id="26"/>
      <w:bookmarkStart w:id="27" w:name="_Hlt74730295"/>
      <w:bookmarkEnd w:id="27"/>
      <w:bookmarkStart w:id="28" w:name="_Hlt68072990"/>
      <w:bookmarkEnd w:id="28"/>
      <w:bookmarkStart w:id="29" w:name="_Hlt68073093"/>
      <w:bookmarkEnd w:id="29"/>
      <w:bookmarkStart w:id="30" w:name="_Hlt75236011"/>
      <w:bookmarkEnd w:id="30"/>
      <w:bookmarkStart w:id="31" w:name="_Hlt68057669"/>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pStyle w:val="34"/>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pPr>
        <w:numPr>
          <w:ilvl w:val="0"/>
          <w:numId w:val="0"/>
        </w:numPr>
        <w:snapToGrid w:val="0"/>
        <w:spacing w:line="800" w:lineRule="exact"/>
        <w:jc w:val="center"/>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pPr>
        <w:keepNext w:val="0"/>
        <w:keepLines w:val="0"/>
        <w:pageBreakBefore w:val="0"/>
        <w:widowControl w:val="0"/>
        <w:kinsoku/>
        <w:wordWrap/>
        <w:overflowPunct/>
        <w:topLinePunct w:val="0"/>
        <w:autoSpaceDE/>
        <w:autoSpaceDN/>
        <w:bidi w:val="0"/>
        <w:adjustRightInd w:val="0"/>
        <w:snapToGrid/>
        <w:spacing w:before="144" w:beforeLines="50" w:line="460" w:lineRule="exact"/>
        <w:textAlignment w:val="auto"/>
        <w:rPr>
          <w:rFonts w:hint="eastAsia"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rPr>
        <w:t>一、</w:t>
      </w:r>
      <w:r>
        <w:rPr>
          <w:rFonts w:hint="eastAsia" w:ascii="仿宋" w:hAnsi="仿宋" w:eastAsia="仿宋" w:cs="仿宋"/>
          <w:b/>
          <w:bCs/>
          <w:color w:val="auto"/>
          <w:sz w:val="24"/>
          <w:szCs w:val="24"/>
          <w:highlight w:val="none"/>
          <w:lang w:val="en-US" w:eastAsia="zh-CN"/>
        </w:rPr>
        <w:t>设备技术参数</w:t>
      </w:r>
    </w:p>
    <w:tbl>
      <w:tblPr>
        <w:tblStyle w:val="63"/>
        <w:tblW w:w="9225" w:type="dxa"/>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9225" w:type="dxa"/>
            <w:gridSpan w:val="2"/>
            <w:vAlign w:val="center"/>
          </w:tcPr>
          <w:p>
            <w:pPr>
              <w:keepNext w:val="0"/>
              <w:keepLines w:val="0"/>
              <w:pageBreakBefore w:val="0"/>
              <w:numPr>
                <w:ilvl w:val="0"/>
                <w:numId w:val="0"/>
              </w:numPr>
              <w:kinsoku/>
              <w:wordWrap/>
              <w:overflowPunct/>
              <w:topLinePunct w:val="0"/>
              <w:autoSpaceDE/>
              <w:autoSpaceDN/>
              <w:bidi w:val="0"/>
              <w:adjustRightInd w:val="0"/>
              <w:snapToGrid/>
              <w:spacing w:line="400" w:lineRule="exact"/>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主要技术参数要求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基本功能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应用于临床超声诊断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lang w:eastAsia="zh-CN"/>
              </w:rPr>
              <w:t>★</w:t>
            </w:r>
            <w:r>
              <w:rPr>
                <w:rFonts w:hint="eastAsia" w:ascii="仿宋" w:hAnsi="仿宋" w:eastAsia="仿宋" w:cs="仿宋"/>
                <w:color w:val="000000"/>
                <w:sz w:val="24"/>
              </w:rPr>
              <w:t>1.2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主机类型是笔记本或立式平板便携超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显示器尺寸15英寸及以上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所提供的软件版本为最新软件版本，在设备使用期内终身免费升级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highlight w:val="none"/>
              </w:rPr>
              <w:t>操作系统采用 VxWorks嵌入式系统或其它更优的操作系统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000000"/>
                <w:sz w:val="24"/>
              </w:rPr>
              <w:t>1.6</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highlight w:val="none"/>
              </w:rPr>
              <w:t>冷启动时间（从关机状态到可正常工作状态）≤</w:t>
            </w:r>
            <w:r>
              <w:rPr>
                <w:rFonts w:hint="eastAsia" w:ascii="仿宋" w:hAnsi="仿宋" w:eastAsia="仿宋" w:cs="仿宋"/>
                <w:color w:val="000000"/>
                <w:sz w:val="24"/>
                <w:highlight w:val="none"/>
                <w:lang w:val="en-US" w:eastAsia="zh-CN"/>
              </w:rPr>
              <w:t>30</w:t>
            </w:r>
            <w:r>
              <w:rPr>
                <w:rFonts w:hint="eastAsia" w:ascii="仿宋" w:hAnsi="仿宋" w:eastAsia="仿宋" w:cs="仿宋"/>
                <w:color w:val="000000"/>
                <w:sz w:val="24"/>
                <w:highlight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1.7</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系统动态范围最大值≥160db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1.8</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主机具备可充电锂电池，断电时可正常工作≥2小时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1.9</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二维灰阶数≥256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lang w:eastAsia="zh-CN"/>
              </w:rPr>
              <w:t>★</w:t>
            </w:r>
            <w:r>
              <w:rPr>
                <w:rFonts w:hint="eastAsia" w:ascii="仿宋" w:hAnsi="仿宋" w:eastAsia="仿宋" w:cs="仿宋"/>
                <w:color w:val="000000"/>
                <w:sz w:val="24"/>
              </w:rPr>
              <w:t>1.10</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具备以下模式：B、M、彩色、B/B、B/M、频谱多谱勒（PW、CW）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B模式下：可回放显示≥1000幅或≥20s动态影像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PWD正向或反向血流速度最大可测速度≥8m/s（提供资料证明）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CWD血流速度最大可测速度≥15m/s（提供资料证明）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lang w:eastAsia="zh-CN"/>
              </w:rPr>
              <w:t>★</w:t>
            </w:r>
            <w:r>
              <w:rPr>
                <w:rFonts w:hint="eastAsia" w:ascii="仿宋" w:hAnsi="仿宋" w:eastAsia="仿宋" w:cs="仿宋"/>
                <w:color w:val="000000"/>
                <w:sz w:val="24"/>
              </w:rPr>
              <w:t>1.14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具备ASIC成像芯片技术或Echo Boost回波增强技术或智能神经识别技术或XRES自适应图像处理技术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具备速度方差显示、能量显示、速度显示、方差显示、二维图像/频谱多普勒/彩色血流成像三同步显示等功能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1.16</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具备彩色增强功能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1.17</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具备彩色和二维/频谱多普勒独立变频功能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1.18</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具备M型成像及分析功能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1.19</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具备M型测量功能，可测量距离 (振幅) 、时间间隔、心率等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1.20</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具备组织谐波成像功能，支持凸阵、线阵、相控阵探头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具备宽带组织谐波成像功能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具备空间复合成像功能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具备宽景成像功能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具备实时二同步/三同步能力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具备斑点噪音抑制技术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1.26</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具备血管内中膜自动测量功能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1.27</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具备图像一键优化功能，可优化2D和多普勒，自动调节增益、标尺等参数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1.28</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具备高清血流成像和精细血流成像功能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1.29</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具备血管血流测量及分析功能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1.30</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具备外周血管血流测量与分析功能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具备快速测量下肢血管局部狭窄的功能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具备小器官测量和分析功能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具备髋关节角度测量与分析功能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具备自动调节增益功能，B/M 增益可独立调节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具备腹部、心脏、血管、甲状腺淋巴结等小器官等全面的临床测量与计算分析功能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1.36</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具备多普勒血流测量与分析，实时多普勒自动包络、测量和计算，心脏功能测量以及各瓣膜功能的测量、分析及报告，外周血管测量与分析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1.37</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具备测量与计算软件包：一般测量、心脏测量、妇产科测量、血管测量等。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1.38</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具备图像及视频存储功能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1.39</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内置病人数据管理系统，可查询和浏览病人信息、图像、测量计算数据和检查报告。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1.40</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可实现以往图像与当前图像同屏对比显示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1.41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具备回放重现功能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1.42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支持导出各类常用图片和视频格式至USB，并可直接在个人计算机上读取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000000"/>
                <w:sz w:val="24"/>
              </w:rPr>
              <w:t>1.43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auto"/>
                <w:sz w:val="24"/>
                <w:highlight w:val="none"/>
              </w:rPr>
              <w:t>检查模式包括临床常用的：心脏、腹部、肺部、肌骨、神经、小器官等模式（提供模式界面图证明）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2.1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探头接口数≥3个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2.2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highlight w:val="none"/>
              </w:rPr>
              <w:t>探头接口为无针贴片式设计，支持热插拔（提供资料证明）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2.</w:t>
            </w:r>
            <w:r>
              <w:rPr>
                <w:rFonts w:hint="eastAsia" w:ascii="仿宋" w:hAnsi="仿宋" w:eastAsia="仿宋" w:cs="仿宋"/>
                <w:color w:val="000000"/>
                <w:sz w:val="24"/>
                <w:lang w:val="en-US" w:eastAsia="zh-CN"/>
              </w:rPr>
              <w:t>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成人线阵探头：频率范围≥ 6-12 MHz，阵元数≥192。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2.</w:t>
            </w:r>
            <w:r>
              <w:rPr>
                <w:rFonts w:hint="eastAsia" w:ascii="仿宋" w:hAnsi="仿宋" w:eastAsia="仿宋" w:cs="仿宋"/>
                <w:color w:val="000000"/>
                <w:sz w:val="24"/>
                <w:lang w:val="en-US" w:eastAsia="zh-CN"/>
              </w:rPr>
              <w:t>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小儿线阵探头：频率范围 ≥6-12 MHz，阵元数≥128。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000000"/>
                <w:sz w:val="24"/>
              </w:rPr>
              <w:t>2.</w:t>
            </w:r>
            <w:r>
              <w:rPr>
                <w:rFonts w:hint="eastAsia" w:ascii="仿宋" w:hAnsi="仿宋" w:eastAsia="仿宋" w:cs="仿宋"/>
                <w:color w:val="000000"/>
                <w:sz w:val="24"/>
                <w:lang w:val="en-US" w:eastAsia="zh-CN"/>
              </w:rPr>
              <w:t>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auto"/>
                <w:sz w:val="24"/>
              </w:rPr>
              <w:t>主机可</w:t>
            </w:r>
            <w:r>
              <w:rPr>
                <w:rFonts w:hint="eastAsia" w:ascii="仿宋" w:hAnsi="仿宋" w:eastAsia="仿宋" w:cs="仿宋"/>
                <w:color w:val="auto"/>
                <w:sz w:val="24"/>
                <w:lang w:eastAsia="zh-CN"/>
              </w:rPr>
              <w:t>选</w:t>
            </w:r>
            <w:r>
              <w:rPr>
                <w:rFonts w:hint="eastAsia" w:ascii="仿宋" w:hAnsi="仿宋" w:eastAsia="仿宋" w:cs="仿宋"/>
                <w:color w:val="auto"/>
                <w:sz w:val="24"/>
              </w:rPr>
              <w:t>配探头</w:t>
            </w:r>
            <w:r>
              <w:rPr>
                <w:rFonts w:hint="eastAsia" w:ascii="仿宋" w:hAnsi="仿宋" w:eastAsia="仿宋" w:cs="仿宋"/>
                <w:color w:val="auto"/>
                <w:sz w:val="24"/>
                <w:lang w:eastAsia="zh-CN"/>
              </w:rPr>
              <w:t>，</w:t>
            </w:r>
            <w:r>
              <w:rPr>
                <w:rFonts w:hint="eastAsia" w:ascii="仿宋" w:hAnsi="仿宋" w:eastAsia="仿宋" w:cs="仿宋"/>
                <w:color w:val="000000"/>
                <w:sz w:val="24"/>
              </w:rPr>
              <w:t>包括但不限于以下种类：单晶体心脏探头、术中线阵探头、超高频线阵探头、小儿线阵探头、小儿心脏探头。（投标时提供证明文件）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其他功能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3.1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highlight w:val="none"/>
              </w:rPr>
              <w:t>主机含电池的重量≤</w:t>
            </w:r>
            <w:r>
              <w:rPr>
                <w:rFonts w:hint="eastAsia" w:ascii="仿宋" w:hAnsi="仿宋" w:eastAsia="仿宋" w:cs="仿宋"/>
                <w:color w:val="000000"/>
                <w:sz w:val="24"/>
                <w:highlight w:val="none"/>
                <w:lang w:val="en-US" w:eastAsia="zh-CN"/>
              </w:rPr>
              <w:t>8</w:t>
            </w:r>
            <w:r>
              <w:rPr>
                <w:rFonts w:hint="eastAsia" w:ascii="仿宋" w:hAnsi="仿宋" w:eastAsia="仿宋" w:cs="仿宋"/>
                <w:color w:val="000000"/>
                <w:sz w:val="24"/>
                <w:highlight w:val="none"/>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3.2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highlight w:val="none"/>
              </w:rPr>
              <w:t>主机具备USB接口，数量≥</w:t>
            </w:r>
            <w:r>
              <w:rPr>
                <w:rFonts w:hint="eastAsia" w:ascii="仿宋" w:hAnsi="仿宋" w:eastAsia="仿宋" w:cs="仿宋"/>
                <w:color w:val="000000"/>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3.3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主机具备主流视频信号输出（HDMI，USB等）、电缆及相应转换器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3.4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具备DICOM输入、输出、查询、打印、存储、work list等功能且为激活状态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3.</w:t>
            </w:r>
            <w:r>
              <w:rPr>
                <w:rFonts w:hint="eastAsia" w:ascii="仿宋" w:hAnsi="仿宋" w:eastAsia="仿宋" w:cs="仿宋"/>
                <w:color w:val="000000"/>
                <w:sz w:val="24"/>
                <w:lang w:val="en-US" w:eastAsia="zh-CN"/>
              </w:rPr>
              <w:t>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提供专用台车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（二）</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1.1</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便携式彩色多普勒超声系统</w:t>
            </w:r>
            <w:r>
              <w:rPr>
                <w:rFonts w:hint="eastAsia" w:ascii="仿宋" w:hAnsi="仿宋" w:eastAsia="仿宋" w:cs="仿宋"/>
                <w:color w:val="000000"/>
                <w:sz w:val="24"/>
                <w:lang w:val="en-US" w:eastAsia="zh-CN"/>
              </w:rPr>
              <w:t>1</w:t>
            </w:r>
            <w:r>
              <w:rPr>
                <w:rFonts w:hint="eastAsia" w:ascii="仿宋" w:hAnsi="仿宋" w:eastAsia="仿宋" w:cs="仿宋"/>
                <w:color w:val="000000"/>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1.2</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线阵探头</w:t>
            </w:r>
            <w:r>
              <w:rPr>
                <w:rFonts w:hint="eastAsia" w:ascii="仿宋" w:hAnsi="仿宋" w:eastAsia="仿宋" w:cs="仿宋"/>
                <w:color w:val="000000"/>
                <w:sz w:val="24"/>
                <w:lang w:val="en-US" w:eastAsia="zh-CN"/>
              </w:rPr>
              <w:t>1</w:t>
            </w:r>
            <w:r>
              <w:rPr>
                <w:rFonts w:hint="eastAsia" w:ascii="仿宋" w:hAnsi="仿宋" w:eastAsia="仿宋" w:cs="仿宋"/>
                <w:color w:val="000000"/>
                <w:sz w:val="24"/>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1.3</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lang w:eastAsia="zh-CN"/>
              </w:rPr>
              <w:t>凸</w:t>
            </w:r>
            <w:r>
              <w:rPr>
                <w:rFonts w:hint="eastAsia" w:ascii="仿宋" w:hAnsi="仿宋" w:eastAsia="仿宋" w:cs="仿宋"/>
                <w:color w:val="000000"/>
                <w:sz w:val="24"/>
              </w:rPr>
              <w:t>阵探头</w:t>
            </w:r>
            <w:r>
              <w:rPr>
                <w:rFonts w:hint="eastAsia" w:ascii="仿宋" w:hAnsi="仿宋" w:eastAsia="仿宋" w:cs="仿宋"/>
                <w:color w:val="000000"/>
                <w:sz w:val="24"/>
                <w:lang w:val="en-US" w:eastAsia="zh-CN"/>
              </w:rPr>
              <w:t>1</w:t>
            </w:r>
            <w:r>
              <w:rPr>
                <w:rFonts w:hint="eastAsia" w:ascii="仿宋" w:hAnsi="仿宋" w:eastAsia="仿宋" w:cs="仿宋"/>
                <w:color w:val="000000"/>
                <w:sz w:val="24"/>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1.4</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可充电锂电池</w:t>
            </w:r>
            <w:r>
              <w:rPr>
                <w:rFonts w:hint="eastAsia" w:ascii="仿宋" w:hAnsi="仿宋" w:eastAsia="仿宋" w:cs="仿宋"/>
                <w:color w:val="000000"/>
                <w:sz w:val="24"/>
                <w:lang w:val="en-US" w:eastAsia="zh-CN"/>
              </w:rPr>
              <w:t>1</w:t>
            </w:r>
            <w:r>
              <w:rPr>
                <w:rFonts w:hint="eastAsia" w:ascii="仿宋" w:hAnsi="仿宋" w:eastAsia="仿宋" w:cs="仿宋"/>
                <w:color w:val="000000"/>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1.5</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专用台车</w:t>
            </w:r>
            <w:r>
              <w:rPr>
                <w:rFonts w:hint="eastAsia" w:ascii="仿宋" w:hAnsi="仿宋" w:eastAsia="仿宋" w:cs="仿宋"/>
                <w:color w:val="000000"/>
                <w:sz w:val="24"/>
                <w:lang w:val="en-US" w:eastAsia="zh-CN"/>
              </w:rPr>
              <w:t>1</w:t>
            </w:r>
            <w:r>
              <w:rPr>
                <w:rFonts w:hint="eastAsia" w:ascii="仿宋" w:hAnsi="仿宋" w:eastAsia="仿宋" w:cs="仿宋"/>
                <w:color w:val="00000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 w:hRule="atLeast"/>
        </w:trPr>
        <w:tc>
          <w:tcPr>
            <w:tcW w:w="1050" w:type="dxa"/>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color w:val="000000"/>
                <w:sz w:val="24"/>
              </w:rPr>
              <w:t>1.6</w:t>
            </w:r>
          </w:p>
        </w:tc>
        <w:tc>
          <w:tcPr>
            <w:tcW w:w="8175" w:type="dxa"/>
            <w:vAlign w:val="center"/>
          </w:tcPr>
          <w:p>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sz w:val="24"/>
                <w:szCs w:val="24"/>
              </w:rPr>
            </w:pPr>
            <w:r>
              <w:rPr>
                <w:rFonts w:hint="eastAsia" w:ascii="仿宋" w:hAnsi="仿宋" w:eastAsia="仿宋" w:cs="仿宋"/>
                <w:color w:val="000000"/>
                <w:sz w:val="24"/>
              </w:rPr>
              <w:t>提供实现设备正常工作且满足功能要求及技术参数所必须的其他所有附件。</w:t>
            </w:r>
          </w:p>
        </w:tc>
      </w:tr>
    </w:tbl>
    <w:p>
      <w:pPr>
        <w:keepNext w:val="0"/>
        <w:keepLines w:val="0"/>
        <w:pageBreakBefore w:val="0"/>
        <w:widowControl w:val="0"/>
        <w:kinsoku/>
        <w:wordWrap/>
        <w:overflowPunct/>
        <w:topLinePunct w:val="0"/>
        <w:autoSpaceDE/>
        <w:autoSpaceDN/>
        <w:bidi w:val="0"/>
        <w:adjustRightInd w:val="0"/>
        <w:snapToGrid/>
        <w:spacing w:line="240" w:lineRule="auto"/>
        <w:ind w:firstLine="482" w:firstLineChars="200"/>
        <w:textAlignment w:val="auto"/>
        <w:rPr>
          <w:rFonts w:hint="default" w:ascii="仿宋" w:hAnsi="仿宋" w:eastAsia="仿宋" w:cs="仿宋"/>
          <w:b/>
          <w:bCs/>
          <w:color w:val="auto"/>
          <w:sz w:val="24"/>
          <w:szCs w:val="24"/>
          <w:highlight w:val="none"/>
          <w:lang w:val="en-US" w:eastAsia="zh-CN"/>
        </w:rPr>
      </w:pPr>
    </w:p>
    <w:p>
      <w:pPr>
        <w:numPr>
          <w:ilvl w:val="0"/>
          <w:numId w:val="0"/>
        </w:numPr>
        <w:spacing w:line="46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w:t>
      </w:r>
      <w:r>
        <w:rPr>
          <w:rFonts w:hint="eastAsia" w:ascii="宋体" w:hAnsi="宋体" w:eastAsia="宋体" w:cs="宋体"/>
          <w:color w:val="auto"/>
          <w:sz w:val="24"/>
          <w:szCs w:val="24"/>
          <w:lang w:val="en-US" w:eastAsia="zh-CN"/>
        </w:rPr>
        <w:t>★</w:t>
      </w:r>
      <w:r>
        <w:rPr>
          <w:rFonts w:hint="eastAsia" w:ascii="仿宋" w:hAnsi="仿宋" w:eastAsia="仿宋" w:cs="仿宋"/>
          <w:b/>
          <w:bCs/>
          <w:color w:val="auto"/>
          <w:sz w:val="24"/>
          <w:szCs w:val="24"/>
          <w:highlight w:val="none"/>
          <w:lang w:val="en-US" w:eastAsia="zh-CN"/>
        </w:rPr>
        <w:t>商务资信要求</w:t>
      </w:r>
    </w:p>
    <w:tbl>
      <w:tblPr>
        <w:tblStyle w:val="63"/>
        <w:tblW w:w="9209" w:type="dxa"/>
        <w:jc w:val="center"/>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530"/>
        <w:gridCol w:w="7679"/>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89"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序号</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招标要求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035"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供货期限</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签订合同后，3个月内（具体日期以采购人发出的交货通知单为准）。无故延期交货，中标人赔偿由此引起的损失。</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提供的产品生产日期：在六个月以内。</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68"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供货地点</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采购人指定地点。</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30" w:hRule="atLeast"/>
          <w:jc w:val="center"/>
        </w:trPr>
        <w:tc>
          <w:tcPr>
            <w:tcW w:w="1530"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售后服务</w:t>
            </w:r>
          </w:p>
        </w:tc>
        <w:tc>
          <w:tcPr>
            <w:tcW w:w="767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highlight w:val="none"/>
                <w14:ligatures w14:val="none"/>
              </w:rPr>
              <w:t>保修期限：</w:t>
            </w:r>
            <w:r>
              <w:rPr>
                <w:rFonts w:hint="eastAsia" w:ascii="仿宋" w:hAnsi="仿宋" w:eastAsia="仿宋" w:cs="仿宋"/>
                <w:color w:val="auto"/>
                <w:sz w:val="24"/>
                <w:szCs w:val="24"/>
                <w:highlight w:val="none"/>
                <w:lang w:eastAsia="zh-CN"/>
                <w14:ligatures w14:val="none"/>
              </w:rPr>
              <w:t>自</w:t>
            </w:r>
            <w:r>
              <w:rPr>
                <w:rFonts w:hint="eastAsia" w:ascii="仿宋" w:hAnsi="仿宋" w:eastAsia="仿宋" w:cs="仿宋"/>
                <w:color w:val="auto"/>
                <w:sz w:val="24"/>
                <w:szCs w:val="24"/>
                <w:highlight w:val="none"/>
                <w14:ligatures w14:val="none"/>
              </w:rPr>
              <w:t>验收合格后整机</w:t>
            </w:r>
            <w:r>
              <w:rPr>
                <w:rFonts w:hint="eastAsia" w:ascii="仿宋" w:hAnsi="仿宋" w:eastAsia="仿宋" w:cs="仿宋"/>
                <w:color w:val="auto"/>
                <w:sz w:val="24"/>
                <w:szCs w:val="24"/>
                <w:highlight w:val="none"/>
                <w:lang w:val="en-US" w:eastAsia="zh-CN"/>
                <w14:ligatures w14:val="none"/>
              </w:rPr>
              <w:t>质</w:t>
            </w:r>
            <w:r>
              <w:rPr>
                <w:rFonts w:hint="eastAsia" w:ascii="仿宋" w:hAnsi="仿宋" w:eastAsia="仿宋" w:cs="仿宋"/>
                <w:color w:val="auto"/>
                <w:sz w:val="24"/>
                <w:szCs w:val="24"/>
                <w:highlight w:val="none"/>
                <w14:ligatures w14:val="none"/>
              </w:rPr>
              <w:t>保</w:t>
            </w:r>
            <w:r>
              <w:rPr>
                <w:rFonts w:hint="eastAsia" w:ascii="仿宋" w:hAnsi="仿宋" w:eastAsia="仿宋" w:cs="仿宋"/>
                <w:color w:val="auto"/>
                <w:sz w:val="24"/>
                <w:szCs w:val="24"/>
                <w:highlight w:val="none"/>
                <w:lang w:val="en-US" w:eastAsia="zh-CN"/>
                <w14:ligatures w14:val="none"/>
              </w:rPr>
              <w:t>4</w:t>
            </w:r>
            <w:r>
              <w:rPr>
                <w:rFonts w:hint="eastAsia" w:ascii="仿宋" w:hAnsi="仿宋" w:eastAsia="仿宋" w:cs="仿宋"/>
                <w:color w:val="auto"/>
                <w:sz w:val="24"/>
                <w:szCs w:val="24"/>
                <w:highlight w:val="none"/>
                <w14:ligatures w14:val="none"/>
              </w:rPr>
              <w:t>年</w:t>
            </w:r>
            <w:r>
              <w:rPr>
                <w:rFonts w:hint="eastAsia" w:ascii="仿宋" w:hAnsi="仿宋" w:eastAsia="仿宋" w:cs="仿宋"/>
                <w:color w:val="auto"/>
                <w:sz w:val="24"/>
                <w:szCs w:val="24"/>
                <w:highlight w:val="none"/>
                <w:lang w:eastAsia="zh-CN"/>
                <w14:ligatures w14:val="none"/>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881"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维修响应时间2小时，24小时到场维修，保修期内</w:t>
            </w:r>
            <w:r>
              <w:rPr>
                <w:rFonts w:hint="eastAsia" w:ascii="仿宋" w:hAnsi="仿宋" w:eastAsia="仿宋" w:cs="仿宋"/>
                <w:color w:val="auto"/>
                <w:sz w:val="24"/>
                <w:szCs w:val="24"/>
                <w:lang w:val="en-US" w:eastAsia="zh-CN"/>
                <w14:ligatures w14:val="none"/>
              </w:rPr>
              <w:t>维修时长大于3天以上的须提供相应的备用机，直至修复</w:t>
            </w:r>
            <w:r>
              <w:rPr>
                <w:rFonts w:hint="eastAsia" w:ascii="仿宋" w:hAnsi="仿宋" w:eastAsia="仿宋" w:cs="仿宋"/>
                <w:color w:val="auto"/>
                <w:sz w:val="24"/>
                <w:szCs w:val="24"/>
                <w14:ligatures w14:val="none"/>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配件保证：机器在安装合格之日起，保证</w:t>
            </w:r>
            <w:r>
              <w:rPr>
                <w:rFonts w:hint="eastAsia" w:ascii="仿宋" w:hAnsi="仿宋" w:eastAsia="仿宋" w:cs="仿宋"/>
                <w:color w:val="auto"/>
                <w:sz w:val="24"/>
                <w:szCs w:val="24"/>
                <w:lang w:val="en-US" w:eastAsia="zh-CN"/>
                <w14:ligatures w14:val="none"/>
              </w:rPr>
              <w:t>8</w:t>
            </w:r>
            <w:r>
              <w:rPr>
                <w:rFonts w:hint="eastAsia" w:ascii="仿宋" w:hAnsi="仿宋" w:eastAsia="仿宋" w:cs="仿宋"/>
                <w:color w:val="auto"/>
                <w:sz w:val="24"/>
                <w:szCs w:val="24"/>
                <w14:ligatures w14:val="none"/>
              </w:rPr>
              <w:t>年内全新原厂配件供应。保修期满后厂方负责终身免费维修（只收配件成本费），不收工时费、差旅费。</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653"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软件要求</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提供终身软件免费升级服务。</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903" w:hRule="atLeast"/>
          <w:jc w:val="center"/>
        </w:trPr>
        <w:tc>
          <w:tcPr>
            <w:tcW w:w="1530"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备件</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为保证设备正常运行，供应商应在中国境内方便的地点设置备件库，存入必须的备件，并保证</w:t>
            </w:r>
            <w:r>
              <w:rPr>
                <w:rFonts w:hint="eastAsia" w:ascii="仿宋" w:hAnsi="仿宋" w:eastAsia="仿宋" w:cs="仿宋"/>
                <w:color w:val="auto"/>
                <w:sz w:val="24"/>
                <w:szCs w:val="24"/>
                <w:lang w:val="en-US" w:eastAsia="zh-CN"/>
                <w14:ligatures w14:val="none"/>
              </w:rPr>
              <w:t>8</w:t>
            </w:r>
            <w:r>
              <w:rPr>
                <w:rFonts w:hint="eastAsia" w:ascii="仿宋" w:hAnsi="仿宋" w:eastAsia="仿宋" w:cs="仿宋"/>
                <w:color w:val="auto"/>
                <w:sz w:val="24"/>
                <w:szCs w:val="24"/>
                <w14:ligatures w14:val="none"/>
              </w:rPr>
              <w:t>年以上的供应期。</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24"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如有专用工具，</w:t>
            </w:r>
            <w:r>
              <w:rPr>
                <w:rFonts w:hint="eastAsia" w:ascii="仿宋" w:hAnsi="仿宋" w:eastAsia="仿宋" w:cs="仿宋"/>
                <w:color w:val="auto"/>
                <w:sz w:val="24"/>
                <w:szCs w:val="24"/>
                <w:lang w:eastAsia="zh-CN"/>
                <w14:ligatures w14:val="none"/>
              </w:rPr>
              <w:t>中标人</w:t>
            </w:r>
            <w:r>
              <w:rPr>
                <w:rFonts w:hint="eastAsia" w:ascii="仿宋" w:hAnsi="仿宋" w:eastAsia="仿宋" w:cs="仿宋"/>
                <w:color w:val="auto"/>
                <w:sz w:val="24"/>
                <w:szCs w:val="24"/>
                <w14:ligatures w14:val="none"/>
              </w:rPr>
              <w:t>应向采购人提供设备维护的专用工具。</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如有备件，</w:t>
            </w:r>
            <w:r>
              <w:rPr>
                <w:rFonts w:hint="eastAsia" w:ascii="仿宋" w:hAnsi="仿宋" w:eastAsia="仿宋" w:cs="仿宋"/>
                <w:color w:val="auto"/>
                <w:sz w:val="24"/>
                <w:szCs w:val="24"/>
                <w:lang w:eastAsia="zh-CN"/>
                <w14:ligatures w14:val="none"/>
              </w:rPr>
              <w:t>中标人</w:t>
            </w:r>
            <w:r>
              <w:rPr>
                <w:rFonts w:hint="eastAsia" w:ascii="仿宋" w:hAnsi="仿宋" w:eastAsia="仿宋" w:cs="仿宋"/>
                <w:color w:val="auto"/>
                <w:sz w:val="24"/>
                <w:szCs w:val="24"/>
                <w14:ligatures w14:val="none"/>
              </w:rPr>
              <w:t>应随机向</w:t>
            </w:r>
            <w:r>
              <w:rPr>
                <w:rFonts w:hint="eastAsia" w:ascii="仿宋" w:hAnsi="仿宋" w:eastAsia="仿宋" w:cs="仿宋"/>
                <w:color w:val="auto"/>
                <w:sz w:val="24"/>
                <w:szCs w:val="24"/>
                <w:lang w:eastAsia="zh-CN"/>
                <w14:ligatures w14:val="none"/>
              </w:rPr>
              <w:t>采购人</w:t>
            </w:r>
            <w:r>
              <w:rPr>
                <w:rFonts w:hint="eastAsia" w:ascii="仿宋" w:hAnsi="仿宋" w:eastAsia="仿宋" w:cs="仿宋"/>
                <w:color w:val="auto"/>
                <w:sz w:val="24"/>
                <w:szCs w:val="24"/>
                <w14:ligatures w14:val="none"/>
              </w:rPr>
              <w:t>提供一套标准备件包，并列出清单及单价（此单价不列入报价分）。</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2146"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培训</w:t>
            </w:r>
          </w:p>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使用培训：提供厂方书面培训计划及要求，并由使用科室对培训结果进行确认。</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维修培训：提供厂方书面培训计划（同厂方工程师内容），在厂方维修中心实施培训，并由设备科对培训结果签</w:t>
            </w:r>
            <w:r>
              <w:rPr>
                <w:rFonts w:hint="eastAsia" w:ascii="仿宋" w:hAnsi="仿宋" w:eastAsia="仿宋" w:cs="仿宋"/>
                <w:color w:val="auto"/>
                <w:sz w:val="24"/>
                <w:szCs w:val="24"/>
                <w:lang w:val="en-US" w:eastAsia="zh-CN"/>
                <w14:ligatures w14:val="none"/>
              </w:rPr>
              <w:t>字或盖章</w:t>
            </w:r>
            <w:r>
              <w:rPr>
                <w:rFonts w:hint="eastAsia" w:ascii="仿宋" w:hAnsi="仿宋" w:eastAsia="仿宋" w:cs="仿宋"/>
                <w:color w:val="auto"/>
                <w:sz w:val="24"/>
                <w:szCs w:val="24"/>
                <w14:ligatures w14:val="none"/>
              </w:rPr>
              <w:t>确认。</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中标人承担所有培训费用，并同意作为付款条件之一。</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670" w:hRule="atLeast"/>
          <w:jc w:val="center"/>
        </w:trPr>
        <w:tc>
          <w:tcPr>
            <w:tcW w:w="1530" w:type="dxa"/>
            <w:vMerge w:val="restart"/>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设备安装与验收</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提供厂方书面设备安装要求并符合条件的说明，经院方医疗设备管理部门确认后进行设备安装。</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w:t>
            </w:r>
            <w:r>
              <w:rPr>
                <w:rFonts w:hint="eastAsia" w:ascii="仿宋" w:hAnsi="仿宋" w:eastAsia="仿宋" w:cs="仿宋"/>
                <w:color w:val="auto"/>
                <w:sz w:val="24"/>
                <w:szCs w:val="24"/>
                <w:lang w:val="en-US" w:eastAsia="zh-CN"/>
                <w14:ligatures w14:val="none"/>
              </w:rPr>
              <w:t>.</w:t>
            </w:r>
            <w:r>
              <w:rPr>
                <w:rFonts w:hint="eastAsia" w:ascii="仿宋" w:hAnsi="仿宋" w:eastAsia="仿宋" w:cs="仿宋"/>
                <w:color w:val="auto"/>
                <w:sz w:val="24"/>
                <w:szCs w:val="24"/>
                <w14:ligatures w14:val="none"/>
              </w:rPr>
              <w:t>验收要求：</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（1）验收依据：</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①制造商提供的技术规格</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②合同和标书（及评标时的相关承诺）</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③国家强制标准</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④厂家注册标准；</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（2）验收时，须提供中文使用、维修手册（包括安装盘、维修密码等）</w:t>
            </w:r>
            <w:r>
              <w:rPr>
                <w:rFonts w:hint="eastAsia" w:ascii="仿宋" w:hAnsi="仿宋" w:eastAsia="仿宋" w:cs="仿宋"/>
                <w:color w:val="auto"/>
                <w:sz w:val="24"/>
                <w:szCs w:val="24"/>
                <w:lang w:eastAsia="zh-CN"/>
                <w14:ligatures w14:val="none"/>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14:ligatures w14:val="none"/>
              </w:rPr>
              <w:t>；</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（3）中标人承担所有国家要求的检测项目费用、支付专家费用等。</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（4）验收合格后，共同签署报告（如有需要行政管理部门认可的）。</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69" w:hRule="atLeast"/>
          <w:jc w:val="center"/>
        </w:trPr>
        <w:tc>
          <w:tcPr>
            <w:tcW w:w="1530" w:type="dxa"/>
            <w:vMerge w:val="continue"/>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在货物到达使用单位后，</w:t>
            </w:r>
            <w:r>
              <w:rPr>
                <w:rFonts w:hint="eastAsia" w:ascii="仿宋" w:hAnsi="仿宋" w:eastAsia="仿宋" w:cs="仿宋"/>
                <w:color w:val="auto"/>
                <w:sz w:val="24"/>
                <w:szCs w:val="24"/>
                <w:lang w:eastAsia="zh-CN"/>
                <w14:ligatures w14:val="none"/>
              </w:rPr>
              <w:t>中标人</w:t>
            </w:r>
            <w:r>
              <w:rPr>
                <w:rFonts w:hint="eastAsia" w:ascii="仿宋" w:hAnsi="仿宋" w:eastAsia="仿宋" w:cs="仿宋"/>
                <w:color w:val="auto"/>
                <w:sz w:val="24"/>
                <w:szCs w:val="24"/>
                <w14:ligatures w14:val="none"/>
              </w:rPr>
              <w:t>应在7天内派工程技术人员到达现场，在</w:t>
            </w:r>
            <w:r>
              <w:rPr>
                <w:rFonts w:hint="eastAsia" w:ascii="仿宋" w:hAnsi="仿宋" w:eastAsia="仿宋" w:cs="仿宋"/>
                <w:color w:val="auto"/>
                <w:sz w:val="24"/>
                <w:szCs w:val="24"/>
                <w:lang w:eastAsia="zh-CN"/>
                <w14:ligatures w14:val="none"/>
              </w:rPr>
              <w:t>采购人</w:t>
            </w:r>
            <w:r>
              <w:rPr>
                <w:rFonts w:hint="eastAsia" w:ascii="仿宋" w:hAnsi="仿宋" w:eastAsia="仿宋" w:cs="仿宋"/>
                <w:color w:val="auto"/>
                <w:sz w:val="24"/>
                <w:szCs w:val="24"/>
                <w14:ligatures w14:val="none"/>
              </w:rPr>
              <w:t>技术人员在场的情况下开箱清点货物，组织安装、调试、并承担因此发生的一切费用。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83"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其他</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标书中未提及的某些属标配功能、软件，必须无条件提供。</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1664" w:hRule="atLeast"/>
          <w:jc w:val="center"/>
        </w:trPr>
        <w:tc>
          <w:tcPr>
            <w:tcW w:w="1530"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center"/>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付款方式</w:t>
            </w:r>
          </w:p>
        </w:tc>
        <w:tc>
          <w:tcPr>
            <w:tcW w:w="7679" w:type="dxa"/>
            <w:vAlign w:val="center"/>
          </w:tcPr>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highlight w:val="none"/>
                <w14:ligatures w14:val="none"/>
              </w:rPr>
            </w:pPr>
            <w:r>
              <w:rPr>
                <w:rFonts w:hint="eastAsia" w:ascii="仿宋" w:hAnsi="仿宋" w:eastAsia="仿宋" w:cs="仿宋"/>
                <w:color w:val="auto"/>
                <w:sz w:val="24"/>
                <w:szCs w:val="24"/>
                <w:highlight w:val="none"/>
                <w14:ligatures w14:val="none"/>
              </w:rPr>
              <w:t>验收合格后7工作日内支付合同金额的90%；在设备正常使用满一年后30个工作日内付</w:t>
            </w:r>
            <w:r>
              <w:rPr>
                <w:rFonts w:hint="eastAsia" w:ascii="仿宋" w:hAnsi="仿宋" w:eastAsia="仿宋" w:cs="仿宋"/>
                <w:color w:val="auto"/>
                <w:sz w:val="24"/>
                <w:szCs w:val="24"/>
                <w:highlight w:val="none"/>
                <w:lang w:eastAsia="zh-CN"/>
                <w14:ligatures w14:val="none"/>
              </w:rPr>
              <w:t>清</w:t>
            </w:r>
            <w:r>
              <w:rPr>
                <w:rFonts w:hint="eastAsia" w:ascii="仿宋" w:hAnsi="仿宋" w:eastAsia="仿宋" w:cs="仿宋"/>
                <w:color w:val="auto"/>
                <w:sz w:val="24"/>
                <w:szCs w:val="24"/>
                <w:highlight w:val="none"/>
                <w14:ligatures w14:val="none"/>
              </w:rPr>
              <w:t>尾款。</w:t>
            </w:r>
          </w:p>
          <w:p>
            <w:pPr>
              <w:keepNext w:val="0"/>
              <w:keepLines w:val="0"/>
              <w:pageBreakBefore w:val="0"/>
              <w:widowControl w:val="0"/>
              <w:kinsoku/>
              <w:wordWrap/>
              <w:overflowPunct/>
              <w:topLinePunct w:val="0"/>
              <w:autoSpaceDE/>
              <w:autoSpaceDN/>
              <w:bidi w:val="0"/>
              <w:adjustRightInd w:val="0"/>
              <w:snapToGrid/>
              <w:spacing w:after="0" w:line="400" w:lineRule="exact"/>
              <w:jc w:val="both"/>
              <w:textAlignment w:val="auto"/>
              <w:rPr>
                <w:rFonts w:hint="eastAsia" w:ascii="仿宋" w:hAnsi="仿宋" w:eastAsia="仿宋" w:cs="仿宋"/>
                <w:color w:val="auto"/>
                <w:sz w:val="24"/>
                <w:szCs w:val="24"/>
                <w14:ligatures w14:val="none"/>
              </w:rPr>
            </w:pPr>
            <w:r>
              <w:rPr>
                <w:rFonts w:hint="eastAsia" w:ascii="仿宋" w:hAnsi="仿宋" w:eastAsia="仿宋" w:cs="仿宋"/>
                <w:color w:val="auto"/>
                <w:sz w:val="24"/>
                <w:szCs w:val="24"/>
                <w:highlight w:val="none"/>
                <w14:ligatures w14:val="none"/>
              </w:rPr>
              <w:t>若涉及中小企业的，付款方式根据浙财采监〔2022〕3号文件相关规定经甲乙双方协商执行。</w:t>
            </w:r>
          </w:p>
        </w:tc>
      </w:tr>
    </w:tbl>
    <w:p>
      <w:pPr>
        <w:numPr>
          <w:ilvl w:val="0"/>
          <w:numId w:val="0"/>
        </w:numPr>
        <w:spacing w:line="460" w:lineRule="exact"/>
        <w:rPr>
          <w:rFonts w:hint="default" w:ascii="仿宋" w:hAnsi="仿宋" w:eastAsia="仿宋" w:cs="仿宋"/>
          <w:b/>
          <w:bCs/>
          <w:color w:val="auto"/>
          <w:sz w:val="24"/>
          <w:szCs w:val="24"/>
          <w:highlight w:val="none"/>
          <w:lang w:val="en-US" w:eastAsia="zh-CN"/>
        </w:rPr>
      </w:pPr>
    </w:p>
    <w:bookmarkEnd w:id="36"/>
    <w:bookmarkEnd w:id="37"/>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pPr>
        <w:pStyle w:val="5"/>
        <w:rPr>
          <w:rFonts w:ascii="仿宋" w:hAnsi="仿宋" w:eastAsia="仿宋"/>
          <w:color w:val="auto"/>
          <w:highlight w:val="none"/>
        </w:rPr>
      </w:pPr>
    </w:p>
    <w:p>
      <w:pPr>
        <w:pStyle w:val="5"/>
        <w:rPr>
          <w:rFonts w:ascii="仿宋" w:hAnsi="仿宋" w:eastAsia="仿宋"/>
          <w:color w:val="auto"/>
          <w:highlight w:val="none"/>
        </w:rPr>
      </w:pP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pPr>
        <w:pStyle w:val="602"/>
        <w:spacing w:before="120" w:line="22" w:lineRule="atLeast"/>
        <w:rPr>
          <w:rFonts w:ascii="仿宋" w:hAnsi="仿宋" w:eastAsia="仿宋"/>
          <w:color w:val="auto"/>
          <w:szCs w:val="24"/>
          <w:highlight w:val="none"/>
        </w:rPr>
      </w:pPr>
    </w:p>
    <w:p>
      <w:pPr>
        <w:pStyle w:val="602"/>
        <w:spacing w:before="120" w:line="22" w:lineRule="atLeast"/>
        <w:rPr>
          <w:rFonts w:ascii="仿宋" w:hAnsi="仿宋" w:eastAsia="仿宋"/>
          <w:color w:val="auto"/>
          <w:szCs w:val="24"/>
          <w:highlight w:val="none"/>
        </w:rPr>
      </w:pPr>
    </w:p>
    <w:p>
      <w:pPr>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pPr>
        <w:spacing w:before="120" w:line="22" w:lineRule="atLeast"/>
        <w:rPr>
          <w:rFonts w:ascii="仿宋" w:hAnsi="仿宋" w:eastAsia="仿宋"/>
          <w:color w:val="auto"/>
          <w:sz w:val="24"/>
          <w:highlight w:val="none"/>
        </w:rPr>
      </w:pPr>
    </w:p>
    <w:p>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嵊州市中医院便携超声设备采购项目（</w:t>
      </w:r>
      <w:r>
        <w:rPr>
          <w:rFonts w:hint="eastAsia" w:ascii="仿宋" w:hAnsi="仿宋" w:eastAsia="仿宋" w:cs="仿宋"/>
          <w:color w:val="auto"/>
          <w:sz w:val="24"/>
          <w:szCs w:val="24"/>
          <w:highlight w:val="none"/>
          <w:u w:val="single"/>
          <w:lang w:val="en-US" w:eastAsia="zh-CN"/>
        </w:rPr>
        <w:t>编号：SXWH2024-11-28</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 乙方根据本合同的规定向甲方提供以下设备：</w:t>
      </w:r>
    </w:p>
    <w:p>
      <w:pPr>
        <w:keepNext w:val="0"/>
        <w:keepLines w:val="0"/>
        <w:pageBreakBefore w:val="0"/>
        <w:widowControl w:val="0"/>
        <w:kinsoku/>
        <w:wordWrap w:val="0"/>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货物内容及合同价格（可附配置清单）</w:t>
      </w:r>
    </w:p>
    <w:tbl>
      <w:tblPr>
        <w:tblStyle w:val="63"/>
        <w:tblW w:w="9688" w:type="dxa"/>
        <w:jc w:val="center"/>
        <w:tblInd w:w="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pPr>
        <w:keepNext w:val="0"/>
        <w:keepLines w:val="0"/>
        <w:pageBreakBefore w:val="0"/>
        <w:widowControl w:val="0"/>
        <w:kinsoku/>
        <w:wordWrap/>
        <w:overflowPunct/>
        <w:topLinePunct w:val="0"/>
        <w:autoSpaceDE/>
        <w:autoSpaceDN/>
        <w:bidi w:val="0"/>
        <w:adjustRightInd w:val="0"/>
        <w:spacing w:line="440" w:lineRule="exact"/>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pPr>
        <w:pStyle w:val="261"/>
        <w:keepNext w:val="0"/>
        <w:keepLines w:val="0"/>
        <w:pageBreakBefore w:val="0"/>
        <w:widowControl w:val="0"/>
        <w:numPr>
          <w:ilvl w:val="0"/>
          <w:numId w:val="0"/>
        </w:numPr>
        <w:kinsoku/>
        <w:wordWrap/>
        <w:overflowPunct/>
        <w:topLinePunct w:val="0"/>
        <w:autoSpaceDE/>
        <w:autoSpaceDN/>
        <w:bidi w:val="0"/>
        <w:adjustRightIn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乙方为履行本合同而发生的所有税、费均应包含在合同价中，甲方不再另行支付其它任何费用。</w:t>
      </w:r>
    </w:p>
    <w:p>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知识产权：乙方应保证所提供的货物或其任何一部分均不会侵犯任何第三方的知识产权。</w:t>
      </w:r>
    </w:p>
    <w:p>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产权担保：乙方保证所交付的货物的所有权完全属于乙方且无任何抵押、查封等产权瑕疵。</w:t>
      </w:r>
    </w:p>
    <w:p>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转包或分包：本合同范围的货物，应由乙方直接供应，不得转让他人供应，否则，甲方有权解除合同，且合按同总金额的5%作为违约金支付给甲方，如实际造成的损失超过违约金的则按实际损失赔偿。</w:t>
      </w:r>
    </w:p>
    <w:p>
      <w:pPr>
        <w:keepNext w:val="0"/>
        <w:keepLines w:val="0"/>
        <w:pageBreakBefore w:val="0"/>
        <w:widowControl w:val="0"/>
        <w:numPr>
          <w:ilvl w:val="0"/>
          <w:numId w:val="5"/>
        </w:numPr>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供货、安装及验收</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2.1乙方应于签订本合同后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个月内将设备送达甲方指定地点（</w:t>
      </w:r>
      <w:r>
        <w:rPr>
          <w:rFonts w:hint="eastAsia" w:ascii="仿宋" w:hAnsi="仿宋" w:eastAsia="仿宋" w:cs="仿宋"/>
          <w:color w:val="auto"/>
          <w:sz w:val="24"/>
          <w:szCs w:val="24"/>
          <w:highlight w:val="none"/>
          <w:lang w:val="en-US" w:eastAsia="zh-CN"/>
        </w:rPr>
        <w:t>嵊州市中医院</w:t>
      </w:r>
      <w:r>
        <w:rPr>
          <w:rFonts w:hint="eastAsia" w:ascii="仿宋" w:hAnsi="仿宋" w:eastAsia="仿宋" w:cs="仿宋"/>
          <w:color w:val="auto"/>
          <w:sz w:val="24"/>
          <w:szCs w:val="24"/>
          <w:highlight w:val="none"/>
        </w:rPr>
        <w:t>指定科室）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14:ligatures w14:val="none"/>
        </w:rPr>
        <w:t>在</w:t>
      </w:r>
      <w:r>
        <w:rPr>
          <w:rFonts w:hint="eastAsia" w:ascii="仿宋" w:hAnsi="仿宋" w:eastAsia="仿宋" w:cs="仿宋"/>
          <w:color w:val="auto"/>
          <w:sz w:val="24"/>
          <w:szCs w:val="24"/>
          <w:lang w:val="en-US" w:eastAsia="zh-CN"/>
          <w14:ligatures w14:val="none"/>
        </w:rPr>
        <w:t>送达之日</w:t>
      </w:r>
      <w:r>
        <w:rPr>
          <w:rFonts w:hint="eastAsia" w:ascii="仿宋" w:hAnsi="仿宋" w:eastAsia="仿宋" w:cs="仿宋"/>
          <w:color w:val="auto"/>
          <w:sz w:val="24"/>
          <w:szCs w:val="24"/>
          <w14:ligatures w14:val="none"/>
        </w:rPr>
        <w:t>7天内派工程技术人员</w:t>
      </w:r>
      <w:r>
        <w:rPr>
          <w:rFonts w:hint="eastAsia" w:ascii="仿宋" w:hAnsi="仿宋" w:eastAsia="仿宋" w:cs="仿宋"/>
          <w:color w:val="auto"/>
          <w:sz w:val="24"/>
          <w:szCs w:val="24"/>
          <w:highlight w:val="none"/>
        </w:rPr>
        <w:t>并安装调试完毕。每逾期1天，乙方须向甲方支付违约金200元/天。</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2.2项目及产品的质量、技术标准按招标文件规定和投标文件承诺执行</w:t>
      </w:r>
      <w:bookmarkStart w:id="40" w:name="_Hlk70773600"/>
      <w:r>
        <w:rPr>
          <w:rFonts w:hint="eastAsia" w:ascii="仿宋" w:hAnsi="仿宋" w:eastAsia="仿宋" w:cs="仿宋"/>
          <w:color w:val="auto"/>
          <w:sz w:val="24"/>
          <w:szCs w:val="24"/>
          <w:highlight w:val="none"/>
        </w:rPr>
        <w:t>(提供的产品生产日期：在六个月内)</w:t>
      </w:r>
      <w:bookmarkEnd w:id="40"/>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验收依据</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2.3.1</w:t>
      </w:r>
      <w:r>
        <w:rPr>
          <w:rFonts w:hint="eastAsia" w:ascii="仿宋" w:hAnsi="仿宋" w:eastAsia="仿宋" w:cs="仿宋"/>
          <w:color w:val="auto"/>
          <w:sz w:val="24"/>
          <w:szCs w:val="24"/>
          <w:highlight w:val="none"/>
        </w:rPr>
        <w:t>制造商提供的技术规格</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合同和标书（及评标时的相关承诺）</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国家强制标准</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厂家注册标准；</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验收时，须提供中文使用、维修手册（包括安装盘、维修密码等）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2.3.5</w:t>
      </w:r>
      <w:r>
        <w:rPr>
          <w:rFonts w:hint="eastAsia" w:ascii="仿宋" w:hAnsi="仿宋" w:eastAsia="仿宋" w:cs="仿宋"/>
          <w:color w:val="auto"/>
          <w:sz w:val="24"/>
          <w:szCs w:val="24"/>
          <w:highlight w:val="none"/>
        </w:rPr>
        <w:t>验收合格后，共同签署报告（如有需要行政管理部门认可的）。</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验收标准：应与产品原始样本技术数据及标书技术文件一致，符合国家有关技术规范和技术标准并通过第三方检测，验收相关费用由乙方承担。</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设备安装完毕后，甲方收到乙方的验收申请后七个工作日内组织验收。验收以国家行业标准为基础，并结合本次招标文件和正式合同。如不符合要求，一律退货，并由乙方承担自逾期之日起每天200元违约金至货物送达指定地点且安装调试完毕日止。提供销售本产品的授权书等的相关资质证明材料并加盖公章。进口产品验收时须提供报关单等相关证明。</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  售后服务</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3.1验收合格之日起计算，质保期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年（按投标文件承诺的质保期执行，提供质保的单位需要原厂或有原厂授权的单位。）。</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在质保期内，乙方免费保修或维护。免费是指免材料费、人工费等与上门保修服务有关的一切费用。如出现故障，乙方（绍兴地区）在接到电话后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小时内，乙方（其他地区）在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小时内到达用户单位。保修期内</w:t>
      </w:r>
      <w:r>
        <w:rPr>
          <w:rFonts w:hint="eastAsia" w:ascii="仿宋" w:hAnsi="仿宋" w:eastAsia="仿宋" w:cs="仿宋"/>
          <w:color w:val="auto"/>
          <w:sz w:val="24"/>
          <w:szCs w:val="24"/>
          <w:highlight w:val="none"/>
          <w:lang w:val="en-US" w:eastAsia="zh-CN"/>
        </w:rPr>
        <w:t>维修时长大于3天以上的须提供相应的备用机，直至修复。</w:t>
      </w:r>
      <w:r>
        <w:rPr>
          <w:rFonts w:hint="eastAsia" w:ascii="仿宋" w:hAnsi="仿宋" w:eastAsia="仿宋" w:cs="仿宋"/>
          <w:color w:val="auto"/>
          <w:sz w:val="24"/>
          <w:szCs w:val="24"/>
          <w:highlight w:val="none"/>
        </w:rPr>
        <w:t>若不能提供备机的视为违约，按本合同的第五条违约责任处理。</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配件保证：机器在安装合格之日起，保证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年内全新原厂配件供应。保修期满后厂方负责终身免费维修（只收配件成本费），不收工时费、差旅费。</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3.3备品备件供应：</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为保证设备正常运行，供应商应在中国境内方便的地点设置备件库，存入必须的备件，并保证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年以上的供应期。</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如有专用工具，</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提供设备维护的专用工具。</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3.3.3乙方应按照甲方要求在投标时承诺提供</w:t>
      </w:r>
      <w:r>
        <w:rPr>
          <w:rFonts w:hint="eastAsia" w:ascii="仿宋" w:hAnsi="仿宋" w:eastAsia="仿宋" w:cs="仿宋"/>
          <w:color w:val="auto"/>
          <w:sz w:val="24"/>
          <w:szCs w:val="24"/>
          <w:highlight w:val="none"/>
          <w:lang w:val="en-US" w:eastAsia="zh-CN"/>
        </w:rPr>
        <w:t>医疗器械注册证、</w:t>
      </w:r>
      <w:r>
        <w:rPr>
          <w:rFonts w:hint="eastAsia" w:ascii="仿宋" w:hAnsi="仿宋" w:eastAsia="仿宋" w:cs="仿宋"/>
          <w:color w:val="auto"/>
          <w:sz w:val="24"/>
          <w:szCs w:val="24"/>
          <w:highlight w:val="none"/>
        </w:rPr>
        <w:t>常用备件、附件和易损件，并明确承诺优惠供货价格。</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3.4培训</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1使用培训：提供厂方书面培训计划及要求，并由使用科室对培训结果进行确认。</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2维修培训：提供厂方书面培训计划，在厂方维修中心实施培训，并由</w:t>
      </w:r>
      <w:r>
        <w:rPr>
          <w:rFonts w:hint="eastAsia" w:ascii="仿宋" w:hAnsi="仿宋" w:eastAsia="仿宋" w:cs="仿宋"/>
          <w:color w:val="auto"/>
          <w:sz w:val="24"/>
          <w:szCs w:val="24"/>
          <w:highlight w:val="none"/>
          <w:lang w:val="en-US" w:eastAsia="zh-CN"/>
        </w:rPr>
        <w:t>医疗设备管理部门</w:t>
      </w:r>
      <w:r>
        <w:rPr>
          <w:rFonts w:hint="eastAsia" w:ascii="仿宋" w:hAnsi="仿宋" w:eastAsia="仿宋" w:cs="仿宋"/>
          <w:color w:val="auto"/>
          <w:sz w:val="24"/>
          <w:szCs w:val="24"/>
          <w:highlight w:val="none"/>
        </w:rPr>
        <w:t>对培训结果签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确认。</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承担所有培训费用，并同意作为付款条件之一。</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标书中未提及的某些属标配功能、软件，必须无条件提供。</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3.6提供终身软件免费升级服务。</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其他售后服务标准按照乙方投标承诺的服务计划实施。</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 付款方法</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4.1验收合格后7工作日内支付合同金额的90%；在设备正常使用满一年后30个工作日内付</w:t>
      </w:r>
      <w:r>
        <w:rPr>
          <w:rFonts w:hint="eastAsia" w:ascii="仿宋" w:hAnsi="仿宋" w:eastAsia="仿宋" w:cs="仿宋"/>
          <w:color w:val="auto"/>
          <w:sz w:val="24"/>
          <w:szCs w:val="24"/>
          <w:highlight w:val="none"/>
          <w:lang w:eastAsia="zh-CN"/>
        </w:rPr>
        <w:t>清</w:t>
      </w:r>
      <w:r>
        <w:rPr>
          <w:rFonts w:hint="eastAsia" w:ascii="仿宋" w:hAnsi="仿宋" w:eastAsia="仿宋" w:cs="仿宋"/>
          <w:color w:val="auto"/>
          <w:sz w:val="24"/>
          <w:szCs w:val="24"/>
          <w:highlight w:val="none"/>
        </w:rPr>
        <w:t>尾款。若涉及中小企业的，付款方式根据浙财采监〔2022〕3号文件相关规定经甲乙双方协商执行。</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4.2甲方付款前，乙方应向甲方提交符合甲方财务要求的</w:t>
      </w:r>
      <w:r>
        <w:rPr>
          <w:rFonts w:hint="eastAsia" w:ascii="仿宋" w:hAnsi="仿宋" w:eastAsia="仿宋" w:cs="仿宋"/>
          <w:color w:val="auto"/>
          <w:sz w:val="24"/>
          <w:szCs w:val="24"/>
          <w:highlight w:val="none"/>
          <w:lang w:val="en-US" w:eastAsia="zh-CN"/>
        </w:rPr>
        <w:t>合规</w:t>
      </w:r>
      <w:r>
        <w:rPr>
          <w:rFonts w:hint="eastAsia" w:ascii="仿宋" w:hAnsi="仿宋" w:eastAsia="仿宋" w:cs="仿宋"/>
          <w:color w:val="auto"/>
          <w:sz w:val="24"/>
          <w:szCs w:val="24"/>
          <w:highlight w:val="none"/>
        </w:rPr>
        <w:t>发票，否则甲方有权拒绝付款，且不视为违约。</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第五条  违约责任</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乙方在合同期间有未能达到甲方的招标文件所明示的采购要求之行为的，甲方即有权单方解除本合同，乙方应向甲方退还已支付款项（如有）并还应支付合同总价30%的违约金给甲方，如违约金不足以抵付甲方造成的经济损失，乙方还应另行作出相应赔偿。</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第六条 合同相关文件</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有关本次采购项目的采购文件以及相关的函件如答疑函、承诺函等均为本合同不可分割的一部份。</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第七条  争议解决</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第八条 免责条款</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第九条 协议生效</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本协议及所含附件自双方签字或盖章之日即生效。</w:t>
      </w:r>
    </w:p>
    <w:p>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第十条 廉洁条款</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1甲方应当严格执行医药产品购销合同验收、入库制度，对采购医药产品及发票进行查验，不得违反有关规定合同外采购、违价采购或从非规定渠道采购。</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2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3严禁甲方工作人员利用任何途径和方式，为乙方统计医师个人及临床科室有关医药产品用量信息，或为乙方统计提供便利。</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4乙方不得以回扣、宴请等方式影响甲方工作人员采购或使用医药产品的选择权，不得在学术活动中提供旅游、超标准支付食宿费用。</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5乙方指定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6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十一、附  则</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rPr>
        <w:t>协议正本条款受国家《民法典》的保护。</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未经甲乙双方书面确认，任何一方不得自行变更或修改本协议。</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pPr>
        <w:rPr>
          <w:rFonts w:hint="eastAsia" w:ascii="仿宋" w:hAnsi="仿宋" w:eastAsia="仿宋" w:cs="仿宋"/>
          <w:color w:val="auto"/>
          <w:sz w:val="24"/>
          <w:szCs w:val="24"/>
        </w:rPr>
      </w:pPr>
    </w:p>
    <w:p>
      <w:pPr>
        <w:pStyle w:val="62"/>
        <w:rPr>
          <w:rFonts w:hint="eastAsia"/>
          <w:color w:val="auto"/>
        </w:rPr>
      </w:pPr>
    </w:p>
    <w:tbl>
      <w:tblPr>
        <w:tblStyle w:val="64"/>
        <w:tblW w:w="891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4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pStyle w:val="34"/>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eastAsia="zh-CN"/>
              </w:rPr>
            </w:pPr>
            <w:r>
              <w:rPr>
                <w:rFonts w:hint="eastAsia" w:ascii="仿宋" w:hAnsi="仿宋" w:eastAsia="仿宋" w:cs="仿宋"/>
                <w:color w:val="auto"/>
                <w:sz w:val="24"/>
                <w:szCs w:val="24"/>
              </w:rPr>
              <w:t xml:space="preserve">甲方（盖章）： </w:t>
            </w:r>
            <w:r>
              <w:rPr>
                <w:rFonts w:hint="eastAsia" w:ascii="仿宋" w:hAnsi="仿宋" w:eastAsia="仿宋" w:cs="仿宋"/>
                <w:color w:val="auto"/>
                <w:sz w:val="24"/>
                <w:szCs w:val="24"/>
                <w:lang w:eastAsia="zh-CN"/>
              </w:rPr>
              <w:t>嵊州市中医院</w:t>
            </w:r>
          </w:p>
        </w:tc>
        <w:tc>
          <w:tcPr>
            <w:tcW w:w="4407" w:type="dxa"/>
            <w:tcBorders>
              <w:top w:val="nil"/>
              <w:left w:val="nil"/>
              <w:bottom w:val="nil"/>
              <w:right w:val="nil"/>
            </w:tcBorders>
            <w:vAlign w:val="center"/>
          </w:tcPr>
          <w:p>
            <w:pPr>
              <w:pStyle w:val="34"/>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乙方（盖章）：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 xml:space="preserve">法定代表人或受委托人（签字）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 xml:space="preserve">法定代表人或受委托人（签字）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lang w:eastAsia="zh-CN"/>
              </w:rPr>
              <w:t>嵊州市医院路208号</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邮编：</w:t>
            </w:r>
            <w:r>
              <w:rPr>
                <w:rFonts w:hint="eastAsia" w:ascii="仿宋" w:hAnsi="仿宋" w:eastAsia="仿宋" w:cs="仿宋"/>
                <w:color w:val="auto"/>
                <w:sz w:val="24"/>
                <w:szCs w:val="24"/>
                <w:lang w:val="en-US" w:eastAsia="zh-CN"/>
              </w:rPr>
              <w:t>312400</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电话：</w:t>
            </w:r>
            <w:r>
              <w:rPr>
                <w:rFonts w:hint="eastAsia" w:ascii="仿宋" w:hAnsi="仿宋" w:eastAsia="仿宋" w:cs="仿宋"/>
                <w:color w:val="auto"/>
                <w:sz w:val="24"/>
                <w:szCs w:val="24"/>
                <w:lang w:val="en-US" w:eastAsia="zh-CN"/>
              </w:rPr>
              <w:t>0575-83275209</w:t>
            </w: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503"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lang w:val="en-US" w:eastAsia="zh-CN"/>
              </w:rPr>
            </w:pPr>
          </w:p>
        </w:tc>
        <w:tc>
          <w:tcPr>
            <w:tcW w:w="4407" w:type="dxa"/>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eastAsia="zh-CN"/>
              </w:rPr>
              <w:t>账</w:t>
            </w:r>
            <w:r>
              <w:rPr>
                <w:rFonts w:hint="eastAsia" w:ascii="仿宋" w:hAnsi="仿宋" w:eastAsia="仿宋" w:cs="仿宋"/>
                <w:color w:val="auto"/>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910" w:type="dxa"/>
            <w:gridSpan w:val="2"/>
            <w:tcBorders>
              <w:top w:val="nil"/>
              <w:left w:val="nil"/>
              <w:bottom w:val="nil"/>
              <w:right w:val="nil"/>
            </w:tcBorders>
            <w:vAlign w:val="center"/>
          </w:tcPr>
          <w:p>
            <w:pPr>
              <w:keepNext w:val="0"/>
              <w:keepLines w:val="0"/>
              <w:pageBreakBefore w:val="0"/>
              <w:widowControl w:val="0"/>
              <w:kinsoku/>
              <w:wordWrap/>
              <w:overflowPunct/>
              <w:topLinePunct w:val="0"/>
              <w:bidi w:val="0"/>
              <w:adjustRightInd w:val="0"/>
              <w:snapToGrid w:val="0"/>
              <w:spacing w:line="360" w:lineRule="auto"/>
              <w:ind w:left="0" w:leftChars="0" w:firstLine="3360" w:firstLineChars="1400"/>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rPr>
              <w:t>合同签订地点：</w:t>
            </w:r>
            <w:r>
              <w:rPr>
                <w:rFonts w:hint="eastAsia" w:ascii="仿宋" w:hAnsi="仿宋" w:eastAsia="仿宋" w:cs="仿宋"/>
                <w:color w:val="auto"/>
                <w:sz w:val="24"/>
                <w:szCs w:val="24"/>
                <w:lang w:eastAsia="zh-CN"/>
              </w:rPr>
              <w:t>嵊州市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8910" w:type="dxa"/>
            <w:gridSpan w:val="2"/>
            <w:tcBorders>
              <w:top w:val="nil"/>
              <w:left w:val="nil"/>
              <w:bottom w:val="nil"/>
              <w:right w:val="nil"/>
            </w:tcBorders>
            <w:vAlign w:val="center"/>
          </w:tcPr>
          <w:p>
            <w:pPr>
              <w:pStyle w:val="34"/>
              <w:keepNext w:val="0"/>
              <w:keepLines w:val="0"/>
              <w:pageBreakBefore w:val="0"/>
              <w:widowControl w:val="0"/>
              <w:kinsoku/>
              <w:wordWrap/>
              <w:overflowPunct/>
              <w:topLinePunct w:val="0"/>
              <w:bidi w:val="0"/>
              <w:adjustRightInd w:val="0"/>
              <w:snapToGrid w:val="0"/>
              <w:spacing w:before="0" w:line="360" w:lineRule="auto"/>
              <w:ind w:firstLine="4560" w:firstLineChars="1900"/>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2025年  月   日</w:t>
            </w:r>
          </w:p>
        </w:tc>
      </w:tr>
    </w:tbl>
    <w:p>
      <w:pPr>
        <w:spacing w:line="48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pPr>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br w:type="page"/>
      </w:r>
    </w:p>
    <w:p>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28"/>
          <w:szCs w:val="28"/>
          <w:highlight w:val="none"/>
        </w:rPr>
        <w:t>配置清单（填写独立设备或增配部件，而非装箱单）</w:t>
      </w:r>
    </w:p>
    <w:tbl>
      <w:tblPr>
        <w:tblStyle w:val="64"/>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9"/>
        <w:gridCol w:w="2268"/>
        <w:gridCol w:w="1559"/>
        <w:gridCol w:w="851"/>
        <w:gridCol w:w="1276"/>
        <w:gridCol w:w="31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3549"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2268"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559"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851"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6"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3118"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w:t>
            </w:r>
          </w:p>
        </w:tc>
        <w:tc>
          <w:tcPr>
            <w:tcW w:w="1559" w:type="dxa"/>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3549" w:type="dxa"/>
          </w:tcPr>
          <w:p>
            <w:pPr>
              <w:jc w:val="left"/>
              <w:rPr>
                <w:rFonts w:hint="eastAsia" w:ascii="仿宋" w:hAnsi="仿宋" w:eastAsia="仿宋" w:cs="仿宋"/>
                <w:color w:val="auto"/>
                <w:sz w:val="24"/>
                <w:szCs w:val="24"/>
                <w:highlight w:val="none"/>
              </w:rPr>
            </w:pPr>
          </w:p>
        </w:tc>
        <w:tc>
          <w:tcPr>
            <w:tcW w:w="226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c>
          <w:tcPr>
            <w:tcW w:w="851" w:type="dxa"/>
          </w:tcPr>
          <w:p>
            <w:pPr>
              <w:jc w:val="left"/>
              <w:rPr>
                <w:rFonts w:hint="eastAsia" w:ascii="仿宋" w:hAnsi="仿宋" w:eastAsia="仿宋" w:cs="仿宋"/>
                <w:color w:val="auto"/>
                <w:sz w:val="24"/>
                <w:szCs w:val="24"/>
                <w:highlight w:val="none"/>
              </w:rPr>
            </w:pPr>
          </w:p>
        </w:tc>
        <w:tc>
          <w:tcPr>
            <w:tcW w:w="1276" w:type="dxa"/>
          </w:tcPr>
          <w:p>
            <w:pPr>
              <w:jc w:val="left"/>
              <w:rPr>
                <w:rFonts w:hint="eastAsia" w:ascii="仿宋" w:hAnsi="仿宋" w:eastAsia="仿宋" w:cs="仿宋"/>
                <w:color w:val="auto"/>
                <w:sz w:val="24"/>
                <w:szCs w:val="24"/>
                <w:highlight w:val="none"/>
              </w:rPr>
            </w:pPr>
          </w:p>
        </w:tc>
        <w:tc>
          <w:tcPr>
            <w:tcW w:w="3118" w:type="dxa"/>
          </w:tcPr>
          <w:p>
            <w:pPr>
              <w:jc w:val="left"/>
              <w:rPr>
                <w:rFonts w:hint="eastAsia" w:ascii="仿宋" w:hAnsi="仿宋" w:eastAsia="仿宋" w:cs="仿宋"/>
                <w:color w:val="auto"/>
                <w:sz w:val="24"/>
                <w:szCs w:val="24"/>
                <w:highlight w:val="none"/>
              </w:rPr>
            </w:pPr>
          </w:p>
        </w:tc>
        <w:tc>
          <w:tcPr>
            <w:tcW w:w="1559" w:type="dxa"/>
          </w:tcPr>
          <w:p>
            <w:pPr>
              <w:jc w:val="left"/>
              <w:rPr>
                <w:rFonts w:hint="eastAsia" w:ascii="仿宋" w:hAnsi="仿宋" w:eastAsia="仿宋" w:cs="仿宋"/>
                <w:color w:val="auto"/>
                <w:sz w:val="24"/>
                <w:szCs w:val="24"/>
                <w:highlight w:val="none"/>
              </w:rPr>
            </w:pPr>
          </w:p>
        </w:tc>
      </w:tr>
    </w:tbl>
    <w:p>
      <w:pPr>
        <w:pStyle w:val="2"/>
        <w:rPr>
          <w:rFonts w:hint="eastAsia"/>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3"/>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12"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提供自2022年1月1日以来同类产品成功业绩，每个业绩得1分，最高得3分（须提供相应的销售合同扫描件并加盖CA签章）。</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967"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招标文件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34</w:t>
            </w:r>
            <w:r>
              <w:rPr>
                <w:rFonts w:hint="eastAsia" w:ascii="仿宋" w:hAnsi="仿宋" w:eastAsia="仿宋" w:cs="仿宋"/>
                <w:color w:val="auto"/>
                <w:sz w:val="24"/>
                <w:szCs w:val="24"/>
              </w:rPr>
              <w:t>分。</w:t>
            </w:r>
            <w:r>
              <w:rPr>
                <w:rFonts w:hint="eastAsia" w:ascii="仿宋" w:hAnsi="仿宋" w:eastAsia="仿宋" w:cs="仿宋"/>
                <w:b/>
                <w:color w:val="auto"/>
                <w:sz w:val="24"/>
                <w:szCs w:val="24"/>
              </w:rPr>
              <w:t>打“</w:t>
            </w:r>
            <w:r>
              <w:rPr>
                <w:rFonts w:hint="eastAsia" w:ascii="仿宋" w:hAnsi="仿宋" w:eastAsia="仿宋" w:cs="仿宋"/>
                <w:color w:val="auto"/>
                <w:sz w:val="24"/>
                <w:szCs w:val="24"/>
              </w:rPr>
              <w:t>★</w:t>
            </w:r>
            <w:r>
              <w:rPr>
                <w:rFonts w:hint="eastAsia" w:ascii="仿宋" w:hAnsi="仿宋" w:eastAsia="仿宋" w:cs="仿宋"/>
                <w:b/>
                <w:color w:val="auto"/>
                <w:sz w:val="24"/>
                <w:szCs w:val="24"/>
              </w:rPr>
              <w:t>”的</w:t>
            </w:r>
            <w:r>
              <w:rPr>
                <w:rFonts w:hint="eastAsia" w:ascii="仿宋" w:hAnsi="仿宋" w:eastAsia="仿宋" w:cs="仿宋"/>
                <w:b/>
                <w:color w:val="auto"/>
                <w:sz w:val="24"/>
                <w:szCs w:val="24"/>
                <w:lang w:val="en-US" w:eastAsia="zh-CN"/>
              </w:rPr>
              <w:t>技术指标每</w:t>
            </w:r>
            <w:r>
              <w:rPr>
                <w:rFonts w:hint="eastAsia" w:ascii="仿宋" w:hAnsi="仿宋" w:eastAsia="仿宋" w:cs="仿宋"/>
                <w:b/>
                <w:color w:val="auto"/>
                <w:sz w:val="24"/>
                <w:szCs w:val="24"/>
              </w:rPr>
              <w:t>有一项</w:t>
            </w:r>
            <w:r>
              <w:rPr>
                <w:rFonts w:hint="eastAsia" w:ascii="仿宋" w:hAnsi="仿宋" w:eastAsia="仿宋" w:cs="仿宋"/>
                <w:b/>
                <w:color w:val="auto"/>
                <w:sz w:val="24"/>
                <w:szCs w:val="24"/>
                <w:lang w:val="en-US" w:eastAsia="zh-CN"/>
              </w:rPr>
              <w:t>负偏离</w:t>
            </w:r>
            <w:r>
              <w:rPr>
                <w:rFonts w:hint="eastAsia" w:ascii="仿宋" w:hAnsi="仿宋" w:eastAsia="仿宋" w:cs="仿宋"/>
                <w:b/>
                <w:color w:val="auto"/>
                <w:sz w:val="24"/>
                <w:szCs w:val="24"/>
              </w:rPr>
              <w:t>的作无效标处理</w:t>
            </w:r>
            <w:r>
              <w:rPr>
                <w:rFonts w:hint="eastAsia" w:ascii="仿宋" w:hAnsi="仿宋" w:eastAsia="仿宋" w:cs="仿宋"/>
                <w:b/>
                <w:color w:val="auto"/>
                <w:sz w:val="24"/>
                <w:szCs w:val="24"/>
                <w:lang w:eastAsia="zh-CN"/>
              </w:rPr>
              <w:t>，</w:t>
            </w:r>
            <w:r>
              <w:rPr>
                <w:rFonts w:hint="eastAsia" w:ascii="仿宋" w:hAnsi="仿宋" w:eastAsia="仿宋" w:cs="仿宋"/>
                <w:color w:val="auto"/>
                <w:sz w:val="24"/>
                <w:szCs w:val="24"/>
              </w:rPr>
              <w:t>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所有技术指标须根据招标文件技术指标要求提供相关佐证材料（如检测报告、官网截图、产品彩页、原厂技术说明等）扫描件并加盖CA签章</w:t>
            </w:r>
            <w:r>
              <w:rPr>
                <w:rFonts w:hint="eastAsia" w:ascii="仿宋" w:hAnsi="仿宋" w:eastAsia="仿宋" w:cs="仿宋"/>
                <w:b w:val="0"/>
                <w:bCs w:val="0"/>
                <w:color w:val="auto"/>
                <w:kern w:val="0"/>
                <w:sz w:val="24"/>
                <w:szCs w:val="24"/>
                <w:highlight w:val="none"/>
                <w:lang w:bidi="ar"/>
              </w:rPr>
              <w:t>。</w:t>
            </w:r>
            <w:r>
              <w:rPr>
                <w:rFonts w:hint="eastAsia" w:ascii="仿宋" w:hAnsi="仿宋" w:eastAsia="仿宋" w:cs="仿宋"/>
                <w:b w:val="0"/>
                <w:bCs w:val="0"/>
                <w:color w:val="auto"/>
                <w:kern w:val="0"/>
                <w:sz w:val="24"/>
                <w:szCs w:val="24"/>
                <w:highlight w:val="none"/>
                <w:lang w:eastAsia="zh-CN" w:bidi="ar"/>
              </w:rPr>
              <w:t>）</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522"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666"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523"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Style w:val="967"/>
                <w:rFonts w:hint="eastAsia" w:ascii="仿宋" w:hAnsi="仿宋" w:eastAsia="仿宋" w:cs="仿宋"/>
                <w:color w:val="auto"/>
                <w:sz w:val="24"/>
                <w:szCs w:val="24"/>
                <w:lang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906" w:hRule="atLeast"/>
        </w:trPr>
        <w:tc>
          <w:tcPr>
            <w:tcW w:w="6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585"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870"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（满分5分，评分范围5，4.5，4，3.5，3，2.5，2，1.5，1，0.5，0）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273" w:hRule="atLeast"/>
        </w:trPr>
        <w:tc>
          <w:tcPr>
            <w:tcW w:w="6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（包含但不限于服务方式、服务响应时间、技术支持、备品备件提供）</w:t>
            </w:r>
            <w:r>
              <w:rPr>
                <w:rFonts w:hint="eastAsia" w:ascii="仿宋" w:hAnsi="仿宋" w:eastAsia="仿宋" w:cs="仿宋"/>
                <w:color w:val="auto"/>
                <w:kern w:val="0"/>
                <w:sz w:val="24"/>
                <w:szCs w:val="24"/>
                <w:highlight w:val="none"/>
                <w:lang w:val="en-US" w:eastAsia="zh-CN"/>
              </w:rPr>
              <w:t>进行综合评分。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（满分4分，评分范围4，3.5，3，2.5，2，1.5，1，0.5，0）</w:t>
            </w:r>
          </w:p>
        </w:tc>
        <w:tc>
          <w:tcPr>
            <w:tcW w:w="75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bl>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.2其他投标人的价格分统一按照下列公式计算：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lang w:val="en-US" w:eastAsia="zh-CN"/>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bookmarkStart w:id="47" w:name="_GoBack"/>
      <w:bookmarkEnd w:id="47"/>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lang w:val="en-US" w:eastAsia="zh-CN"/>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pPr>
        <w:pStyle w:val="907"/>
        <w:numPr>
          <w:ilvl w:val="0"/>
          <w:numId w:val="6"/>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pPr>
        <w:pStyle w:val="25"/>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3"/>
        <w:tblW w:w="9461" w:type="dxa"/>
        <w:jc w:val="center"/>
        <w:tblInd w:w="0" w:type="dxa"/>
        <w:tblLayout w:type="fixed"/>
        <w:tblCellMar>
          <w:top w:w="0" w:type="dxa"/>
          <w:left w:w="0" w:type="dxa"/>
          <w:bottom w:w="0" w:type="dxa"/>
          <w:right w:w="0" w:type="dxa"/>
        </w:tblCellMar>
      </w:tblPr>
      <w:tblGrid>
        <w:gridCol w:w="775"/>
        <w:gridCol w:w="1861"/>
        <w:gridCol w:w="4864"/>
        <w:gridCol w:w="1062"/>
        <w:gridCol w:w="899"/>
      </w:tblGrid>
      <w:tr>
        <w:tblPrEx>
          <w:tblLayout w:type="fixed"/>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tblPrEx>
          <w:tblLayout w:type="fixed"/>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widowControl/>
        <w:numPr>
          <w:ilvl w:val="0"/>
          <w:numId w:val="0"/>
        </w:numPr>
        <w:spacing w:line="360" w:lineRule="auto"/>
        <w:jc w:val="both"/>
        <w:rPr>
          <w:rFonts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both"/>
        <w:rPr>
          <w:rFonts w:hint="eastAsia" w:ascii="仿宋" w:hAnsi="仿宋" w:eastAsia="仿宋" w:cs="仿宋"/>
          <w:b/>
          <w:color w:val="auto"/>
          <w:sz w:val="30"/>
          <w:szCs w:val="30"/>
        </w:rPr>
      </w:pPr>
    </w:p>
    <w:p>
      <w:pPr>
        <w:widowControl/>
        <w:numPr>
          <w:ilvl w:val="0"/>
          <w:numId w:val="0"/>
        </w:num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lang w:val="en-US" w:eastAsia="zh-CN"/>
        </w:rPr>
        <w:t>三、</w:t>
      </w:r>
      <w:r>
        <w:rPr>
          <w:rFonts w:hint="eastAsia" w:ascii="仿宋" w:hAnsi="仿宋" w:eastAsia="仿宋" w:cs="仿宋"/>
          <w:b/>
          <w:color w:val="auto"/>
          <w:sz w:val="30"/>
          <w:szCs w:val="30"/>
        </w:rPr>
        <w:t>营业执照扫描件</w:t>
      </w:r>
      <w:r>
        <w:rPr>
          <w:rFonts w:hint="eastAsia" w:ascii="仿宋" w:hAnsi="仿宋" w:eastAsia="仿宋" w:cs="仿宋"/>
          <w:b/>
          <w:color w:val="auto"/>
          <w:sz w:val="30"/>
          <w:szCs w:val="30"/>
        </w:rPr>
        <w:br w:type="textWrapping"/>
      </w:r>
      <w:r>
        <w:rPr>
          <w:rFonts w:hint="eastAsia" w:ascii="仿宋" w:hAnsi="仿宋" w:eastAsia="仿宋" w:cs="仿宋"/>
          <w:b/>
          <w:color w:val="auto"/>
          <w:sz w:val="30"/>
          <w:szCs w:val="30"/>
        </w:rPr>
        <w:br w:type="textWrapping"/>
      </w:r>
    </w:p>
    <w:p>
      <w:pPr>
        <w:widowControl/>
        <w:spacing w:line="360" w:lineRule="auto"/>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五、分包意向协议（如果有）</w:t>
      </w:r>
    </w:p>
    <w:p>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)；采购人不同意分包或者投标人中标后不以分包方式履行合同的，则不需要提供。]</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pStyle w:val="6"/>
        <w:jc w:val="center"/>
        <w:rPr>
          <w:rFonts w:hint="eastAsia" w:ascii="仿宋" w:hAnsi="仿宋" w:eastAsia="仿宋" w:cs="仿宋"/>
          <w:b/>
          <w:bCs/>
          <w:color w:val="auto"/>
          <w:sz w:val="24"/>
          <w:szCs w:val="24"/>
          <w:highlight w:val="none"/>
          <w:lang w:val="en-US" w:eastAsia="zh-CN"/>
        </w:rPr>
      </w:pPr>
    </w:p>
    <w:p>
      <w:pPr>
        <w:pStyle w:val="6"/>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3"/>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w:t>
      </w:r>
      <w:r>
        <w:rPr>
          <w:rFonts w:hint="eastAsia" w:ascii="仿宋" w:hAnsi="仿宋" w:eastAsia="仿宋" w:cs="仿宋"/>
          <w:color w:val="auto"/>
          <w:sz w:val="24"/>
          <w:szCs w:val="24"/>
          <w:highlight w:val="none"/>
          <w:lang w:eastAsia="zh-CN"/>
        </w:rPr>
        <w:t>技术</w:t>
      </w:r>
      <w:r>
        <w:rPr>
          <w:rFonts w:hint="eastAsia" w:ascii="仿宋" w:hAnsi="仿宋" w:eastAsia="仿宋" w:cs="仿宋"/>
          <w:color w:val="auto"/>
          <w:sz w:val="24"/>
          <w:szCs w:val="24"/>
          <w:highlight w:val="none"/>
        </w:rPr>
        <w:t>要求相比较且一一对应真实逐条填列。</w:t>
      </w:r>
    </w:p>
    <w:p>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pStyle w:val="83"/>
        <w:jc w:val="center"/>
        <w:rPr>
          <w:rFonts w:hint="eastAsia" w:ascii="仿宋" w:hAnsi="仿宋" w:eastAsia="仿宋" w:cs="仿宋"/>
          <w:b/>
          <w:bCs/>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3"/>
        <w:tblW w:w="95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32"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合同</w:t>
            </w:r>
            <w:r>
              <w:rPr>
                <w:rFonts w:hint="eastAsia" w:ascii="仿宋" w:hAnsi="仿宋" w:eastAsia="仿宋" w:cs="仿宋"/>
                <w:b/>
                <w:color w:val="auto"/>
                <w:sz w:val="24"/>
                <w:szCs w:val="24"/>
              </w:rPr>
              <w:t>时间</w:t>
            </w:r>
          </w:p>
        </w:tc>
        <w:tc>
          <w:tcPr>
            <w:tcW w:w="1390"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项目名称 </w:t>
            </w:r>
          </w:p>
        </w:tc>
        <w:tc>
          <w:tcPr>
            <w:tcW w:w="966"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金额</w:t>
            </w:r>
          </w:p>
        </w:tc>
        <w:tc>
          <w:tcPr>
            <w:tcW w:w="1242"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实施情况</w:t>
            </w:r>
          </w:p>
        </w:tc>
        <w:tc>
          <w:tcPr>
            <w:tcW w:w="1229"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采购方单位名称</w:t>
            </w:r>
          </w:p>
        </w:tc>
        <w:tc>
          <w:tcPr>
            <w:tcW w:w="1428" w:type="dxa"/>
            <w:noWrap w:val="0"/>
            <w:vAlign w:val="center"/>
          </w:tcPr>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联系人姓名</w:t>
            </w:r>
          </w:p>
          <w:p>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联系方式</w:t>
            </w:r>
          </w:p>
        </w:tc>
        <w:tc>
          <w:tcPr>
            <w:tcW w:w="1248" w:type="dxa"/>
            <w:noWrap w:val="0"/>
            <w:vAlign w:val="center"/>
          </w:tcPr>
          <w:p>
            <w:pPr>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810" w:type="dxa"/>
            <w:noWrap w:val="0"/>
            <w:vAlign w:val="center"/>
          </w:tcPr>
          <w:p>
            <w:pPr>
              <w:jc w:val="center"/>
              <w:rPr>
                <w:rFonts w:hint="eastAsia" w:ascii="仿宋" w:hAnsi="仿宋" w:eastAsia="仿宋" w:cs="仿宋"/>
                <w:color w:val="auto"/>
                <w:sz w:val="24"/>
                <w:szCs w:val="24"/>
              </w:rPr>
            </w:pPr>
          </w:p>
        </w:tc>
        <w:tc>
          <w:tcPr>
            <w:tcW w:w="1232" w:type="dxa"/>
            <w:noWrap w:val="0"/>
            <w:vAlign w:val="top"/>
          </w:tcPr>
          <w:p>
            <w:pPr>
              <w:jc w:val="center"/>
              <w:rPr>
                <w:rFonts w:hint="eastAsia" w:ascii="仿宋" w:hAnsi="仿宋" w:eastAsia="仿宋" w:cs="仿宋"/>
                <w:color w:val="auto"/>
                <w:sz w:val="24"/>
                <w:szCs w:val="24"/>
              </w:rPr>
            </w:pPr>
          </w:p>
        </w:tc>
        <w:tc>
          <w:tcPr>
            <w:tcW w:w="1390" w:type="dxa"/>
            <w:noWrap w:val="0"/>
            <w:vAlign w:val="center"/>
          </w:tcPr>
          <w:p>
            <w:pPr>
              <w:jc w:val="center"/>
              <w:rPr>
                <w:rFonts w:hint="eastAsia" w:ascii="仿宋" w:hAnsi="仿宋" w:eastAsia="仿宋" w:cs="仿宋"/>
                <w:color w:val="auto"/>
                <w:sz w:val="24"/>
                <w:szCs w:val="24"/>
              </w:rPr>
            </w:pPr>
          </w:p>
        </w:tc>
        <w:tc>
          <w:tcPr>
            <w:tcW w:w="966" w:type="dxa"/>
            <w:noWrap w:val="0"/>
            <w:vAlign w:val="center"/>
          </w:tcPr>
          <w:p>
            <w:pPr>
              <w:jc w:val="center"/>
              <w:rPr>
                <w:rFonts w:hint="eastAsia" w:ascii="仿宋" w:hAnsi="仿宋" w:eastAsia="仿宋" w:cs="仿宋"/>
                <w:color w:val="auto"/>
                <w:sz w:val="24"/>
                <w:szCs w:val="24"/>
              </w:rPr>
            </w:pPr>
          </w:p>
        </w:tc>
        <w:tc>
          <w:tcPr>
            <w:tcW w:w="1242" w:type="dxa"/>
            <w:noWrap w:val="0"/>
            <w:vAlign w:val="center"/>
          </w:tcPr>
          <w:p>
            <w:pPr>
              <w:jc w:val="center"/>
              <w:rPr>
                <w:rFonts w:hint="eastAsia" w:ascii="仿宋" w:hAnsi="仿宋" w:eastAsia="仿宋" w:cs="仿宋"/>
                <w:color w:val="auto"/>
                <w:sz w:val="24"/>
                <w:szCs w:val="24"/>
              </w:rPr>
            </w:pPr>
          </w:p>
        </w:tc>
        <w:tc>
          <w:tcPr>
            <w:tcW w:w="1229" w:type="dxa"/>
            <w:noWrap w:val="0"/>
            <w:vAlign w:val="center"/>
          </w:tcPr>
          <w:p>
            <w:pPr>
              <w:jc w:val="center"/>
              <w:rPr>
                <w:rFonts w:hint="eastAsia" w:ascii="仿宋" w:hAnsi="仿宋" w:eastAsia="仿宋" w:cs="仿宋"/>
                <w:color w:val="auto"/>
                <w:sz w:val="24"/>
                <w:szCs w:val="24"/>
              </w:rPr>
            </w:pPr>
          </w:p>
        </w:tc>
        <w:tc>
          <w:tcPr>
            <w:tcW w:w="1428" w:type="dxa"/>
            <w:noWrap w:val="0"/>
            <w:vAlign w:val="center"/>
          </w:tcPr>
          <w:p>
            <w:pPr>
              <w:jc w:val="center"/>
              <w:rPr>
                <w:rFonts w:hint="eastAsia" w:ascii="仿宋" w:hAnsi="仿宋" w:eastAsia="仿宋" w:cs="仿宋"/>
                <w:color w:val="auto"/>
                <w:sz w:val="24"/>
                <w:szCs w:val="24"/>
              </w:rPr>
            </w:pPr>
          </w:p>
        </w:tc>
        <w:tc>
          <w:tcPr>
            <w:tcW w:w="1248" w:type="dxa"/>
            <w:noWrap w:val="0"/>
            <w:vAlign w:val="center"/>
          </w:tcPr>
          <w:p>
            <w:pPr>
              <w:jc w:val="center"/>
              <w:rPr>
                <w:rFonts w:hint="eastAsia" w:ascii="仿宋" w:hAnsi="仿宋" w:eastAsia="仿宋" w:cs="仿宋"/>
                <w:color w:val="auto"/>
                <w:sz w:val="24"/>
                <w:szCs w:val="24"/>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2"/>
        <w:ind w:firstLine="0"/>
        <w:jc w:val="both"/>
        <w:rPr>
          <w:rFonts w:hAnsi="仿宋_GB2312" w:cs="仿宋_GB2312"/>
          <w:color w:val="auto"/>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83"/>
        <w:rPr>
          <w:rFonts w:hint="eastAsia"/>
          <w:color w:val="auto"/>
          <w:highlight w:val="none"/>
          <w:lang w:eastAsia="zh-CN"/>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9000" w:type="dxa"/>
        <w:tblInd w:w="112" w:type="dxa"/>
        <w:tblLayout w:type="fixed"/>
        <w:tblCellMar>
          <w:top w:w="0" w:type="dxa"/>
          <w:left w:w="108" w:type="dxa"/>
          <w:bottom w:w="0" w:type="dxa"/>
          <w:right w:w="108" w:type="dxa"/>
        </w:tblCellMar>
      </w:tblPr>
      <w:tblGrid>
        <w:gridCol w:w="1949"/>
        <w:gridCol w:w="1287"/>
        <w:gridCol w:w="1526"/>
        <w:gridCol w:w="4238"/>
      </w:tblGrid>
      <w:tr>
        <w:tblPrEx>
          <w:tblLayout w:type="fixed"/>
          <w:tblCellMar>
            <w:top w:w="0" w:type="dxa"/>
            <w:left w:w="108" w:type="dxa"/>
            <w:bottom w:w="0" w:type="dxa"/>
            <w:right w:w="108" w:type="dxa"/>
          </w:tblCellMar>
        </w:tblPrEx>
        <w:trPr>
          <w:trHeight w:val="604"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3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37"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45"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22"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416"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356"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77" w:hRule="atLeast"/>
        </w:trPr>
        <w:tc>
          <w:tcPr>
            <w:tcW w:w="194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cantSplit/>
          <w:trHeight w:val="169" w:hRule="atLeast"/>
        </w:trPr>
        <w:tc>
          <w:tcPr>
            <w:tcW w:w="1949"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526"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238"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pPr>
        <w:autoSpaceDE w:val="0"/>
        <w:autoSpaceDN w:val="0"/>
        <w:spacing w:line="360" w:lineRule="auto"/>
        <w:rPr>
          <w:rFonts w:hint="eastAsia"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idowControl/>
        <w:adjustRightInd/>
        <w:jc w:val="left"/>
        <w:rPr>
          <w:rFonts w:hint="eastAsia" w:ascii="仿宋" w:hAnsi="仿宋" w:eastAsia="仿宋" w:cs="仿宋"/>
          <w:b/>
          <w:bCs/>
          <w:color w:val="auto"/>
          <w:sz w:val="32"/>
          <w:szCs w:val="32"/>
          <w:highlight w:val="none"/>
          <w:lang w:eastAsia="zh-CN"/>
        </w:rPr>
      </w:pPr>
    </w:p>
    <w:p>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5"/>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pPr>
        <w:pStyle w:val="25"/>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ind w:firstLine="482"/>
        <w:rPr>
          <w:rFonts w:hint="eastAsia" w:ascii="仿宋" w:hAnsi="仿宋" w:eastAsia="仿宋" w:cs="仿宋"/>
          <w:color w:val="auto"/>
          <w:sz w:val="24"/>
          <w:highlight w:val="none"/>
          <w:lang w:val="en-US" w:eastAsia="zh-CN"/>
        </w:rPr>
      </w:pP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8"/>
        <w:gridCol w:w="3135"/>
        <w:gridCol w:w="1020"/>
        <w:gridCol w:w="2310"/>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2" w:hRule="atLeast"/>
        </w:trPr>
        <w:tc>
          <w:tcPr>
            <w:tcW w:w="928"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序号</w:t>
            </w:r>
          </w:p>
        </w:tc>
        <w:tc>
          <w:tcPr>
            <w:tcW w:w="3135"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1020"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10"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944" w:type="dxa"/>
            <w:noWrap w:val="0"/>
            <w:tcMar>
              <w:top w:w="15" w:type="dxa"/>
              <w:left w:w="15" w:type="dxa"/>
              <w:right w:w="15" w:type="dxa"/>
            </w:tcMar>
            <w:vAlign w:val="center"/>
          </w:tcPr>
          <w:p>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2" w:hRule="atLeast"/>
        </w:trPr>
        <w:tc>
          <w:tcPr>
            <w:tcW w:w="928" w:type="dxa"/>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135" w:type="dxa"/>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嵊州市中医院便携超声设备采购项目</w:t>
            </w:r>
          </w:p>
        </w:tc>
        <w:tc>
          <w:tcPr>
            <w:tcW w:w="1020" w:type="dxa"/>
            <w:noWrap w:val="0"/>
            <w:tcMar>
              <w:top w:w="15" w:type="dxa"/>
              <w:left w:w="15" w:type="dxa"/>
              <w:right w:w="15"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1套</w:t>
            </w:r>
          </w:p>
        </w:tc>
        <w:tc>
          <w:tcPr>
            <w:tcW w:w="2310" w:type="dxa"/>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p>
        </w:tc>
        <w:tc>
          <w:tcPr>
            <w:tcW w:w="1944" w:type="dxa"/>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7" w:hRule="atLeast"/>
        </w:trPr>
        <w:tc>
          <w:tcPr>
            <w:tcW w:w="9337" w:type="dxa"/>
            <w:gridSpan w:val="5"/>
            <w:noWrap w:val="0"/>
            <w:tcMar>
              <w:top w:w="15" w:type="dxa"/>
              <w:left w:w="15" w:type="dxa"/>
              <w:right w:w="15" w:type="dxa"/>
            </w:tcMar>
            <w:vAlign w:val="center"/>
          </w:tcPr>
          <w:p>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pPr>
        <w:snapToGrid w:val="0"/>
        <w:spacing w:line="360" w:lineRule="auto"/>
        <w:ind w:firstLine="482"/>
        <w:rPr>
          <w:rFonts w:hint="eastAsia" w:ascii="仿宋" w:hAnsi="仿宋" w:eastAsia="仿宋" w:cs="仿宋"/>
          <w:color w:val="auto"/>
          <w:sz w:val="24"/>
          <w:highlight w:val="none"/>
          <w:lang w:val="en-US" w:eastAsia="zh-CN"/>
        </w:rPr>
      </w:pP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3"/>
        <w:tblW w:w="9155"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651"/>
        <w:gridCol w:w="822"/>
        <w:gridCol w:w="1530"/>
        <w:gridCol w:w="1228"/>
        <w:gridCol w:w="1126"/>
        <w:gridCol w:w="1009"/>
        <w:gridCol w:w="1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5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序号</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名称</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数量</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品牌</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如有</w:t>
            </w:r>
            <w:r>
              <w:rPr>
                <w:rStyle w:val="967"/>
                <w:rFonts w:hint="eastAsia" w:ascii="仿宋" w:hAnsi="仿宋" w:eastAsia="仿宋" w:cs="仿宋"/>
                <w:color w:val="auto"/>
                <w:sz w:val="24"/>
                <w:szCs w:val="24"/>
                <w:highlight w:val="none"/>
                <w:lang w:eastAsia="zh-CN"/>
              </w:rPr>
              <w:t>）</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规格型号</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或具体服务</w:t>
            </w:r>
            <w:r>
              <w:rPr>
                <w:rStyle w:val="967"/>
                <w:rFonts w:hint="eastAsia" w:ascii="仿宋" w:hAnsi="仿宋" w:eastAsia="仿宋" w:cs="仿宋"/>
                <w:color w:val="auto"/>
                <w:sz w:val="24"/>
                <w:szCs w:val="24"/>
                <w:highlight w:val="none"/>
                <w:lang w:eastAsia="zh-CN"/>
              </w:rPr>
              <w:t>）</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医疗器械注册证号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单价</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小计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1"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1</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2</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9"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3</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16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b/>
                <w:bCs/>
                <w:color w:val="auto"/>
                <w:sz w:val="24"/>
                <w:szCs w:val="24"/>
                <w:highlight w:val="none"/>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9" w:hRule="atLeast"/>
        </w:trPr>
        <w:tc>
          <w:tcPr>
            <w:tcW w:w="9155"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投标总报价（小写）：             元；大写：</w:t>
            </w:r>
          </w:p>
        </w:tc>
      </w:tr>
    </w:tbl>
    <w:p>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7"/>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pPr>
        <w:pStyle w:val="968"/>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4、</w:t>
      </w:r>
      <w:r>
        <w:rPr>
          <w:rStyle w:val="967"/>
          <w:rFonts w:hint="eastAsia" w:ascii="仿宋" w:hAnsi="仿宋" w:eastAsia="仿宋" w:cs="仿宋"/>
          <w:color w:val="auto"/>
          <w:sz w:val="24"/>
          <w:szCs w:val="24"/>
          <w:highlight w:val="none"/>
        </w:rPr>
        <w:t>名称按不同采购内容分别填写，金额应与开标一览表中的相一致。</w:t>
      </w:r>
    </w:p>
    <w:p>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pPr>
        <w:spacing w:line="336" w:lineRule="auto"/>
        <w:ind w:firstLine="5280" w:firstLineChars="2200"/>
        <w:rPr>
          <w:rFonts w:hint="eastAsia" w:ascii="仿宋" w:hAnsi="仿宋" w:eastAsia="仿宋" w:cs="仿宋"/>
          <w:color w:val="auto"/>
          <w:sz w:val="24"/>
          <w:highlight w:val="none"/>
          <w:lang w:eastAsia="zh-CN"/>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3"/>
        <w:rPr>
          <w:rFonts w:hint="eastAsia" w:ascii="仿宋" w:hAnsi="仿宋" w:eastAsia="仿宋" w:cs="仿宋"/>
          <w:b/>
          <w:color w:val="auto"/>
          <w:sz w:val="24"/>
          <w:highlight w:val="none"/>
        </w:rPr>
      </w:pPr>
    </w:p>
    <w:p>
      <w:pPr>
        <w:pStyle w:val="85"/>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3"/>
        <w:rPr>
          <w:rFonts w:hint="eastAsia" w:ascii="仿宋" w:hAnsi="仿宋" w:eastAsia="仿宋" w:cs="仿宋"/>
          <w:b/>
          <w:color w:val="auto"/>
          <w:sz w:val="24"/>
          <w:highlight w:val="none"/>
        </w:rPr>
      </w:pPr>
    </w:p>
    <w:p>
      <w:pPr>
        <w:pStyle w:val="85"/>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1" w:name="_Hlk101131882"/>
      <w:r>
        <w:rPr>
          <w:rFonts w:hint="eastAsia" w:ascii="仿宋" w:hAnsi="仿宋" w:eastAsia="仿宋" w:cs="仿宋"/>
          <w:color w:val="auto"/>
          <w:kern w:val="0"/>
          <w:sz w:val="24"/>
          <w:highlight w:val="none"/>
          <w:u w:val="single"/>
        </w:rPr>
        <w:t>联合体成员X,……</w:t>
      </w:r>
      <w:bookmarkEnd w:id="4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2"/>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ascii="仿宋" w:hAnsi="仿宋" w:eastAsia="仿宋" w:cs="仿宋"/>
          <w:b/>
          <w:color w:val="auto"/>
          <w:spacing w:val="6"/>
          <w:sz w:val="32"/>
          <w:szCs w:val="32"/>
          <w:highlight w:val="none"/>
        </w:rPr>
      </w:pPr>
    </w:p>
    <w:p>
      <w:pPr>
        <w:pStyle w:val="85"/>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83"/>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4" w:name="OLE_LINK13"/>
      <w:bookmarkStart w:id="45" w:name="OLE_LINK14"/>
      <w:r>
        <w:rPr>
          <w:rFonts w:hint="eastAsia" w:ascii="仿宋" w:hAnsi="仿宋" w:eastAsia="仿宋" w:cs="仿宋"/>
          <w:b/>
          <w:color w:val="auto"/>
          <w:spacing w:val="6"/>
          <w:sz w:val="32"/>
          <w:szCs w:val="32"/>
          <w:highlight w:val="none"/>
        </w:rPr>
        <w:t>残疾人福利性单位声明函</w:t>
      </w:r>
    </w:p>
    <w:bookmarkEnd w:id="44"/>
    <w:bookmarkEnd w:id="45"/>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5"/>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szCs w:val="24"/>
          <w:highlight w:val="none"/>
        </w:rPr>
      </w:pPr>
    </w:p>
    <w:p>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pPr>
        <w:spacing w:line="500" w:lineRule="exact"/>
        <w:ind w:right="420"/>
        <w:rPr>
          <w:rFonts w:hint="eastAsia" w:ascii="仿宋" w:hAnsi="仿宋" w:eastAsia="仿宋" w:cs="仿宋"/>
          <w:color w:val="auto"/>
          <w:sz w:val="24"/>
          <w:szCs w:val="24"/>
          <w:highlight w:val="none"/>
        </w:rPr>
      </w:pPr>
    </w:p>
    <w:p>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lang w:eastAsia="zh-CN"/>
        </w:rPr>
      </w:pP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各投标供应商：</w:t>
      </w:r>
    </w:p>
    <w:p>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821712838</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6" w:name="_Toc11926"/>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6"/>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5"/>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SXWH2024-11-28</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SXWH2024-11-28</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SXWH2024-11-28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SXWH2024-11-28</w:t>
    </w: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SXWH2024-11-28</w:t>
    </w:r>
  </w:p>
  <w:p>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SXWH2024-11-28</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SXWH2024-11-28</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SXWH2024-11-28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SXWH2025-4-10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742B31"/>
    <w:multiLevelType w:val="singleLevel"/>
    <w:tmpl w:val="EE742B31"/>
    <w:lvl w:ilvl="0" w:tentative="0">
      <w:start w:val="2"/>
      <w:numFmt w:val="chineseCounting"/>
      <w:suff w:val="space"/>
      <w:lvlText w:val="第%1条"/>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40D675F"/>
    <w:multiLevelType w:val="singleLevel"/>
    <w:tmpl w:val="040D675F"/>
    <w:lvl w:ilvl="0" w:tentative="0">
      <w:start w:val="1"/>
      <w:numFmt w:val="decimal"/>
      <w:suff w:val="nothing"/>
      <w:lvlText w:val="（%1）"/>
      <w:lvlJc w:val="left"/>
    </w:lvl>
  </w:abstractNum>
  <w:abstractNum w:abstractNumId="3">
    <w:nsid w:val="3FB0C504"/>
    <w:multiLevelType w:val="singleLevel"/>
    <w:tmpl w:val="3FB0C504"/>
    <w:lvl w:ilvl="0" w:tentative="0">
      <w:start w:val="1"/>
      <w:numFmt w:val="decimal"/>
      <w:lvlText w:val="%1."/>
      <w:lvlJc w:val="left"/>
      <w:pPr>
        <w:tabs>
          <w:tab w:val="left" w:pos="312"/>
        </w:tabs>
      </w:pPr>
    </w:lvl>
  </w:abstractNum>
  <w:abstractNum w:abstractNumId="4">
    <w:nsid w:val="531C8658"/>
    <w:multiLevelType w:val="singleLevel"/>
    <w:tmpl w:val="531C8658"/>
    <w:lvl w:ilvl="0" w:tentative="0">
      <w:start w:val="1"/>
      <w:numFmt w:val="chineseCounting"/>
      <w:pStyle w:val="20"/>
      <w:suff w:val="nothing"/>
      <w:lvlText w:val="%1、"/>
      <w:lvlJc w:val="left"/>
      <w:pPr>
        <w:ind w:left="6090"/>
      </w:pPr>
    </w:lvl>
  </w:abstractNum>
  <w:abstractNum w:abstractNumId="5">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3D49F4"/>
    <w:rsid w:val="004D2D93"/>
    <w:rsid w:val="009D5041"/>
    <w:rsid w:val="00B34AC1"/>
    <w:rsid w:val="00CF165D"/>
    <w:rsid w:val="00D76C77"/>
    <w:rsid w:val="01BD616A"/>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FF7645"/>
    <w:rsid w:val="052B2F21"/>
    <w:rsid w:val="055165CD"/>
    <w:rsid w:val="05526FCB"/>
    <w:rsid w:val="057C6008"/>
    <w:rsid w:val="060E0879"/>
    <w:rsid w:val="06156D08"/>
    <w:rsid w:val="06184D94"/>
    <w:rsid w:val="06891246"/>
    <w:rsid w:val="06D6637D"/>
    <w:rsid w:val="07465DF0"/>
    <w:rsid w:val="082F2B38"/>
    <w:rsid w:val="08442832"/>
    <w:rsid w:val="085A6F43"/>
    <w:rsid w:val="08AA2338"/>
    <w:rsid w:val="08C43BF6"/>
    <w:rsid w:val="08DA5D18"/>
    <w:rsid w:val="08F03867"/>
    <w:rsid w:val="08F31FA8"/>
    <w:rsid w:val="09312D98"/>
    <w:rsid w:val="097A69E7"/>
    <w:rsid w:val="098925DC"/>
    <w:rsid w:val="099E3CC2"/>
    <w:rsid w:val="09E95753"/>
    <w:rsid w:val="0A0976D6"/>
    <w:rsid w:val="0A157CFC"/>
    <w:rsid w:val="0A1D3884"/>
    <w:rsid w:val="0A5653CC"/>
    <w:rsid w:val="0AC678ED"/>
    <w:rsid w:val="0AFD4DFA"/>
    <w:rsid w:val="0B2115B0"/>
    <w:rsid w:val="0B7008C0"/>
    <w:rsid w:val="0C16089F"/>
    <w:rsid w:val="0D191B06"/>
    <w:rsid w:val="0D600BC0"/>
    <w:rsid w:val="0DC2661B"/>
    <w:rsid w:val="0E1E1AF5"/>
    <w:rsid w:val="0E3A63C8"/>
    <w:rsid w:val="0E534049"/>
    <w:rsid w:val="0E797425"/>
    <w:rsid w:val="0E9B72CA"/>
    <w:rsid w:val="0EA50439"/>
    <w:rsid w:val="0EF8183B"/>
    <w:rsid w:val="0F096B8F"/>
    <w:rsid w:val="0F4B796A"/>
    <w:rsid w:val="0F63063F"/>
    <w:rsid w:val="0FA5040A"/>
    <w:rsid w:val="0FB85C02"/>
    <w:rsid w:val="0FC8519C"/>
    <w:rsid w:val="0FD261C4"/>
    <w:rsid w:val="10306DCC"/>
    <w:rsid w:val="105370A4"/>
    <w:rsid w:val="10B14C22"/>
    <w:rsid w:val="111D4066"/>
    <w:rsid w:val="11C875B9"/>
    <w:rsid w:val="11CE25B9"/>
    <w:rsid w:val="123C3F74"/>
    <w:rsid w:val="1272218F"/>
    <w:rsid w:val="12EC0194"/>
    <w:rsid w:val="13007A3D"/>
    <w:rsid w:val="13257114"/>
    <w:rsid w:val="1360023A"/>
    <w:rsid w:val="13767449"/>
    <w:rsid w:val="13CC00BB"/>
    <w:rsid w:val="13EA0554"/>
    <w:rsid w:val="14060EC2"/>
    <w:rsid w:val="14690B80"/>
    <w:rsid w:val="150F13D5"/>
    <w:rsid w:val="151A266A"/>
    <w:rsid w:val="155A207F"/>
    <w:rsid w:val="15687574"/>
    <w:rsid w:val="15D32D5F"/>
    <w:rsid w:val="15DF3C49"/>
    <w:rsid w:val="15FF65EC"/>
    <w:rsid w:val="162F0A5C"/>
    <w:rsid w:val="166F491D"/>
    <w:rsid w:val="167F2C93"/>
    <w:rsid w:val="16875962"/>
    <w:rsid w:val="16BB1DEF"/>
    <w:rsid w:val="16D86B1B"/>
    <w:rsid w:val="16FE064C"/>
    <w:rsid w:val="175A7954"/>
    <w:rsid w:val="178341FE"/>
    <w:rsid w:val="17E576CA"/>
    <w:rsid w:val="185756E5"/>
    <w:rsid w:val="18AA3C89"/>
    <w:rsid w:val="18E60774"/>
    <w:rsid w:val="19120228"/>
    <w:rsid w:val="1920701D"/>
    <w:rsid w:val="192749EA"/>
    <w:rsid w:val="19687E48"/>
    <w:rsid w:val="19DA0F9C"/>
    <w:rsid w:val="1A1928E2"/>
    <w:rsid w:val="1A6A1F83"/>
    <w:rsid w:val="1A7227F5"/>
    <w:rsid w:val="1A8561BC"/>
    <w:rsid w:val="1A8645A8"/>
    <w:rsid w:val="1B0B7FD0"/>
    <w:rsid w:val="1B415B07"/>
    <w:rsid w:val="1B6074AA"/>
    <w:rsid w:val="1BB51AB3"/>
    <w:rsid w:val="1BC11A92"/>
    <w:rsid w:val="1BCF2401"/>
    <w:rsid w:val="1C0A548D"/>
    <w:rsid w:val="1C782A98"/>
    <w:rsid w:val="1CB65C58"/>
    <w:rsid w:val="1CF00880"/>
    <w:rsid w:val="1D063DCA"/>
    <w:rsid w:val="1D2F1C3B"/>
    <w:rsid w:val="1D6009EF"/>
    <w:rsid w:val="1DEA2225"/>
    <w:rsid w:val="1E126D51"/>
    <w:rsid w:val="1E803E86"/>
    <w:rsid w:val="1EE82621"/>
    <w:rsid w:val="1F063E62"/>
    <w:rsid w:val="1F85443C"/>
    <w:rsid w:val="1FB86926"/>
    <w:rsid w:val="20074B9B"/>
    <w:rsid w:val="201B466F"/>
    <w:rsid w:val="203E3095"/>
    <w:rsid w:val="20AB5CD9"/>
    <w:rsid w:val="210448FA"/>
    <w:rsid w:val="21357E35"/>
    <w:rsid w:val="21681D2D"/>
    <w:rsid w:val="21CB26A0"/>
    <w:rsid w:val="22434C4E"/>
    <w:rsid w:val="22493F21"/>
    <w:rsid w:val="22B917F7"/>
    <w:rsid w:val="22C6343D"/>
    <w:rsid w:val="23AC1614"/>
    <w:rsid w:val="23E5740F"/>
    <w:rsid w:val="24223806"/>
    <w:rsid w:val="248A02EB"/>
    <w:rsid w:val="24F56B95"/>
    <w:rsid w:val="24F63E4B"/>
    <w:rsid w:val="250918E6"/>
    <w:rsid w:val="2568076A"/>
    <w:rsid w:val="25B36142"/>
    <w:rsid w:val="25DD571A"/>
    <w:rsid w:val="264D2961"/>
    <w:rsid w:val="26663961"/>
    <w:rsid w:val="268A58A2"/>
    <w:rsid w:val="26B13EE1"/>
    <w:rsid w:val="26BD5487"/>
    <w:rsid w:val="270B59FD"/>
    <w:rsid w:val="270B5A07"/>
    <w:rsid w:val="27BF77CD"/>
    <w:rsid w:val="27D16DDA"/>
    <w:rsid w:val="28335CD2"/>
    <w:rsid w:val="285C326E"/>
    <w:rsid w:val="28857E42"/>
    <w:rsid w:val="28A65C60"/>
    <w:rsid w:val="28F61A62"/>
    <w:rsid w:val="296A6C4A"/>
    <w:rsid w:val="296C69D9"/>
    <w:rsid w:val="29AA01EA"/>
    <w:rsid w:val="29C43E7C"/>
    <w:rsid w:val="29F8110E"/>
    <w:rsid w:val="2A1E224B"/>
    <w:rsid w:val="2A3B7CA0"/>
    <w:rsid w:val="2A656BF1"/>
    <w:rsid w:val="2A6A3343"/>
    <w:rsid w:val="2A773D4B"/>
    <w:rsid w:val="2B125E92"/>
    <w:rsid w:val="2B997DFB"/>
    <w:rsid w:val="2BDF3293"/>
    <w:rsid w:val="2BDF55FC"/>
    <w:rsid w:val="2BE579DB"/>
    <w:rsid w:val="2BEC52E5"/>
    <w:rsid w:val="2C1D6C72"/>
    <w:rsid w:val="2C526E62"/>
    <w:rsid w:val="2C6E531E"/>
    <w:rsid w:val="2C741DFD"/>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6136A3"/>
    <w:rsid w:val="316C40F5"/>
    <w:rsid w:val="31AE7C10"/>
    <w:rsid w:val="32001B4B"/>
    <w:rsid w:val="3210779C"/>
    <w:rsid w:val="32356659"/>
    <w:rsid w:val="33790241"/>
    <w:rsid w:val="33BA52ED"/>
    <w:rsid w:val="33DA4403"/>
    <w:rsid w:val="33EA5929"/>
    <w:rsid w:val="34476B10"/>
    <w:rsid w:val="345614B9"/>
    <w:rsid w:val="349C4C46"/>
    <w:rsid w:val="34B44085"/>
    <w:rsid w:val="35315B6F"/>
    <w:rsid w:val="355568E6"/>
    <w:rsid w:val="35C525A9"/>
    <w:rsid w:val="35E14DB3"/>
    <w:rsid w:val="36087617"/>
    <w:rsid w:val="362703C8"/>
    <w:rsid w:val="36E60ADB"/>
    <w:rsid w:val="371E59FA"/>
    <w:rsid w:val="372779C8"/>
    <w:rsid w:val="37DA0D26"/>
    <w:rsid w:val="37FD6AAB"/>
    <w:rsid w:val="380D6749"/>
    <w:rsid w:val="381D033B"/>
    <w:rsid w:val="38C74734"/>
    <w:rsid w:val="38D77273"/>
    <w:rsid w:val="391D25A6"/>
    <w:rsid w:val="39406294"/>
    <w:rsid w:val="395164B7"/>
    <w:rsid w:val="399124B2"/>
    <w:rsid w:val="39AF0A23"/>
    <w:rsid w:val="39B5569E"/>
    <w:rsid w:val="39F16712"/>
    <w:rsid w:val="3A0A0A1A"/>
    <w:rsid w:val="3A17326F"/>
    <w:rsid w:val="3ACF667D"/>
    <w:rsid w:val="3AD159C5"/>
    <w:rsid w:val="3AF56470"/>
    <w:rsid w:val="3B3B2CBA"/>
    <w:rsid w:val="3BAD4388"/>
    <w:rsid w:val="3C323221"/>
    <w:rsid w:val="3C722306"/>
    <w:rsid w:val="3C745BEE"/>
    <w:rsid w:val="3CE22F35"/>
    <w:rsid w:val="3D0C4E0B"/>
    <w:rsid w:val="3DC24667"/>
    <w:rsid w:val="3E347F93"/>
    <w:rsid w:val="3E8F344F"/>
    <w:rsid w:val="3E9679FA"/>
    <w:rsid w:val="3ECA78AB"/>
    <w:rsid w:val="3EE15FF9"/>
    <w:rsid w:val="3F1D74D4"/>
    <w:rsid w:val="3F620FE1"/>
    <w:rsid w:val="3FA32398"/>
    <w:rsid w:val="3FCA68B7"/>
    <w:rsid w:val="409441D8"/>
    <w:rsid w:val="40FA53EB"/>
    <w:rsid w:val="410C5800"/>
    <w:rsid w:val="415A344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8A4734"/>
    <w:rsid w:val="49DE0AD7"/>
    <w:rsid w:val="4A062997"/>
    <w:rsid w:val="4A4840F4"/>
    <w:rsid w:val="4A487851"/>
    <w:rsid w:val="4A9A53A6"/>
    <w:rsid w:val="4AF51ACA"/>
    <w:rsid w:val="4B02377E"/>
    <w:rsid w:val="4B241572"/>
    <w:rsid w:val="4B4E00F1"/>
    <w:rsid w:val="4C3E34B4"/>
    <w:rsid w:val="4C7B78B7"/>
    <w:rsid w:val="4CA41E94"/>
    <w:rsid w:val="4CAF7AC1"/>
    <w:rsid w:val="4D251E34"/>
    <w:rsid w:val="4D84014B"/>
    <w:rsid w:val="4DB75FD1"/>
    <w:rsid w:val="4E125CA5"/>
    <w:rsid w:val="4EA2732A"/>
    <w:rsid w:val="4EAA3FBB"/>
    <w:rsid w:val="4F1A6ACE"/>
    <w:rsid w:val="4F4B2569"/>
    <w:rsid w:val="4F4B3D85"/>
    <w:rsid w:val="4F502F66"/>
    <w:rsid w:val="4F50355E"/>
    <w:rsid w:val="4F5529EF"/>
    <w:rsid w:val="4FAC7DC3"/>
    <w:rsid w:val="502F10A7"/>
    <w:rsid w:val="50A761C7"/>
    <w:rsid w:val="512B0194"/>
    <w:rsid w:val="51805A47"/>
    <w:rsid w:val="51D52DCD"/>
    <w:rsid w:val="52183035"/>
    <w:rsid w:val="52397FF8"/>
    <w:rsid w:val="52C27FEE"/>
    <w:rsid w:val="533358A0"/>
    <w:rsid w:val="5380624C"/>
    <w:rsid w:val="5392524A"/>
    <w:rsid w:val="5393731D"/>
    <w:rsid w:val="53B21E71"/>
    <w:rsid w:val="53B72FA1"/>
    <w:rsid w:val="54091460"/>
    <w:rsid w:val="54170AE8"/>
    <w:rsid w:val="54711881"/>
    <w:rsid w:val="547929CA"/>
    <w:rsid w:val="54CB0774"/>
    <w:rsid w:val="55125438"/>
    <w:rsid w:val="551805BE"/>
    <w:rsid w:val="55184787"/>
    <w:rsid w:val="55B96498"/>
    <w:rsid w:val="56184DAE"/>
    <w:rsid w:val="56C660FC"/>
    <w:rsid w:val="57192970"/>
    <w:rsid w:val="5741602B"/>
    <w:rsid w:val="575E1820"/>
    <w:rsid w:val="57876693"/>
    <w:rsid w:val="57AA3927"/>
    <w:rsid w:val="57DB5567"/>
    <w:rsid w:val="582F3631"/>
    <w:rsid w:val="58C56AF2"/>
    <w:rsid w:val="59262959"/>
    <w:rsid w:val="595B4CF8"/>
    <w:rsid w:val="59C55698"/>
    <w:rsid w:val="5A9F234E"/>
    <w:rsid w:val="5AA51EAF"/>
    <w:rsid w:val="5B081C66"/>
    <w:rsid w:val="5B124AE0"/>
    <w:rsid w:val="5B223310"/>
    <w:rsid w:val="5B9F6B4A"/>
    <w:rsid w:val="5BDA6AC5"/>
    <w:rsid w:val="5D16412E"/>
    <w:rsid w:val="5D4478A2"/>
    <w:rsid w:val="5D5409FB"/>
    <w:rsid w:val="5D9B691E"/>
    <w:rsid w:val="5DB030C1"/>
    <w:rsid w:val="5DF50B4C"/>
    <w:rsid w:val="5E171106"/>
    <w:rsid w:val="5E4E6F28"/>
    <w:rsid w:val="5E557426"/>
    <w:rsid w:val="5EA66E00"/>
    <w:rsid w:val="5EF425D7"/>
    <w:rsid w:val="5F1576F7"/>
    <w:rsid w:val="5F346643"/>
    <w:rsid w:val="5F434264"/>
    <w:rsid w:val="5F561B6F"/>
    <w:rsid w:val="5F57E5CA"/>
    <w:rsid w:val="5F6B3D44"/>
    <w:rsid w:val="5F8A2976"/>
    <w:rsid w:val="5FCA1D1E"/>
    <w:rsid w:val="5FF6570A"/>
    <w:rsid w:val="607C7302"/>
    <w:rsid w:val="60D46992"/>
    <w:rsid w:val="6105147D"/>
    <w:rsid w:val="61117DDD"/>
    <w:rsid w:val="611675C8"/>
    <w:rsid w:val="612B495E"/>
    <w:rsid w:val="613C4304"/>
    <w:rsid w:val="61AE2DB9"/>
    <w:rsid w:val="6211426D"/>
    <w:rsid w:val="6214185F"/>
    <w:rsid w:val="6237151F"/>
    <w:rsid w:val="623E6F65"/>
    <w:rsid w:val="626253CB"/>
    <w:rsid w:val="628A6898"/>
    <w:rsid w:val="632D0DCC"/>
    <w:rsid w:val="63452928"/>
    <w:rsid w:val="634A2F00"/>
    <w:rsid w:val="63A25534"/>
    <w:rsid w:val="63D00AFB"/>
    <w:rsid w:val="64044275"/>
    <w:rsid w:val="643E5BBE"/>
    <w:rsid w:val="656C1408"/>
    <w:rsid w:val="65792D0B"/>
    <w:rsid w:val="65BC6B1F"/>
    <w:rsid w:val="661A04F6"/>
    <w:rsid w:val="66477CE1"/>
    <w:rsid w:val="66882EA5"/>
    <w:rsid w:val="669C35D3"/>
    <w:rsid w:val="66D02D7B"/>
    <w:rsid w:val="66DB5CE9"/>
    <w:rsid w:val="671C4B51"/>
    <w:rsid w:val="677F7E04"/>
    <w:rsid w:val="679837D6"/>
    <w:rsid w:val="67997059"/>
    <w:rsid w:val="687C58B0"/>
    <w:rsid w:val="69164102"/>
    <w:rsid w:val="695A624A"/>
    <w:rsid w:val="69BF7A8A"/>
    <w:rsid w:val="69E84DCD"/>
    <w:rsid w:val="6A8F2CD2"/>
    <w:rsid w:val="6AD74F2A"/>
    <w:rsid w:val="6B0873D4"/>
    <w:rsid w:val="6B122D3D"/>
    <w:rsid w:val="6B162E0E"/>
    <w:rsid w:val="6B424769"/>
    <w:rsid w:val="6B940F76"/>
    <w:rsid w:val="6BE63EBC"/>
    <w:rsid w:val="6C0C12C3"/>
    <w:rsid w:val="6CFA7591"/>
    <w:rsid w:val="6D23372C"/>
    <w:rsid w:val="6D380807"/>
    <w:rsid w:val="6D68730F"/>
    <w:rsid w:val="6DA57D40"/>
    <w:rsid w:val="6DE6187E"/>
    <w:rsid w:val="6E0F17B6"/>
    <w:rsid w:val="6E217E67"/>
    <w:rsid w:val="6E5861BA"/>
    <w:rsid w:val="6E9543B1"/>
    <w:rsid w:val="6EEA7083"/>
    <w:rsid w:val="6F38459B"/>
    <w:rsid w:val="6F4D6803"/>
    <w:rsid w:val="6F591777"/>
    <w:rsid w:val="6F765058"/>
    <w:rsid w:val="6FC37AD4"/>
    <w:rsid w:val="6FE55EDD"/>
    <w:rsid w:val="70A64653"/>
    <w:rsid w:val="70D00007"/>
    <w:rsid w:val="71123A97"/>
    <w:rsid w:val="71220184"/>
    <w:rsid w:val="71D46F9E"/>
    <w:rsid w:val="725D2146"/>
    <w:rsid w:val="72B6712F"/>
    <w:rsid w:val="72C813FD"/>
    <w:rsid w:val="72F52296"/>
    <w:rsid w:val="72F5541E"/>
    <w:rsid w:val="73746E1E"/>
    <w:rsid w:val="73B14479"/>
    <w:rsid w:val="740A79DD"/>
    <w:rsid w:val="743B08AD"/>
    <w:rsid w:val="747D74FE"/>
    <w:rsid w:val="7480340D"/>
    <w:rsid w:val="74C675E4"/>
    <w:rsid w:val="74DD28F6"/>
    <w:rsid w:val="74EA34A5"/>
    <w:rsid w:val="74FC4EED"/>
    <w:rsid w:val="750C0221"/>
    <w:rsid w:val="75107E41"/>
    <w:rsid w:val="751D342D"/>
    <w:rsid w:val="75BC74F0"/>
    <w:rsid w:val="75CC7A53"/>
    <w:rsid w:val="75D91D6C"/>
    <w:rsid w:val="75F243E2"/>
    <w:rsid w:val="76025139"/>
    <w:rsid w:val="761D64F8"/>
    <w:rsid w:val="7627527E"/>
    <w:rsid w:val="765A31B8"/>
    <w:rsid w:val="767A3346"/>
    <w:rsid w:val="767D48CB"/>
    <w:rsid w:val="769A6F8C"/>
    <w:rsid w:val="76A0335D"/>
    <w:rsid w:val="76C637D6"/>
    <w:rsid w:val="77796A86"/>
    <w:rsid w:val="778255A2"/>
    <w:rsid w:val="77C13065"/>
    <w:rsid w:val="77C65EA5"/>
    <w:rsid w:val="78434E7D"/>
    <w:rsid w:val="785E0CFE"/>
    <w:rsid w:val="78AA0A59"/>
    <w:rsid w:val="78AD1F79"/>
    <w:rsid w:val="78B24E6F"/>
    <w:rsid w:val="78D930EC"/>
    <w:rsid w:val="792534AB"/>
    <w:rsid w:val="79482534"/>
    <w:rsid w:val="7A1A39BC"/>
    <w:rsid w:val="7A7155F6"/>
    <w:rsid w:val="7A8935EB"/>
    <w:rsid w:val="7A8A318A"/>
    <w:rsid w:val="7AAF67FA"/>
    <w:rsid w:val="7ACA242C"/>
    <w:rsid w:val="7B1D535D"/>
    <w:rsid w:val="7B59042A"/>
    <w:rsid w:val="7B7A0BB6"/>
    <w:rsid w:val="7B8A017D"/>
    <w:rsid w:val="7BFC15CB"/>
    <w:rsid w:val="7C100DF8"/>
    <w:rsid w:val="7C2B3C5E"/>
    <w:rsid w:val="7C306B67"/>
    <w:rsid w:val="7C4B4301"/>
    <w:rsid w:val="7C6F4493"/>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Layout w:type="fixed"/>
      <w:tblCellMar>
        <w:top w:w="0" w:type="dxa"/>
        <w:left w:w="108" w:type="dxa"/>
        <w:bottom w:w="0" w:type="dxa"/>
        <w:right w:w="108" w:type="dxa"/>
      </w:tblCellMar>
    </w:tblPr>
  </w:style>
  <w:style w:type="paragraph" w:styleId="5">
    <w:name w:val="Normal Indent"/>
    <w:basedOn w:val="1"/>
    <w:next w:val="6"/>
    <w:link w:val="197"/>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5"/>
    <w:link w:val="268"/>
    <w:qFormat/>
    <w:uiPriority w:val="0"/>
    <w:pPr>
      <w:spacing w:line="480" w:lineRule="exact"/>
      <w:ind w:firstLine="480" w:firstLineChars="200"/>
    </w:pPr>
    <w:rPr>
      <w:rFonts w:ascii="宋体" w:hAnsi="宋体"/>
      <w:sz w:val="24"/>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21">
    <w:name w:val="annotation text"/>
    <w:basedOn w:val="1"/>
    <w:link w:val="347"/>
    <w:qFormat/>
    <w:uiPriority w:val="99"/>
    <w:pPr>
      <w:jc w:val="left"/>
    </w:pPr>
  </w:style>
  <w:style w:type="paragraph" w:styleId="22">
    <w:name w:val="Salutation"/>
    <w:basedOn w:val="1"/>
    <w:next w:val="1"/>
    <w:link w:val="301"/>
    <w:qFormat/>
    <w:uiPriority w:val="0"/>
    <w:rPr>
      <w:rFonts w:ascii="仿宋_GB2312" w:eastAsia="仿宋_GB2312"/>
      <w:sz w:val="28"/>
      <w:szCs w:val="20"/>
    </w:rPr>
  </w:style>
  <w:style w:type="paragraph" w:styleId="23">
    <w:name w:val="Body Text 3"/>
    <w:basedOn w:val="1"/>
    <w:link w:val="333"/>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3"/>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4"/>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5"/>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2"/>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5"/>
    <w:qFormat/>
    <w:uiPriority w:val="0"/>
    <w:pPr>
      <w:spacing w:after="120" w:line="480" w:lineRule="auto"/>
    </w:pPr>
  </w:style>
  <w:style w:type="paragraph" w:styleId="58">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0"/>
    <w:qFormat/>
    <w:uiPriority w:val="0"/>
    <w:rPr>
      <w:b/>
      <w:bCs/>
    </w:rPr>
  </w:style>
  <w:style w:type="paragraph" w:styleId="62">
    <w:name w:val="Body Text First Indent 2"/>
    <w:basedOn w:val="6"/>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1">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next w:val="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1"/>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8"/>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9"/>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7"/>
    <w:qFormat/>
    <w:uiPriority w:val="0"/>
    <w:rPr>
      <w:rFonts w:ascii="宋体"/>
      <w:kern w:val="2"/>
      <w:sz w:val="24"/>
      <w:szCs w:val="21"/>
      <w:lang w:val="zh-CN"/>
    </w:rPr>
  </w:style>
  <w:style w:type="character" w:customStyle="1" w:styleId="186">
    <w:name w:val="标题 9 Char"/>
    <w:link w:val="12"/>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40"/>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1"/>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7"/>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6"/>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60"/>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8"/>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2"/>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8"/>
    <w:qFormat/>
    <w:uiPriority w:val="0"/>
    <w:rPr>
      <w:rFonts w:ascii="黑体" w:hAnsi="Courier New" w:eastAsia="黑体"/>
    </w:rPr>
  </w:style>
  <w:style w:type="character" w:customStyle="1" w:styleId="305">
    <w:name w:val="正文文本 2 Char1"/>
    <w:link w:val="57"/>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7"/>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10"/>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6"/>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7"/>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3"/>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1"/>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1"/>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2">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3">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82</Pages>
  <Words>25416</Words>
  <Characters>27160</Characters>
  <Paragraphs>1943</Paragraphs>
  <TotalTime>63</TotalTime>
  <ScaleCrop>false</ScaleCrop>
  <LinksUpToDate>false</LinksUpToDate>
  <CharactersWithSpaces>29057</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学学</cp:lastModifiedBy>
  <cp:lastPrinted>2025-03-06T03:34:00Z</cp:lastPrinted>
  <dcterms:modified xsi:type="dcterms:W3CDTF">2025-07-11T01:51:57Z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DF28D96EF0CB4A23893B172AEA22F8B7_13</vt:lpwstr>
  </property>
  <property fmtid="{D5CDD505-2E9C-101B-9397-08002B2CF9AE}" pid="5" name="KSOTemplateDocerSaveRecord">
    <vt:lpwstr>eyJoZGlkIjoiNTNlMGI4NTI4ZDQxNzNlYzdhMGZhNDViOTUwZGJiMGIiLCJ1c2VySWQiOiIxMTYwNjM0ODM0In0=</vt:lpwstr>
  </property>
</Properties>
</file>