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0" w:beforeLines="250" w:line="240" w:lineRule="atLeast"/>
        <w:ind w:right="-107" w:rightChars="-51"/>
        <w:jc w:val="center"/>
        <w:rPr>
          <w:rFonts w:hint="eastAsia" w:ascii="宋体" w:hAnsi="宋体"/>
          <w:b/>
          <w:color w:val="000000"/>
          <w:sz w:val="36"/>
          <w:szCs w:val="36"/>
        </w:rPr>
      </w:pPr>
      <w:r>
        <w:rPr>
          <w:rFonts w:hint="eastAsia"/>
          <w:b/>
          <w:spacing w:val="-23"/>
          <w:w w:val="95"/>
          <w:sz w:val="52"/>
          <w:szCs w:val="52"/>
          <w:lang w:eastAsia="zh-CN"/>
        </w:rPr>
        <w:t>新昌县城东实验学校多媒体设备采购项目</w:t>
      </w:r>
    </w:p>
    <w:p>
      <w:pPr>
        <w:spacing w:line="360" w:lineRule="auto"/>
        <w:ind w:right="-110"/>
        <w:jc w:val="center"/>
        <w:rPr>
          <w:rFonts w:ascii="仿宋" w:hAnsi="仿宋" w:eastAsia="仿宋"/>
          <w:sz w:val="36"/>
          <w:szCs w:val="36"/>
        </w:rPr>
      </w:pPr>
    </w:p>
    <w:p>
      <w:pPr>
        <w:spacing w:line="360" w:lineRule="auto"/>
        <w:ind w:right="-110"/>
        <w:jc w:val="center"/>
        <w:rPr>
          <w:rFonts w:hint="eastAsia" w:ascii="仿宋" w:hAnsi="仿宋" w:eastAsia="仿宋"/>
          <w:sz w:val="36"/>
          <w:szCs w:val="36"/>
          <w:lang w:eastAsia="zh-CN"/>
        </w:rPr>
      </w:pPr>
      <w:r>
        <w:rPr>
          <w:rFonts w:hint="eastAsia" w:ascii="仿宋" w:hAnsi="仿宋" w:eastAsia="仿宋"/>
          <w:sz w:val="36"/>
          <w:szCs w:val="36"/>
        </w:rPr>
        <w:t>项目编号：</w:t>
      </w:r>
      <w:r>
        <w:rPr>
          <w:rFonts w:hint="eastAsia" w:ascii="仿宋" w:hAnsi="仿宋" w:eastAsia="仿宋"/>
          <w:b/>
          <w:sz w:val="36"/>
          <w:szCs w:val="36"/>
          <w:lang w:eastAsia="zh-CN"/>
        </w:rPr>
        <w:t>SXPZ-H20200812ZXX</w:t>
      </w:r>
    </w:p>
    <w:p>
      <w:pPr>
        <w:spacing w:after="100" w:afterAutospacing="1" w:line="800" w:lineRule="exact"/>
        <w:ind w:right="-108"/>
        <w:jc w:val="center"/>
        <w:rPr>
          <w:rFonts w:hint="eastAsia" w:ascii="宋体" w:hAnsi="宋体" w:eastAsia="宋体"/>
          <w:b/>
          <w:spacing w:val="40"/>
          <w:sz w:val="60"/>
          <w:szCs w:val="60"/>
          <w:lang w:eastAsia="zh-CN"/>
        </w:rPr>
      </w:pPr>
    </w:p>
    <w:p>
      <w:pPr>
        <w:spacing w:after="100" w:afterAutospacing="1" w:line="800" w:lineRule="exact"/>
        <w:ind w:right="-108"/>
        <w:jc w:val="center"/>
        <w:rPr>
          <w:rFonts w:ascii="宋体" w:hAnsi="宋体"/>
          <w:b/>
          <w:spacing w:val="40"/>
          <w:sz w:val="60"/>
          <w:szCs w:val="60"/>
        </w:rPr>
      </w:pPr>
      <w:r>
        <w:rPr>
          <w:rFonts w:hint="eastAsia" w:ascii="宋体" w:hAnsi="宋体"/>
          <w:b/>
          <w:spacing w:val="40"/>
          <w:sz w:val="60"/>
          <w:szCs w:val="60"/>
        </w:rPr>
        <w:t>竞</w:t>
      </w:r>
    </w:p>
    <w:p>
      <w:pPr>
        <w:spacing w:after="100" w:afterAutospacing="1" w:line="800" w:lineRule="exact"/>
        <w:ind w:right="-108"/>
        <w:jc w:val="center"/>
        <w:rPr>
          <w:rFonts w:ascii="宋体" w:hAnsi="宋体"/>
          <w:b/>
          <w:spacing w:val="40"/>
          <w:sz w:val="60"/>
          <w:szCs w:val="60"/>
        </w:rPr>
      </w:pPr>
      <w:r>
        <w:rPr>
          <w:rFonts w:hint="eastAsia" w:ascii="宋体" w:hAnsi="宋体"/>
          <w:b/>
          <w:spacing w:val="40"/>
          <w:sz w:val="60"/>
          <w:szCs w:val="60"/>
        </w:rPr>
        <w:t>争</w:t>
      </w:r>
    </w:p>
    <w:p>
      <w:pPr>
        <w:spacing w:after="100" w:afterAutospacing="1" w:line="800" w:lineRule="exact"/>
        <w:ind w:right="-108"/>
        <w:jc w:val="center"/>
        <w:rPr>
          <w:rFonts w:ascii="宋体" w:hAnsi="宋体"/>
          <w:b/>
          <w:spacing w:val="40"/>
          <w:sz w:val="60"/>
          <w:szCs w:val="60"/>
        </w:rPr>
      </w:pPr>
      <w:r>
        <w:rPr>
          <w:rFonts w:hint="eastAsia" w:ascii="宋体" w:hAnsi="宋体"/>
          <w:b/>
          <w:spacing w:val="40"/>
          <w:sz w:val="60"/>
          <w:szCs w:val="60"/>
        </w:rPr>
        <w:t>性</w:t>
      </w:r>
    </w:p>
    <w:p>
      <w:pPr>
        <w:spacing w:after="100" w:afterAutospacing="1" w:line="800" w:lineRule="exact"/>
        <w:ind w:right="-108"/>
        <w:jc w:val="center"/>
        <w:rPr>
          <w:rFonts w:ascii="宋体" w:hAnsi="宋体"/>
          <w:b/>
          <w:spacing w:val="40"/>
          <w:sz w:val="60"/>
          <w:szCs w:val="60"/>
        </w:rPr>
      </w:pPr>
      <w:r>
        <w:rPr>
          <w:rFonts w:hint="eastAsia" w:ascii="宋体" w:hAnsi="宋体"/>
          <w:b/>
          <w:spacing w:val="40"/>
          <w:sz w:val="60"/>
          <w:szCs w:val="60"/>
        </w:rPr>
        <w:t>磋</w:t>
      </w:r>
    </w:p>
    <w:p>
      <w:pPr>
        <w:spacing w:after="100" w:afterAutospacing="1" w:line="800" w:lineRule="exact"/>
        <w:ind w:right="-108"/>
        <w:jc w:val="center"/>
        <w:rPr>
          <w:rFonts w:ascii="宋体" w:hAnsi="宋体"/>
          <w:b/>
          <w:spacing w:val="40"/>
          <w:sz w:val="60"/>
          <w:szCs w:val="60"/>
        </w:rPr>
      </w:pPr>
      <w:r>
        <w:rPr>
          <w:rFonts w:hint="eastAsia" w:ascii="宋体" w:hAnsi="宋体"/>
          <w:b/>
          <w:spacing w:val="40"/>
          <w:sz w:val="60"/>
          <w:szCs w:val="60"/>
        </w:rPr>
        <w:t>商</w:t>
      </w:r>
    </w:p>
    <w:p>
      <w:pPr>
        <w:spacing w:after="100" w:afterAutospacing="1" w:line="800" w:lineRule="exact"/>
        <w:ind w:right="-108"/>
        <w:jc w:val="center"/>
        <w:rPr>
          <w:rFonts w:ascii="宋体" w:hAnsi="宋体"/>
          <w:b/>
          <w:spacing w:val="40"/>
          <w:sz w:val="60"/>
          <w:szCs w:val="60"/>
        </w:rPr>
      </w:pPr>
      <w:r>
        <w:rPr>
          <w:rFonts w:hint="eastAsia" w:ascii="宋体" w:hAnsi="宋体"/>
          <w:b/>
          <w:spacing w:val="40"/>
          <w:sz w:val="60"/>
          <w:szCs w:val="60"/>
        </w:rPr>
        <w:t>文</w:t>
      </w:r>
    </w:p>
    <w:p>
      <w:pPr>
        <w:spacing w:after="100" w:afterAutospacing="1" w:line="800" w:lineRule="exact"/>
        <w:ind w:right="-108"/>
        <w:jc w:val="center"/>
        <w:rPr>
          <w:rFonts w:ascii="宋体" w:hAnsi="宋体"/>
          <w:b/>
          <w:spacing w:val="40"/>
          <w:sz w:val="60"/>
          <w:szCs w:val="60"/>
        </w:rPr>
      </w:pPr>
      <w:r>
        <w:rPr>
          <w:rFonts w:hint="eastAsia" w:ascii="宋体" w:hAnsi="宋体"/>
          <w:b/>
          <w:spacing w:val="40"/>
          <w:sz w:val="60"/>
          <w:szCs w:val="60"/>
        </w:rPr>
        <w:t>件</w:t>
      </w:r>
    </w:p>
    <w:p>
      <w:pPr>
        <w:ind w:right="-110"/>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533" w:firstLine="1620" w:firstLineChars="450"/>
        <w:textAlignment w:val="auto"/>
        <w:rPr>
          <w:rFonts w:hint="eastAsia" w:ascii="宋体" w:hAnsi="宋体" w:eastAsia="宋体"/>
          <w:sz w:val="36"/>
          <w:szCs w:val="36"/>
          <w:lang w:eastAsia="zh-CN"/>
        </w:rPr>
      </w:pPr>
      <w:r>
        <w:rPr>
          <w:rFonts w:ascii="宋体" w:hAnsi="宋体"/>
          <w:color w:val="000000"/>
          <w:sz w:val="36"/>
          <w:szCs w:val="36"/>
        </w:rPr>
        <w:t>招标单位:</w:t>
      </w:r>
      <w:r>
        <w:rPr>
          <w:rFonts w:ascii="宋体" w:hAnsi="宋体"/>
          <w:sz w:val="36"/>
          <w:szCs w:val="36"/>
        </w:rPr>
        <w:t xml:space="preserve"> </w:t>
      </w:r>
      <w:r>
        <w:rPr>
          <w:rFonts w:hint="eastAsia" w:ascii="宋体" w:hAnsi="宋体"/>
          <w:sz w:val="36"/>
          <w:szCs w:val="36"/>
          <w:lang w:eastAsia="zh-CN"/>
        </w:rPr>
        <w:t>新昌县城东实验学校</w:t>
      </w:r>
    </w:p>
    <w:p>
      <w:pPr>
        <w:keepNext w:val="0"/>
        <w:keepLines w:val="0"/>
        <w:pageBreakBefore w:val="0"/>
        <w:widowControl w:val="0"/>
        <w:kinsoku/>
        <w:wordWrap/>
        <w:overflowPunct/>
        <w:topLinePunct w:val="0"/>
        <w:autoSpaceDE/>
        <w:autoSpaceDN/>
        <w:bidi w:val="0"/>
        <w:adjustRightInd/>
        <w:snapToGrid/>
        <w:spacing w:line="500" w:lineRule="exact"/>
        <w:ind w:right="533" w:firstLine="1620" w:firstLineChars="450"/>
        <w:textAlignment w:val="auto"/>
        <w:rPr>
          <w:rFonts w:ascii="宋体" w:hAnsi="宋体"/>
          <w:color w:val="000000"/>
          <w:sz w:val="36"/>
          <w:szCs w:val="36"/>
        </w:rPr>
      </w:pPr>
      <w:r>
        <w:rPr>
          <w:rFonts w:ascii="宋体" w:hAnsi="宋体"/>
          <w:color w:val="000000"/>
          <w:sz w:val="36"/>
          <w:szCs w:val="36"/>
        </w:rPr>
        <w:t>代理机构:</w:t>
      </w:r>
      <w:r>
        <w:rPr>
          <w:rFonts w:hint="eastAsia" w:ascii="宋体" w:hAnsi="宋体"/>
          <w:color w:val="000000"/>
          <w:sz w:val="36"/>
          <w:szCs w:val="36"/>
        </w:rPr>
        <w:t xml:space="preserve"> 绍兴平准招标代理有限公司 </w:t>
      </w:r>
    </w:p>
    <w:p>
      <w:pPr>
        <w:keepNext w:val="0"/>
        <w:keepLines w:val="0"/>
        <w:pageBreakBefore w:val="0"/>
        <w:widowControl w:val="0"/>
        <w:kinsoku/>
        <w:wordWrap/>
        <w:overflowPunct/>
        <w:topLinePunct w:val="0"/>
        <w:autoSpaceDE/>
        <w:autoSpaceDN/>
        <w:bidi w:val="0"/>
        <w:adjustRightInd/>
        <w:snapToGrid/>
        <w:spacing w:line="500" w:lineRule="exact"/>
        <w:ind w:right="533" w:firstLine="1620" w:firstLineChars="450"/>
        <w:textAlignment w:val="auto"/>
        <w:rPr>
          <w:rFonts w:ascii="宋体" w:hAnsi="宋体"/>
          <w:color w:val="000000"/>
          <w:sz w:val="36"/>
          <w:szCs w:val="36"/>
        </w:rPr>
      </w:pPr>
      <w:r>
        <w:rPr>
          <w:rFonts w:hint="eastAsia" w:ascii="宋体" w:hAnsi="宋体"/>
          <w:color w:val="000000"/>
          <w:sz w:val="36"/>
          <w:szCs w:val="36"/>
        </w:rPr>
        <w:t>日    期: 2020年</w:t>
      </w:r>
      <w:r>
        <w:rPr>
          <w:rFonts w:hint="eastAsia" w:ascii="宋体" w:hAnsi="宋体"/>
          <w:color w:val="000000"/>
          <w:sz w:val="36"/>
          <w:szCs w:val="36"/>
          <w:lang w:val="en-US" w:eastAsia="zh-CN"/>
        </w:rPr>
        <w:t>8</w:t>
      </w:r>
      <w:r>
        <w:rPr>
          <w:rFonts w:hint="eastAsia" w:ascii="宋体" w:hAnsi="宋体"/>
          <w:color w:val="000000"/>
          <w:sz w:val="36"/>
          <w:szCs w:val="36"/>
        </w:rPr>
        <w:t>月</w:t>
      </w:r>
    </w:p>
    <w:p>
      <w:pPr>
        <w:pStyle w:val="28"/>
        <w:spacing w:beforeLines="0" w:afterLines="0" w:line="360" w:lineRule="auto"/>
        <w:jc w:val="center"/>
        <w:rPr>
          <w:rFonts w:hint="eastAsia" w:hAnsi="宋体"/>
          <w:b/>
          <w:sz w:val="44"/>
          <w:szCs w:val="44"/>
        </w:rPr>
        <w:sectPr>
          <w:headerReference r:id="rId5" w:type="first"/>
          <w:headerReference r:id="rId3" w:type="default"/>
          <w:footerReference r:id="rId6" w:type="default"/>
          <w:headerReference r:id="rId4" w:type="even"/>
          <w:pgSz w:w="11850" w:h="16783"/>
          <w:pgMar w:top="1304" w:right="1565" w:bottom="1247" w:left="1344" w:header="851" w:footer="992" w:gutter="0"/>
          <w:pgNumType w:start="1"/>
          <w:cols w:space="720" w:num="1"/>
          <w:docGrid w:linePitch="312" w:charSpace="0"/>
        </w:sectPr>
      </w:pPr>
      <w:bookmarkStart w:id="0" w:name="_Toc25497"/>
      <w:bookmarkStart w:id="1" w:name="_Toc6629"/>
    </w:p>
    <w:p>
      <w:pPr>
        <w:pStyle w:val="28"/>
        <w:spacing w:beforeLines="0" w:afterLines="0" w:line="360" w:lineRule="auto"/>
        <w:jc w:val="center"/>
        <w:rPr>
          <w:rFonts w:hAnsi="宋体"/>
          <w:sz w:val="32"/>
          <w:szCs w:val="32"/>
        </w:rPr>
      </w:pPr>
      <w:r>
        <w:rPr>
          <w:rFonts w:hint="eastAsia" w:hAnsi="宋体"/>
          <w:b/>
          <w:sz w:val="44"/>
          <w:szCs w:val="44"/>
        </w:rPr>
        <w:t>目    录</w:t>
      </w:r>
      <w:bookmarkEnd w:id="0"/>
      <w:bookmarkEnd w:id="1"/>
      <w:r>
        <w:rPr>
          <w:rFonts w:hAnsi="宋体"/>
          <w:sz w:val="32"/>
          <w:szCs w:val="32"/>
        </w:rPr>
        <w:fldChar w:fldCharType="begin"/>
      </w:r>
      <w:r>
        <w:rPr>
          <w:rFonts w:hAnsi="宋体"/>
          <w:sz w:val="32"/>
          <w:szCs w:val="32"/>
        </w:rPr>
        <w:instrText xml:space="preserve"> TOC \o "1-2" \h \z \u </w:instrText>
      </w:r>
      <w:r>
        <w:rPr>
          <w:rFonts w:hAnsi="宋体"/>
          <w:sz w:val="32"/>
          <w:szCs w:val="32"/>
        </w:rPr>
        <w:fldChar w:fldCharType="separate"/>
      </w:r>
    </w:p>
    <w:p>
      <w:pPr>
        <w:pStyle w:val="37"/>
        <w:tabs>
          <w:tab w:val="right" w:leader="dot" w:pos="8941"/>
        </w:tabs>
        <w:rPr>
          <w:rFonts w:asciiTheme="minorEastAsia" w:hAnsiTheme="minorEastAsia" w:eastAsiaTheme="minorEastAsia" w:cstheme="minorEastAsia"/>
          <w:sz w:val="24"/>
        </w:rPr>
      </w:pPr>
      <w:r>
        <w:fldChar w:fldCharType="begin"/>
      </w:r>
      <w:r>
        <w:instrText xml:space="preserve"> HYPERLINK \l "_Toc19541" </w:instrText>
      </w:r>
      <w:r>
        <w:fldChar w:fldCharType="separate"/>
      </w:r>
      <w:r>
        <w:rPr>
          <w:rFonts w:hint="eastAsia" w:asciiTheme="minorEastAsia" w:hAnsiTheme="minorEastAsia" w:eastAsiaTheme="minorEastAsia" w:cstheme="minorEastAsia"/>
          <w:sz w:val="24"/>
        </w:rPr>
        <w:t>第一章  竞争性磋商公告</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_Toc19541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37"/>
        <w:tabs>
          <w:tab w:val="right" w:leader="dot" w:pos="8941"/>
        </w:tabs>
        <w:rPr>
          <w:rFonts w:asciiTheme="minorEastAsia" w:hAnsiTheme="minorEastAsia" w:eastAsiaTheme="minorEastAsia" w:cstheme="minorEastAsia"/>
          <w:sz w:val="24"/>
        </w:rPr>
      </w:pPr>
      <w:r>
        <w:fldChar w:fldCharType="begin"/>
      </w:r>
      <w:r>
        <w:instrText xml:space="preserve"> HYPERLINK \l "_Toc6242" </w:instrText>
      </w:r>
      <w:r>
        <w:fldChar w:fldCharType="separate"/>
      </w:r>
      <w:r>
        <w:rPr>
          <w:rFonts w:hint="eastAsia" w:asciiTheme="minorEastAsia" w:hAnsiTheme="minorEastAsia" w:eastAsiaTheme="minorEastAsia" w:cstheme="minorEastAsia"/>
          <w:sz w:val="24"/>
        </w:rPr>
        <w:t>第二章  响应方须知</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_Toc6242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44"/>
        <w:tabs>
          <w:tab w:val="right" w:leader="dot" w:pos="8941"/>
          <w:tab w:val="clear" w:pos="8302"/>
        </w:tabs>
        <w:ind w:left="419" w:hanging="276"/>
        <w:rPr>
          <w:rFonts w:asciiTheme="minorEastAsia" w:hAnsiTheme="minorEastAsia" w:eastAsiaTheme="minorEastAsia" w:cstheme="minorEastAsia"/>
          <w:sz w:val="24"/>
        </w:rPr>
      </w:pPr>
      <w:r>
        <w:fldChar w:fldCharType="begin"/>
      </w:r>
      <w:r>
        <w:instrText xml:space="preserve"> HYPERLINK \l "_Toc13216" </w:instrText>
      </w:r>
      <w:r>
        <w:fldChar w:fldCharType="separate"/>
      </w:r>
      <w:r>
        <w:rPr>
          <w:rFonts w:hint="eastAsia" w:asciiTheme="minorEastAsia" w:hAnsiTheme="minorEastAsia" w:eastAsiaTheme="minorEastAsia" w:cstheme="minorEastAsia"/>
          <w:sz w:val="24"/>
        </w:rPr>
        <w:t>前附表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_Toc13216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44"/>
        <w:tabs>
          <w:tab w:val="right" w:leader="dot" w:pos="8941"/>
          <w:tab w:val="clear" w:pos="8302"/>
        </w:tabs>
        <w:ind w:left="419" w:hanging="276"/>
        <w:rPr>
          <w:rFonts w:asciiTheme="minorEastAsia" w:hAnsiTheme="minorEastAsia" w:eastAsiaTheme="minorEastAsia" w:cstheme="minorEastAsia"/>
          <w:sz w:val="24"/>
        </w:rPr>
      </w:pPr>
      <w:r>
        <w:fldChar w:fldCharType="begin"/>
      </w:r>
      <w:r>
        <w:instrText xml:space="preserve"> HYPERLINK \l "_Toc30310" </w:instrText>
      </w:r>
      <w:r>
        <w:fldChar w:fldCharType="separate"/>
      </w:r>
      <w:r>
        <w:rPr>
          <w:rFonts w:hint="eastAsia" w:asciiTheme="minorEastAsia" w:hAnsiTheme="minorEastAsia" w:eastAsiaTheme="minorEastAsia" w:cstheme="minorEastAsia"/>
          <w:sz w:val="24"/>
        </w:rPr>
        <w:t>一、总则</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_Toc30310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9</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44"/>
        <w:tabs>
          <w:tab w:val="right" w:leader="dot" w:pos="8941"/>
          <w:tab w:val="clear" w:pos="8302"/>
        </w:tabs>
        <w:ind w:left="419" w:hanging="276"/>
        <w:rPr>
          <w:rFonts w:asciiTheme="minorEastAsia" w:hAnsiTheme="minorEastAsia" w:eastAsiaTheme="minorEastAsia" w:cstheme="minorEastAsia"/>
          <w:sz w:val="24"/>
        </w:rPr>
      </w:pPr>
      <w:r>
        <w:fldChar w:fldCharType="begin"/>
      </w:r>
      <w:r>
        <w:instrText xml:space="preserve"> HYPERLINK \l "_Toc30848" </w:instrText>
      </w:r>
      <w:r>
        <w:fldChar w:fldCharType="separate"/>
      </w:r>
      <w:r>
        <w:rPr>
          <w:rFonts w:hint="eastAsia" w:asciiTheme="minorEastAsia" w:hAnsiTheme="minorEastAsia" w:eastAsiaTheme="minorEastAsia" w:cstheme="minorEastAsia"/>
          <w:sz w:val="24"/>
        </w:rPr>
        <w:t>二、磋商响应文件的编制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_Toc30848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44"/>
        <w:tabs>
          <w:tab w:val="right" w:leader="dot" w:pos="8941"/>
          <w:tab w:val="clear" w:pos="8302"/>
        </w:tabs>
        <w:ind w:left="419" w:hanging="276"/>
        <w:rPr>
          <w:rFonts w:asciiTheme="minorEastAsia" w:hAnsiTheme="minorEastAsia" w:eastAsiaTheme="minorEastAsia" w:cstheme="minorEastAsia"/>
          <w:sz w:val="24"/>
        </w:rPr>
      </w:pPr>
      <w:r>
        <w:fldChar w:fldCharType="begin"/>
      </w:r>
      <w:r>
        <w:instrText xml:space="preserve"> HYPERLINK \l "_Toc15134" </w:instrText>
      </w:r>
      <w:r>
        <w:fldChar w:fldCharType="separate"/>
      </w:r>
      <w:r>
        <w:rPr>
          <w:rFonts w:hint="eastAsia" w:asciiTheme="minorEastAsia" w:hAnsiTheme="minorEastAsia" w:eastAsiaTheme="minorEastAsia" w:cstheme="minorEastAsia"/>
          <w:sz w:val="24"/>
        </w:rPr>
        <w:t>三、组织竞争性磋商程序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_Toc15134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14</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44"/>
        <w:tabs>
          <w:tab w:val="right" w:leader="dot" w:pos="8941"/>
          <w:tab w:val="clear" w:pos="8302"/>
        </w:tabs>
        <w:ind w:left="419" w:hanging="276"/>
        <w:rPr>
          <w:rFonts w:asciiTheme="minorEastAsia" w:hAnsiTheme="minorEastAsia" w:eastAsiaTheme="minorEastAsia" w:cstheme="minorEastAsia"/>
          <w:sz w:val="24"/>
        </w:rPr>
      </w:pPr>
      <w:r>
        <w:fldChar w:fldCharType="begin"/>
      </w:r>
      <w:r>
        <w:instrText xml:space="preserve"> HYPERLINK \l "_Toc24562" </w:instrText>
      </w:r>
      <w:r>
        <w:fldChar w:fldCharType="separate"/>
      </w:r>
      <w:r>
        <w:rPr>
          <w:rFonts w:hint="eastAsia" w:asciiTheme="minorEastAsia" w:hAnsiTheme="minorEastAsia" w:eastAsiaTheme="minorEastAsia" w:cstheme="minorEastAsia"/>
          <w:sz w:val="24"/>
        </w:rPr>
        <w:t>四、磋商小组程序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_Toc24562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17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44"/>
        <w:tabs>
          <w:tab w:val="right" w:leader="dot" w:pos="8941"/>
          <w:tab w:val="clear" w:pos="8302"/>
        </w:tabs>
        <w:ind w:left="419" w:hanging="276"/>
        <w:rPr>
          <w:rFonts w:asciiTheme="minorEastAsia" w:hAnsiTheme="minorEastAsia" w:eastAsiaTheme="minorEastAsia" w:cstheme="minorEastAsia"/>
          <w:sz w:val="24"/>
        </w:rPr>
      </w:pPr>
      <w:r>
        <w:fldChar w:fldCharType="begin"/>
      </w:r>
      <w:r>
        <w:instrText xml:space="preserve"> HYPERLINK \l "_Toc5402" </w:instrText>
      </w:r>
      <w:r>
        <w:fldChar w:fldCharType="separate"/>
      </w:r>
      <w:r>
        <w:rPr>
          <w:rFonts w:hint="eastAsia" w:asciiTheme="minorEastAsia" w:hAnsiTheme="minorEastAsia" w:eastAsiaTheme="minorEastAsia" w:cstheme="minorEastAsia"/>
          <w:sz w:val="24"/>
        </w:rPr>
        <w:t>五、定标</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_Toc5402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44"/>
        <w:tabs>
          <w:tab w:val="right" w:leader="dot" w:pos="8941"/>
          <w:tab w:val="clear" w:pos="8302"/>
        </w:tabs>
        <w:ind w:left="419" w:hanging="276"/>
        <w:rPr>
          <w:rFonts w:asciiTheme="minorEastAsia" w:hAnsiTheme="minorEastAsia" w:eastAsiaTheme="minorEastAsia" w:cstheme="minorEastAsia"/>
          <w:sz w:val="24"/>
        </w:rPr>
      </w:pPr>
      <w:r>
        <w:fldChar w:fldCharType="begin"/>
      </w:r>
      <w:r>
        <w:instrText xml:space="preserve"> HYPERLINK \l "_Toc3496" </w:instrText>
      </w:r>
      <w:r>
        <w:fldChar w:fldCharType="separate"/>
      </w:r>
      <w:r>
        <w:rPr>
          <w:rFonts w:hint="eastAsia" w:asciiTheme="minorEastAsia" w:hAnsiTheme="minorEastAsia" w:eastAsiaTheme="minorEastAsia" w:cstheme="minorEastAsia"/>
          <w:sz w:val="24"/>
        </w:rPr>
        <w:t>六、合同授予</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_Toc3496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44"/>
        <w:tabs>
          <w:tab w:val="right" w:leader="dot" w:pos="8941"/>
          <w:tab w:val="clear" w:pos="8302"/>
        </w:tabs>
        <w:ind w:left="419" w:hanging="276"/>
        <w:rPr>
          <w:rFonts w:asciiTheme="minorEastAsia" w:hAnsiTheme="minorEastAsia" w:eastAsiaTheme="minorEastAsia" w:cstheme="minorEastAsia"/>
          <w:sz w:val="24"/>
        </w:rPr>
      </w:pPr>
      <w:r>
        <w:fldChar w:fldCharType="begin"/>
      </w:r>
      <w:r>
        <w:instrText xml:space="preserve"> HYPERLINK \l "_Toc4897" </w:instrText>
      </w:r>
      <w:r>
        <w:fldChar w:fldCharType="separate"/>
      </w:r>
      <w:r>
        <w:rPr>
          <w:rFonts w:hint="eastAsia" w:asciiTheme="minorEastAsia" w:hAnsiTheme="minorEastAsia" w:eastAsiaTheme="minorEastAsia" w:cstheme="minorEastAsia"/>
          <w:sz w:val="24"/>
        </w:rPr>
        <w:t>七、款项的结算</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_Toc4897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22</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37"/>
        <w:tabs>
          <w:tab w:val="right" w:leader="dot" w:pos="8941"/>
        </w:tabs>
        <w:rPr>
          <w:rFonts w:asciiTheme="minorEastAsia" w:hAnsiTheme="minorEastAsia" w:eastAsiaTheme="minorEastAsia" w:cstheme="minorEastAsia"/>
          <w:sz w:val="24"/>
        </w:rPr>
      </w:pPr>
      <w:r>
        <w:fldChar w:fldCharType="begin"/>
      </w:r>
      <w:r>
        <w:instrText xml:space="preserve"> HYPERLINK \l "_Toc20411" </w:instrText>
      </w:r>
      <w:r>
        <w:fldChar w:fldCharType="separate"/>
      </w:r>
      <w:r>
        <w:rPr>
          <w:rFonts w:hint="eastAsia" w:asciiTheme="minorEastAsia" w:hAnsiTheme="minorEastAsia" w:eastAsiaTheme="minorEastAsia" w:cstheme="minorEastAsia"/>
          <w:sz w:val="24"/>
        </w:rPr>
        <w:t>第三章  评审办法及评审标准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_Toc20411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44"/>
        <w:tabs>
          <w:tab w:val="right" w:leader="dot" w:pos="8941"/>
          <w:tab w:val="clear" w:pos="8302"/>
        </w:tabs>
        <w:ind w:left="419" w:hanging="276"/>
        <w:rPr>
          <w:rFonts w:asciiTheme="minorEastAsia" w:hAnsiTheme="minorEastAsia" w:eastAsiaTheme="minorEastAsia" w:cstheme="minorEastAsia"/>
          <w:sz w:val="24"/>
        </w:rPr>
      </w:pPr>
      <w:r>
        <w:fldChar w:fldCharType="begin"/>
      </w:r>
      <w:r>
        <w:instrText xml:space="preserve"> HYPERLINK \l "_Toc9103" </w:instrText>
      </w:r>
      <w:r>
        <w:fldChar w:fldCharType="separate"/>
      </w:r>
      <w:r>
        <w:rPr>
          <w:rFonts w:hint="eastAsia" w:asciiTheme="minorEastAsia" w:hAnsiTheme="minorEastAsia" w:eastAsiaTheme="minorEastAsia" w:cstheme="minorEastAsia"/>
          <w:sz w:val="24"/>
        </w:rPr>
        <w:t>一、总则</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_Toc9103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44"/>
        <w:tabs>
          <w:tab w:val="right" w:leader="dot" w:pos="8941"/>
          <w:tab w:val="clear" w:pos="8302"/>
        </w:tabs>
        <w:ind w:left="419" w:hanging="276"/>
        <w:rPr>
          <w:rFonts w:asciiTheme="minorEastAsia" w:hAnsiTheme="minorEastAsia" w:eastAsiaTheme="minorEastAsia" w:cstheme="minorEastAsia"/>
          <w:sz w:val="24"/>
        </w:rPr>
      </w:pPr>
      <w:r>
        <w:fldChar w:fldCharType="begin"/>
      </w:r>
      <w:r>
        <w:instrText xml:space="preserve"> HYPERLINK \l "_Toc31002" </w:instrText>
      </w:r>
      <w:r>
        <w:fldChar w:fldCharType="separate"/>
      </w:r>
      <w:r>
        <w:rPr>
          <w:rFonts w:hint="eastAsia" w:asciiTheme="minorEastAsia" w:hAnsiTheme="minorEastAsia" w:eastAsiaTheme="minorEastAsia" w:cstheme="minorEastAsia"/>
          <w:sz w:val="24"/>
        </w:rPr>
        <w:t>二、分值的计算</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_Toc31002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44"/>
        <w:tabs>
          <w:tab w:val="right" w:leader="dot" w:pos="8941"/>
          <w:tab w:val="clear" w:pos="8302"/>
        </w:tabs>
        <w:ind w:left="419" w:hanging="276"/>
        <w:rPr>
          <w:rFonts w:asciiTheme="minorEastAsia" w:hAnsiTheme="minorEastAsia" w:eastAsiaTheme="minorEastAsia" w:cstheme="minorEastAsia"/>
          <w:sz w:val="24"/>
        </w:rPr>
      </w:pPr>
      <w:r>
        <w:fldChar w:fldCharType="begin"/>
      </w:r>
      <w:r>
        <w:instrText xml:space="preserve"> HYPERLINK \l "_Toc31633" </w:instrText>
      </w:r>
      <w:r>
        <w:fldChar w:fldCharType="separate"/>
      </w:r>
      <w:r>
        <w:rPr>
          <w:rFonts w:hint="eastAsia" w:asciiTheme="minorEastAsia" w:hAnsiTheme="minorEastAsia" w:eastAsiaTheme="minorEastAsia" w:cstheme="minorEastAsia"/>
          <w:sz w:val="24"/>
        </w:rPr>
        <w:t>三、评审内容及标准</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_Toc31633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23</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37"/>
        <w:tabs>
          <w:tab w:val="right" w:leader="dot" w:pos="8941"/>
        </w:tabs>
        <w:rPr>
          <w:rFonts w:asciiTheme="minorEastAsia" w:hAnsiTheme="minorEastAsia" w:eastAsiaTheme="minorEastAsia" w:cstheme="minorEastAsia"/>
          <w:sz w:val="24"/>
        </w:rPr>
      </w:pPr>
      <w:r>
        <w:fldChar w:fldCharType="begin"/>
      </w:r>
      <w:r>
        <w:instrText xml:space="preserve"> HYPERLINK \l "_Toc3402" </w:instrText>
      </w:r>
      <w:r>
        <w:fldChar w:fldCharType="separate"/>
      </w:r>
      <w:r>
        <w:rPr>
          <w:rFonts w:hint="eastAsia" w:asciiTheme="minorEastAsia" w:hAnsiTheme="minorEastAsia" w:eastAsiaTheme="minorEastAsia" w:cstheme="minorEastAsia"/>
          <w:sz w:val="24"/>
        </w:rPr>
        <w:t>第四章 采购需求</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_Toc3402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37"/>
        <w:tabs>
          <w:tab w:val="right" w:leader="dot" w:pos="8941"/>
        </w:tabs>
        <w:rPr>
          <w:rFonts w:asciiTheme="minorEastAsia" w:hAnsiTheme="minorEastAsia" w:eastAsiaTheme="minorEastAsia" w:cstheme="minorEastAsia"/>
          <w:sz w:val="24"/>
        </w:rPr>
      </w:pPr>
      <w:r>
        <w:fldChar w:fldCharType="begin"/>
      </w:r>
      <w:r>
        <w:instrText xml:space="preserve"> HYPERLINK \l "_Toc7142" </w:instrText>
      </w:r>
      <w:r>
        <w:fldChar w:fldCharType="separate"/>
      </w:r>
      <w:r>
        <w:rPr>
          <w:rFonts w:hint="eastAsia" w:asciiTheme="minorEastAsia" w:hAnsiTheme="minorEastAsia" w:eastAsiaTheme="minorEastAsia" w:cstheme="minorEastAsia"/>
          <w:sz w:val="24"/>
        </w:rPr>
        <w:t>第五章  合同主要条款</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_Toc7142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37"/>
        <w:tabs>
          <w:tab w:val="right" w:leader="dot" w:pos="8941"/>
        </w:tabs>
        <w:rPr>
          <w:rFonts w:asciiTheme="minorEastAsia" w:hAnsiTheme="minorEastAsia" w:eastAsiaTheme="minorEastAsia" w:cstheme="minorEastAsia"/>
          <w:sz w:val="24"/>
        </w:rPr>
      </w:pPr>
      <w:r>
        <w:fldChar w:fldCharType="begin"/>
      </w:r>
      <w:r>
        <w:instrText xml:space="preserve"> HYPERLINK \l "_Toc21201" </w:instrText>
      </w:r>
      <w:r>
        <w:fldChar w:fldCharType="separate"/>
      </w:r>
      <w:r>
        <w:rPr>
          <w:rFonts w:hint="eastAsia" w:asciiTheme="minorEastAsia" w:hAnsiTheme="minorEastAsia" w:eastAsiaTheme="minorEastAsia" w:cstheme="minorEastAsia"/>
          <w:bCs/>
          <w:sz w:val="24"/>
        </w:rPr>
        <w:t>第六章  磋商响应文件格式附件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_Toc21201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47</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28"/>
        <w:spacing w:beforeLines="0" w:afterLines="0" w:line="360" w:lineRule="auto"/>
        <w:jc w:val="center"/>
        <w:outlineLvl w:val="0"/>
        <w:rPr>
          <w:rFonts w:hAnsi="宋体"/>
          <w:sz w:val="32"/>
          <w:szCs w:val="32"/>
        </w:rPr>
        <w:sectPr>
          <w:footerReference r:id="rId7" w:type="default"/>
          <w:pgSz w:w="11850" w:h="16783"/>
          <w:pgMar w:top="1304" w:right="1565" w:bottom="1247" w:left="1344" w:header="851" w:footer="992" w:gutter="0"/>
          <w:pgNumType w:start="1"/>
          <w:cols w:space="720" w:num="1"/>
          <w:docGrid w:linePitch="312" w:charSpace="0"/>
        </w:sectPr>
      </w:pPr>
      <w:r>
        <w:rPr>
          <w:rFonts w:hAnsi="宋体"/>
          <w:sz w:val="32"/>
          <w:szCs w:val="32"/>
        </w:rPr>
        <w:fldChar w:fldCharType="end"/>
      </w:r>
    </w:p>
    <w:p>
      <w:pPr>
        <w:pStyle w:val="28"/>
        <w:spacing w:beforeLines="0" w:afterLines="0" w:line="360" w:lineRule="auto"/>
        <w:jc w:val="center"/>
        <w:outlineLvl w:val="0"/>
        <w:rPr>
          <w:rFonts w:ascii="仿宋" w:hAnsi="仿宋" w:eastAsia="仿宋"/>
          <w:sz w:val="32"/>
          <w:szCs w:val="32"/>
        </w:rPr>
      </w:pPr>
      <w:r>
        <w:rPr>
          <w:rFonts w:hint="eastAsia" w:ascii="仿宋" w:hAnsi="仿宋" w:eastAsia="仿宋"/>
          <w:sz w:val="32"/>
          <w:szCs w:val="32"/>
        </w:rPr>
        <w:t xml:space="preserve"> </w:t>
      </w:r>
      <w:bookmarkStart w:id="2" w:name="_Toc19541"/>
      <w:bookmarkStart w:id="3" w:name="_Toc451762242"/>
      <w:r>
        <w:rPr>
          <w:rFonts w:hint="eastAsia" w:hAnsi="宋体"/>
          <w:b/>
          <w:sz w:val="36"/>
          <w:szCs w:val="36"/>
        </w:rPr>
        <w:t>第一章  竞争性磋商公告</w:t>
      </w:r>
      <w:bookmarkEnd w:id="2"/>
      <w:bookmarkEnd w:id="3"/>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rPr>
      </w:pPr>
      <w:bookmarkStart w:id="4" w:name="_Toc451762243"/>
      <w:r>
        <w:rPr>
          <w:rFonts w:hint="eastAsia" w:ascii="宋体" w:hAnsi="宋体" w:eastAsia="宋体" w:cs="宋体"/>
          <w:sz w:val="24"/>
          <w:szCs w:val="24"/>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新昌县城东实验学校多媒体设备采购项目招标项目的潜在投标人应在政采云平台（https://www.zcygov.cn/）获取（下载）招标文件，并于</w:t>
      </w:r>
      <w:r>
        <w:rPr>
          <w:rFonts w:hint="eastAsia" w:ascii="宋体" w:hAnsi="宋体" w:eastAsia="宋体" w:cs="宋体"/>
          <w:spacing w:val="6"/>
          <w:sz w:val="24"/>
          <w:szCs w:val="24"/>
          <w:u w:val="none"/>
        </w:rPr>
        <w:t>2020年</w:t>
      </w:r>
      <w:r>
        <w:rPr>
          <w:rFonts w:hint="eastAsia" w:ascii="宋体" w:hAnsi="宋体" w:eastAsia="宋体" w:cs="宋体"/>
          <w:spacing w:val="6"/>
          <w:sz w:val="24"/>
          <w:szCs w:val="24"/>
          <w:u w:val="none"/>
          <w:lang w:val="en-US" w:eastAsia="zh-CN"/>
        </w:rPr>
        <w:t>8</w:t>
      </w:r>
      <w:r>
        <w:rPr>
          <w:rFonts w:hint="eastAsia" w:ascii="宋体" w:hAnsi="宋体" w:eastAsia="宋体" w:cs="宋体"/>
          <w:spacing w:val="6"/>
          <w:sz w:val="24"/>
          <w:szCs w:val="24"/>
          <w:u w:val="none"/>
        </w:rPr>
        <w:t>月</w:t>
      </w:r>
      <w:r>
        <w:rPr>
          <w:rFonts w:hint="eastAsia" w:ascii="宋体" w:hAnsi="宋体" w:cs="宋体"/>
          <w:spacing w:val="6"/>
          <w:sz w:val="24"/>
          <w:szCs w:val="24"/>
          <w:u w:val="none"/>
          <w:lang w:val="en-US" w:eastAsia="zh-CN"/>
        </w:rPr>
        <w:t>24</w:t>
      </w:r>
      <w:r>
        <w:rPr>
          <w:rFonts w:hint="eastAsia" w:ascii="宋体" w:hAnsi="宋体" w:eastAsia="宋体" w:cs="宋体"/>
          <w:spacing w:val="6"/>
          <w:sz w:val="24"/>
          <w:szCs w:val="24"/>
          <w:u w:val="none"/>
        </w:rPr>
        <w:t>日</w:t>
      </w:r>
      <w:r>
        <w:rPr>
          <w:rFonts w:hint="eastAsia" w:ascii="宋体" w:hAnsi="宋体" w:eastAsia="宋体" w:cs="宋体"/>
          <w:bCs/>
          <w:sz w:val="24"/>
          <w:szCs w:val="24"/>
          <w:u w:val="none"/>
        </w:rPr>
        <w:t>09点</w:t>
      </w:r>
      <w:r>
        <w:rPr>
          <w:rFonts w:hint="eastAsia" w:ascii="宋体" w:hAnsi="宋体" w:eastAsia="宋体" w:cs="宋体"/>
          <w:bCs/>
          <w:sz w:val="24"/>
          <w:szCs w:val="24"/>
          <w:u w:val="none"/>
          <w:lang w:val="en-US" w:eastAsia="zh-CN"/>
        </w:rPr>
        <w:t>3</w:t>
      </w:r>
      <w:r>
        <w:rPr>
          <w:rFonts w:hint="eastAsia" w:ascii="宋体" w:hAnsi="宋体" w:eastAsia="宋体" w:cs="宋体"/>
          <w:bCs/>
          <w:sz w:val="24"/>
          <w:szCs w:val="24"/>
          <w:u w:val="none"/>
        </w:rPr>
        <w:t>0分（北京时间）前递交投标文件</w:t>
      </w:r>
      <w:r>
        <w:rPr>
          <w:rFonts w:hint="eastAsia" w:ascii="宋体" w:hAnsi="宋体" w:eastAsia="宋体" w:cs="宋体"/>
          <w:sz w:val="24"/>
          <w:szCs w:val="24"/>
          <w:u w:val="none"/>
        </w:rPr>
        <w:t>。</w:t>
      </w:r>
    </w:p>
    <w:p>
      <w:pPr>
        <w:keepNext w:val="0"/>
        <w:keepLines w:val="0"/>
        <w:pageBreakBefore w:val="0"/>
        <w:kinsoku/>
        <w:wordWrap/>
        <w:overflowPunct/>
        <w:topLinePunct w:val="0"/>
        <w:autoSpaceDE/>
        <w:autoSpaceDN/>
        <w:bidi w:val="0"/>
        <w:adjustRightInd/>
        <w:spacing w:line="440" w:lineRule="exact"/>
        <w:ind w:firstLine="506" w:firstLineChars="200"/>
        <w:textAlignment w:val="auto"/>
        <w:outlineLvl w:val="1"/>
        <w:rPr>
          <w:rFonts w:hint="eastAsia" w:ascii="宋体" w:hAnsi="宋体" w:eastAsia="宋体" w:cs="宋体"/>
          <w:b/>
          <w:sz w:val="24"/>
          <w:szCs w:val="24"/>
        </w:rPr>
      </w:pPr>
      <w:bookmarkStart w:id="5" w:name="_Toc29837"/>
      <w:bookmarkStart w:id="6" w:name="_Toc28359079"/>
      <w:bookmarkStart w:id="7" w:name="_Toc35393790"/>
      <w:bookmarkStart w:id="8" w:name="_Toc28359002"/>
      <w:bookmarkStart w:id="9" w:name="_Toc35393621"/>
      <w:r>
        <w:rPr>
          <w:rFonts w:hint="eastAsia" w:ascii="宋体" w:hAnsi="宋体" w:eastAsia="宋体" w:cs="宋体"/>
          <w:b/>
          <w:bCs/>
          <w:spacing w:val="6"/>
          <w:sz w:val="24"/>
          <w:szCs w:val="24"/>
        </w:rPr>
        <w:t>一、项目基本情况</w:t>
      </w:r>
      <w:bookmarkEnd w:id="5"/>
      <w:bookmarkEnd w:id="6"/>
      <w:bookmarkEnd w:id="7"/>
      <w:bookmarkEnd w:id="8"/>
      <w:bookmarkEnd w:id="9"/>
    </w:p>
    <w:p>
      <w:pPr>
        <w:keepNext w:val="0"/>
        <w:keepLines w:val="0"/>
        <w:pageBreakBefore w:val="0"/>
        <w:kinsoku/>
        <w:wordWrap/>
        <w:overflowPunct/>
        <w:topLinePunct w:val="0"/>
        <w:autoSpaceDE/>
        <w:autoSpaceDN/>
        <w:bidi w:val="0"/>
        <w:adjustRightInd/>
        <w:snapToGrid w:val="0"/>
        <w:spacing w:line="440" w:lineRule="exact"/>
        <w:ind w:firstLine="468" w:firstLineChars="195"/>
        <w:textAlignment w:val="auto"/>
        <w:rPr>
          <w:rFonts w:hint="eastAsia" w:ascii="宋体" w:hAnsi="宋体" w:eastAsia="宋体" w:cs="宋体"/>
          <w:sz w:val="24"/>
          <w:szCs w:val="24"/>
        </w:rPr>
      </w:pPr>
      <w:r>
        <w:rPr>
          <w:rFonts w:hint="eastAsia" w:ascii="宋体" w:hAnsi="宋体" w:eastAsia="宋体" w:cs="宋体"/>
          <w:sz w:val="24"/>
          <w:szCs w:val="24"/>
        </w:rPr>
        <w:t>项目编号：SXPZ-F2020081</w:t>
      </w:r>
      <w:r>
        <w:rPr>
          <w:rFonts w:hint="eastAsia" w:ascii="宋体" w:hAnsi="宋体" w:cs="宋体"/>
          <w:sz w:val="24"/>
          <w:szCs w:val="24"/>
          <w:lang w:val="en-US" w:eastAsia="zh-CN"/>
        </w:rPr>
        <w:t>2</w:t>
      </w:r>
      <w:r>
        <w:rPr>
          <w:rFonts w:hint="eastAsia" w:ascii="宋体" w:hAnsi="宋体" w:eastAsia="宋体" w:cs="宋体"/>
          <w:sz w:val="24"/>
          <w:szCs w:val="24"/>
        </w:rPr>
        <w:t xml:space="preserve">ZXX </w:t>
      </w:r>
    </w:p>
    <w:p>
      <w:pPr>
        <w:keepNext w:val="0"/>
        <w:keepLines w:val="0"/>
        <w:pageBreakBefore w:val="0"/>
        <w:kinsoku/>
        <w:wordWrap/>
        <w:overflowPunct/>
        <w:topLinePunct w:val="0"/>
        <w:autoSpaceDE/>
        <w:autoSpaceDN/>
        <w:bidi w:val="0"/>
        <w:adjustRightInd/>
        <w:snapToGrid w:val="0"/>
        <w:spacing w:line="440" w:lineRule="exact"/>
        <w:ind w:firstLine="468" w:firstLineChars="195"/>
        <w:textAlignment w:val="auto"/>
        <w:rPr>
          <w:rFonts w:hint="eastAsia" w:ascii="宋体" w:hAnsi="宋体" w:eastAsia="宋体" w:cs="宋体"/>
          <w:sz w:val="24"/>
          <w:szCs w:val="24"/>
        </w:rPr>
      </w:pPr>
      <w:r>
        <w:rPr>
          <w:rFonts w:hint="eastAsia" w:ascii="宋体" w:hAnsi="宋体" w:eastAsia="宋体" w:cs="宋体"/>
          <w:sz w:val="24"/>
          <w:szCs w:val="24"/>
        </w:rPr>
        <w:t>项目名称：新昌县城东实验学校多媒体设备采购项目</w:t>
      </w:r>
    </w:p>
    <w:p>
      <w:pPr>
        <w:keepNext w:val="0"/>
        <w:keepLines w:val="0"/>
        <w:pageBreakBefore w:val="0"/>
        <w:kinsoku/>
        <w:wordWrap/>
        <w:overflowPunct/>
        <w:topLinePunct w:val="0"/>
        <w:autoSpaceDE/>
        <w:autoSpaceDN/>
        <w:bidi w:val="0"/>
        <w:adjustRightInd/>
        <w:snapToGrid w:val="0"/>
        <w:spacing w:line="440" w:lineRule="exact"/>
        <w:ind w:firstLine="468" w:firstLineChars="19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预算金额（元）：</w:t>
      </w:r>
      <w:r>
        <w:rPr>
          <w:rFonts w:hint="eastAsia" w:ascii="宋体" w:hAnsi="宋体" w:eastAsia="宋体" w:cs="宋体"/>
          <w:sz w:val="24"/>
          <w:szCs w:val="24"/>
          <w:lang w:val="en-US" w:eastAsia="zh-CN"/>
        </w:rPr>
        <w:t>1560000</w:t>
      </w:r>
    </w:p>
    <w:p>
      <w:pPr>
        <w:keepNext w:val="0"/>
        <w:keepLines w:val="0"/>
        <w:pageBreakBefore w:val="0"/>
        <w:kinsoku/>
        <w:wordWrap/>
        <w:overflowPunct/>
        <w:topLinePunct w:val="0"/>
        <w:autoSpaceDE/>
        <w:autoSpaceDN/>
        <w:bidi w:val="0"/>
        <w:adjustRightInd/>
        <w:snapToGrid w:val="0"/>
        <w:spacing w:line="440" w:lineRule="exact"/>
        <w:ind w:firstLine="468" w:firstLineChars="195"/>
        <w:textAlignment w:val="auto"/>
        <w:rPr>
          <w:rFonts w:hint="eastAsia" w:ascii="宋体" w:hAnsi="宋体" w:eastAsia="宋体" w:cs="宋体"/>
          <w:sz w:val="24"/>
          <w:szCs w:val="24"/>
        </w:rPr>
      </w:pPr>
      <w:r>
        <w:rPr>
          <w:rFonts w:hint="eastAsia" w:ascii="宋体" w:hAnsi="宋体" w:eastAsia="宋体" w:cs="宋体"/>
          <w:sz w:val="24"/>
          <w:szCs w:val="24"/>
        </w:rPr>
        <w:t>最高限价（元）：</w:t>
      </w:r>
      <w:r>
        <w:rPr>
          <w:rFonts w:hint="eastAsia" w:ascii="宋体" w:hAnsi="宋体" w:eastAsia="宋体" w:cs="宋体"/>
          <w:sz w:val="24"/>
          <w:szCs w:val="24"/>
          <w:lang w:val="en-US" w:eastAsia="zh-CN"/>
        </w:rPr>
        <w:t>1560000</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napToGrid w:val="0"/>
        <w:spacing w:line="440" w:lineRule="exact"/>
        <w:ind w:firstLine="468" w:firstLineChars="195"/>
        <w:textAlignment w:val="auto"/>
        <w:rPr>
          <w:rFonts w:hint="eastAsia" w:ascii="宋体" w:hAnsi="宋体" w:eastAsia="宋体" w:cs="宋体"/>
          <w:sz w:val="24"/>
          <w:szCs w:val="24"/>
        </w:rPr>
      </w:pPr>
      <w:r>
        <w:rPr>
          <w:rFonts w:hint="eastAsia" w:ascii="宋体" w:hAnsi="宋体" w:eastAsia="宋体" w:cs="宋体"/>
          <w:sz w:val="24"/>
          <w:szCs w:val="24"/>
        </w:rPr>
        <w:t>采购需求：</w:t>
      </w:r>
    </w:p>
    <w:p>
      <w:pPr>
        <w:keepNext w:val="0"/>
        <w:keepLines w:val="0"/>
        <w:pageBreakBefore w:val="0"/>
        <w:kinsoku/>
        <w:wordWrap/>
        <w:overflowPunct/>
        <w:topLinePunct w:val="0"/>
        <w:autoSpaceDE/>
        <w:autoSpaceDN/>
        <w:bidi w:val="0"/>
        <w:adjustRightInd/>
        <w:snapToGrid w:val="0"/>
        <w:spacing w:line="440" w:lineRule="exact"/>
        <w:ind w:firstLine="468" w:firstLineChars="195"/>
        <w:textAlignment w:val="auto"/>
        <w:rPr>
          <w:rFonts w:hint="eastAsia" w:ascii="宋体" w:hAnsi="宋体" w:eastAsia="宋体" w:cs="宋体"/>
          <w:sz w:val="24"/>
          <w:szCs w:val="24"/>
        </w:rPr>
      </w:pPr>
      <w:r>
        <w:rPr>
          <w:rFonts w:hint="eastAsia" w:ascii="宋体" w:hAnsi="宋体" w:eastAsia="宋体" w:cs="宋体"/>
          <w:sz w:val="24"/>
          <w:szCs w:val="24"/>
        </w:rPr>
        <w:t>标项一:</w:t>
      </w:r>
    </w:p>
    <w:p>
      <w:pPr>
        <w:keepNext w:val="0"/>
        <w:keepLines w:val="0"/>
        <w:pageBreakBefore w:val="0"/>
        <w:kinsoku/>
        <w:wordWrap/>
        <w:overflowPunct/>
        <w:topLinePunct w:val="0"/>
        <w:autoSpaceDE/>
        <w:autoSpaceDN/>
        <w:bidi w:val="0"/>
        <w:adjustRightInd/>
        <w:snapToGrid w:val="0"/>
        <w:spacing w:line="440" w:lineRule="exact"/>
        <w:ind w:firstLine="468" w:firstLineChars="195"/>
        <w:textAlignment w:val="auto"/>
        <w:rPr>
          <w:rFonts w:hint="eastAsia" w:ascii="宋体" w:hAnsi="宋体" w:eastAsia="宋体" w:cs="宋体"/>
          <w:sz w:val="24"/>
          <w:szCs w:val="24"/>
        </w:rPr>
      </w:pPr>
      <w:r>
        <w:rPr>
          <w:rFonts w:hint="eastAsia" w:ascii="宋体" w:hAnsi="宋体" w:eastAsia="宋体" w:cs="宋体"/>
          <w:sz w:val="24"/>
          <w:szCs w:val="24"/>
        </w:rPr>
        <w:t>标项名称: 新昌县城东实验学校多媒体设备采购项目</w:t>
      </w:r>
    </w:p>
    <w:p>
      <w:pPr>
        <w:keepNext w:val="0"/>
        <w:keepLines w:val="0"/>
        <w:pageBreakBefore w:val="0"/>
        <w:kinsoku/>
        <w:wordWrap/>
        <w:overflowPunct/>
        <w:topLinePunct w:val="0"/>
        <w:autoSpaceDE/>
        <w:autoSpaceDN/>
        <w:bidi w:val="0"/>
        <w:adjustRightInd/>
        <w:snapToGrid w:val="0"/>
        <w:spacing w:line="440" w:lineRule="exact"/>
        <w:ind w:firstLine="468" w:firstLineChars="195"/>
        <w:textAlignment w:val="auto"/>
        <w:rPr>
          <w:rFonts w:hint="eastAsia" w:ascii="宋体" w:hAnsi="宋体" w:eastAsia="宋体" w:cs="宋体"/>
          <w:sz w:val="24"/>
          <w:szCs w:val="24"/>
        </w:rPr>
      </w:pPr>
      <w:r>
        <w:rPr>
          <w:rFonts w:hint="eastAsia" w:ascii="宋体" w:hAnsi="宋体" w:eastAsia="宋体" w:cs="宋体"/>
          <w:sz w:val="24"/>
          <w:szCs w:val="24"/>
        </w:rPr>
        <w:t xml:space="preserve">数量: 1 </w:t>
      </w:r>
      <w:r>
        <w:rPr>
          <w:rFonts w:hint="eastAsia" w:ascii="宋体" w:hAnsi="宋体" w:eastAsia="宋体" w:cs="宋体"/>
          <w:sz w:val="24"/>
          <w:szCs w:val="24"/>
          <w:lang w:val="en-US" w:eastAsia="zh-CN"/>
        </w:rPr>
        <w:t>批</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napToGrid w:val="0"/>
        <w:spacing w:line="440" w:lineRule="exact"/>
        <w:ind w:firstLine="468" w:firstLineChars="195"/>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预算金额（元）: </w:t>
      </w:r>
      <w:r>
        <w:rPr>
          <w:rFonts w:hint="eastAsia" w:ascii="宋体" w:hAnsi="宋体" w:eastAsia="宋体" w:cs="宋体"/>
          <w:sz w:val="24"/>
          <w:szCs w:val="24"/>
          <w:lang w:val="en-US" w:eastAsia="zh-CN"/>
        </w:rPr>
        <w:t>1560000</w:t>
      </w:r>
    </w:p>
    <w:p>
      <w:pPr>
        <w:keepNext w:val="0"/>
        <w:keepLines w:val="0"/>
        <w:pageBreakBefore w:val="0"/>
        <w:kinsoku/>
        <w:wordWrap/>
        <w:overflowPunct/>
        <w:topLinePunct w:val="0"/>
        <w:autoSpaceDE/>
        <w:autoSpaceDN/>
        <w:bidi w:val="0"/>
        <w:adjustRightInd/>
        <w:snapToGrid w:val="0"/>
        <w:spacing w:line="440" w:lineRule="exact"/>
        <w:ind w:firstLine="468" w:firstLineChars="195"/>
        <w:textAlignment w:val="auto"/>
        <w:rPr>
          <w:rFonts w:hint="eastAsia" w:ascii="宋体" w:hAnsi="宋体" w:eastAsia="宋体" w:cs="宋体"/>
          <w:sz w:val="24"/>
          <w:szCs w:val="24"/>
        </w:rPr>
      </w:pPr>
      <w:r>
        <w:rPr>
          <w:rFonts w:hint="eastAsia" w:ascii="宋体" w:hAnsi="宋体" w:eastAsia="宋体" w:cs="宋体"/>
          <w:sz w:val="24"/>
          <w:szCs w:val="24"/>
        </w:rPr>
        <w:t>简要规格描述或项目基本概况介绍、用途：详见招标文件</w:t>
      </w:r>
    </w:p>
    <w:p>
      <w:pPr>
        <w:keepNext w:val="0"/>
        <w:keepLines w:val="0"/>
        <w:pageBreakBefore w:val="0"/>
        <w:kinsoku/>
        <w:wordWrap/>
        <w:overflowPunct/>
        <w:topLinePunct w:val="0"/>
        <w:autoSpaceDE/>
        <w:autoSpaceDN/>
        <w:bidi w:val="0"/>
        <w:adjustRightInd/>
        <w:snapToGrid w:val="0"/>
        <w:spacing w:line="440" w:lineRule="exact"/>
        <w:ind w:firstLine="468" w:firstLineChars="195"/>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备注：无</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合同履行期限：</w:t>
      </w:r>
      <w:r>
        <w:rPr>
          <w:rFonts w:hint="eastAsia" w:ascii="宋体" w:hAnsi="宋体" w:eastAsia="宋体" w:cs="宋体"/>
          <w:sz w:val="24"/>
          <w:szCs w:val="24"/>
        </w:rPr>
        <w:t>详见招标文件</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本项目（否）接受联合体投标。</w:t>
      </w:r>
    </w:p>
    <w:p>
      <w:pPr>
        <w:keepNext w:val="0"/>
        <w:keepLines w:val="0"/>
        <w:pageBreakBefore w:val="0"/>
        <w:widowControl/>
        <w:numPr>
          <w:ilvl w:val="0"/>
          <w:numId w:val="18"/>
        </w:numPr>
        <w:kinsoku/>
        <w:wordWrap/>
        <w:overflowPunct/>
        <w:topLinePunct w:val="0"/>
        <w:autoSpaceDE/>
        <w:autoSpaceDN/>
        <w:bidi w:val="0"/>
        <w:adjustRightInd/>
        <w:spacing w:line="440" w:lineRule="exact"/>
        <w:ind w:left="480"/>
        <w:jc w:val="left"/>
        <w:textAlignment w:val="auto"/>
        <w:outlineLvl w:val="1"/>
        <w:rPr>
          <w:rFonts w:hint="eastAsia" w:ascii="宋体" w:hAnsi="宋体" w:eastAsia="宋体" w:cs="宋体"/>
          <w:b/>
          <w:bCs/>
          <w:kern w:val="0"/>
          <w:sz w:val="24"/>
        </w:rPr>
      </w:pPr>
      <w:bookmarkStart w:id="10" w:name="_Toc23031"/>
      <w:r>
        <w:rPr>
          <w:rFonts w:hint="eastAsia" w:ascii="宋体" w:hAnsi="宋体" w:eastAsia="宋体" w:cs="宋体"/>
          <w:b/>
          <w:bCs/>
          <w:kern w:val="0"/>
          <w:sz w:val="24"/>
        </w:rPr>
        <w:t>申请人的资格要求</w:t>
      </w:r>
      <w:bookmarkEnd w:id="10"/>
    </w:p>
    <w:p>
      <w:pPr>
        <w:keepNext w:val="0"/>
        <w:keepLines w:val="0"/>
        <w:pageBreakBefore w:val="0"/>
        <w:kinsoku/>
        <w:wordWrap/>
        <w:overflowPunct/>
        <w:topLinePunct w:val="0"/>
        <w:autoSpaceDE/>
        <w:autoSpaceDN/>
        <w:bidi w:val="0"/>
        <w:adjustRightInd/>
        <w:spacing w:line="440" w:lineRule="exact"/>
        <w:ind w:firstLine="470" w:firstLineChars="196"/>
        <w:textAlignment w:val="auto"/>
        <w:outlineLvl w:val="1"/>
        <w:rPr>
          <w:rFonts w:hint="eastAsia" w:ascii="宋体" w:hAnsi="宋体" w:eastAsia="宋体" w:cs="宋体"/>
          <w:b w:val="0"/>
          <w:bCs w:val="0"/>
          <w:sz w:val="24"/>
        </w:rPr>
      </w:pPr>
      <w:bookmarkStart w:id="11" w:name="_Toc3659"/>
      <w:r>
        <w:rPr>
          <w:rFonts w:hint="eastAsia" w:ascii="宋体" w:hAnsi="宋体" w:eastAsia="宋体" w:cs="宋体"/>
          <w:b w:val="0"/>
          <w:bCs w:val="0"/>
          <w:sz w:val="24"/>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pacing w:line="440" w:lineRule="exact"/>
        <w:ind w:firstLine="470" w:firstLineChars="196"/>
        <w:textAlignment w:val="auto"/>
        <w:outlineLvl w:val="1"/>
        <w:rPr>
          <w:rFonts w:hint="eastAsia" w:ascii="宋体" w:hAnsi="宋体" w:eastAsia="宋体" w:cs="宋体"/>
          <w:b w:val="0"/>
          <w:bCs w:val="0"/>
          <w:sz w:val="24"/>
        </w:rPr>
      </w:pPr>
      <w:r>
        <w:rPr>
          <w:rFonts w:hint="eastAsia" w:ascii="宋体" w:hAnsi="宋体" w:eastAsia="宋体" w:cs="宋体"/>
          <w:b w:val="0"/>
          <w:bCs w:val="0"/>
          <w:sz w:val="24"/>
        </w:rPr>
        <w:t>2.落实政府采购政策需满足的资格要求：</w:t>
      </w:r>
      <w:r>
        <w:rPr>
          <w:rFonts w:hint="eastAsia" w:ascii="宋体" w:hAnsi="宋体" w:eastAsia="宋体" w:cs="宋体"/>
          <w:b w:val="0"/>
          <w:bCs w:val="0"/>
          <w:sz w:val="24"/>
          <w:lang w:val="en-US" w:eastAsia="zh-CN"/>
        </w:rPr>
        <w:t>无</w:t>
      </w:r>
      <w:r>
        <w:rPr>
          <w:rFonts w:hint="eastAsia" w:ascii="宋体" w:hAnsi="宋体" w:eastAsia="宋体" w:cs="宋体"/>
          <w:b w:val="0"/>
          <w:bCs w:val="0"/>
          <w:sz w:val="24"/>
        </w:rPr>
        <w:t xml:space="preserve">。 </w:t>
      </w:r>
    </w:p>
    <w:p>
      <w:pPr>
        <w:keepNext w:val="0"/>
        <w:keepLines w:val="0"/>
        <w:pageBreakBefore w:val="0"/>
        <w:numPr>
          <w:ilvl w:val="0"/>
          <w:numId w:val="0"/>
        </w:numPr>
        <w:kinsoku/>
        <w:wordWrap/>
        <w:overflowPunct/>
        <w:topLinePunct w:val="0"/>
        <w:autoSpaceDE/>
        <w:autoSpaceDN/>
        <w:bidi w:val="0"/>
        <w:adjustRightInd/>
        <w:spacing w:line="440" w:lineRule="exact"/>
        <w:ind w:firstLine="480" w:firstLineChars="200"/>
        <w:textAlignment w:val="auto"/>
        <w:outlineLvl w:val="1"/>
        <w:rPr>
          <w:rFonts w:hint="eastAsia" w:ascii="宋体" w:hAnsi="宋体" w:eastAsia="宋体" w:cs="宋体"/>
          <w:b w:val="0"/>
          <w:bCs w:val="0"/>
          <w:sz w:val="24"/>
        </w:rPr>
      </w:pPr>
      <w:r>
        <w:rPr>
          <w:rFonts w:hint="eastAsia" w:ascii="宋体" w:hAnsi="宋体" w:eastAsia="宋体" w:cs="宋体"/>
          <w:b w:val="0"/>
          <w:bCs w:val="0"/>
          <w:sz w:val="24"/>
          <w:lang w:val="en-US" w:eastAsia="zh-CN"/>
        </w:rPr>
        <w:t>3.</w:t>
      </w:r>
      <w:r>
        <w:rPr>
          <w:rFonts w:hint="eastAsia" w:ascii="宋体" w:hAnsi="宋体" w:eastAsia="宋体" w:cs="宋体"/>
          <w:b w:val="0"/>
          <w:bCs w:val="0"/>
          <w:sz w:val="24"/>
        </w:rPr>
        <w:t xml:space="preserve">本项目的特定资格要求：无 </w:t>
      </w:r>
    </w:p>
    <w:p>
      <w:pPr>
        <w:keepNext w:val="0"/>
        <w:keepLines w:val="0"/>
        <w:pageBreakBefore w:val="0"/>
        <w:numPr>
          <w:ilvl w:val="0"/>
          <w:numId w:val="0"/>
        </w:numPr>
        <w:kinsoku/>
        <w:wordWrap/>
        <w:overflowPunct/>
        <w:topLinePunct w:val="0"/>
        <w:autoSpaceDE/>
        <w:autoSpaceDN/>
        <w:bidi w:val="0"/>
        <w:adjustRightInd/>
        <w:spacing w:line="440" w:lineRule="exact"/>
        <w:ind w:firstLine="482" w:firstLineChars="200"/>
        <w:textAlignment w:val="auto"/>
        <w:outlineLvl w:val="1"/>
        <w:rPr>
          <w:rFonts w:hint="eastAsia" w:ascii="宋体" w:hAnsi="宋体" w:eastAsia="宋体" w:cs="宋体"/>
          <w:b/>
          <w:bCs/>
          <w:sz w:val="24"/>
        </w:rPr>
      </w:pPr>
      <w:r>
        <w:rPr>
          <w:rFonts w:hint="eastAsia" w:ascii="宋体" w:hAnsi="宋体" w:eastAsia="宋体" w:cs="宋体"/>
          <w:b/>
          <w:bCs/>
          <w:sz w:val="24"/>
        </w:rPr>
        <w:t>三、</w:t>
      </w:r>
      <w:bookmarkEnd w:id="11"/>
      <w:r>
        <w:rPr>
          <w:rFonts w:hint="eastAsia" w:ascii="宋体" w:hAnsi="宋体" w:eastAsia="宋体" w:cs="宋体"/>
          <w:b/>
          <w:bCs/>
          <w:sz w:val="24"/>
        </w:rPr>
        <w:t>获取（下载）采购文件</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outlineLvl w:val="1"/>
        <w:rPr>
          <w:rFonts w:hint="eastAsia" w:ascii="宋体" w:hAnsi="宋体" w:eastAsia="宋体" w:cs="宋体"/>
          <w:b w:val="0"/>
          <w:bCs w:val="0"/>
          <w:sz w:val="24"/>
          <w:szCs w:val="24"/>
        </w:rPr>
      </w:pPr>
      <w:bookmarkStart w:id="12" w:name="_Toc7627"/>
      <w:r>
        <w:rPr>
          <w:rFonts w:hint="eastAsia" w:ascii="宋体" w:hAnsi="宋体" w:eastAsia="宋体" w:cs="宋体"/>
          <w:b w:val="0"/>
          <w:bCs w:val="0"/>
          <w:sz w:val="24"/>
          <w:szCs w:val="24"/>
        </w:rPr>
        <w:t>时间：/至2020年</w:t>
      </w: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rPr>
        <w:t>月</w:t>
      </w:r>
      <w:r>
        <w:rPr>
          <w:rFonts w:hint="eastAsia" w:ascii="宋体" w:hAnsi="宋体" w:cs="宋体"/>
          <w:b w:val="0"/>
          <w:bCs w:val="0"/>
          <w:sz w:val="24"/>
          <w:szCs w:val="24"/>
          <w:lang w:val="en-US" w:eastAsia="zh-CN"/>
        </w:rPr>
        <w:t>24</w:t>
      </w:r>
      <w:r>
        <w:rPr>
          <w:rFonts w:hint="eastAsia" w:ascii="宋体" w:hAnsi="宋体" w:eastAsia="宋体" w:cs="宋体"/>
          <w:b w:val="0"/>
          <w:bCs w:val="0"/>
          <w:sz w:val="24"/>
          <w:szCs w:val="24"/>
        </w:rPr>
        <w:t>日 ，每天上午00:00至12:00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地点（网址）：政采云平台（https://www.zcygov.cn/） </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outlineLvl w:val="1"/>
        <w:rPr>
          <w:rFonts w:hint="eastAsia" w:ascii="宋体" w:hAnsi="宋体" w:eastAsia="宋体" w:cs="宋体"/>
          <w:b/>
          <w:bCs/>
          <w:sz w:val="24"/>
          <w:szCs w:val="24"/>
        </w:rPr>
      </w:pPr>
      <w:r>
        <w:rPr>
          <w:rFonts w:hint="eastAsia" w:ascii="宋体" w:hAnsi="宋体" w:eastAsia="宋体" w:cs="宋体"/>
          <w:b w:val="0"/>
          <w:bCs w:val="0"/>
          <w:sz w:val="24"/>
          <w:szCs w:val="24"/>
        </w:rPr>
        <w:t xml:space="preserve">方式：供应商登陆政采云平台https://www.zcygov.cn/，在线申请获取采购文件（进入“项目采购”应用，在获取采购文件菜单中选择项目，申请获取采购文件,仅需浏览采购文件的供应商可点击“游客，浏览采购文件”直接下载采购文件浏览）。 </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售价（元）：0 </w:t>
      </w:r>
    </w:p>
    <w:p>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四、</w:t>
      </w:r>
      <w:bookmarkEnd w:id="12"/>
      <w:r>
        <w:rPr>
          <w:rFonts w:hint="eastAsia" w:ascii="宋体" w:hAnsi="宋体" w:eastAsia="宋体" w:cs="宋体"/>
          <w:b/>
          <w:bCs/>
          <w:sz w:val="24"/>
          <w:szCs w:val="24"/>
        </w:rPr>
        <w:t xml:space="preserve">响应文件提交（上传） </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outlineLvl w:val="1"/>
        <w:rPr>
          <w:rFonts w:hint="eastAsia" w:ascii="宋体" w:hAnsi="宋体" w:eastAsia="宋体" w:cs="宋体"/>
          <w:b w:val="0"/>
          <w:bCs w:val="0"/>
          <w:sz w:val="24"/>
          <w:szCs w:val="24"/>
        </w:rPr>
      </w:pPr>
      <w:bookmarkStart w:id="13" w:name="_Toc6977"/>
      <w:r>
        <w:rPr>
          <w:rFonts w:hint="eastAsia" w:ascii="宋体" w:hAnsi="宋体" w:eastAsia="宋体" w:cs="宋体"/>
          <w:b w:val="0"/>
          <w:bCs w:val="0"/>
          <w:sz w:val="24"/>
          <w:szCs w:val="24"/>
        </w:rPr>
        <w:t>截止时间：2020年08月</w:t>
      </w:r>
      <w:r>
        <w:rPr>
          <w:rFonts w:hint="eastAsia" w:ascii="宋体" w:hAnsi="宋体" w:cs="宋体"/>
          <w:b w:val="0"/>
          <w:bCs w:val="0"/>
          <w:sz w:val="24"/>
          <w:szCs w:val="24"/>
          <w:lang w:val="en-US" w:eastAsia="zh-CN"/>
        </w:rPr>
        <w:t xml:space="preserve"> 24</w:t>
      </w:r>
      <w:r>
        <w:rPr>
          <w:rFonts w:hint="eastAsia" w:ascii="宋体" w:hAnsi="宋体" w:eastAsia="宋体" w:cs="宋体"/>
          <w:b w:val="0"/>
          <w:bCs w:val="0"/>
          <w:sz w:val="24"/>
          <w:szCs w:val="24"/>
        </w:rPr>
        <w:t xml:space="preserve">日 </w:t>
      </w:r>
      <w:r>
        <w:rPr>
          <w:rFonts w:hint="eastAsia" w:ascii="宋体" w:hAnsi="宋体" w:cs="宋体"/>
          <w:b w:val="0"/>
          <w:bCs w:val="0"/>
          <w:sz w:val="24"/>
          <w:szCs w:val="24"/>
          <w:lang w:val="en-US" w:eastAsia="zh-CN"/>
        </w:rPr>
        <w:t>09</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rPr>
        <w:t>0（北京时间）</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地点（网址）：通过“政府采购云平台（www.zcygov.cn）”实行在线投标响应</w:t>
      </w:r>
    </w:p>
    <w:p>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outlineLvl w:val="1"/>
        <w:rPr>
          <w:rFonts w:hint="eastAsia" w:ascii="宋体" w:hAnsi="宋体" w:eastAsia="宋体" w:cs="宋体"/>
          <w:b w:val="0"/>
          <w:bCs w:val="0"/>
          <w:sz w:val="24"/>
          <w:szCs w:val="24"/>
        </w:rPr>
      </w:pPr>
      <w:r>
        <w:rPr>
          <w:rFonts w:hint="eastAsia" w:ascii="宋体" w:hAnsi="宋体" w:eastAsia="宋体" w:cs="宋体"/>
          <w:b/>
          <w:bCs/>
          <w:sz w:val="24"/>
          <w:szCs w:val="24"/>
        </w:rPr>
        <w:t>五、响应文件开启</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开启时间：2020年08月</w:t>
      </w:r>
      <w:r>
        <w:rPr>
          <w:rFonts w:hint="eastAsia" w:ascii="宋体" w:hAnsi="宋体" w:cs="宋体"/>
          <w:b w:val="0"/>
          <w:bCs w:val="0"/>
          <w:sz w:val="24"/>
          <w:szCs w:val="24"/>
          <w:lang w:val="en-US" w:eastAsia="zh-CN"/>
        </w:rPr>
        <w:t>24</w:t>
      </w:r>
      <w:r>
        <w:rPr>
          <w:rFonts w:hint="eastAsia" w:ascii="宋体" w:hAnsi="宋体" w:eastAsia="宋体" w:cs="宋体"/>
          <w:b w:val="0"/>
          <w:bCs w:val="0"/>
          <w:sz w:val="24"/>
          <w:szCs w:val="24"/>
        </w:rPr>
        <w:t xml:space="preserve">日 </w:t>
      </w:r>
      <w:r>
        <w:rPr>
          <w:rFonts w:hint="eastAsia" w:ascii="宋体" w:hAnsi="宋体" w:eastAsia="宋体" w:cs="宋体"/>
          <w:b w:val="0"/>
          <w:bCs w:val="0"/>
          <w:sz w:val="24"/>
          <w:szCs w:val="24"/>
          <w:lang w:val="en-US" w:eastAsia="zh-CN"/>
        </w:rPr>
        <w:t>09</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0 （北京时间）</w:t>
      </w:r>
    </w:p>
    <w:p>
      <w:pPr>
        <w:keepNext w:val="0"/>
        <w:keepLines w:val="0"/>
        <w:pageBreakBefore w:val="0"/>
        <w:kinsoku/>
        <w:wordWrap/>
        <w:overflowPunct/>
        <w:topLinePunct w:val="0"/>
        <w:autoSpaceDE/>
        <w:autoSpaceDN/>
        <w:bidi w:val="0"/>
        <w:adjustRightInd/>
        <w:snapToGrid w:val="0"/>
        <w:spacing w:line="440" w:lineRule="exact"/>
        <w:ind w:firstLine="482"/>
        <w:textAlignment w:val="auto"/>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地点（网址）：通过“政府采购云平台（www.zcygov.cn）”实行在线解密 </w:t>
      </w:r>
    </w:p>
    <w:p>
      <w:pPr>
        <w:keepNext w:val="0"/>
        <w:keepLines w:val="0"/>
        <w:pageBreakBefore w:val="0"/>
        <w:kinsoku/>
        <w:wordWrap/>
        <w:overflowPunct/>
        <w:topLinePunct w:val="0"/>
        <w:autoSpaceDE/>
        <w:autoSpaceDN/>
        <w:bidi w:val="0"/>
        <w:adjustRightInd/>
        <w:snapToGrid w:val="0"/>
        <w:spacing w:line="440" w:lineRule="exact"/>
        <w:ind w:firstLine="482"/>
        <w:textAlignment w:val="auto"/>
        <w:outlineLvl w:val="1"/>
        <w:rPr>
          <w:rFonts w:hint="eastAsia" w:ascii="宋体" w:hAnsi="宋体" w:eastAsia="宋体" w:cs="宋体"/>
          <w:b/>
          <w:bCs/>
          <w:sz w:val="24"/>
          <w:szCs w:val="24"/>
        </w:rPr>
      </w:pPr>
      <w:r>
        <w:rPr>
          <w:rFonts w:hint="eastAsia" w:ascii="宋体" w:hAnsi="宋体" w:eastAsia="宋体" w:cs="宋体"/>
          <w:b/>
          <w:bCs/>
          <w:sz w:val="24"/>
          <w:szCs w:val="24"/>
        </w:rPr>
        <w:t>六、公告期限</w:t>
      </w:r>
      <w:bookmarkEnd w:id="13"/>
    </w:p>
    <w:p>
      <w:pPr>
        <w:keepNext w:val="0"/>
        <w:keepLines w:val="0"/>
        <w:pageBreakBefore w:val="0"/>
        <w:kinsoku/>
        <w:wordWrap/>
        <w:overflowPunct/>
        <w:topLinePunct w:val="0"/>
        <w:autoSpaceDE/>
        <w:autoSpaceDN/>
        <w:bidi w:val="0"/>
        <w:adjustRightInd/>
        <w:snapToGrid w:val="0"/>
        <w:spacing w:line="44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w:t>
      </w:r>
    </w:p>
    <w:p>
      <w:pPr>
        <w:keepNext w:val="0"/>
        <w:keepLines w:val="0"/>
        <w:pageBreakBefore w:val="0"/>
        <w:kinsoku/>
        <w:wordWrap/>
        <w:overflowPunct/>
        <w:topLinePunct w:val="0"/>
        <w:autoSpaceDE/>
        <w:autoSpaceDN/>
        <w:bidi w:val="0"/>
        <w:adjustRightInd/>
        <w:snapToGrid w:val="0"/>
        <w:spacing w:line="440" w:lineRule="exact"/>
        <w:ind w:firstLine="482"/>
        <w:textAlignment w:val="auto"/>
        <w:outlineLvl w:val="1"/>
        <w:rPr>
          <w:rFonts w:hint="eastAsia" w:ascii="宋体" w:hAnsi="宋体" w:eastAsia="宋体" w:cs="宋体"/>
          <w:b/>
          <w:bCs/>
          <w:sz w:val="24"/>
          <w:szCs w:val="24"/>
        </w:rPr>
      </w:pPr>
      <w:bookmarkStart w:id="14" w:name="_Toc19114"/>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其他补充事宜</w:t>
      </w:r>
      <w:bookmarkEnd w:id="14"/>
    </w:p>
    <w:p>
      <w:pPr>
        <w:keepNext w:val="0"/>
        <w:keepLines w:val="0"/>
        <w:pageBreakBefore w:val="0"/>
        <w:kinsoku/>
        <w:wordWrap/>
        <w:overflowPunct/>
        <w:topLinePunct w:val="0"/>
        <w:autoSpaceDE/>
        <w:autoSpaceDN/>
        <w:bidi w:val="0"/>
        <w:adjustRightInd/>
        <w:snapToGrid w:val="0"/>
        <w:spacing w:line="440" w:lineRule="exact"/>
        <w:ind w:firstLine="482"/>
        <w:textAlignment w:val="auto"/>
        <w:rPr>
          <w:rFonts w:hint="eastAsia" w:ascii="宋体" w:hAnsi="宋体" w:eastAsia="宋体" w:cs="宋体"/>
          <w:color w:val="000000"/>
          <w:kern w:val="0"/>
          <w:sz w:val="24"/>
        </w:rPr>
      </w:pPr>
      <w:r>
        <w:rPr>
          <w:rFonts w:hint="eastAsia" w:ascii="宋体" w:hAnsi="宋体" w:eastAsia="宋体" w:cs="宋体"/>
          <w:kern w:val="1"/>
          <w:sz w:val="24"/>
        </w:rPr>
        <w:t>1.</w:t>
      </w:r>
      <w:r>
        <w:rPr>
          <w:rFonts w:hint="eastAsia" w:ascii="宋体" w:hAnsi="宋体" w:eastAsia="宋体" w:cs="宋体"/>
          <w:color w:val="000000"/>
          <w:kern w:val="0"/>
          <w:sz w:val="24"/>
        </w:rPr>
        <w:t>投标人认为采购文件使自己的权益受到损害的，可以自获取采购文件之日或者采购文件公告期限届满之日（采购文件公告期限届满后获取采购文件的，以采购文件公告期限届满之日为准）起7个工作日内，以书面形式一次性向采购人、采购代理机构提出质疑（未按规定获取采购文件的投标人对采购文件提起的质疑将不予受理）。质疑投标人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1"/>
        <w:rPr>
          <w:rFonts w:hint="eastAsia" w:ascii="宋体" w:hAnsi="宋体" w:eastAsia="宋体" w:cs="宋体"/>
          <w:b w:val="0"/>
          <w:bCs w:val="0"/>
          <w:sz w:val="24"/>
          <w:lang w:val="en-US" w:eastAsia="zh-CN"/>
        </w:rPr>
      </w:pPr>
      <w:bookmarkStart w:id="15" w:name="_Toc514"/>
      <w:r>
        <w:rPr>
          <w:rFonts w:hint="eastAsia" w:ascii="宋体" w:hAnsi="宋体" w:eastAsia="宋体" w:cs="宋体"/>
          <w:b w:val="0"/>
          <w:bCs w:val="0"/>
          <w:sz w:val="24"/>
          <w:lang w:val="en-US" w:eastAsia="zh-CN"/>
        </w:rPr>
        <w:t xml:space="preserve"> 2.其他事项：无  </w:t>
      </w:r>
    </w:p>
    <w:p>
      <w:pPr>
        <w:keepNext w:val="0"/>
        <w:keepLines w:val="0"/>
        <w:pageBreakBefore w:val="0"/>
        <w:kinsoku/>
        <w:wordWrap/>
        <w:overflowPunct/>
        <w:topLinePunct w:val="0"/>
        <w:autoSpaceDE/>
        <w:autoSpaceDN/>
        <w:bidi w:val="0"/>
        <w:adjustRightInd/>
        <w:snapToGrid w:val="0"/>
        <w:spacing w:line="440" w:lineRule="exact"/>
        <w:ind w:firstLine="482" w:firstLineChars="200"/>
        <w:jc w:val="left"/>
        <w:textAlignment w:val="auto"/>
        <w:outlineLvl w:val="1"/>
        <w:rPr>
          <w:rFonts w:hint="eastAsia" w:ascii="宋体" w:hAnsi="宋体" w:eastAsia="宋体" w:cs="宋体"/>
          <w:b/>
          <w:bCs/>
          <w:sz w:val="24"/>
        </w:rPr>
      </w:pPr>
      <w:r>
        <w:rPr>
          <w:rFonts w:hint="eastAsia" w:ascii="宋体" w:hAnsi="宋体" w:eastAsia="宋体" w:cs="宋体"/>
          <w:b/>
          <w:bCs/>
          <w:sz w:val="24"/>
          <w:lang w:val="en-US" w:eastAsia="zh-CN"/>
        </w:rPr>
        <w:t>八</w:t>
      </w:r>
      <w:r>
        <w:rPr>
          <w:rFonts w:hint="eastAsia" w:ascii="宋体" w:hAnsi="宋体" w:eastAsia="宋体" w:cs="宋体"/>
          <w:b/>
          <w:bCs/>
          <w:sz w:val="24"/>
        </w:rPr>
        <w:t>、</w:t>
      </w:r>
      <w:bookmarkEnd w:id="15"/>
      <w:r>
        <w:rPr>
          <w:rFonts w:hint="eastAsia" w:ascii="宋体" w:hAnsi="宋体" w:eastAsia="宋体" w:cs="宋体"/>
          <w:b/>
          <w:bCs/>
          <w:sz w:val="24"/>
        </w:rPr>
        <w:t>凡对本次招标提出询问、质疑、投诉，请按以下方式联系</w:t>
      </w:r>
    </w:p>
    <w:p>
      <w:pPr>
        <w:pStyle w:val="47"/>
        <w:keepNext w:val="0"/>
        <w:keepLines w:val="0"/>
        <w:pageBreakBefore w:val="0"/>
        <w:kinsoku/>
        <w:wordWrap/>
        <w:overflowPunct/>
        <w:topLinePunct w:val="0"/>
        <w:autoSpaceDE/>
        <w:autoSpaceDN/>
        <w:bidi w:val="0"/>
        <w:adjustRightInd/>
        <w:spacing w:before="0" w:beforeAutospacing="0" w:after="0" w:afterAutospacing="0" w:line="440" w:lineRule="exact"/>
        <w:textAlignment w:val="auto"/>
        <w:rPr>
          <w:rFonts w:hint="eastAsia" w:ascii="宋体" w:hAnsi="宋体" w:eastAsia="宋体" w:cs="宋体"/>
          <w:u w:val="none"/>
        </w:rPr>
      </w:pPr>
      <w:r>
        <w:rPr>
          <w:rFonts w:hint="eastAsia" w:ascii="宋体" w:hAnsi="宋体" w:eastAsia="宋体" w:cs="宋体"/>
          <w:color w:val="333333"/>
          <w:shd w:val="clear" w:color="auto" w:fill="FFFFFF"/>
        </w:rPr>
        <w:t xml:space="preserve">  </w:t>
      </w:r>
      <w:r>
        <w:rPr>
          <w:rFonts w:hint="eastAsia" w:ascii="宋体" w:hAnsi="宋体" w:eastAsia="宋体" w:cs="宋体"/>
          <w:color w:val="333333"/>
          <w:u w:val="none"/>
          <w:shd w:val="clear" w:color="auto" w:fill="FFFFFF"/>
        </w:rPr>
        <w:t xml:space="preserve"> </w:t>
      </w:r>
      <w:r>
        <w:rPr>
          <w:rFonts w:hint="eastAsia" w:ascii="宋体" w:hAnsi="宋体" w:eastAsia="宋体" w:cs="宋体"/>
          <w:u w:val="none"/>
          <w:shd w:val="clear" w:color="auto" w:fill="FFFFFF"/>
        </w:rPr>
        <w:t>1.采购人信息</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textAlignment w:val="auto"/>
        <w:rPr>
          <w:rFonts w:hint="eastAsia" w:ascii="宋体" w:hAnsi="宋体" w:eastAsia="宋体" w:cs="宋体"/>
          <w:u w:val="none"/>
        </w:rPr>
      </w:pPr>
      <w:r>
        <w:rPr>
          <w:rFonts w:hint="eastAsia" w:ascii="宋体" w:hAnsi="宋体" w:eastAsia="宋体" w:cs="宋体"/>
          <w:u w:val="none"/>
          <w:shd w:val="clear" w:color="auto" w:fill="FFFFFF"/>
        </w:rPr>
        <w:t xml:space="preserve">  </w:t>
      </w:r>
      <w:r>
        <w:rPr>
          <w:rFonts w:hint="eastAsia" w:ascii="宋体" w:hAnsi="宋体" w:eastAsia="宋体" w:cs="宋体"/>
          <w:u w:val="none"/>
          <w:shd w:val="clear" w:color="auto" w:fill="FFFFFF"/>
          <w:lang w:val="en-US" w:eastAsia="zh-CN"/>
        </w:rPr>
        <w:t xml:space="preserve"> </w:t>
      </w:r>
      <w:r>
        <w:rPr>
          <w:rFonts w:hint="eastAsia" w:ascii="宋体" w:hAnsi="宋体" w:eastAsia="宋体" w:cs="宋体"/>
          <w:u w:val="none"/>
          <w:shd w:val="clear" w:color="auto" w:fill="FFFFFF"/>
        </w:rPr>
        <w:t>名    称：新昌县城东实验学校 </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textAlignment w:val="auto"/>
        <w:rPr>
          <w:rFonts w:hint="eastAsia" w:ascii="宋体" w:hAnsi="宋体" w:eastAsia="宋体" w:cs="宋体"/>
          <w:u w:val="none"/>
        </w:rPr>
      </w:pPr>
      <w:r>
        <w:rPr>
          <w:rFonts w:hint="eastAsia" w:ascii="宋体" w:hAnsi="宋体" w:eastAsia="宋体" w:cs="宋体"/>
          <w:u w:val="none"/>
          <w:shd w:val="clear" w:color="auto" w:fill="FFFFFF"/>
        </w:rPr>
        <w:t xml:space="preserve">  </w:t>
      </w:r>
      <w:r>
        <w:rPr>
          <w:rFonts w:hint="eastAsia" w:ascii="宋体" w:hAnsi="宋体" w:eastAsia="宋体" w:cs="宋体"/>
          <w:u w:val="none"/>
          <w:shd w:val="clear" w:color="auto" w:fill="FFFFFF"/>
          <w:lang w:val="en-US" w:eastAsia="zh-CN"/>
        </w:rPr>
        <w:t xml:space="preserve"> </w:t>
      </w:r>
      <w:r>
        <w:rPr>
          <w:rFonts w:hint="eastAsia" w:ascii="宋体" w:hAnsi="宋体" w:eastAsia="宋体" w:cs="宋体"/>
          <w:u w:val="none"/>
          <w:shd w:val="clear" w:color="auto" w:fill="FFFFFF"/>
        </w:rPr>
        <w:t>地    址： 新昌县南明街道棣山村棣山路188号</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textAlignment w:val="auto"/>
        <w:rPr>
          <w:rFonts w:hint="eastAsia" w:ascii="宋体" w:hAnsi="宋体" w:eastAsia="宋体" w:cs="宋体"/>
          <w:u w:val="none"/>
          <w:shd w:val="clear" w:color="auto" w:fill="FFFFFF"/>
        </w:rPr>
      </w:pPr>
      <w:r>
        <w:rPr>
          <w:rFonts w:hint="eastAsia" w:ascii="宋体" w:hAnsi="宋体" w:eastAsia="宋体" w:cs="宋体"/>
          <w:u w:val="none"/>
          <w:shd w:val="clear" w:color="auto" w:fill="FFFFFF"/>
        </w:rPr>
        <w:t xml:space="preserve">  </w:t>
      </w:r>
      <w:r>
        <w:rPr>
          <w:rFonts w:hint="eastAsia" w:ascii="宋体" w:hAnsi="宋体" w:eastAsia="宋体" w:cs="宋体"/>
          <w:u w:val="none"/>
          <w:shd w:val="clear" w:color="auto" w:fill="FFFFFF"/>
          <w:lang w:val="en-US" w:eastAsia="zh-CN"/>
        </w:rPr>
        <w:t xml:space="preserve"> </w:t>
      </w:r>
      <w:r>
        <w:rPr>
          <w:rFonts w:hint="eastAsia" w:ascii="宋体" w:hAnsi="宋体" w:eastAsia="宋体" w:cs="宋体"/>
          <w:u w:val="none"/>
          <w:shd w:val="clear" w:color="auto" w:fill="FFFFFF"/>
        </w:rPr>
        <w:t xml:space="preserve">传    </w:t>
      </w:r>
      <w:r>
        <w:rPr>
          <w:rFonts w:hint="eastAsia" w:ascii="宋体" w:hAnsi="宋体" w:eastAsia="宋体" w:cs="宋体"/>
          <w:u w:val="none"/>
          <w:shd w:val="clear" w:color="auto" w:fill="FFFFFF"/>
          <w:lang w:val="en-US" w:eastAsia="zh-CN"/>
        </w:rPr>
        <w:t xml:space="preserve">   </w:t>
      </w:r>
      <w:r>
        <w:rPr>
          <w:rFonts w:hint="eastAsia" w:ascii="宋体" w:hAnsi="宋体" w:eastAsia="宋体" w:cs="宋体"/>
          <w:u w:val="none"/>
          <w:shd w:val="clear" w:color="auto" w:fill="FFFFFF"/>
        </w:rPr>
        <w:t xml:space="preserve">真：/  </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ind w:firstLine="480" w:firstLineChars="200"/>
        <w:textAlignment w:val="auto"/>
        <w:rPr>
          <w:rFonts w:hint="eastAsia" w:ascii="宋体" w:hAnsi="宋体" w:eastAsia="宋体" w:cs="宋体"/>
          <w:u w:val="none"/>
        </w:rPr>
      </w:pPr>
      <w:r>
        <w:rPr>
          <w:rFonts w:hint="eastAsia" w:ascii="宋体" w:hAnsi="宋体" w:eastAsia="宋体" w:cs="宋体"/>
          <w:u w:val="none"/>
          <w:shd w:val="clear" w:color="auto" w:fill="FFFFFF"/>
        </w:rPr>
        <w:t>项目联系人：何来明           　　　　　　　　　</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textAlignment w:val="auto"/>
        <w:rPr>
          <w:rFonts w:hint="eastAsia" w:ascii="宋体" w:hAnsi="宋体" w:eastAsia="宋体" w:cs="宋体"/>
          <w:u w:val="none"/>
        </w:rPr>
      </w:pPr>
      <w:r>
        <w:rPr>
          <w:rFonts w:hint="eastAsia" w:ascii="宋体" w:hAnsi="宋体" w:eastAsia="宋体" w:cs="宋体"/>
          <w:u w:val="none"/>
          <w:shd w:val="clear" w:color="auto" w:fill="FFFFFF"/>
        </w:rPr>
        <w:t xml:space="preserve">  </w:t>
      </w:r>
      <w:r>
        <w:rPr>
          <w:rFonts w:hint="eastAsia" w:ascii="宋体" w:hAnsi="宋体" w:eastAsia="宋体" w:cs="宋体"/>
          <w:u w:val="none"/>
          <w:shd w:val="clear" w:color="auto" w:fill="FFFFFF"/>
          <w:lang w:val="en-US" w:eastAsia="zh-CN"/>
        </w:rPr>
        <w:t xml:space="preserve"> </w:t>
      </w:r>
      <w:r>
        <w:rPr>
          <w:rFonts w:hint="eastAsia" w:ascii="宋体" w:hAnsi="宋体" w:eastAsia="宋体" w:cs="宋体"/>
          <w:u w:val="none"/>
          <w:shd w:val="clear" w:color="auto" w:fill="FFFFFF"/>
        </w:rPr>
        <w:t xml:space="preserve">项目联系方式：13858598807    </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textAlignment w:val="auto"/>
        <w:rPr>
          <w:rFonts w:hint="eastAsia" w:ascii="宋体" w:hAnsi="宋体" w:eastAsia="宋体" w:cs="宋体"/>
          <w:u w:val="none"/>
        </w:rPr>
      </w:pPr>
      <w:r>
        <w:rPr>
          <w:rFonts w:hint="eastAsia" w:ascii="宋体" w:hAnsi="宋体" w:eastAsia="宋体" w:cs="宋体"/>
          <w:u w:val="none"/>
          <w:shd w:val="clear" w:color="auto" w:fill="FFFFFF"/>
        </w:rPr>
        <w:t xml:space="preserve">  </w:t>
      </w:r>
      <w:r>
        <w:rPr>
          <w:rFonts w:hint="eastAsia" w:ascii="宋体" w:hAnsi="宋体" w:eastAsia="宋体" w:cs="宋体"/>
          <w:u w:val="none"/>
          <w:shd w:val="clear" w:color="auto" w:fill="FFFFFF"/>
          <w:lang w:val="en-US" w:eastAsia="zh-CN"/>
        </w:rPr>
        <w:t xml:space="preserve"> </w:t>
      </w:r>
      <w:r>
        <w:rPr>
          <w:rFonts w:hint="eastAsia" w:ascii="宋体" w:hAnsi="宋体" w:eastAsia="宋体" w:cs="宋体"/>
          <w:u w:val="none"/>
          <w:shd w:val="clear" w:color="auto" w:fill="FFFFFF"/>
        </w:rPr>
        <w:t xml:space="preserve">质疑联系人：王锡凡 </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textAlignment w:val="auto"/>
        <w:rPr>
          <w:rFonts w:hint="eastAsia" w:ascii="宋体" w:hAnsi="宋体" w:eastAsia="宋体" w:cs="宋体"/>
          <w:u w:val="none"/>
        </w:rPr>
      </w:pPr>
      <w:r>
        <w:rPr>
          <w:rFonts w:hint="eastAsia" w:ascii="宋体" w:hAnsi="宋体" w:eastAsia="宋体" w:cs="宋体"/>
          <w:u w:val="none"/>
          <w:shd w:val="clear" w:color="auto" w:fill="FFFFFF"/>
        </w:rPr>
        <w:t xml:space="preserve">  </w:t>
      </w:r>
      <w:r>
        <w:rPr>
          <w:rFonts w:hint="eastAsia" w:ascii="宋体" w:hAnsi="宋体" w:eastAsia="宋体" w:cs="宋体"/>
          <w:u w:val="none"/>
          <w:shd w:val="clear" w:color="auto" w:fill="FFFFFF"/>
          <w:lang w:val="en-US" w:eastAsia="zh-CN"/>
        </w:rPr>
        <w:t xml:space="preserve"> </w:t>
      </w:r>
      <w:r>
        <w:rPr>
          <w:rFonts w:hint="eastAsia" w:ascii="宋体" w:hAnsi="宋体" w:eastAsia="宋体" w:cs="宋体"/>
          <w:u w:val="none"/>
          <w:shd w:val="clear" w:color="auto" w:fill="FFFFFF"/>
        </w:rPr>
        <w:t>质疑联系方式：1356717955           　　　　　　　　　　</w:t>
      </w:r>
      <w:r>
        <w:rPr>
          <w:rFonts w:hint="eastAsia" w:ascii="宋体" w:hAnsi="宋体" w:eastAsia="宋体" w:cs="宋体"/>
          <w:u w:val="none"/>
          <w:shd w:val="clear" w:color="auto" w:fill="FFFFFF"/>
        </w:rPr>
        <w:br w:type="textWrapping"/>
      </w:r>
      <w:r>
        <w:rPr>
          <w:rFonts w:hint="eastAsia" w:ascii="宋体" w:hAnsi="宋体" w:eastAsia="宋体" w:cs="宋体"/>
          <w:u w:val="none"/>
          <w:shd w:val="clear" w:color="auto" w:fill="FFFFFF"/>
        </w:rPr>
        <w:t xml:space="preserve">  </w:t>
      </w:r>
      <w:r>
        <w:rPr>
          <w:rFonts w:hint="eastAsia" w:ascii="宋体" w:hAnsi="宋体" w:eastAsia="宋体" w:cs="宋体"/>
          <w:u w:val="none"/>
          <w:shd w:val="clear" w:color="auto" w:fill="FFFFFF"/>
          <w:lang w:val="en-US" w:eastAsia="zh-CN"/>
        </w:rPr>
        <w:t xml:space="preserve"> </w:t>
      </w:r>
      <w:r>
        <w:rPr>
          <w:rFonts w:hint="eastAsia" w:ascii="宋体" w:hAnsi="宋体" w:eastAsia="宋体" w:cs="宋体"/>
          <w:u w:val="none"/>
          <w:shd w:val="clear" w:color="auto" w:fill="FFFFFF"/>
        </w:rPr>
        <w:t>2.采购代理机构信息</w:t>
      </w:r>
    </w:p>
    <w:p>
      <w:pPr>
        <w:pStyle w:val="47"/>
        <w:keepNext w:val="0"/>
        <w:keepLines w:val="0"/>
        <w:pageBreakBefore w:val="0"/>
        <w:shd w:val="clear" w:color="auto" w:fill="FFFFFF"/>
        <w:kinsoku/>
        <w:wordWrap/>
        <w:overflowPunct/>
        <w:topLinePunct w:val="0"/>
        <w:autoSpaceDE/>
        <w:autoSpaceDN/>
        <w:bidi w:val="0"/>
        <w:adjustRightInd/>
        <w:spacing w:before="0" w:beforeAutospacing="0" w:after="0" w:afterAutospacing="0" w:line="440" w:lineRule="exact"/>
        <w:textAlignment w:val="auto"/>
        <w:rPr>
          <w:rFonts w:hint="eastAsia" w:ascii="宋体" w:hAnsi="宋体" w:eastAsia="宋体" w:cs="宋体"/>
          <w:u w:val="none"/>
        </w:rPr>
      </w:pPr>
      <w:r>
        <w:rPr>
          <w:rFonts w:hint="eastAsia" w:ascii="宋体" w:hAnsi="宋体" w:eastAsia="宋体" w:cs="宋体"/>
          <w:u w:val="none"/>
          <w:shd w:val="clear" w:color="auto" w:fill="FFFFFF"/>
        </w:rPr>
        <w:t xml:space="preserve">  </w:t>
      </w:r>
      <w:r>
        <w:rPr>
          <w:rFonts w:hint="eastAsia" w:ascii="宋体" w:hAnsi="宋体" w:eastAsia="宋体" w:cs="宋体"/>
          <w:u w:val="none"/>
          <w:shd w:val="clear" w:color="auto" w:fill="FFFFFF"/>
          <w:lang w:val="en-US" w:eastAsia="zh-CN"/>
        </w:rPr>
        <w:t xml:space="preserve"> </w:t>
      </w:r>
      <w:r>
        <w:rPr>
          <w:rFonts w:hint="eastAsia" w:ascii="宋体" w:hAnsi="宋体" w:eastAsia="宋体" w:cs="宋体"/>
          <w:u w:val="none"/>
          <w:shd w:val="clear" w:color="auto" w:fill="FFFFFF"/>
        </w:rPr>
        <w:t>名    称：绍兴平准招标代理有限公司 </w:t>
      </w:r>
    </w:p>
    <w:p>
      <w:pPr>
        <w:pStyle w:val="4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u w:val="none"/>
        </w:rPr>
      </w:pPr>
      <w:r>
        <w:rPr>
          <w:rFonts w:hint="eastAsia" w:ascii="宋体" w:hAnsi="宋体" w:eastAsia="宋体" w:cs="宋体"/>
          <w:u w:val="none"/>
          <w:shd w:val="clear" w:color="auto" w:fill="FFFFFF"/>
        </w:rPr>
        <w:t>地    址：嵊州市三江街道官河路南333号商会大厦十四层1407室</w:t>
      </w:r>
    </w:p>
    <w:p>
      <w:pPr>
        <w:pStyle w:val="4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u w:val="none"/>
          <w:shd w:val="clear" w:color="auto" w:fill="FFFFFF"/>
        </w:rPr>
      </w:pPr>
      <w:r>
        <w:rPr>
          <w:rFonts w:hint="eastAsia" w:ascii="宋体" w:hAnsi="宋体" w:eastAsia="宋体" w:cs="宋体"/>
          <w:u w:val="none"/>
          <w:shd w:val="clear" w:color="auto" w:fill="FFFFFF"/>
        </w:rPr>
        <w:t xml:space="preserve">传    </w:t>
      </w:r>
      <w:r>
        <w:rPr>
          <w:rFonts w:hint="eastAsia" w:ascii="宋体" w:hAnsi="宋体" w:eastAsia="宋体" w:cs="宋体"/>
          <w:u w:val="none"/>
          <w:shd w:val="clear" w:color="auto" w:fill="FFFFFF"/>
          <w:lang w:val="en-US" w:eastAsia="zh-CN"/>
        </w:rPr>
        <w:t xml:space="preserve">   </w:t>
      </w:r>
      <w:r>
        <w:rPr>
          <w:rFonts w:hint="eastAsia" w:ascii="宋体" w:hAnsi="宋体" w:eastAsia="宋体" w:cs="宋体"/>
          <w:u w:val="none"/>
          <w:shd w:val="clear" w:color="auto" w:fill="FFFFFF"/>
        </w:rPr>
        <w:t xml:space="preserve">真：/  </w:t>
      </w:r>
    </w:p>
    <w:p>
      <w:pPr>
        <w:pStyle w:val="4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u w:val="none"/>
        </w:rPr>
      </w:pPr>
      <w:r>
        <w:rPr>
          <w:rFonts w:hint="eastAsia" w:ascii="宋体" w:hAnsi="宋体" w:eastAsia="宋体" w:cs="宋体"/>
          <w:u w:val="none"/>
          <w:shd w:val="clear" w:color="auto" w:fill="FFFFFF"/>
        </w:rPr>
        <w:t>项目联系人（询问）：竺女士 </w:t>
      </w:r>
    </w:p>
    <w:p>
      <w:pPr>
        <w:pStyle w:val="4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u w:val="none"/>
        </w:rPr>
      </w:pPr>
      <w:r>
        <w:rPr>
          <w:rFonts w:hint="eastAsia" w:ascii="宋体" w:hAnsi="宋体" w:eastAsia="宋体" w:cs="宋体"/>
          <w:u w:val="none"/>
          <w:shd w:val="clear" w:color="auto" w:fill="FFFFFF"/>
        </w:rPr>
        <w:t>项目联系方式（询问）：0575-83176688 </w:t>
      </w:r>
    </w:p>
    <w:p>
      <w:pPr>
        <w:pStyle w:val="4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u w:val="none"/>
          <w:shd w:val="clear" w:color="auto" w:fill="FFFFFF"/>
        </w:rPr>
      </w:pPr>
      <w:r>
        <w:rPr>
          <w:rFonts w:hint="eastAsia" w:ascii="宋体" w:hAnsi="宋体" w:eastAsia="宋体" w:cs="宋体"/>
          <w:u w:val="none"/>
          <w:shd w:val="clear" w:color="auto" w:fill="FFFFFF"/>
        </w:rPr>
        <w:t>质疑联系人：徐女士</w:t>
      </w:r>
    </w:p>
    <w:p>
      <w:pPr>
        <w:pStyle w:val="4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宋体" w:hAnsi="宋体" w:eastAsia="宋体" w:cs="宋体"/>
          <w:u w:val="none"/>
        </w:rPr>
      </w:pPr>
      <w:r>
        <w:rPr>
          <w:rFonts w:hint="eastAsia" w:ascii="宋体" w:hAnsi="宋体" w:eastAsia="宋体" w:cs="宋体"/>
          <w:u w:val="none"/>
          <w:shd w:val="clear" w:color="auto" w:fill="FFFFFF"/>
        </w:rPr>
        <w:t>质疑联系方式：13735346630</w:t>
      </w:r>
      <w:r>
        <w:rPr>
          <w:rFonts w:hint="eastAsia" w:ascii="宋体" w:hAnsi="宋体" w:eastAsia="宋体" w:cs="宋体"/>
          <w:u w:val="none"/>
          <w:shd w:val="clear" w:color="auto" w:fill="FFFFFF"/>
        </w:rPr>
        <w:br w:type="textWrapping"/>
      </w:r>
      <w:r>
        <w:rPr>
          <w:rFonts w:hint="eastAsia" w:ascii="宋体" w:hAnsi="宋体" w:eastAsia="宋体" w:cs="宋体"/>
          <w:u w:val="none"/>
          <w:shd w:val="clear" w:color="auto" w:fill="FFFFFF"/>
        </w:rPr>
        <w:t>3.同级政府采购监督管理部门</w:t>
      </w:r>
    </w:p>
    <w:p>
      <w:pPr>
        <w:pStyle w:val="4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u w:val="none"/>
        </w:rPr>
      </w:pPr>
      <w:r>
        <w:rPr>
          <w:rFonts w:hint="eastAsia" w:ascii="宋体" w:hAnsi="宋体" w:eastAsia="宋体" w:cs="宋体"/>
          <w:u w:val="none"/>
          <w:shd w:val="clear" w:color="auto" w:fill="FFFFFF"/>
        </w:rPr>
        <w:t>名    称：新昌县财政局 </w:t>
      </w:r>
    </w:p>
    <w:p>
      <w:pPr>
        <w:pStyle w:val="4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u w:val="none"/>
        </w:rPr>
      </w:pPr>
      <w:r>
        <w:rPr>
          <w:rFonts w:hint="eastAsia" w:ascii="宋体" w:hAnsi="宋体" w:eastAsia="宋体" w:cs="宋体"/>
          <w:u w:val="none"/>
          <w:shd w:val="clear" w:color="auto" w:fill="FFFFFF"/>
        </w:rPr>
        <w:t>地    址：新昌县鼓山中路118号</w:t>
      </w:r>
    </w:p>
    <w:p>
      <w:pPr>
        <w:pStyle w:val="4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u w:val="none"/>
          <w:shd w:val="clear" w:color="auto" w:fill="FFFFFF"/>
        </w:rPr>
      </w:pPr>
      <w:r>
        <w:rPr>
          <w:rFonts w:hint="eastAsia" w:ascii="宋体" w:hAnsi="宋体" w:eastAsia="宋体" w:cs="宋体"/>
          <w:u w:val="none"/>
          <w:shd w:val="clear" w:color="auto" w:fill="FFFFFF"/>
        </w:rPr>
        <w:t xml:space="preserve">传    </w:t>
      </w:r>
      <w:r>
        <w:rPr>
          <w:rFonts w:hint="eastAsia" w:ascii="宋体" w:hAnsi="宋体" w:eastAsia="宋体" w:cs="宋体"/>
          <w:u w:val="none"/>
          <w:shd w:val="clear" w:color="auto" w:fill="FFFFFF"/>
          <w:lang w:val="en-US" w:eastAsia="zh-CN"/>
        </w:rPr>
        <w:t xml:space="preserve">   </w:t>
      </w:r>
      <w:r>
        <w:rPr>
          <w:rFonts w:hint="eastAsia" w:ascii="宋体" w:hAnsi="宋体" w:eastAsia="宋体" w:cs="宋体"/>
          <w:u w:val="none"/>
          <w:shd w:val="clear" w:color="auto" w:fill="FFFFFF"/>
        </w:rPr>
        <w:t xml:space="preserve">真：/ </w:t>
      </w:r>
    </w:p>
    <w:p>
      <w:pPr>
        <w:pStyle w:val="4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u w:val="none"/>
        </w:rPr>
      </w:pPr>
      <w:r>
        <w:rPr>
          <w:rFonts w:hint="eastAsia" w:ascii="宋体" w:hAnsi="宋体" w:eastAsia="宋体" w:cs="宋体"/>
          <w:u w:val="none"/>
          <w:shd w:val="clear" w:color="auto" w:fill="FFFFFF"/>
        </w:rPr>
        <w:t>联系人 ：任先生 </w:t>
      </w:r>
    </w:p>
    <w:p>
      <w:pPr>
        <w:pStyle w:val="4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333333"/>
          <w:u w:val="none"/>
        </w:rPr>
      </w:pPr>
      <w:r>
        <w:rPr>
          <w:rFonts w:hint="eastAsia" w:ascii="宋体" w:hAnsi="宋体" w:eastAsia="宋体" w:cs="宋体"/>
          <w:u w:val="none"/>
          <w:shd w:val="clear" w:color="auto" w:fill="FFFFFF"/>
        </w:rPr>
        <w:t>监督投诉电话：0575-86621309 </w:t>
      </w:r>
    </w:p>
    <w:p>
      <w:pPr>
        <w:pStyle w:val="2"/>
        <w:rPr>
          <w:rFonts w:cs="Arial" w:asciiTheme="minorEastAsia" w:hAnsiTheme="minorEastAsia" w:eastAsiaTheme="minorEastAsia"/>
          <w:bCs/>
          <w:sz w:val="24"/>
          <w:szCs w:val="24"/>
        </w:rPr>
      </w:pPr>
    </w:p>
    <w:p/>
    <w:p>
      <w:pPr>
        <w:widowControl/>
        <w:jc w:val="left"/>
        <w:rPr>
          <w:rFonts w:ascii="宋体" w:hAnsi="宋体"/>
          <w:b/>
          <w:sz w:val="36"/>
          <w:szCs w:val="36"/>
        </w:rPr>
      </w:pPr>
      <w:r>
        <w:rPr>
          <w:rFonts w:hAnsi="宋体"/>
          <w:b/>
          <w:sz w:val="36"/>
          <w:szCs w:val="36"/>
        </w:rPr>
        <w:br w:type="page"/>
      </w:r>
    </w:p>
    <w:p>
      <w:pPr>
        <w:pStyle w:val="28"/>
        <w:snapToGrid w:val="0"/>
        <w:spacing w:beforeLines="0" w:afterLines="0" w:line="240" w:lineRule="auto"/>
        <w:jc w:val="center"/>
        <w:outlineLvl w:val="0"/>
        <w:rPr>
          <w:rFonts w:hAnsi="宋体"/>
          <w:b/>
          <w:sz w:val="36"/>
          <w:szCs w:val="36"/>
        </w:rPr>
      </w:pPr>
      <w:bookmarkStart w:id="16" w:name="_Toc6242"/>
      <w:r>
        <w:rPr>
          <w:rFonts w:hint="eastAsia" w:ascii="仿宋" w:hAnsi="仿宋" w:eastAsia="仿宋"/>
          <w:b/>
          <w:sz w:val="32"/>
          <w:szCs w:val="32"/>
        </w:rPr>
        <w:t>第二章  响应方须</w:t>
      </w:r>
      <w:r>
        <w:rPr>
          <w:rFonts w:hint="eastAsia" w:hAnsi="宋体"/>
          <w:b/>
          <w:sz w:val="36"/>
          <w:szCs w:val="36"/>
        </w:rPr>
        <w:t>知</w:t>
      </w:r>
      <w:bookmarkEnd w:id="4"/>
      <w:bookmarkEnd w:id="16"/>
    </w:p>
    <w:p>
      <w:pPr>
        <w:snapToGrid w:val="0"/>
        <w:ind w:firstLine="281" w:firstLineChars="100"/>
        <w:jc w:val="center"/>
        <w:outlineLvl w:val="1"/>
        <w:rPr>
          <w:rFonts w:asciiTheme="minorEastAsia" w:hAnsiTheme="minorEastAsia" w:eastAsiaTheme="minorEastAsia"/>
          <w:b/>
          <w:sz w:val="28"/>
          <w:szCs w:val="28"/>
        </w:rPr>
      </w:pPr>
      <w:bookmarkStart w:id="17" w:name="_Toc13216"/>
      <w:r>
        <w:rPr>
          <w:rFonts w:hint="eastAsia" w:asciiTheme="minorEastAsia" w:hAnsiTheme="minorEastAsia" w:eastAsiaTheme="minorEastAsia"/>
          <w:b/>
          <w:sz w:val="28"/>
          <w:szCs w:val="28"/>
        </w:rPr>
        <w:t>前附表</w:t>
      </w:r>
      <w:bookmarkEnd w:id="17"/>
    </w:p>
    <w:tbl>
      <w:tblPr>
        <w:tblStyle w:val="53"/>
        <w:tblW w:w="9145" w:type="dxa"/>
        <w:tblInd w:w="-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1442"/>
        <w:gridCol w:w="6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26" w:type="dxa"/>
            <w:tcBorders>
              <w:top w:val="single" w:color="000000" w:sz="4" w:space="0"/>
              <w:bottom w:val="single" w:color="000000" w:sz="4" w:space="0"/>
              <w:right w:val="single" w:color="auto" w:sz="4" w:space="0"/>
            </w:tcBorders>
            <w:vAlign w:val="center"/>
          </w:tcPr>
          <w:p>
            <w:pPr>
              <w:keepNext w:val="0"/>
              <w:keepLines w:val="0"/>
              <w:pageBreakBefore w:val="0"/>
              <w:tabs>
                <w:tab w:val="left" w:pos="3780"/>
              </w:tabs>
              <w:kinsoku/>
              <w:wordWrap/>
              <w:overflowPunct/>
              <w:topLinePunct w:val="0"/>
              <w:bidi w:val="0"/>
              <w:adjustRightInd/>
              <w:spacing w:line="360" w:lineRule="auto"/>
              <w:jc w:val="center"/>
              <w:rPr>
                <w:rFonts w:ascii="宋体" w:hAnsi="宋体" w:cs="宋体"/>
                <w:b/>
                <w:color w:val="auto"/>
                <w:sz w:val="24"/>
              </w:rPr>
            </w:pPr>
            <w:r>
              <w:rPr>
                <w:rFonts w:hint="eastAsia" w:ascii="宋体" w:hAnsi="宋体" w:cs="宋体"/>
                <w:b/>
                <w:color w:val="auto"/>
                <w:sz w:val="24"/>
              </w:rPr>
              <w:t>序号</w:t>
            </w:r>
          </w:p>
        </w:tc>
        <w:tc>
          <w:tcPr>
            <w:tcW w:w="1442" w:type="dxa"/>
            <w:tcBorders>
              <w:top w:val="single" w:color="000000" w:sz="4" w:space="0"/>
              <w:left w:val="single" w:color="auto" w:sz="4" w:space="0"/>
              <w:bottom w:val="single" w:color="000000" w:sz="4" w:space="0"/>
            </w:tcBorders>
            <w:vAlign w:val="center"/>
          </w:tcPr>
          <w:p>
            <w:pPr>
              <w:keepNext w:val="0"/>
              <w:keepLines w:val="0"/>
              <w:pageBreakBefore w:val="0"/>
              <w:tabs>
                <w:tab w:val="left" w:pos="3780"/>
              </w:tabs>
              <w:kinsoku/>
              <w:wordWrap/>
              <w:overflowPunct/>
              <w:topLinePunct w:val="0"/>
              <w:bidi w:val="0"/>
              <w:adjustRightInd/>
              <w:spacing w:line="360" w:lineRule="auto"/>
              <w:jc w:val="center"/>
              <w:rPr>
                <w:rFonts w:ascii="宋体" w:hAnsi="宋体" w:cs="宋体"/>
                <w:b/>
                <w:color w:val="auto"/>
                <w:sz w:val="24"/>
              </w:rPr>
            </w:pPr>
            <w:r>
              <w:rPr>
                <w:rFonts w:hint="eastAsia" w:ascii="宋体" w:hAnsi="宋体" w:cs="宋体"/>
                <w:b/>
                <w:color w:val="auto"/>
                <w:sz w:val="24"/>
              </w:rPr>
              <w:t>名目</w:t>
            </w:r>
          </w:p>
        </w:tc>
        <w:tc>
          <w:tcPr>
            <w:tcW w:w="6977" w:type="dxa"/>
            <w:tcBorders>
              <w:top w:val="single" w:color="000000" w:sz="4" w:space="0"/>
              <w:left w:val="single" w:color="auto" w:sz="4" w:space="0"/>
              <w:bottom w:val="single" w:color="000000" w:sz="4" w:space="0"/>
            </w:tcBorders>
            <w:vAlign w:val="center"/>
          </w:tcPr>
          <w:p>
            <w:pPr>
              <w:keepNext w:val="0"/>
              <w:keepLines w:val="0"/>
              <w:pageBreakBefore w:val="0"/>
              <w:tabs>
                <w:tab w:val="left" w:pos="3780"/>
              </w:tabs>
              <w:kinsoku/>
              <w:wordWrap/>
              <w:overflowPunct/>
              <w:topLinePunct w:val="0"/>
              <w:bidi w:val="0"/>
              <w:adjustRightInd/>
              <w:spacing w:line="360" w:lineRule="auto"/>
              <w:jc w:val="center"/>
              <w:rPr>
                <w:rFonts w:ascii="宋体" w:hAnsi="宋体" w:cs="宋体"/>
                <w:b/>
                <w:color w:val="auto"/>
                <w:sz w:val="24"/>
              </w:rPr>
            </w:pPr>
            <w:r>
              <w:rPr>
                <w:rFonts w:hint="eastAsia" w:ascii="宋体" w:hAnsi="宋体" w:cs="宋体"/>
                <w:b/>
                <w:color w:val="auto"/>
                <w:sz w:val="24"/>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trPr>
        <w:tc>
          <w:tcPr>
            <w:tcW w:w="726" w:type="dxa"/>
            <w:tcBorders>
              <w:top w:val="single" w:color="000000" w:sz="4" w:space="0"/>
              <w:right w:val="single" w:color="auto" w:sz="4" w:space="0"/>
            </w:tcBorders>
            <w:vAlign w:val="center"/>
          </w:tcPr>
          <w:p>
            <w:pPr>
              <w:keepNext w:val="0"/>
              <w:keepLines w:val="0"/>
              <w:pageBreakBefore w:val="0"/>
              <w:tabs>
                <w:tab w:val="left" w:pos="3780"/>
              </w:tabs>
              <w:kinsoku/>
              <w:wordWrap/>
              <w:overflowPunct/>
              <w:topLinePunct w:val="0"/>
              <w:bidi w:val="0"/>
              <w:adjustRightInd/>
              <w:spacing w:line="360" w:lineRule="auto"/>
              <w:jc w:val="center"/>
              <w:rPr>
                <w:rFonts w:ascii="宋体" w:hAnsi="宋体" w:cs="宋体"/>
                <w:color w:val="auto"/>
                <w:sz w:val="24"/>
              </w:rPr>
            </w:pPr>
            <w:r>
              <w:rPr>
                <w:rFonts w:hint="eastAsia" w:ascii="宋体" w:hAnsi="宋体" w:cs="宋体"/>
                <w:color w:val="auto"/>
                <w:sz w:val="24"/>
              </w:rPr>
              <w:t>1</w:t>
            </w:r>
          </w:p>
        </w:tc>
        <w:tc>
          <w:tcPr>
            <w:tcW w:w="1442" w:type="dxa"/>
            <w:tcBorders>
              <w:top w:val="single" w:color="000000" w:sz="4" w:space="0"/>
              <w:left w:val="single" w:color="auto" w:sz="4" w:space="0"/>
              <w:bottom w:val="single" w:color="000000" w:sz="4" w:space="0"/>
            </w:tcBorders>
          </w:tcPr>
          <w:p>
            <w:pPr>
              <w:keepNext w:val="0"/>
              <w:keepLines w:val="0"/>
              <w:pageBreakBefore w:val="0"/>
              <w:tabs>
                <w:tab w:val="left" w:pos="3780"/>
              </w:tabs>
              <w:kinsoku/>
              <w:wordWrap/>
              <w:overflowPunct/>
              <w:topLinePunct w:val="0"/>
              <w:bidi w:val="0"/>
              <w:adjustRightInd/>
              <w:spacing w:line="360" w:lineRule="auto"/>
              <w:jc w:val="center"/>
              <w:rPr>
                <w:rFonts w:ascii="宋体" w:hAnsi="宋体" w:cs="宋体"/>
                <w:b/>
                <w:color w:val="auto"/>
                <w:sz w:val="24"/>
              </w:rPr>
            </w:pPr>
            <w:r>
              <w:rPr>
                <w:rFonts w:hint="eastAsia" w:ascii="宋体" w:hAnsi="宋体" w:cs="宋体"/>
                <w:b/>
                <w:color w:val="auto"/>
                <w:sz w:val="24"/>
              </w:rPr>
              <w:t>项目名称</w:t>
            </w:r>
          </w:p>
        </w:tc>
        <w:tc>
          <w:tcPr>
            <w:tcW w:w="6977" w:type="dxa"/>
            <w:tcBorders>
              <w:top w:val="single" w:color="000000" w:sz="4" w:space="0"/>
              <w:left w:val="single" w:color="auto" w:sz="4" w:space="0"/>
              <w:bottom w:val="single" w:color="000000" w:sz="4" w:space="0"/>
            </w:tcBorders>
          </w:tcPr>
          <w:p>
            <w:pPr>
              <w:keepNext w:val="0"/>
              <w:keepLines w:val="0"/>
              <w:pageBreakBefore w:val="0"/>
              <w:tabs>
                <w:tab w:val="left" w:pos="3780"/>
              </w:tabs>
              <w:kinsoku/>
              <w:wordWrap/>
              <w:overflowPunct/>
              <w:topLinePunct w:val="0"/>
              <w:bidi w:val="0"/>
              <w:adjustRightInd/>
              <w:spacing w:line="360" w:lineRule="auto"/>
              <w:jc w:val="left"/>
              <w:rPr>
                <w:rFonts w:hint="eastAsia" w:ascii="宋体" w:hAnsi="宋体" w:eastAsia="宋体" w:cs="宋体"/>
                <w:color w:val="auto"/>
                <w:sz w:val="24"/>
                <w:lang w:eastAsia="zh-CN"/>
              </w:rPr>
            </w:pPr>
            <w:r>
              <w:rPr>
                <w:rFonts w:hint="eastAsia" w:ascii="宋体" w:hAnsi="宋体" w:cs="宋体"/>
                <w:color w:val="auto"/>
                <w:sz w:val="24"/>
                <w:lang w:eastAsia="zh-CN"/>
              </w:rPr>
              <w:t>新昌县城东实验学校多媒体设备采购项目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726" w:type="dxa"/>
            <w:tcBorders>
              <w:top w:val="single" w:color="000000" w:sz="4" w:space="0"/>
              <w:bottom w:val="single" w:color="auto" w:sz="4" w:space="0"/>
              <w:right w:val="single" w:color="000000" w:sz="4" w:space="0"/>
            </w:tcBorders>
            <w:vAlign w:val="center"/>
          </w:tcPr>
          <w:p>
            <w:pPr>
              <w:keepNext w:val="0"/>
              <w:keepLines w:val="0"/>
              <w:pageBreakBefore w:val="0"/>
              <w:tabs>
                <w:tab w:val="left" w:pos="3780"/>
              </w:tabs>
              <w:kinsoku/>
              <w:wordWrap/>
              <w:overflowPunct/>
              <w:topLinePunct w:val="0"/>
              <w:bidi w:val="0"/>
              <w:adjustRightInd/>
              <w:spacing w:line="360" w:lineRule="auto"/>
              <w:jc w:val="center"/>
              <w:rPr>
                <w:rFonts w:ascii="宋体" w:hAnsi="宋体" w:cs="宋体"/>
                <w:color w:val="auto"/>
                <w:sz w:val="24"/>
              </w:rPr>
            </w:pPr>
            <w:r>
              <w:rPr>
                <w:rFonts w:hint="eastAsia" w:ascii="宋体" w:hAnsi="宋体" w:cs="宋体"/>
                <w:color w:val="auto"/>
                <w:sz w:val="24"/>
              </w:rPr>
              <w:t>2</w:t>
            </w:r>
          </w:p>
        </w:tc>
        <w:tc>
          <w:tcPr>
            <w:tcW w:w="1442"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tabs>
                <w:tab w:val="left" w:pos="3780"/>
              </w:tabs>
              <w:kinsoku/>
              <w:wordWrap/>
              <w:overflowPunct/>
              <w:topLinePunct w:val="0"/>
              <w:bidi w:val="0"/>
              <w:adjustRightInd/>
              <w:spacing w:line="360" w:lineRule="auto"/>
              <w:jc w:val="center"/>
              <w:rPr>
                <w:rFonts w:ascii="宋体" w:hAnsi="宋体" w:cs="宋体"/>
                <w:b/>
                <w:color w:val="auto"/>
                <w:sz w:val="24"/>
              </w:rPr>
            </w:pPr>
            <w:r>
              <w:rPr>
                <w:rFonts w:hint="eastAsia" w:ascii="宋体" w:hAnsi="宋体" w:cs="宋体"/>
                <w:b/>
                <w:bCs/>
                <w:color w:val="auto"/>
                <w:sz w:val="24"/>
              </w:rPr>
              <w:t>采购人</w:t>
            </w:r>
          </w:p>
        </w:tc>
        <w:tc>
          <w:tcPr>
            <w:tcW w:w="6977"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pacing w:line="360" w:lineRule="auto"/>
              <w:jc w:val="left"/>
              <w:textAlignment w:val="bottom"/>
              <w:rPr>
                <w:rFonts w:hint="eastAsia" w:ascii="宋体" w:hAnsi="宋体" w:eastAsia="宋体" w:cs="宋体"/>
                <w:color w:val="auto"/>
                <w:sz w:val="24"/>
                <w:lang w:eastAsia="zh-CN"/>
              </w:rPr>
            </w:pPr>
            <w:r>
              <w:rPr>
                <w:rFonts w:hint="eastAsia" w:ascii="宋体" w:hAnsi="宋体" w:cs="宋体"/>
                <w:color w:val="auto"/>
                <w:sz w:val="24"/>
                <w:lang w:eastAsia="zh-CN"/>
              </w:rPr>
              <w:t>新昌县城东实验学校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26" w:type="dxa"/>
            <w:tcBorders>
              <w:top w:val="single" w:color="000000" w:sz="4" w:space="0"/>
              <w:bottom w:val="single" w:color="auto" w:sz="4" w:space="0"/>
              <w:right w:val="single" w:color="000000" w:sz="4" w:space="0"/>
            </w:tcBorders>
            <w:vAlign w:val="center"/>
          </w:tcPr>
          <w:p>
            <w:pPr>
              <w:keepNext w:val="0"/>
              <w:keepLines w:val="0"/>
              <w:pageBreakBefore w:val="0"/>
              <w:tabs>
                <w:tab w:val="left" w:pos="3780"/>
              </w:tabs>
              <w:kinsoku/>
              <w:wordWrap/>
              <w:overflowPunct/>
              <w:topLinePunct w:val="0"/>
              <w:bidi w:val="0"/>
              <w:adjustRightInd/>
              <w:spacing w:line="360" w:lineRule="auto"/>
              <w:jc w:val="center"/>
              <w:rPr>
                <w:rFonts w:ascii="宋体" w:hAnsi="宋体" w:cs="宋体"/>
                <w:color w:val="auto"/>
                <w:sz w:val="24"/>
              </w:rPr>
            </w:pPr>
            <w:r>
              <w:rPr>
                <w:rFonts w:hint="eastAsia" w:ascii="宋体" w:hAnsi="宋体" w:cs="宋体"/>
                <w:color w:val="auto"/>
                <w:sz w:val="24"/>
              </w:rPr>
              <w:t>3</w:t>
            </w:r>
          </w:p>
        </w:tc>
        <w:tc>
          <w:tcPr>
            <w:tcW w:w="1442"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tabs>
                <w:tab w:val="left" w:pos="3780"/>
              </w:tabs>
              <w:kinsoku/>
              <w:wordWrap/>
              <w:overflowPunct/>
              <w:topLinePunct w:val="0"/>
              <w:bidi w:val="0"/>
              <w:adjustRightInd/>
              <w:spacing w:line="360" w:lineRule="auto"/>
              <w:jc w:val="center"/>
              <w:rPr>
                <w:rFonts w:ascii="宋体" w:hAnsi="宋体" w:cs="宋体"/>
                <w:b/>
                <w:bCs/>
                <w:color w:val="auto"/>
                <w:sz w:val="24"/>
              </w:rPr>
            </w:pPr>
            <w:r>
              <w:rPr>
                <w:rFonts w:hint="eastAsia" w:ascii="宋体" w:hAnsi="宋体" w:cs="宋体"/>
                <w:b/>
                <w:bCs/>
                <w:color w:val="auto"/>
                <w:sz w:val="24"/>
              </w:rPr>
              <w:t>磋商报价</w:t>
            </w:r>
          </w:p>
        </w:tc>
        <w:tc>
          <w:tcPr>
            <w:tcW w:w="6977"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bidi w:val="0"/>
              <w:adjustRightInd/>
              <w:snapToGrid w:val="0"/>
              <w:spacing w:line="360" w:lineRule="auto"/>
              <w:jc w:val="left"/>
              <w:rPr>
                <w:rFonts w:ascii="宋体" w:hAnsi="宋体"/>
                <w:color w:val="auto"/>
                <w:sz w:val="24"/>
              </w:rPr>
            </w:pPr>
            <w:r>
              <w:rPr>
                <w:rFonts w:ascii="宋体" w:hAnsi="宋体"/>
                <w:color w:val="auto"/>
                <w:sz w:val="24"/>
              </w:rPr>
              <w:t>1.</w:t>
            </w:r>
            <w:r>
              <w:rPr>
                <w:rFonts w:hint="eastAsia" w:ascii="宋体" w:hAnsi="宋体"/>
                <w:color w:val="auto"/>
                <w:sz w:val="24"/>
              </w:rPr>
              <w:t>本项目磋商应以人民币报价；</w:t>
            </w:r>
          </w:p>
          <w:p>
            <w:pPr>
              <w:keepNext w:val="0"/>
              <w:keepLines w:val="0"/>
              <w:pageBreakBefore w:val="0"/>
              <w:kinsoku/>
              <w:wordWrap/>
              <w:overflowPunct/>
              <w:topLinePunct w:val="0"/>
              <w:bidi w:val="0"/>
              <w:adjustRightInd/>
              <w:snapToGrid w:val="0"/>
              <w:spacing w:line="360" w:lineRule="auto"/>
              <w:ind w:left="360" w:hanging="360" w:hangingChars="150"/>
              <w:jc w:val="left"/>
              <w:rPr>
                <w:rFonts w:ascii="宋体" w:hAnsi="宋体" w:cs="宋体"/>
                <w:color w:val="auto"/>
                <w:kern w:val="0"/>
                <w:sz w:val="24"/>
              </w:rPr>
            </w:pPr>
            <w:r>
              <w:rPr>
                <w:rFonts w:ascii="宋体" w:hAnsi="宋体"/>
                <w:color w:val="auto"/>
                <w:sz w:val="24"/>
              </w:rPr>
              <w:t>2.</w:t>
            </w:r>
            <w:r>
              <w:rPr>
                <w:rFonts w:hint="eastAsia" w:ascii="宋体" w:hAnsi="宋体"/>
                <w:color w:val="auto"/>
                <w:sz w:val="24"/>
              </w:rPr>
              <w:t>不论投标结果如何，磋商响应方均应自行承担所有与投标有关的全部费用。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26" w:type="dxa"/>
            <w:tcBorders>
              <w:top w:val="single" w:color="000000" w:sz="4" w:space="0"/>
              <w:bottom w:val="single" w:color="000000" w:sz="4" w:space="0"/>
              <w:right w:val="single" w:color="000000" w:sz="4" w:space="0"/>
            </w:tcBorders>
            <w:vAlign w:val="center"/>
          </w:tcPr>
          <w:p>
            <w:pPr>
              <w:keepNext w:val="0"/>
              <w:keepLines w:val="0"/>
              <w:pageBreakBefore w:val="0"/>
              <w:tabs>
                <w:tab w:val="left" w:pos="3780"/>
              </w:tabs>
              <w:kinsoku/>
              <w:wordWrap/>
              <w:overflowPunct/>
              <w:topLinePunct w:val="0"/>
              <w:bidi w:val="0"/>
              <w:adjustRightInd/>
              <w:spacing w:line="360" w:lineRule="auto"/>
              <w:jc w:val="center"/>
              <w:rPr>
                <w:rFonts w:hint="eastAsia" w:ascii="宋体" w:hAnsi="宋体" w:cs="宋体"/>
                <w:color w:val="auto"/>
                <w:sz w:val="24"/>
              </w:rPr>
            </w:pPr>
            <w:r>
              <w:rPr>
                <w:rFonts w:hint="eastAsia" w:ascii="宋体" w:hAnsi="宋体" w:cs="宋体"/>
                <w:color w:val="auto"/>
                <w:sz w:val="24"/>
              </w:rPr>
              <w:t>4</w:t>
            </w:r>
          </w:p>
        </w:tc>
        <w:tc>
          <w:tcPr>
            <w:tcW w:w="1442" w:type="dxa"/>
            <w:tcBorders>
              <w:top w:val="single" w:color="000000" w:sz="4" w:space="0"/>
              <w:left w:val="single" w:color="000000" w:sz="4" w:space="0"/>
              <w:bottom w:val="single" w:color="auto" w:sz="4" w:space="0"/>
              <w:right w:val="single" w:color="auto" w:sz="4" w:space="0"/>
            </w:tcBorders>
            <w:vAlign w:val="center"/>
          </w:tcPr>
          <w:p>
            <w:pPr>
              <w:snapToGrid w:val="0"/>
              <w:spacing w:line="400" w:lineRule="exact"/>
              <w:jc w:val="center"/>
              <w:rPr>
                <w:rFonts w:hint="eastAsia" w:ascii="宋体" w:hAnsi="宋体" w:cs="宋体"/>
                <w:b/>
                <w:bCs/>
                <w:color w:val="auto"/>
                <w:sz w:val="24"/>
              </w:rPr>
            </w:pPr>
            <w:r>
              <w:rPr>
                <w:rFonts w:hint="eastAsia" w:ascii="宋体" w:hAnsi="宋体" w:cs="宋体"/>
                <w:b/>
                <w:bCs/>
                <w:sz w:val="24"/>
              </w:rPr>
              <w:t>答疑与澄清</w:t>
            </w:r>
          </w:p>
        </w:tc>
        <w:tc>
          <w:tcPr>
            <w:tcW w:w="6977" w:type="dxa"/>
            <w:tcBorders>
              <w:top w:val="single" w:color="000000" w:sz="4" w:space="0"/>
              <w:left w:val="single" w:color="auto" w:sz="4" w:space="0"/>
              <w:bottom w:val="single" w:color="auto" w:sz="4" w:space="0"/>
              <w:right w:val="single" w:color="000000" w:sz="4" w:space="0"/>
            </w:tcBorders>
            <w:vAlign w:val="center"/>
          </w:tcPr>
          <w:p>
            <w:pPr>
              <w:snapToGrid w:val="0"/>
              <w:spacing w:line="400" w:lineRule="exact"/>
              <w:rPr>
                <w:rFonts w:ascii="宋体" w:hAnsi="宋体"/>
                <w:color w:val="auto"/>
                <w:sz w:val="24"/>
              </w:rPr>
            </w:pPr>
            <w:r>
              <w:rPr>
                <w:rFonts w:hint="eastAsia" w:ascii="宋体" w:hAnsi="宋体" w:cs="宋体"/>
                <w:sz w:val="24"/>
              </w:rPr>
              <w:t>各供应商如认为采购文件有</w:t>
            </w:r>
            <w:r>
              <w:rPr>
                <w:rFonts w:hint="eastAsia" w:ascii="宋体" w:hAnsi="宋体" w:cs="宋体"/>
                <w:bCs/>
                <w:sz w:val="24"/>
              </w:rPr>
              <w:t>误或有不合理要求的</w:t>
            </w:r>
            <w:r>
              <w:rPr>
                <w:rFonts w:hint="eastAsia" w:ascii="宋体" w:hAnsi="宋体" w:cs="宋体"/>
                <w:sz w:val="24"/>
              </w:rPr>
              <w:t>，</w:t>
            </w:r>
            <w:r>
              <w:rPr>
                <w:rFonts w:hint="eastAsia" w:ascii="宋体" w:hAnsi="宋体" w:cs="宋体"/>
                <w:bCs/>
                <w:sz w:val="24"/>
              </w:rPr>
              <w:t>应当于磋商截止时间3天前以书面形式向招标采购单位提出疑问。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26"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val="0"/>
              <w:spacing w:line="360" w:lineRule="auto"/>
              <w:ind w:firstLine="199" w:firstLineChars="83"/>
              <w:textAlignment w:val="bottom"/>
              <w:rPr>
                <w:rFonts w:ascii="宋体" w:hAnsi="宋体" w:cs="宋体"/>
                <w:color w:val="auto"/>
                <w:sz w:val="24"/>
              </w:rPr>
            </w:pPr>
            <w:r>
              <w:rPr>
                <w:rFonts w:hint="eastAsia" w:ascii="宋体" w:hAnsi="宋体"/>
                <w:color w:val="auto"/>
                <w:sz w:val="24"/>
              </w:rPr>
              <w:t>5</w:t>
            </w:r>
          </w:p>
        </w:tc>
        <w:tc>
          <w:tcPr>
            <w:tcW w:w="1442"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tabs>
                <w:tab w:val="left" w:pos="3780"/>
              </w:tabs>
              <w:kinsoku/>
              <w:wordWrap/>
              <w:overflowPunct/>
              <w:topLinePunct w:val="0"/>
              <w:bidi w:val="0"/>
              <w:adjustRightInd/>
              <w:spacing w:line="360" w:lineRule="auto"/>
              <w:jc w:val="center"/>
              <w:rPr>
                <w:rFonts w:ascii="宋体" w:hAnsi="宋体" w:cs="宋体"/>
                <w:b/>
                <w:color w:val="auto"/>
                <w:sz w:val="24"/>
              </w:rPr>
            </w:pPr>
            <w:r>
              <w:rPr>
                <w:rFonts w:hint="eastAsia" w:ascii="宋体" w:hAnsi="宋体" w:cs="宋体"/>
                <w:b/>
                <w:color w:val="auto"/>
                <w:sz w:val="24"/>
              </w:rPr>
              <w:t>信用记录</w:t>
            </w:r>
          </w:p>
        </w:tc>
        <w:tc>
          <w:tcPr>
            <w:tcW w:w="6977"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tabs>
                <w:tab w:val="left" w:pos="3780"/>
              </w:tabs>
              <w:kinsoku/>
              <w:wordWrap/>
              <w:overflowPunct/>
              <w:topLinePunct w:val="0"/>
              <w:bidi w:val="0"/>
              <w:adjustRightInd/>
              <w:spacing w:line="360" w:lineRule="auto"/>
              <w:rPr>
                <w:rFonts w:ascii="宋体" w:hAnsi="宋体" w:cs="宋体"/>
                <w:color w:val="auto"/>
                <w:sz w:val="24"/>
              </w:rPr>
            </w:pPr>
            <w:r>
              <w:rPr>
                <w:rFonts w:hint="eastAsia" w:ascii="宋体" w:hAnsi="宋体" w:cs="宋体"/>
                <w:color w:val="auto"/>
                <w:sz w:val="24"/>
              </w:rPr>
              <w:t>根据财库[2016]125号文件，通过“信用中国”网站（www.creditchina.gov.cn）、中国政府采购网（www.ccgp.gov.cn），以磋商当日网页查询记录为准。对列入失信被执行人、重大税收违法案件当事人名单、政府采购严重违法失信行为记录名单的供应商，</w:t>
            </w:r>
            <w:r>
              <w:rPr>
                <w:rFonts w:hint="eastAsia" w:ascii="宋体" w:hAnsi="宋体" w:cs="宋体"/>
                <w:b/>
                <w:color w:val="auto"/>
                <w:sz w:val="24"/>
              </w:rPr>
              <w:t>其响应将作无效标处理</w:t>
            </w:r>
            <w:r>
              <w:rPr>
                <w:rFonts w:hint="eastAsia" w:ascii="宋体" w:hAnsi="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26" w:type="dxa"/>
            <w:tcBorders>
              <w:top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val="0"/>
              <w:spacing w:line="360" w:lineRule="auto"/>
              <w:ind w:firstLine="199" w:firstLineChars="83"/>
              <w:textAlignment w:val="bottom"/>
              <w:rPr>
                <w:rFonts w:ascii="宋体" w:hAnsi="宋体"/>
                <w:color w:val="auto"/>
                <w:sz w:val="24"/>
              </w:rPr>
            </w:pPr>
            <w:r>
              <w:rPr>
                <w:rFonts w:hint="eastAsia" w:ascii="宋体" w:hAnsi="宋体"/>
                <w:color w:val="auto"/>
                <w:sz w:val="24"/>
              </w:rPr>
              <w:t>6</w:t>
            </w:r>
          </w:p>
        </w:tc>
        <w:tc>
          <w:tcPr>
            <w:tcW w:w="1442"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360" w:lineRule="auto"/>
              <w:rPr>
                <w:rFonts w:ascii="宋体" w:hAnsi="宋体"/>
                <w:b/>
                <w:color w:val="auto"/>
                <w:sz w:val="24"/>
              </w:rPr>
            </w:pPr>
            <w:r>
              <w:rPr>
                <w:rFonts w:hint="eastAsia" w:ascii="宋体" w:hAnsi="宋体"/>
                <w:b/>
                <w:color w:val="auto"/>
                <w:sz w:val="24"/>
              </w:rPr>
              <w:t>政府采购节能环保产品</w:t>
            </w:r>
          </w:p>
        </w:tc>
        <w:tc>
          <w:tcPr>
            <w:tcW w:w="6977"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bidi w:val="0"/>
              <w:adjustRightInd/>
              <w:snapToGrid w:val="0"/>
              <w:spacing w:line="360" w:lineRule="auto"/>
              <w:rPr>
                <w:rFonts w:ascii="宋体" w:hAnsi="宋体"/>
                <w:color w:val="auto"/>
                <w:sz w:val="24"/>
              </w:rPr>
            </w:pPr>
            <w:r>
              <w:rPr>
                <w:rFonts w:hint="eastAsia" w:ascii="宋体" w:hAnsi="宋体"/>
                <w:color w:val="auto"/>
                <w:sz w:val="24"/>
              </w:rPr>
              <w:t>响应产品若属于节能环保产品的，请提供财政部、环境保护保部发布有效期内环境标志产品政府采购清单以及财政部、发改委联合发布有效期内节能产品政府采购清单。</w:t>
            </w:r>
          </w:p>
          <w:p>
            <w:pPr>
              <w:keepNext w:val="0"/>
              <w:keepLines w:val="0"/>
              <w:pageBreakBefore w:val="0"/>
              <w:kinsoku/>
              <w:wordWrap/>
              <w:overflowPunct/>
              <w:topLinePunct w:val="0"/>
              <w:bidi w:val="0"/>
              <w:adjustRightInd/>
              <w:snapToGrid w:val="0"/>
              <w:spacing w:line="360" w:lineRule="auto"/>
              <w:rPr>
                <w:rFonts w:ascii="宋体" w:hAnsi="宋体"/>
                <w:color w:val="auto"/>
                <w:sz w:val="24"/>
              </w:rPr>
            </w:pPr>
            <w:r>
              <w:rPr>
                <w:rFonts w:hint="eastAsia" w:ascii="宋体" w:hAnsi="宋体"/>
                <w:color w:val="auto"/>
                <w:sz w:val="24"/>
              </w:rPr>
              <w:t>招标需求中要求提供的产品属于节能清单中政府强制采购节能产品品目的，供应商须提供该清单内产品，</w:t>
            </w:r>
            <w:r>
              <w:rPr>
                <w:rFonts w:hint="eastAsia" w:ascii="宋体" w:hAnsi="宋体"/>
                <w:b/>
                <w:color w:val="auto"/>
                <w:sz w:val="24"/>
              </w:rPr>
              <w:t>否则其响应将作为无效标处理。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26" w:type="dxa"/>
            <w:tcBorders>
              <w:top w:val="single" w:color="000000" w:sz="4" w:space="0"/>
              <w:bottom w:val="single" w:color="000000" w:sz="4" w:space="0"/>
              <w:right w:val="single" w:color="000000" w:sz="4" w:space="0"/>
            </w:tcBorders>
            <w:vAlign w:val="center"/>
          </w:tcPr>
          <w:p>
            <w:pPr>
              <w:keepNext w:val="0"/>
              <w:keepLines w:val="0"/>
              <w:pageBreakBefore w:val="0"/>
              <w:tabs>
                <w:tab w:val="left" w:pos="3780"/>
              </w:tabs>
              <w:kinsoku/>
              <w:wordWrap/>
              <w:overflowPunct/>
              <w:topLinePunct w:val="0"/>
              <w:bidi w:val="0"/>
              <w:adjustRightInd/>
              <w:spacing w:line="360" w:lineRule="auto"/>
              <w:jc w:val="center"/>
              <w:rPr>
                <w:rFonts w:ascii="宋体" w:hAnsi="宋体"/>
                <w:color w:val="auto"/>
                <w:sz w:val="24"/>
              </w:rPr>
            </w:pPr>
            <w:r>
              <w:rPr>
                <w:rFonts w:hint="eastAsia" w:ascii="宋体" w:hAnsi="宋体" w:cs="宋体"/>
                <w:color w:val="auto"/>
                <w:sz w:val="24"/>
              </w:rPr>
              <w:t>7</w:t>
            </w:r>
          </w:p>
        </w:tc>
        <w:tc>
          <w:tcPr>
            <w:tcW w:w="1442"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ascii="宋体" w:hAnsi="宋体"/>
                <w:b/>
                <w:color w:val="auto"/>
                <w:sz w:val="24"/>
              </w:rPr>
            </w:pPr>
            <w:r>
              <w:rPr>
                <w:rFonts w:hint="eastAsia" w:ascii="宋体" w:hAnsi="宋体"/>
                <w:b/>
                <w:color w:val="auto"/>
                <w:sz w:val="24"/>
              </w:rPr>
              <w:t>小微企业</w:t>
            </w:r>
          </w:p>
          <w:p>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ascii="宋体" w:hAnsi="宋体"/>
                <w:b/>
                <w:color w:val="auto"/>
                <w:sz w:val="24"/>
              </w:rPr>
            </w:pPr>
            <w:r>
              <w:rPr>
                <w:rFonts w:hint="eastAsia" w:ascii="宋体" w:hAnsi="宋体"/>
                <w:b/>
                <w:color w:val="auto"/>
                <w:sz w:val="24"/>
              </w:rPr>
              <w:t>有关政策</w:t>
            </w:r>
          </w:p>
        </w:tc>
        <w:tc>
          <w:tcPr>
            <w:tcW w:w="6977"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val="0"/>
              <w:spacing w:line="360" w:lineRule="auto"/>
              <w:jc w:val="left"/>
              <w:textAlignment w:val="bottom"/>
              <w:rPr>
                <w:rFonts w:ascii="宋体" w:hAnsi="宋体"/>
                <w:color w:val="auto"/>
                <w:sz w:val="24"/>
              </w:rPr>
            </w:pPr>
            <w:r>
              <w:rPr>
                <w:rFonts w:hint="eastAsia" w:ascii="宋体" w:hAnsi="宋体"/>
                <w:color w:val="auto"/>
                <w:sz w:val="24"/>
              </w:rPr>
              <w:t>1.根据财库〔2011〕181号的相关规定，在评审时对小型和微型企业的报价给予6%的扣除，取扣除后的价格作为最终投标报价（此最终投标报价仅作为价格分计算）。属于小型和微型企业的，磋商响应文件中供应商必须提供的《中小企业声明函》以及本单位、制造商（如有）“国家企业信用信息公示系统——小微企业名录”页面查询结果（查询时间为磋商前一周内，并加盖本单位公章），并在报价明细表中说明制造商情况。</w:t>
            </w:r>
          </w:p>
          <w:p>
            <w:pPr>
              <w:keepNext w:val="0"/>
              <w:keepLines w:val="0"/>
              <w:pageBreakBefore w:val="0"/>
              <w:kinsoku/>
              <w:wordWrap/>
              <w:overflowPunct/>
              <w:topLinePunct w:val="0"/>
              <w:autoSpaceDE w:val="0"/>
              <w:autoSpaceDN w:val="0"/>
              <w:bidi w:val="0"/>
              <w:adjustRightInd/>
              <w:snapToGrid w:val="0"/>
              <w:spacing w:line="360" w:lineRule="auto"/>
              <w:jc w:val="left"/>
              <w:textAlignment w:val="bottom"/>
              <w:rPr>
                <w:rFonts w:ascii="宋体" w:hAnsi="宋体"/>
                <w:color w:val="auto"/>
                <w:sz w:val="24"/>
              </w:rPr>
            </w:pPr>
            <w:r>
              <w:rPr>
                <w:rFonts w:hint="eastAsia" w:ascii="宋体" w:hAnsi="宋体"/>
                <w:color w:val="auto"/>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pPr>
              <w:keepNext w:val="0"/>
              <w:keepLines w:val="0"/>
              <w:pageBreakBefore w:val="0"/>
              <w:kinsoku/>
              <w:wordWrap/>
              <w:overflowPunct/>
              <w:topLinePunct w:val="0"/>
              <w:autoSpaceDE w:val="0"/>
              <w:autoSpaceDN w:val="0"/>
              <w:bidi w:val="0"/>
              <w:adjustRightInd/>
              <w:snapToGrid w:val="0"/>
              <w:spacing w:line="360" w:lineRule="auto"/>
              <w:jc w:val="left"/>
              <w:textAlignment w:val="bottom"/>
              <w:rPr>
                <w:rFonts w:ascii="宋体" w:hAnsi="宋体"/>
                <w:color w:val="auto"/>
                <w:sz w:val="24"/>
              </w:rPr>
            </w:pPr>
            <w:r>
              <w:rPr>
                <w:rFonts w:hint="eastAsia" w:ascii="宋体" w:hAnsi="宋体"/>
                <w:color w:val="auto"/>
                <w:sz w:val="24"/>
              </w:rPr>
              <w:t>3.根据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p>
            <w:pPr>
              <w:keepNext w:val="0"/>
              <w:keepLines w:val="0"/>
              <w:pageBreakBefore w:val="0"/>
              <w:kinsoku/>
              <w:wordWrap/>
              <w:overflowPunct/>
              <w:topLinePunct w:val="0"/>
              <w:autoSpaceDE w:val="0"/>
              <w:autoSpaceDN w:val="0"/>
              <w:bidi w:val="0"/>
              <w:adjustRightInd/>
              <w:snapToGrid w:val="0"/>
              <w:spacing w:line="360" w:lineRule="auto"/>
              <w:jc w:val="left"/>
              <w:textAlignment w:val="bottom"/>
              <w:rPr>
                <w:rFonts w:ascii="宋体" w:hAnsi="宋体"/>
                <w:color w:val="auto"/>
                <w:sz w:val="24"/>
              </w:rPr>
            </w:pPr>
            <w:r>
              <w:rPr>
                <w:rFonts w:hint="eastAsia" w:ascii="宋体" w:hAnsi="宋体"/>
                <w:b/>
                <w:color w:val="auto"/>
                <w:sz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6" w:hRule="atLeast"/>
        </w:trPr>
        <w:tc>
          <w:tcPr>
            <w:tcW w:w="726" w:type="dxa"/>
            <w:tcBorders>
              <w:top w:val="single" w:color="000000" w:sz="4" w:space="0"/>
              <w:bottom w:val="single" w:color="auto" w:sz="4" w:space="0"/>
              <w:right w:val="single" w:color="000000" w:sz="4" w:space="0"/>
            </w:tcBorders>
            <w:vAlign w:val="center"/>
          </w:tcPr>
          <w:p>
            <w:pPr>
              <w:keepNext w:val="0"/>
              <w:keepLines w:val="0"/>
              <w:pageBreakBefore w:val="0"/>
              <w:tabs>
                <w:tab w:val="left" w:pos="3780"/>
              </w:tabs>
              <w:kinsoku/>
              <w:wordWrap/>
              <w:overflowPunct/>
              <w:topLinePunct w:val="0"/>
              <w:bidi w:val="0"/>
              <w:adjustRightInd/>
              <w:spacing w:line="360" w:lineRule="auto"/>
              <w:jc w:val="center"/>
              <w:rPr>
                <w:rFonts w:ascii="宋体" w:hAnsi="宋体" w:cs="宋体"/>
                <w:color w:val="auto"/>
                <w:sz w:val="24"/>
              </w:rPr>
            </w:pPr>
            <w:r>
              <w:rPr>
                <w:rFonts w:hint="eastAsia" w:ascii="宋体" w:hAnsi="宋体" w:cs="宋体"/>
                <w:color w:val="auto"/>
                <w:sz w:val="24"/>
              </w:rPr>
              <w:t>8</w:t>
            </w:r>
          </w:p>
        </w:tc>
        <w:tc>
          <w:tcPr>
            <w:tcW w:w="144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tabs>
                <w:tab w:val="left" w:pos="3780"/>
              </w:tabs>
              <w:kinsoku/>
              <w:wordWrap/>
              <w:overflowPunct/>
              <w:topLinePunct w:val="0"/>
              <w:bidi w:val="0"/>
              <w:adjustRightInd/>
              <w:spacing w:line="360" w:lineRule="auto"/>
              <w:jc w:val="center"/>
              <w:rPr>
                <w:rFonts w:ascii="宋体" w:hAnsi="宋体" w:cs="宋体"/>
                <w:b/>
                <w:bCs/>
                <w:color w:val="auto"/>
                <w:sz w:val="24"/>
              </w:rPr>
            </w:pPr>
            <w:r>
              <w:rPr>
                <w:rFonts w:hint="eastAsia" w:ascii="宋体" w:hAnsi="宋体"/>
                <w:b/>
                <w:color w:val="auto"/>
                <w:sz w:val="24"/>
              </w:rPr>
              <w:t>转包分包</w:t>
            </w:r>
          </w:p>
        </w:tc>
        <w:tc>
          <w:tcPr>
            <w:tcW w:w="697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snapToGrid w:val="0"/>
              <w:spacing w:line="360" w:lineRule="auto"/>
              <w:jc w:val="left"/>
              <w:rPr>
                <w:rFonts w:ascii="宋体" w:hAnsi="宋体"/>
                <w:color w:val="auto"/>
                <w:sz w:val="24"/>
              </w:rPr>
            </w:pPr>
            <w:r>
              <w:rPr>
                <w:rFonts w:hint="eastAsia" w:ascii="宋体" w:hAnsi="宋体" w:cs="宋体"/>
                <w:color w:val="auto"/>
                <w:sz w:val="24"/>
              </w:rPr>
              <w:t>本项目</w:t>
            </w:r>
            <w:r>
              <w:rPr>
                <w:rFonts w:hint="eastAsia" w:ascii="宋体" w:hAnsi="宋体" w:cs="宋体"/>
                <w:color w:val="auto"/>
                <w:kern w:val="0"/>
                <w:sz w:val="24"/>
              </w:rPr>
              <w:t>不允许转包分包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trPr>
        <w:tc>
          <w:tcPr>
            <w:tcW w:w="726" w:type="dxa"/>
            <w:tcBorders>
              <w:top w:val="single" w:color="000000" w:sz="4" w:space="0"/>
              <w:bottom w:val="single" w:color="auto" w:sz="4" w:space="0"/>
              <w:right w:val="single" w:color="000000" w:sz="4" w:space="0"/>
            </w:tcBorders>
            <w:vAlign w:val="center"/>
          </w:tcPr>
          <w:p>
            <w:pPr>
              <w:keepNext w:val="0"/>
              <w:keepLines w:val="0"/>
              <w:pageBreakBefore w:val="0"/>
              <w:tabs>
                <w:tab w:val="left" w:pos="3780"/>
              </w:tabs>
              <w:kinsoku/>
              <w:wordWrap/>
              <w:overflowPunct/>
              <w:topLinePunct w:val="0"/>
              <w:bidi w:val="0"/>
              <w:adjustRightInd/>
              <w:spacing w:line="360" w:lineRule="auto"/>
              <w:jc w:val="center"/>
              <w:rPr>
                <w:rFonts w:ascii="宋体" w:hAnsi="宋体" w:cs="宋体"/>
                <w:color w:val="auto"/>
                <w:sz w:val="24"/>
              </w:rPr>
            </w:pPr>
            <w:r>
              <w:rPr>
                <w:rFonts w:hint="eastAsia" w:ascii="宋体" w:hAnsi="宋体" w:cs="宋体"/>
                <w:color w:val="auto"/>
                <w:sz w:val="24"/>
              </w:rPr>
              <w:t>9</w:t>
            </w:r>
          </w:p>
        </w:tc>
        <w:tc>
          <w:tcPr>
            <w:tcW w:w="1442"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bidi w:val="0"/>
              <w:adjustRightInd/>
              <w:snapToGrid w:val="0"/>
              <w:spacing w:line="360" w:lineRule="auto"/>
              <w:jc w:val="center"/>
              <w:rPr>
                <w:rFonts w:ascii="宋体" w:hAnsi="宋体" w:cs="宋体"/>
                <w:color w:val="auto"/>
                <w:sz w:val="24"/>
              </w:rPr>
            </w:pPr>
            <w:r>
              <w:rPr>
                <w:rFonts w:hint="eastAsia" w:ascii="宋体" w:hAnsi="宋体" w:cs="宋体"/>
                <w:bCs/>
                <w:color w:val="auto"/>
                <w:sz w:val="24"/>
              </w:rPr>
              <w:t>磋商响应文件的形式</w:t>
            </w:r>
          </w:p>
        </w:tc>
        <w:tc>
          <w:tcPr>
            <w:tcW w:w="6977" w:type="dxa"/>
            <w:tcBorders>
              <w:top w:val="single" w:color="auto" w:sz="4" w:space="0"/>
              <w:left w:val="single" w:color="auto" w:sz="4" w:space="0"/>
              <w:bottom w:val="single" w:color="000000" w:sz="4" w:space="0"/>
            </w:tcBorders>
            <w:vAlign w:val="center"/>
          </w:tcPr>
          <w:p>
            <w:pPr>
              <w:keepNext w:val="0"/>
              <w:keepLines w:val="0"/>
              <w:pageBreakBefore w:val="0"/>
              <w:kinsoku/>
              <w:wordWrap/>
              <w:overflowPunct/>
              <w:topLinePunct w:val="0"/>
              <w:bidi w:val="0"/>
              <w:adjustRightInd/>
              <w:spacing w:line="360" w:lineRule="auto"/>
              <w:rPr>
                <w:rFonts w:ascii="宋体" w:hAnsi="宋体" w:cs="宋体"/>
                <w:color w:val="auto"/>
                <w:sz w:val="24"/>
                <w:szCs w:val="20"/>
              </w:rPr>
            </w:pPr>
            <w:r>
              <w:rPr>
                <w:rFonts w:hint="eastAsia" w:ascii="宋体" w:hAnsi="宋体" w:cs="宋体"/>
                <w:color w:val="auto"/>
                <w:sz w:val="24"/>
              </w:rPr>
              <w:t>电子磋商响应文件（包括“电子加密磋商响应文件”和“备份磋商响应文件”，在磋商响应文件编制完成后同时生成）；</w:t>
            </w:r>
          </w:p>
          <w:p>
            <w:pPr>
              <w:keepNext w:val="0"/>
              <w:keepLines w:val="0"/>
              <w:pageBreakBefore w:val="0"/>
              <w:widowControl/>
              <w:kinsoku/>
              <w:wordWrap/>
              <w:overflowPunct/>
              <w:topLinePunct w:val="0"/>
              <w:bidi w:val="0"/>
              <w:adjustRightInd/>
              <w:spacing w:line="360" w:lineRule="auto"/>
              <w:jc w:val="left"/>
              <w:rPr>
                <w:rFonts w:hint="eastAsia" w:ascii="宋体" w:hAnsi="宋体" w:cs="宋体"/>
                <w:color w:val="auto"/>
                <w:sz w:val="24"/>
              </w:rPr>
            </w:pPr>
            <w:r>
              <w:rPr>
                <w:rFonts w:hint="eastAsia" w:ascii="宋体" w:hAnsi="宋体" w:cs="宋体"/>
                <w:color w:val="auto"/>
                <w:sz w:val="24"/>
              </w:rPr>
              <w:t>（1）“电子加密</w:t>
            </w:r>
            <w:r>
              <w:rPr>
                <w:rFonts w:hint="eastAsia" w:ascii="宋体" w:hAnsi="宋体" w:cs="宋体"/>
                <w:color w:val="auto"/>
                <w:sz w:val="24"/>
                <w:lang w:eastAsia="zh-CN"/>
              </w:rPr>
              <w:t>磋商响应文件</w:t>
            </w:r>
            <w:r>
              <w:rPr>
                <w:rFonts w:hint="eastAsia" w:ascii="宋体" w:hAnsi="宋体" w:cs="宋体"/>
                <w:color w:val="auto"/>
                <w:sz w:val="24"/>
              </w:rPr>
              <w:t>”[文件格式.jmbs]： “电子加密</w:t>
            </w:r>
            <w:r>
              <w:rPr>
                <w:rFonts w:hint="eastAsia" w:ascii="宋体" w:hAnsi="宋体" w:cs="宋体"/>
                <w:color w:val="auto"/>
                <w:sz w:val="24"/>
                <w:lang w:eastAsia="zh-CN"/>
              </w:rPr>
              <w:t>磋商响应文件</w:t>
            </w:r>
            <w:r>
              <w:rPr>
                <w:rFonts w:hint="eastAsia" w:ascii="宋体" w:hAnsi="宋体" w:cs="宋体"/>
                <w:color w:val="auto"/>
                <w:sz w:val="24"/>
              </w:rPr>
              <w:t>”是指通过“政采云电子交易客户端”完成</w:t>
            </w:r>
            <w:r>
              <w:rPr>
                <w:rFonts w:hint="eastAsia" w:ascii="宋体" w:hAnsi="宋体" w:cs="宋体"/>
                <w:color w:val="auto"/>
                <w:sz w:val="24"/>
                <w:lang w:eastAsia="zh-CN"/>
              </w:rPr>
              <w:t>磋商响应文件</w:t>
            </w:r>
            <w:r>
              <w:rPr>
                <w:rFonts w:hint="eastAsia" w:ascii="宋体" w:hAnsi="宋体" w:cs="宋体"/>
                <w:color w:val="auto"/>
                <w:sz w:val="24"/>
              </w:rPr>
              <w:t>编制后生成并加密的数据电文形式的</w:t>
            </w:r>
            <w:r>
              <w:rPr>
                <w:rFonts w:hint="eastAsia" w:ascii="宋体" w:hAnsi="宋体" w:cs="宋体"/>
                <w:color w:val="auto"/>
                <w:sz w:val="24"/>
                <w:lang w:eastAsia="zh-CN"/>
              </w:rPr>
              <w:t>磋商响应文件</w:t>
            </w:r>
            <w:r>
              <w:rPr>
                <w:rFonts w:hint="eastAsia" w:ascii="宋体" w:hAnsi="宋体" w:cs="宋体"/>
                <w:color w:val="auto"/>
                <w:sz w:val="24"/>
              </w:rPr>
              <w:t>。</w:t>
            </w:r>
          </w:p>
          <w:p>
            <w:pPr>
              <w:keepNext w:val="0"/>
              <w:keepLines w:val="0"/>
              <w:pageBreakBefore w:val="0"/>
              <w:widowControl/>
              <w:kinsoku/>
              <w:wordWrap/>
              <w:overflowPunct/>
              <w:topLinePunct w:val="0"/>
              <w:bidi w:val="0"/>
              <w:adjustRightInd/>
              <w:spacing w:line="360" w:lineRule="auto"/>
              <w:jc w:val="left"/>
              <w:rPr>
                <w:rFonts w:hint="eastAsia" w:ascii="仿宋_GB2312" w:eastAsia="宋体"/>
                <w:b/>
                <w:color w:val="auto"/>
                <w:sz w:val="24"/>
                <w:lang w:val="en-US" w:eastAsia="zh-CN"/>
              </w:rPr>
            </w:pPr>
            <w:r>
              <w:rPr>
                <w:rFonts w:hint="eastAsia" w:ascii="宋体" w:hAnsi="宋体" w:cs="宋体"/>
                <w:color w:val="auto"/>
                <w:sz w:val="24"/>
              </w:rPr>
              <w:t>（2）“备份</w:t>
            </w:r>
            <w:r>
              <w:rPr>
                <w:rFonts w:hint="eastAsia" w:ascii="宋体" w:hAnsi="宋体" w:cs="宋体"/>
                <w:color w:val="auto"/>
                <w:sz w:val="24"/>
                <w:lang w:eastAsia="zh-CN"/>
              </w:rPr>
              <w:t>磋商响应文件</w:t>
            </w:r>
            <w:r>
              <w:rPr>
                <w:rFonts w:hint="eastAsia" w:ascii="宋体" w:hAnsi="宋体" w:cs="宋体"/>
                <w:color w:val="auto"/>
                <w:sz w:val="24"/>
              </w:rPr>
              <w:t>”[文件格式.bfbs]：“备份</w:t>
            </w:r>
            <w:r>
              <w:rPr>
                <w:rFonts w:hint="eastAsia" w:ascii="宋体" w:hAnsi="宋体" w:cs="宋体"/>
                <w:color w:val="auto"/>
                <w:sz w:val="24"/>
                <w:lang w:eastAsia="zh-CN"/>
              </w:rPr>
              <w:t>磋商响应文件</w:t>
            </w:r>
            <w:r>
              <w:rPr>
                <w:rFonts w:hint="eastAsia" w:ascii="宋体" w:hAnsi="宋体" w:cs="宋体"/>
                <w:color w:val="auto"/>
                <w:sz w:val="24"/>
              </w:rPr>
              <w:t>”是指与“电子加密</w:t>
            </w:r>
            <w:r>
              <w:rPr>
                <w:rFonts w:hint="eastAsia" w:ascii="宋体" w:hAnsi="宋体" w:cs="宋体"/>
                <w:color w:val="auto"/>
                <w:sz w:val="24"/>
                <w:lang w:eastAsia="zh-CN"/>
              </w:rPr>
              <w:t>磋商响应文件</w:t>
            </w:r>
            <w:r>
              <w:rPr>
                <w:rFonts w:hint="eastAsia" w:ascii="宋体" w:hAnsi="宋体" w:cs="宋体"/>
                <w:color w:val="auto"/>
                <w:sz w:val="24"/>
              </w:rPr>
              <w:t>”同时生成的数据电文形式的未加密的电子文件（备份标书），其他方式编制的“备份</w:t>
            </w:r>
            <w:r>
              <w:rPr>
                <w:rFonts w:hint="eastAsia" w:ascii="宋体" w:hAnsi="宋体" w:cs="宋体"/>
                <w:color w:val="auto"/>
                <w:sz w:val="24"/>
                <w:lang w:eastAsia="zh-CN"/>
              </w:rPr>
              <w:t>磋商响应文件</w:t>
            </w:r>
            <w:r>
              <w:rPr>
                <w:rFonts w:hint="eastAsia" w:ascii="宋体" w:hAnsi="宋体" w:cs="宋体"/>
                <w:color w:val="auto"/>
                <w:sz w:val="24"/>
              </w:rPr>
              <w:t>”视为无效的“备份</w:t>
            </w:r>
            <w:r>
              <w:rPr>
                <w:rFonts w:hint="eastAsia" w:ascii="宋体" w:hAnsi="宋体" w:cs="宋体"/>
                <w:color w:val="auto"/>
                <w:sz w:val="24"/>
                <w:lang w:eastAsia="zh-CN"/>
              </w:rPr>
              <w:t>磋商响应文件</w:t>
            </w:r>
            <w:r>
              <w:rPr>
                <w:rFonts w:hint="eastAsia" w:ascii="宋体" w:hAnsi="宋体" w:cs="宋体"/>
                <w:color w:val="auto"/>
                <w:sz w:val="24"/>
              </w:rPr>
              <w:t>”。“备份</w:t>
            </w:r>
            <w:r>
              <w:rPr>
                <w:rFonts w:hint="eastAsia" w:ascii="宋体" w:hAnsi="宋体" w:cs="宋体"/>
                <w:color w:val="auto"/>
                <w:sz w:val="24"/>
                <w:lang w:eastAsia="zh-CN"/>
              </w:rPr>
              <w:t>磋商响应文件</w:t>
            </w:r>
            <w:r>
              <w:rPr>
                <w:rFonts w:hint="eastAsia" w:ascii="宋体" w:hAnsi="宋体" w:cs="宋体"/>
                <w:color w:val="auto"/>
                <w:sz w:val="24"/>
              </w:rPr>
              <w:t>”应当密封包装并在包装上标</w:t>
            </w:r>
            <w:r>
              <w:rPr>
                <w:rFonts w:hint="eastAsia" w:ascii="宋体" w:hAnsi="宋体" w:cs="宋体"/>
                <w:color w:val="auto"/>
                <w:sz w:val="24"/>
                <w:lang w:val="en-US" w:eastAsia="zh-CN"/>
              </w:rPr>
              <w:t>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trPr>
        <w:tc>
          <w:tcPr>
            <w:tcW w:w="726" w:type="dxa"/>
            <w:tcBorders>
              <w:top w:val="single" w:color="000000" w:sz="4" w:space="0"/>
              <w:bottom w:val="single" w:color="000000" w:sz="4" w:space="0"/>
              <w:right w:val="single" w:color="000000" w:sz="4" w:space="0"/>
            </w:tcBorders>
            <w:vAlign w:val="center"/>
          </w:tcPr>
          <w:p>
            <w:pPr>
              <w:keepNext w:val="0"/>
              <w:keepLines w:val="0"/>
              <w:pageBreakBefore w:val="0"/>
              <w:tabs>
                <w:tab w:val="left" w:pos="3780"/>
              </w:tabs>
              <w:kinsoku/>
              <w:wordWrap/>
              <w:overflowPunct/>
              <w:topLinePunct w:val="0"/>
              <w:bidi w:val="0"/>
              <w:adjustRightInd/>
              <w:spacing w:line="360" w:lineRule="auto"/>
              <w:jc w:val="center"/>
              <w:rPr>
                <w:rFonts w:ascii="宋体" w:hAnsi="宋体" w:cs="宋体"/>
                <w:color w:val="auto"/>
                <w:sz w:val="24"/>
              </w:rPr>
            </w:pPr>
            <w:r>
              <w:rPr>
                <w:rFonts w:hint="eastAsia" w:ascii="宋体" w:hAnsi="宋体" w:cs="宋体"/>
                <w:color w:val="auto"/>
                <w:sz w:val="24"/>
              </w:rPr>
              <w:t>10</w:t>
            </w:r>
          </w:p>
        </w:tc>
        <w:tc>
          <w:tcPr>
            <w:tcW w:w="1442"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bidi w:val="0"/>
              <w:adjustRightInd/>
              <w:snapToGrid w:val="0"/>
              <w:spacing w:line="360" w:lineRule="auto"/>
              <w:jc w:val="center"/>
              <w:rPr>
                <w:rFonts w:ascii="宋体" w:hAnsi="宋体" w:cs="宋体"/>
                <w:bCs/>
                <w:color w:val="auto"/>
                <w:sz w:val="24"/>
              </w:rPr>
            </w:pPr>
            <w:r>
              <w:rPr>
                <w:rFonts w:hint="eastAsia" w:ascii="宋体" w:hAnsi="宋体" w:cs="宋体"/>
                <w:bCs/>
                <w:color w:val="auto"/>
                <w:sz w:val="24"/>
              </w:rPr>
              <w:t>磋商响应文件份数</w:t>
            </w:r>
          </w:p>
        </w:tc>
        <w:tc>
          <w:tcPr>
            <w:tcW w:w="6977" w:type="dxa"/>
            <w:tcBorders>
              <w:top w:val="single" w:color="auto" w:sz="4" w:space="0"/>
              <w:left w:val="single" w:color="auto" w:sz="4" w:space="0"/>
              <w:bottom w:val="single" w:color="000000" w:sz="4" w:space="0"/>
            </w:tcBorders>
            <w:vAlign w:val="center"/>
          </w:tcPr>
          <w:p>
            <w:pPr>
              <w:keepNext w:val="0"/>
              <w:keepLines w:val="0"/>
              <w:pageBreakBefore w:val="0"/>
              <w:kinsoku/>
              <w:wordWrap/>
              <w:overflowPunct/>
              <w:topLinePunct w:val="0"/>
              <w:bidi w:val="0"/>
              <w:adjustRightInd/>
              <w:spacing w:line="360" w:lineRule="auto"/>
              <w:rPr>
                <w:rFonts w:ascii="宋体" w:hAnsi="宋体" w:cs="宋体"/>
                <w:color w:val="auto"/>
                <w:sz w:val="24"/>
              </w:rPr>
            </w:pPr>
            <w:r>
              <w:rPr>
                <w:rFonts w:hint="eastAsia" w:ascii="宋体" w:hAnsi="宋体" w:cs="宋体"/>
                <w:color w:val="auto"/>
                <w:sz w:val="24"/>
              </w:rPr>
              <w:t>（1）“电子加密磋商响应文件”：在线上传递交、一份。</w:t>
            </w:r>
          </w:p>
          <w:p>
            <w:pPr>
              <w:keepNext w:val="0"/>
              <w:keepLines w:val="0"/>
              <w:pageBreakBefore w:val="0"/>
              <w:kinsoku/>
              <w:wordWrap/>
              <w:overflowPunct/>
              <w:topLinePunct w:val="0"/>
              <w:bidi w:val="0"/>
              <w:adjustRightInd/>
              <w:spacing w:line="360" w:lineRule="auto"/>
              <w:rPr>
                <w:rFonts w:hint="eastAsia" w:ascii="宋体" w:hAnsi="宋体" w:eastAsia="宋体" w:cs="宋体"/>
                <w:color w:val="auto"/>
                <w:sz w:val="24"/>
                <w:lang w:eastAsia="zh-CN"/>
              </w:rPr>
            </w:pPr>
            <w:r>
              <w:rPr>
                <w:rFonts w:hint="eastAsia" w:ascii="宋体" w:hAnsi="宋体" w:cs="宋体"/>
                <w:color w:val="auto"/>
                <w:sz w:val="24"/>
              </w:rPr>
              <w:t>（2）“备份磋商响应文件”：密封包装后（EMS、顺丰邮寄</w:t>
            </w:r>
            <w:r>
              <w:rPr>
                <w:rFonts w:hint="eastAsia" w:ascii="宋体" w:hAnsi="宋体" w:cs="宋体"/>
                <w:color w:val="auto"/>
                <w:sz w:val="24"/>
                <w:lang w:val="en-US" w:eastAsia="zh-CN"/>
              </w:rPr>
              <w:t>等</w:t>
            </w:r>
            <w:r>
              <w:rPr>
                <w:rFonts w:hint="eastAsia" w:ascii="宋体" w:hAnsi="宋体" w:cs="宋体"/>
                <w:color w:val="auto"/>
                <w:sz w:val="24"/>
              </w:rPr>
              <w:t>形式）磋商响应截止时间前递交、一份</w:t>
            </w:r>
            <w:r>
              <w:rPr>
                <w:rFonts w:hint="eastAsia" w:ascii="宋体" w:hAnsi="宋体" w:cs="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26" w:type="dxa"/>
            <w:tcBorders>
              <w:top w:val="single" w:color="000000" w:sz="4" w:space="0"/>
              <w:bottom w:val="single" w:color="000000" w:sz="4" w:space="0"/>
              <w:right w:val="single" w:color="000000" w:sz="4" w:space="0"/>
            </w:tcBorders>
            <w:vAlign w:val="center"/>
          </w:tcPr>
          <w:p>
            <w:pPr>
              <w:keepNext w:val="0"/>
              <w:keepLines w:val="0"/>
              <w:pageBreakBefore w:val="0"/>
              <w:tabs>
                <w:tab w:val="left" w:pos="3780"/>
              </w:tabs>
              <w:kinsoku/>
              <w:wordWrap/>
              <w:overflowPunct/>
              <w:topLinePunct w:val="0"/>
              <w:bidi w:val="0"/>
              <w:adjustRightInd/>
              <w:spacing w:line="360" w:lineRule="auto"/>
              <w:jc w:val="center"/>
              <w:rPr>
                <w:rFonts w:ascii="宋体" w:hAnsi="宋体" w:cs="宋体"/>
                <w:color w:val="auto"/>
                <w:sz w:val="24"/>
              </w:rPr>
            </w:pPr>
            <w:r>
              <w:rPr>
                <w:rFonts w:hint="eastAsia" w:ascii="宋体" w:hAnsi="宋体" w:cs="宋体"/>
                <w:color w:val="auto"/>
                <w:sz w:val="24"/>
              </w:rPr>
              <w:t>11</w:t>
            </w:r>
          </w:p>
        </w:tc>
        <w:tc>
          <w:tcPr>
            <w:tcW w:w="144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360" w:lineRule="auto"/>
              <w:jc w:val="center"/>
              <w:rPr>
                <w:rFonts w:ascii="宋体" w:hAnsi="宋体" w:cs="宋体"/>
                <w:color w:val="auto"/>
                <w:sz w:val="24"/>
              </w:rPr>
            </w:pPr>
            <w:r>
              <w:rPr>
                <w:rFonts w:hint="eastAsia" w:ascii="宋体" w:hAnsi="宋体" w:cs="宋体"/>
                <w:color w:val="auto"/>
                <w:sz w:val="24"/>
              </w:rPr>
              <w:t>磋商响应文件的上传和递交</w:t>
            </w:r>
          </w:p>
        </w:tc>
        <w:tc>
          <w:tcPr>
            <w:tcW w:w="6977"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adjustRightInd/>
              <w:spacing w:line="360" w:lineRule="auto"/>
              <w:rPr>
                <w:rFonts w:ascii="宋体" w:hAnsi="宋体" w:cs="宋体"/>
                <w:color w:val="auto"/>
                <w:sz w:val="24"/>
                <w:szCs w:val="20"/>
              </w:rPr>
            </w:pPr>
            <w:r>
              <w:rPr>
                <w:rFonts w:hint="eastAsia" w:ascii="宋体" w:hAnsi="宋体" w:cs="宋体"/>
                <w:color w:val="auto"/>
                <w:sz w:val="24"/>
              </w:rPr>
              <w:t>（1）“电子加密磋商响应文件”的上传、递交：</w:t>
            </w:r>
          </w:p>
          <w:p>
            <w:pPr>
              <w:keepNext w:val="0"/>
              <w:keepLines w:val="0"/>
              <w:pageBreakBefore w:val="0"/>
              <w:kinsoku/>
              <w:wordWrap/>
              <w:overflowPunct/>
              <w:topLinePunct w:val="0"/>
              <w:bidi w:val="0"/>
              <w:adjustRightInd/>
              <w:spacing w:line="360" w:lineRule="auto"/>
              <w:rPr>
                <w:rFonts w:ascii="宋体" w:hAnsi="宋体" w:cs="宋体"/>
                <w:color w:val="auto"/>
                <w:sz w:val="24"/>
              </w:rPr>
            </w:pPr>
            <w:r>
              <w:rPr>
                <w:rFonts w:hint="eastAsia" w:ascii="宋体" w:hAnsi="宋体" w:cs="宋体"/>
                <w:color w:val="auto"/>
                <w:sz w:val="24"/>
              </w:rPr>
              <w:t>a.磋商响应方应在投标截止时间前将“电子加密磋商响应文件”成功上传递交至“政府采购云平台”，否则响应无效。</w:t>
            </w:r>
          </w:p>
          <w:p>
            <w:pPr>
              <w:keepNext w:val="0"/>
              <w:keepLines w:val="0"/>
              <w:pageBreakBefore w:val="0"/>
              <w:kinsoku/>
              <w:wordWrap/>
              <w:overflowPunct/>
              <w:topLinePunct w:val="0"/>
              <w:bidi w:val="0"/>
              <w:adjustRightInd/>
              <w:spacing w:line="360" w:lineRule="auto"/>
              <w:rPr>
                <w:rFonts w:ascii="宋体" w:hAnsi="宋体" w:cs="宋体"/>
                <w:color w:val="auto"/>
                <w:sz w:val="24"/>
              </w:rPr>
            </w:pPr>
            <w:r>
              <w:rPr>
                <w:rFonts w:hint="eastAsia" w:ascii="宋体" w:hAnsi="宋体" w:cs="宋体"/>
                <w:color w:val="auto"/>
                <w:sz w:val="24"/>
              </w:rPr>
              <w:t>b.“电子加密磋商响应文件”成功上传递交后，磋商响应方可自行打印磋商响应文件接收回执。</w:t>
            </w:r>
          </w:p>
          <w:p>
            <w:pPr>
              <w:keepNext w:val="0"/>
              <w:keepLines w:val="0"/>
              <w:pageBreakBefore w:val="0"/>
              <w:kinsoku/>
              <w:wordWrap/>
              <w:overflowPunct/>
              <w:topLinePunct w:val="0"/>
              <w:bidi w:val="0"/>
              <w:adjustRightInd/>
              <w:spacing w:line="360" w:lineRule="auto"/>
              <w:rPr>
                <w:rFonts w:ascii="宋体" w:hAnsi="宋体" w:cs="宋体"/>
                <w:color w:val="auto"/>
                <w:sz w:val="24"/>
              </w:rPr>
            </w:pPr>
            <w:r>
              <w:rPr>
                <w:rFonts w:hint="eastAsia" w:ascii="宋体" w:hAnsi="宋体" w:cs="宋体"/>
                <w:color w:val="auto"/>
                <w:sz w:val="24"/>
              </w:rPr>
              <w:t>（2）“备份磋商响应文件”的密封包装、递交：</w:t>
            </w:r>
          </w:p>
          <w:p>
            <w:pPr>
              <w:keepNext w:val="0"/>
              <w:keepLines w:val="0"/>
              <w:pageBreakBefore w:val="0"/>
              <w:kinsoku/>
              <w:wordWrap/>
              <w:overflowPunct/>
              <w:topLinePunct w:val="0"/>
              <w:bidi w:val="0"/>
              <w:adjustRightInd/>
              <w:spacing w:line="360" w:lineRule="auto"/>
              <w:rPr>
                <w:rFonts w:ascii="宋体" w:hAnsi="宋体" w:cs="宋体"/>
                <w:color w:val="auto"/>
                <w:sz w:val="24"/>
              </w:rPr>
            </w:pPr>
            <w:r>
              <w:rPr>
                <w:rFonts w:hint="eastAsia" w:ascii="宋体" w:hAnsi="宋体" w:cs="宋体"/>
                <w:color w:val="auto"/>
                <w:sz w:val="24"/>
              </w:rPr>
              <w:t>a.磋商响应方在“政府采购云平台”完成“电子加密磋商响应文件”的上传递交后，还可以（EMS、顺丰邮寄形式）在磋商截止时间前递交以介质（U盘）存储的 “备份磋商响应文件”（一份）；</w:t>
            </w:r>
          </w:p>
          <w:p>
            <w:pPr>
              <w:keepNext w:val="0"/>
              <w:keepLines w:val="0"/>
              <w:pageBreakBefore w:val="0"/>
              <w:kinsoku/>
              <w:wordWrap/>
              <w:overflowPunct/>
              <w:topLinePunct w:val="0"/>
              <w:bidi w:val="0"/>
              <w:adjustRightInd/>
              <w:spacing w:line="360" w:lineRule="auto"/>
              <w:rPr>
                <w:rFonts w:ascii="宋体" w:hAnsi="宋体" w:cs="宋体"/>
                <w:color w:val="auto"/>
                <w:sz w:val="24"/>
              </w:rPr>
            </w:pPr>
            <w:r>
              <w:rPr>
                <w:rFonts w:hint="eastAsia" w:ascii="宋体" w:hAnsi="宋体" w:cs="宋体"/>
                <w:color w:val="auto"/>
                <w:sz w:val="24"/>
              </w:rPr>
              <w:t>b.“备份磋商响应文件”应当密封包装，并在包装上标注项目名称、单位名称并加盖公章。没有密封包装或者逾期邮寄送达至磋商地点的“备份磋商响应文件”将不予接收；</w:t>
            </w:r>
          </w:p>
          <w:p>
            <w:pPr>
              <w:keepNext w:val="0"/>
              <w:keepLines w:val="0"/>
              <w:pageBreakBefore w:val="0"/>
              <w:kinsoku/>
              <w:wordWrap/>
              <w:overflowPunct/>
              <w:topLinePunct w:val="0"/>
              <w:autoSpaceDE w:val="0"/>
              <w:autoSpaceDN w:val="0"/>
              <w:bidi w:val="0"/>
              <w:adjustRightInd/>
              <w:snapToGrid w:val="0"/>
              <w:spacing w:line="360" w:lineRule="auto"/>
              <w:textAlignment w:val="bottom"/>
              <w:rPr>
                <w:rFonts w:hint="eastAsia" w:ascii="宋体" w:hAnsi="宋体" w:cs="宋体"/>
                <w:color w:val="auto"/>
                <w:sz w:val="24"/>
              </w:rPr>
            </w:pPr>
            <w:r>
              <w:rPr>
                <w:rFonts w:hint="eastAsia" w:ascii="宋体" w:hAnsi="宋体" w:cs="宋体"/>
                <w:color w:val="auto"/>
                <w:sz w:val="24"/>
              </w:rPr>
              <w:t>c.通过“政府采购云平台”成功上传递交的“电子加密磋商响应文件”已按时解密的，“备份磋商响应文件”自动失效。磋商响应截止时间前，磋商响应方仅递交了“备份磋商响应文件”而未将“电子加密磋商响应文件”成功上传至“政府采购云平台”的，响应无效。</w:t>
            </w:r>
          </w:p>
          <w:p>
            <w:pPr>
              <w:keepNext w:val="0"/>
              <w:keepLines w:val="0"/>
              <w:pageBreakBefore w:val="0"/>
              <w:kinsoku/>
              <w:wordWrap/>
              <w:overflowPunct/>
              <w:topLinePunct w:val="0"/>
              <w:autoSpaceDE w:val="0"/>
              <w:autoSpaceDN w:val="0"/>
              <w:bidi w:val="0"/>
              <w:adjustRightInd/>
              <w:snapToGrid w:val="0"/>
              <w:spacing w:line="360" w:lineRule="auto"/>
              <w:textAlignment w:val="bottom"/>
              <w:rPr>
                <w:rFonts w:hint="eastAsia" w:ascii="宋体" w:hAnsi="宋体" w:cs="宋体"/>
                <w:color w:val="auto"/>
                <w:sz w:val="24"/>
              </w:rPr>
            </w:pPr>
            <w:r>
              <w:rPr>
                <w:rFonts w:hint="eastAsia" w:ascii="宋体" w:hAnsi="宋体" w:cs="宋体"/>
                <w:color w:val="auto"/>
                <w:sz w:val="24"/>
              </w:rPr>
              <w:t>（3）供应商递交以介质存储的数据电文形式（U 盘）的备份</w:t>
            </w:r>
            <w:r>
              <w:rPr>
                <w:rFonts w:hint="eastAsia" w:ascii="宋体" w:hAnsi="宋体" w:cs="宋体"/>
                <w:color w:val="auto"/>
                <w:sz w:val="24"/>
                <w:lang w:val="en-US" w:eastAsia="zh-CN"/>
              </w:rPr>
              <w:t>磋商响应文件</w:t>
            </w:r>
            <w:r>
              <w:rPr>
                <w:rFonts w:hint="eastAsia" w:ascii="宋体" w:hAnsi="宋体" w:cs="宋体"/>
                <w:color w:val="auto"/>
                <w:sz w:val="24"/>
              </w:rPr>
              <w:t>时，如出现下列情况之一的，将被拒收：</w:t>
            </w:r>
          </w:p>
          <w:p>
            <w:pPr>
              <w:keepNext w:val="0"/>
              <w:keepLines w:val="0"/>
              <w:pageBreakBefore w:val="0"/>
              <w:numPr>
                <w:ilvl w:val="0"/>
                <w:numId w:val="19"/>
              </w:numPr>
              <w:kinsoku/>
              <w:wordWrap/>
              <w:overflowPunct/>
              <w:topLinePunct w:val="0"/>
              <w:autoSpaceDE w:val="0"/>
              <w:autoSpaceDN w:val="0"/>
              <w:bidi w:val="0"/>
              <w:adjustRightInd/>
              <w:snapToGrid w:val="0"/>
              <w:spacing w:line="360" w:lineRule="auto"/>
              <w:ind w:left="120" w:leftChars="0" w:firstLine="0" w:firstLineChars="0"/>
              <w:textAlignment w:val="bottom"/>
              <w:rPr>
                <w:rFonts w:hint="eastAsia" w:ascii="宋体" w:hAnsi="宋体" w:cs="宋体"/>
                <w:color w:val="auto"/>
                <w:sz w:val="24"/>
              </w:rPr>
            </w:pPr>
            <w:r>
              <w:rPr>
                <w:rFonts w:hint="eastAsia" w:ascii="宋体" w:hAnsi="宋体" w:cs="宋体"/>
                <w:color w:val="auto"/>
                <w:sz w:val="24"/>
              </w:rPr>
              <w:t>未按规定密封或标记的响应文件；</w:t>
            </w:r>
          </w:p>
          <w:p>
            <w:pPr>
              <w:keepNext w:val="0"/>
              <w:keepLines w:val="0"/>
              <w:pageBreakBefore w:val="0"/>
              <w:numPr>
                <w:ilvl w:val="0"/>
                <w:numId w:val="19"/>
              </w:numPr>
              <w:kinsoku/>
              <w:wordWrap/>
              <w:overflowPunct/>
              <w:topLinePunct w:val="0"/>
              <w:autoSpaceDE w:val="0"/>
              <w:autoSpaceDN w:val="0"/>
              <w:bidi w:val="0"/>
              <w:adjustRightInd/>
              <w:snapToGrid w:val="0"/>
              <w:spacing w:line="360" w:lineRule="auto"/>
              <w:ind w:left="120" w:leftChars="0" w:firstLine="0" w:firstLineChars="0"/>
              <w:textAlignment w:val="bottom"/>
              <w:rPr>
                <w:rFonts w:ascii="宋体" w:hAnsi="宋体"/>
                <w:color w:val="auto"/>
                <w:sz w:val="24"/>
              </w:rPr>
            </w:pPr>
            <w:r>
              <w:rPr>
                <w:rFonts w:hint="eastAsia" w:ascii="宋体" w:hAnsi="宋体" w:cs="宋体"/>
                <w:color w:val="auto"/>
                <w:sz w:val="24"/>
              </w:rPr>
              <w:t>由于包装不妥，在送交途中严重破损或失散的；</w:t>
            </w:r>
          </w:p>
          <w:p>
            <w:pPr>
              <w:keepNext w:val="0"/>
              <w:keepLines w:val="0"/>
              <w:pageBreakBefore w:val="0"/>
              <w:numPr>
                <w:ilvl w:val="0"/>
                <w:numId w:val="19"/>
              </w:numPr>
              <w:kinsoku/>
              <w:wordWrap/>
              <w:overflowPunct/>
              <w:topLinePunct w:val="0"/>
              <w:autoSpaceDE w:val="0"/>
              <w:autoSpaceDN w:val="0"/>
              <w:bidi w:val="0"/>
              <w:adjustRightInd/>
              <w:snapToGrid w:val="0"/>
              <w:spacing w:line="360" w:lineRule="auto"/>
              <w:ind w:left="120" w:leftChars="0" w:firstLine="0" w:firstLineChars="0"/>
              <w:textAlignment w:val="bottom"/>
              <w:rPr>
                <w:rFonts w:ascii="宋体" w:hAnsi="宋体"/>
                <w:color w:val="auto"/>
                <w:sz w:val="24"/>
              </w:rPr>
            </w:pPr>
            <w:r>
              <w:rPr>
                <w:rFonts w:hint="eastAsia" w:ascii="宋体" w:hAnsi="宋体" w:cs="宋体"/>
                <w:color w:val="auto"/>
                <w:sz w:val="24"/>
              </w:rPr>
              <w:t>未按规定获取采购文件的；</w:t>
            </w:r>
          </w:p>
          <w:p>
            <w:pPr>
              <w:keepNext w:val="0"/>
              <w:keepLines w:val="0"/>
              <w:pageBreakBefore w:val="0"/>
              <w:numPr>
                <w:ilvl w:val="0"/>
                <w:numId w:val="19"/>
              </w:numPr>
              <w:kinsoku/>
              <w:wordWrap/>
              <w:overflowPunct/>
              <w:topLinePunct w:val="0"/>
              <w:autoSpaceDE w:val="0"/>
              <w:autoSpaceDN w:val="0"/>
              <w:bidi w:val="0"/>
              <w:adjustRightInd/>
              <w:snapToGrid w:val="0"/>
              <w:spacing w:line="360" w:lineRule="auto"/>
              <w:ind w:left="120" w:leftChars="0" w:firstLine="0" w:firstLineChars="0"/>
              <w:textAlignment w:val="bottom"/>
              <w:rPr>
                <w:rFonts w:ascii="宋体" w:hAnsi="宋体"/>
                <w:color w:val="auto"/>
                <w:sz w:val="24"/>
              </w:rPr>
            </w:pPr>
            <w:r>
              <w:rPr>
                <w:rFonts w:hint="eastAsia" w:ascii="宋体" w:hAnsi="宋体" w:cs="宋体"/>
                <w:color w:val="auto"/>
                <w:sz w:val="24"/>
              </w:rPr>
              <w:t>超过投标截止时间送达的；</w:t>
            </w:r>
          </w:p>
          <w:p>
            <w:pPr>
              <w:keepNext w:val="0"/>
              <w:keepLines w:val="0"/>
              <w:pageBreakBefore w:val="0"/>
              <w:numPr>
                <w:ilvl w:val="0"/>
                <w:numId w:val="19"/>
              </w:numPr>
              <w:kinsoku/>
              <w:wordWrap/>
              <w:overflowPunct/>
              <w:topLinePunct w:val="0"/>
              <w:autoSpaceDE w:val="0"/>
              <w:autoSpaceDN w:val="0"/>
              <w:bidi w:val="0"/>
              <w:adjustRightInd/>
              <w:snapToGrid w:val="0"/>
              <w:spacing w:line="360" w:lineRule="auto"/>
              <w:ind w:left="120" w:leftChars="0" w:firstLine="0" w:firstLineChars="0"/>
              <w:textAlignment w:val="bottom"/>
              <w:rPr>
                <w:rFonts w:ascii="宋体" w:hAnsi="宋体"/>
                <w:color w:val="auto"/>
                <w:sz w:val="24"/>
              </w:rPr>
            </w:pPr>
            <w:r>
              <w:rPr>
                <w:rFonts w:hint="eastAsia" w:ascii="宋体" w:hAnsi="宋体" w:cs="宋体"/>
                <w:color w:val="auto"/>
                <w:sz w:val="24"/>
              </w:rPr>
              <w:t>仅提供备份响应文件的，投标无效。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26" w:type="dxa"/>
            <w:tcBorders>
              <w:top w:val="single" w:color="auto" w:sz="4" w:space="0"/>
              <w:bottom w:val="single" w:color="auto" w:sz="4" w:space="0"/>
              <w:right w:val="single" w:color="000000" w:sz="4" w:space="0"/>
            </w:tcBorders>
            <w:vAlign w:val="center"/>
          </w:tcPr>
          <w:p>
            <w:pPr>
              <w:keepNext w:val="0"/>
              <w:keepLines w:val="0"/>
              <w:pageBreakBefore w:val="0"/>
              <w:tabs>
                <w:tab w:val="left" w:pos="3780"/>
              </w:tabs>
              <w:kinsoku/>
              <w:wordWrap/>
              <w:overflowPunct/>
              <w:topLinePunct w:val="0"/>
              <w:bidi w:val="0"/>
              <w:adjustRightInd/>
              <w:spacing w:line="360" w:lineRule="auto"/>
              <w:jc w:val="center"/>
              <w:rPr>
                <w:rFonts w:hint="eastAsia" w:ascii="宋体" w:hAnsi="宋体" w:cs="宋体"/>
                <w:color w:val="auto"/>
                <w:sz w:val="24"/>
              </w:rPr>
            </w:pPr>
            <w:r>
              <w:rPr>
                <w:rFonts w:hint="eastAsia" w:ascii="宋体" w:hAnsi="宋体" w:cs="宋体"/>
                <w:color w:val="auto"/>
                <w:sz w:val="24"/>
                <w:lang w:val="en-US" w:eastAsia="zh-CN"/>
              </w:rPr>
              <w:t>12</w:t>
            </w:r>
          </w:p>
        </w:tc>
        <w:tc>
          <w:tcPr>
            <w:tcW w:w="144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360" w:lineRule="auto"/>
              <w:jc w:val="center"/>
              <w:rPr>
                <w:rFonts w:hint="eastAsia" w:ascii="宋体" w:hAnsi="宋体" w:cs="宋体"/>
                <w:color w:val="auto"/>
                <w:sz w:val="24"/>
              </w:rPr>
            </w:pPr>
            <w:r>
              <w:rPr>
                <w:rFonts w:hint="eastAsia" w:ascii="宋体" w:hAnsi="宋体" w:cs="宋体"/>
                <w:color w:val="auto"/>
                <w:sz w:val="24"/>
              </w:rPr>
              <w:t>电子加密投标文 件的解密和异常</w:t>
            </w:r>
          </w:p>
          <w:p>
            <w:pPr>
              <w:keepNext w:val="0"/>
              <w:keepLines w:val="0"/>
              <w:pageBreakBefore w:val="0"/>
              <w:kinsoku/>
              <w:wordWrap/>
              <w:overflowPunct/>
              <w:topLinePunct w:val="0"/>
              <w:bidi w:val="0"/>
              <w:adjustRightInd/>
              <w:snapToGrid w:val="0"/>
              <w:spacing w:line="360" w:lineRule="auto"/>
              <w:jc w:val="center"/>
              <w:rPr>
                <w:rFonts w:hint="eastAsia" w:ascii="宋体" w:hAnsi="宋体" w:cs="宋体"/>
                <w:color w:val="auto"/>
                <w:sz w:val="24"/>
              </w:rPr>
            </w:pPr>
            <w:r>
              <w:rPr>
                <w:rFonts w:hint="eastAsia" w:ascii="宋体" w:hAnsi="宋体" w:cs="宋体"/>
                <w:color w:val="auto"/>
                <w:sz w:val="24"/>
              </w:rPr>
              <w:t>情况处理</w:t>
            </w:r>
          </w:p>
        </w:tc>
        <w:tc>
          <w:tcPr>
            <w:tcW w:w="6977" w:type="dxa"/>
            <w:tcBorders>
              <w:top w:val="single" w:color="auto" w:sz="4" w:space="0"/>
              <w:left w:val="single" w:color="auto" w:sz="4" w:space="0"/>
              <w:bottom w:val="single" w:color="auto" w:sz="4" w:space="0"/>
            </w:tcBorders>
            <w:vAlign w:val="center"/>
          </w:tcPr>
          <w:p>
            <w:pPr>
              <w:keepNext w:val="0"/>
              <w:keepLines w:val="0"/>
              <w:pageBreakBefore w:val="0"/>
              <w:numPr>
                <w:ilvl w:val="0"/>
                <w:numId w:val="0"/>
              </w:numPr>
              <w:kinsoku/>
              <w:wordWrap/>
              <w:overflowPunct/>
              <w:topLinePunct w:val="0"/>
              <w:autoSpaceDE w:val="0"/>
              <w:autoSpaceDN w:val="0"/>
              <w:bidi w:val="0"/>
              <w:adjustRightInd/>
              <w:snapToGrid w:val="0"/>
              <w:spacing w:line="360" w:lineRule="auto"/>
              <w:ind w:left="120" w:leftChars="0"/>
              <w:textAlignment w:val="bottom"/>
              <w:rPr>
                <w:rFonts w:hint="eastAsia" w:ascii="宋体" w:hAnsi="宋体" w:cs="宋体"/>
                <w:color w:val="auto"/>
                <w:sz w:val="24"/>
              </w:rPr>
            </w:pPr>
            <w:r>
              <w:rPr>
                <w:rFonts w:hint="eastAsia" w:ascii="宋体" w:hAnsi="宋体" w:cs="宋体"/>
                <w:color w:val="auto"/>
                <w:sz w:val="24"/>
              </w:rPr>
              <w:t>（1）开标后，采购代理机构将向各投标供应商发出“电子加密</w:t>
            </w:r>
            <w:r>
              <w:rPr>
                <w:rFonts w:hint="eastAsia" w:ascii="宋体" w:hAnsi="宋体" w:cs="宋体"/>
                <w:color w:val="auto"/>
                <w:sz w:val="24"/>
                <w:lang w:eastAsia="zh-CN"/>
              </w:rPr>
              <w:t>磋商响应文件</w:t>
            </w:r>
            <w:r>
              <w:rPr>
                <w:rFonts w:hint="eastAsia" w:ascii="宋体" w:hAnsi="宋体" w:cs="宋体"/>
                <w:color w:val="auto"/>
                <w:sz w:val="24"/>
              </w:rPr>
              <w:t>”的解密通知，各投标供应商代表应当在接到解密通知后30 分钟内自行完成“电子加密</w:t>
            </w:r>
            <w:r>
              <w:rPr>
                <w:rFonts w:hint="eastAsia" w:ascii="宋体" w:hAnsi="宋体" w:cs="宋体"/>
                <w:color w:val="auto"/>
                <w:sz w:val="24"/>
                <w:lang w:eastAsia="zh-CN"/>
              </w:rPr>
              <w:t>磋商响应文件</w:t>
            </w:r>
            <w:r>
              <w:rPr>
                <w:rFonts w:hint="eastAsia" w:ascii="宋体" w:hAnsi="宋体" w:cs="宋体"/>
                <w:color w:val="auto"/>
                <w:sz w:val="24"/>
              </w:rPr>
              <w:t>”的在线解密。</w:t>
            </w:r>
          </w:p>
          <w:p>
            <w:pPr>
              <w:keepNext w:val="0"/>
              <w:keepLines w:val="0"/>
              <w:pageBreakBefore w:val="0"/>
              <w:numPr>
                <w:ilvl w:val="0"/>
                <w:numId w:val="0"/>
              </w:numPr>
              <w:kinsoku/>
              <w:wordWrap/>
              <w:overflowPunct/>
              <w:topLinePunct w:val="0"/>
              <w:autoSpaceDE w:val="0"/>
              <w:autoSpaceDN w:val="0"/>
              <w:bidi w:val="0"/>
              <w:adjustRightInd/>
              <w:snapToGrid w:val="0"/>
              <w:spacing w:line="360" w:lineRule="auto"/>
              <w:ind w:left="120" w:leftChars="0"/>
              <w:textAlignment w:val="bottom"/>
              <w:rPr>
                <w:rFonts w:hint="eastAsia" w:ascii="宋体" w:hAnsi="宋体" w:cs="宋体"/>
                <w:color w:val="auto"/>
                <w:sz w:val="24"/>
              </w:rPr>
            </w:pPr>
            <w:r>
              <w:rPr>
                <w:rFonts w:hint="eastAsia" w:ascii="宋体" w:hAnsi="宋体" w:cs="宋体"/>
                <w:color w:val="auto"/>
                <w:sz w:val="24"/>
              </w:rPr>
              <w:t>（2）通过“政府采购云平台”成功上传递交的“电子加密</w:t>
            </w:r>
            <w:r>
              <w:rPr>
                <w:rFonts w:hint="eastAsia" w:ascii="宋体" w:hAnsi="宋体" w:cs="宋体"/>
                <w:color w:val="auto"/>
                <w:sz w:val="24"/>
                <w:lang w:eastAsia="zh-CN"/>
              </w:rPr>
              <w:t>磋商响应文件</w:t>
            </w:r>
            <w:r>
              <w:rPr>
                <w:rFonts w:hint="eastAsia" w:ascii="宋体" w:hAnsi="宋体" w:cs="宋体"/>
                <w:color w:val="auto"/>
                <w:sz w:val="24"/>
              </w:rPr>
              <w:t>”无法按时解密，投标供应商如按规定递交了“备份</w:t>
            </w:r>
            <w:r>
              <w:rPr>
                <w:rFonts w:hint="eastAsia" w:ascii="宋体" w:hAnsi="宋体" w:cs="宋体"/>
                <w:color w:val="auto"/>
                <w:sz w:val="24"/>
                <w:lang w:eastAsia="zh-CN"/>
              </w:rPr>
              <w:t>磋商响应文件</w:t>
            </w:r>
            <w:r>
              <w:rPr>
                <w:rFonts w:hint="eastAsia" w:ascii="宋体" w:hAnsi="宋体" w:cs="宋体"/>
                <w:color w:val="auto"/>
                <w:sz w:val="24"/>
              </w:rPr>
              <w:t>”的，以“备份</w:t>
            </w:r>
            <w:r>
              <w:rPr>
                <w:rFonts w:hint="eastAsia" w:ascii="宋体" w:hAnsi="宋体" w:cs="宋体"/>
                <w:color w:val="auto"/>
                <w:sz w:val="24"/>
                <w:lang w:eastAsia="zh-CN"/>
              </w:rPr>
              <w:t>磋商响应文件</w:t>
            </w:r>
            <w:r>
              <w:rPr>
                <w:rFonts w:hint="eastAsia" w:ascii="宋体" w:hAnsi="宋体" w:cs="宋体"/>
                <w:color w:val="auto"/>
                <w:sz w:val="24"/>
              </w:rPr>
              <w:t>”为依据（由采购代理机构按“政府采购云平台”操作规范将“备份</w:t>
            </w:r>
            <w:r>
              <w:rPr>
                <w:rFonts w:hint="eastAsia" w:ascii="宋体" w:hAnsi="宋体" w:cs="宋体"/>
                <w:color w:val="auto"/>
                <w:sz w:val="24"/>
                <w:lang w:eastAsia="zh-CN"/>
              </w:rPr>
              <w:t>磋商响应文件</w:t>
            </w:r>
            <w:r>
              <w:rPr>
                <w:rFonts w:hint="eastAsia" w:ascii="宋体" w:hAnsi="宋体" w:cs="宋体"/>
                <w:color w:val="auto"/>
                <w:sz w:val="24"/>
              </w:rPr>
              <w:t>”上传至“政府采购云平台”，上传成功后，“电子加密</w:t>
            </w:r>
            <w:r>
              <w:rPr>
                <w:rFonts w:hint="eastAsia" w:ascii="宋体" w:hAnsi="宋体" w:cs="宋体"/>
                <w:color w:val="auto"/>
                <w:sz w:val="24"/>
                <w:lang w:eastAsia="zh-CN"/>
              </w:rPr>
              <w:t>磋商响应文件</w:t>
            </w:r>
            <w:r>
              <w:rPr>
                <w:rFonts w:hint="eastAsia" w:ascii="宋体" w:hAnsi="宋体" w:cs="宋体"/>
                <w:color w:val="auto"/>
                <w:sz w:val="24"/>
              </w:rPr>
              <w:t>”自动失效），否则视为</w:t>
            </w:r>
            <w:r>
              <w:rPr>
                <w:rFonts w:hint="eastAsia" w:ascii="宋体" w:hAnsi="宋体" w:cs="宋体"/>
                <w:color w:val="auto"/>
                <w:sz w:val="24"/>
                <w:lang w:eastAsia="zh-CN"/>
              </w:rPr>
              <w:t>磋商响应文件</w:t>
            </w:r>
            <w:r>
              <w:rPr>
                <w:rFonts w:hint="eastAsia" w:ascii="宋体" w:hAnsi="宋体" w:cs="宋体"/>
                <w:color w:val="auto"/>
                <w:sz w:val="24"/>
              </w:rPr>
              <w:t>撤回。</w:t>
            </w:r>
          </w:p>
          <w:p>
            <w:pPr>
              <w:keepNext w:val="0"/>
              <w:keepLines w:val="0"/>
              <w:pageBreakBefore w:val="0"/>
              <w:numPr>
                <w:ilvl w:val="0"/>
                <w:numId w:val="0"/>
              </w:numPr>
              <w:kinsoku/>
              <w:wordWrap/>
              <w:overflowPunct/>
              <w:topLinePunct w:val="0"/>
              <w:autoSpaceDE w:val="0"/>
              <w:autoSpaceDN w:val="0"/>
              <w:bidi w:val="0"/>
              <w:adjustRightInd/>
              <w:snapToGrid w:val="0"/>
              <w:spacing w:line="360" w:lineRule="auto"/>
              <w:ind w:left="120" w:leftChars="0"/>
              <w:textAlignment w:val="bottom"/>
              <w:rPr>
                <w:rFonts w:hint="eastAsia" w:ascii="宋体" w:hAnsi="宋体" w:eastAsia="宋体" w:cs="宋体"/>
                <w:color w:val="auto"/>
                <w:sz w:val="24"/>
                <w:lang w:eastAsia="zh-CN"/>
              </w:rPr>
            </w:pPr>
            <w:r>
              <w:rPr>
                <w:rFonts w:hint="eastAsia" w:ascii="宋体" w:hAnsi="宋体" w:cs="宋体"/>
                <w:color w:val="auto"/>
                <w:sz w:val="24"/>
              </w:rPr>
              <w:t>（3）投标截止时间前，投标供应商仅递交了“备份</w:t>
            </w:r>
            <w:r>
              <w:rPr>
                <w:rFonts w:hint="eastAsia" w:ascii="宋体" w:hAnsi="宋体" w:cs="宋体"/>
                <w:color w:val="auto"/>
                <w:sz w:val="24"/>
                <w:lang w:eastAsia="zh-CN"/>
              </w:rPr>
              <w:t>磋商响应文件</w:t>
            </w:r>
            <w:r>
              <w:rPr>
                <w:rFonts w:hint="eastAsia" w:ascii="宋体" w:hAnsi="宋体" w:cs="宋体"/>
                <w:color w:val="auto"/>
                <w:sz w:val="24"/>
              </w:rPr>
              <w:t>”而未将电子加密</w:t>
            </w:r>
            <w:r>
              <w:rPr>
                <w:rFonts w:hint="eastAsia" w:ascii="宋体" w:hAnsi="宋体" w:cs="宋体"/>
                <w:color w:val="auto"/>
                <w:sz w:val="24"/>
                <w:lang w:eastAsia="zh-CN"/>
              </w:rPr>
              <w:t>磋商响应文件</w:t>
            </w:r>
            <w:r>
              <w:rPr>
                <w:rFonts w:hint="eastAsia" w:ascii="宋体" w:hAnsi="宋体" w:cs="宋体"/>
                <w:color w:val="auto"/>
                <w:sz w:val="24"/>
              </w:rPr>
              <w:t>上传至“政府采购云平台”的，投标无效</w:t>
            </w:r>
            <w:r>
              <w:rPr>
                <w:rFonts w:hint="eastAsia" w:ascii="宋体" w:hAnsi="宋体" w:cs="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26" w:type="dxa"/>
            <w:tcBorders>
              <w:top w:val="single" w:color="auto" w:sz="4" w:space="0"/>
              <w:bottom w:val="single" w:color="auto" w:sz="4" w:space="0"/>
              <w:right w:val="single" w:color="000000" w:sz="4" w:space="0"/>
            </w:tcBorders>
            <w:vAlign w:val="center"/>
          </w:tcPr>
          <w:p>
            <w:pPr>
              <w:keepNext w:val="0"/>
              <w:keepLines w:val="0"/>
              <w:pageBreakBefore w:val="0"/>
              <w:tabs>
                <w:tab w:val="left" w:pos="3780"/>
              </w:tabs>
              <w:kinsoku/>
              <w:wordWrap/>
              <w:overflowPunct/>
              <w:topLinePunct w:val="0"/>
              <w:bidi w:val="0"/>
              <w:adjustRightInd/>
              <w:spacing w:line="360" w:lineRule="auto"/>
              <w:jc w:val="center"/>
              <w:rPr>
                <w:rFonts w:hint="eastAsia" w:ascii="宋体" w:hAnsi="宋体" w:cs="宋体"/>
                <w:color w:val="auto"/>
                <w:sz w:val="24"/>
              </w:rPr>
            </w:pPr>
            <w:r>
              <w:rPr>
                <w:rFonts w:hint="eastAsia" w:ascii="宋体" w:hAnsi="宋体" w:cs="宋体"/>
                <w:color w:val="auto"/>
                <w:sz w:val="24"/>
                <w:lang w:val="en-US" w:eastAsia="zh-CN"/>
              </w:rPr>
              <w:t>13</w:t>
            </w:r>
          </w:p>
        </w:tc>
        <w:tc>
          <w:tcPr>
            <w:tcW w:w="144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360" w:lineRule="auto"/>
              <w:jc w:val="center"/>
              <w:rPr>
                <w:rFonts w:hint="eastAsia" w:ascii="宋体" w:hAnsi="宋体" w:cs="宋体"/>
                <w:color w:val="auto"/>
                <w:sz w:val="24"/>
              </w:rPr>
            </w:pPr>
            <w:r>
              <w:rPr>
                <w:rFonts w:hint="eastAsia" w:ascii="宋体" w:hAnsi="宋体" w:cs="宋体"/>
                <w:color w:val="auto"/>
                <w:sz w:val="24"/>
              </w:rPr>
              <w:t>投标截止时间</w:t>
            </w:r>
          </w:p>
        </w:tc>
        <w:tc>
          <w:tcPr>
            <w:tcW w:w="6977" w:type="dxa"/>
            <w:tcBorders>
              <w:top w:val="single" w:color="auto" w:sz="4" w:space="0"/>
              <w:left w:val="single" w:color="auto" w:sz="4" w:space="0"/>
              <w:bottom w:val="single" w:color="auto" w:sz="4" w:space="0"/>
            </w:tcBorders>
            <w:vAlign w:val="center"/>
          </w:tcPr>
          <w:p>
            <w:pPr>
              <w:keepNext w:val="0"/>
              <w:keepLines w:val="0"/>
              <w:pageBreakBefore w:val="0"/>
              <w:numPr>
                <w:ilvl w:val="0"/>
                <w:numId w:val="0"/>
              </w:numPr>
              <w:kinsoku/>
              <w:wordWrap/>
              <w:overflowPunct/>
              <w:topLinePunct w:val="0"/>
              <w:autoSpaceDE w:val="0"/>
              <w:autoSpaceDN w:val="0"/>
              <w:bidi w:val="0"/>
              <w:adjustRightInd/>
              <w:snapToGrid w:val="0"/>
              <w:spacing w:line="360" w:lineRule="auto"/>
              <w:ind w:left="120" w:leftChars="0"/>
              <w:textAlignment w:val="bottom"/>
              <w:rPr>
                <w:rFonts w:hint="eastAsia" w:ascii="宋体" w:hAnsi="宋体" w:cs="宋体"/>
                <w:color w:val="auto"/>
                <w:sz w:val="24"/>
              </w:rPr>
            </w:pPr>
            <w:r>
              <w:rPr>
                <w:rFonts w:hint="eastAsia" w:ascii="宋体" w:hAnsi="宋体" w:cs="宋体"/>
                <w:color w:val="auto"/>
                <w:sz w:val="24"/>
              </w:rPr>
              <w:t>2020年</w:t>
            </w:r>
            <w:r>
              <w:rPr>
                <w:rFonts w:hint="eastAsia" w:ascii="宋体" w:hAnsi="宋体" w:cs="宋体"/>
                <w:color w:val="auto"/>
                <w:sz w:val="24"/>
                <w:lang w:val="en-US" w:eastAsia="zh-CN"/>
              </w:rPr>
              <w:t>8</w:t>
            </w:r>
            <w:r>
              <w:rPr>
                <w:rFonts w:hint="eastAsia" w:ascii="宋体" w:hAnsi="宋体" w:cs="宋体"/>
                <w:color w:val="auto"/>
                <w:sz w:val="24"/>
              </w:rPr>
              <w:t>月</w:t>
            </w:r>
            <w:r>
              <w:rPr>
                <w:rFonts w:hint="eastAsia" w:ascii="宋体" w:hAnsi="宋体" w:cs="宋体"/>
                <w:color w:val="auto"/>
                <w:sz w:val="24"/>
                <w:lang w:val="en-US" w:eastAsia="zh-CN"/>
              </w:rPr>
              <w:t>24</w:t>
            </w:r>
            <w:r>
              <w:rPr>
                <w:rFonts w:hint="eastAsia" w:ascii="宋体" w:hAnsi="宋体" w:cs="宋体"/>
                <w:color w:val="auto"/>
                <w:sz w:val="24"/>
              </w:rPr>
              <w:t>日</w:t>
            </w:r>
            <w:r>
              <w:rPr>
                <w:rFonts w:hint="eastAsia" w:ascii="宋体" w:hAnsi="宋体" w:cs="宋体"/>
                <w:color w:val="auto"/>
                <w:sz w:val="24"/>
                <w:lang w:val="en-US" w:eastAsia="zh-CN"/>
              </w:rPr>
              <w:t xml:space="preserve">   09</w:t>
            </w:r>
            <w:r>
              <w:rPr>
                <w:rFonts w:hint="eastAsia" w:ascii="宋体" w:hAnsi="宋体" w:cs="宋体"/>
                <w:color w:val="auto"/>
                <w:sz w:val="24"/>
              </w:rPr>
              <w:t>时</w:t>
            </w:r>
            <w:r>
              <w:rPr>
                <w:rFonts w:hint="eastAsia" w:ascii="宋体" w:hAnsi="宋体" w:cs="宋体"/>
                <w:color w:val="auto"/>
                <w:sz w:val="24"/>
                <w:lang w:val="en-US" w:eastAsia="zh-CN"/>
              </w:rPr>
              <w:t>30</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26" w:type="dxa"/>
            <w:tcBorders>
              <w:top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snapToGrid w:val="0"/>
              <w:spacing w:line="360" w:lineRule="auto"/>
              <w:jc w:val="center"/>
              <w:rPr>
                <w:rFonts w:hint="eastAsia" w:ascii="宋体" w:hAnsi="宋体" w:cs="宋体"/>
                <w:color w:val="auto"/>
                <w:sz w:val="24"/>
              </w:rPr>
            </w:pPr>
            <w:r>
              <w:rPr>
                <w:rFonts w:hint="eastAsia" w:ascii="宋体" w:hAnsi="宋体"/>
                <w:color w:val="auto"/>
                <w:sz w:val="24"/>
                <w:lang w:val="en-US" w:eastAsia="zh-CN"/>
              </w:rPr>
              <w:t>14</w:t>
            </w:r>
          </w:p>
        </w:tc>
        <w:tc>
          <w:tcPr>
            <w:tcW w:w="144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360" w:lineRule="auto"/>
              <w:jc w:val="center"/>
              <w:rPr>
                <w:rFonts w:hint="eastAsia" w:ascii="宋体" w:hAnsi="宋体" w:cs="宋体"/>
                <w:color w:val="auto"/>
                <w:sz w:val="24"/>
              </w:rPr>
            </w:pPr>
            <w:r>
              <w:rPr>
                <w:rFonts w:hint="eastAsia" w:ascii="宋体" w:hAnsi="宋体" w:cs="宋体"/>
                <w:color w:val="auto"/>
                <w:sz w:val="24"/>
              </w:rPr>
              <w:t>备份</w:t>
            </w:r>
            <w:r>
              <w:rPr>
                <w:rFonts w:hint="eastAsia" w:ascii="宋体" w:hAnsi="宋体" w:cs="宋体"/>
                <w:color w:val="auto"/>
                <w:sz w:val="24"/>
                <w:lang w:eastAsia="zh-CN"/>
              </w:rPr>
              <w:t>磋商响应文件</w:t>
            </w:r>
            <w:r>
              <w:rPr>
                <w:rFonts w:hint="eastAsia" w:ascii="宋体" w:hAnsi="宋体" w:cs="宋体"/>
                <w:color w:val="auto"/>
                <w:sz w:val="24"/>
              </w:rPr>
              <w:t>递交</w:t>
            </w:r>
          </w:p>
        </w:tc>
        <w:tc>
          <w:tcPr>
            <w:tcW w:w="6977" w:type="dxa"/>
            <w:tcBorders>
              <w:top w:val="single" w:color="auto" w:sz="4" w:space="0"/>
              <w:left w:val="single" w:color="auto" w:sz="4" w:space="0"/>
              <w:bottom w:val="single" w:color="auto" w:sz="4" w:space="0"/>
            </w:tcBorders>
            <w:vAlign w:val="center"/>
          </w:tcPr>
          <w:p>
            <w:pPr>
              <w:keepNext w:val="0"/>
              <w:keepLines w:val="0"/>
              <w:pageBreakBefore w:val="0"/>
              <w:numPr>
                <w:ilvl w:val="0"/>
                <w:numId w:val="0"/>
              </w:numPr>
              <w:kinsoku/>
              <w:wordWrap/>
              <w:overflowPunct/>
              <w:topLinePunct w:val="0"/>
              <w:autoSpaceDE w:val="0"/>
              <w:autoSpaceDN w:val="0"/>
              <w:bidi w:val="0"/>
              <w:adjustRightInd/>
              <w:snapToGrid w:val="0"/>
              <w:spacing w:line="360" w:lineRule="auto"/>
              <w:ind w:left="120" w:leftChars="0"/>
              <w:textAlignment w:val="bottom"/>
              <w:rPr>
                <w:rFonts w:hint="eastAsia" w:ascii="宋体" w:hAnsi="宋体" w:cs="宋体"/>
                <w:color w:val="auto"/>
                <w:sz w:val="24"/>
              </w:rPr>
            </w:pPr>
            <w:r>
              <w:rPr>
                <w:rFonts w:hint="eastAsia" w:ascii="宋体" w:hAnsi="宋体" w:cs="宋体"/>
                <w:color w:val="auto"/>
                <w:sz w:val="24"/>
              </w:rPr>
              <w:t>备份</w:t>
            </w:r>
            <w:r>
              <w:rPr>
                <w:rFonts w:hint="eastAsia" w:ascii="宋体" w:hAnsi="宋体" w:cs="宋体"/>
                <w:color w:val="auto"/>
                <w:sz w:val="24"/>
                <w:lang w:eastAsia="zh-CN"/>
              </w:rPr>
              <w:t>磋商响应文件</w:t>
            </w:r>
            <w:r>
              <w:rPr>
                <w:rFonts w:hint="eastAsia" w:ascii="宋体" w:hAnsi="宋体" w:cs="宋体"/>
                <w:color w:val="auto"/>
                <w:sz w:val="24"/>
              </w:rPr>
              <w:t>递交至单位：</w:t>
            </w:r>
            <w:r>
              <w:rPr>
                <w:rFonts w:hint="eastAsia" w:ascii="宋体" w:hAnsi="宋体" w:cs="宋体"/>
                <w:color w:val="auto"/>
                <w:sz w:val="24"/>
                <w:lang w:val="en-US" w:eastAsia="zh-CN"/>
              </w:rPr>
              <w:t>绍兴平准招标代理有限公司</w:t>
            </w:r>
            <w:r>
              <w:rPr>
                <w:rFonts w:hint="eastAsia" w:ascii="宋体" w:hAnsi="宋体" w:cs="宋体"/>
                <w:color w:val="auto"/>
                <w:sz w:val="24"/>
              </w:rPr>
              <w:t>；</w:t>
            </w:r>
          </w:p>
          <w:p>
            <w:pPr>
              <w:keepNext w:val="0"/>
              <w:keepLines w:val="0"/>
              <w:pageBreakBefore w:val="0"/>
              <w:numPr>
                <w:ilvl w:val="0"/>
                <w:numId w:val="0"/>
              </w:numPr>
              <w:kinsoku/>
              <w:wordWrap/>
              <w:overflowPunct/>
              <w:topLinePunct w:val="0"/>
              <w:autoSpaceDE w:val="0"/>
              <w:autoSpaceDN w:val="0"/>
              <w:bidi w:val="0"/>
              <w:adjustRightInd/>
              <w:snapToGrid w:val="0"/>
              <w:spacing w:line="360" w:lineRule="auto"/>
              <w:ind w:left="120" w:leftChars="0"/>
              <w:textAlignment w:val="bottom"/>
              <w:rPr>
                <w:rFonts w:hint="eastAsia" w:ascii="宋体" w:hAnsi="宋体" w:cs="宋体"/>
                <w:color w:val="auto"/>
                <w:sz w:val="24"/>
              </w:rPr>
            </w:pPr>
            <w:r>
              <w:rPr>
                <w:rFonts w:hint="eastAsia" w:ascii="宋体" w:hAnsi="宋体" w:cs="宋体"/>
                <w:color w:val="auto"/>
                <w:sz w:val="24"/>
              </w:rPr>
              <w:t>备份</w:t>
            </w:r>
            <w:r>
              <w:rPr>
                <w:rFonts w:hint="eastAsia" w:ascii="宋体" w:hAnsi="宋体" w:cs="宋体"/>
                <w:color w:val="auto"/>
                <w:sz w:val="24"/>
                <w:lang w:eastAsia="zh-CN"/>
              </w:rPr>
              <w:t>磋商响应文件</w:t>
            </w:r>
            <w:r>
              <w:rPr>
                <w:rFonts w:hint="eastAsia" w:ascii="宋体" w:hAnsi="宋体" w:cs="宋体"/>
                <w:color w:val="auto"/>
                <w:sz w:val="24"/>
              </w:rPr>
              <w:t>递交至地点：嵊州市三江街道官河路南333号商会大厦十四层1407室开标室一。</w:t>
            </w:r>
          </w:p>
          <w:p>
            <w:pPr>
              <w:keepNext w:val="0"/>
              <w:keepLines w:val="0"/>
              <w:pageBreakBefore w:val="0"/>
              <w:numPr>
                <w:ilvl w:val="0"/>
                <w:numId w:val="0"/>
              </w:numPr>
              <w:kinsoku/>
              <w:wordWrap/>
              <w:overflowPunct/>
              <w:topLinePunct w:val="0"/>
              <w:autoSpaceDE w:val="0"/>
              <w:autoSpaceDN w:val="0"/>
              <w:bidi w:val="0"/>
              <w:adjustRightInd/>
              <w:snapToGrid w:val="0"/>
              <w:spacing w:line="360" w:lineRule="auto"/>
              <w:ind w:left="120" w:leftChars="0"/>
              <w:textAlignment w:val="bottom"/>
              <w:rPr>
                <w:rFonts w:hint="eastAsia" w:ascii="宋体" w:hAnsi="宋体" w:cs="宋体"/>
                <w:color w:val="auto"/>
                <w:sz w:val="24"/>
              </w:rPr>
            </w:pPr>
            <w:r>
              <w:rPr>
                <w:rFonts w:hint="eastAsia" w:ascii="宋体" w:hAnsi="宋体" w:cs="宋体"/>
                <w:color w:val="auto"/>
                <w:sz w:val="24"/>
              </w:rPr>
              <w:t>备份</w:t>
            </w:r>
            <w:r>
              <w:rPr>
                <w:rFonts w:hint="eastAsia" w:ascii="宋体" w:hAnsi="宋体" w:cs="宋体"/>
                <w:color w:val="auto"/>
                <w:sz w:val="24"/>
                <w:lang w:eastAsia="zh-CN"/>
              </w:rPr>
              <w:t>磋商响应文件</w:t>
            </w:r>
            <w:r>
              <w:rPr>
                <w:rFonts w:hint="eastAsia" w:ascii="宋体" w:hAnsi="宋体" w:cs="宋体"/>
                <w:color w:val="auto"/>
                <w:sz w:val="24"/>
              </w:rPr>
              <w:t>递交截止时间：2020年</w:t>
            </w:r>
            <w:r>
              <w:rPr>
                <w:rFonts w:hint="eastAsia" w:ascii="宋体" w:hAnsi="宋体" w:cs="宋体"/>
                <w:color w:val="auto"/>
                <w:sz w:val="24"/>
                <w:lang w:val="en-US" w:eastAsia="zh-CN"/>
              </w:rPr>
              <w:t>8</w:t>
            </w:r>
            <w:r>
              <w:rPr>
                <w:rFonts w:hint="eastAsia" w:ascii="宋体" w:hAnsi="宋体" w:cs="宋体"/>
                <w:color w:val="auto"/>
                <w:sz w:val="24"/>
              </w:rPr>
              <w:t>月</w:t>
            </w:r>
            <w:r>
              <w:rPr>
                <w:rFonts w:hint="eastAsia" w:ascii="宋体" w:hAnsi="宋体" w:cs="宋体"/>
                <w:color w:val="auto"/>
                <w:sz w:val="24"/>
                <w:lang w:val="en-US" w:eastAsia="zh-CN"/>
              </w:rPr>
              <w:t>24</w:t>
            </w:r>
            <w:r>
              <w:rPr>
                <w:rFonts w:hint="eastAsia" w:ascii="宋体" w:hAnsi="宋体" w:cs="宋体"/>
                <w:color w:val="auto"/>
                <w:sz w:val="24"/>
              </w:rPr>
              <w:t>日，</w:t>
            </w:r>
            <w:r>
              <w:rPr>
                <w:rFonts w:hint="eastAsia" w:ascii="宋体" w:hAnsi="宋体" w:cs="宋体"/>
                <w:color w:val="auto"/>
                <w:sz w:val="24"/>
                <w:lang w:val="en-US" w:eastAsia="zh-CN"/>
              </w:rPr>
              <w:t>9</w:t>
            </w:r>
            <w:r>
              <w:rPr>
                <w:rFonts w:hint="eastAsia" w:ascii="宋体" w:hAnsi="宋体" w:cs="宋体"/>
                <w:color w:val="auto"/>
                <w:sz w:val="24"/>
              </w:rPr>
              <w:t>时</w:t>
            </w:r>
            <w:r>
              <w:rPr>
                <w:rFonts w:hint="eastAsia" w:ascii="宋体" w:hAnsi="宋体" w:cs="宋体"/>
                <w:color w:val="auto"/>
                <w:sz w:val="24"/>
                <w:lang w:val="en-US" w:eastAsia="zh-CN"/>
              </w:rPr>
              <w:t>30</w:t>
            </w:r>
            <w:r>
              <w:rPr>
                <w:rFonts w:hint="eastAsia" w:ascii="宋体" w:hAnsi="宋体" w:cs="宋体"/>
                <w:color w:val="auto"/>
                <w:sz w:val="24"/>
              </w:rPr>
              <w:t>分。</w:t>
            </w:r>
          </w:p>
          <w:p>
            <w:pPr>
              <w:keepNext w:val="0"/>
              <w:keepLines w:val="0"/>
              <w:pageBreakBefore w:val="0"/>
              <w:numPr>
                <w:ilvl w:val="0"/>
                <w:numId w:val="0"/>
              </w:numPr>
              <w:kinsoku/>
              <w:wordWrap/>
              <w:overflowPunct/>
              <w:topLinePunct w:val="0"/>
              <w:autoSpaceDE w:val="0"/>
              <w:autoSpaceDN w:val="0"/>
              <w:bidi w:val="0"/>
              <w:adjustRightInd/>
              <w:snapToGrid w:val="0"/>
              <w:spacing w:line="360" w:lineRule="auto"/>
              <w:ind w:left="120" w:leftChars="0"/>
              <w:textAlignment w:val="bottom"/>
              <w:rPr>
                <w:rFonts w:hint="eastAsia" w:ascii="宋体" w:hAnsi="宋体" w:eastAsia="宋体" w:cs="宋体"/>
                <w:color w:val="auto"/>
                <w:sz w:val="24"/>
                <w:lang w:eastAsia="zh-CN"/>
              </w:rPr>
            </w:pPr>
            <w:r>
              <w:rPr>
                <w:rFonts w:hint="eastAsia" w:ascii="宋体" w:hAnsi="宋体" w:cs="宋体"/>
                <w:color w:val="auto"/>
                <w:sz w:val="24"/>
              </w:rPr>
              <w:t>邮寄地址：</w:t>
            </w:r>
            <w:r>
              <w:rPr>
                <w:rFonts w:hint="eastAsia" w:ascii="宋体" w:hAnsi="宋体" w:cs="宋体"/>
                <w:bCs/>
                <w:color w:val="auto"/>
                <w:kern w:val="0"/>
                <w:sz w:val="24"/>
              </w:rPr>
              <w:t>嵊州市三江街道官河路南333号商会大厦十四层1407室</w:t>
            </w:r>
            <w:r>
              <w:rPr>
                <w:rFonts w:hint="eastAsia" w:ascii="宋体" w:hAnsi="宋体" w:cs="宋体"/>
                <w:bCs/>
                <w:color w:val="auto"/>
                <w:kern w:val="0"/>
                <w:sz w:val="24"/>
                <w:lang w:eastAsia="zh-CN"/>
              </w:rPr>
              <w:t>。</w:t>
            </w:r>
          </w:p>
          <w:p>
            <w:pPr>
              <w:keepNext w:val="0"/>
              <w:keepLines w:val="0"/>
              <w:pageBreakBefore w:val="0"/>
              <w:numPr>
                <w:ilvl w:val="0"/>
                <w:numId w:val="0"/>
              </w:numPr>
              <w:kinsoku/>
              <w:wordWrap/>
              <w:overflowPunct/>
              <w:topLinePunct w:val="0"/>
              <w:autoSpaceDE w:val="0"/>
              <w:autoSpaceDN w:val="0"/>
              <w:bidi w:val="0"/>
              <w:adjustRightInd/>
              <w:snapToGrid w:val="0"/>
              <w:spacing w:line="360" w:lineRule="auto"/>
              <w:ind w:left="120" w:leftChars="0"/>
              <w:textAlignment w:val="bottom"/>
              <w:rPr>
                <w:rFonts w:hint="eastAsia" w:ascii="宋体" w:hAnsi="宋体" w:cs="宋体"/>
                <w:color w:val="auto"/>
                <w:sz w:val="24"/>
              </w:rPr>
            </w:pPr>
            <w:r>
              <w:rPr>
                <w:rFonts w:hint="eastAsia" w:ascii="宋体" w:hAnsi="宋体" w:cs="宋体"/>
                <w:color w:val="auto"/>
                <w:sz w:val="24"/>
              </w:rPr>
              <w:t>收件人：</w:t>
            </w:r>
            <w:r>
              <w:rPr>
                <w:rFonts w:hint="eastAsia" w:ascii="宋体" w:hAnsi="宋体" w:cs="宋体"/>
                <w:bCs/>
                <w:color w:val="auto"/>
                <w:kern w:val="0"/>
                <w:sz w:val="24"/>
              </w:rPr>
              <w:t>竺小霞</w:t>
            </w:r>
            <w:r>
              <w:rPr>
                <w:rFonts w:hint="eastAsia" w:ascii="宋体" w:hAnsi="宋体" w:cs="宋体"/>
                <w:color w:val="auto"/>
                <w:sz w:val="24"/>
              </w:rPr>
              <w:t>；联系电话：0575-83176688。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26" w:type="dxa"/>
            <w:tcBorders>
              <w:top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val="0"/>
              <w:spacing w:line="360" w:lineRule="auto"/>
              <w:jc w:val="center"/>
              <w:textAlignment w:val="bottom"/>
              <w:rPr>
                <w:rFonts w:hint="eastAsia" w:ascii="宋体" w:hAnsi="宋体" w:cs="宋体"/>
                <w:color w:val="auto"/>
                <w:sz w:val="24"/>
                <w:lang w:val="en-US" w:eastAsia="zh-CN"/>
              </w:rPr>
            </w:pPr>
            <w:r>
              <w:rPr>
                <w:rFonts w:hint="eastAsia" w:ascii="宋体" w:hAnsi="宋体"/>
                <w:color w:val="auto"/>
                <w:sz w:val="24"/>
                <w:lang w:val="en-US" w:eastAsia="zh-CN"/>
              </w:rPr>
              <w:t>15</w:t>
            </w:r>
          </w:p>
        </w:tc>
        <w:tc>
          <w:tcPr>
            <w:tcW w:w="144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演示</w:t>
            </w:r>
          </w:p>
        </w:tc>
        <w:tc>
          <w:tcPr>
            <w:tcW w:w="6977" w:type="dxa"/>
            <w:tcBorders>
              <w:top w:val="single" w:color="auto" w:sz="4" w:space="0"/>
              <w:left w:val="single" w:color="auto" w:sz="4" w:space="0"/>
              <w:bottom w:val="single" w:color="auto" w:sz="4" w:space="0"/>
            </w:tcBorders>
            <w:vAlign w:val="center"/>
          </w:tcPr>
          <w:p>
            <w:pPr>
              <w:keepNext w:val="0"/>
              <w:keepLines w:val="0"/>
              <w:pageBreakBefore w:val="0"/>
              <w:numPr>
                <w:ilvl w:val="0"/>
                <w:numId w:val="0"/>
              </w:numPr>
              <w:kinsoku/>
              <w:wordWrap/>
              <w:overflowPunct/>
              <w:topLinePunct w:val="0"/>
              <w:autoSpaceDE w:val="0"/>
              <w:autoSpaceDN w:val="0"/>
              <w:bidi w:val="0"/>
              <w:adjustRightInd/>
              <w:snapToGrid w:val="0"/>
              <w:spacing w:line="360" w:lineRule="auto"/>
              <w:ind w:left="120" w:leftChars="0"/>
              <w:textAlignment w:val="bottom"/>
              <w:rPr>
                <w:rFonts w:hint="eastAsia" w:ascii="宋体" w:hAnsi="宋体" w:eastAsia="宋体" w:cs="宋体"/>
                <w:color w:val="auto"/>
                <w:sz w:val="24"/>
                <w:lang w:eastAsia="zh-CN"/>
              </w:rPr>
            </w:pPr>
            <w:r>
              <w:rPr>
                <w:rFonts w:hint="eastAsia" w:ascii="宋体" w:hAnsi="宋体" w:eastAsia="宋体" w:cs="宋体"/>
                <w:color w:val="auto"/>
                <w:sz w:val="24"/>
                <w:lang w:eastAsia="zh-CN"/>
              </w:rPr>
              <w:t>所有投标单位提供一体机视频演示，演示时间不超过15分钟。演示视频需以U盘形式于开标之前邮寄至绍兴平准招标代理有限公司。演示视频应当密封包装，并在包装上标注投标项目名称、投标单位名称并加盖公章。没有密封包装或标识或盖章或逾期送达至投标地点的视为未递交。演示视频可与备份投标文件一起寄出，但需分别密封包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26" w:type="dxa"/>
            <w:tcBorders>
              <w:top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16</w:t>
            </w:r>
          </w:p>
        </w:tc>
        <w:tc>
          <w:tcPr>
            <w:tcW w:w="144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进口产品</w:t>
            </w:r>
          </w:p>
        </w:tc>
        <w:tc>
          <w:tcPr>
            <w:tcW w:w="6977" w:type="dxa"/>
            <w:tcBorders>
              <w:top w:val="single" w:color="auto" w:sz="4" w:space="0"/>
              <w:left w:val="single" w:color="auto" w:sz="4" w:space="0"/>
              <w:bottom w:val="single" w:color="auto" w:sz="4" w:space="0"/>
            </w:tcBorders>
            <w:vAlign w:val="center"/>
          </w:tcPr>
          <w:p>
            <w:pPr>
              <w:keepNext w:val="0"/>
              <w:keepLines w:val="0"/>
              <w:pageBreakBefore w:val="0"/>
              <w:numPr>
                <w:ilvl w:val="0"/>
                <w:numId w:val="0"/>
              </w:numPr>
              <w:kinsoku/>
              <w:wordWrap/>
              <w:overflowPunct/>
              <w:topLinePunct w:val="0"/>
              <w:autoSpaceDE w:val="0"/>
              <w:autoSpaceDN w:val="0"/>
              <w:bidi w:val="0"/>
              <w:adjustRightInd/>
              <w:snapToGrid w:val="0"/>
              <w:spacing w:line="360" w:lineRule="auto"/>
              <w:textAlignment w:val="bottom"/>
              <w:rPr>
                <w:rFonts w:hint="eastAsia" w:ascii="宋体" w:hAnsi="宋体" w:eastAsia="宋体" w:cs="宋体"/>
                <w:color w:val="auto"/>
                <w:sz w:val="24"/>
                <w:lang w:val="en-US" w:eastAsia="zh-CN"/>
              </w:rPr>
            </w:pPr>
            <w:r>
              <w:rPr>
                <w:rFonts w:hint="eastAsia" w:ascii="宋体" w:hAnsi="宋体" w:cs="宋体"/>
                <w:color w:val="auto"/>
                <w:sz w:val="24"/>
              </w:rPr>
              <w:t xml:space="preserve"> 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26" w:type="dxa"/>
            <w:tcBorders>
              <w:top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17</w:t>
            </w:r>
          </w:p>
        </w:tc>
        <w:tc>
          <w:tcPr>
            <w:tcW w:w="144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360" w:lineRule="auto"/>
              <w:jc w:val="center"/>
              <w:rPr>
                <w:rFonts w:hint="eastAsia" w:ascii="宋体" w:hAnsi="宋体" w:cs="宋体"/>
                <w:b/>
                <w:bCs/>
                <w:color w:val="auto"/>
                <w:sz w:val="24"/>
              </w:rPr>
            </w:pPr>
            <w:r>
              <w:rPr>
                <w:rFonts w:hint="eastAsia" w:ascii="宋体" w:hAnsi="宋体" w:cs="宋体"/>
                <w:b/>
                <w:bCs/>
                <w:color w:val="auto"/>
                <w:sz w:val="24"/>
              </w:rPr>
              <w:t>样品提供</w:t>
            </w:r>
          </w:p>
        </w:tc>
        <w:tc>
          <w:tcPr>
            <w:tcW w:w="6977" w:type="dxa"/>
            <w:tcBorders>
              <w:top w:val="single" w:color="auto" w:sz="4" w:space="0"/>
              <w:left w:val="single" w:color="auto" w:sz="4" w:space="0"/>
              <w:bottom w:val="single" w:color="auto" w:sz="4" w:space="0"/>
            </w:tcBorders>
            <w:vAlign w:val="center"/>
          </w:tcPr>
          <w:p>
            <w:pPr>
              <w:keepNext w:val="0"/>
              <w:keepLines w:val="0"/>
              <w:pageBreakBefore w:val="0"/>
              <w:numPr>
                <w:ilvl w:val="0"/>
                <w:numId w:val="0"/>
              </w:numPr>
              <w:kinsoku/>
              <w:wordWrap/>
              <w:overflowPunct/>
              <w:topLinePunct w:val="0"/>
              <w:autoSpaceDE w:val="0"/>
              <w:autoSpaceDN w:val="0"/>
              <w:bidi w:val="0"/>
              <w:adjustRightInd/>
              <w:snapToGrid w:val="0"/>
              <w:spacing w:line="360" w:lineRule="auto"/>
              <w:ind w:left="120" w:leftChars="0"/>
              <w:textAlignment w:val="bottom"/>
              <w:rPr>
                <w:rFonts w:hint="eastAsia" w:ascii="宋体" w:hAnsi="宋体" w:eastAsia="宋体" w:cs="宋体"/>
                <w:color w:val="auto"/>
                <w:sz w:val="24"/>
                <w:lang w:val="en-US" w:eastAsia="zh-CN"/>
              </w:rPr>
            </w:pPr>
            <w:r>
              <w:rPr>
                <w:rFonts w:hint="eastAsia" w:ascii="宋体" w:hAnsi="宋体" w:cs="宋体"/>
                <w:color w:val="auto"/>
                <w:sz w:val="24"/>
                <w:lang w:val="en-US" w:eastAsia="zh-CN"/>
              </w:rPr>
              <w:t>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26" w:type="dxa"/>
            <w:tcBorders>
              <w:top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18</w:t>
            </w:r>
          </w:p>
        </w:tc>
        <w:tc>
          <w:tcPr>
            <w:tcW w:w="1442" w:type="dxa"/>
            <w:tcBorders>
              <w:top w:val="single" w:color="auto" w:sz="4" w:space="0"/>
              <w:left w:val="single" w:color="000000" w:sz="4" w:space="0"/>
              <w:bottom w:val="single" w:color="auto" w:sz="4" w:space="0"/>
              <w:right w:val="single" w:color="auto" w:sz="4" w:space="0"/>
            </w:tcBorders>
            <w:vAlign w:val="center"/>
          </w:tcPr>
          <w:p>
            <w:pPr>
              <w:pStyle w:val="5"/>
              <w:keepNext w:val="0"/>
              <w:keepLines w:val="0"/>
              <w:pageBreakBefore w:val="0"/>
              <w:kinsoku/>
              <w:wordWrap/>
              <w:overflowPunct/>
              <w:topLinePunct w:val="0"/>
              <w:bidi w:val="0"/>
              <w:adjustRightInd/>
              <w:spacing w:line="360" w:lineRule="auto"/>
              <w:ind w:firstLine="0"/>
              <w:jc w:val="center"/>
              <w:rPr>
                <w:rFonts w:ascii="宋体" w:hAnsi="宋体" w:cs="宋体"/>
                <w:b/>
                <w:color w:val="auto"/>
                <w:sz w:val="24"/>
                <w:szCs w:val="24"/>
              </w:rPr>
            </w:pPr>
            <w:r>
              <w:rPr>
                <w:rFonts w:hint="eastAsia" w:ascii="宋体" w:hAnsi="宋体" w:cs="宋体"/>
                <w:b/>
                <w:color w:val="auto"/>
                <w:sz w:val="24"/>
                <w:szCs w:val="24"/>
              </w:rPr>
              <w:t>成交结果公告</w:t>
            </w:r>
          </w:p>
        </w:tc>
        <w:tc>
          <w:tcPr>
            <w:tcW w:w="6977"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adjustRightInd/>
              <w:spacing w:line="360" w:lineRule="auto"/>
              <w:jc w:val="left"/>
              <w:rPr>
                <w:rFonts w:ascii="宋体" w:hAnsi="宋体" w:cs="宋体"/>
                <w:color w:val="auto"/>
                <w:sz w:val="24"/>
              </w:rPr>
            </w:pPr>
            <w:r>
              <w:rPr>
                <w:rFonts w:hint="eastAsia" w:ascii="宋体" w:hAnsi="宋体"/>
                <w:color w:val="auto"/>
                <w:sz w:val="24"/>
              </w:rPr>
              <w:t>评标结束结果经采购人确认后2个工作日内发出中标通知书，并在浙江省政府采购网(</w:t>
            </w:r>
            <w:r>
              <w:rPr>
                <w:rFonts w:ascii="宋体" w:hAnsi="宋体" w:cs="宋体"/>
                <w:bCs/>
                <w:color w:val="auto"/>
                <w:kern w:val="0"/>
                <w:sz w:val="24"/>
              </w:rPr>
              <w:t>http://zfcg.czt.zj.gov.cn/</w:t>
            </w:r>
            <w:r>
              <w:rPr>
                <w:rFonts w:hint="eastAsia" w:ascii="宋体" w:hAnsi="宋体"/>
                <w:color w:val="auto"/>
                <w:sz w:val="24"/>
              </w:rPr>
              <w:t>)发布成交公告。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726" w:type="dxa"/>
            <w:tcBorders>
              <w:top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snapToGrid w:val="0"/>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19</w:t>
            </w:r>
          </w:p>
        </w:tc>
        <w:tc>
          <w:tcPr>
            <w:tcW w:w="1442" w:type="dxa"/>
            <w:tcBorders>
              <w:top w:val="single" w:color="auto" w:sz="4" w:space="0"/>
              <w:left w:val="single" w:color="000000" w:sz="4" w:space="0"/>
              <w:bottom w:val="single" w:color="auto" w:sz="4" w:space="0"/>
              <w:right w:val="single" w:color="auto" w:sz="4" w:space="0"/>
            </w:tcBorders>
            <w:vAlign w:val="center"/>
          </w:tcPr>
          <w:p>
            <w:pPr>
              <w:snapToGrid w:val="0"/>
              <w:spacing w:line="360" w:lineRule="auto"/>
              <w:jc w:val="center"/>
              <w:rPr>
                <w:rFonts w:hint="eastAsia" w:ascii="宋体" w:hAnsi="宋体" w:cs="宋体"/>
                <w:b/>
                <w:color w:val="auto"/>
                <w:sz w:val="24"/>
                <w:szCs w:val="24"/>
              </w:rPr>
            </w:pPr>
            <w:r>
              <w:rPr>
                <w:rFonts w:hint="eastAsia" w:ascii="宋体" w:hAnsi="宋体"/>
                <w:sz w:val="24"/>
                <w:szCs w:val="24"/>
              </w:rPr>
              <w:t>履约保证金</w:t>
            </w:r>
          </w:p>
        </w:tc>
        <w:tc>
          <w:tcPr>
            <w:tcW w:w="6977"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ascii="宋体" w:hAnsi="宋体"/>
                <w:color w:val="auto"/>
                <w:sz w:val="24"/>
              </w:rPr>
            </w:pPr>
            <w:r>
              <w:rPr>
                <w:rFonts w:hint="eastAsia" w:ascii="宋体" w:hAnsi="宋体"/>
                <w:sz w:val="24"/>
                <w:szCs w:val="24"/>
              </w:rPr>
              <w:t>合同签订前，由中标单位支付采购人合同总价2%的履约保证金，在</w:t>
            </w:r>
            <w:r>
              <w:rPr>
                <w:rFonts w:hint="eastAsia"/>
                <w:sz w:val="24"/>
              </w:rPr>
              <w:t>安装调试完毕验收合格后</w:t>
            </w:r>
            <w:r>
              <w:rPr>
                <w:rFonts w:hint="eastAsia" w:ascii="宋体" w:hAnsi="宋体"/>
                <w:sz w:val="24"/>
                <w:szCs w:val="24"/>
              </w:rPr>
              <w:t>转为质量保证金，质保期满后退还（不计息）。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4" w:hRule="atLeast"/>
        </w:trPr>
        <w:tc>
          <w:tcPr>
            <w:tcW w:w="726" w:type="dxa"/>
            <w:tcBorders>
              <w:top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snapToGrid w:val="0"/>
              <w:spacing w:line="360" w:lineRule="auto"/>
              <w:jc w:val="center"/>
              <w:rPr>
                <w:rFonts w:hint="default" w:ascii="宋体" w:hAnsi="宋体" w:eastAsia="宋体" w:cs="宋体"/>
                <w:color w:val="auto"/>
                <w:sz w:val="24"/>
                <w:lang w:val="en-US" w:eastAsia="zh-CN"/>
              </w:rPr>
            </w:pPr>
            <w:r>
              <w:rPr>
                <w:rFonts w:hint="eastAsia" w:ascii="宋体" w:hAnsi="宋体"/>
                <w:color w:val="auto"/>
                <w:sz w:val="24"/>
                <w:lang w:val="en-US" w:eastAsia="zh-CN"/>
              </w:rPr>
              <w:t>20</w:t>
            </w:r>
          </w:p>
        </w:tc>
        <w:tc>
          <w:tcPr>
            <w:tcW w:w="144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360" w:lineRule="auto"/>
              <w:jc w:val="center"/>
              <w:rPr>
                <w:rFonts w:ascii="宋体" w:hAnsi="宋体" w:cs="宋体"/>
                <w:b/>
                <w:color w:val="auto"/>
                <w:sz w:val="24"/>
              </w:rPr>
            </w:pPr>
            <w:r>
              <w:rPr>
                <w:rFonts w:hint="eastAsia" w:ascii="宋体" w:hAnsi="宋体" w:cs="宋体"/>
                <w:b/>
                <w:color w:val="auto"/>
                <w:sz w:val="24"/>
              </w:rPr>
              <w:t>付款方式</w:t>
            </w:r>
          </w:p>
        </w:tc>
        <w:tc>
          <w:tcPr>
            <w:tcW w:w="6977"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adjustRightInd/>
              <w:spacing w:line="360" w:lineRule="auto"/>
              <w:rPr>
                <w:rFonts w:ascii="宋体" w:hAnsi="宋体"/>
                <w:color w:val="auto"/>
                <w:sz w:val="24"/>
              </w:rPr>
            </w:pPr>
            <w:r>
              <w:rPr>
                <w:rFonts w:hint="eastAsia"/>
                <w:sz w:val="24"/>
              </w:rPr>
              <w:t>安装调试完毕验收合格后十个工作日内一次性付清。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4" w:hRule="atLeast"/>
        </w:trPr>
        <w:tc>
          <w:tcPr>
            <w:tcW w:w="726" w:type="dxa"/>
            <w:tcBorders>
              <w:top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snapToGrid w:val="0"/>
              <w:spacing w:line="360" w:lineRule="auto"/>
              <w:jc w:val="center"/>
              <w:rPr>
                <w:rFonts w:hint="default" w:ascii="宋体" w:hAnsi="宋体" w:eastAsia="宋体" w:cs="宋体"/>
                <w:color w:val="auto"/>
                <w:sz w:val="24"/>
                <w:lang w:val="en-US" w:eastAsia="zh-CN"/>
              </w:rPr>
            </w:pPr>
            <w:r>
              <w:rPr>
                <w:rFonts w:hint="eastAsia" w:ascii="宋体" w:hAnsi="宋体"/>
                <w:color w:val="auto"/>
                <w:sz w:val="24"/>
                <w:lang w:val="en-US" w:eastAsia="zh-CN"/>
              </w:rPr>
              <w:t>21</w:t>
            </w:r>
          </w:p>
        </w:tc>
        <w:tc>
          <w:tcPr>
            <w:tcW w:w="144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360" w:lineRule="auto"/>
              <w:jc w:val="center"/>
              <w:rPr>
                <w:rFonts w:ascii="宋体" w:hAnsi="宋体" w:cs="宋体"/>
                <w:b/>
                <w:color w:val="auto"/>
                <w:sz w:val="24"/>
              </w:rPr>
            </w:pPr>
            <w:r>
              <w:rPr>
                <w:rFonts w:hint="eastAsia" w:ascii="宋体" w:hAnsi="宋体" w:cs="宋体"/>
                <w:b/>
                <w:color w:val="auto"/>
                <w:sz w:val="24"/>
              </w:rPr>
              <w:t>招标代理服务费</w:t>
            </w:r>
          </w:p>
        </w:tc>
        <w:tc>
          <w:tcPr>
            <w:tcW w:w="6977"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adjustRightInd/>
              <w:snapToGrid w:val="0"/>
              <w:spacing w:line="360" w:lineRule="auto"/>
              <w:jc w:val="left"/>
              <w:rPr>
                <w:rFonts w:ascii="宋体" w:hAnsi="宋体"/>
                <w:color w:val="auto"/>
                <w:sz w:val="24"/>
              </w:rPr>
            </w:pPr>
            <w:r>
              <w:rPr>
                <w:rFonts w:hint="eastAsia" w:ascii="宋体" w:hAnsi="宋体"/>
                <w:color w:val="auto"/>
                <w:sz w:val="24"/>
              </w:rPr>
              <w:t>①招标代理机构按照国家计委计价格[2002]1980号文、[2011]534号文规定的收费标准，代理费不足五千元按五千元收取，其他费用按实支付，在招标成功后领取中标通知书前向中标单位收取。</w:t>
            </w:r>
          </w:p>
          <w:p>
            <w:pPr>
              <w:keepNext w:val="0"/>
              <w:keepLines w:val="0"/>
              <w:pageBreakBefore w:val="0"/>
              <w:kinsoku/>
              <w:wordWrap/>
              <w:overflowPunct/>
              <w:topLinePunct w:val="0"/>
              <w:bidi w:val="0"/>
              <w:adjustRightInd/>
              <w:snapToGrid w:val="0"/>
              <w:spacing w:line="360" w:lineRule="auto"/>
              <w:jc w:val="left"/>
              <w:rPr>
                <w:rFonts w:ascii="宋体" w:hAnsi="宋体"/>
                <w:color w:val="auto"/>
                <w:sz w:val="24"/>
              </w:rPr>
            </w:pPr>
            <w:r>
              <w:rPr>
                <w:rFonts w:hint="eastAsia" w:ascii="宋体" w:hAnsi="宋体"/>
                <w:color w:val="auto"/>
                <w:sz w:val="24"/>
              </w:rPr>
              <w:t>②用银行支票、电汇、现金等付款方式直接交纳中标服务费。</w:t>
            </w:r>
          </w:p>
          <w:p>
            <w:pPr>
              <w:keepNext w:val="0"/>
              <w:keepLines w:val="0"/>
              <w:pageBreakBefore w:val="0"/>
              <w:kinsoku/>
              <w:wordWrap/>
              <w:overflowPunct/>
              <w:topLinePunct w:val="0"/>
              <w:bidi w:val="0"/>
              <w:adjustRightInd/>
              <w:snapToGrid w:val="0"/>
              <w:spacing w:line="360" w:lineRule="auto"/>
              <w:jc w:val="left"/>
              <w:rPr>
                <w:rFonts w:ascii="宋体" w:hAnsi="宋体"/>
                <w:color w:val="auto"/>
                <w:sz w:val="24"/>
              </w:rPr>
            </w:pPr>
            <w:r>
              <w:rPr>
                <w:rFonts w:hint="eastAsia" w:ascii="宋体" w:hAnsi="宋体"/>
                <w:color w:val="auto"/>
                <w:sz w:val="24"/>
              </w:rPr>
              <w:t>公司名称: 绍兴平准招标代理有限公司</w:t>
            </w:r>
          </w:p>
          <w:p>
            <w:pPr>
              <w:keepNext w:val="0"/>
              <w:keepLines w:val="0"/>
              <w:pageBreakBefore w:val="0"/>
              <w:kinsoku/>
              <w:wordWrap/>
              <w:overflowPunct/>
              <w:topLinePunct w:val="0"/>
              <w:bidi w:val="0"/>
              <w:adjustRightInd/>
              <w:snapToGrid w:val="0"/>
              <w:spacing w:line="360" w:lineRule="auto"/>
              <w:jc w:val="left"/>
              <w:rPr>
                <w:rFonts w:ascii="宋体" w:hAnsi="宋体"/>
                <w:color w:val="auto"/>
                <w:sz w:val="24"/>
              </w:rPr>
            </w:pPr>
            <w:r>
              <w:rPr>
                <w:rFonts w:hint="eastAsia" w:ascii="宋体" w:hAnsi="宋体"/>
                <w:color w:val="auto"/>
                <w:sz w:val="24"/>
              </w:rPr>
              <w:t>开户行: 建设银行嵊州</w:t>
            </w:r>
            <w:r>
              <w:rPr>
                <w:rFonts w:hint="eastAsia" w:ascii="宋体" w:hAnsi="宋体"/>
                <w:color w:val="auto"/>
                <w:sz w:val="24"/>
                <w:lang w:val="en-US" w:eastAsia="zh-CN"/>
              </w:rPr>
              <w:t>新城</w:t>
            </w:r>
            <w:r>
              <w:rPr>
                <w:rFonts w:hint="eastAsia" w:ascii="宋体" w:hAnsi="宋体"/>
                <w:color w:val="auto"/>
                <w:sz w:val="24"/>
              </w:rPr>
              <w:t>支行</w:t>
            </w:r>
          </w:p>
          <w:p>
            <w:pPr>
              <w:keepNext w:val="0"/>
              <w:keepLines w:val="0"/>
              <w:pageBreakBefore w:val="0"/>
              <w:kinsoku/>
              <w:wordWrap/>
              <w:overflowPunct/>
              <w:topLinePunct w:val="0"/>
              <w:bidi w:val="0"/>
              <w:adjustRightInd/>
              <w:snapToGrid w:val="0"/>
              <w:spacing w:line="360" w:lineRule="auto"/>
              <w:jc w:val="left"/>
              <w:rPr>
                <w:rFonts w:ascii="宋体" w:hAnsi="宋体"/>
                <w:color w:val="auto"/>
                <w:sz w:val="24"/>
              </w:rPr>
            </w:pPr>
            <w:r>
              <w:rPr>
                <w:rFonts w:hint="eastAsia" w:ascii="宋体" w:hAnsi="宋体"/>
                <w:color w:val="auto"/>
                <w:sz w:val="24"/>
              </w:rPr>
              <w:t>账号: 33050165655009888888</w:t>
            </w:r>
          </w:p>
          <w:p>
            <w:pPr>
              <w:keepNext w:val="0"/>
              <w:keepLines w:val="0"/>
              <w:pageBreakBefore w:val="0"/>
              <w:widowControl/>
              <w:kinsoku/>
              <w:wordWrap/>
              <w:overflowPunct/>
              <w:topLinePunct w:val="0"/>
              <w:bidi w:val="0"/>
              <w:adjustRightInd/>
              <w:spacing w:line="360" w:lineRule="auto"/>
              <w:rPr>
                <w:rFonts w:ascii="宋体" w:hAnsi="宋体"/>
                <w:color w:val="auto"/>
                <w:sz w:val="24"/>
              </w:rPr>
            </w:pPr>
            <w:r>
              <w:rPr>
                <w:rFonts w:hint="eastAsia" w:ascii="宋体" w:hAnsi="宋体"/>
                <w:color w:val="auto"/>
                <w:sz w:val="24"/>
              </w:rPr>
              <w:t>③中标服务费的交纳时间: 领取中标通知书前交纳。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3" w:hRule="atLeast"/>
        </w:trPr>
        <w:tc>
          <w:tcPr>
            <w:tcW w:w="726" w:type="dxa"/>
            <w:tcBorders>
              <w:top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22</w:t>
            </w:r>
          </w:p>
        </w:tc>
        <w:tc>
          <w:tcPr>
            <w:tcW w:w="144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360" w:lineRule="auto"/>
              <w:jc w:val="center"/>
              <w:rPr>
                <w:rFonts w:ascii="宋体" w:hAnsi="宋体"/>
                <w:b/>
                <w:color w:val="auto"/>
                <w:sz w:val="24"/>
              </w:rPr>
            </w:pPr>
            <w:r>
              <w:rPr>
                <w:rFonts w:hint="eastAsia" w:ascii="宋体" w:hAnsi="宋体"/>
                <w:b/>
                <w:color w:val="auto"/>
                <w:sz w:val="24"/>
              </w:rPr>
              <w:t>合同签订</w:t>
            </w:r>
          </w:p>
          <w:p>
            <w:pPr>
              <w:keepNext w:val="0"/>
              <w:keepLines w:val="0"/>
              <w:pageBreakBefore w:val="0"/>
              <w:kinsoku/>
              <w:wordWrap/>
              <w:overflowPunct/>
              <w:topLinePunct w:val="0"/>
              <w:bidi w:val="0"/>
              <w:adjustRightInd/>
              <w:snapToGrid w:val="0"/>
              <w:spacing w:line="360" w:lineRule="auto"/>
              <w:jc w:val="center"/>
              <w:rPr>
                <w:rFonts w:ascii="宋体" w:hAnsi="宋体"/>
                <w:b/>
                <w:color w:val="auto"/>
                <w:sz w:val="24"/>
              </w:rPr>
            </w:pPr>
            <w:r>
              <w:rPr>
                <w:rFonts w:hint="eastAsia" w:ascii="宋体" w:hAnsi="宋体"/>
                <w:b/>
                <w:color w:val="auto"/>
                <w:sz w:val="24"/>
              </w:rPr>
              <w:t>时间</w:t>
            </w:r>
          </w:p>
        </w:tc>
        <w:tc>
          <w:tcPr>
            <w:tcW w:w="6977"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360" w:lineRule="auto"/>
              <w:textAlignment w:val="bottom"/>
              <w:rPr>
                <w:rFonts w:ascii="宋体" w:hAnsi="宋体"/>
                <w:color w:val="auto"/>
                <w:sz w:val="24"/>
              </w:rPr>
            </w:pPr>
            <w:r>
              <w:rPr>
                <w:rFonts w:hint="eastAsia" w:ascii="宋体" w:hAnsi="宋体"/>
                <w:color w:val="auto"/>
                <w:sz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726" w:type="dxa"/>
            <w:tcBorders>
              <w:top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snapToGrid w:val="0"/>
              <w:spacing w:line="360" w:lineRule="auto"/>
              <w:jc w:val="center"/>
              <w:rPr>
                <w:rFonts w:hint="default" w:ascii="宋体" w:hAnsi="宋体" w:eastAsia="宋体"/>
                <w:color w:val="auto"/>
                <w:sz w:val="24"/>
                <w:lang w:val="en-US" w:eastAsia="zh-CN"/>
              </w:rPr>
            </w:pPr>
            <w:r>
              <w:rPr>
                <w:rFonts w:hint="eastAsia" w:ascii="宋体" w:hAnsi="宋体" w:cs="宋体"/>
                <w:color w:val="auto"/>
                <w:sz w:val="24"/>
                <w:lang w:val="en-US" w:eastAsia="zh-CN"/>
              </w:rPr>
              <w:t>23</w:t>
            </w:r>
          </w:p>
        </w:tc>
        <w:tc>
          <w:tcPr>
            <w:tcW w:w="144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360" w:lineRule="auto"/>
              <w:jc w:val="center"/>
              <w:rPr>
                <w:rFonts w:ascii="宋体" w:hAnsi="宋体"/>
                <w:b/>
                <w:color w:val="auto"/>
                <w:sz w:val="24"/>
              </w:rPr>
            </w:pPr>
            <w:r>
              <w:rPr>
                <w:rFonts w:hint="eastAsia" w:ascii="宋体" w:hAnsi="宋体"/>
                <w:b/>
                <w:color w:val="auto"/>
                <w:sz w:val="24"/>
              </w:rPr>
              <w:t>磋商响应文件的接收</w:t>
            </w:r>
          </w:p>
        </w:tc>
        <w:tc>
          <w:tcPr>
            <w:tcW w:w="6977"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360" w:lineRule="auto"/>
              <w:textAlignment w:val="bottom"/>
              <w:rPr>
                <w:rFonts w:ascii="仿宋_GB2312" w:eastAsia="仿宋_GB2312"/>
                <w:b/>
                <w:color w:val="auto"/>
                <w:sz w:val="32"/>
                <w:szCs w:val="32"/>
              </w:rPr>
            </w:pPr>
            <w:r>
              <w:rPr>
                <w:rFonts w:hint="eastAsia" w:ascii="宋体" w:hAnsi="宋体"/>
                <w:color w:val="auto"/>
                <w:sz w:val="24"/>
              </w:rPr>
              <w:t>磋商响应方应当在磋商响应截止时间前完成电子磋商响应文件的传输递交，并可以补充、修改或者撤回电子磋商响应文件。补充或者修改电子磋商响应文件的，应当先行撤回原文件，补充、修改后重新传输递交。磋商截止时间前未完成传输的，视为撤回磋商响应文件。磋商响应截止时间后送达的磋商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3" w:hRule="atLeast"/>
        </w:trPr>
        <w:tc>
          <w:tcPr>
            <w:tcW w:w="726" w:type="dxa"/>
            <w:tcBorders>
              <w:top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snapToGrid w:val="0"/>
              <w:spacing w:line="360" w:lineRule="auto"/>
              <w:jc w:val="center"/>
              <w:rPr>
                <w:rFonts w:hint="default" w:ascii="宋体" w:hAnsi="宋体" w:eastAsia="宋体"/>
                <w:color w:val="auto"/>
                <w:sz w:val="24"/>
                <w:lang w:val="en-US" w:eastAsia="zh-CN"/>
              </w:rPr>
            </w:pPr>
            <w:r>
              <w:rPr>
                <w:rFonts w:hint="eastAsia" w:ascii="宋体" w:hAnsi="宋体"/>
                <w:color w:val="auto"/>
                <w:sz w:val="24"/>
                <w:lang w:val="en-US" w:eastAsia="zh-CN"/>
              </w:rPr>
              <w:t>24</w:t>
            </w:r>
          </w:p>
        </w:tc>
        <w:tc>
          <w:tcPr>
            <w:tcW w:w="144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360" w:lineRule="auto"/>
              <w:jc w:val="center"/>
              <w:rPr>
                <w:rFonts w:ascii="宋体" w:hAnsi="宋体" w:cs="宋体"/>
                <w:b/>
                <w:color w:val="auto"/>
                <w:sz w:val="24"/>
              </w:rPr>
            </w:pPr>
            <w:r>
              <w:rPr>
                <w:rFonts w:hint="eastAsia" w:ascii="宋体" w:hAnsi="宋体" w:cs="宋体"/>
                <w:b/>
                <w:color w:val="auto"/>
                <w:sz w:val="24"/>
              </w:rPr>
              <w:t>解释</w:t>
            </w:r>
          </w:p>
        </w:tc>
        <w:tc>
          <w:tcPr>
            <w:tcW w:w="6977"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adjustRightInd/>
              <w:snapToGrid w:val="0"/>
              <w:spacing w:line="360" w:lineRule="auto"/>
              <w:jc w:val="left"/>
              <w:rPr>
                <w:rFonts w:ascii="宋体" w:hAnsi="宋体" w:cs="宋体"/>
                <w:color w:val="auto"/>
                <w:sz w:val="24"/>
              </w:rPr>
            </w:pPr>
            <w:r>
              <w:rPr>
                <w:rFonts w:hint="eastAsia" w:ascii="宋体" w:hAnsi="宋体"/>
                <w:color w:val="auto"/>
                <w:sz w:val="24"/>
              </w:rPr>
              <w:t>本磋商文件的解释权属于采购人和招标代理机构。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1" w:hRule="atLeast"/>
        </w:trPr>
        <w:tc>
          <w:tcPr>
            <w:tcW w:w="726" w:type="dxa"/>
            <w:tcBorders>
              <w:top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bidi w:val="0"/>
              <w:adjustRightInd/>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25</w:t>
            </w:r>
          </w:p>
        </w:tc>
        <w:tc>
          <w:tcPr>
            <w:tcW w:w="1442"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adjustRightInd/>
              <w:spacing w:line="360" w:lineRule="auto"/>
              <w:jc w:val="center"/>
              <w:rPr>
                <w:rFonts w:ascii="宋体" w:hAnsi="宋体" w:cs="宋体"/>
                <w:b/>
                <w:color w:val="auto"/>
                <w:sz w:val="24"/>
              </w:rPr>
            </w:pPr>
            <w:r>
              <w:rPr>
                <w:rFonts w:hint="eastAsia" w:ascii="宋体" w:hAnsi="宋体"/>
                <w:b/>
                <w:color w:val="auto"/>
                <w:sz w:val="24"/>
              </w:rPr>
              <w:t>其他</w:t>
            </w:r>
          </w:p>
        </w:tc>
        <w:tc>
          <w:tcPr>
            <w:tcW w:w="6977" w:type="dxa"/>
            <w:tcBorders>
              <w:top w:val="single" w:color="auto" w:sz="4" w:space="0"/>
              <w:left w:val="single" w:color="auto" w:sz="4" w:space="0"/>
              <w:bottom w:val="single" w:color="000000" w:sz="4" w:space="0"/>
            </w:tcBorders>
            <w:vAlign w:val="center"/>
          </w:tcPr>
          <w:p>
            <w:pPr>
              <w:keepNext w:val="0"/>
              <w:keepLines w:val="0"/>
              <w:pageBreakBefore w:val="0"/>
              <w:kinsoku/>
              <w:wordWrap/>
              <w:overflowPunct/>
              <w:topLinePunct w:val="0"/>
              <w:bidi w:val="0"/>
              <w:adjustRightInd/>
              <w:spacing w:line="360" w:lineRule="auto"/>
              <w:ind w:left="21" w:leftChars="10"/>
              <w:rPr>
                <w:rFonts w:ascii="宋体" w:hAnsi="宋体"/>
                <w:color w:val="auto"/>
                <w:sz w:val="24"/>
              </w:rPr>
            </w:pPr>
            <w:r>
              <w:rPr>
                <w:rFonts w:hint="eastAsia" w:ascii="宋体" w:hAnsi="宋体"/>
                <w:color w:val="auto"/>
                <w:sz w:val="24"/>
              </w:rPr>
              <w:t>绍兴平准招标代理有限公司于磋商响应截止时间前接收磋商响应文件，逾期送达或未密封将予以拒收。</w:t>
            </w:r>
          </w:p>
        </w:tc>
      </w:tr>
    </w:tbl>
    <w:p>
      <w:pPr>
        <w:pageBreakBefore w:val="0"/>
        <w:kinsoku/>
        <w:wordWrap/>
        <w:overflowPunct/>
        <w:topLinePunct w:val="0"/>
        <w:autoSpaceDE/>
        <w:autoSpaceDN/>
        <w:bidi w:val="0"/>
        <w:snapToGrid w:val="0"/>
        <w:spacing w:line="360" w:lineRule="auto"/>
        <w:ind w:firstLine="482" w:firstLineChars="200"/>
        <w:jc w:val="left"/>
        <w:outlineLvl w:val="1"/>
        <w:rPr>
          <w:rFonts w:asciiTheme="minorEastAsia" w:hAnsiTheme="minorEastAsia" w:eastAsiaTheme="minorEastAsia"/>
          <w:b/>
          <w:sz w:val="24"/>
          <w:szCs w:val="24"/>
        </w:rPr>
      </w:pPr>
      <w:bookmarkStart w:id="18" w:name="_Toc30310"/>
      <w:r>
        <w:rPr>
          <w:rFonts w:hint="eastAsia" w:asciiTheme="minorEastAsia" w:hAnsiTheme="minorEastAsia" w:eastAsiaTheme="minorEastAsia"/>
          <w:b/>
          <w:sz w:val="24"/>
          <w:szCs w:val="24"/>
        </w:rPr>
        <w:t>一、总则</w:t>
      </w:r>
      <w:bookmarkEnd w:id="18"/>
    </w:p>
    <w:p>
      <w:pPr>
        <w:pageBreakBefore w:val="0"/>
        <w:kinsoku/>
        <w:wordWrap/>
        <w:overflowPunct/>
        <w:topLinePunct w:val="0"/>
        <w:autoSpaceDE/>
        <w:autoSpaceDN/>
        <w:bidi w:val="0"/>
        <w:snapToGrid w:val="0"/>
        <w:spacing w:line="360" w:lineRule="auto"/>
        <w:ind w:firstLine="595" w:firstLineChars="248"/>
        <w:jc w:val="left"/>
        <w:rPr>
          <w:rFonts w:cs="Arial" w:asciiTheme="minorEastAsia" w:hAnsiTheme="minorEastAsia" w:eastAsiaTheme="minorEastAsia"/>
          <w:sz w:val="24"/>
          <w:szCs w:val="24"/>
        </w:rPr>
      </w:pPr>
      <w:bookmarkStart w:id="19" w:name="_Toc5014997"/>
      <w:bookmarkStart w:id="20" w:name="_Toc11860785"/>
      <w:r>
        <w:rPr>
          <w:rFonts w:hint="eastAsia" w:cs="Arial" w:asciiTheme="minorEastAsia" w:hAnsiTheme="minorEastAsia" w:eastAsiaTheme="minorEastAsia"/>
          <w:sz w:val="24"/>
          <w:szCs w:val="24"/>
        </w:rPr>
        <w:t>竞争性磋商采购方式，是指采购人、政府采购代理机构通过组建竞争性磋商小组（以下简称磋商小组）与符合条件的磋商响应方就采购货物、工程和服务事宜进行磋商，</w:t>
      </w:r>
      <w:r>
        <w:rPr>
          <w:rFonts w:hint="eastAsia" w:cs="Arial" w:asciiTheme="minorEastAsia" w:hAnsiTheme="minorEastAsia" w:eastAsiaTheme="minorEastAsia"/>
          <w:b w:val="0"/>
          <w:bCs/>
          <w:sz w:val="24"/>
          <w:szCs w:val="24"/>
        </w:rPr>
        <w:t>磋商响应方按</w:t>
      </w:r>
      <w:r>
        <w:rPr>
          <w:rFonts w:hint="eastAsia" w:cs="Arial" w:asciiTheme="minorEastAsia" w:hAnsiTheme="minorEastAsia" w:eastAsiaTheme="minorEastAsia"/>
          <w:sz w:val="24"/>
          <w:szCs w:val="24"/>
        </w:rPr>
        <w:t>照磋商文件的要求提交磋商响应文件和报价，采购人从磋商小组评审后提出的候选供应商名单中确定成交供应商的采购方式。</w:t>
      </w:r>
      <w:bookmarkEnd w:id="19"/>
      <w:bookmarkEnd w:id="20"/>
    </w:p>
    <w:p>
      <w:pPr>
        <w:pageBreakBefore w:val="0"/>
        <w:kinsoku/>
        <w:wordWrap/>
        <w:overflowPunct/>
        <w:topLinePunct w:val="0"/>
        <w:autoSpaceDE/>
        <w:autoSpaceDN/>
        <w:bidi w:val="0"/>
        <w:snapToGrid w:val="0"/>
        <w:spacing w:line="360" w:lineRule="auto"/>
        <w:ind w:firstLine="357" w:firstLineChars="148"/>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（一）适用范围</w:t>
      </w:r>
    </w:p>
    <w:p>
      <w:pPr>
        <w:pageBreakBefore w:val="0"/>
        <w:kinsoku/>
        <w:wordWrap/>
        <w:overflowPunct/>
        <w:topLinePunct w:val="0"/>
        <w:autoSpaceDE/>
        <w:autoSpaceDN/>
        <w:bidi w:val="0"/>
        <w:snapToGrid w:val="0"/>
        <w:spacing w:line="360" w:lineRule="auto"/>
        <w:ind w:firstLine="355" w:firstLineChars="148"/>
        <w:jc w:val="left"/>
        <w:rPr>
          <w:rFonts w:cs="Arial" w:asciiTheme="minorEastAsia" w:hAnsiTheme="minorEastAsia" w:eastAsiaTheme="minorEastAsia"/>
          <w:sz w:val="24"/>
          <w:szCs w:val="24"/>
        </w:rPr>
      </w:pPr>
      <w:bookmarkStart w:id="21" w:name="_Toc5014998"/>
      <w:bookmarkStart w:id="22" w:name="_Toc11860786"/>
      <w:r>
        <w:rPr>
          <w:rFonts w:hint="eastAsia" w:cs="Arial" w:asciiTheme="minorEastAsia" w:hAnsiTheme="minorEastAsia" w:eastAsiaTheme="minorEastAsia"/>
          <w:sz w:val="24"/>
          <w:szCs w:val="24"/>
        </w:rPr>
        <w:t>仅适用于本次竞争性磋商文件中政府采购的项目。</w:t>
      </w:r>
      <w:bookmarkEnd w:id="21"/>
      <w:bookmarkEnd w:id="22"/>
    </w:p>
    <w:p>
      <w:pPr>
        <w:pageBreakBefore w:val="0"/>
        <w:kinsoku/>
        <w:wordWrap/>
        <w:overflowPunct/>
        <w:topLinePunct w:val="0"/>
        <w:autoSpaceDE/>
        <w:autoSpaceDN/>
        <w:bidi w:val="0"/>
        <w:snapToGrid w:val="0"/>
        <w:spacing w:line="360" w:lineRule="auto"/>
        <w:ind w:firstLine="357" w:firstLineChars="148"/>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（二）定义</w:t>
      </w:r>
    </w:p>
    <w:p>
      <w:pPr>
        <w:pageBreakBefore w:val="0"/>
        <w:kinsoku/>
        <w:wordWrap/>
        <w:overflowPunct/>
        <w:topLinePunct w:val="0"/>
        <w:autoSpaceDE/>
        <w:autoSpaceDN/>
        <w:bidi w:val="0"/>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1.“磋商方”系指组织本次磋商的绍兴平准招标代理有限公司。</w:t>
      </w:r>
    </w:p>
    <w:p>
      <w:pPr>
        <w:pageBreakBefore w:val="0"/>
        <w:kinsoku/>
        <w:wordWrap/>
        <w:overflowPunct/>
        <w:topLinePunct w:val="0"/>
        <w:autoSpaceDE/>
        <w:autoSpaceDN/>
        <w:bidi w:val="0"/>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2.“磋商响应方”系指向磋商方提交磋商响应文件的单位。</w:t>
      </w:r>
    </w:p>
    <w:p>
      <w:pPr>
        <w:pageBreakBefore w:val="0"/>
        <w:kinsoku/>
        <w:wordWrap/>
        <w:overflowPunct/>
        <w:topLinePunct w:val="0"/>
        <w:autoSpaceDE/>
        <w:autoSpaceDN/>
        <w:bidi w:val="0"/>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3.“采购人”系指委托磋商方采购本次项目的国家机关、事业单位和团体组织；也是磋商结果的最终确认方。</w:t>
      </w:r>
    </w:p>
    <w:p>
      <w:pPr>
        <w:pageBreakBefore w:val="0"/>
        <w:kinsoku/>
        <w:wordWrap/>
        <w:overflowPunct/>
        <w:topLinePunct w:val="0"/>
        <w:autoSpaceDE/>
        <w:autoSpaceDN/>
        <w:bidi w:val="0"/>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4.“产品”系指供方按磋商文件规定，须向采购人提供的一切设备、保险、税金、备品备件、工具、手册及其它有关技术资料和材料。</w:t>
      </w:r>
    </w:p>
    <w:p>
      <w:pPr>
        <w:pageBreakBefore w:val="0"/>
        <w:kinsoku/>
        <w:wordWrap/>
        <w:overflowPunct/>
        <w:topLinePunct w:val="0"/>
        <w:autoSpaceDE/>
        <w:autoSpaceDN/>
        <w:bidi w:val="0"/>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5.“服务”系指磋商文件规定磋商响应方须承担的安装、调试、技术协助、校准、培训、技术指导以及其他类似的义务。</w:t>
      </w:r>
    </w:p>
    <w:p>
      <w:pPr>
        <w:pageBreakBefore w:val="0"/>
        <w:kinsoku/>
        <w:wordWrap/>
        <w:overflowPunct/>
        <w:topLinePunct w:val="0"/>
        <w:autoSpaceDE/>
        <w:autoSpaceDN/>
        <w:bidi w:val="0"/>
        <w:snapToGrid w:val="0"/>
        <w:spacing w:line="360" w:lineRule="auto"/>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6.“项目”系指磋商响应方按磋商文件规定向采购人提供的产品和服务。</w:t>
      </w:r>
    </w:p>
    <w:p>
      <w:pPr>
        <w:pageBreakBefore w:val="0"/>
        <w:kinsoku/>
        <w:wordWrap/>
        <w:overflowPunct/>
        <w:topLinePunct w:val="0"/>
        <w:autoSpaceDE/>
        <w:autoSpaceDN/>
        <w:bidi w:val="0"/>
        <w:snapToGrid w:val="0"/>
        <w:spacing w:line="360" w:lineRule="auto"/>
        <w:ind w:firstLine="357" w:firstLineChars="148"/>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（三）语言</w:t>
      </w:r>
    </w:p>
    <w:p>
      <w:pPr>
        <w:pStyle w:val="380"/>
        <w:pageBreakBefore w:val="0"/>
        <w:kinsoku/>
        <w:wordWrap/>
        <w:overflowPunct/>
        <w:topLinePunct w:val="0"/>
        <w:autoSpaceDE/>
        <w:autoSpaceDN/>
        <w:bidi w:val="0"/>
        <w:spacing w:before="120" w:after="1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磋商响应文件及报价人与采购单位之间的与磋商响应文件有关的往来函电和文件均须使用中文。</w:t>
      </w:r>
    </w:p>
    <w:p>
      <w:pPr>
        <w:pageBreakBefore w:val="0"/>
        <w:kinsoku/>
        <w:wordWrap/>
        <w:overflowPunct/>
        <w:topLinePunct w:val="0"/>
        <w:autoSpaceDE/>
        <w:autoSpaceDN/>
        <w:bidi w:val="0"/>
        <w:snapToGrid w:val="0"/>
        <w:spacing w:line="360" w:lineRule="auto"/>
        <w:ind w:firstLine="357" w:firstLineChars="148"/>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（四）其他</w:t>
      </w:r>
    </w:p>
    <w:p>
      <w:pPr>
        <w:pageBreakBefore w:val="0"/>
        <w:kinsoku/>
        <w:wordWrap/>
        <w:overflowPunct/>
        <w:topLinePunct w:val="0"/>
        <w:autoSpaceDE/>
        <w:autoSpaceDN/>
        <w:bidi w:val="0"/>
        <w:snapToGrid w:val="0"/>
        <w:spacing w:before="120" w:beforeLines="50" w:line="360" w:lineRule="auto"/>
        <w:ind w:firstLine="470" w:firstLineChars="196"/>
        <w:jc w:val="left"/>
        <w:rPr>
          <w:rFonts w:cs="Arial" w:asciiTheme="minorEastAsia" w:hAnsiTheme="minorEastAsia" w:eastAsiaTheme="minorEastAsia"/>
          <w:sz w:val="24"/>
          <w:szCs w:val="24"/>
        </w:rPr>
      </w:pPr>
      <w:bookmarkStart w:id="23" w:name="_Toc5014999"/>
      <w:bookmarkStart w:id="24" w:name="_Toc11860787"/>
      <w:r>
        <w:rPr>
          <w:rFonts w:hint="eastAsia" w:cs="Arial" w:asciiTheme="minorEastAsia" w:hAnsiTheme="minorEastAsia" w:eastAsiaTheme="minorEastAsia"/>
          <w:sz w:val="24"/>
          <w:szCs w:val="24"/>
        </w:rPr>
        <w:t>1.如全权代表不是法定代表人，须有法定代表人出具的授权委托书（格式见附部分）。</w:t>
      </w:r>
      <w:bookmarkEnd w:id="23"/>
      <w:bookmarkEnd w:id="24"/>
    </w:p>
    <w:p>
      <w:pPr>
        <w:pStyle w:val="28"/>
        <w:pageBreakBefore w:val="0"/>
        <w:kinsoku/>
        <w:wordWrap/>
        <w:overflowPunct/>
        <w:topLinePunct w:val="0"/>
        <w:autoSpaceDE/>
        <w:autoSpaceDN/>
        <w:bidi w:val="0"/>
        <w:snapToGrid w:val="0"/>
        <w:spacing w:beforeLines="0" w:afterLines="0" w:line="360" w:lineRule="auto"/>
        <w:ind w:left="2" w:leftChars="1" w:firstLine="480" w:firstLineChars="200"/>
        <w:rPr>
          <w:rFonts w:cs="Arial" w:asciiTheme="minorEastAsia" w:hAnsiTheme="minorEastAsia" w:eastAsiaTheme="minorEastAsia"/>
          <w:color w:val="000000"/>
        </w:rPr>
      </w:pPr>
      <w:r>
        <w:rPr>
          <w:rFonts w:hint="eastAsia" w:cs="Arial" w:asciiTheme="minorEastAsia" w:hAnsiTheme="minorEastAsia" w:eastAsiaTheme="minorEastAsia"/>
          <w:color w:val="000000"/>
        </w:rPr>
        <w:t>2.磋商响应方所使用的资格、信誉、荣誉、业绩与企业认证必须为本法人所拥有。其所使用的采购项目实施人员必须为本法人员工（或必须为本法人或其控股公司正式员工）。</w:t>
      </w:r>
    </w:p>
    <w:p>
      <w:pPr>
        <w:pageBreakBefore w:val="0"/>
        <w:kinsoku/>
        <w:wordWrap/>
        <w:overflowPunct/>
        <w:topLinePunct w:val="0"/>
        <w:autoSpaceDE/>
        <w:autoSpaceDN/>
        <w:bidi w:val="0"/>
        <w:snapToGrid w:val="0"/>
        <w:spacing w:line="360" w:lineRule="auto"/>
        <w:ind w:firstLine="480" w:firstLineChars="200"/>
        <w:rPr>
          <w:rFonts w:cs="Arial" w:asciiTheme="minorEastAsia" w:hAnsiTheme="minorEastAsia" w:eastAsiaTheme="minorEastAsia"/>
          <w:color w:val="000000"/>
          <w:sz w:val="24"/>
          <w:szCs w:val="24"/>
        </w:rPr>
      </w:pPr>
      <w:r>
        <w:rPr>
          <w:rFonts w:hint="eastAsia" w:cs="Arial" w:asciiTheme="minorEastAsia" w:hAnsiTheme="minorEastAsia" w:eastAsiaTheme="minorEastAsia"/>
          <w:color w:val="000000"/>
          <w:sz w:val="24"/>
          <w:szCs w:val="24"/>
        </w:rPr>
        <w:t>3.单位负责人为同一人或者存在直接控股、管理关系的不同供应商，不得参加同一合同项下的政府采购活动。</w:t>
      </w:r>
    </w:p>
    <w:p>
      <w:pPr>
        <w:pageBreakBefore w:val="0"/>
        <w:kinsoku/>
        <w:wordWrap/>
        <w:overflowPunct/>
        <w:topLinePunct w:val="0"/>
        <w:autoSpaceDE/>
        <w:autoSpaceDN/>
        <w:bidi w:val="0"/>
        <w:snapToGrid w:val="0"/>
        <w:spacing w:before="120" w:beforeLines="50" w:line="360" w:lineRule="auto"/>
        <w:ind w:firstLine="470" w:firstLineChars="196"/>
        <w:jc w:val="left"/>
        <w:rPr>
          <w:rFonts w:cs="Arial" w:asciiTheme="minorEastAsia" w:hAnsiTheme="minorEastAsia" w:eastAsiaTheme="minorEastAsia"/>
          <w:sz w:val="24"/>
          <w:szCs w:val="24"/>
        </w:rPr>
      </w:pPr>
      <w:bookmarkStart w:id="25" w:name="_Toc11860788"/>
      <w:bookmarkStart w:id="26" w:name="_Toc5015000"/>
      <w:r>
        <w:rPr>
          <w:rFonts w:hint="eastAsia" w:cs="Arial" w:asciiTheme="minorEastAsia" w:hAnsiTheme="minorEastAsia" w:eastAsiaTheme="minorEastAsia"/>
          <w:color w:val="000000"/>
          <w:sz w:val="24"/>
          <w:szCs w:val="24"/>
        </w:rPr>
        <w:t>4.磋商响应方应仔细阅读竞争性磋商文件的所有内容，按照竞争性磋商文件的要求提交磋商响应文件，并对所提供的全部资料的真实性承担法律责任。</w:t>
      </w:r>
      <w:bookmarkEnd w:id="25"/>
      <w:bookmarkEnd w:id="26"/>
    </w:p>
    <w:p>
      <w:pPr>
        <w:pageBreakBefore w:val="0"/>
        <w:kinsoku/>
        <w:wordWrap/>
        <w:overflowPunct/>
        <w:topLinePunct w:val="0"/>
        <w:autoSpaceDE/>
        <w:autoSpaceDN/>
        <w:bidi w:val="0"/>
        <w:snapToGrid w:val="0"/>
        <w:spacing w:before="120" w:beforeLines="50" w:line="360" w:lineRule="auto"/>
        <w:ind w:firstLine="472" w:firstLineChars="196"/>
        <w:jc w:val="left"/>
        <w:rPr>
          <w:rFonts w:cs="Arial" w:asciiTheme="minorEastAsia" w:hAnsiTheme="minorEastAsia" w:eastAsiaTheme="minorEastAsia"/>
          <w:b/>
          <w:sz w:val="24"/>
          <w:szCs w:val="24"/>
        </w:rPr>
      </w:pPr>
      <w:bookmarkStart w:id="27" w:name="_Toc11860789"/>
      <w:bookmarkStart w:id="28" w:name="_Toc5015001"/>
      <w:r>
        <w:rPr>
          <w:rFonts w:hint="eastAsia" w:cs="Arial" w:asciiTheme="minorEastAsia" w:hAnsiTheme="minorEastAsia" w:eastAsiaTheme="minorEastAsia"/>
          <w:b/>
          <w:sz w:val="24"/>
          <w:szCs w:val="24"/>
        </w:rPr>
        <w:t>（五）磋商响应费用</w:t>
      </w:r>
      <w:bookmarkEnd w:id="27"/>
      <w:bookmarkEnd w:id="28"/>
    </w:p>
    <w:p>
      <w:pPr>
        <w:pageBreakBefore w:val="0"/>
        <w:kinsoku/>
        <w:wordWrap/>
        <w:overflowPunct/>
        <w:topLinePunct w:val="0"/>
        <w:autoSpaceDE/>
        <w:autoSpaceDN/>
        <w:bidi w:val="0"/>
        <w:snapToGrid w:val="0"/>
        <w:spacing w:before="120" w:beforeLines="50" w:line="360" w:lineRule="auto"/>
        <w:ind w:firstLine="470" w:firstLineChars="196"/>
        <w:jc w:val="left"/>
        <w:rPr>
          <w:rFonts w:cs="Arial" w:asciiTheme="minorEastAsia" w:hAnsiTheme="minorEastAsia" w:eastAsiaTheme="minorEastAsia"/>
          <w:sz w:val="24"/>
          <w:szCs w:val="24"/>
        </w:rPr>
      </w:pPr>
      <w:bookmarkStart w:id="29" w:name="_Toc11860790"/>
      <w:bookmarkStart w:id="30" w:name="_Toc5015002"/>
      <w:r>
        <w:rPr>
          <w:rFonts w:hint="eastAsia" w:cs="Arial" w:asciiTheme="minorEastAsia" w:hAnsiTheme="minorEastAsia" w:eastAsiaTheme="minorEastAsia"/>
          <w:sz w:val="24"/>
          <w:szCs w:val="24"/>
        </w:rPr>
        <w:t>不论磋商采购结果如何，磋商响应方均应自行承担所有与磋商响应有关的全部费用（磋商文件有其他规定除外）。</w:t>
      </w:r>
      <w:bookmarkEnd w:id="29"/>
      <w:bookmarkEnd w:id="30"/>
    </w:p>
    <w:p>
      <w:pPr>
        <w:pStyle w:val="14"/>
        <w:pageBreakBefore w:val="0"/>
        <w:widowControl w:val="0"/>
        <w:tabs>
          <w:tab w:val="clear" w:pos="454"/>
        </w:tabs>
        <w:kinsoku/>
        <w:wordWrap/>
        <w:overflowPunct/>
        <w:topLinePunct w:val="0"/>
        <w:autoSpaceDE/>
        <w:autoSpaceDN/>
        <w:bidi w:val="0"/>
        <w:snapToGrid w:val="0"/>
        <w:spacing w:before="120" w:beforeLines="50" w:afterLines="0" w:line="360" w:lineRule="auto"/>
        <w:ind w:left="0" w:firstLine="472" w:firstLineChars="196"/>
        <w:rPr>
          <w:rFonts w:asciiTheme="minorEastAsia" w:hAnsiTheme="minorEastAsia" w:eastAsiaTheme="minorEastAsia"/>
          <w:b/>
          <w:szCs w:val="24"/>
        </w:rPr>
      </w:pPr>
      <w:r>
        <w:rPr>
          <w:rFonts w:hint="eastAsia" w:asciiTheme="minorEastAsia" w:hAnsiTheme="minorEastAsia" w:eastAsiaTheme="minorEastAsia"/>
          <w:b/>
          <w:szCs w:val="24"/>
        </w:rPr>
        <w:t>（六）质疑</w:t>
      </w:r>
    </w:p>
    <w:p>
      <w:pPr>
        <w:pageBreakBefore w:val="0"/>
        <w:kinsoku/>
        <w:wordWrap/>
        <w:overflowPunct/>
        <w:topLinePunct w:val="0"/>
        <w:autoSpaceDE/>
        <w:autoSpaceDN/>
        <w:bidi w:val="0"/>
        <w:snapToGrid w:val="0"/>
        <w:spacing w:before="120" w:beforeLines="50" w:line="360" w:lineRule="auto"/>
        <w:ind w:firstLine="470" w:firstLineChars="196"/>
        <w:jc w:val="left"/>
        <w:rPr>
          <w:rFonts w:cs="Arial" w:asciiTheme="minorEastAsia" w:hAnsiTheme="minorEastAsia" w:eastAsiaTheme="minorEastAsia"/>
          <w:sz w:val="24"/>
          <w:szCs w:val="24"/>
        </w:rPr>
      </w:pPr>
      <w:bookmarkStart w:id="31" w:name="_Toc5015003"/>
      <w:bookmarkStart w:id="32" w:name="_Toc11860791"/>
      <w:r>
        <w:rPr>
          <w:rFonts w:hint="eastAsia" w:cs="Arial" w:asciiTheme="minorEastAsia" w:hAnsiTheme="minorEastAsia" w:eastAsiaTheme="minorEastAsia"/>
          <w:sz w:val="24"/>
          <w:szCs w:val="24"/>
        </w:rPr>
        <w:t>1.磋商响应方认为磋商过程或成交结果使自己的合法权益受到损害的，应当在成交结果公示之日起七个工作日内，以书面形式向绍兴平准招标代理有限公司提出质疑。</w:t>
      </w:r>
      <w:bookmarkEnd w:id="31"/>
      <w:bookmarkEnd w:id="32"/>
    </w:p>
    <w:p>
      <w:pPr>
        <w:pageBreakBefore w:val="0"/>
        <w:widowControl/>
        <w:kinsoku/>
        <w:wordWrap/>
        <w:overflowPunct/>
        <w:topLinePunct w:val="0"/>
        <w:autoSpaceDE/>
        <w:autoSpaceDN/>
        <w:bidi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2.质疑应当以书面形式提出，格式见《政府采购质疑和投诉办法》（财政部令第94号）附件范本。磋商响应方提出质疑应当提交质疑函和必要的证明材料。质疑函应当包括下列内容：</w:t>
      </w:r>
    </w:p>
    <w:p>
      <w:pPr>
        <w:pageBreakBefore w:val="0"/>
        <w:widowControl/>
        <w:kinsoku/>
        <w:wordWrap/>
        <w:overflowPunct/>
        <w:topLinePunct w:val="0"/>
        <w:autoSpaceDE/>
        <w:autoSpaceDN/>
        <w:bidi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a</w:t>
      </w:r>
      <w:r>
        <w:rPr>
          <w:rFonts w:hint="eastAsia" w:cs="Arial" w:asciiTheme="minorEastAsia" w:hAnsiTheme="minorEastAsia" w:eastAsiaTheme="minorEastAsia"/>
          <w:b/>
          <w:sz w:val="24"/>
          <w:szCs w:val="24"/>
        </w:rPr>
        <w:t>磋商响应方</w:t>
      </w:r>
      <w:r>
        <w:rPr>
          <w:rFonts w:hint="eastAsia" w:cs="Arial" w:asciiTheme="minorEastAsia" w:hAnsiTheme="minorEastAsia" w:eastAsiaTheme="minorEastAsia"/>
          <w:sz w:val="24"/>
          <w:szCs w:val="24"/>
        </w:rPr>
        <w:t>的姓名或者名称、地址、邮编、联系人及联系电话；</w:t>
      </w:r>
    </w:p>
    <w:p>
      <w:pPr>
        <w:pageBreakBefore w:val="0"/>
        <w:widowControl/>
        <w:kinsoku/>
        <w:wordWrap/>
        <w:overflowPunct/>
        <w:topLinePunct w:val="0"/>
        <w:autoSpaceDE/>
        <w:autoSpaceDN/>
        <w:bidi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b质疑项目的名称、编号；</w:t>
      </w:r>
    </w:p>
    <w:p>
      <w:pPr>
        <w:pageBreakBefore w:val="0"/>
        <w:widowControl/>
        <w:kinsoku/>
        <w:wordWrap/>
        <w:overflowPunct/>
        <w:topLinePunct w:val="0"/>
        <w:autoSpaceDE/>
        <w:autoSpaceDN/>
        <w:bidi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c具体、明确的质疑事项和与质疑事项相关的请求；</w:t>
      </w:r>
    </w:p>
    <w:p>
      <w:pPr>
        <w:pageBreakBefore w:val="0"/>
        <w:widowControl/>
        <w:kinsoku/>
        <w:wordWrap/>
        <w:overflowPunct/>
        <w:topLinePunct w:val="0"/>
        <w:autoSpaceDE/>
        <w:autoSpaceDN/>
        <w:bidi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d事实依据；</w:t>
      </w:r>
    </w:p>
    <w:p>
      <w:pPr>
        <w:pageBreakBefore w:val="0"/>
        <w:widowControl/>
        <w:kinsoku/>
        <w:wordWrap/>
        <w:overflowPunct/>
        <w:topLinePunct w:val="0"/>
        <w:autoSpaceDE/>
        <w:autoSpaceDN/>
        <w:bidi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e必要的法律依据；</w:t>
      </w:r>
    </w:p>
    <w:p>
      <w:pPr>
        <w:pageBreakBefore w:val="0"/>
        <w:widowControl/>
        <w:kinsoku/>
        <w:wordWrap/>
        <w:overflowPunct/>
        <w:topLinePunct w:val="0"/>
        <w:autoSpaceDE/>
        <w:autoSpaceDN/>
        <w:bidi w:val="0"/>
        <w:spacing w:line="360" w:lineRule="auto"/>
        <w:ind w:firstLine="480"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f提出质疑的日期。</w:t>
      </w:r>
    </w:p>
    <w:p>
      <w:pPr>
        <w:pageBreakBefore w:val="0"/>
        <w:widowControl/>
        <w:kinsoku/>
        <w:wordWrap/>
        <w:overflowPunct/>
        <w:topLinePunct w:val="0"/>
        <w:autoSpaceDE/>
        <w:autoSpaceDN/>
        <w:bidi w:val="0"/>
        <w:spacing w:line="360" w:lineRule="auto"/>
        <w:ind w:firstLine="482" w:firstLineChars="200"/>
        <w:jc w:val="left"/>
        <w:rPr>
          <w:rFonts w:cs="Arial" w:asciiTheme="minorEastAsia" w:hAnsiTheme="minorEastAsia" w:eastAsiaTheme="minorEastAsia"/>
          <w:sz w:val="24"/>
          <w:szCs w:val="24"/>
        </w:rPr>
      </w:pPr>
      <w:r>
        <w:rPr>
          <w:rFonts w:hint="eastAsia" w:cs="Arial" w:asciiTheme="minorEastAsia" w:hAnsiTheme="minorEastAsia" w:eastAsiaTheme="minorEastAsia"/>
          <w:b/>
          <w:sz w:val="24"/>
          <w:szCs w:val="24"/>
        </w:rPr>
        <w:t>磋商响应方</w:t>
      </w:r>
      <w:r>
        <w:rPr>
          <w:rFonts w:hint="eastAsia" w:cs="Arial" w:asciiTheme="minorEastAsia" w:hAnsiTheme="minorEastAsia" w:eastAsiaTheme="minorEastAsia"/>
          <w:sz w:val="24"/>
          <w:szCs w:val="24"/>
        </w:rPr>
        <w:t>为自然人的，应当由本人签字；</w:t>
      </w:r>
      <w:r>
        <w:rPr>
          <w:rFonts w:hint="eastAsia" w:cs="Arial" w:asciiTheme="minorEastAsia" w:hAnsiTheme="minorEastAsia" w:eastAsiaTheme="minorEastAsia"/>
          <w:b/>
          <w:sz w:val="24"/>
          <w:szCs w:val="24"/>
        </w:rPr>
        <w:t>磋商响应方</w:t>
      </w:r>
      <w:r>
        <w:rPr>
          <w:rFonts w:hint="eastAsia" w:cs="Arial" w:asciiTheme="minorEastAsia" w:hAnsiTheme="minorEastAsia" w:eastAsiaTheme="minorEastAsia"/>
          <w:sz w:val="24"/>
          <w:szCs w:val="24"/>
        </w:rPr>
        <w:t>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p>
    <w:p>
      <w:pPr>
        <w:pStyle w:val="14"/>
        <w:pageBreakBefore w:val="0"/>
        <w:widowControl w:val="0"/>
        <w:tabs>
          <w:tab w:val="clear" w:pos="454"/>
        </w:tabs>
        <w:kinsoku/>
        <w:wordWrap/>
        <w:overflowPunct/>
        <w:topLinePunct w:val="0"/>
        <w:autoSpaceDE/>
        <w:autoSpaceDN/>
        <w:bidi w:val="0"/>
        <w:snapToGrid w:val="0"/>
        <w:spacing w:before="120" w:beforeLines="50" w:afterLines="0" w:line="360" w:lineRule="auto"/>
        <w:ind w:left="0" w:firstLine="472" w:firstLineChars="196"/>
        <w:rPr>
          <w:rFonts w:asciiTheme="minorEastAsia" w:hAnsiTheme="minorEastAsia" w:eastAsiaTheme="minorEastAsia"/>
          <w:b/>
          <w:szCs w:val="24"/>
        </w:rPr>
      </w:pPr>
      <w:r>
        <w:rPr>
          <w:rFonts w:hint="eastAsia" w:asciiTheme="minorEastAsia" w:hAnsiTheme="minorEastAsia" w:eastAsiaTheme="minorEastAsia"/>
          <w:b/>
          <w:szCs w:val="24"/>
        </w:rPr>
        <w:t>（七）磋商文件的澄清与修改</w:t>
      </w:r>
    </w:p>
    <w:p>
      <w:pPr>
        <w:pageBreakBefore w:val="0"/>
        <w:kinsoku/>
        <w:wordWrap/>
        <w:overflowPunct/>
        <w:topLinePunct w:val="0"/>
        <w:autoSpaceDE/>
        <w:autoSpaceDN/>
        <w:bidi w:val="0"/>
        <w:snapToGrid w:val="0"/>
        <w:spacing w:line="360" w:lineRule="auto"/>
        <w:ind w:firstLine="470" w:firstLineChars="196"/>
        <w:jc w:val="left"/>
        <w:rPr>
          <w:rFonts w:cs="Arial" w:asciiTheme="minorEastAsia" w:hAnsiTheme="minorEastAsia" w:eastAsiaTheme="minorEastAsia"/>
          <w:sz w:val="24"/>
          <w:szCs w:val="24"/>
        </w:rPr>
      </w:pPr>
      <w:bookmarkStart w:id="33" w:name="_Toc11860792"/>
      <w:bookmarkStart w:id="34" w:name="_Toc5015004"/>
      <w:r>
        <w:rPr>
          <w:rFonts w:hint="eastAsia" w:cs="Arial" w:asciiTheme="minorEastAsia" w:hAnsiTheme="minorEastAsia" w:eastAsiaTheme="minorEastAsia"/>
          <w:sz w:val="24"/>
          <w:szCs w:val="24"/>
        </w:rPr>
        <w:t>1.磋商响应方应认真阅读本磋商文件，发现其中有误或有不合理要求的，磋商响应方应当在磋商响应截止之日三个工作日前以书面形式向绍兴平准招标代理有限公司提出。绍兴平准招标代理有限公司将在规定的时间内，在财政部门指定的政府采购信息发布媒体上发布更正公告，并以书面形式通知所有磋商文件收受人。</w:t>
      </w:r>
      <w:bookmarkEnd w:id="33"/>
      <w:bookmarkEnd w:id="34"/>
    </w:p>
    <w:p>
      <w:pPr>
        <w:pStyle w:val="28"/>
        <w:pageBreakBefore w:val="0"/>
        <w:kinsoku/>
        <w:wordWrap/>
        <w:overflowPunct/>
        <w:topLinePunct w:val="0"/>
        <w:autoSpaceDE/>
        <w:autoSpaceDN/>
        <w:bidi w:val="0"/>
        <w:snapToGrid w:val="0"/>
        <w:spacing w:before="120" w:after="120" w:line="360" w:lineRule="auto"/>
        <w:ind w:firstLine="480" w:firstLineChars="200"/>
        <w:rPr>
          <w:rFonts w:asciiTheme="minorEastAsia" w:hAnsiTheme="minorEastAsia" w:eastAsiaTheme="minorEastAsia"/>
          <w:color w:val="000000"/>
        </w:rPr>
      </w:pPr>
      <w:r>
        <w:rPr>
          <w:rFonts w:hint="eastAsia" w:cs="Arial" w:asciiTheme="minorEastAsia" w:hAnsiTheme="minorEastAsia" w:eastAsiaTheme="minorEastAsia"/>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w:t>
      </w:r>
      <w:r>
        <w:rPr>
          <w:rFonts w:hint="eastAsia" w:cs="Arial" w:asciiTheme="minorEastAsia" w:hAnsiTheme="minorEastAsia" w:eastAsiaTheme="minorEastAsia"/>
          <w:b/>
        </w:rPr>
        <w:t>磋商响应方</w:t>
      </w:r>
      <w:r>
        <w:rPr>
          <w:rFonts w:hint="eastAsia" w:cs="Arial" w:asciiTheme="minorEastAsia" w:hAnsiTheme="minorEastAsia" w:eastAsiaTheme="minorEastAsia"/>
        </w:rPr>
        <w:t>。</w:t>
      </w:r>
      <w:r>
        <w:rPr>
          <w:rFonts w:hint="eastAsia" w:asciiTheme="minorEastAsia" w:hAnsiTheme="minorEastAsia" w:eastAsiaTheme="minorEastAsia"/>
          <w:b/>
          <w:bCs/>
          <w:color w:val="000000"/>
        </w:rPr>
        <w:t>磋商响应方</w:t>
      </w:r>
      <w:r>
        <w:rPr>
          <w:rFonts w:hint="eastAsia" w:asciiTheme="minorEastAsia" w:hAnsiTheme="minorEastAsia" w:eastAsiaTheme="minorEastAsia"/>
          <w:bCs/>
          <w:color w:val="000000"/>
        </w:rPr>
        <w:t>应当按照磋商文件的变动情况和磋商小组的要求重新提交磋商响应文件，并由其法定代表人或授权代表签字或者加盖公章。</w:t>
      </w:r>
    </w:p>
    <w:p>
      <w:pPr>
        <w:pageBreakBefore w:val="0"/>
        <w:kinsoku/>
        <w:wordWrap/>
        <w:overflowPunct/>
        <w:topLinePunct w:val="0"/>
        <w:autoSpaceDE/>
        <w:autoSpaceDN/>
        <w:bidi w:val="0"/>
        <w:snapToGrid w:val="0"/>
        <w:spacing w:line="360" w:lineRule="auto"/>
        <w:ind w:firstLine="470" w:firstLineChars="196"/>
        <w:jc w:val="left"/>
        <w:rPr>
          <w:rFonts w:cs="Arial" w:asciiTheme="minorEastAsia" w:hAnsiTheme="minorEastAsia" w:eastAsiaTheme="minorEastAsia"/>
          <w:sz w:val="24"/>
          <w:szCs w:val="24"/>
        </w:rPr>
      </w:pPr>
      <w:bookmarkStart w:id="35" w:name="_Toc11860793"/>
      <w:bookmarkStart w:id="36" w:name="_Toc5015005"/>
      <w:r>
        <w:rPr>
          <w:rFonts w:hint="eastAsia" w:cs="Arial" w:asciiTheme="minorEastAsia" w:hAnsiTheme="minorEastAsia" w:eastAsiaTheme="minorEastAsia"/>
          <w:sz w:val="24"/>
          <w:szCs w:val="24"/>
        </w:rPr>
        <w:t>3.磋商文件澄清、答复、修改、补充的内容为磋商文件的组成部分。当磋商文件与磋商文件的答复、澄清、修改、补充通知就同一内容的表述不一致时，以最后发出的书面文件为准。</w:t>
      </w:r>
      <w:bookmarkEnd w:id="35"/>
      <w:bookmarkEnd w:id="36"/>
    </w:p>
    <w:p>
      <w:pPr>
        <w:pStyle w:val="28"/>
        <w:keepNext w:val="0"/>
        <w:keepLines w:val="0"/>
        <w:pageBreakBefore w:val="0"/>
        <w:widowControl w:val="0"/>
        <w:kinsoku/>
        <w:wordWrap/>
        <w:overflowPunct/>
        <w:topLinePunct w:val="0"/>
        <w:autoSpaceDE/>
        <w:autoSpaceDN/>
        <w:bidi w:val="0"/>
        <w:adjustRightInd/>
        <w:snapToGrid w:val="0"/>
        <w:spacing w:beforeLines="0" w:afterLines="0" w:line="360" w:lineRule="auto"/>
        <w:ind w:firstLine="472" w:firstLineChars="196"/>
        <w:textAlignment w:val="auto"/>
        <w:rPr>
          <w:rFonts w:asciiTheme="minorEastAsia" w:hAnsiTheme="minorEastAsia" w:eastAsiaTheme="minorEastAsia"/>
          <w:b/>
          <w:bCs/>
        </w:rPr>
      </w:pPr>
      <w:bookmarkStart w:id="37" w:name="_Toc11860794"/>
      <w:bookmarkStart w:id="38" w:name="_Toc5015006"/>
      <w:r>
        <w:rPr>
          <w:rFonts w:hint="eastAsia" w:asciiTheme="minorEastAsia" w:hAnsiTheme="minorEastAsia" w:eastAsiaTheme="minorEastAsia"/>
          <w:b/>
          <w:bCs/>
        </w:rPr>
        <w:t>（八）在磋商过程中，因磋商小组实质性变动了采购需求，已提交磋商响应文件的磋商响应方，在提交最后报价之前，可以根据磋商情况退出磋商。</w:t>
      </w:r>
      <w:bookmarkEnd w:id="37"/>
      <w:bookmarkEnd w:id="38"/>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1"/>
        <w:rPr>
          <w:rFonts w:asciiTheme="minorEastAsia" w:hAnsiTheme="minorEastAsia" w:eastAsiaTheme="minorEastAsia"/>
          <w:b/>
          <w:sz w:val="24"/>
          <w:szCs w:val="24"/>
        </w:rPr>
      </w:pPr>
      <w:bookmarkStart w:id="39" w:name="_Toc30848"/>
      <w:r>
        <w:rPr>
          <w:rFonts w:hint="eastAsia" w:asciiTheme="minorEastAsia" w:hAnsiTheme="minorEastAsia" w:eastAsiaTheme="minorEastAsia"/>
          <w:b/>
          <w:sz w:val="24"/>
          <w:szCs w:val="24"/>
        </w:rPr>
        <w:t>二、磋商响应文件的编制</w:t>
      </w:r>
      <w:bookmarkEnd w:id="39"/>
    </w:p>
    <w:p>
      <w:pPr>
        <w:pageBreakBefore w:val="0"/>
        <w:kinsoku/>
        <w:wordWrap/>
        <w:overflowPunct/>
        <w:topLinePunct w:val="0"/>
        <w:autoSpaceDE/>
        <w:autoSpaceDN/>
        <w:bidi w:val="0"/>
        <w:snapToGrid w:val="0"/>
        <w:spacing w:line="360" w:lineRule="auto"/>
        <w:ind w:firstLine="482"/>
        <w:jc w:val="left"/>
        <w:rPr>
          <w:rFonts w:ascii="宋体" w:hAnsi="宋体"/>
          <w:sz w:val="24"/>
        </w:rPr>
      </w:pPr>
      <w:r>
        <w:rPr>
          <w:rFonts w:hint="eastAsia" w:ascii="宋体" w:hAnsi="宋体"/>
          <w:sz w:val="24"/>
        </w:rPr>
        <w:t>（一）磋商响应文件的形式和效力</w:t>
      </w:r>
    </w:p>
    <w:p>
      <w:pPr>
        <w:pageBreakBefore w:val="0"/>
        <w:kinsoku/>
        <w:wordWrap/>
        <w:overflowPunct/>
        <w:topLinePunct w:val="0"/>
        <w:autoSpaceDE/>
        <w:autoSpaceDN/>
        <w:bidi w:val="0"/>
        <w:snapToGrid w:val="0"/>
        <w:spacing w:line="360" w:lineRule="auto"/>
        <w:ind w:firstLine="482"/>
        <w:jc w:val="left"/>
        <w:rPr>
          <w:rFonts w:ascii="宋体" w:hAnsi="宋体"/>
          <w:sz w:val="24"/>
        </w:rPr>
      </w:pPr>
      <w:r>
        <w:rPr>
          <w:rFonts w:hint="eastAsia" w:ascii="宋体" w:hAnsi="宋体"/>
          <w:sz w:val="24"/>
        </w:rPr>
        <w:t>电子磋商响应文件（包括“电子加密磋商响应文件”和“备份磋商响应文件”，在磋商响应文件编制完成后同时生成）；</w:t>
      </w:r>
    </w:p>
    <w:p>
      <w:pPr>
        <w:pageBreakBefore w:val="0"/>
        <w:kinsoku/>
        <w:wordWrap/>
        <w:overflowPunct/>
        <w:topLinePunct w:val="0"/>
        <w:autoSpaceDE/>
        <w:autoSpaceDN/>
        <w:bidi w:val="0"/>
        <w:snapToGrid w:val="0"/>
        <w:spacing w:line="360" w:lineRule="auto"/>
        <w:ind w:firstLine="482"/>
        <w:jc w:val="left"/>
      </w:pPr>
      <w:r>
        <w:rPr>
          <w:rFonts w:hint="eastAsia" w:ascii="宋体" w:hAnsi="宋体"/>
          <w:sz w:val="24"/>
        </w:rPr>
        <w:t>1.</w:t>
      </w:r>
      <w:r>
        <w:rPr>
          <w:rFonts w:hint="eastAsia"/>
        </w:rPr>
        <w:t xml:space="preserve"> “</w:t>
      </w:r>
      <w:r>
        <w:rPr>
          <w:rFonts w:hint="eastAsia" w:ascii="宋体" w:hAnsi="宋体"/>
          <w:sz w:val="24"/>
        </w:rPr>
        <w:t>电子加密磋商响应文件”是指通过“政采云电子交易客户端”完成磋商响应文件编制后生成并加密的数据电文形式的磋商响应文件。</w:t>
      </w:r>
    </w:p>
    <w:p>
      <w:pPr>
        <w:pageBreakBefore w:val="0"/>
        <w:kinsoku/>
        <w:wordWrap/>
        <w:overflowPunct/>
        <w:topLinePunct w:val="0"/>
        <w:autoSpaceDE/>
        <w:autoSpaceDN/>
        <w:bidi w:val="0"/>
        <w:snapToGrid w:val="0"/>
        <w:spacing w:line="360" w:lineRule="auto"/>
        <w:ind w:firstLine="482"/>
        <w:jc w:val="left"/>
        <w:rPr>
          <w:rFonts w:ascii="宋体" w:hAnsi="宋体"/>
          <w:sz w:val="24"/>
        </w:rPr>
      </w:pPr>
      <w:r>
        <w:rPr>
          <w:rFonts w:hint="eastAsia" w:ascii="宋体" w:hAnsi="宋体"/>
          <w:sz w:val="24"/>
        </w:rPr>
        <w:t>2.</w:t>
      </w:r>
      <w:r>
        <w:rPr>
          <w:rFonts w:hint="eastAsia"/>
        </w:rPr>
        <w:t xml:space="preserve"> </w:t>
      </w:r>
      <w:r>
        <w:rPr>
          <w:rFonts w:hint="eastAsia" w:ascii="宋体" w:hAnsi="宋体"/>
          <w:sz w:val="24"/>
        </w:rPr>
        <w:t>“备份磋商响应文件”是指与“电子加密磋商响应文件”同时生成的数据电文形式的电子文件（备份标书），其他方式编制的备份磋商响应文件视为无效备份磋商响应文件。</w:t>
      </w:r>
    </w:p>
    <w:p>
      <w:pPr>
        <w:pageBreakBefore w:val="0"/>
        <w:kinsoku/>
        <w:wordWrap/>
        <w:overflowPunct/>
        <w:topLinePunct w:val="0"/>
        <w:autoSpaceDE/>
        <w:autoSpaceDN/>
        <w:bidi w:val="0"/>
        <w:snapToGrid w:val="0"/>
        <w:spacing w:line="360" w:lineRule="auto"/>
        <w:ind w:firstLine="482"/>
        <w:jc w:val="left"/>
        <w:rPr>
          <w:rFonts w:ascii="宋体" w:hAnsi="宋体"/>
          <w:sz w:val="24"/>
        </w:rPr>
      </w:pPr>
      <w:r>
        <w:rPr>
          <w:rFonts w:hint="eastAsia" w:ascii="宋体" w:hAnsi="宋体"/>
          <w:sz w:val="24"/>
        </w:rPr>
        <w:t>3.磋商响应文件的效力</w:t>
      </w:r>
    </w:p>
    <w:p>
      <w:pPr>
        <w:pageBreakBefore w:val="0"/>
        <w:kinsoku/>
        <w:wordWrap/>
        <w:overflowPunct/>
        <w:topLinePunct w:val="0"/>
        <w:autoSpaceDE/>
        <w:autoSpaceDN/>
        <w:bidi w:val="0"/>
        <w:snapToGrid w:val="0"/>
        <w:spacing w:line="360" w:lineRule="auto"/>
        <w:ind w:firstLine="482"/>
        <w:jc w:val="left"/>
        <w:outlineLvl w:val="2"/>
        <w:rPr>
          <w:rFonts w:ascii="宋体" w:hAnsi="宋体"/>
          <w:sz w:val="24"/>
        </w:rPr>
      </w:pPr>
      <w:r>
        <w:rPr>
          <w:rFonts w:hint="eastAsia" w:ascii="宋体" w:hAnsi="宋体"/>
          <w:sz w:val="24"/>
        </w:rPr>
        <w:t>（1）磋商响应文件的启用，按先后顺位分别为电子加密磋商响应文件、备份磋商响应文件。在下一顺位的磋商响应文件启用时，前一顺位的磋商响应文件自动失效。</w:t>
      </w:r>
    </w:p>
    <w:p>
      <w:pPr>
        <w:pageBreakBefore w:val="0"/>
        <w:kinsoku/>
        <w:wordWrap/>
        <w:overflowPunct/>
        <w:topLinePunct w:val="0"/>
        <w:autoSpaceDE/>
        <w:autoSpaceDN/>
        <w:bidi w:val="0"/>
        <w:snapToGrid w:val="0"/>
        <w:spacing w:line="360" w:lineRule="auto"/>
        <w:ind w:firstLine="482"/>
        <w:jc w:val="left"/>
        <w:outlineLvl w:val="2"/>
        <w:rPr>
          <w:rFonts w:ascii="宋体" w:hAnsi="宋体"/>
          <w:sz w:val="24"/>
        </w:rPr>
      </w:pPr>
      <w:r>
        <w:rPr>
          <w:rFonts w:hint="eastAsia" w:ascii="宋体" w:hAnsi="宋体"/>
          <w:sz w:val="24"/>
        </w:rPr>
        <w:t>（2）磋商响应文件未按时解密，</w:t>
      </w:r>
      <w:r>
        <w:rPr>
          <w:rFonts w:hint="eastAsia" w:ascii="宋体" w:hAnsi="宋体"/>
          <w:b/>
          <w:sz w:val="24"/>
        </w:rPr>
        <w:t>磋商响应方</w:t>
      </w:r>
      <w:r>
        <w:rPr>
          <w:rFonts w:hint="eastAsia" w:ascii="宋体" w:hAnsi="宋体"/>
          <w:sz w:val="24"/>
        </w:rPr>
        <w:t>提供了备份磋商响应文件的，以备份磋商响应文件作为依据，否则视为磋商响应文件撤回。磋商响应文件已按时解密的，备份磋商响应文件自动失效。</w:t>
      </w:r>
    </w:p>
    <w:p>
      <w:pPr>
        <w:pageBreakBefore w:val="0"/>
        <w:kinsoku/>
        <w:wordWrap/>
        <w:overflowPunct/>
        <w:topLinePunct w:val="0"/>
        <w:autoSpaceDE/>
        <w:autoSpaceDN/>
        <w:bidi w:val="0"/>
        <w:snapToGrid w:val="0"/>
        <w:spacing w:line="360" w:lineRule="auto"/>
        <w:ind w:firstLine="482"/>
        <w:jc w:val="left"/>
        <w:rPr>
          <w:rFonts w:ascii="宋体" w:hAnsi="宋体"/>
          <w:b/>
          <w:sz w:val="24"/>
        </w:rPr>
      </w:pPr>
      <w:r>
        <w:rPr>
          <w:rFonts w:hint="eastAsia" w:ascii="宋体" w:hAnsi="宋体"/>
          <w:b/>
          <w:sz w:val="24"/>
        </w:rPr>
        <w:t>（二）磋商响应文件的组成</w:t>
      </w:r>
    </w:p>
    <w:p>
      <w:pPr>
        <w:pageBreakBefore w:val="0"/>
        <w:kinsoku/>
        <w:wordWrap/>
        <w:overflowPunct/>
        <w:topLinePunct w:val="0"/>
        <w:autoSpaceDE/>
        <w:autoSpaceDN/>
        <w:bidi w:val="0"/>
        <w:snapToGrid w:val="0"/>
        <w:spacing w:line="360" w:lineRule="auto"/>
        <w:ind w:firstLine="482"/>
        <w:jc w:val="left"/>
        <w:rPr>
          <w:rFonts w:ascii="宋体" w:hAnsi="宋体" w:cs="宋体"/>
          <w:sz w:val="24"/>
        </w:rPr>
      </w:pPr>
      <w:r>
        <w:rPr>
          <w:rFonts w:hint="eastAsia" w:ascii="宋体" w:hAnsi="宋体"/>
          <w:sz w:val="24"/>
        </w:rPr>
        <w:t>磋商响应文件组成为</w:t>
      </w:r>
      <w:r>
        <w:rPr>
          <w:rFonts w:hint="eastAsia" w:ascii="宋体" w:hAnsi="宋体"/>
          <w:bCs/>
          <w:sz w:val="24"/>
        </w:rPr>
        <w:t>资格证明文件</w:t>
      </w:r>
      <w:r>
        <w:rPr>
          <w:rFonts w:hint="eastAsia" w:ascii="宋体" w:hAnsi="宋体"/>
          <w:sz w:val="24"/>
        </w:rPr>
        <w:t>、商务技术文件、报价文件三部份组成。其中电子磋商响应文件中所须加盖公章部分均采用CA签章。</w:t>
      </w:r>
    </w:p>
    <w:p>
      <w:pPr>
        <w:pageBreakBefore w:val="0"/>
        <w:kinsoku/>
        <w:wordWrap/>
        <w:overflowPunct/>
        <w:topLinePunct w:val="0"/>
        <w:autoSpaceDE/>
        <w:autoSpaceDN/>
        <w:bidi w:val="0"/>
        <w:snapToGrid w:val="0"/>
        <w:spacing w:line="360" w:lineRule="auto"/>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1.资格证明文件</w:t>
      </w:r>
    </w:p>
    <w:p>
      <w:pPr>
        <w:pageBreakBefore w:val="0"/>
        <w:kinsoku/>
        <w:wordWrap/>
        <w:overflowPunct/>
        <w:topLinePunct w:val="0"/>
        <w:autoSpaceDE/>
        <w:autoSpaceDN/>
        <w:bidi w:val="0"/>
        <w:snapToGrid w:val="0"/>
        <w:spacing w:line="360" w:lineRule="auto"/>
        <w:ind w:firstLine="480" w:firstLineChars="200"/>
        <w:rPr>
          <w:rFonts w:ascii="宋体" w:cs="宋体"/>
          <w:color w:val="000000"/>
          <w:sz w:val="24"/>
          <w:szCs w:val="21"/>
        </w:rPr>
      </w:pP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hint="eastAsia" w:ascii="宋体" w:hAnsi="宋体" w:cs="宋体"/>
          <w:b w:val="0"/>
          <w:bCs/>
          <w:color w:val="000000"/>
          <w:sz w:val="24"/>
          <w:szCs w:val="21"/>
        </w:rPr>
        <w:t>营业执照(或事业法人登记证书或其它工商等登记证明材料；自然人参与政府采购，提供身份证)扫描件加盖CA签章；</w:t>
      </w:r>
    </w:p>
    <w:p>
      <w:pPr>
        <w:pageBreakBefore w:val="0"/>
        <w:kinsoku/>
        <w:wordWrap/>
        <w:overflowPunct/>
        <w:topLinePunct w:val="0"/>
        <w:autoSpaceDE/>
        <w:autoSpaceDN/>
        <w:bidi w:val="0"/>
        <w:snapToGrid w:val="0"/>
        <w:spacing w:line="360" w:lineRule="auto"/>
        <w:ind w:firstLine="480" w:firstLineChars="200"/>
        <w:rPr>
          <w:rFonts w:ascii="宋体" w:cs="宋体"/>
          <w:color w:val="000000"/>
          <w:sz w:val="24"/>
          <w:szCs w:val="21"/>
        </w:rPr>
      </w:pPr>
      <w:r>
        <w:rPr>
          <w:rFonts w:hint="eastAsia" w:ascii="宋体" w:hAnsi="宋体" w:cs="宋体"/>
          <w:color w:val="000000"/>
          <w:sz w:val="24"/>
          <w:szCs w:val="21"/>
        </w:rPr>
        <w:t>（</w:t>
      </w:r>
      <w:r>
        <w:rPr>
          <w:rFonts w:ascii="宋体" w:hAnsi="宋体" w:cs="宋体"/>
          <w:color w:val="000000"/>
          <w:sz w:val="24"/>
          <w:szCs w:val="21"/>
        </w:rPr>
        <w:t>2</w:t>
      </w:r>
      <w:r>
        <w:rPr>
          <w:rFonts w:hint="eastAsia" w:ascii="宋体" w:hAnsi="宋体" w:cs="宋体"/>
          <w:color w:val="000000"/>
          <w:sz w:val="24"/>
          <w:szCs w:val="21"/>
        </w:rPr>
        <w:t>）最近一年</w:t>
      </w:r>
      <w:bookmarkStart w:id="86" w:name="_GoBack"/>
      <w:bookmarkEnd w:id="86"/>
      <w:r>
        <w:rPr>
          <w:rFonts w:hint="eastAsia" w:ascii="宋体" w:hAnsi="宋体" w:cs="宋体"/>
          <w:color w:val="000000"/>
          <w:sz w:val="24"/>
          <w:szCs w:val="21"/>
        </w:rPr>
        <w:t>财务报表</w:t>
      </w:r>
      <w:r>
        <w:rPr>
          <w:rFonts w:ascii="宋体" w:hAnsi="宋体" w:cs="宋体"/>
          <w:color w:val="000000"/>
          <w:sz w:val="24"/>
          <w:szCs w:val="21"/>
        </w:rPr>
        <w:t>(</w:t>
      </w:r>
      <w:r>
        <w:rPr>
          <w:rFonts w:hint="eastAsia" w:ascii="宋体" w:hAnsi="宋体" w:cs="宋体"/>
          <w:color w:val="000000"/>
          <w:sz w:val="24"/>
          <w:szCs w:val="21"/>
          <w:lang w:val="en-US" w:eastAsia="zh-CN"/>
        </w:rPr>
        <w:t>扫描件</w:t>
      </w:r>
      <w:r>
        <w:rPr>
          <w:rFonts w:hint="eastAsia" w:ascii="宋体" w:hAnsi="宋体" w:cs="宋体"/>
          <w:color w:val="000000"/>
          <w:sz w:val="24"/>
          <w:szCs w:val="21"/>
        </w:rPr>
        <w:t>，新成立的公司提供情况说明</w:t>
      </w:r>
      <w:r>
        <w:rPr>
          <w:rFonts w:ascii="宋体" w:hAnsi="宋体" w:cs="宋体"/>
          <w:color w:val="000000"/>
          <w:sz w:val="24"/>
          <w:szCs w:val="21"/>
        </w:rPr>
        <w:t>)</w:t>
      </w:r>
      <w:r>
        <w:rPr>
          <w:rFonts w:hint="eastAsia" w:ascii="宋体" w:hAnsi="宋体" w:cs="宋体"/>
          <w:color w:val="000000"/>
          <w:sz w:val="24"/>
          <w:szCs w:val="21"/>
        </w:rPr>
        <w:t>；</w:t>
      </w:r>
    </w:p>
    <w:p>
      <w:pPr>
        <w:pageBreakBefore w:val="0"/>
        <w:kinsoku/>
        <w:wordWrap/>
        <w:overflowPunct/>
        <w:topLinePunct w:val="0"/>
        <w:autoSpaceDE/>
        <w:autoSpaceDN/>
        <w:bidi w:val="0"/>
        <w:snapToGrid w:val="0"/>
        <w:spacing w:line="360" w:lineRule="auto"/>
        <w:ind w:firstLine="480" w:firstLineChars="200"/>
        <w:rPr>
          <w:rFonts w:ascii="宋体" w:cs="宋体"/>
          <w:color w:val="000000"/>
          <w:sz w:val="24"/>
          <w:szCs w:val="21"/>
        </w:rPr>
      </w:pPr>
      <w:r>
        <w:rPr>
          <w:rFonts w:hint="eastAsia" w:ascii="宋体" w:hAnsi="宋体" w:cs="宋体"/>
          <w:color w:val="000000"/>
          <w:sz w:val="24"/>
          <w:szCs w:val="21"/>
        </w:rPr>
        <w:t>（</w:t>
      </w:r>
      <w:r>
        <w:rPr>
          <w:rFonts w:ascii="宋体" w:hAnsi="宋体" w:cs="宋体"/>
          <w:color w:val="000000"/>
          <w:sz w:val="24"/>
          <w:szCs w:val="21"/>
        </w:rPr>
        <w:t>3</w:t>
      </w:r>
      <w:r>
        <w:rPr>
          <w:rFonts w:hint="eastAsia" w:ascii="宋体" w:hAnsi="宋体" w:cs="宋体"/>
          <w:color w:val="000000"/>
          <w:sz w:val="24"/>
          <w:szCs w:val="21"/>
        </w:rPr>
        <w:t>）</w:t>
      </w:r>
      <w:r>
        <w:rPr>
          <w:rFonts w:hint="eastAsia" w:ascii="宋体" w:hAnsi="宋体"/>
          <w:sz w:val="24"/>
          <w:szCs w:val="24"/>
        </w:rPr>
        <w:t>磋商函</w:t>
      </w:r>
      <w:r>
        <w:rPr>
          <w:rFonts w:ascii="宋体" w:hAnsi="宋体"/>
          <w:sz w:val="24"/>
          <w:szCs w:val="24"/>
        </w:rPr>
        <w:t>(</w:t>
      </w:r>
      <w:r>
        <w:rPr>
          <w:rFonts w:hint="eastAsia" w:ascii="宋体" w:hAnsi="宋体"/>
          <w:sz w:val="24"/>
          <w:szCs w:val="24"/>
        </w:rPr>
        <w:t>格式见附件</w:t>
      </w:r>
      <w:r>
        <w:rPr>
          <w:rFonts w:ascii="宋体" w:hAnsi="宋体"/>
          <w:sz w:val="24"/>
          <w:szCs w:val="24"/>
        </w:rPr>
        <w:t>)</w:t>
      </w:r>
      <w:r>
        <w:rPr>
          <w:rFonts w:hint="eastAsia" w:ascii="宋体" w:hAnsi="宋体"/>
          <w:sz w:val="24"/>
          <w:szCs w:val="24"/>
        </w:rPr>
        <w:t>；</w:t>
      </w:r>
    </w:p>
    <w:p>
      <w:pPr>
        <w:pageBreakBefore w:val="0"/>
        <w:kinsoku/>
        <w:wordWrap/>
        <w:overflowPunct/>
        <w:topLinePunct w:val="0"/>
        <w:autoSpaceDE/>
        <w:autoSpaceDN/>
        <w:bidi w:val="0"/>
        <w:snapToGrid w:val="0"/>
        <w:spacing w:line="360" w:lineRule="auto"/>
        <w:ind w:firstLine="480" w:firstLineChars="200"/>
        <w:rPr>
          <w:rFonts w:ascii="宋体" w:cs="宋体"/>
          <w:color w:val="000000"/>
          <w:sz w:val="24"/>
          <w:szCs w:val="21"/>
        </w:rPr>
      </w:pPr>
      <w:r>
        <w:rPr>
          <w:rFonts w:hint="eastAsia" w:ascii="宋体" w:hAnsi="宋体"/>
          <w:sz w:val="24"/>
          <w:szCs w:val="24"/>
        </w:rPr>
        <w:t>（</w:t>
      </w:r>
      <w:r>
        <w:rPr>
          <w:rFonts w:ascii="宋体" w:hAnsi="宋体"/>
          <w:sz w:val="24"/>
          <w:szCs w:val="24"/>
        </w:rPr>
        <w:t>4</w:t>
      </w:r>
      <w:r>
        <w:rPr>
          <w:rFonts w:hint="eastAsia" w:ascii="宋体" w:hAnsi="宋体"/>
          <w:sz w:val="24"/>
          <w:szCs w:val="24"/>
        </w:rPr>
        <w:t>）</w:t>
      </w:r>
      <w:r>
        <w:rPr>
          <w:rFonts w:hint="eastAsia" w:ascii="宋体" w:hAnsi="宋体"/>
          <w:sz w:val="24"/>
        </w:rPr>
        <w:t>法定代表人身份证明书、授权委托书及授权代理人有效身份证明（若委托）</w:t>
      </w:r>
      <w:r>
        <w:rPr>
          <w:rFonts w:ascii="宋体" w:hAnsi="宋体"/>
          <w:sz w:val="24"/>
          <w:szCs w:val="24"/>
        </w:rPr>
        <w:t>(</w:t>
      </w:r>
      <w:r>
        <w:rPr>
          <w:rFonts w:hint="eastAsia" w:ascii="宋体" w:hAnsi="宋体"/>
          <w:sz w:val="24"/>
          <w:szCs w:val="24"/>
        </w:rPr>
        <w:t>格式见附件</w:t>
      </w:r>
      <w:r>
        <w:rPr>
          <w:rFonts w:ascii="宋体" w:hAnsi="宋体"/>
          <w:sz w:val="24"/>
          <w:szCs w:val="24"/>
        </w:rPr>
        <w:t>)</w:t>
      </w:r>
      <w:r>
        <w:rPr>
          <w:rFonts w:hint="eastAsia" w:ascii="宋体" w:hAnsi="宋体"/>
          <w:sz w:val="24"/>
          <w:szCs w:val="24"/>
        </w:rPr>
        <w:t>；</w:t>
      </w:r>
    </w:p>
    <w:p>
      <w:pPr>
        <w:pageBreakBefore w:val="0"/>
        <w:kinsoku/>
        <w:wordWrap/>
        <w:overflowPunct/>
        <w:topLinePunct w:val="0"/>
        <w:autoSpaceDE/>
        <w:autoSpaceDN/>
        <w:bidi w:val="0"/>
        <w:snapToGrid w:val="0"/>
        <w:spacing w:line="360" w:lineRule="auto"/>
        <w:ind w:firstLine="480" w:firstLineChars="200"/>
        <w:jc w:val="left"/>
        <w:rPr>
          <w:rFonts w:hint="eastAsia"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）提供自采购公告发布之日起至磋商响应文件递交截止日内任意时间的“信用中国”网站（</w:t>
      </w:r>
      <w:r>
        <w:rPr>
          <w:rFonts w:ascii="宋体" w:hAnsi="宋体"/>
          <w:sz w:val="24"/>
          <w:szCs w:val="24"/>
        </w:rPr>
        <w:t>www.creditchina.gov.cn</w:t>
      </w:r>
      <w:r>
        <w:rPr>
          <w:rFonts w:hint="eastAsia" w:ascii="宋体" w:hAnsi="宋体"/>
          <w:sz w:val="24"/>
          <w:szCs w:val="24"/>
        </w:rPr>
        <w:t>）、中国政府采购网（</w:t>
      </w:r>
      <w:r>
        <w:rPr>
          <w:rFonts w:ascii="宋体" w:hAnsi="宋体"/>
          <w:sz w:val="24"/>
          <w:szCs w:val="24"/>
        </w:rPr>
        <w:t>www.ccgp.gov.cn</w:t>
      </w:r>
      <w:r>
        <w:rPr>
          <w:rFonts w:hint="eastAsia" w:ascii="宋体" w:hAnsi="宋体"/>
          <w:sz w:val="24"/>
          <w:szCs w:val="24"/>
        </w:rPr>
        <w:t>）响应方信用查询网页截图。（以磋商当日采购人或由采购人委托的磋商小组核实的查询结果为准）</w:t>
      </w:r>
    </w:p>
    <w:p>
      <w:pPr>
        <w:pageBreakBefore w:val="0"/>
        <w:kinsoku/>
        <w:wordWrap/>
        <w:overflowPunct/>
        <w:topLinePunct w:val="0"/>
        <w:autoSpaceDE/>
        <w:autoSpaceDN/>
        <w:bidi w:val="0"/>
        <w:snapToGrid w:val="0"/>
        <w:spacing w:line="360" w:lineRule="auto"/>
        <w:ind w:firstLine="480" w:firstLineChars="200"/>
        <w:jc w:val="left"/>
        <w:rPr>
          <w:rFonts w:ascii="宋体"/>
          <w:color w:val="000000"/>
          <w:sz w:val="24"/>
          <w:szCs w:val="24"/>
        </w:rPr>
      </w:pPr>
      <w:r>
        <w:rPr>
          <w:rFonts w:hint="eastAsia" w:ascii="宋体" w:hAnsi="宋体"/>
          <w:sz w:val="24"/>
          <w:szCs w:val="24"/>
          <w:lang w:eastAsia="zh-CN"/>
        </w:rPr>
        <w:t>（</w:t>
      </w:r>
      <w:r>
        <w:rPr>
          <w:rFonts w:hint="eastAsia" w:ascii="宋体" w:hAnsi="宋体"/>
          <w:sz w:val="24"/>
          <w:szCs w:val="24"/>
          <w:lang w:val="en-US" w:eastAsia="zh-CN"/>
        </w:rPr>
        <w:t>6</w:t>
      </w:r>
      <w:r>
        <w:rPr>
          <w:rFonts w:hint="eastAsia" w:ascii="宋体" w:hAnsi="宋体"/>
          <w:sz w:val="24"/>
          <w:szCs w:val="24"/>
          <w:lang w:eastAsia="zh-CN"/>
        </w:rPr>
        <w:t>）</w:t>
      </w:r>
      <w:r>
        <w:rPr>
          <w:rFonts w:hint="eastAsia" w:ascii="宋体" w:hAnsi="宋体"/>
          <w:sz w:val="24"/>
          <w:szCs w:val="24"/>
        </w:rPr>
        <w:t>具有履行合同所必需的场地、设备和专业技术能力的承诺函（格式见附件）；</w:t>
      </w:r>
    </w:p>
    <w:p>
      <w:pPr>
        <w:pageBreakBefore w:val="0"/>
        <w:kinsoku/>
        <w:wordWrap/>
        <w:overflowPunct/>
        <w:topLinePunct w:val="0"/>
        <w:autoSpaceDE/>
        <w:autoSpaceDN/>
        <w:bidi w:val="0"/>
        <w:snapToGrid w:val="0"/>
        <w:spacing w:line="360" w:lineRule="auto"/>
        <w:ind w:firstLine="480" w:firstLineChars="200"/>
        <w:jc w:val="left"/>
        <w:rPr>
          <w:rFonts w:ascii="宋体"/>
          <w:color w:val="000000"/>
          <w:sz w:val="24"/>
          <w:szCs w:val="24"/>
        </w:rPr>
      </w:pP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）提供有效的依法缴纳税收证明（完税凭证或税务部门出具的证明）；</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）提供有效的依法缴纳社会保障资金证明（缴纳凭证或人社部门出具的证明）；</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rPr>
          <w:rFonts w:ascii="宋体"/>
          <w:color w:val="000000"/>
          <w:sz w:val="24"/>
          <w:szCs w:val="24"/>
        </w:rPr>
      </w:pPr>
      <w:r>
        <w:rPr>
          <w:rFonts w:hint="eastAsia" w:ascii="宋体" w:hAnsi="宋体"/>
          <w:sz w:val="24"/>
          <w:szCs w:val="24"/>
          <w:lang w:eastAsia="zh-CN"/>
        </w:rPr>
        <w:t>（</w:t>
      </w:r>
      <w:r>
        <w:rPr>
          <w:rFonts w:hint="eastAsia" w:ascii="宋体" w:hAnsi="宋体"/>
          <w:sz w:val="24"/>
          <w:szCs w:val="24"/>
          <w:lang w:val="en-US" w:eastAsia="zh-CN"/>
        </w:rPr>
        <w:t>9</w:t>
      </w:r>
      <w:r>
        <w:rPr>
          <w:rFonts w:hint="eastAsia" w:ascii="宋体" w:hAnsi="宋体"/>
          <w:sz w:val="24"/>
          <w:szCs w:val="24"/>
          <w:lang w:eastAsia="zh-CN"/>
        </w:rPr>
        <w:t>）</w:t>
      </w:r>
      <w:r>
        <w:rPr>
          <w:rFonts w:hint="eastAsia" w:ascii="宋体" w:hAnsi="宋体" w:cs="宋体"/>
          <w:color w:val="000000"/>
          <w:kern w:val="0"/>
          <w:sz w:val="24"/>
        </w:rPr>
        <w:t>单位负责人为同一人或者存在直接控股、管理关系的不同供应商，不得参加同一合同项下的政府采购活动（开标后提供《政府采购活动现场确认声明书》</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PDF版</w:t>
      </w:r>
      <w:r>
        <w:rPr>
          <w:rFonts w:hint="eastAsia" w:ascii="宋体" w:hAnsi="宋体" w:cs="宋体"/>
          <w:color w:val="000000"/>
          <w:kern w:val="0"/>
          <w:sz w:val="24"/>
          <w:lang w:eastAsia="zh-CN"/>
        </w:rPr>
        <w:t>）</w:t>
      </w:r>
      <w:r>
        <w:rPr>
          <w:rFonts w:hint="eastAsia" w:ascii="宋体" w:hAnsi="宋体" w:cs="宋体"/>
          <w:color w:val="000000"/>
          <w:kern w:val="0"/>
          <w:sz w:val="24"/>
        </w:rPr>
        <w:t>，发送至邮箱554318517@qq.com）；</w:t>
      </w:r>
    </w:p>
    <w:p>
      <w:pPr>
        <w:pageBreakBefore w:val="0"/>
        <w:kinsoku/>
        <w:wordWrap/>
        <w:overflowPunct/>
        <w:topLinePunct w:val="0"/>
        <w:autoSpaceDE/>
        <w:autoSpaceDN/>
        <w:bidi w:val="0"/>
        <w:snapToGrid w:val="0"/>
        <w:spacing w:line="360" w:lineRule="auto"/>
        <w:ind w:firstLine="480" w:firstLineChars="200"/>
        <w:jc w:val="left"/>
        <w:rPr>
          <w:rFonts w:ascii="宋体"/>
          <w:sz w:val="24"/>
          <w:szCs w:val="24"/>
        </w:rPr>
      </w:pPr>
      <w:r>
        <w:rPr>
          <w:rFonts w:hint="eastAsia" w:ascii="宋体" w:hAnsi="宋体"/>
          <w:sz w:val="24"/>
          <w:szCs w:val="24"/>
        </w:rPr>
        <w:t>（</w:t>
      </w:r>
      <w:r>
        <w:rPr>
          <w:rFonts w:hint="eastAsia" w:ascii="宋体" w:hAnsi="宋体"/>
          <w:sz w:val="24"/>
          <w:szCs w:val="24"/>
          <w:lang w:val="en-US" w:eastAsia="zh-CN"/>
        </w:rPr>
        <w:t>10</w:t>
      </w:r>
      <w:r>
        <w:rPr>
          <w:rFonts w:hint="eastAsia" w:ascii="宋体" w:hAnsi="宋体"/>
          <w:sz w:val="24"/>
          <w:szCs w:val="24"/>
        </w:rPr>
        <w:t>）提供采购公告中符合</w:t>
      </w:r>
      <w:r>
        <w:rPr>
          <w:rFonts w:hint="eastAsia" w:ascii="宋体" w:hAnsi="宋体"/>
          <w:bCs/>
          <w:sz w:val="24"/>
          <w:szCs w:val="24"/>
        </w:rPr>
        <w:t>磋商响应方的特定条件要求的有效的其他资质</w:t>
      </w:r>
      <w:r>
        <w:rPr>
          <w:rFonts w:hint="eastAsia" w:ascii="宋体" w:hAnsi="宋体"/>
          <w:bCs/>
          <w:sz w:val="24"/>
          <w:szCs w:val="24"/>
          <w:lang w:val="en-US" w:eastAsia="zh-CN"/>
        </w:rPr>
        <w:t>扫描件加盖CA签章</w:t>
      </w:r>
      <w:r>
        <w:rPr>
          <w:rFonts w:hint="eastAsia" w:ascii="宋体" w:hAnsi="宋体"/>
          <w:bCs/>
          <w:sz w:val="24"/>
          <w:szCs w:val="24"/>
        </w:rPr>
        <w:t>及</w:t>
      </w:r>
      <w:r>
        <w:rPr>
          <w:rFonts w:hint="eastAsia" w:ascii="宋体" w:hAnsi="宋体"/>
          <w:sz w:val="24"/>
          <w:szCs w:val="24"/>
        </w:rPr>
        <w:t>需要说明的资料。</w:t>
      </w:r>
    </w:p>
    <w:p>
      <w:pPr>
        <w:pageBreakBefore w:val="0"/>
        <w:kinsoku/>
        <w:wordWrap/>
        <w:overflowPunct/>
        <w:topLinePunct w:val="0"/>
        <w:autoSpaceDE/>
        <w:autoSpaceDN/>
        <w:bidi w:val="0"/>
        <w:snapToGrid w:val="0"/>
        <w:spacing w:after="120" w:afterLines="50" w:line="360" w:lineRule="auto"/>
        <w:ind w:firstLine="472" w:firstLineChars="196"/>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2.商务技术文件</w:t>
      </w:r>
    </w:p>
    <w:p>
      <w:pPr>
        <w:pageBreakBefore w:val="0"/>
        <w:kinsoku/>
        <w:wordWrap/>
        <w:overflowPunct/>
        <w:topLinePunct w:val="0"/>
        <w:autoSpaceDE/>
        <w:autoSpaceDN/>
        <w:bidi w:val="0"/>
        <w:snapToGrid w:val="0"/>
        <w:spacing w:line="360" w:lineRule="auto"/>
        <w:ind w:firstLine="470" w:firstLineChars="196"/>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（1）磋商函（格式见附件）；</w:t>
      </w:r>
    </w:p>
    <w:p>
      <w:pPr>
        <w:pageBreakBefore w:val="0"/>
        <w:kinsoku/>
        <w:wordWrap/>
        <w:overflowPunct/>
        <w:topLinePunct w:val="0"/>
        <w:autoSpaceDE/>
        <w:autoSpaceDN/>
        <w:bidi w:val="0"/>
        <w:snapToGrid w:val="0"/>
        <w:spacing w:line="360" w:lineRule="auto"/>
        <w:ind w:firstLine="470" w:firstLineChars="196"/>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（2）法定代表人身份证明书、授权委托书及授权代理人有效身份证明（若委托）（格式见附件）；</w:t>
      </w:r>
    </w:p>
    <w:p>
      <w:pPr>
        <w:pageBreakBefore w:val="0"/>
        <w:kinsoku/>
        <w:wordWrap/>
        <w:overflowPunct/>
        <w:topLinePunct w:val="0"/>
        <w:autoSpaceDE/>
        <w:autoSpaceDN/>
        <w:bidi w:val="0"/>
        <w:snapToGrid w:val="0"/>
        <w:spacing w:line="360" w:lineRule="auto"/>
        <w:ind w:firstLine="470" w:firstLineChars="196"/>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（3）营业执照(或事业法人登记证书或其它工商等登记证明材料；自然人参与政府采购，提供身份证)</w:t>
      </w:r>
      <w:r>
        <w:rPr>
          <w:rFonts w:hint="eastAsia" w:asciiTheme="minorEastAsia" w:hAnsiTheme="minorEastAsia" w:eastAsiaTheme="minorEastAsia"/>
          <w:color w:val="000000"/>
          <w:sz w:val="24"/>
          <w:szCs w:val="24"/>
          <w:lang w:val="en-US" w:eastAsia="zh-CN"/>
        </w:rPr>
        <w:t>扫描件</w:t>
      </w:r>
      <w:r>
        <w:rPr>
          <w:rFonts w:hint="eastAsia" w:asciiTheme="minorEastAsia" w:hAnsiTheme="minorEastAsia" w:eastAsiaTheme="minorEastAsia"/>
          <w:color w:val="000000"/>
          <w:sz w:val="24"/>
          <w:szCs w:val="24"/>
        </w:rPr>
        <w:t>；</w:t>
      </w:r>
    </w:p>
    <w:p>
      <w:pPr>
        <w:pageBreakBefore w:val="0"/>
        <w:kinsoku/>
        <w:wordWrap/>
        <w:overflowPunct/>
        <w:topLinePunct w:val="0"/>
        <w:autoSpaceDE/>
        <w:autoSpaceDN/>
        <w:bidi w:val="0"/>
        <w:snapToGrid w:val="0"/>
        <w:spacing w:line="360" w:lineRule="auto"/>
        <w:ind w:firstLine="470" w:firstLineChars="196"/>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（4）磋商响应方基本情况表（格式见附件）；</w:t>
      </w:r>
      <w:r>
        <w:rPr>
          <w:rFonts w:asciiTheme="minorEastAsia" w:hAnsiTheme="minorEastAsia" w:eastAsiaTheme="minorEastAsia"/>
          <w:color w:val="000000"/>
          <w:sz w:val="24"/>
          <w:szCs w:val="24"/>
        </w:rPr>
        <w:t xml:space="preserve"> </w:t>
      </w:r>
    </w:p>
    <w:p>
      <w:pPr>
        <w:pageBreakBefore w:val="0"/>
        <w:kinsoku/>
        <w:wordWrap/>
        <w:overflowPunct/>
        <w:topLinePunct w:val="0"/>
        <w:autoSpaceDE/>
        <w:autoSpaceDN/>
        <w:bidi w:val="0"/>
        <w:snapToGrid w:val="0"/>
        <w:spacing w:line="360" w:lineRule="auto"/>
        <w:ind w:firstLine="470" w:firstLineChars="196"/>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（5）技术、商务偏离表（格式见附件）；</w:t>
      </w:r>
    </w:p>
    <w:p>
      <w:pPr>
        <w:pageBreakBefore w:val="0"/>
        <w:kinsoku/>
        <w:wordWrap/>
        <w:overflowPunct/>
        <w:topLinePunct w:val="0"/>
        <w:autoSpaceDE/>
        <w:autoSpaceDN/>
        <w:bidi w:val="0"/>
        <w:snapToGrid w:val="0"/>
        <w:spacing w:line="360" w:lineRule="auto"/>
        <w:ind w:firstLine="470" w:firstLineChars="196"/>
        <w:jc w:val="left"/>
        <w:rPr>
          <w:rFonts w:hint="eastAsia"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（4）相关证书及信誉；</w:t>
      </w:r>
    </w:p>
    <w:p>
      <w:pPr>
        <w:pageBreakBefore w:val="0"/>
        <w:kinsoku/>
        <w:wordWrap/>
        <w:overflowPunct/>
        <w:topLinePunct w:val="0"/>
        <w:autoSpaceDE/>
        <w:autoSpaceDN/>
        <w:bidi w:val="0"/>
        <w:snapToGrid w:val="0"/>
        <w:spacing w:line="360" w:lineRule="auto"/>
        <w:ind w:firstLine="470" w:firstLineChars="196"/>
        <w:jc w:val="left"/>
        <w:rPr>
          <w:rFonts w:hint="eastAsia"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（5）投标人企业基本情况（格式见附件）；</w:t>
      </w:r>
    </w:p>
    <w:p>
      <w:pPr>
        <w:pageBreakBefore w:val="0"/>
        <w:kinsoku/>
        <w:wordWrap/>
        <w:overflowPunct/>
        <w:topLinePunct w:val="0"/>
        <w:autoSpaceDE/>
        <w:autoSpaceDN/>
        <w:bidi w:val="0"/>
        <w:snapToGrid w:val="0"/>
        <w:spacing w:line="360" w:lineRule="auto"/>
        <w:ind w:firstLine="470" w:firstLineChars="196"/>
        <w:jc w:val="left"/>
        <w:rPr>
          <w:rFonts w:hint="eastAsia"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（6）资信及商务响应表(格式见附件)；</w:t>
      </w:r>
    </w:p>
    <w:p>
      <w:pPr>
        <w:pageBreakBefore w:val="0"/>
        <w:kinsoku/>
        <w:wordWrap/>
        <w:overflowPunct/>
        <w:topLinePunct w:val="0"/>
        <w:autoSpaceDE/>
        <w:autoSpaceDN/>
        <w:bidi w:val="0"/>
        <w:snapToGrid w:val="0"/>
        <w:spacing w:line="360" w:lineRule="auto"/>
        <w:ind w:firstLine="470" w:firstLineChars="196"/>
        <w:jc w:val="left"/>
        <w:rPr>
          <w:rFonts w:hint="eastAsia"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（7）技术响应表（格式见附件）；</w:t>
      </w:r>
    </w:p>
    <w:p>
      <w:pPr>
        <w:pageBreakBefore w:val="0"/>
        <w:kinsoku/>
        <w:wordWrap/>
        <w:overflowPunct/>
        <w:topLinePunct w:val="0"/>
        <w:autoSpaceDE/>
        <w:autoSpaceDN/>
        <w:bidi w:val="0"/>
        <w:snapToGrid w:val="0"/>
        <w:spacing w:line="360" w:lineRule="auto"/>
        <w:ind w:firstLine="470" w:firstLineChars="196"/>
        <w:jc w:val="left"/>
        <w:rPr>
          <w:rFonts w:hint="eastAsia"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w:t>
      </w:r>
      <w:r>
        <w:rPr>
          <w:rFonts w:hint="eastAsia" w:asciiTheme="minorEastAsia" w:hAnsiTheme="minorEastAsia" w:eastAsiaTheme="minorEastAsia"/>
          <w:b w:val="0"/>
          <w:bCs w:val="0"/>
          <w:sz w:val="24"/>
          <w:szCs w:val="24"/>
          <w:lang w:val="en-US" w:eastAsia="zh-CN"/>
        </w:rPr>
        <w:t>8</w:t>
      </w:r>
      <w:r>
        <w:rPr>
          <w:rFonts w:hint="eastAsia" w:asciiTheme="minorEastAsia" w:hAnsiTheme="minorEastAsia" w:eastAsiaTheme="minorEastAsia"/>
          <w:b w:val="0"/>
          <w:bCs w:val="0"/>
          <w:sz w:val="24"/>
          <w:szCs w:val="24"/>
        </w:rPr>
        <w:t>）相关认证证书；</w:t>
      </w:r>
    </w:p>
    <w:p>
      <w:pPr>
        <w:pageBreakBefore w:val="0"/>
        <w:kinsoku/>
        <w:wordWrap/>
        <w:overflowPunct/>
        <w:topLinePunct w:val="0"/>
        <w:autoSpaceDE/>
        <w:autoSpaceDN/>
        <w:bidi w:val="0"/>
        <w:snapToGrid w:val="0"/>
        <w:spacing w:line="360" w:lineRule="auto"/>
        <w:ind w:firstLine="470" w:firstLineChars="196"/>
        <w:jc w:val="left"/>
        <w:rPr>
          <w:rFonts w:hint="eastAsia"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w:t>
      </w:r>
      <w:r>
        <w:rPr>
          <w:rFonts w:hint="eastAsia" w:asciiTheme="minorEastAsia" w:hAnsiTheme="minorEastAsia" w:eastAsiaTheme="minorEastAsia"/>
          <w:b w:val="0"/>
          <w:bCs w:val="0"/>
          <w:sz w:val="24"/>
          <w:szCs w:val="24"/>
          <w:lang w:val="en-US" w:eastAsia="zh-CN"/>
        </w:rPr>
        <w:t>9</w:t>
      </w:r>
      <w:r>
        <w:rPr>
          <w:rFonts w:hint="eastAsia" w:asciiTheme="minorEastAsia" w:hAnsiTheme="minorEastAsia" w:eastAsiaTheme="minorEastAsia"/>
          <w:b w:val="0"/>
          <w:bCs w:val="0"/>
          <w:sz w:val="24"/>
          <w:szCs w:val="24"/>
        </w:rPr>
        <w:t>）产品配置清单；</w:t>
      </w:r>
    </w:p>
    <w:p>
      <w:pPr>
        <w:pageBreakBefore w:val="0"/>
        <w:kinsoku/>
        <w:wordWrap/>
        <w:overflowPunct/>
        <w:topLinePunct w:val="0"/>
        <w:autoSpaceDE/>
        <w:autoSpaceDN/>
        <w:bidi w:val="0"/>
        <w:snapToGrid w:val="0"/>
        <w:spacing w:line="360" w:lineRule="auto"/>
        <w:ind w:firstLine="470" w:firstLineChars="196"/>
        <w:jc w:val="left"/>
        <w:rPr>
          <w:rFonts w:hint="eastAsia"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w:t>
      </w:r>
      <w:r>
        <w:rPr>
          <w:rFonts w:hint="eastAsia" w:asciiTheme="minorEastAsia" w:hAnsiTheme="minorEastAsia" w:eastAsiaTheme="minorEastAsia"/>
          <w:b w:val="0"/>
          <w:bCs w:val="0"/>
          <w:sz w:val="24"/>
          <w:szCs w:val="24"/>
          <w:lang w:val="en-US" w:eastAsia="zh-CN"/>
        </w:rPr>
        <w:t>10</w:t>
      </w:r>
      <w:r>
        <w:rPr>
          <w:rFonts w:hint="eastAsia" w:asciiTheme="minorEastAsia" w:hAnsiTheme="minorEastAsia" w:eastAsiaTheme="minorEastAsia"/>
          <w:b w:val="0"/>
          <w:bCs w:val="0"/>
          <w:sz w:val="24"/>
          <w:szCs w:val="24"/>
        </w:rPr>
        <w:t>）项目实施人员（主要从业人员及其技术资格能力）一览表；</w:t>
      </w:r>
    </w:p>
    <w:p>
      <w:pPr>
        <w:pageBreakBefore w:val="0"/>
        <w:kinsoku/>
        <w:wordWrap/>
        <w:overflowPunct/>
        <w:topLinePunct w:val="0"/>
        <w:autoSpaceDE/>
        <w:autoSpaceDN/>
        <w:bidi w:val="0"/>
        <w:snapToGrid w:val="0"/>
        <w:spacing w:line="360" w:lineRule="auto"/>
        <w:ind w:firstLine="470" w:firstLineChars="196"/>
        <w:jc w:val="left"/>
        <w:rPr>
          <w:rFonts w:hint="eastAsia"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w:t>
      </w:r>
      <w:r>
        <w:rPr>
          <w:rFonts w:hint="eastAsia" w:asciiTheme="minorEastAsia" w:hAnsiTheme="minorEastAsia" w:eastAsiaTheme="minorEastAsia"/>
          <w:b w:val="0"/>
          <w:bCs w:val="0"/>
          <w:sz w:val="24"/>
          <w:szCs w:val="24"/>
          <w:lang w:val="en-US" w:eastAsia="zh-CN"/>
        </w:rPr>
        <w:t>11</w:t>
      </w:r>
      <w:r>
        <w:rPr>
          <w:rFonts w:hint="eastAsia" w:asciiTheme="minorEastAsia" w:hAnsiTheme="minorEastAsia" w:eastAsiaTheme="minorEastAsia"/>
          <w:b w:val="0"/>
          <w:bCs w:val="0"/>
          <w:sz w:val="24"/>
          <w:szCs w:val="24"/>
        </w:rPr>
        <w:t>）针对本项目售后服务承诺及质保期(格式自拟)；</w:t>
      </w:r>
    </w:p>
    <w:p>
      <w:pPr>
        <w:pageBreakBefore w:val="0"/>
        <w:kinsoku/>
        <w:wordWrap/>
        <w:overflowPunct/>
        <w:topLinePunct w:val="0"/>
        <w:autoSpaceDE/>
        <w:autoSpaceDN/>
        <w:bidi w:val="0"/>
        <w:snapToGrid w:val="0"/>
        <w:spacing w:line="360" w:lineRule="auto"/>
        <w:ind w:firstLine="470" w:firstLineChars="196"/>
        <w:jc w:val="left"/>
        <w:rPr>
          <w:rFonts w:hint="eastAsia" w:asciiTheme="minorEastAsia" w:hAnsiTheme="minorEastAsia" w:eastAsiaTheme="minorEastAsia"/>
          <w:b w:val="0"/>
          <w:bCs w:val="0"/>
          <w:sz w:val="24"/>
          <w:szCs w:val="24"/>
        </w:rPr>
      </w:pPr>
      <w:r>
        <w:rPr>
          <w:rFonts w:hint="eastAsia" w:asciiTheme="minorEastAsia" w:hAnsiTheme="minorEastAsia" w:eastAsiaTheme="minorEastAsia"/>
          <w:b w:val="0"/>
          <w:bCs w:val="0"/>
          <w:sz w:val="24"/>
          <w:szCs w:val="24"/>
        </w:rPr>
        <w:t>（</w:t>
      </w:r>
      <w:r>
        <w:rPr>
          <w:rFonts w:hint="eastAsia" w:asciiTheme="minorEastAsia" w:hAnsiTheme="minorEastAsia" w:eastAsiaTheme="minorEastAsia"/>
          <w:b w:val="0"/>
          <w:bCs w:val="0"/>
          <w:sz w:val="24"/>
          <w:szCs w:val="24"/>
          <w:lang w:val="en-US" w:eastAsia="zh-CN"/>
        </w:rPr>
        <w:t>12</w:t>
      </w:r>
      <w:r>
        <w:rPr>
          <w:rFonts w:hint="eastAsia" w:asciiTheme="minorEastAsia" w:hAnsiTheme="minorEastAsia" w:eastAsiaTheme="minorEastAsia"/>
          <w:b w:val="0"/>
          <w:bCs w:val="0"/>
          <w:sz w:val="24"/>
          <w:szCs w:val="24"/>
        </w:rPr>
        <w:t>）投标人认为与评分有关的需要提供的其他资料。</w:t>
      </w:r>
    </w:p>
    <w:p>
      <w:pPr>
        <w:pageBreakBefore w:val="0"/>
        <w:kinsoku/>
        <w:wordWrap/>
        <w:overflowPunct/>
        <w:topLinePunct w:val="0"/>
        <w:autoSpaceDE/>
        <w:autoSpaceDN/>
        <w:bidi w:val="0"/>
        <w:snapToGrid w:val="0"/>
        <w:spacing w:line="360" w:lineRule="auto"/>
        <w:ind w:firstLine="472" w:firstLineChars="196"/>
        <w:jc w:val="left"/>
        <w:rPr>
          <w:rFonts w:asciiTheme="minorEastAsia" w:hAnsiTheme="minorEastAsia" w:eastAsiaTheme="minorEastAsia"/>
          <w:color w:val="000000"/>
          <w:sz w:val="24"/>
          <w:szCs w:val="24"/>
        </w:rPr>
      </w:pPr>
      <w:r>
        <w:rPr>
          <w:rFonts w:hint="eastAsia" w:asciiTheme="minorEastAsia" w:hAnsiTheme="minorEastAsia" w:eastAsiaTheme="minorEastAsia"/>
          <w:b/>
          <w:bCs/>
          <w:sz w:val="24"/>
          <w:szCs w:val="24"/>
        </w:rPr>
        <w:t>3．磋商报价文件</w:t>
      </w:r>
    </w:p>
    <w:p>
      <w:pPr>
        <w:pageBreakBefore w:val="0"/>
        <w:kinsoku/>
        <w:wordWrap/>
        <w:overflowPunct/>
        <w:topLinePunct w:val="0"/>
        <w:autoSpaceDE/>
        <w:autoSpaceDN/>
        <w:bidi w:val="0"/>
        <w:snapToGrid w:val="0"/>
        <w:spacing w:line="360" w:lineRule="auto"/>
        <w:ind w:firstLine="470" w:firstLineChars="196"/>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（1）磋商报价一览表、磋商分项报价明细表（格式见附件）； </w:t>
      </w:r>
    </w:p>
    <w:p>
      <w:pPr>
        <w:pageBreakBefore w:val="0"/>
        <w:kinsoku/>
        <w:wordWrap/>
        <w:overflowPunct/>
        <w:topLinePunct w:val="0"/>
        <w:autoSpaceDE/>
        <w:autoSpaceDN/>
        <w:bidi w:val="0"/>
        <w:snapToGrid w:val="0"/>
        <w:spacing w:line="360" w:lineRule="auto"/>
        <w:ind w:firstLine="470" w:firstLineChars="196"/>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（2）小微企业声明函、网页证明资料（若有，格式见附件）；</w:t>
      </w:r>
    </w:p>
    <w:p>
      <w:pPr>
        <w:pageBreakBefore w:val="0"/>
        <w:kinsoku/>
        <w:wordWrap/>
        <w:overflowPunct/>
        <w:topLinePunct w:val="0"/>
        <w:autoSpaceDE/>
        <w:autoSpaceDN/>
        <w:bidi w:val="0"/>
        <w:snapToGrid w:val="0"/>
        <w:spacing w:line="360" w:lineRule="auto"/>
        <w:ind w:firstLine="470" w:firstLineChars="196"/>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（3）监狱企业声明函及其相关的充分的证明材料监狱企业声明函（若有，格式见附件）；</w:t>
      </w:r>
    </w:p>
    <w:p>
      <w:pPr>
        <w:pageBreakBefore w:val="0"/>
        <w:kinsoku/>
        <w:wordWrap/>
        <w:overflowPunct/>
        <w:topLinePunct w:val="0"/>
        <w:autoSpaceDE/>
        <w:autoSpaceDN/>
        <w:bidi w:val="0"/>
        <w:snapToGrid w:val="0"/>
        <w:spacing w:line="360" w:lineRule="auto"/>
        <w:ind w:firstLine="470" w:firstLineChars="196"/>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（4）残疾人福利企业声明函（若有，格式见附件）；</w:t>
      </w:r>
    </w:p>
    <w:p>
      <w:pPr>
        <w:pageBreakBefore w:val="0"/>
        <w:kinsoku/>
        <w:wordWrap/>
        <w:overflowPunct/>
        <w:topLinePunct w:val="0"/>
        <w:autoSpaceDE/>
        <w:autoSpaceDN/>
        <w:bidi w:val="0"/>
        <w:snapToGrid w:val="0"/>
        <w:spacing w:line="360" w:lineRule="auto"/>
        <w:ind w:firstLine="470" w:firstLineChars="196"/>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（5）磋商响应方针对报价需要说明的其他文件和说明（格式自拟）。</w:t>
      </w:r>
    </w:p>
    <w:p>
      <w:pPr>
        <w:pStyle w:val="45"/>
        <w:pageBreakBefore w:val="0"/>
        <w:widowControl w:val="0"/>
        <w:kinsoku/>
        <w:wordWrap/>
        <w:overflowPunct/>
        <w:topLinePunct w:val="0"/>
        <w:autoSpaceDE/>
        <w:autoSpaceDN/>
        <w:bidi w:val="0"/>
        <w:spacing w:before="0" w:afterLines="0" w:line="360" w:lineRule="auto"/>
        <w:ind w:firstLine="482" w:firstLineChars="200"/>
        <w:rPr>
          <w:rFonts w:asciiTheme="minorEastAsia" w:hAnsiTheme="minorEastAsia" w:eastAsiaTheme="minorEastAsia"/>
        </w:rPr>
      </w:pPr>
      <w:r>
        <w:rPr>
          <w:rFonts w:hint="eastAsia" w:asciiTheme="minorEastAsia" w:hAnsiTheme="minorEastAsia" w:eastAsiaTheme="minorEastAsia"/>
          <w:b/>
          <w:bCs/>
        </w:rPr>
        <w:t>注：法定代表人授权委托书、磋商函、磋商报价一览表必须由相应代表人签名或</w:t>
      </w:r>
      <w:r>
        <w:rPr>
          <w:rFonts w:hint="eastAsia" w:asciiTheme="minorEastAsia" w:hAnsiTheme="minorEastAsia" w:eastAsiaTheme="minorEastAsia"/>
          <w:b/>
          <w:bCs/>
          <w:lang w:eastAsia="zh-CN"/>
        </w:rPr>
        <w:t>盖章</w:t>
      </w:r>
      <w:r>
        <w:rPr>
          <w:rFonts w:hint="eastAsia" w:asciiTheme="minorEastAsia" w:hAnsiTheme="minorEastAsia" w:eastAsiaTheme="minorEastAsia"/>
          <w:b/>
          <w:bCs/>
        </w:rPr>
        <w:t>并加盖磋商响应方公章。</w:t>
      </w:r>
    </w:p>
    <w:p>
      <w:pPr>
        <w:pageBreakBefore w:val="0"/>
        <w:kinsoku/>
        <w:wordWrap/>
        <w:overflowPunct/>
        <w:topLinePunct w:val="0"/>
        <w:autoSpaceDE/>
        <w:autoSpaceDN/>
        <w:bidi w:val="0"/>
        <w:snapToGrid w:val="0"/>
        <w:spacing w:line="360" w:lineRule="auto"/>
        <w:ind w:firstLine="472" w:firstLineChars="196"/>
        <w:jc w:val="left"/>
        <w:rPr>
          <w:rFonts w:asciiTheme="minorEastAsia" w:hAnsiTheme="minorEastAsia" w:eastAsiaTheme="minorEastAsia"/>
          <w:b/>
          <w:sz w:val="24"/>
          <w:szCs w:val="24"/>
        </w:rPr>
      </w:pPr>
      <w:bookmarkStart w:id="40" w:name="_Toc451762245"/>
      <w:bookmarkStart w:id="41" w:name="_Toc451762176"/>
      <w:r>
        <w:rPr>
          <w:rFonts w:hint="eastAsia" w:asciiTheme="minorEastAsia" w:hAnsiTheme="minorEastAsia" w:eastAsiaTheme="minorEastAsia"/>
          <w:b/>
          <w:sz w:val="24"/>
          <w:szCs w:val="24"/>
        </w:rPr>
        <w:t>（二）磋商响应文件的语言及计量</w:t>
      </w:r>
      <w:bookmarkEnd w:id="40"/>
      <w:bookmarkEnd w:id="41"/>
    </w:p>
    <w:p>
      <w:pPr>
        <w:pageBreakBefore w:val="0"/>
        <w:kinsoku/>
        <w:wordWrap/>
        <w:overflowPunct/>
        <w:topLinePunct w:val="0"/>
        <w:autoSpaceDE/>
        <w:autoSpaceDN/>
        <w:bidi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1.磋商响应文件以及磋商响应方与磋商方就有关磋商响应事宜的所有来往函电，均应以中文汉语书写。除签名、盖章、专用名称等特殊情形外，以中文汉语以外的文字表述的磋商响应文件视同未提供。</w:t>
      </w:r>
    </w:p>
    <w:p>
      <w:pPr>
        <w:pageBreakBefore w:val="0"/>
        <w:kinsoku/>
        <w:wordWrap/>
        <w:overflowPunct/>
        <w:topLinePunct w:val="0"/>
        <w:autoSpaceDE/>
        <w:autoSpaceDN/>
        <w:bidi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2.磋商响应计量单位，磋商文件已有明确规定的，使用磋商文件规定的计量单位；磋商文件没有规定的，应采用中华人民共和国法定计量单位（货币单位：人民币元），否则视同未响应。</w:t>
      </w:r>
    </w:p>
    <w:p>
      <w:pPr>
        <w:pageBreakBefore w:val="0"/>
        <w:kinsoku/>
        <w:wordWrap/>
        <w:overflowPunct/>
        <w:topLinePunct w:val="0"/>
        <w:autoSpaceDE/>
        <w:autoSpaceDN/>
        <w:bidi w:val="0"/>
        <w:snapToGrid w:val="0"/>
        <w:spacing w:line="360" w:lineRule="auto"/>
        <w:ind w:firstLine="472" w:firstLineChars="196"/>
        <w:jc w:val="left"/>
        <w:rPr>
          <w:rFonts w:asciiTheme="minorEastAsia" w:hAnsiTheme="minorEastAsia" w:eastAsiaTheme="minorEastAsia"/>
          <w:b/>
          <w:sz w:val="24"/>
          <w:szCs w:val="24"/>
        </w:rPr>
      </w:pPr>
      <w:bookmarkStart w:id="42" w:name="_Toc451762246"/>
      <w:bookmarkStart w:id="43" w:name="_Toc451762177"/>
      <w:r>
        <w:rPr>
          <w:rFonts w:hint="eastAsia" w:asciiTheme="minorEastAsia" w:hAnsiTheme="minorEastAsia" w:eastAsiaTheme="minorEastAsia"/>
          <w:b/>
          <w:sz w:val="24"/>
          <w:szCs w:val="24"/>
        </w:rPr>
        <w:t>（三）磋商响应报价</w:t>
      </w:r>
      <w:bookmarkEnd w:id="42"/>
      <w:bookmarkEnd w:id="43"/>
    </w:p>
    <w:p>
      <w:pPr>
        <w:pageBreakBefore w:val="0"/>
        <w:kinsoku/>
        <w:wordWrap/>
        <w:overflowPunct/>
        <w:topLinePunct w:val="0"/>
        <w:autoSpaceDE/>
        <w:autoSpaceDN/>
        <w:bidi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1.磋商响应报价应按磋商文件中相关附表格式填报；</w:t>
      </w:r>
    </w:p>
    <w:p>
      <w:pPr>
        <w:pStyle w:val="539"/>
        <w:pageBreakBefore w:val="0"/>
        <w:tabs>
          <w:tab w:val="left" w:pos="454"/>
          <w:tab w:val="left" w:pos="900"/>
        </w:tabs>
        <w:kinsoku/>
        <w:wordWrap/>
        <w:overflowPunct/>
        <w:topLinePunct w:val="0"/>
        <w:autoSpaceDE/>
        <w:autoSpaceDN/>
        <w:bidi w:val="0"/>
        <w:spacing w:afterLines="0" w:line="360" w:lineRule="auto"/>
        <w:ind w:left="0" w:firstLine="480"/>
        <w:rPr>
          <w:rFonts w:ascii="宋体" w:hAnsi="宋体"/>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Cs w:val="24"/>
        </w:rPr>
        <w:t>磋商响应报价</w:t>
      </w:r>
      <w:r>
        <w:rPr>
          <w:rFonts w:hint="eastAsia" w:ascii="宋体" w:hAnsi="宋体"/>
          <w:color w:val="000000"/>
          <w:sz w:val="24"/>
          <w:szCs w:val="24"/>
        </w:rPr>
        <w:t>是履行合同的最终价格，</w:t>
      </w:r>
      <w:r>
        <w:rPr>
          <w:rFonts w:hint="eastAsia" w:ascii="宋体" w:hAnsi="宋体"/>
          <w:color w:val="000000"/>
          <w:sz w:val="24"/>
        </w:rPr>
        <w:t>即完成本项目服务内容和要求所产生的所有费用，包括所有的设备费、附加费（税金、运输、保险、包装、安装调试、服务、维护、代理服务费）等一切费用。</w:t>
      </w:r>
    </w:p>
    <w:p>
      <w:pPr>
        <w:pageBreakBefore w:val="0"/>
        <w:kinsoku/>
        <w:wordWrap/>
        <w:overflowPunct/>
        <w:topLinePunct w:val="0"/>
        <w:autoSpaceDE/>
        <w:autoSpaceDN/>
        <w:bidi w:val="0"/>
        <w:snapToGrid w:val="0"/>
        <w:spacing w:line="360" w:lineRule="auto"/>
        <w:ind w:firstLine="48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（四）磋商响应文件的有效期</w:t>
      </w:r>
    </w:p>
    <w:p>
      <w:pPr>
        <w:pageBreakBefore w:val="0"/>
        <w:kinsoku/>
        <w:wordWrap/>
        <w:overflowPunct/>
        <w:topLinePunct w:val="0"/>
        <w:autoSpaceDE/>
        <w:autoSpaceDN/>
        <w:bidi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1.自磋商响应截止日起90天内磋商响应文件应保持有效。有效期不足的磋商响应文件将被拒绝。</w:t>
      </w:r>
    </w:p>
    <w:p>
      <w:pPr>
        <w:pageBreakBefore w:val="0"/>
        <w:kinsoku/>
        <w:wordWrap/>
        <w:overflowPunct/>
        <w:topLinePunct w:val="0"/>
        <w:autoSpaceDE/>
        <w:autoSpaceDN/>
        <w:bidi w:val="0"/>
        <w:snapToGrid w:val="0"/>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2.成交人的磋商响应文件自磋商之日起至合同履行完毕止均应保持有效。</w:t>
      </w:r>
    </w:p>
    <w:p>
      <w:pPr>
        <w:pageBreakBefore w:val="0"/>
        <w:kinsoku/>
        <w:wordWrap/>
        <w:overflowPunct/>
        <w:topLinePunct w:val="0"/>
        <w:autoSpaceDE/>
        <w:autoSpaceDN/>
        <w:bidi w:val="0"/>
        <w:snapToGrid w:val="0"/>
        <w:spacing w:line="360" w:lineRule="auto"/>
        <w:ind w:firstLine="472" w:firstLineChars="196"/>
        <w:jc w:val="left"/>
        <w:rPr>
          <w:rFonts w:asciiTheme="minorEastAsia" w:hAnsiTheme="minorEastAsia" w:eastAsiaTheme="minorEastAsia"/>
          <w:b/>
          <w:sz w:val="24"/>
          <w:szCs w:val="24"/>
        </w:rPr>
      </w:pPr>
      <w:bookmarkStart w:id="44" w:name="_Toc451762180"/>
      <w:bookmarkStart w:id="45" w:name="_Toc451762249"/>
      <w:r>
        <w:rPr>
          <w:rFonts w:hint="eastAsia" w:asciiTheme="minorEastAsia" w:hAnsiTheme="minorEastAsia" w:eastAsiaTheme="minorEastAsia"/>
          <w:b/>
          <w:sz w:val="24"/>
          <w:szCs w:val="24"/>
        </w:rPr>
        <w:t>（五）磋商响应文件的签署和份数</w:t>
      </w:r>
      <w:bookmarkEnd w:id="44"/>
      <w:bookmarkEnd w:id="45"/>
    </w:p>
    <w:p>
      <w:pPr>
        <w:pageBreakBefore w:val="0"/>
        <w:kinsoku/>
        <w:wordWrap/>
        <w:overflowPunct/>
        <w:topLinePunct w:val="0"/>
        <w:autoSpaceDE/>
        <w:autoSpaceDN/>
        <w:bidi w:val="0"/>
        <w:spacing w:line="360" w:lineRule="auto"/>
        <w:ind w:firstLine="480" w:firstLineChars="200"/>
        <w:rPr>
          <w:rFonts w:ascii="宋体" w:hAnsi="宋体"/>
          <w:sz w:val="24"/>
        </w:rPr>
      </w:pPr>
      <w:r>
        <w:rPr>
          <w:rFonts w:hint="eastAsia" w:ascii="宋体" w:hAnsi="宋体"/>
          <w:sz w:val="24"/>
        </w:rPr>
        <w:t>磋商响应方应根据“政采云供应商项目采购-电子招投标操作指南”及本磋商文件规定的格式和顺序编制电子磋商响应文件并进行关联定位。</w:t>
      </w:r>
    </w:p>
    <w:p>
      <w:pPr>
        <w:pageBreakBefore w:val="0"/>
        <w:kinsoku/>
        <w:wordWrap/>
        <w:overflowPunct/>
        <w:topLinePunct w:val="0"/>
        <w:autoSpaceDE/>
        <w:autoSpaceDN/>
        <w:bidi w:val="0"/>
        <w:snapToGrid w:val="0"/>
        <w:spacing w:line="360" w:lineRule="auto"/>
        <w:ind w:firstLine="470" w:firstLineChars="196"/>
        <w:jc w:val="left"/>
        <w:rPr>
          <w:rFonts w:ascii="宋体" w:hAnsi="宋体"/>
          <w:sz w:val="24"/>
        </w:rPr>
      </w:pPr>
      <w:r>
        <w:rPr>
          <w:rFonts w:hint="eastAsia" w:ascii="宋体" w:hAnsi="宋体"/>
          <w:sz w:val="24"/>
        </w:rPr>
        <w:t>（1）“电子加密磋商响应文件”：在线上传递交、一份。</w:t>
      </w:r>
    </w:p>
    <w:p>
      <w:pPr>
        <w:pageBreakBefore w:val="0"/>
        <w:kinsoku/>
        <w:wordWrap/>
        <w:overflowPunct/>
        <w:topLinePunct w:val="0"/>
        <w:autoSpaceDE/>
        <w:autoSpaceDN/>
        <w:bidi w:val="0"/>
        <w:snapToGrid w:val="0"/>
        <w:spacing w:line="360" w:lineRule="auto"/>
        <w:ind w:firstLine="470" w:firstLineChars="196"/>
        <w:jc w:val="left"/>
        <w:rPr>
          <w:rFonts w:ascii="宋体" w:hAnsi="宋体"/>
          <w:sz w:val="24"/>
        </w:rPr>
      </w:pPr>
      <w:r>
        <w:rPr>
          <w:rFonts w:hint="eastAsia" w:ascii="宋体" w:hAnsi="宋体"/>
          <w:sz w:val="24"/>
        </w:rPr>
        <w:t>（2）“备份磋商响应文件”：密封包装后（EMS、顺丰邮寄形式）磋商响应截止时间前送达一份（邮寄地址：嵊州市三江街道官河路南333号商会大厦十四层1407室竺小霞收）。</w:t>
      </w:r>
    </w:p>
    <w:p>
      <w:pPr>
        <w:pageBreakBefore w:val="0"/>
        <w:kinsoku/>
        <w:wordWrap/>
        <w:overflowPunct/>
        <w:topLinePunct w:val="0"/>
        <w:autoSpaceDE/>
        <w:autoSpaceDN/>
        <w:bidi w:val="0"/>
        <w:snapToGrid w:val="0"/>
        <w:spacing w:line="360" w:lineRule="auto"/>
        <w:ind w:firstLine="472" w:firstLineChars="196"/>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（六）磋商响应无效的情形</w:t>
      </w:r>
    </w:p>
    <w:p>
      <w:pPr>
        <w:pageBreakBefore w:val="0"/>
        <w:kinsoku/>
        <w:wordWrap/>
        <w:overflowPunct/>
        <w:topLinePunct w:val="0"/>
        <w:autoSpaceDE/>
        <w:autoSpaceDN/>
        <w:bidi w:val="0"/>
        <w:snapToGrid w:val="0"/>
        <w:spacing w:line="360" w:lineRule="auto"/>
        <w:ind w:firstLine="456" w:firstLineChars="19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实质上没有响应磋商文件要求的磋商响应将被视为无效磋商响应。在评审时，如发现下列情形之一的，磋商响应文件将被视为无效：</w:t>
      </w:r>
    </w:p>
    <w:p>
      <w:pPr>
        <w:pageBreakBefore w:val="0"/>
        <w:kinsoku/>
        <w:wordWrap/>
        <w:overflowPunct/>
        <w:topLinePunct w:val="0"/>
        <w:autoSpaceDE/>
        <w:autoSpaceDN/>
        <w:bidi w:val="0"/>
        <w:snapToGrid w:val="0"/>
        <w:spacing w:line="360" w:lineRule="auto"/>
        <w:ind w:firstLine="456" w:firstLineChars="190"/>
        <w:jc w:val="left"/>
        <w:rPr>
          <w:rFonts w:ascii="宋体" w:hAnsi="宋体"/>
          <w:sz w:val="24"/>
          <w:szCs w:val="24"/>
        </w:rPr>
      </w:pPr>
      <w:bookmarkStart w:id="46" w:name="_Toc451762181"/>
      <w:bookmarkStart w:id="47" w:name="_Toc451762250"/>
      <w:r>
        <w:rPr>
          <w:rFonts w:hint="eastAsia" w:ascii="宋体" w:hAnsi="宋体"/>
          <w:sz w:val="24"/>
          <w:szCs w:val="24"/>
        </w:rPr>
        <w:t>1.磋商响应方未能提供合格的资格证明文件；</w:t>
      </w:r>
    </w:p>
    <w:p>
      <w:pPr>
        <w:pageBreakBefore w:val="0"/>
        <w:kinsoku/>
        <w:wordWrap/>
        <w:overflowPunct/>
        <w:topLinePunct w:val="0"/>
        <w:autoSpaceDE/>
        <w:autoSpaceDN/>
        <w:bidi w:val="0"/>
        <w:snapToGrid w:val="0"/>
        <w:spacing w:line="360" w:lineRule="auto"/>
        <w:ind w:firstLine="456" w:firstLineChars="190"/>
        <w:jc w:val="left"/>
        <w:rPr>
          <w:rFonts w:ascii="宋体" w:hAnsi="宋体"/>
          <w:sz w:val="24"/>
          <w:szCs w:val="24"/>
        </w:rPr>
      </w:pPr>
      <w:r>
        <w:rPr>
          <w:rFonts w:hint="eastAsia" w:ascii="宋体" w:hAnsi="宋体"/>
          <w:sz w:val="24"/>
          <w:szCs w:val="24"/>
        </w:rPr>
        <w:t>2.与磋商文件有重大偏离的磋商响应文件；</w:t>
      </w:r>
    </w:p>
    <w:p>
      <w:pPr>
        <w:pageBreakBefore w:val="0"/>
        <w:kinsoku/>
        <w:wordWrap/>
        <w:overflowPunct/>
        <w:topLinePunct w:val="0"/>
        <w:autoSpaceDE/>
        <w:autoSpaceDN/>
        <w:bidi w:val="0"/>
        <w:snapToGrid w:val="0"/>
        <w:spacing w:line="360" w:lineRule="auto"/>
        <w:ind w:firstLine="480" w:firstLineChars="200"/>
        <w:jc w:val="left"/>
        <w:rPr>
          <w:rFonts w:ascii="宋体" w:hAnsi="宋体"/>
          <w:snapToGrid w:val="0"/>
          <w:color w:val="000000"/>
          <w:sz w:val="24"/>
          <w:szCs w:val="24"/>
        </w:rPr>
      </w:pPr>
      <w:r>
        <w:rPr>
          <w:rFonts w:hint="eastAsia" w:ascii="宋体" w:hAnsi="宋体"/>
          <w:snapToGrid w:val="0"/>
          <w:color w:val="000000"/>
          <w:sz w:val="24"/>
          <w:szCs w:val="24"/>
        </w:rPr>
        <w:t>3.</w:t>
      </w:r>
      <w:r>
        <w:rPr>
          <w:rFonts w:hint="eastAsia" w:ascii="宋体" w:hAnsi="宋体" w:cs="宋体"/>
          <w:color w:val="000000"/>
          <w:sz w:val="24"/>
          <w:szCs w:val="24"/>
        </w:rPr>
        <w:t>磋商有效期、交货期（服务期）、付款方式等商务条款不能满足磋商文件要求的；</w:t>
      </w:r>
    </w:p>
    <w:p>
      <w:pPr>
        <w:pageBreakBefore w:val="0"/>
        <w:kinsoku/>
        <w:wordWrap/>
        <w:overflowPunct/>
        <w:topLinePunct w:val="0"/>
        <w:autoSpaceDE/>
        <w:autoSpaceDN/>
        <w:bidi w:val="0"/>
        <w:snapToGrid w:val="0"/>
        <w:spacing w:line="360" w:lineRule="auto"/>
        <w:ind w:firstLine="456" w:firstLineChars="190"/>
        <w:jc w:val="left"/>
        <w:rPr>
          <w:rFonts w:ascii="宋体" w:hAnsi="宋体"/>
          <w:sz w:val="24"/>
          <w:szCs w:val="24"/>
        </w:rPr>
      </w:pPr>
      <w:r>
        <w:rPr>
          <w:rFonts w:hint="eastAsia" w:ascii="宋体" w:hAnsi="宋体"/>
          <w:sz w:val="24"/>
          <w:szCs w:val="24"/>
        </w:rPr>
        <w:t>4.标项以赠送方式磋商响应的；</w:t>
      </w:r>
    </w:p>
    <w:p>
      <w:pPr>
        <w:pageBreakBefore w:val="0"/>
        <w:kinsoku/>
        <w:wordWrap/>
        <w:overflowPunct/>
        <w:topLinePunct w:val="0"/>
        <w:autoSpaceDE/>
        <w:autoSpaceDN/>
        <w:bidi w:val="0"/>
        <w:snapToGrid w:val="0"/>
        <w:spacing w:line="360" w:lineRule="auto"/>
        <w:ind w:firstLine="456" w:firstLineChars="190"/>
        <w:jc w:val="left"/>
        <w:rPr>
          <w:rFonts w:ascii="宋体" w:hAnsi="宋体"/>
          <w:sz w:val="24"/>
          <w:szCs w:val="24"/>
        </w:rPr>
      </w:pPr>
      <w:r>
        <w:rPr>
          <w:rFonts w:hint="eastAsia" w:ascii="宋体" w:hAnsi="宋体"/>
          <w:sz w:val="24"/>
          <w:szCs w:val="24"/>
        </w:rPr>
        <w:t>5.磋商响应文件应盖公章而未盖公章或盖非公司公章、未有效授权、法定代表人授权书填写不完整或有涂改的；</w:t>
      </w:r>
    </w:p>
    <w:p>
      <w:pPr>
        <w:pageBreakBefore w:val="0"/>
        <w:kinsoku/>
        <w:wordWrap/>
        <w:overflowPunct/>
        <w:topLinePunct w:val="0"/>
        <w:autoSpaceDE/>
        <w:autoSpaceDN/>
        <w:bidi w:val="0"/>
        <w:snapToGrid w:val="0"/>
        <w:spacing w:line="360" w:lineRule="auto"/>
        <w:ind w:firstLine="456" w:firstLineChars="190"/>
        <w:jc w:val="left"/>
        <w:rPr>
          <w:rFonts w:ascii="宋体" w:hAnsi="宋体"/>
          <w:sz w:val="24"/>
          <w:szCs w:val="24"/>
        </w:rPr>
      </w:pPr>
      <w:r>
        <w:rPr>
          <w:rFonts w:hint="eastAsia" w:ascii="宋体" w:hAnsi="宋体"/>
          <w:sz w:val="24"/>
          <w:szCs w:val="24"/>
        </w:rPr>
        <w:t>6.未成功办理磋商响应方报名手续的；</w:t>
      </w:r>
    </w:p>
    <w:p>
      <w:pPr>
        <w:pageBreakBefore w:val="0"/>
        <w:kinsoku/>
        <w:wordWrap/>
        <w:overflowPunct/>
        <w:topLinePunct w:val="0"/>
        <w:autoSpaceDE/>
        <w:autoSpaceDN/>
        <w:bidi w:val="0"/>
        <w:snapToGrid w:val="0"/>
        <w:spacing w:line="360" w:lineRule="auto"/>
        <w:ind w:firstLine="456" w:firstLineChars="190"/>
        <w:jc w:val="left"/>
        <w:rPr>
          <w:rFonts w:ascii="宋体" w:hAnsi="宋体"/>
          <w:sz w:val="24"/>
          <w:szCs w:val="24"/>
        </w:rPr>
      </w:pPr>
      <w:r>
        <w:rPr>
          <w:rFonts w:hint="eastAsia" w:ascii="宋体" w:hAnsi="宋体"/>
          <w:sz w:val="24"/>
          <w:szCs w:val="24"/>
        </w:rPr>
        <w:t>7.磋商最终报价超出预算的；</w:t>
      </w:r>
    </w:p>
    <w:p>
      <w:pPr>
        <w:pageBreakBefore w:val="0"/>
        <w:kinsoku/>
        <w:wordWrap/>
        <w:overflowPunct/>
        <w:topLinePunct w:val="0"/>
        <w:autoSpaceDE/>
        <w:autoSpaceDN/>
        <w:bidi w:val="0"/>
        <w:snapToGrid w:val="0"/>
        <w:spacing w:line="360" w:lineRule="auto"/>
        <w:ind w:firstLine="456" w:firstLineChars="190"/>
        <w:jc w:val="left"/>
        <w:rPr>
          <w:rFonts w:ascii="宋体" w:hAnsi="宋体"/>
          <w:color w:val="000000"/>
          <w:sz w:val="24"/>
          <w:szCs w:val="24"/>
        </w:rPr>
      </w:pPr>
      <w:r>
        <w:rPr>
          <w:rFonts w:hint="eastAsia" w:ascii="宋体" w:hAnsi="宋体"/>
          <w:sz w:val="24"/>
          <w:szCs w:val="24"/>
        </w:rPr>
        <w:t>8.最终报价明显高于其市场报价或低于</w:t>
      </w:r>
      <w:r>
        <w:rPr>
          <w:rFonts w:hint="eastAsia" w:ascii="宋体" w:hAnsi="宋体"/>
          <w:color w:val="000000"/>
          <w:sz w:val="24"/>
          <w:szCs w:val="24"/>
        </w:rPr>
        <w:t>成本价且不能合理说明原因并提供证明材料的；</w:t>
      </w:r>
    </w:p>
    <w:p>
      <w:pPr>
        <w:pageBreakBefore w:val="0"/>
        <w:kinsoku/>
        <w:wordWrap/>
        <w:overflowPunct/>
        <w:topLinePunct w:val="0"/>
        <w:autoSpaceDE/>
        <w:autoSpaceDN/>
        <w:bidi w:val="0"/>
        <w:snapToGrid w:val="0"/>
        <w:spacing w:line="360" w:lineRule="auto"/>
        <w:ind w:firstLine="456" w:firstLineChars="190"/>
        <w:jc w:val="left"/>
        <w:rPr>
          <w:rFonts w:ascii="宋体" w:hAnsi="宋体" w:cs="宋体"/>
          <w:color w:val="000000"/>
          <w:sz w:val="24"/>
          <w:szCs w:val="24"/>
        </w:rPr>
      </w:pPr>
      <w:r>
        <w:rPr>
          <w:rFonts w:hint="eastAsia" w:ascii="宋体" w:hAnsi="宋体"/>
          <w:color w:val="000000"/>
          <w:sz w:val="24"/>
          <w:szCs w:val="24"/>
        </w:rPr>
        <w:t>9.</w:t>
      </w:r>
      <w:r>
        <w:rPr>
          <w:rFonts w:hint="eastAsia" w:ascii="宋体" w:hAnsi="宋体" w:cs="宋体"/>
          <w:color w:val="000000"/>
          <w:sz w:val="24"/>
          <w:szCs w:val="24"/>
        </w:rPr>
        <w:t>磋商响应文件无法定代表人或授权代表签字，或授权代理人未经有效授权的；</w:t>
      </w:r>
    </w:p>
    <w:p>
      <w:pPr>
        <w:pageBreakBefore w:val="0"/>
        <w:kinsoku/>
        <w:wordWrap/>
        <w:overflowPunct/>
        <w:topLinePunct w:val="0"/>
        <w:autoSpaceDE/>
        <w:autoSpaceDN/>
        <w:bidi w:val="0"/>
        <w:snapToGrid w:val="0"/>
        <w:spacing w:line="360" w:lineRule="auto"/>
        <w:ind w:firstLine="456" w:firstLineChars="190"/>
        <w:jc w:val="left"/>
        <w:rPr>
          <w:rFonts w:ascii="宋体" w:hAnsi="宋体" w:cs="宋体"/>
          <w:color w:val="000000"/>
          <w:sz w:val="24"/>
          <w:szCs w:val="24"/>
        </w:rPr>
      </w:pPr>
      <w:r>
        <w:rPr>
          <w:rFonts w:hint="eastAsia" w:ascii="宋体" w:hAnsi="宋体" w:cs="宋体"/>
          <w:color w:val="000000"/>
          <w:sz w:val="24"/>
          <w:szCs w:val="24"/>
        </w:rPr>
        <w:t>10.磋商响应文件未按照磋商文件规定的要求签署、盖章的；</w:t>
      </w:r>
    </w:p>
    <w:p>
      <w:pPr>
        <w:pageBreakBefore w:val="0"/>
        <w:kinsoku/>
        <w:wordWrap/>
        <w:overflowPunct/>
        <w:topLinePunct w:val="0"/>
        <w:autoSpaceDE/>
        <w:autoSpaceDN/>
        <w:bidi w:val="0"/>
        <w:snapToGrid w:val="0"/>
        <w:spacing w:line="360" w:lineRule="auto"/>
        <w:ind w:firstLine="456" w:firstLineChars="190"/>
        <w:jc w:val="left"/>
        <w:rPr>
          <w:rFonts w:ascii="宋体" w:hAnsi="宋体" w:cs="宋体"/>
          <w:color w:val="000000"/>
          <w:sz w:val="24"/>
          <w:szCs w:val="24"/>
        </w:rPr>
      </w:pPr>
      <w:r>
        <w:rPr>
          <w:rFonts w:hint="eastAsia" w:ascii="宋体" w:hAnsi="宋体" w:cs="宋体"/>
          <w:color w:val="000000"/>
          <w:sz w:val="24"/>
          <w:szCs w:val="24"/>
        </w:rPr>
        <w:t>11. 电子磋商响应文件解密失败的，且未在规定时间内提交备份磋商响应文件的；</w:t>
      </w:r>
    </w:p>
    <w:p>
      <w:pPr>
        <w:pageBreakBefore w:val="0"/>
        <w:kinsoku/>
        <w:wordWrap/>
        <w:overflowPunct/>
        <w:topLinePunct w:val="0"/>
        <w:autoSpaceDE/>
        <w:autoSpaceDN/>
        <w:bidi w:val="0"/>
        <w:snapToGrid w:val="0"/>
        <w:spacing w:line="360" w:lineRule="auto"/>
        <w:ind w:firstLine="480" w:firstLineChars="200"/>
        <w:jc w:val="left"/>
        <w:rPr>
          <w:rFonts w:ascii="宋体" w:hAnsi="宋体"/>
          <w:sz w:val="24"/>
          <w:szCs w:val="24"/>
        </w:rPr>
      </w:pPr>
      <w:r>
        <w:rPr>
          <w:rFonts w:hint="eastAsia" w:ascii="宋体" w:hAnsi="宋体"/>
          <w:color w:val="000000"/>
          <w:sz w:val="24"/>
          <w:szCs w:val="24"/>
        </w:rPr>
        <w:t>12.</w:t>
      </w:r>
      <w:r>
        <w:rPr>
          <w:rFonts w:hint="eastAsia" w:ascii="宋体" w:hAnsi="宋体"/>
          <w:sz w:val="24"/>
          <w:szCs w:val="24"/>
        </w:rPr>
        <w:t>不符合法律、法规和本磋商文件规定的其他实质性要求的。</w:t>
      </w:r>
    </w:p>
    <w:p>
      <w:pPr>
        <w:pStyle w:val="28"/>
        <w:pageBreakBefore w:val="0"/>
        <w:kinsoku/>
        <w:wordWrap/>
        <w:overflowPunct/>
        <w:topLinePunct w:val="0"/>
        <w:autoSpaceDE/>
        <w:autoSpaceDN/>
        <w:bidi w:val="0"/>
        <w:snapToGrid w:val="0"/>
        <w:spacing w:before="120" w:after="120" w:line="360" w:lineRule="auto"/>
        <w:ind w:firstLine="482" w:firstLineChars="200"/>
        <w:outlineLvl w:val="1"/>
        <w:rPr>
          <w:rFonts w:asciiTheme="minorEastAsia" w:hAnsiTheme="minorEastAsia" w:eastAsiaTheme="minorEastAsia"/>
          <w:b/>
        </w:rPr>
      </w:pPr>
      <w:bookmarkStart w:id="48" w:name="_Toc15134"/>
      <w:r>
        <w:rPr>
          <w:rFonts w:hint="eastAsia" w:asciiTheme="minorEastAsia" w:hAnsiTheme="minorEastAsia" w:eastAsiaTheme="minorEastAsia"/>
          <w:b/>
        </w:rPr>
        <w:t>三、组织竞争性磋商程序</w:t>
      </w:r>
      <w:bookmarkEnd w:id="46"/>
      <w:bookmarkEnd w:id="47"/>
      <w:bookmarkEnd w:id="48"/>
    </w:p>
    <w:p>
      <w:pPr>
        <w:pageBreakBefore w:val="0"/>
        <w:kinsoku/>
        <w:wordWrap/>
        <w:overflowPunct/>
        <w:topLinePunct w:val="0"/>
        <w:autoSpaceDE/>
        <w:autoSpaceDN/>
        <w:bidi w:val="0"/>
        <w:snapToGrid w:val="0"/>
        <w:spacing w:line="360" w:lineRule="auto"/>
        <w:ind w:firstLine="472" w:firstLineChars="196"/>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（一）组建磋商小组</w:t>
      </w:r>
    </w:p>
    <w:p>
      <w:pPr>
        <w:pageBreakBefore w:val="0"/>
        <w:kinsoku/>
        <w:wordWrap/>
        <w:overflowPunct/>
        <w:topLinePunct w:val="0"/>
        <w:autoSpaceDE/>
        <w:autoSpaceDN/>
        <w:bidi w:val="0"/>
        <w:snapToGrid w:val="0"/>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磋商小组成员由省财政厅采监处按《中华人民共和国政府采购法》相关要求，从政府采购评审专家库内相关专业的专家名单中随机抽取。</w:t>
      </w:r>
    </w:p>
    <w:p>
      <w:pPr>
        <w:pageBreakBefore w:val="0"/>
        <w:kinsoku/>
        <w:wordWrap/>
        <w:overflowPunct/>
        <w:topLinePunct w:val="0"/>
        <w:autoSpaceDE/>
        <w:autoSpaceDN/>
        <w:bidi w:val="0"/>
        <w:snapToGrid w:val="0"/>
        <w:spacing w:line="360" w:lineRule="auto"/>
        <w:ind w:firstLine="470" w:firstLineChars="196"/>
        <w:rPr>
          <w:rFonts w:cs="Arial" w:asciiTheme="minorEastAsia" w:hAnsiTheme="minorEastAsia" w:eastAsiaTheme="minorEastAsia"/>
          <w:color w:val="000000"/>
          <w:kern w:val="0"/>
          <w:sz w:val="24"/>
          <w:szCs w:val="24"/>
        </w:rPr>
      </w:pPr>
      <w:r>
        <w:rPr>
          <w:rFonts w:cs="Arial" w:asciiTheme="minorEastAsia" w:hAnsiTheme="minorEastAsia" w:eastAsiaTheme="minorEastAsia"/>
          <w:color w:val="000000"/>
          <w:kern w:val="0"/>
          <w:sz w:val="24"/>
          <w:szCs w:val="24"/>
        </w:rPr>
        <w:t>竞争性</w:t>
      </w:r>
      <w:r>
        <w:rPr>
          <w:rFonts w:hint="eastAsia" w:cs="Arial" w:asciiTheme="minorEastAsia" w:hAnsiTheme="minorEastAsia" w:eastAsiaTheme="minorEastAsia"/>
          <w:color w:val="000000"/>
          <w:kern w:val="0"/>
          <w:sz w:val="24"/>
          <w:szCs w:val="24"/>
        </w:rPr>
        <w:t>磋商</w:t>
      </w:r>
      <w:r>
        <w:rPr>
          <w:rFonts w:cs="Arial" w:asciiTheme="minorEastAsia" w:hAnsiTheme="minorEastAsia" w:eastAsiaTheme="minorEastAsia"/>
          <w:color w:val="000000"/>
          <w:kern w:val="0"/>
          <w:sz w:val="24"/>
          <w:szCs w:val="24"/>
        </w:rPr>
        <w:t>小组由采购人代表和评审专家共3人以上单数组成，其中评审专家人数不得少于竞争性</w:t>
      </w:r>
      <w:r>
        <w:rPr>
          <w:rFonts w:hint="eastAsia" w:cs="Arial" w:asciiTheme="minorEastAsia" w:hAnsiTheme="minorEastAsia" w:eastAsiaTheme="minorEastAsia"/>
          <w:color w:val="000000"/>
          <w:kern w:val="0"/>
          <w:sz w:val="24"/>
          <w:szCs w:val="24"/>
        </w:rPr>
        <w:t>磋商</w:t>
      </w:r>
      <w:r>
        <w:rPr>
          <w:rFonts w:cs="Arial" w:asciiTheme="minorEastAsia" w:hAnsiTheme="minorEastAsia" w:eastAsiaTheme="minorEastAsia"/>
          <w:color w:val="000000"/>
          <w:kern w:val="0"/>
          <w:sz w:val="24"/>
          <w:szCs w:val="24"/>
        </w:rPr>
        <w:t>小组成员总数的2/3。采购人不得以评审专家身份参加本部门或本单位采购项目的评审。</w:t>
      </w:r>
    </w:p>
    <w:p>
      <w:pPr>
        <w:pageBreakBefore w:val="0"/>
        <w:kinsoku/>
        <w:wordWrap/>
        <w:overflowPunct/>
        <w:topLinePunct w:val="0"/>
        <w:autoSpaceDE/>
        <w:autoSpaceDN/>
        <w:bidi w:val="0"/>
        <w:snapToGrid w:val="0"/>
        <w:spacing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达到公开招标数额标准的货物或者服务采购项目，或者达到招标规模标准的政府采购工程，磋商小组成员应当由5人（含）以上单数组成。</w:t>
      </w:r>
    </w:p>
    <w:p>
      <w:pPr>
        <w:pStyle w:val="28"/>
        <w:pageBreakBefore w:val="0"/>
        <w:kinsoku/>
        <w:wordWrap/>
        <w:overflowPunct/>
        <w:topLinePunct w:val="0"/>
        <w:autoSpaceDE/>
        <w:autoSpaceDN/>
        <w:bidi w:val="0"/>
        <w:snapToGrid w:val="0"/>
        <w:spacing w:beforeLines="0" w:afterLines="0" w:line="360" w:lineRule="auto"/>
        <w:ind w:firstLine="472" w:firstLineChars="196"/>
        <w:rPr>
          <w:rFonts w:asciiTheme="minorEastAsia" w:hAnsiTheme="minorEastAsia" w:eastAsiaTheme="minorEastAsia"/>
          <w:b/>
          <w:color w:val="000000"/>
        </w:rPr>
      </w:pPr>
      <w:r>
        <w:rPr>
          <w:rFonts w:hint="eastAsia" w:asciiTheme="minorEastAsia" w:hAnsiTheme="minorEastAsia" w:eastAsiaTheme="minorEastAsia"/>
          <w:b/>
          <w:color w:val="000000"/>
        </w:rPr>
        <w:t>（</w:t>
      </w:r>
      <w:r>
        <w:rPr>
          <w:rFonts w:hint="eastAsia" w:asciiTheme="minorEastAsia" w:hAnsiTheme="minorEastAsia" w:eastAsiaTheme="minorEastAsia"/>
          <w:b/>
        </w:rPr>
        <w:t>二）</w:t>
      </w:r>
      <w:r>
        <w:rPr>
          <w:rFonts w:hint="eastAsia" w:hAnsi="宋体"/>
          <w:b/>
        </w:rPr>
        <w:t>组织</w:t>
      </w:r>
      <w:r>
        <w:rPr>
          <w:rFonts w:hint="eastAsia" w:asciiTheme="minorEastAsia" w:hAnsiTheme="minorEastAsia" w:eastAsiaTheme="minorEastAsia"/>
          <w:b/>
        </w:rPr>
        <w:t>磋商程序</w:t>
      </w:r>
    </w:p>
    <w:p>
      <w:pPr>
        <w:pStyle w:val="28"/>
        <w:pageBreakBefore w:val="0"/>
        <w:kinsoku/>
        <w:wordWrap/>
        <w:overflowPunct/>
        <w:topLinePunct w:val="0"/>
        <w:autoSpaceDE/>
        <w:autoSpaceDN/>
        <w:bidi w:val="0"/>
        <w:snapToGrid w:val="0"/>
        <w:spacing w:before="120" w:after="120" w:line="360" w:lineRule="auto"/>
        <w:ind w:firstLine="482" w:firstLineChars="200"/>
        <w:rPr>
          <w:rFonts w:hAnsi="宋体" w:cs="宋体"/>
          <w:b/>
        </w:rPr>
      </w:pPr>
      <w:r>
        <w:rPr>
          <w:rFonts w:hint="eastAsia" w:hAnsi="宋体"/>
          <w:b/>
        </w:rPr>
        <w:t>1.磋商</w:t>
      </w:r>
      <w:r>
        <w:rPr>
          <w:rFonts w:hint="eastAsia" w:hAnsi="宋体" w:cs="宋体"/>
          <w:b/>
        </w:rPr>
        <w:t>形式</w:t>
      </w:r>
    </w:p>
    <w:p>
      <w:pPr>
        <w:pStyle w:val="28"/>
        <w:pageBreakBefore w:val="0"/>
        <w:kinsoku/>
        <w:wordWrap/>
        <w:overflowPunct/>
        <w:topLinePunct w:val="0"/>
        <w:autoSpaceDE/>
        <w:autoSpaceDN/>
        <w:bidi w:val="0"/>
        <w:snapToGrid w:val="0"/>
        <w:spacing w:before="120" w:after="120" w:line="360" w:lineRule="auto"/>
        <w:ind w:firstLine="480" w:firstLineChars="200"/>
        <w:rPr>
          <w:rFonts w:hAnsi="宋体" w:cs="宋体"/>
        </w:rPr>
      </w:pPr>
      <w:r>
        <w:rPr>
          <w:rFonts w:hint="eastAsia" w:hAnsi="宋体" w:cs="宋体"/>
        </w:rPr>
        <w:t>1.1 采购组织机构将按照磋商文件规定的时间通过“政府采购云平台”组织磋商、开启磋商响应文件，所有</w:t>
      </w:r>
      <w:r>
        <w:rPr>
          <w:rFonts w:hint="eastAsia" w:hAnsi="宋体" w:cs="宋体"/>
          <w:b/>
        </w:rPr>
        <w:t>磋商响应方</w:t>
      </w:r>
      <w:r>
        <w:rPr>
          <w:rFonts w:hint="eastAsia" w:hAnsi="宋体" w:cs="宋体"/>
        </w:rPr>
        <w:t>均应当准时在线参加。</w:t>
      </w:r>
    </w:p>
    <w:p>
      <w:pPr>
        <w:pStyle w:val="28"/>
        <w:pageBreakBefore w:val="0"/>
        <w:kinsoku/>
        <w:wordWrap/>
        <w:overflowPunct/>
        <w:topLinePunct w:val="0"/>
        <w:autoSpaceDE/>
        <w:autoSpaceDN/>
        <w:bidi w:val="0"/>
        <w:snapToGrid w:val="0"/>
        <w:spacing w:before="120" w:after="120" w:line="360" w:lineRule="auto"/>
        <w:ind w:firstLine="482" w:firstLineChars="200"/>
        <w:rPr>
          <w:rFonts w:hAnsi="宋体" w:cs="宋体"/>
          <w:b/>
        </w:rPr>
      </w:pPr>
      <w:r>
        <w:rPr>
          <w:rFonts w:hint="eastAsia" w:hAnsi="宋体" w:cs="宋体"/>
          <w:b/>
        </w:rPr>
        <w:t>2.</w:t>
      </w:r>
      <w:r>
        <w:rPr>
          <w:rFonts w:hint="eastAsia" w:hAnsi="宋体"/>
          <w:b/>
        </w:rPr>
        <w:t xml:space="preserve"> 磋商</w:t>
      </w:r>
      <w:r>
        <w:rPr>
          <w:rFonts w:hint="eastAsia" w:hAnsi="宋体" w:cs="宋体"/>
          <w:b/>
        </w:rPr>
        <w:t>准备</w:t>
      </w:r>
    </w:p>
    <w:p>
      <w:pPr>
        <w:pStyle w:val="28"/>
        <w:pageBreakBefore w:val="0"/>
        <w:kinsoku/>
        <w:wordWrap/>
        <w:overflowPunct/>
        <w:topLinePunct w:val="0"/>
        <w:autoSpaceDE/>
        <w:autoSpaceDN/>
        <w:bidi w:val="0"/>
        <w:snapToGrid w:val="0"/>
        <w:spacing w:before="120" w:after="120" w:line="360" w:lineRule="auto"/>
        <w:ind w:firstLine="480" w:firstLineChars="200"/>
        <w:rPr>
          <w:rFonts w:hAnsi="宋体" w:cs="宋体"/>
        </w:rPr>
      </w:pPr>
      <w:r>
        <w:rPr>
          <w:rFonts w:hint="eastAsia" w:hAnsi="宋体" w:cs="宋体"/>
        </w:rPr>
        <w:t>2.1磋商的准备工作由采购组织机构负责落实；</w:t>
      </w:r>
    </w:p>
    <w:p>
      <w:pPr>
        <w:pStyle w:val="28"/>
        <w:pageBreakBefore w:val="0"/>
        <w:kinsoku/>
        <w:wordWrap/>
        <w:overflowPunct/>
        <w:topLinePunct w:val="0"/>
        <w:autoSpaceDE/>
        <w:autoSpaceDN/>
        <w:bidi w:val="0"/>
        <w:snapToGrid w:val="0"/>
        <w:spacing w:before="120" w:after="120" w:line="360" w:lineRule="auto"/>
        <w:ind w:firstLine="480" w:firstLineChars="200"/>
        <w:rPr>
          <w:rFonts w:hAnsi="宋体" w:cs="宋体"/>
        </w:rPr>
      </w:pPr>
      <w:r>
        <w:rPr>
          <w:rFonts w:hint="eastAsia" w:hAnsi="宋体" w:cs="宋体"/>
        </w:rPr>
        <w:t>2.2采购组织机构将按照磋商文件规定的时间通过“政府采购云平台”组织磋商、开启磋商响应文件，所有</w:t>
      </w:r>
      <w:r>
        <w:rPr>
          <w:rFonts w:hint="eastAsia" w:hAnsi="宋体" w:cs="宋体"/>
          <w:b/>
        </w:rPr>
        <w:t>磋商响应方</w:t>
      </w:r>
      <w:r>
        <w:rPr>
          <w:rFonts w:hint="eastAsia" w:hAnsi="宋体" w:cs="宋体"/>
        </w:rPr>
        <w:t>均应当准时在线参加。磋商响应方如不参加磋商大会的，视同认可磋商结果，事后不得对采购相关人员、磋商过程和磋商结果提出异议，同时磋商响应方因未在线参加磋商而导致磋商响应文件无法按时解密等一切后果由</w:t>
      </w:r>
      <w:r>
        <w:rPr>
          <w:rFonts w:hint="eastAsia" w:hAnsi="宋体" w:cs="宋体"/>
          <w:b/>
        </w:rPr>
        <w:t>磋商响应方</w:t>
      </w:r>
      <w:r>
        <w:rPr>
          <w:rFonts w:hint="eastAsia" w:hAnsi="宋体" w:cs="宋体"/>
        </w:rPr>
        <w:t>自己承担。</w:t>
      </w:r>
    </w:p>
    <w:p>
      <w:pPr>
        <w:pStyle w:val="4"/>
        <w:pageBreakBefore w:val="0"/>
        <w:tabs>
          <w:tab w:val="left" w:pos="720"/>
        </w:tabs>
        <w:kinsoku/>
        <w:wordWrap/>
        <w:overflowPunct/>
        <w:topLinePunct w:val="0"/>
        <w:autoSpaceDE/>
        <w:autoSpaceDN/>
        <w:bidi w:val="0"/>
        <w:spacing w:before="0" w:after="0" w:line="360" w:lineRule="auto"/>
        <w:ind w:left="210" w:leftChars="100" w:firstLine="241" w:firstLineChars="100"/>
        <w:rPr>
          <w:rFonts w:ascii="宋体" w:hAnsi="宋体"/>
          <w:sz w:val="24"/>
          <w:szCs w:val="24"/>
        </w:rPr>
      </w:pPr>
      <w:r>
        <w:rPr>
          <w:rFonts w:hint="eastAsia" w:ascii="宋体" w:hAnsi="宋体"/>
          <w:sz w:val="24"/>
          <w:szCs w:val="24"/>
        </w:rPr>
        <w:t>3.</w:t>
      </w:r>
      <w:r>
        <w:rPr>
          <w:rFonts w:hint="eastAsia"/>
        </w:rPr>
        <w:t xml:space="preserve"> </w:t>
      </w:r>
      <w:r>
        <w:rPr>
          <w:rFonts w:hint="eastAsia" w:ascii="宋体" w:hAnsi="宋体"/>
          <w:sz w:val="24"/>
          <w:szCs w:val="24"/>
        </w:rPr>
        <w:t>磋商流程</w:t>
      </w:r>
    </w:p>
    <w:p>
      <w:pPr>
        <w:pageBreakBefore w:val="0"/>
        <w:kinsoku/>
        <w:wordWrap/>
        <w:overflowPunct/>
        <w:topLinePunct w:val="0"/>
        <w:autoSpaceDE/>
        <w:autoSpaceDN/>
        <w:bidi w:val="0"/>
        <w:spacing w:line="360" w:lineRule="auto"/>
        <w:ind w:firstLine="424" w:firstLineChars="177"/>
        <w:jc w:val="left"/>
        <w:rPr>
          <w:rFonts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1</w:t>
      </w:r>
      <w:r>
        <w:rPr>
          <w:rFonts w:hint="eastAsia" w:ascii="宋体" w:hAnsi="宋体" w:cs="Arial"/>
          <w:color w:val="000000"/>
          <w:kern w:val="0"/>
          <w:sz w:val="24"/>
        </w:rPr>
        <w:t>）向各磋商响应方发出电子加密磋商响应文件【开始解密】通知，由</w:t>
      </w:r>
      <w:r>
        <w:rPr>
          <w:rFonts w:hint="eastAsia" w:ascii="宋体" w:hAnsi="宋体" w:cs="Arial"/>
          <w:b/>
          <w:color w:val="000000"/>
          <w:kern w:val="0"/>
          <w:sz w:val="24"/>
        </w:rPr>
        <w:t>磋商响应方</w:t>
      </w:r>
      <w:r>
        <w:rPr>
          <w:rFonts w:hint="eastAsia" w:ascii="宋体" w:hAnsi="宋体" w:cs="Arial"/>
          <w:color w:val="000000"/>
          <w:kern w:val="0"/>
          <w:sz w:val="24"/>
        </w:rPr>
        <w:t>按磋商文件规定的时间内自行进行磋商响应文件解密。磋商响应方在规定的时间内无法完成已递交的“电子加密磋商响应文件”解密的，如已按规定递交了备份磋商响应文件的，将由采购组织机构按“政府采购云平台”操作规范将备份磋商响应文件上传至“政府采购云平台”，上传成功后，“电子加密磋商响应文件”自动失效；</w:t>
      </w:r>
    </w:p>
    <w:p>
      <w:pPr>
        <w:pageBreakBefore w:val="0"/>
        <w:kinsoku/>
        <w:wordWrap/>
        <w:overflowPunct/>
        <w:topLinePunct w:val="0"/>
        <w:autoSpaceDE/>
        <w:autoSpaceDN/>
        <w:bidi w:val="0"/>
        <w:spacing w:line="360" w:lineRule="auto"/>
        <w:ind w:firstLine="424" w:firstLineChars="177"/>
        <w:jc w:val="left"/>
        <w:rPr>
          <w:rFonts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2</w:t>
      </w:r>
      <w:r>
        <w:rPr>
          <w:rFonts w:hint="eastAsia" w:ascii="宋体" w:hAnsi="宋体" w:cs="Arial"/>
          <w:color w:val="000000"/>
          <w:kern w:val="0"/>
          <w:sz w:val="24"/>
        </w:rPr>
        <w:t>）磋商响应文件解密结束，通过邮件形式发送各磋商响应方组织签署《政府采购活动现场确认声明书》。</w:t>
      </w:r>
    </w:p>
    <w:p>
      <w:pPr>
        <w:pageBreakBefore w:val="0"/>
        <w:kinsoku/>
        <w:wordWrap/>
        <w:overflowPunct/>
        <w:topLinePunct w:val="0"/>
        <w:autoSpaceDE/>
        <w:autoSpaceDN/>
        <w:bidi w:val="0"/>
        <w:spacing w:line="360" w:lineRule="auto"/>
        <w:ind w:firstLine="424" w:firstLineChars="177"/>
        <w:jc w:val="left"/>
        <w:rPr>
          <w:rFonts w:ascii="宋体" w:hAnsi="宋体" w:cs="Arial"/>
          <w:color w:val="000000"/>
          <w:kern w:val="0"/>
          <w:sz w:val="24"/>
        </w:rPr>
      </w:pPr>
      <w:r>
        <w:rPr>
          <w:rFonts w:hint="eastAsia" w:ascii="宋体" w:hAnsi="宋体" w:cs="Arial"/>
          <w:color w:val="000000"/>
          <w:kern w:val="0"/>
          <w:sz w:val="24"/>
        </w:rPr>
        <w:t>（</w:t>
      </w:r>
      <w:r>
        <w:rPr>
          <w:rFonts w:ascii="宋体" w:hAnsi="宋体" w:cs="Arial"/>
          <w:color w:val="000000"/>
          <w:kern w:val="0"/>
          <w:sz w:val="24"/>
        </w:rPr>
        <w:t>3</w:t>
      </w:r>
      <w:r>
        <w:rPr>
          <w:rFonts w:hint="eastAsia" w:ascii="宋体" w:hAnsi="宋体" w:cs="Arial"/>
          <w:color w:val="000000"/>
          <w:kern w:val="0"/>
          <w:sz w:val="24"/>
        </w:rPr>
        <w:t>）代理机构开启磋商响应文件，进入资格审查，采购人或采购代理机构将对依法对磋商响应方的资格进行审查，资格审查结束后进入符合性审查和商务技术的评审工作。</w:t>
      </w:r>
    </w:p>
    <w:p>
      <w:pPr>
        <w:pageBreakBefore w:val="0"/>
        <w:kinsoku/>
        <w:wordWrap/>
        <w:overflowPunct/>
        <w:topLinePunct w:val="0"/>
        <w:autoSpaceDE/>
        <w:autoSpaceDN/>
        <w:bidi w:val="0"/>
        <w:spacing w:line="360" w:lineRule="auto"/>
        <w:ind w:firstLine="426" w:firstLineChars="177"/>
        <w:jc w:val="left"/>
        <w:rPr>
          <w:rFonts w:ascii="宋体" w:hAnsi="宋体" w:cs="Arial"/>
          <w:b/>
          <w:color w:val="000000"/>
          <w:kern w:val="0"/>
          <w:sz w:val="24"/>
        </w:rPr>
      </w:pPr>
      <w:r>
        <w:rPr>
          <w:rFonts w:hint="eastAsia" w:ascii="宋体" w:hAnsi="宋体" w:cs="Arial"/>
          <w:b/>
          <w:color w:val="000000"/>
          <w:kern w:val="0"/>
          <w:sz w:val="24"/>
        </w:rPr>
        <w:t>（</w:t>
      </w:r>
      <w:r>
        <w:rPr>
          <w:rFonts w:ascii="宋体" w:hAnsi="宋体" w:cs="Arial"/>
          <w:b/>
          <w:color w:val="000000"/>
          <w:kern w:val="0"/>
          <w:sz w:val="24"/>
        </w:rPr>
        <w:t>4</w:t>
      </w:r>
      <w:r>
        <w:rPr>
          <w:rFonts w:hint="eastAsia" w:ascii="宋体" w:hAnsi="宋体" w:cs="Arial"/>
          <w:b/>
          <w:color w:val="000000"/>
          <w:kern w:val="0"/>
          <w:sz w:val="24"/>
        </w:rPr>
        <w:t>）开启资格审查通过的磋商响应方的商务技术文件，进入符合性评审、商务技术评审，</w:t>
      </w:r>
      <w:r>
        <w:rPr>
          <w:rFonts w:hint="eastAsia" w:ascii="宋体" w:hAnsi="宋体" w:cs="Arial"/>
          <w:b/>
          <w:kern w:val="0"/>
          <w:sz w:val="24"/>
        </w:rPr>
        <w:t>通过发送邮件形式公布符合性审查、商务技术评审无效供应商名称及理由</w:t>
      </w:r>
      <w:r>
        <w:rPr>
          <w:rFonts w:ascii="宋体" w:hAnsi="宋体" w:cs="Arial"/>
          <w:b/>
          <w:kern w:val="0"/>
          <w:sz w:val="24"/>
        </w:rPr>
        <w:t>；</w:t>
      </w:r>
    </w:p>
    <w:p>
      <w:pPr>
        <w:pageBreakBefore w:val="0"/>
        <w:kinsoku/>
        <w:wordWrap/>
        <w:overflowPunct/>
        <w:topLinePunct w:val="0"/>
        <w:autoSpaceDE/>
        <w:autoSpaceDN/>
        <w:bidi w:val="0"/>
        <w:spacing w:line="360" w:lineRule="auto"/>
        <w:ind w:firstLine="426" w:firstLineChars="177"/>
        <w:jc w:val="left"/>
        <w:rPr>
          <w:rFonts w:ascii="宋体" w:hAnsi="宋体" w:cs="Arial"/>
          <w:b/>
          <w:color w:val="000000" w:themeColor="text1"/>
          <w:kern w:val="0"/>
          <w:sz w:val="24"/>
          <w14:textFill>
            <w14:solidFill>
              <w14:schemeClr w14:val="tx1"/>
            </w14:solidFill>
          </w14:textFill>
        </w:rPr>
      </w:pPr>
      <w:r>
        <w:rPr>
          <w:rFonts w:hint="eastAsia" w:ascii="宋体" w:hAnsi="宋体" w:cs="Arial"/>
          <w:b/>
          <w:color w:val="000000" w:themeColor="text1"/>
          <w:kern w:val="0"/>
          <w:sz w:val="24"/>
          <w14:textFill>
            <w14:solidFill>
              <w14:schemeClr w14:val="tx1"/>
            </w14:solidFill>
          </w14:textFill>
        </w:rPr>
        <w:t>（</w:t>
      </w:r>
      <w:r>
        <w:rPr>
          <w:rFonts w:ascii="宋体" w:hAnsi="宋体" w:cs="Arial"/>
          <w:b/>
          <w:color w:val="000000" w:themeColor="text1"/>
          <w:kern w:val="0"/>
          <w:sz w:val="24"/>
          <w14:textFill>
            <w14:solidFill>
              <w14:schemeClr w14:val="tx1"/>
            </w14:solidFill>
          </w14:textFill>
        </w:rPr>
        <w:t>5</w:t>
      </w:r>
      <w:r>
        <w:rPr>
          <w:rFonts w:hint="eastAsia" w:ascii="宋体" w:hAnsi="宋体" w:cs="Arial"/>
          <w:b/>
          <w:color w:val="000000" w:themeColor="text1"/>
          <w:kern w:val="0"/>
          <w:sz w:val="24"/>
          <w14:textFill>
            <w14:solidFill>
              <w14:schemeClr w14:val="tx1"/>
            </w14:solidFill>
          </w14:textFill>
        </w:rPr>
        <w:t>）开启磋商流程，磋商小组组长将组员磋商内容汇总后以书面形式（通过“政府采购云平台”在线询标（谈判））的形式要求</w:t>
      </w:r>
      <w:r>
        <w:rPr>
          <w:rFonts w:ascii="宋体" w:hAnsi="宋体" w:cs="Arial"/>
          <w:b/>
          <w:color w:val="000000" w:themeColor="text1"/>
          <w:kern w:val="0"/>
          <w:sz w:val="24"/>
          <w14:textFill>
            <w14:solidFill>
              <w14:schemeClr w14:val="tx1"/>
            </w14:solidFill>
          </w14:textFill>
        </w:rPr>
        <w:t>磋商响应方</w:t>
      </w:r>
      <w:r>
        <w:rPr>
          <w:rFonts w:hint="eastAsia" w:ascii="宋体" w:hAnsi="宋体" w:cs="Arial"/>
          <w:b/>
          <w:color w:val="000000" w:themeColor="text1"/>
          <w:kern w:val="0"/>
          <w:sz w:val="24"/>
          <w14:textFill>
            <w14:solidFill>
              <w14:schemeClr w14:val="tx1"/>
            </w14:solidFill>
          </w14:textFill>
        </w:rPr>
        <w:t>在规定的时间内作出必要的澄清、说明或者补正，磋商响应方澄清、</w:t>
      </w:r>
      <w:r>
        <w:rPr>
          <w:rFonts w:hint="eastAsia" w:ascii="宋体" w:hAnsi="宋体" w:cs="Arial"/>
          <w:b/>
          <w:color w:val="FF0000"/>
          <w:kern w:val="0"/>
          <w:sz w:val="24"/>
        </w:rPr>
        <w:t>说明或补正。</w:t>
      </w:r>
    </w:p>
    <w:p>
      <w:pPr>
        <w:pageBreakBefore w:val="0"/>
        <w:kinsoku/>
        <w:wordWrap/>
        <w:overflowPunct/>
        <w:topLinePunct w:val="0"/>
        <w:autoSpaceDE/>
        <w:autoSpaceDN/>
        <w:bidi w:val="0"/>
        <w:spacing w:line="360" w:lineRule="auto"/>
        <w:ind w:firstLine="424" w:firstLineChars="177"/>
        <w:jc w:val="left"/>
        <w:rPr>
          <w:rFonts w:ascii="宋体" w:hAnsi="宋体" w:cs="Arial"/>
          <w:kern w:val="0"/>
          <w:sz w:val="24"/>
        </w:rPr>
      </w:pPr>
      <w:r>
        <w:rPr>
          <w:rFonts w:hint="eastAsia" w:ascii="宋体" w:hAnsi="宋体" w:cs="Arial"/>
          <w:kern w:val="0"/>
          <w:sz w:val="24"/>
        </w:rPr>
        <w:t>（6）符合性审查、商务技术评审结束后，代理机构开启报价文件，对有效磋商响应方</w:t>
      </w:r>
      <w:r>
        <w:rPr>
          <w:rFonts w:ascii="宋体" w:hAnsi="宋体" w:cs="Arial"/>
          <w:kern w:val="0"/>
          <w:sz w:val="24"/>
        </w:rPr>
        <w:t>开启第二轮</w:t>
      </w:r>
      <w:r>
        <w:rPr>
          <w:rFonts w:hint="eastAsia" w:ascii="宋体" w:hAnsi="宋体" w:cs="Arial"/>
          <w:kern w:val="0"/>
          <w:sz w:val="24"/>
        </w:rPr>
        <w:t>报价，各磋商响应方需在规定的时限内报价。若在规定报价时限内，磋商响应方因CA锁等原因无法报价，磋商响应方可将线下材料</w:t>
      </w:r>
      <w:r>
        <w:rPr>
          <w:rFonts w:hint="eastAsia" w:ascii="宋体" w:hAnsi="宋体" w:cs="Arial"/>
          <w:kern w:val="0"/>
          <w:sz w:val="24"/>
          <w:lang w:val="en-US" w:eastAsia="zh-CN"/>
        </w:rPr>
        <w:t>发送到</w:t>
      </w:r>
      <w:r>
        <w:rPr>
          <w:rFonts w:hint="eastAsia" w:ascii="宋体" w:hAnsi="宋体" w:cs="Arial"/>
          <w:kern w:val="0"/>
          <w:sz w:val="24"/>
        </w:rPr>
        <w:t>采购代理机构</w:t>
      </w:r>
      <w:r>
        <w:rPr>
          <w:rFonts w:hint="eastAsia" w:ascii="宋体" w:hAnsi="宋体" w:cs="Arial"/>
          <w:kern w:val="0"/>
          <w:sz w:val="24"/>
          <w:lang w:val="en-US" w:eastAsia="zh-CN"/>
        </w:rPr>
        <w:t>邮箱</w:t>
      </w:r>
      <w:r>
        <w:rPr>
          <w:rFonts w:hint="eastAsia" w:ascii="宋体" w:hAnsi="宋体" w:cs="Arial"/>
          <w:kern w:val="0"/>
          <w:sz w:val="24"/>
        </w:rPr>
        <w:t>，由采购代理机构替磋商响应方录入报价金额。</w:t>
      </w:r>
    </w:p>
    <w:p>
      <w:pPr>
        <w:pageBreakBefore w:val="0"/>
        <w:kinsoku/>
        <w:wordWrap/>
        <w:overflowPunct/>
        <w:topLinePunct w:val="0"/>
        <w:autoSpaceDE/>
        <w:autoSpaceDN/>
        <w:bidi w:val="0"/>
        <w:spacing w:line="360" w:lineRule="auto"/>
        <w:ind w:firstLine="424" w:firstLineChars="177"/>
        <w:jc w:val="left"/>
        <w:rPr>
          <w:rFonts w:ascii="宋体" w:hAnsi="宋体" w:cs="Arial"/>
          <w:kern w:val="0"/>
          <w:sz w:val="24"/>
        </w:rPr>
      </w:pPr>
      <w:r>
        <w:rPr>
          <w:rFonts w:hint="eastAsia" w:ascii="宋体" w:hAnsi="宋体" w:cs="Arial"/>
          <w:kern w:val="0"/>
          <w:sz w:val="24"/>
        </w:rPr>
        <w:t>（7</w:t>
      </w:r>
      <w:r>
        <w:rPr>
          <w:rFonts w:hint="eastAsia" w:ascii="宋体" w:hAnsi="宋体" w:cs="Arial"/>
          <w:kern w:val="0"/>
          <w:sz w:val="24"/>
          <w:lang w:eastAsia="zh-CN"/>
        </w:rPr>
        <w:t>）</w:t>
      </w:r>
      <w:r>
        <w:rPr>
          <w:rFonts w:hint="eastAsia" w:ascii="宋体" w:hAnsi="宋体" w:eastAsia="宋体" w:cs="宋体"/>
          <w:kern w:val="0"/>
          <w:sz w:val="24"/>
          <w:szCs w:val="20"/>
          <w:lang w:val="en-US" w:eastAsia="zh-CN"/>
        </w:rPr>
        <w:t>代理机构</w:t>
      </w:r>
      <w:r>
        <w:rPr>
          <w:rFonts w:hint="eastAsia" w:ascii="宋体" w:hAnsi="宋体" w:cs="Arial"/>
          <w:kern w:val="0"/>
          <w:sz w:val="24"/>
          <w:lang w:val="en-US" w:eastAsia="zh-CN"/>
        </w:rPr>
        <w:t>开启第二轮报价文件</w:t>
      </w:r>
      <w:r>
        <w:rPr>
          <w:rFonts w:hint="eastAsia" w:ascii="宋体" w:hAnsi="宋体" w:cs="Arial"/>
          <w:kern w:val="0"/>
          <w:sz w:val="24"/>
        </w:rPr>
        <w:t>，</w:t>
      </w:r>
      <w:r>
        <w:rPr>
          <w:rFonts w:hint="eastAsia" w:ascii="宋体" w:hAnsi="宋体" w:cs="Arial"/>
          <w:kern w:val="0"/>
          <w:sz w:val="24"/>
          <w:lang w:val="en-US" w:eastAsia="zh-CN"/>
        </w:rPr>
        <w:t>报价文件开启后</w:t>
      </w:r>
      <w:r>
        <w:rPr>
          <w:rFonts w:hint="eastAsia" w:ascii="宋体" w:hAnsi="宋体" w:eastAsia="宋体" w:cs="宋体"/>
          <w:kern w:val="0"/>
          <w:sz w:val="24"/>
          <w:szCs w:val="20"/>
          <w:lang w:val="en-US" w:eastAsia="zh-CN"/>
        </w:rPr>
        <w:t>开启签字时段，</w:t>
      </w:r>
      <w:r>
        <w:rPr>
          <w:rFonts w:hint="eastAsia" w:ascii="宋体" w:hAnsi="宋体" w:cs="宋体"/>
          <w:kern w:val="0"/>
          <w:sz w:val="24"/>
          <w:szCs w:val="20"/>
          <w:lang w:val="en-US" w:eastAsia="zh-CN"/>
        </w:rPr>
        <w:t>磋商响应方</w:t>
      </w:r>
      <w:r>
        <w:rPr>
          <w:rFonts w:hint="eastAsia" w:ascii="宋体" w:hAnsi="宋体" w:eastAsia="宋体" w:cs="宋体"/>
          <w:kern w:val="0"/>
          <w:sz w:val="24"/>
          <w:szCs w:val="20"/>
          <w:lang w:val="en-US" w:eastAsia="zh-CN"/>
        </w:rPr>
        <w:t>需按时签字确认</w:t>
      </w:r>
      <w:r>
        <w:rPr>
          <w:rFonts w:hint="eastAsia" w:ascii="宋体" w:hAnsi="宋体" w:eastAsia="宋体" w:cs="宋体"/>
          <w:kern w:val="0"/>
          <w:sz w:val="24"/>
          <w:szCs w:val="20"/>
        </w:rPr>
        <w:t>（不予确认的应说明理由，否则视为无异议）</w:t>
      </w:r>
      <w:r>
        <w:rPr>
          <w:rFonts w:ascii="宋体" w:hAnsi="宋体" w:cs="Arial"/>
          <w:kern w:val="0"/>
          <w:sz w:val="24"/>
        </w:rPr>
        <w:t>。唱标结束后，由磋商小组委员会对报价的合理性、准确性等进行审查核实</w:t>
      </w:r>
      <w:r>
        <w:rPr>
          <w:rFonts w:hint="eastAsia" w:ascii="宋体" w:hAnsi="宋体" w:cs="Arial"/>
          <w:kern w:val="0"/>
          <w:sz w:val="24"/>
        </w:rPr>
        <w:t>。</w:t>
      </w:r>
    </w:p>
    <w:p>
      <w:pPr>
        <w:pStyle w:val="28"/>
        <w:pageBreakBefore w:val="0"/>
        <w:kinsoku/>
        <w:wordWrap/>
        <w:overflowPunct/>
        <w:topLinePunct w:val="0"/>
        <w:autoSpaceDE/>
        <w:autoSpaceDN/>
        <w:bidi w:val="0"/>
        <w:snapToGrid w:val="0"/>
        <w:spacing w:beforeLines="0" w:afterLines="0" w:line="360" w:lineRule="auto"/>
        <w:ind w:firstLine="480" w:firstLineChars="200"/>
        <w:rPr>
          <w:rFonts w:hAnsi="宋体" w:cs="宋体"/>
        </w:rPr>
      </w:pPr>
      <w:r>
        <w:rPr>
          <w:rFonts w:hint="eastAsia" w:hAnsi="宋体" w:cs="Arial"/>
          <w:kern w:val="0"/>
        </w:rPr>
        <w:t>（8）</w:t>
      </w:r>
      <w:r>
        <w:rPr>
          <w:rFonts w:hint="eastAsia" w:hAnsi="宋体" w:cs="宋体"/>
        </w:rPr>
        <w:t>在系统上公布评审结果。</w:t>
      </w:r>
    </w:p>
    <w:p>
      <w:pPr>
        <w:pageBreakBefore w:val="0"/>
        <w:kinsoku/>
        <w:wordWrap/>
        <w:overflowPunct/>
        <w:topLinePunct w:val="0"/>
        <w:autoSpaceDE/>
        <w:autoSpaceDN/>
        <w:bidi w:val="0"/>
        <w:spacing w:line="360" w:lineRule="auto"/>
        <w:ind w:firstLine="426" w:firstLineChars="177"/>
        <w:jc w:val="left"/>
        <w:rPr>
          <w:rFonts w:ascii="宋体" w:hAnsi="宋体" w:cs="Arial"/>
          <w:b/>
          <w:color w:val="000000"/>
          <w:kern w:val="0"/>
          <w:sz w:val="24"/>
        </w:rPr>
      </w:pPr>
      <w:r>
        <w:rPr>
          <w:rFonts w:hint="eastAsia" w:ascii="宋体" w:hAnsi="宋体" w:cs="Arial"/>
          <w:b/>
          <w:color w:val="000000"/>
          <w:kern w:val="0"/>
          <w:sz w:val="24"/>
        </w:rPr>
        <w:t>特别说明：如遇“政府采购云平台”电子化开标或评审程序调整的，按调整后程序执行。</w:t>
      </w:r>
    </w:p>
    <w:p>
      <w:pPr>
        <w:pageBreakBefore w:val="0"/>
        <w:kinsoku/>
        <w:wordWrap/>
        <w:overflowPunct/>
        <w:topLinePunct w:val="0"/>
        <w:autoSpaceDE/>
        <w:autoSpaceDN/>
        <w:bidi w:val="0"/>
        <w:snapToGrid w:val="0"/>
        <w:spacing w:line="360" w:lineRule="auto"/>
        <w:ind w:firstLine="482"/>
        <w:jc w:val="left"/>
        <w:outlineLvl w:val="2"/>
        <w:rPr>
          <w:rFonts w:ascii="宋体" w:hAnsi="宋体"/>
          <w:b/>
          <w:sz w:val="24"/>
        </w:rPr>
      </w:pPr>
      <w:r>
        <w:rPr>
          <w:rFonts w:hint="eastAsia" w:ascii="宋体" w:hAnsi="宋体"/>
          <w:b/>
          <w:sz w:val="24"/>
        </w:rPr>
        <w:t>（三）情况说明</w:t>
      </w:r>
    </w:p>
    <w:p>
      <w:pPr>
        <w:pStyle w:val="28"/>
        <w:pageBreakBefore w:val="0"/>
        <w:kinsoku/>
        <w:wordWrap/>
        <w:overflowPunct/>
        <w:topLinePunct w:val="0"/>
        <w:autoSpaceDE/>
        <w:autoSpaceDN/>
        <w:bidi w:val="0"/>
        <w:snapToGrid w:val="0"/>
        <w:spacing w:before="120" w:after="120" w:line="360" w:lineRule="auto"/>
        <w:ind w:firstLine="480" w:firstLineChars="200"/>
        <w:rPr>
          <w:rFonts w:hAnsi="宋体" w:cs="宋体"/>
        </w:rPr>
      </w:pPr>
      <w:r>
        <w:rPr>
          <w:rFonts w:hint="eastAsia" w:hAnsi="宋体" w:cs="宋体"/>
        </w:rPr>
        <w:t>1.本项目原则上采用政采云电子招投标开标及评审程序，但有下情形之一的，按以下情况处理：</w:t>
      </w:r>
    </w:p>
    <w:p>
      <w:pPr>
        <w:pStyle w:val="28"/>
        <w:pageBreakBefore w:val="0"/>
        <w:kinsoku/>
        <w:wordWrap/>
        <w:overflowPunct/>
        <w:topLinePunct w:val="0"/>
        <w:autoSpaceDE/>
        <w:autoSpaceDN/>
        <w:bidi w:val="0"/>
        <w:snapToGrid w:val="0"/>
        <w:spacing w:before="120" w:after="120" w:line="360" w:lineRule="auto"/>
        <w:ind w:firstLine="480" w:firstLineChars="200"/>
        <w:rPr>
          <w:rFonts w:hAnsi="宋体" w:cs="宋体"/>
        </w:rPr>
      </w:pPr>
      <w:r>
        <w:rPr>
          <w:rFonts w:hint="eastAsia" w:hAnsi="宋体" w:cs="宋体"/>
        </w:rPr>
        <w:t>（1）若磋商响应方在规定时间内无法解密或解密失败，</w:t>
      </w:r>
      <w:r>
        <w:rPr>
          <w:rFonts w:hint="eastAsia" w:hAnsi="宋体" w:cs="Arial"/>
          <w:color w:val="000000"/>
          <w:kern w:val="0"/>
        </w:rPr>
        <w:t>磋商响应方在规定的时间内无法完成已递交的“电子加密磋商响应文件”解密的，如已按规定递交了备份磋商响应文件的，</w:t>
      </w:r>
      <w:r>
        <w:rPr>
          <w:rFonts w:hint="eastAsia" w:hAnsi="宋体" w:cs="宋体"/>
        </w:rPr>
        <w:t>绍兴平准招标代理有限公司将开启所有磋商响应方递交的以介质存储的数据电文形式的备份磋商响应文件，上传至政采云平台项目采购模块，以完成磋商，电子磋商响应文件自动失效。</w:t>
      </w:r>
    </w:p>
    <w:p>
      <w:pPr>
        <w:pStyle w:val="28"/>
        <w:pageBreakBefore w:val="0"/>
        <w:kinsoku/>
        <w:wordWrap/>
        <w:overflowPunct/>
        <w:topLinePunct w:val="0"/>
        <w:autoSpaceDE/>
        <w:autoSpaceDN/>
        <w:bidi w:val="0"/>
        <w:snapToGrid w:val="0"/>
        <w:spacing w:before="120" w:after="120" w:line="360" w:lineRule="auto"/>
        <w:ind w:firstLine="480" w:firstLineChars="200"/>
        <w:rPr>
          <w:rFonts w:hAnsi="宋体" w:cs="宋体"/>
        </w:rPr>
      </w:pPr>
      <w:r>
        <w:rPr>
          <w:rFonts w:hint="eastAsia" w:hAnsi="宋体" w:cs="宋体"/>
        </w:rPr>
        <w:t>（2）采购过程中出现以下情形，导致电子交易平台无法正常运行，或者无法保证电子交易的公平、公正和安全时，采购组织机构可中止电子交易活动：</w:t>
      </w:r>
    </w:p>
    <w:p>
      <w:pPr>
        <w:pStyle w:val="28"/>
        <w:pageBreakBefore w:val="0"/>
        <w:kinsoku/>
        <w:wordWrap/>
        <w:overflowPunct/>
        <w:topLinePunct w:val="0"/>
        <w:autoSpaceDE/>
        <w:autoSpaceDN/>
        <w:bidi w:val="0"/>
        <w:snapToGrid w:val="0"/>
        <w:spacing w:before="120" w:after="120" w:line="360" w:lineRule="auto"/>
        <w:ind w:firstLine="480" w:firstLineChars="200"/>
        <w:rPr>
          <w:rFonts w:hAnsi="宋体" w:cs="宋体"/>
        </w:rPr>
      </w:pPr>
      <w:r>
        <w:rPr>
          <w:rFonts w:hint="eastAsia" w:hAnsi="宋体" w:cs="宋体"/>
        </w:rPr>
        <w:t xml:space="preserve">1）电子交易平台发生故障而无法登录访问的； </w:t>
      </w:r>
    </w:p>
    <w:p>
      <w:pPr>
        <w:pStyle w:val="28"/>
        <w:pageBreakBefore w:val="0"/>
        <w:kinsoku/>
        <w:wordWrap/>
        <w:overflowPunct/>
        <w:topLinePunct w:val="0"/>
        <w:autoSpaceDE/>
        <w:autoSpaceDN/>
        <w:bidi w:val="0"/>
        <w:snapToGrid w:val="0"/>
        <w:spacing w:before="120" w:after="120" w:line="360" w:lineRule="auto"/>
        <w:ind w:firstLine="480" w:firstLineChars="200"/>
        <w:rPr>
          <w:rFonts w:hAnsi="宋体" w:cs="宋体"/>
        </w:rPr>
      </w:pPr>
      <w:r>
        <w:rPr>
          <w:rFonts w:hint="eastAsia" w:hAnsi="宋体" w:cs="宋体"/>
        </w:rPr>
        <w:t>2）电子交易平台应用或数据库出现错误，不能进行正常操作的；</w:t>
      </w:r>
    </w:p>
    <w:p>
      <w:pPr>
        <w:pStyle w:val="28"/>
        <w:pageBreakBefore w:val="0"/>
        <w:kinsoku/>
        <w:wordWrap/>
        <w:overflowPunct/>
        <w:topLinePunct w:val="0"/>
        <w:autoSpaceDE/>
        <w:autoSpaceDN/>
        <w:bidi w:val="0"/>
        <w:snapToGrid w:val="0"/>
        <w:spacing w:before="120" w:after="120" w:line="360" w:lineRule="auto"/>
        <w:ind w:firstLine="480" w:firstLineChars="200"/>
        <w:rPr>
          <w:rFonts w:hAnsi="宋体" w:cs="宋体"/>
        </w:rPr>
      </w:pPr>
      <w:r>
        <w:rPr>
          <w:rFonts w:hint="eastAsia" w:hAnsi="宋体" w:cs="宋体"/>
        </w:rPr>
        <w:t>3）电子交易平台发现严重安全漏洞，有潜在泄密危险的；</w:t>
      </w:r>
    </w:p>
    <w:p>
      <w:pPr>
        <w:pStyle w:val="28"/>
        <w:pageBreakBefore w:val="0"/>
        <w:kinsoku/>
        <w:wordWrap/>
        <w:overflowPunct/>
        <w:topLinePunct w:val="0"/>
        <w:autoSpaceDE/>
        <w:autoSpaceDN/>
        <w:bidi w:val="0"/>
        <w:snapToGrid w:val="0"/>
        <w:spacing w:before="120" w:after="120" w:line="360" w:lineRule="auto"/>
        <w:ind w:firstLine="480" w:firstLineChars="200"/>
        <w:rPr>
          <w:rFonts w:hAnsi="宋体" w:cs="宋体"/>
        </w:rPr>
      </w:pPr>
      <w:r>
        <w:rPr>
          <w:rFonts w:hint="eastAsia" w:hAnsi="宋体" w:cs="宋体"/>
        </w:rPr>
        <w:t xml:space="preserve">4）病毒发作导致不能进行正常操作的； </w:t>
      </w:r>
    </w:p>
    <w:p>
      <w:pPr>
        <w:pStyle w:val="28"/>
        <w:pageBreakBefore w:val="0"/>
        <w:kinsoku/>
        <w:wordWrap/>
        <w:overflowPunct/>
        <w:topLinePunct w:val="0"/>
        <w:autoSpaceDE/>
        <w:autoSpaceDN/>
        <w:bidi w:val="0"/>
        <w:snapToGrid w:val="0"/>
        <w:spacing w:before="120" w:after="120" w:line="360" w:lineRule="auto"/>
        <w:ind w:firstLine="480" w:firstLineChars="200"/>
        <w:rPr>
          <w:rFonts w:hAnsi="宋体" w:cs="宋体"/>
        </w:rPr>
      </w:pPr>
      <w:r>
        <w:rPr>
          <w:rFonts w:hint="eastAsia" w:hAnsi="宋体" w:cs="宋体"/>
        </w:rPr>
        <w:t>5）其他无法保证电子交易的公平、公正和安全的情况。</w:t>
      </w:r>
    </w:p>
    <w:p>
      <w:pPr>
        <w:pStyle w:val="28"/>
        <w:pageBreakBefore w:val="0"/>
        <w:kinsoku/>
        <w:wordWrap/>
        <w:overflowPunct/>
        <w:topLinePunct w:val="0"/>
        <w:autoSpaceDE/>
        <w:autoSpaceDN/>
        <w:bidi w:val="0"/>
        <w:snapToGrid w:val="0"/>
        <w:spacing w:before="120" w:after="120" w:line="360" w:lineRule="auto"/>
        <w:ind w:firstLine="480" w:firstLineChars="200"/>
        <w:rPr>
          <w:rFonts w:asciiTheme="minorEastAsia" w:hAnsiTheme="minorEastAsia" w:eastAsiaTheme="minorEastAsia"/>
          <w:bCs/>
        </w:rPr>
      </w:pPr>
      <w:r>
        <w:rPr>
          <w:rFonts w:hint="eastAsia" w:hAnsi="宋体" w:cs="宋体"/>
        </w:rPr>
        <w:t>出现前款规定情形，不影响采购公平、公正性的，采购组织机构可以待上述情形消除后继续组织电子交易活动，也可以决定某些环节以纸质形式进行。</w:t>
      </w:r>
    </w:p>
    <w:p>
      <w:pPr>
        <w:pStyle w:val="28"/>
        <w:pageBreakBefore w:val="0"/>
        <w:kinsoku/>
        <w:wordWrap/>
        <w:overflowPunct/>
        <w:topLinePunct w:val="0"/>
        <w:autoSpaceDE/>
        <w:autoSpaceDN/>
        <w:bidi w:val="0"/>
        <w:snapToGrid w:val="0"/>
        <w:spacing w:beforeLines="0" w:afterLines="0" w:line="360" w:lineRule="auto"/>
        <w:ind w:firstLine="482" w:firstLineChars="200"/>
        <w:rPr>
          <w:rFonts w:asciiTheme="minorEastAsia" w:hAnsiTheme="minorEastAsia" w:eastAsiaTheme="minorEastAsia"/>
          <w:b/>
          <w:color w:val="000000"/>
        </w:rPr>
      </w:pPr>
      <w:r>
        <w:rPr>
          <w:rFonts w:hint="eastAsia" w:asciiTheme="minorEastAsia" w:hAnsiTheme="minorEastAsia" w:eastAsiaTheme="minorEastAsia"/>
          <w:b/>
          <w:color w:val="000000"/>
        </w:rPr>
        <w:t>（四）磋商原则</w:t>
      </w:r>
    </w:p>
    <w:p>
      <w:pPr>
        <w:pStyle w:val="28"/>
        <w:pageBreakBefore w:val="0"/>
        <w:kinsoku/>
        <w:wordWrap/>
        <w:overflowPunct/>
        <w:topLinePunct w:val="0"/>
        <w:autoSpaceDE/>
        <w:autoSpaceDN/>
        <w:bidi w:val="0"/>
        <w:snapToGrid w:val="0"/>
        <w:spacing w:before="120" w:after="120" w:line="360" w:lineRule="auto"/>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1.磋商小组必须公平、公正、客观，不带任何倾向性和启发性；不得向外界透露任何与磋商有关的内容；任何单位和个人不得干扰、影响磋商的正常进行；磋商小组及有关工作人员不得私下与磋商响应方接触。</w:t>
      </w:r>
    </w:p>
    <w:p>
      <w:pPr>
        <w:pStyle w:val="28"/>
        <w:pageBreakBefore w:val="0"/>
        <w:kinsoku/>
        <w:wordWrap/>
        <w:overflowPunct/>
        <w:topLinePunct w:val="0"/>
        <w:autoSpaceDE/>
        <w:autoSpaceDN/>
        <w:bidi w:val="0"/>
        <w:snapToGrid w:val="0"/>
        <w:spacing w:beforeLines="0" w:afterLines="0" w:line="360" w:lineRule="auto"/>
        <w:ind w:firstLine="470" w:firstLineChars="196"/>
        <w:rPr>
          <w:rFonts w:asciiTheme="minorEastAsia" w:hAnsiTheme="minorEastAsia" w:eastAsiaTheme="minorEastAsia"/>
          <w:bCs/>
          <w:color w:val="000000"/>
        </w:rPr>
      </w:pPr>
      <w:r>
        <w:rPr>
          <w:rFonts w:hint="eastAsia" w:asciiTheme="minorEastAsia" w:hAnsiTheme="minorEastAsia" w:eastAsiaTheme="minorEastAsia"/>
          <w:bCs/>
          <w:color w:val="000000"/>
        </w:rPr>
        <w:t>2.</w:t>
      </w:r>
      <w:r>
        <w:rPr>
          <w:rFonts w:asciiTheme="minorEastAsia" w:hAnsiTheme="minorEastAsia" w:eastAsiaTheme="minorEastAsia"/>
          <w:bCs/>
          <w:color w:val="000000"/>
        </w:rPr>
        <w:t>磋商</w:t>
      </w:r>
      <w:r>
        <w:rPr>
          <w:rFonts w:hint="eastAsia" w:asciiTheme="minorEastAsia" w:hAnsiTheme="minorEastAsia" w:eastAsiaTheme="minorEastAsia"/>
          <w:bCs/>
          <w:color w:val="000000"/>
        </w:rPr>
        <w:t>小组专家</w:t>
      </w:r>
      <w:r>
        <w:rPr>
          <w:rFonts w:asciiTheme="minorEastAsia" w:hAnsiTheme="minorEastAsia" w:eastAsiaTheme="minorEastAsia"/>
          <w:bCs/>
          <w:color w:val="000000"/>
        </w:rPr>
        <w:t>因回避、临时缺席或健康原因等特殊情况不能继续参加磋商工作的，应按规定更换磋商专家,被更换的磋商</w:t>
      </w:r>
      <w:r>
        <w:rPr>
          <w:rFonts w:hint="eastAsia" w:asciiTheme="minorEastAsia" w:hAnsiTheme="minorEastAsia" w:eastAsiaTheme="minorEastAsia"/>
          <w:bCs/>
          <w:color w:val="000000"/>
        </w:rPr>
        <w:t>专家</w:t>
      </w:r>
      <w:r>
        <w:rPr>
          <w:rFonts w:asciiTheme="minorEastAsia" w:hAnsiTheme="minorEastAsia" w:eastAsiaTheme="minorEastAsia"/>
          <w:bCs/>
          <w:color w:val="000000"/>
        </w:rPr>
        <w:t>之前所作出的</w:t>
      </w:r>
      <w:r>
        <w:rPr>
          <w:rFonts w:hint="eastAsia" w:asciiTheme="minorEastAsia" w:hAnsiTheme="minorEastAsia" w:eastAsiaTheme="minorEastAsia"/>
          <w:bCs/>
          <w:color w:val="000000"/>
        </w:rPr>
        <w:t>磋商</w:t>
      </w:r>
      <w:r>
        <w:rPr>
          <w:rFonts w:asciiTheme="minorEastAsia" w:hAnsiTheme="minorEastAsia" w:eastAsiaTheme="minorEastAsia"/>
          <w:bCs/>
          <w:color w:val="000000"/>
        </w:rPr>
        <w:t>意见不再予以采纳，由更换后的磋商</w:t>
      </w:r>
      <w:r>
        <w:rPr>
          <w:rFonts w:hint="eastAsia" w:asciiTheme="minorEastAsia" w:hAnsiTheme="minorEastAsia" w:eastAsiaTheme="minorEastAsia"/>
          <w:bCs/>
          <w:color w:val="000000"/>
        </w:rPr>
        <w:t>小组专家</w:t>
      </w:r>
      <w:r>
        <w:rPr>
          <w:rFonts w:asciiTheme="minorEastAsia" w:hAnsiTheme="minorEastAsia" w:eastAsiaTheme="minorEastAsia"/>
          <w:bCs/>
          <w:color w:val="000000"/>
        </w:rPr>
        <w:t>重新进行磋商。无法及时更换专家的，要立即停止磋商工作、封存磋商资料，并告知磋商响应方重新磋商的时间和地点。</w:t>
      </w:r>
    </w:p>
    <w:p>
      <w:pPr>
        <w:pStyle w:val="28"/>
        <w:pageBreakBefore w:val="0"/>
        <w:kinsoku/>
        <w:wordWrap/>
        <w:overflowPunct/>
        <w:topLinePunct w:val="0"/>
        <w:autoSpaceDE/>
        <w:autoSpaceDN/>
        <w:bidi w:val="0"/>
        <w:snapToGrid w:val="0"/>
        <w:spacing w:before="120" w:after="120" w:line="360" w:lineRule="auto"/>
        <w:ind w:firstLine="480" w:firstLineChars="200"/>
        <w:rPr>
          <w:rFonts w:asciiTheme="minorEastAsia" w:hAnsiTheme="minorEastAsia" w:eastAsiaTheme="minorEastAsia"/>
          <w:bCs/>
          <w:color w:val="000000"/>
        </w:rPr>
      </w:pPr>
      <w:r>
        <w:rPr>
          <w:rFonts w:hint="eastAsia" w:asciiTheme="minorEastAsia" w:hAnsiTheme="minorEastAsia" w:eastAsiaTheme="minorEastAsia"/>
          <w:bCs/>
          <w:color w:val="000000"/>
        </w:rPr>
        <w:t>3.</w:t>
      </w:r>
      <w:r>
        <w:rPr>
          <w:rFonts w:asciiTheme="minorEastAsia" w:hAnsiTheme="minorEastAsia" w:eastAsiaTheme="minorEastAsia"/>
          <w:bCs/>
          <w:color w:val="000000"/>
        </w:rPr>
        <w:t>磋商</w:t>
      </w:r>
      <w:r>
        <w:rPr>
          <w:rFonts w:hint="eastAsia" w:asciiTheme="minorEastAsia" w:hAnsiTheme="minorEastAsia" w:eastAsiaTheme="minorEastAsia"/>
          <w:bCs/>
          <w:color w:val="000000"/>
        </w:rPr>
        <w:t>小组专家</w:t>
      </w:r>
      <w:r>
        <w:rPr>
          <w:rFonts w:asciiTheme="minorEastAsia" w:hAnsiTheme="minorEastAsia" w:eastAsiaTheme="minorEastAsia"/>
          <w:bCs/>
          <w:color w:val="000000"/>
        </w:rPr>
        <w:t>对有关</w:t>
      </w:r>
      <w:r>
        <w:rPr>
          <w:rFonts w:hint="eastAsia" w:asciiTheme="minorEastAsia" w:hAnsiTheme="minorEastAsia" w:eastAsiaTheme="minorEastAsia"/>
          <w:bCs/>
          <w:color w:val="000000"/>
        </w:rPr>
        <w:t>磋商</w:t>
      </w:r>
      <w:r>
        <w:rPr>
          <w:rFonts w:asciiTheme="minorEastAsia" w:hAnsiTheme="minorEastAsia" w:eastAsiaTheme="minorEastAsia"/>
          <w:bCs/>
          <w:color w:val="000000"/>
        </w:rPr>
        <w:t>文件、</w:t>
      </w:r>
      <w:r>
        <w:rPr>
          <w:rFonts w:hint="eastAsia" w:asciiTheme="minorEastAsia" w:hAnsiTheme="minorEastAsia" w:eastAsiaTheme="minorEastAsia"/>
          <w:bCs/>
          <w:color w:val="000000"/>
        </w:rPr>
        <w:t>磋商响应</w:t>
      </w:r>
      <w:r>
        <w:rPr>
          <w:rFonts w:asciiTheme="minorEastAsia" w:hAnsiTheme="minorEastAsia" w:eastAsiaTheme="minorEastAsia"/>
          <w:bCs/>
          <w:color w:val="000000"/>
        </w:rPr>
        <w:t>文件、样品、现场演示（如有）的说明、解释、要求、标准存在不同意见的，持不同意见的</w:t>
      </w:r>
      <w:r>
        <w:rPr>
          <w:rFonts w:hint="eastAsia" w:asciiTheme="minorEastAsia" w:hAnsiTheme="minorEastAsia" w:eastAsiaTheme="minorEastAsia"/>
          <w:bCs/>
          <w:color w:val="000000"/>
        </w:rPr>
        <w:t>磋商专家</w:t>
      </w:r>
      <w:r>
        <w:rPr>
          <w:rFonts w:asciiTheme="minorEastAsia" w:hAnsiTheme="minorEastAsia" w:eastAsiaTheme="minorEastAsia"/>
          <w:bCs/>
          <w:color w:val="000000"/>
        </w:rPr>
        <w:t>及其意见或理由应予以完整记录，并在</w:t>
      </w:r>
      <w:r>
        <w:rPr>
          <w:rFonts w:hint="eastAsia" w:asciiTheme="minorEastAsia" w:hAnsiTheme="minorEastAsia" w:eastAsiaTheme="minorEastAsia"/>
          <w:bCs/>
          <w:color w:val="000000"/>
        </w:rPr>
        <w:t>磋商</w:t>
      </w:r>
      <w:r>
        <w:rPr>
          <w:rFonts w:asciiTheme="minorEastAsia" w:hAnsiTheme="minorEastAsia" w:eastAsiaTheme="minorEastAsia"/>
          <w:bCs/>
          <w:color w:val="000000"/>
        </w:rPr>
        <w:t>过程中按照少数服从多数的原则表决执行。对</w:t>
      </w:r>
      <w:r>
        <w:rPr>
          <w:rFonts w:hint="eastAsia" w:asciiTheme="minorEastAsia" w:hAnsiTheme="minorEastAsia" w:eastAsiaTheme="minorEastAsia"/>
          <w:bCs/>
          <w:color w:val="000000"/>
        </w:rPr>
        <w:t>磋商</w:t>
      </w:r>
      <w:r>
        <w:rPr>
          <w:rFonts w:asciiTheme="minorEastAsia" w:hAnsiTheme="minorEastAsia" w:eastAsiaTheme="minorEastAsia"/>
          <w:bCs/>
          <w:color w:val="000000"/>
        </w:rPr>
        <w:t>文件本身不明确或存在歧义、矛盾的内容，应作对磋商响应方而非采购人有利的解释。</w:t>
      </w:r>
      <w:r>
        <w:rPr>
          <w:rFonts w:hint="eastAsia" w:asciiTheme="minorEastAsia" w:hAnsiTheme="minorEastAsia" w:eastAsiaTheme="minorEastAsia"/>
          <w:bCs/>
          <w:color w:val="000000"/>
        </w:rPr>
        <w:t>磋商专家</w:t>
      </w:r>
      <w:r>
        <w:rPr>
          <w:rFonts w:asciiTheme="minorEastAsia" w:hAnsiTheme="minorEastAsia" w:eastAsiaTheme="minorEastAsia"/>
          <w:bCs/>
          <w:color w:val="000000"/>
        </w:rPr>
        <w:t>拒绝在</w:t>
      </w:r>
      <w:r>
        <w:rPr>
          <w:rFonts w:hint="eastAsia" w:asciiTheme="minorEastAsia" w:hAnsiTheme="minorEastAsia" w:eastAsiaTheme="minorEastAsia"/>
          <w:bCs/>
          <w:color w:val="000000"/>
        </w:rPr>
        <w:t>磋商</w:t>
      </w:r>
      <w:r>
        <w:rPr>
          <w:rFonts w:asciiTheme="minorEastAsia" w:hAnsiTheme="minorEastAsia" w:eastAsiaTheme="minorEastAsia"/>
          <w:bCs/>
          <w:color w:val="000000"/>
        </w:rPr>
        <w:t>报告中签字又不说明其不同意见或理由的，由现场监督员记录在案后，可视为同意</w:t>
      </w:r>
      <w:r>
        <w:rPr>
          <w:rFonts w:hint="eastAsia" w:asciiTheme="minorEastAsia" w:hAnsiTheme="minorEastAsia" w:eastAsiaTheme="minorEastAsia"/>
          <w:bCs/>
          <w:color w:val="000000"/>
        </w:rPr>
        <w:t>磋商</w:t>
      </w:r>
      <w:r>
        <w:rPr>
          <w:rFonts w:asciiTheme="minorEastAsia" w:hAnsiTheme="minorEastAsia" w:eastAsiaTheme="minorEastAsia"/>
          <w:bCs/>
          <w:color w:val="000000"/>
        </w:rPr>
        <w:t>结果。</w:t>
      </w:r>
    </w:p>
    <w:p>
      <w:pPr>
        <w:pStyle w:val="28"/>
        <w:pageBreakBefore w:val="0"/>
        <w:kinsoku/>
        <w:wordWrap/>
        <w:overflowPunct/>
        <w:topLinePunct w:val="0"/>
        <w:autoSpaceDE/>
        <w:autoSpaceDN/>
        <w:bidi w:val="0"/>
        <w:snapToGrid w:val="0"/>
        <w:spacing w:before="120" w:after="120" w:line="360" w:lineRule="auto"/>
        <w:ind w:firstLine="480" w:firstLineChars="200"/>
        <w:rPr>
          <w:rFonts w:asciiTheme="minorEastAsia" w:hAnsiTheme="minorEastAsia" w:eastAsiaTheme="minorEastAsia"/>
          <w:b/>
          <w:color w:val="000000"/>
        </w:rPr>
      </w:pPr>
      <w:r>
        <w:rPr>
          <w:rFonts w:hint="eastAsia" w:asciiTheme="minorEastAsia" w:hAnsiTheme="minorEastAsia" w:eastAsiaTheme="minorEastAsia"/>
          <w:color w:val="000000"/>
        </w:rPr>
        <w:t>4.</w:t>
      </w:r>
      <w:r>
        <w:rPr>
          <w:rFonts w:hint="eastAsia" w:cs="Arial" w:asciiTheme="minorEastAsia" w:hAnsiTheme="minorEastAsia" w:eastAsiaTheme="minorEastAsia"/>
          <w:bCs/>
          <w:color w:val="000000"/>
        </w:rPr>
        <w:t>浙财采监【2013】24号《关于规范政府采购供应商资格设定及资格审查的通知》第九条规定：</w:t>
      </w:r>
      <w:r>
        <w:rPr>
          <w:rFonts w:hint="eastAsia" w:asciiTheme="minorEastAsia" w:hAnsiTheme="minorEastAsia" w:eastAsiaTheme="minorEastAsia"/>
          <w:color w:val="000000"/>
        </w:rPr>
        <w:t>如多家供应商提供相同品牌相同型号的产品参加同一政府采购项目竞争的，应当按一家供应商认定。磋商时，应取其中通过资格审查后的报价最低一家为有效供应商；报价相同时，由磋商小组集体决定。</w:t>
      </w:r>
    </w:p>
    <w:p>
      <w:pPr>
        <w:pStyle w:val="28"/>
        <w:pageBreakBefore w:val="0"/>
        <w:kinsoku/>
        <w:wordWrap/>
        <w:overflowPunct/>
        <w:topLinePunct w:val="0"/>
        <w:autoSpaceDE/>
        <w:autoSpaceDN/>
        <w:bidi w:val="0"/>
        <w:snapToGrid w:val="0"/>
        <w:spacing w:before="120" w:after="120" w:line="360" w:lineRule="auto"/>
        <w:ind w:firstLine="480" w:firstLineChars="200"/>
        <w:rPr>
          <w:rFonts w:asciiTheme="minorEastAsia" w:hAnsiTheme="minorEastAsia" w:eastAsiaTheme="minorEastAsia"/>
          <w:color w:val="000000"/>
        </w:rPr>
      </w:pPr>
      <w:r>
        <w:rPr>
          <w:rFonts w:hint="eastAsia" w:asciiTheme="minorEastAsia" w:hAnsiTheme="minorEastAsia" w:eastAsiaTheme="minorEastAsia"/>
          <w:color w:val="000000"/>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pPr>
        <w:pStyle w:val="28"/>
        <w:pageBreakBefore w:val="0"/>
        <w:kinsoku/>
        <w:wordWrap/>
        <w:overflowPunct/>
        <w:topLinePunct w:val="0"/>
        <w:autoSpaceDE/>
        <w:autoSpaceDN/>
        <w:bidi w:val="0"/>
        <w:snapToGrid w:val="0"/>
        <w:spacing w:before="120" w:after="120" w:line="360" w:lineRule="auto"/>
        <w:ind w:firstLine="600" w:firstLineChars="249"/>
        <w:outlineLvl w:val="1"/>
        <w:rPr>
          <w:rFonts w:hAnsi="宋体"/>
          <w:b/>
          <w:color w:val="000000"/>
        </w:rPr>
      </w:pPr>
      <w:bookmarkStart w:id="49" w:name="_Toc510614925"/>
      <w:bookmarkStart w:id="50" w:name="_Toc520986889"/>
      <w:bookmarkStart w:id="51" w:name="_Toc504504573"/>
      <w:bookmarkStart w:id="52" w:name="_Toc24562"/>
      <w:r>
        <w:rPr>
          <w:rFonts w:hint="eastAsia" w:hAnsi="宋体"/>
          <w:b/>
          <w:color w:val="000000"/>
        </w:rPr>
        <w:t>四、</w:t>
      </w:r>
      <w:bookmarkEnd w:id="49"/>
      <w:bookmarkEnd w:id="50"/>
      <w:bookmarkEnd w:id="51"/>
      <w:r>
        <w:rPr>
          <w:rFonts w:hint="eastAsia" w:hAnsi="宋体"/>
          <w:b/>
          <w:color w:val="000000"/>
        </w:rPr>
        <w:t>磋商小组程序</w:t>
      </w:r>
      <w:bookmarkEnd w:id="52"/>
    </w:p>
    <w:p>
      <w:pPr>
        <w:pageBreakBefore w:val="0"/>
        <w:kinsoku/>
        <w:wordWrap/>
        <w:overflowPunct/>
        <w:topLinePunct w:val="0"/>
        <w:autoSpaceDE/>
        <w:autoSpaceDN/>
        <w:bidi w:val="0"/>
        <w:snapToGrid w:val="0"/>
        <w:spacing w:line="360" w:lineRule="auto"/>
        <w:ind w:firstLine="482"/>
        <w:jc w:val="left"/>
        <w:outlineLvl w:val="2"/>
        <w:rPr>
          <w:rFonts w:ascii="宋体" w:hAnsi="宋体"/>
          <w:b/>
          <w:sz w:val="24"/>
        </w:rPr>
      </w:pPr>
      <w:r>
        <w:rPr>
          <w:rFonts w:hint="eastAsia" w:ascii="宋体" w:hAnsi="宋体"/>
          <w:b/>
          <w:sz w:val="24"/>
        </w:rPr>
        <w:t>（一）组建磋商小组委员会</w:t>
      </w:r>
    </w:p>
    <w:p>
      <w:pPr>
        <w:pageBreakBefore w:val="0"/>
        <w:kinsoku/>
        <w:wordWrap/>
        <w:overflowPunct/>
        <w:topLinePunct w:val="0"/>
        <w:autoSpaceDE/>
        <w:autoSpaceDN/>
        <w:bidi w:val="0"/>
        <w:snapToGrid w:val="0"/>
        <w:spacing w:line="360" w:lineRule="auto"/>
        <w:ind w:firstLine="480"/>
        <w:rPr>
          <w:rFonts w:ascii="宋体" w:hAnsi="宋体"/>
          <w:sz w:val="24"/>
        </w:rPr>
      </w:pPr>
      <w:r>
        <w:rPr>
          <w:rFonts w:hint="eastAsia" w:ascii="宋体" w:hAnsi="宋体" w:cs="Arial"/>
          <w:kern w:val="0"/>
          <w:sz w:val="24"/>
        </w:rPr>
        <w:t>磋商小组委员会由招标采购单位依法组建，负责评标活动。磋商小组委员会遵循公开、公平、公正、科学合理、竞争择优的原则。</w:t>
      </w:r>
    </w:p>
    <w:p>
      <w:pPr>
        <w:pageBreakBefore w:val="0"/>
        <w:kinsoku/>
        <w:wordWrap/>
        <w:overflowPunct/>
        <w:topLinePunct w:val="0"/>
        <w:autoSpaceDE/>
        <w:autoSpaceDN/>
        <w:bidi w:val="0"/>
        <w:snapToGrid w:val="0"/>
        <w:spacing w:line="360" w:lineRule="auto"/>
        <w:ind w:firstLine="482"/>
        <w:jc w:val="left"/>
        <w:outlineLvl w:val="2"/>
        <w:rPr>
          <w:rFonts w:ascii="宋体" w:hAnsi="宋体"/>
          <w:b/>
          <w:sz w:val="24"/>
        </w:rPr>
      </w:pPr>
      <w:r>
        <w:rPr>
          <w:rFonts w:hint="eastAsia" w:ascii="宋体" w:hAnsi="宋体"/>
          <w:b/>
          <w:sz w:val="24"/>
        </w:rPr>
        <w:t>（二）评标的方式</w:t>
      </w:r>
    </w:p>
    <w:p>
      <w:pPr>
        <w:pageBreakBefore w:val="0"/>
        <w:kinsoku/>
        <w:wordWrap/>
        <w:overflowPunct/>
        <w:topLinePunct w:val="0"/>
        <w:autoSpaceDE/>
        <w:autoSpaceDN/>
        <w:bidi w:val="0"/>
        <w:snapToGrid w:val="0"/>
        <w:spacing w:line="360" w:lineRule="auto"/>
        <w:ind w:left="719" w:leftChars="228" w:hanging="240" w:hangingChars="100"/>
        <w:rPr>
          <w:rFonts w:ascii="宋体" w:hAnsi="宋体"/>
          <w:color w:val="000000"/>
          <w:sz w:val="24"/>
        </w:rPr>
      </w:pPr>
      <w:r>
        <w:rPr>
          <w:rFonts w:hint="eastAsia" w:ascii="宋体" w:hAnsi="宋体"/>
          <w:color w:val="000000"/>
          <w:sz w:val="24"/>
        </w:rPr>
        <w:t>本项目采用不公开方式评标，评标的依据为磋商文件和磋商响应文件。</w:t>
      </w:r>
    </w:p>
    <w:p>
      <w:pPr>
        <w:pageBreakBefore w:val="0"/>
        <w:kinsoku/>
        <w:wordWrap/>
        <w:overflowPunct/>
        <w:topLinePunct w:val="0"/>
        <w:autoSpaceDE/>
        <w:autoSpaceDN/>
        <w:bidi w:val="0"/>
        <w:snapToGrid w:val="0"/>
        <w:spacing w:line="360" w:lineRule="auto"/>
        <w:ind w:firstLine="482"/>
        <w:jc w:val="left"/>
        <w:outlineLvl w:val="2"/>
        <w:rPr>
          <w:rFonts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组织磋商程序</w:t>
      </w:r>
    </w:p>
    <w:p>
      <w:pPr>
        <w:pageBreakBefore w:val="0"/>
        <w:kinsoku/>
        <w:wordWrap/>
        <w:overflowPunct/>
        <w:topLinePunct w:val="0"/>
        <w:autoSpaceDE/>
        <w:autoSpaceDN/>
        <w:bidi w:val="0"/>
        <w:snapToGrid w:val="0"/>
        <w:spacing w:line="360" w:lineRule="auto"/>
        <w:ind w:firstLine="480"/>
        <w:jc w:val="left"/>
        <w:outlineLvl w:val="2"/>
        <w:rPr>
          <w:rFonts w:ascii="宋体" w:hAnsi="宋体"/>
          <w:bCs/>
          <w:sz w:val="24"/>
        </w:rPr>
      </w:pPr>
      <w:r>
        <w:rPr>
          <w:rFonts w:hint="eastAsia" w:ascii="宋体" w:hAnsi="宋体"/>
          <w:bCs/>
          <w:sz w:val="24"/>
        </w:rPr>
        <w:t>招标方将按照磋商文件规定的时间、地点和程序组织评标，各评审专家及相关人员应参加评审活动并接受核验、签到，无关人员不得进入评审现场。</w:t>
      </w:r>
    </w:p>
    <w:p>
      <w:pPr>
        <w:pageBreakBefore w:val="0"/>
        <w:kinsoku/>
        <w:wordWrap/>
        <w:overflowPunct/>
        <w:topLinePunct w:val="0"/>
        <w:autoSpaceDE/>
        <w:autoSpaceDN/>
        <w:bidi w:val="0"/>
        <w:snapToGrid w:val="0"/>
        <w:spacing w:line="360" w:lineRule="auto"/>
        <w:ind w:firstLine="480"/>
        <w:jc w:val="left"/>
        <w:outlineLvl w:val="2"/>
        <w:rPr>
          <w:rFonts w:ascii="宋体" w:hAnsi="宋体"/>
          <w:bCs/>
          <w:sz w:val="24"/>
        </w:rPr>
      </w:pPr>
      <w:r>
        <w:rPr>
          <w:rFonts w:hint="eastAsia" w:ascii="宋体" w:hAnsi="宋体"/>
          <w:bCs/>
          <w:sz w:val="24"/>
        </w:rPr>
        <w:t>1.按规定统一收缴、保存评标现场相关人员通讯工具。</w:t>
      </w:r>
    </w:p>
    <w:p>
      <w:pPr>
        <w:pageBreakBefore w:val="0"/>
        <w:kinsoku/>
        <w:wordWrap/>
        <w:overflowPunct/>
        <w:topLinePunct w:val="0"/>
        <w:autoSpaceDE/>
        <w:autoSpaceDN/>
        <w:bidi w:val="0"/>
        <w:snapToGrid w:val="0"/>
        <w:spacing w:line="360" w:lineRule="auto"/>
        <w:ind w:firstLine="480"/>
        <w:jc w:val="left"/>
        <w:outlineLvl w:val="2"/>
        <w:rPr>
          <w:rFonts w:ascii="宋体" w:hAnsi="宋体"/>
          <w:bCs/>
          <w:sz w:val="24"/>
        </w:rPr>
      </w:pPr>
      <w:r>
        <w:rPr>
          <w:rFonts w:hint="eastAsia" w:ascii="宋体" w:hAnsi="宋体"/>
          <w:bCs/>
          <w:sz w:val="24"/>
        </w:rPr>
        <w:t>2.介绍评审现场的人员情况，宣布评审工作纪律，告知评审人员应当回避情形；组织推选磋商小组委员会组长。</w:t>
      </w:r>
    </w:p>
    <w:p>
      <w:pPr>
        <w:pageBreakBefore w:val="0"/>
        <w:kinsoku/>
        <w:wordWrap/>
        <w:overflowPunct/>
        <w:topLinePunct w:val="0"/>
        <w:autoSpaceDE/>
        <w:autoSpaceDN/>
        <w:bidi w:val="0"/>
        <w:snapToGrid w:val="0"/>
        <w:spacing w:line="360" w:lineRule="auto"/>
        <w:ind w:firstLine="480"/>
        <w:jc w:val="left"/>
        <w:outlineLvl w:val="2"/>
        <w:rPr>
          <w:rFonts w:ascii="宋体" w:hAnsi="宋体"/>
          <w:bCs/>
          <w:sz w:val="24"/>
        </w:rPr>
      </w:pPr>
      <w:r>
        <w:rPr>
          <w:rFonts w:hint="eastAsia" w:ascii="宋体" w:hAnsi="宋体"/>
          <w:bCs/>
          <w:sz w:val="24"/>
        </w:rPr>
        <w:t>3.宣读提交磋商响应文件的</w:t>
      </w:r>
      <w:r>
        <w:rPr>
          <w:rFonts w:hint="eastAsia" w:ascii="宋体" w:hAnsi="宋体" w:cs="宋体"/>
          <w:color w:val="000000"/>
          <w:sz w:val="24"/>
        </w:rPr>
        <w:t>磋商响应方</w:t>
      </w:r>
      <w:r>
        <w:rPr>
          <w:rFonts w:hint="eastAsia" w:ascii="宋体" w:hAnsi="宋体"/>
          <w:bCs/>
          <w:sz w:val="24"/>
        </w:rPr>
        <w:t>名单，组织磋商小组委员会各位成员签订《政府采购评审人员廉洁自律承诺书》。</w:t>
      </w:r>
    </w:p>
    <w:p>
      <w:pPr>
        <w:pageBreakBefore w:val="0"/>
        <w:kinsoku/>
        <w:wordWrap/>
        <w:overflowPunct/>
        <w:topLinePunct w:val="0"/>
        <w:autoSpaceDE/>
        <w:autoSpaceDN/>
        <w:bidi w:val="0"/>
        <w:snapToGrid w:val="0"/>
        <w:spacing w:line="360" w:lineRule="auto"/>
        <w:ind w:firstLine="480"/>
        <w:jc w:val="left"/>
        <w:outlineLvl w:val="2"/>
        <w:rPr>
          <w:rFonts w:ascii="宋体" w:hAnsi="宋体"/>
          <w:bCs/>
          <w:sz w:val="24"/>
        </w:rPr>
      </w:pPr>
      <w:r>
        <w:rPr>
          <w:rFonts w:hint="eastAsia" w:ascii="宋体" w:hAnsi="宋体"/>
          <w:bCs/>
          <w:sz w:val="24"/>
        </w:rPr>
        <w:t>4.采购人可以在评标前说明项目背景和采购需求，说明内容不得含有歧视性、倾向性意见，不得超出磋商文件所述范围。说明应当提交书面材料，并随采购文件一并存档。</w:t>
      </w:r>
    </w:p>
    <w:p>
      <w:pPr>
        <w:pageBreakBefore w:val="0"/>
        <w:kinsoku/>
        <w:wordWrap/>
        <w:overflowPunct/>
        <w:topLinePunct w:val="0"/>
        <w:autoSpaceDE/>
        <w:autoSpaceDN/>
        <w:bidi w:val="0"/>
        <w:snapToGrid w:val="0"/>
        <w:spacing w:line="360" w:lineRule="auto"/>
        <w:ind w:firstLine="480"/>
        <w:jc w:val="left"/>
        <w:outlineLvl w:val="2"/>
        <w:rPr>
          <w:rFonts w:ascii="宋体" w:hAnsi="宋体"/>
          <w:bCs/>
          <w:sz w:val="24"/>
        </w:rPr>
      </w:pPr>
      <w:r>
        <w:rPr>
          <w:rFonts w:hint="eastAsia" w:ascii="宋体" w:hAnsi="宋体"/>
          <w:bCs/>
          <w:sz w:val="24"/>
        </w:rPr>
        <w:t>5.根据需要简要介绍磋商文件（含补充文件）制定及质疑答复情况、按书面陈述项目基本情况及评审工作需注意事项等，让评审专家尽快知悉和了解所评审项目的采购需求、评审依据、评审标准、工作程序等；提醒磋商小组委员会对客观评审项目应统一评审依据和评审标准，对主观评审项目应确定大致的评审要求和评审尺度；对评审人员提出的有关磋商文件、磋商响应文件的问题进行必要的说明、解释或讨论。</w:t>
      </w:r>
    </w:p>
    <w:p>
      <w:pPr>
        <w:pageBreakBefore w:val="0"/>
        <w:kinsoku/>
        <w:wordWrap/>
        <w:overflowPunct/>
        <w:topLinePunct w:val="0"/>
        <w:autoSpaceDE/>
        <w:autoSpaceDN/>
        <w:bidi w:val="0"/>
        <w:snapToGrid w:val="0"/>
        <w:spacing w:line="360" w:lineRule="auto"/>
        <w:ind w:firstLine="480"/>
        <w:jc w:val="left"/>
        <w:outlineLvl w:val="2"/>
        <w:rPr>
          <w:rFonts w:ascii="宋体" w:hAnsi="宋体"/>
          <w:bCs/>
          <w:sz w:val="24"/>
        </w:rPr>
      </w:pPr>
      <w:r>
        <w:rPr>
          <w:rFonts w:hint="eastAsia" w:ascii="宋体" w:hAnsi="宋体"/>
          <w:bCs/>
          <w:sz w:val="24"/>
        </w:rPr>
        <w:t>6.采购人代表或由采购人委托的磋商小组委员会对磋商响应方资格文件进行审查并</w:t>
      </w:r>
      <w:r>
        <w:rPr>
          <w:rFonts w:hint="eastAsia" w:ascii="宋体" w:hAnsi="宋体"/>
          <w:sz w:val="24"/>
        </w:rPr>
        <w:t>以磋商当日为准</w:t>
      </w:r>
      <w:r>
        <w:rPr>
          <w:rFonts w:hint="eastAsia" w:ascii="宋体" w:hAnsi="宋体"/>
          <w:bCs/>
          <w:sz w:val="24"/>
        </w:rPr>
        <w:t>对磋商响应方“信用中国”网站（www.creditchina.gov.cn）、中国政府采购网（www.ccgp.gov.cn）信用记录情况进行核实，资格不符合的，应组织相关磋商响应方代表进行陈述、澄清或申辩。</w:t>
      </w:r>
    </w:p>
    <w:p>
      <w:pPr>
        <w:pageBreakBefore w:val="0"/>
        <w:kinsoku/>
        <w:wordWrap/>
        <w:overflowPunct/>
        <w:topLinePunct w:val="0"/>
        <w:autoSpaceDE/>
        <w:autoSpaceDN/>
        <w:bidi w:val="0"/>
        <w:snapToGrid w:val="0"/>
        <w:spacing w:line="360" w:lineRule="auto"/>
        <w:ind w:firstLine="480"/>
        <w:jc w:val="left"/>
        <w:outlineLvl w:val="2"/>
        <w:rPr>
          <w:rFonts w:ascii="宋体" w:hAnsi="宋体"/>
          <w:bCs/>
          <w:sz w:val="24"/>
        </w:rPr>
      </w:pPr>
      <w:r>
        <w:rPr>
          <w:rFonts w:hint="eastAsia" w:ascii="宋体" w:hAnsi="宋体"/>
          <w:bCs/>
          <w:sz w:val="24"/>
        </w:rPr>
        <w:t>7.磋商小组委员会组长组织评审人员独立评审。磋商小组委员会对拟认定为磋商响应文件无效，应组织相关磋商响应方代表进行陈述、澄清或申辩；招标方可协助磋商小组委员会组长对打分结果进行校对、核对并汇总统计；评审人员的评审、修改记录应保留原件，随项目其他资料一并存档。</w:t>
      </w:r>
    </w:p>
    <w:p>
      <w:pPr>
        <w:pageBreakBefore w:val="0"/>
        <w:kinsoku/>
        <w:wordWrap/>
        <w:overflowPunct/>
        <w:topLinePunct w:val="0"/>
        <w:autoSpaceDE/>
        <w:autoSpaceDN/>
        <w:bidi w:val="0"/>
        <w:snapToGrid w:val="0"/>
        <w:spacing w:line="360" w:lineRule="auto"/>
        <w:ind w:firstLine="480"/>
        <w:jc w:val="left"/>
        <w:outlineLvl w:val="2"/>
        <w:rPr>
          <w:rFonts w:ascii="宋体" w:hAnsi="宋体"/>
          <w:bCs/>
          <w:sz w:val="24"/>
        </w:rPr>
      </w:pPr>
      <w:r>
        <w:rPr>
          <w:rFonts w:hint="eastAsia" w:ascii="宋体" w:hAnsi="宋体"/>
          <w:bCs/>
          <w:sz w:val="24"/>
        </w:rPr>
        <w:t>8.做好评审现场相关记录，协助磋商小组委员会组长做好评审报告起草、有关内容电脑文字录入等工作，并要求磋商小组委员会各成员签字确认。</w:t>
      </w:r>
    </w:p>
    <w:p>
      <w:pPr>
        <w:pageBreakBefore w:val="0"/>
        <w:kinsoku/>
        <w:wordWrap/>
        <w:overflowPunct/>
        <w:topLinePunct w:val="0"/>
        <w:autoSpaceDE/>
        <w:autoSpaceDN/>
        <w:bidi w:val="0"/>
        <w:snapToGrid w:val="0"/>
        <w:spacing w:line="360" w:lineRule="auto"/>
        <w:ind w:firstLine="480"/>
        <w:jc w:val="left"/>
        <w:outlineLvl w:val="2"/>
        <w:rPr>
          <w:rFonts w:ascii="宋体" w:hAnsi="宋体"/>
          <w:bCs/>
          <w:sz w:val="24"/>
        </w:rPr>
      </w:pPr>
      <w:r>
        <w:rPr>
          <w:rFonts w:hint="eastAsia" w:ascii="宋体" w:hAnsi="宋体"/>
          <w:bCs/>
          <w:sz w:val="24"/>
        </w:rPr>
        <w:t>9.评审结束后，招标方应对磋商小组委员会各成员的专业水平、职业道德、遵纪守法等情况进行评价；同时按规定向评审专家发放评审费，并交还评审人员及其他现场相关人员的通讯工具。</w:t>
      </w:r>
    </w:p>
    <w:p>
      <w:pPr>
        <w:pageBreakBefore w:val="0"/>
        <w:kinsoku/>
        <w:wordWrap/>
        <w:overflowPunct/>
        <w:topLinePunct w:val="0"/>
        <w:autoSpaceDE/>
        <w:autoSpaceDN/>
        <w:bidi w:val="0"/>
        <w:snapToGrid w:val="0"/>
        <w:spacing w:line="360" w:lineRule="auto"/>
        <w:ind w:firstLine="482"/>
        <w:jc w:val="left"/>
        <w:outlineLvl w:val="2"/>
        <w:rPr>
          <w:rFonts w:ascii="宋体" w:hAnsi="宋体"/>
          <w:b/>
          <w:sz w:val="24"/>
        </w:rPr>
      </w:pPr>
      <w:r>
        <w:rPr>
          <w:rFonts w:hint="eastAsia" w:ascii="宋体" w:hAnsi="宋体"/>
          <w:b/>
          <w:sz w:val="24"/>
        </w:rPr>
        <w:t>（四）磋商小组磋商程序</w:t>
      </w:r>
    </w:p>
    <w:p>
      <w:pPr>
        <w:pageBreakBefore w:val="0"/>
        <w:kinsoku/>
        <w:wordWrap/>
        <w:overflowPunct/>
        <w:topLinePunct w:val="0"/>
        <w:autoSpaceDE/>
        <w:autoSpaceDN/>
        <w:bidi w:val="0"/>
        <w:snapToGrid w:val="0"/>
        <w:spacing w:line="360" w:lineRule="auto"/>
        <w:ind w:firstLine="480"/>
        <w:jc w:val="left"/>
        <w:outlineLvl w:val="2"/>
        <w:rPr>
          <w:rFonts w:ascii="宋体" w:hAnsi="宋体"/>
          <w:bCs/>
          <w:sz w:val="24"/>
        </w:rPr>
      </w:pPr>
      <w:r>
        <w:rPr>
          <w:rFonts w:hint="eastAsia" w:ascii="宋体" w:hAnsi="宋体"/>
          <w:bCs/>
          <w:sz w:val="24"/>
        </w:rPr>
        <w:t>1.在评审专家中推选磋商小组委员会组长。</w:t>
      </w:r>
    </w:p>
    <w:p>
      <w:pPr>
        <w:pageBreakBefore w:val="0"/>
        <w:kinsoku/>
        <w:wordWrap/>
        <w:overflowPunct/>
        <w:topLinePunct w:val="0"/>
        <w:autoSpaceDE/>
        <w:autoSpaceDN/>
        <w:bidi w:val="0"/>
        <w:snapToGrid w:val="0"/>
        <w:spacing w:line="360" w:lineRule="auto"/>
        <w:ind w:firstLine="480"/>
        <w:jc w:val="left"/>
        <w:outlineLvl w:val="2"/>
        <w:rPr>
          <w:rFonts w:ascii="宋体" w:hAnsi="宋体"/>
          <w:bCs/>
          <w:sz w:val="24"/>
        </w:rPr>
      </w:pPr>
      <w:r>
        <w:rPr>
          <w:rFonts w:hint="eastAsia" w:ascii="宋体" w:hAnsi="宋体"/>
          <w:bCs/>
          <w:sz w:val="24"/>
        </w:rPr>
        <w:t>2.磋商小组委员会组长召集成员认真阅读磋商文件以及相关补充、质疑、答复文件、项目书面说明等材料，熟悉采购项目的基本概况，采购项目的质量要求、数量、主要技术标准或服务需求，采购合同主要条款，磋商响应文件无效情形，评审方法、评审依据、评审标准等。</w:t>
      </w:r>
    </w:p>
    <w:p>
      <w:pPr>
        <w:pageBreakBefore w:val="0"/>
        <w:kinsoku/>
        <w:wordWrap/>
        <w:overflowPunct/>
        <w:topLinePunct w:val="0"/>
        <w:autoSpaceDE/>
        <w:autoSpaceDN/>
        <w:bidi w:val="0"/>
        <w:snapToGrid w:val="0"/>
        <w:spacing w:line="360" w:lineRule="auto"/>
        <w:ind w:firstLine="480"/>
        <w:jc w:val="left"/>
        <w:outlineLvl w:val="2"/>
        <w:rPr>
          <w:rFonts w:ascii="宋体" w:hAnsi="宋体"/>
          <w:bCs/>
          <w:sz w:val="24"/>
        </w:rPr>
      </w:pPr>
      <w:r>
        <w:rPr>
          <w:rFonts w:hint="eastAsia" w:ascii="宋体" w:hAnsi="宋体"/>
          <w:bCs/>
          <w:sz w:val="24"/>
        </w:rPr>
        <w:t>3.评审人员对各磋商响应方磋商响应文件的有效性、符合性、完整性和响应程度进行审查，确定是否对磋商文件作出实质性响应。</w:t>
      </w:r>
    </w:p>
    <w:p>
      <w:pPr>
        <w:pageBreakBefore w:val="0"/>
        <w:kinsoku/>
        <w:wordWrap/>
        <w:overflowPunct/>
        <w:topLinePunct w:val="0"/>
        <w:autoSpaceDE/>
        <w:autoSpaceDN/>
        <w:bidi w:val="0"/>
        <w:snapToGrid w:val="0"/>
        <w:spacing w:line="360" w:lineRule="auto"/>
        <w:ind w:firstLine="480"/>
        <w:jc w:val="left"/>
        <w:outlineLvl w:val="2"/>
        <w:rPr>
          <w:rFonts w:ascii="宋体" w:hAnsi="宋体"/>
          <w:bCs/>
          <w:sz w:val="24"/>
        </w:rPr>
      </w:pPr>
      <w:r>
        <w:rPr>
          <w:rFonts w:hint="eastAsia" w:ascii="宋体" w:hAnsi="宋体"/>
          <w:bCs/>
          <w:sz w:val="24"/>
        </w:rPr>
        <w:t>4.评审人员按磋商文件规定的评审方法和评审标准，依法独立对磋商响应方磋商响应文件进行评估、比较，并给予评价或打分，不受任何单位和个人的干预。</w:t>
      </w:r>
    </w:p>
    <w:p>
      <w:pPr>
        <w:pageBreakBefore w:val="0"/>
        <w:kinsoku/>
        <w:wordWrap/>
        <w:overflowPunct/>
        <w:topLinePunct w:val="0"/>
        <w:autoSpaceDE/>
        <w:autoSpaceDN/>
        <w:bidi w:val="0"/>
        <w:snapToGrid w:val="0"/>
        <w:spacing w:line="360" w:lineRule="auto"/>
        <w:ind w:firstLine="480"/>
        <w:jc w:val="left"/>
        <w:outlineLvl w:val="2"/>
        <w:rPr>
          <w:rFonts w:ascii="宋体" w:hAnsi="宋体"/>
          <w:bCs/>
          <w:sz w:val="24"/>
        </w:rPr>
      </w:pPr>
      <w:r>
        <w:rPr>
          <w:rFonts w:hint="eastAsia" w:ascii="宋体" w:hAnsi="宋体"/>
          <w:bCs/>
          <w:sz w:val="24"/>
        </w:rPr>
        <w:t>5.评审人员对各</w:t>
      </w:r>
      <w:r>
        <w:rPr>
          <w:rFonts w:hint="eastAsia" w:ascii="宋体" w:hAnsi="宋体" w:cs="宋体"/>
          <w:color w:val="000000"/>
          <w:sz w:val="24"/>
        </w:rPr>
        <w:t>磋商响应方</w:t>
      </w:r>
      <w:r>
        <w:rPr>
          <w:rFonts w:hint="eastAsia" w:ascii="宋体" w:hAnsi="宋体"/>
          <w:bCs/>
          <w:sz w:val="24"/>
        </w:rPr>
        <w:t>响应文件非实质性内容有疑议或异议，或者审查发现明显的文字或计算错误等，及时向磋商小组委员会组长提出。经磋商小组委员会商议认为需要</w:t>
      </w:r>
      <w:r>
        <w:rPr>
          <w:rFonts w:hint="eastAsia" w:ascii="宋体" w:hAnsi="宋体" w:cs="宋体"/>
          <w:color w:val="000000"/>
          <w:sz w:val="24"/>
        </w:rPr>
        <w:t>磋商响应方</w:t>
      </w:r>
      <w:r>
        <w:rPr>
          <w:rFonts w:hint="eastAsia" w:ascii="宋体" w:hAnsi="宋体"/>
          <w:bCs/>
          <w:sz w:val="24"/>
        </w:rPr>
        <w:t>作出必要澄清或说明的，应通知该磋商响应方以书面形式作出澄清或说明。授权代表未到场或拒绝澄清说明或澄清说明的内容改变了磋商响应文件的实质性内容的，磋商小组委员会有权对该磋商响应文件作出不利于磋商响应方的评判。书面通知及澄清说明文件应作为政府采购项目档案归档留存。</w:t>
      </w:r>
    </w:p>
    <w:p>
      <w:pPr>
        <w:pageBreakBefore w:val="0"/>
        <w:kinsoku/>
        <w:wordWrap/>
        <w:overflowPunct/>
        <w:topLinePunct w:val="0"/>
        <w:autoSpaceDE/>
        <w:autoSpaceDN/>
        <w:bidi w:val="0"/>
        <w:snapToGrid w:val="0"/>
        <w:spacing w:line="360" w:lineRule="auto"/>
        <w:ind w:firstLine="480"/>
        <w:jc w:val="left"/>
        <w:outlineLvl w:val="2"/>
        <w:rPr>
          <w:rFonts w:ascii="宋体" w:hAnsi="宋体"/>
          <w:bCs/>
          <w:sz w:val="24"/>
        </w:rPr>
      </w:pPr>
      <w:r>
        <w:rPr>
          <w:rFonts w:hint="eastAsia" w:ascii="宋体" w:hAnsi="宋体"/>
          <w:bCs/>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ageBreakBefore w:val="0"/>
        <w:kinsoku/>
        <w:wordWrap/>
        <w:overflowPunct/>
        <w:topLinePunct w:val="0"/>
        <w:autoSpaceDE/>
        <w:autoSpaceDN/>
        <w:bidi w:val="0"/>
        <w:snapToGrid w:val="0"/>
        <w:spacing w:line="360" w:lineRule="auto"/>
        <w:ind w:firstLine="480"/>
        <w:jc w:val="left"/>
        <w:outlineLvl w:val="2"/>
        <w:rPr>
          <w:rFonts w:ascii="宋体" w:hAnsi="宋体"/>
          <w:bCs/>
          <w:sz w:val="24"/>
        </w:rPr>
      </w:pPr>
      <w:r>
        <w:rPr>
          <w:rFonts w:hint="eastAsia" w:ascii="宋体" w:hAnsi="宋体"/>
          <w:bCs/>
          <w:sz w:val="24"/>
        </w:rPr>
        <w:t>7.磋商小组委员会根据评审汇总情况和磋商文件规定确定中标候选</w:t>
      </w:r>
      <w:r>
        <w:rPr>
          <w:rFonts w:hint="eastAsia" w:ascii="宋体" w:hAnsi="宋体" w:cs="宋体"/>
          <w:color w:val="000000"/>
          <w:sz w:val="24"/>
        </w:rPr>
        <w:t>磋商响应方</w:t>
      </w:r>
      <w:r>
        <w:rPr>
          <w:rFonts w:hint="eastAsia" w:ascii="宋体" w:hAnsi="宋体"/>
          <w:bCs/>
          <w:sz w:val="24"/>
        </w:rPr>
        <w:t xml:space="preserve">排序名单。 </w:t>
      </w:r>
    </w:p>
    <w:p>
      <w:pPr>
        <w:pageBreakBefore w:val="0"/>
        <w:kinsoku/>
        <w:wordWrap/>
        <w:overflowPunct/>
        <w:topLinePunct w:val="0"/>
        <w:autoSpaceDE/>
        <w:autoSpaceDN/>
        <w:bidi w:val="0"/>
        <w:snapToGrid w:val="0"/>
        <w:spacing w:line="360" w:lineRule="auto"/>
        <w:ind w:firstLine="480"/>
        <w:jc w:val="left"/>
        <w:outlineLvl w:val="2"/>
        <w:rPr>
          <w:rFonts w:ascii="宋体" w:hAnsi="宋体"/>
          <w:bCs/>
          <w:sz w:val="24"/>
        </w:rPr>
      </w:pPr>
      <w:r>
        <w:rPr>
          <w:rFonts w:hint="eastAsia" w:ascii="宋体" w:hAnsi="宋体"/>
          <w:bCs/>
          <w:sz w:val="24"/>
        </w:rPr>
        <w:t>8.起草评审报告，所有评审人员须在评审报告上签字确认。</w:t>
      </w:r>
    </w:p>
    <w:p>
      <w:pPr>
        <w:pageBreakBefore w:val="0"/>
        <w:kinsoku/>
        <w:wordWrap/>
        <w:overflowPunct/>
        <w:topLinePunct w:val="0"/>
        <w:autoSpaceDE/>
        <w:autoSpaceDN/>
        <w:bidi w:val="0"/>
        <w:snapToGrid w:val="0"/>
        <w:spacing w:line="360" w:lineRule="auto"/>
        <w:ind w:firstLine="482"/>
        <w:jc w:val="left"/>
        <w:outlineLvl w:val="2"/>
        <w:rPr>
          <w:rFonts w:ascii="宋体" w:hAnsi="宋体"/>
          <w:b/>
          <w:sz w:val="24"/>
        </w:rPr>
      </w:pPr>
      <w:r>
        <w:rPr>
          <w:rFonts w:hint="eastAsia" w:ascii="宋体" w:hAnsi="宋体"/>
          <w:b/>
          <w:sz w:val="24"/>
        </w:rPr>
        <w:t>（五）磋商响应文件的澄清、说明或补正</w:t>
      </w:r>
    </w:p>
    <w:p>
      <w:pPr>
        <w:pageBreakBefore w:val="0"/>
        <w:kinsoku/>
        <w:wordWrap/>
        <w:overflowPunct/>
        <w:topLinePunct w:val="0"/>
        <w:autoSpaceDE/>
        <w:autoSpaceDN/>
        <w:bidi w:val="0"/>
        <w:spacing w:line="360" w:lineRule="auto"/>
        <w:ind w:firstLine="424" w:firstLineChars="177"/>
        <w:rPr>
          <w:rFonts w:ascii="宋体" w:hAnsi="宋体" w:cs="Arial"/>
          <w:kern w:val="0"/>
          <w:sz w:val="24"/>
        </w:rPr>
      </w:pPr>
      <w:r>
        <w:rPr>
          <w:rFonts w:hint="eastAsia" w:ascii="宋体" w:hAnsi="宋体" w:cs="Arial"/>
          <w:kern w:val="0"/>
          <w:sz w:val="24"/>
        </w:rPr>
        <w:t>1.对于磋商响应文件中含义不明确、同类问题表述不一致或者有明显文字和计算错误的内容，磋商小组委员会将以书面形式（或通过“政府采购云平台”在线询标）的形式要求</w:t>
      </w:r>
      <w:r>
        <w:rPr>
          <w:rFonts w:ascii="宋体" w:hAnsi="宋体" w:cs="Arial"/>
          <w:kern w:val="0"/>
          <w:sz w:val="24"/>
        </w:rPr>
        <w:t>磋商响应方</w:t>
      </w:r>
      <w:r>
        <w:rPr>
          <w:rFonts w:hint="eastAsia" w:ascii="宋体" w:hAnsi="宋体" w:cs="Arial"/>
          <w:kern w:val="0"/>
          <w:sz w:val="24"/>
        </w:rPr>
        <w:t>在规定的时间内作出必要的澄清、说明或者补正，磋商响应方澄清、说明或补正。</w:t>
      </w:r>
    </w:p>
    <w:p>
      <w:pPr>
        <w:pageBreakBefore w:val="0"/>
        <w:kinsoku/>
        <w:wordWrap/>
        <w:overflowPunct/>
        <w:topLinePunct w:val="0"/>
        <w:autoSpaceDE/>
        <w:autoSpaceDN/>
        <w:bidi w:val="0"/>
        <w:spacing w:line="360" w:lineRule="auto"/>
        <w:ind w:firstLine="424" w:firstLineChars="177"/>
        <w:rPr>
          <w:rFonts w:ascii="宋体" w:hAnsi="宋体" w:cs="Arial"/>
          <w:color w:val="000000"/>
          <w:kern w:val="0"/>
          <w:sz w:val="24"/>
        </w:rPr>
      </w:pPr>
      <w:r>
        <w:rPr>
          <w:rFonts w:hint="eastAsia" w:ascii="宋体" w:hAnsi="宋体" w:cs="Arial"/>
          <w:color w:val="000000"/>
          <w:kern w:val="0"/>
          <w:sz w:val="24"/>
        </w:rPr>
        <w:t>2.</w:t>
      </w:r>
      <w:r>
        <w:rPr>
          <w:rFonts w:ascii="宋体" w:hAnsi="宋体" w:cs="Arial"/>
          <w:color w:val="000000"/>
          <w:kern w:val="0"/>
          <w:sz w:val="24"/>
        </w:rPr>
        <w:t>磋商响应方</w:t>
      </w:r>
      <w:r>
        <w:rPr>
          <w:rFonts w:hint="eastAsia" w:ascii="宋体" w:hAnsi="宋体" w:cs="Arial"/>
          <w:color w:val="000000"/>
          <w:kern w:val="0"/>
          <w:sz w:val="24"/>
        </w:rPr>
        <w:t>的澄清、说明或者补正应当采用书面（或通过“政府采购云平台”在线答复）形式提交，并加盖公章，或者由法定代表人或其授权的代表签字。</w:t>
      </w:r>
      <w:r>
        <w:rPr>
          <w:rFonts w:ascii="宋体" w:hAnsi="宋体" w:cs="Arial"/>
          <w:color w:val="000000"/>
          <w:kern w:val="0"/>
          <w:sz w:val="24"/>
        </w:rPr>
        <w:t>磋商响应方</w:t>
      </w:r>
      <w:r>
        <w:rPr>
          <w:rFonts w:hint="eastAsia" w:ascii="宋体" w:hAnsi="宋体" w:cs="Arial"/>
          <w:color w:val="000000"/>
          <w:kern w:val="0"/>
          <w:sz w:val="24"/>
        </w:rPr>
        <w:t>的澄清、说明或者补正不得超出磋商响应文件的范围或者改变磋商响应文件的实质性内容。</w:t>
      </w:r>
    </w:p>
    <w:p>
      <w:pPr>
        <w:pageBreakBefore w:val="0"/>
        <w:kinsoku/>
        <w:wordWrap/>
        <w:overflowPunct/>
        <w:topLinePunct w:val="0"/>
        <w:autoSpaceDE/>
        <w:autoSpaceDN/>
        <w:bidi w:val="0"/>
        <w:snapToGrid w:val="0"/>
        <w:spacing w:line="360" w:lineRule="auto"/>
        <w:ind w:firstLine="482"/>
        <w:jc w:val="left"/>
        <w:outlineLvl w:val="2"/>
        <w:rPr>
          <w:rFonts w:ascii="宋体" w:hAnsi="宋体"/>
          <w:b/>
          <w:sz w:val="24"/>
        </w:rPr>
      </w:pPr>
      <w:r>
        <w:rPr>
          <w:rFonts w:hint="eastAsia" w:ascii="宋体" w:hAnsi="宋体"/>
          <w:b/>
          <w:sz w:val="24"/>
        </w:rPr>
        <w:t>（六）错误修正</w:t>
      </w:r>
    </w:p>
    <w:p>
      <w:pPr>
        <w:pageBreakBefore w:val="0"/>
        <w:kinsoku/>
        <w:wordWrap/>
        <w:overflowPunct/>
        <w:topLinePunct w:val="0"/>
        <w:autoSpaceDE/>
        <w:autoSpaceDN/>
        <w:bidi w:val="0"/>
        <w:snapToGrid w:val="0"/>
        <w:spacing w:line="360" w:lineRule="auto"/>
        <w:ind w:firstLine="480"/>
        <w:jc w:val="left"/>
        <w:outlineLvl w:val="2"/>
        <w:rPr>
          <w:rFonts w:ascii="宋体" w:hAnsi="宋体"/>
          <w:color w:val="000000"/>
          <w:sz w:val="24"/>
        </w:rPr>
      </w:pPr>
      <w:r>
        <w:rPr>
          <w:rFonts w:hint="eastAsia" w:ascii="宋体" w:hAnsi="宋体"/>
          <w:color w:val="000000"/>
          <w:sz w:val="24"/>
        </w:rPr>
        <w:t>磋商响应文件报价出现前后不一致的，除磋商文件另有规定外，按照下列规定修正：</w:t>
      </w:r>
    </w:p>
    <w:p>
      <w:pPr>
        <w:pageBreakBefore w:val="0"/>
        <w:kinsoku/>
        <w:wordWrap/>
        <w:overflowPunct/>
        <w:topLinePunct w:val="0"/>
        <w:autoSpaceDE/>
        <w:autoSpaceDN/>
        <w:bidi w:val="0"/>
        <w:snapToGrid w:val="0"/>
        <w:spacing w:line="360" w:lineRule="auto"/>
        <w:ind w:firstLine="480"/>
        <w:jc w:val="left"/>
        <w:outlineLvl w:val="2"/>
        <w:rPr>
          <w:rFonts w:ascii="宋体" w:hAnsi="宋体"/>
          <w:color w:val="000000"/>
          <w:sz w:val="24"/>
        </w:rPr>
      </w:pPr>
      <w:r>
        <w:rPr>
          <w:rFonts w:hint="eastAsia" w:ascii="宋体" w:hAnsi="宋体"/>
          <w:color w:val="000000"/>
          <w:sz w:val="24"/>
        </w:rPr>
        <w:t>（一）磋商响应文件中报价明细表内容与磋商响应文件中相应内容不一致的，以报价明细表为准；</w:t>
      </w:r>
    </w:p>
    <w:p>
      <w:pPr>
        <w:pageBreakBefore w:val="0"/>
        <w:kinsoku/>
        <w:wordWrap/>
        <w:overflowPunct/>
        <w:topLinePunct w:val="0"/>
        <w:autoSpaceDE/>
        <w:autoSpaceDN/>
        <w:bidi w:val="0"/>
        <w:snapToGrid w:val="0"/>
        <w:spacing w:line="360" w:lineRule="auto"/>
        <w:ind w:firstLine="480"/>
        <w:jc w:val="left"/>
        <w:outlineLvl w:val="2"/>
        <w:rPr>
          <w:rFonts w:ascii="宋体" w:hAnsi="宋体"/>
          <w:color w:val="000000"/>
          <w:sz w:val="24"/>
        </w:rPr>
      </w:pPr>
      <w:r>
        <w:rPr>
          <w:rFonts w:hint="eastAsia" w:ascii="宋体" w:hAnsi="宋体"/>
          <w:color w:val="000000"/>
          <w:sz w:val="24"/>
        </w:rPr>
        <w:t>（二）大写金额和小写金额不一致的，以大写金额为准；</w:t>
      </w:r>
    </w:p>
    <w:p>
      <w:pPr>
        <w:pageBreakBefore w:val="0"/>
        <w:kinsoku/>
        <w:wordWrap/>
        <w:overflowPunct/>
        <w:topLinePunct w:val="0"/>
        <w:autoSpaceDE/>
        <w:autoSpaceDN/>
        <w:bidi w:val="0"/>
        <w:snapToGrid w:val="0"/>
        <w:spacing w:line="360" w:lineRule="auto"/>
        <w:ind w:firstLine="480"/>
        <w:jc w:val="left"/>
        <w:outlineLvl w:val="2"/>
        <w:rPr>
          <w:rFonts w:ascii="宋体" w:hAnsi="宋体"/>
          <w:color w:val="000000"/>
          <w:sz w:val="24"/>
        </w:rPr>
      </w:pPr>
      <w:r>
        <w:rPr>
          <w:rFonts w:hint="eastAsia" w:ascii="宋体" w:hAnsi="宋体"/>
          <w:color w:val="000000"/>
          <w:sz w:val="24"/>
        </w:rPr>
        <w:t>（三）单价金额小数点或者百分比有明显错位的，以报价明细表的总价为准，并修改单价；</w:t>
      </w:r>
    </w:p>
    <w:p>
      <w:pPr>
        <w:pageBreakBefore w:val="0"/>
        <w:kinsoku/>
        <w:wordWrap/>
        <w:overflowPunct/>
        <w:topLinePunct w:val="0"/>
        <w:autoSpaceDE/>
        <w:autoSpaceDN/>
        <w:bidi w:val="0"/>
        <w:snapToGrid w:val="0"/>
        <w:spacing w:line="360" w:lineRule="auto"/>
        <w:ind w:firstLine="480"/>
        <w:jc w:val="left"/>
        <w:outlineLvl w:val="2"/>
        <w:rPr>
          <w:rFonts w:ascii="宋体" w:hAnsi="宋体"/>
          <w:color w:val="000000"/>
          <w:sz w:val="24"/>
        </w:rPr>
      </w:pPr>
      <w:r>
        <w:rPr>
          <w:rFonts w:hint="eastAsia" w:ascii="宋体" w:hAnsi="宋体"/>
          <w:color w:val="000000"/>
          <w:sz w:val="24"/>
        </w:rPr>
        <w:t>（四）总价金额与按单价汇总金额不一致的，以单价金额计算结果为准。</w:t>
      </w:r>
    </w:p>
    <w:p>
      <w:pPr>
        <w:pageBreakBefore w:val="0"/>
        <w:kinsoku/>
        <w:wordWrap/>
        <w:overflowPunct/>
        <w:topLinePunct w:val="0"/>
        <w:autoSpaceDE/>
        <w:autoSpaceDN/>
        <w:bidi w:val="0"/>
        <w:spacing w:line="360" w:lineRule="auto"/>
        <w:ind w:firstLine="424" w:firstLineChars="177"/>
        <w:jc w:val="left"/>
        <w:rPr>
          <w:rFonts w:ascii="宋体" w:hAnsi="宋体" w:cs="Arial"/>
          <w:color w:val="000000"/>
          <w:kern w:val="0"/>
          <w:sz w:val="24"/>
        </w:rPr>
      </w:pPr>
      <w:bookmarkStart w:id="53" w:name="_Toc33696582"/>
      <w:r>
        <w:rPr>
          <w:rFonts w:hint="eastAsia" w:ascii="宋体" w:hAnsi="宋体" w:cs="Arial"/>
          <w:color w:val="000000"/>
          <w:kern w:val="0"/>
          <w:sz w:val="24"/>
        </w:rPr>
        <w:t>（五）若磋商响应方在报价文件上传的价格和报价一览表里填写的金额不一致时，以磋商响应方上传的报价文件为准，由采购代理机构经办人对磋商响应方报价进行修正。</w:t>
      </w:r>
      <w:bookmarkEnd w:id="53"/>
    </w:p>
    <w:p>
      <w:pPr>
        <w:pageBreakBefore w:val="0"/>
        <w:kinsoku/>
        <w:wordWrap/>
        <w:overflowPunct/>
        <w:topLinePunct w:val="0"/>
        <w:autoSpaceDE/>
        <w:autoSpaceDN/>
        <w:bidi w:val="0"/>
        <w:snapToGrid w:val="0"/>
        <w:spacing w:line="360" w:lineRule="auto"/>
        <w:ind w:firstLine="480"/>
        <w:jc w:val="left"/>
        <w:outlineLvl w:val="2"/>
        <w:rPr>
          <w:rFonts w:ascii="宋体" w:hAnsi="宋体"/>
          <w:color w:val="000000"/>
          <w:sz w:val="24"/>
        </w:rPr>
      </w:pPr>
      <w:r>
        <w:rPr>
          <w:rFonts w:hint="eastAsia" w:ascii="宋体" w:hAnsi="宋体"/>
          <w:color w:val="000000"/>
          <w:sz w:val="24"/>
        </w:rPr>
        <w:t>同时出现两种以上不一致的，按照前款规定的顺序修正。修正后的报价按照经磋商响应方加盖公章，或者由法定代表人或其授权的代表签字确认后产生约束力，磋商响应方不确认的，其响应无效。</w:t>
      </w:r>
    </w:p>
    <w:p>
      <w:pPr>
        <w:pageBreakBefore w:val="0"/>
        <w:kinsoku/>
        <w:wordWrap/>
        <w:overflowPunct/>
        <w:topLinePunct w:val="0"/>
        <w:autoSpaceDE/>
        <w:autoSpaceDN/>
        <w:bidi w:val="0"/>
        <w:snapToGrid w:val="0"/>
        <w:spacing w:line="360" w:lineRule="auto"/>
        <w:ind w:firstLine="482"/>
        <w:jc w:val="left"/>
        <w:outlineLvl w:val="2"/>
        <w:rPr>
          <w:rFonts w:ascii="宋体" w:hAnsi="宋体"/>
          <w:b/>
          <w:sz w:val="24"/>
        </w:rPr>
      </w:pPr>
      <w:r>
        <w:rPr>
          <w:rFonts w:hint="eastAsia" w:ascii="宋体" w:hAnsi="宋体"/>
          <w:b/>
          <w:sz w:val="24"/>
        </w:rPr>
        <w:t>（七）评标原则和评标办法</w:t>
      </w:r>
    </w:p>
    <w:p>
      <w:pPr>
        <w:pageBreakBefore w:val="0"/>
        <w:kinsoku/>
        <w:wordWrap/>
        <w:overflowPunct/>
        <w:topLinePunct w:val="0"/>
        <w:autoSpaceDE/>
        <w:autoSpaceDN/>
        <w:bidi w:val="0"/>
        <w:spacing w:line="360" w:lineRule="auto"/>
        <w:ind w:firstLine="482"/>
        <w:rPr>
          <w:rFonts w:ascii="宋体" w:hAnsi="宋体"/>
          <w:b/>
          <w:color w:val="000000"/>
          <w:sz w:val="24"/>
        </w:rPr>
      </w:pPr>
      <w:r>
        <w:rPr>
          <w:rFonts w:hint="eastAsia" w:ascii="宋体" w:hAnsi="宋体"/>
          <w:b/>
          <w:color w:val="000000"/>
          <w:sz w:val="24"/>
        </w:rPr>
        <w:t>评标原则</w:t>
      </w:r>
    </w:p>
    <w:p>
      <w:pPr>
        <w:pageBreakBefore w:val="0"/>
        <w:kinsoku/>
        <w:wordWrap/>
        <w:overflowPunct/>
        <w:topLinePunct w:val="0"/>
        <w:autoSpaceDE/>
        <w:autoSpaceDN/>
        <w:bidi w:val="0"/>
        <w:spacing w:line="360" w:lineRule="auto"/>
        <w:ind w:firstLine="480"/>
        <w:rPr>
          <w:rFonts w:ascii="宋体" w:hAnsi="宋体"/>
          <w:color w:val="000000"/>
          <w:sz w:val="24"/>
        </w:rPr>
      </w:pPr>
      <w:r>
        <w:rPr>
          <w:rFonts w:hint="eastAsia" w:ascii="宋体" w:hAnsi="宋体"/>
          <w:color w:val="000000"/>
          <w:sz w:val="24"/>
        </w:rPr>
        <w:t>1.磋商小组委员会必须公平、公正、客观，不带任何倾向性和启发性；不得向外界透露任何与评标有关的内容；任何单位和个人不得干扰、影响评标的正常进行；磋商小组委员会及有关工作人员不得私下与磋商响应方接触。</w:t>
      </w:r>
    </w:p>
    <w:p>
      <w:pPr>
        <w:pageBreakBefore w:val="0"/>
        <w:kinsoku/>
        <w:wordWrap/>
        <w:overflowPunct/>
        <w:topLinePunct w:val="0"/>
        <w:autoSpaceDE/>
        <w:autoSpaceDN/>
        <w:bidi w:val="0"/>
        <w:snapToGrid w:val="0"/>
        <w:spacing w:line="360" w:lineRule="auto"/>
        <w:ind w:firstLine="480"/>
        <w:rPr>
          <w:rFonts w:ascii="宋体" w:hAnsi="宋体"/>
          <w:bCs/>
          <w:color w:val="000000"/>
          <w:sz w:val="24"/>
        </w:rPr>
      </w:pPr>
      <w:r>
        <w:rPr>
          <w:rFonts w:hint="eastAsia" w:ascii="宋体" w:hAnsi="宋体"/>
          <w:bCs/>
          <w:color w:val="000000"/>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磋商响应方择期重新评审的时间和地点。</w:t>
      </w:r>
    </w:p>
    <w:p>
      <w:pPr>
        <w:pageBreakBefore w:val="0"/>
        <w:kinsoku/>
        <w:wordWrap/>
        <w:overflowPunct/>
        <w:topLinePunct w:val="0"/>
        <w:autoSpaceDE/>
        <w:autoSpaceDN/>
        <w:bidi w:val="0"/>
        <w:snapToGrid w:val="0"/>
        <w:spacing w:line="360" w:lineRule="auto"/>
        <w:ind w:firstLine="480"/>
        <w:rPr>
          <w:rFonts w:ascii="宋体" w:hAnsi="宋体"/>
          <w:bCs/>
          <w:color w:val="000000"/>
          <w:sz w:val="24"/>
        </w:rPr>
      </w:pPr>
      <w:r>
        <w:rPr>
          <w:rFonts w:hint="eastAsia" w:ascii="宋体" w:hAnsi="宋体"/>
          <w:bCs/>
          <w:color w:val="000000"/>
          <w:sz w:val="24"/>
        </w:rPr>
        <w:t>3.评审人员对有关磋商文件、磋商响应文件、样品或现场演示（如有）的说明、解释、要求、标准存在不同意见的，持不同意见的评审人员及其意见或理由应予以完整记录，并在评审过程中按照少数服从多数的原则表决执行。对磋商文件本身不明确或存在歧义、矛盾的内容，应作对磋商响应方而非采购人有利的解释；对因磋商文件中有关产品技术参数需求表述不清导致磋商响应方实质性响应不一致时，应终止评审，重新组织采购。评审人员拒绝在评审报告中签字又不说明其不同意见或理由的，由现场监督员记录在案后，可视为同意评审结果。</w:t>
      </w:r>
    </w:p>
    <w:p>
      <w:pPr>
        <w:pageBreakBefore w:val="0"/>
        <w:kinsoku/>
        <w:wordWrap/>
        <w:overflowPunct/>
        <w:topLinePunct w:val="0"/>
        <w:autoSpaceDE/>
        <w:autoSpaceDN/>
        <w:bidi w:val="0"/>
        <w:snapToGrid w:val="0"/>
        <w:spacing w:line="360" w:lineRule="auto"/>
        <w:ind w:firstLine="482"/>
        <w:rPr>
          <w:rFonts w:ascii="宋体" w:hAnsi="宋体"/>
          <w:b/>
          <w:color w:val="000000"/>
          <w:sz w:val="24"/>
        </w:rPr>
      </w:pPr>
      <w:r>
        <w:rPr>
          <w:rFonts w:hint="eastAsia" w:ascii="宋体" w:hAnsi="宋体"/>
          <w:b/>
          <w:color w:val="000000"/>
          <w:sz w:val="24"/>
        </w:rPr>
        <w:t>评标办法</w:t>
      </w:r>
    </w:p>
    <w:p>
      <w:pPr>
        <w:pageBreakBefore w:val="0"/>
        <w:kinsoku/>
        <w:wordWrap/>
        <w:overflowPunct/>
        <w:topLinePunct w:val="0"/>
        <w:autoSpaceDE/>
        <w:autoSpaceDN/>
        <w:bidi w:val="0"/>
        <w:snapToGrid w:val="0"/>
        <w:spacing w:line="360" w:lineRule="auto"/>
        <w:ind w:firstLine="480"/>
        <w:rPr>
          <w:rFonts w:ascii="宋体" w:hAnsi="宋体"/>
          <w:color w:val="000000"/>
          <w:sz w:val="24"/>
          <w:szCs w:val="24"/>
        </w:rPr>
      </w:pPr>
      <w:r>
        <w:rPr>
          <w:rFonts w:hint="eastAsia" w:ascii="宋体" w:hAnsi="宋体"/>
          <w:color w:val="000000"/>
          <w:sz w:val="24"/>
          <w:szCs w:val="24"/>
        </w:rPr>
        <w:t>本项目评标办法是</w:t>
      </w:r>
      <w:r>
        <w:rPr>
          <w:rFonts w:hint="eastAsia" w:ascii="宋体" w:hAnsi="宋体"/>
          <w:color w:val="000000"/>
          <w:sz w:val="24"/>
          <w:szCs w:val="24"/>
          <w:u w:val="single"/>
        </w:rPr>
        <w:t>综合评分法</w:t>
      </w:r>
      <w:r>
        <w:rPr>
          <w:rFonts w:hint="eastAsia" w:ascii="宋体" w:hAnsi="宋体"/>
          <w:color w:val="000000"/>
          <w:sz w:val="24"/>
          <w:szCs w:val="24"/>
        </w:rPr>
        <w:t>，具体评标内容及评分标准等详见</w:t>
      </w:r>
      <w:r>
        <w:rPr>
          <w:rFonts w:hint="eastAsia" w:hAnsi="宋体"/>
          <w:bCs/>
          <w:sz w:val="24"/>
          <w:szCs w:val="24"/>
        </w:rPr>
        <w:t>第三章《评审办法及评审标准》</w:t>
      </w:r>
      <w:r>
        <w:rPr>
          <w:rFonts w:hint="eastAsia" w:ascii="宋体" w:hAnsi="宋体"/>
          <w:color w:val="000000"/>
          <w:sz w:val="24"/>
          <w:szCs w:val="24"/>
        </w:rPr>
        <w:t>。</w:t>
      </w:r>
    </w:p>
    <w:p>
      <w:pPr>
        <w:pStyle w:val="28"/>
        <w:pageBreakBefore w:val="0"/>
        <w:kinsoku/>
        <w:wordWrap/>
        <w:overflowPunct/>
        <w:topLinePunct w:val="0"/>
        <w:autoSpaceDE/>
        <w:autoSpaceDN/>
        <w:bidi w:val="0"/>
        <w:snapToGrid w:val="0"/>
        <w:spacing w:before="120" w:after="120" w:line="360" w:lineRule="auto"/>
        <w:ind w:firstLine="482" w:firstLineChars="200"/>
        <w:outlineLvl w:val="1"/>
        <w:rPr>
          <w:rFonts w:hAnsi="宋体"/>
          <w:b/>
          <w:color w:val="000000"/>
        </w:rPr>
      </w:pPr>
      <w:bookmarkStart w:id="54" w:name="_Toc504504574"/>
      <w:bookmarkStart w:id="55" w:name="_Toc510614926"/>
      <w:bookmarkStart w:id="56" w:name="_Toc520986890"/>
      <w:bookmarkStart w:id="57" w:name="_Toc5402"/>
      <w:r>
        <w:rPr>
          <w:rFonts w:hint="eastAsia" w:hAnsi="宋体"/>
          <w:b/>
          <w:color w:val="000000"/>
        </w:rPr>
        <w:t>五、定标</w:t>
      </w:r>
      <w:bookmarkEnd w:id="54"/>
      <w:bookmarkEnd w:id="55"/>
      <w:bookmarkEnd w:id="56"/>
      <w:bookmarkEnd w:id="57"/>
    </w:p>
    <w:p>
      <w:pPr>
        <w:pStyle w:val="28"/>
        <w:pageBreakBefore w:val="0"/>
        <w:kinsoku/>
        <w:wordWrap/>
        <w:overflowPunct/>
        <w:topLinePunct w:val="0"/>
        <w:autoSpaceDE/>
        <w:autoSpaceDN/>
        <w:bidi w:val="0"/>
        <w:spacing w:before="120" w:after="120" w:line="360" w:lineRule="auto"/>
        <w:ind w:firstLine="475" w:firstLineChars="198"/>
        <w:rPr>
          <w:rFonts w:hAnsi="宋体"/>
          <w:bCs/>
        </w:rPr>
      </w:pPr>
      <w:bookmarkStart w:id="58" w:name="_Toc33696755"/>
      <w:bookmarkStart w:id="59" w:name="_Toc520986891"/>
      <w:bookmarkStart w:id="60" w:name="_Toc504504575"/>
      <w:bookmarkStart w:id="61" w:name="_Toc510614927"/>
      <w:r>
        <w:rPr>
          <w:rFonts w:hint="eastAsia" w:hAnsi="宋体"/>
          <w:bCs/>
        </w:rPr>
        <w:t>1.项目由磋商小组委员会根据第三章《评审办法及评审标准》规定提出中标候选人排序。</w:t>
      </w:r>
      <w:bookmarkEnd w:id="58"/>
    </w:p>
    <w:p>
      <w:pPr>
        <w:pageBreakBefore w:val="0"/>
        <w:kinsoku/>
        <w:wordWrap/>
        <w:overflowPunct/>
        <w:topLinePunct w:val="0"/>
        <w:autoSpaceDE/>
        <w:autoSpaceDN/>
        <w:bidi w:val="0"/>
        <w:spacing w:line="360" w:lineRule="auto"/>
        <w:ind w:firstLine="480"/>
        <w:jc w:val="left"/>
        <w:rPr>
          <w:rFonts w:ascii="宋体" w:hAnsi="宋体"/>
          <w:bCs/>
          <w:sz w:val="24"/>
        </w:rPr>
      </w:pPr>
      <w:r>
        <w:rPr>
          <w:rFonts w:ascii="宋体" w:hAnsi="宋体"/>
          <w:bCs/>
          <w:sz w:val="24"/>
        </w:rPr>
        <w:t>2.本项目由磋商小组委员会推荐中标供应商，采购代理机构在评标结束后2个工作日内将评标报告交采购人确认。</w:t>
      </w:r>
    </w:p>
    <w:p>
      <w:pPr>
        <w:pageBreakBefore w:val="0"/>
        <w:kinsoku/>
        <w:wordWrap/>
        <w:overflowPunct/>
        <w:topLinePunct w:val="0"/>
        <w:autoSpaceDE/>
        <w:autoSpaceDN/>
        <w:bidi w:val="0"/>
        <w:spacing w:line="360" w:lineRule="auto"/>
        <w:ind w:firstLine="480"/>
        <w:jc w:val="left"/>
        <w:rPr>
          <w:rFonts w:ascii="宋体" w:hAnsi="宋体"/>
          <w:bCs/>
          <w:sz w:val="24"/>
        </w:rPr>
      </w:pPr>
      <w:r>
        <w:rPr>
          <w:rFonts w:ascii="宋体" w:hAnsi="宋体"/>
          <w:bCs/>
          <w:sz w:val="24"/>
        </w:rPr>
        <w:t>3.采购人应当自收到评标报告之日起５个工作日内，在评标报告确定的中标候选人名单中按顺序确定中标人，或者采购人委托磋商小组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ageBreakBefore w:val="0"/>
        <w:kinsoku/>
        <w:wordWrap/>
        <w:overflowPunct/>
        <w:topLinePunct w:val="0"/>
        <w:autoSpaceDE/>
        <w:autoSpaceDN/>
        <w:bidi w:val="0"/>
        <w:spacing w:line="360" w:lineRule="auto"/>
        <w:ind w:firstLine="480"/>
        <w:jc w:val="left"/>
        <w:rPr>
          <w:rFonts w:ascii="宋体" w:hAnsi="宋体"/>
          <w:bCs/>
          <w:sz w:val="24"/>
        </w:rPr>
      </w:pPr>
      <w:r>
        <w:rPr>
          <w:rFonts w:ascii="宋体" w:hAnsi="宋体"/>
          <w:bCs/>
          <w:sz w:val="24"/>
        </w:rPr>
        <w:t>4.采购结果经采购人确认后，招标方将于2个工作日内在浙江省政府采购网上发布中标公告，并向中标方签发书面《中标通知书》。</w:t>
      </w:r>
    </w:p>
    <w:p>
      <w:pPr>
        <w:pStyle w:val="28"/>
        <w:pageBreakBefore w:val="0"/>
        <w:kinsoku/>
        <w:wordWrap/>
        <w:overflowPunct/>
        <w:topLinePunct w:val="0"/>
        <w:autoSpaceDE/>
        <w:autoSpaceDN/>
        <w:bidi w:val="0"/>
        <w:snapToGrid w:val="0"/>
        <w:spacing w:before="120" w:after="120" w:line="360" w:lineRule="auto"/>
        <w:ind w:firstLine="482" w:firstLineChars="200"/>
        <w:outlineLvl w:val="1"/>
        <w:rPr>
          <w:rFonts w:hAnsi="宋体"/>
          <w:b/>
          <w:color w:val="000000"/>
        </w:rPr>
      </w:pPr>
      <w:bookmarkStart w:id="62" w:name="_Toc3496"/>
      <w:r>
        <w:rPr>
          <w:rFonts w:hint="eastAsia" w:hAnsi="宋体"/>
          <w:b/>
          <w:color w:val="000000"/>
        </w:rPr>
        <w:t>六、合同授予</w:t>
      </w:r>
      <w:bookmarkEnd w:id="59"/>
      <w:bookmarkEnd w:id="60"/>
      <w:bookmarkEnd w:id="61"/>
      <w:bookmarkEnd w:id="62"/>
    </w:p>
    <w:p>
      <w:pPr>
        <w:pageBreakBefore w:val="0"/>
        <w:kinsoku/>
        <w:wordWrap/>
        <w:overflowPunct/>
        <w:topLinePunct w:val="0"/>
        <w:autoSpaceDE/>
        <w:autoSpaceDN/>
        <w:bidi w:val="0"/>
        <w:snapToGrid w:val="0"/>
        <w:spacing w:line="360" w:lineRule="auto"/>
        <w:ind w:firstLine="482"/>
        <w:jc w:val="left"/>
        <w:outlineLvl w:val="2"/>
        <w:rPr>
          <w:rFonts w:ascii="宋体" w:hAnsi="宋体"/>
          <w:b/>
          <w:sz w:val="24"/>
        </w:rPr>
      </w:pPr>
      <w:bookmarkStart w:id="63" w:name="_Toc504504576"/>
      <w:r>
        <w:rPr>
          <w:rFonts w:hint="eastAsia" w:ascii="宋体" w:hAnsi="宋体"/>
          <w:b/>
          <w:sz w:val="24"/>
        </w:rPr>
        <w:t>（一）签订合同</w:t>
      </w:r>
      <w:bookmarkEnd w:id="63"/>
    </w:p>
    <w:p>
      <w:pPr>
        <w:pStyle w:val="540"/>
        <w:pageBreakBefore w:val="0"/>
        <w:kinsoku/>
        <w:wordWrap/>
        <w:overflowPunct/>
        <w:topLinePunct w:val="0"/>
        <w:autoSpaceDE/>
        <w:autoSpaceDN/>
        <w:bidi w:val="0"/>
        <w:spacing w:beforeLines="0" w:line="440" w:lineRule="exact"/>
        <w:ind w:firstLine="480" w:firstLineChars="200"/>
        <w:rPr>
          <w:sz w:val="24"/>
          <w:szCs w:val="24"/>
        </w:rPr>
      </w:pPr>
      <w:bookmarkStart w:id="64" w:name="_Toc504504577"/>
      <w:r>
        <w:rPr>
          <w:rFonts w:hint="eastAsia"/>
          <w:sz w:val="24"/>
          <w:szCs w:val="24"/>
        </w:rPr>
        <w:t>1.采购人与中标供应商应当在《中标通知书》发出之日起30日内签订政府采购合同。</w:t>
      </w:r>
    </w:p>
    <w:p>
      <w:pPr>
        <w:pageBreakBefore w:val="0"/>
        <w:widowControl w:val="0"/>
        <w:kinsoku/>
        <w:wordWrap/>
        <w:overflowPunct/>
        <w:topLinePunct w:val="0"/>
        <w:autoSpaceDE/>
        <w:autoSpaceDN/>
        <w:bidi w:val="0"/>
        <w:snapToGrid w:val="0"/>
        <w:spacing w:line="460" w:lineRule="exact"/>
        <w:ind w:firstLine="480"/>
        <w:jc w:val="left"/>
        <w:textAlignment w:val="auto"/>
        <w:rPr>
          <w:rFonts w:hint="eastAsia" w:ascii="宋体" w:hAnsi="宋体"/>
          <w:color w:val="000000"/>
          <w:sz w:val="24"/>
          <w:szCs w:val="24"/>
          <w:lang w:val="en-US" w:eastAsia="zh-CN"/>
        </w:rPr>
      </w:pPr>
      <w:r>
        <w:rPr>
          <w:rFonts w:hint="eastAsia" w:ascii="宋体" w:hAnsi="宋体"/>
          <w:color w:val="000000"/>
          <w:sz w:val="24"/>
          <w:szCs w:val="24"/>
          <w:lang w:val="en-US" w:eastAsia="zh-CN"/>
        </w:rPr>
        <w:t>2.中标单位拒绝与采购人签订合同的，须按项目预算金额的5%向采购人进行赔偿（赔偿用于支付采购代理服务费、专家评审费、其他采购组织费用、补偿采购人损失，若预算金额的5%不足以支付，</w:t>
      </w:r>
      <w:r>
        <w:rPr>
          <w:rFonts w:hint="eastAsia" w:hAnsi="宋体"/>
          <w:color w:val="000000"/>
          <w:sz w:val="24"/>
          <w:szCs w:val="24"/>
        </w:rPr>
        <w:t>按实际损失赔偿</w:t>
      </w:r>
      <w:r>
        <w:rPr>
          <w:rFonts w:hint="eastAsia" w:ascii="宋体" w:hAnsi="宋体"/>
          <w:color w:val="000000"/>
          <w:sz w:val="24"/>
          <w:szCs w:val="24"/>
          <w:lang w:val="en-US" w:eastAsia="zh-CN"/>
        </w:rPr>
        <w:t>），同时采购人、采购代理机构将对其失信行为上报至同级政府采购监督管理部门对其依法处理。</w:t>
      </w:r>
    </w:p>
    <w:p>
      <w:pPr>
        <w:pageBreakBefore w:val="0"/>
        <w:kinsoku/>
        <w:wordWrap/>
        <w:overflowPunct/>
        <w:topLinePunct w:val="0"/>
        <w:autoSpaceDE/>
        <w:autoSpaceDN/>
        <w:bidi w:val="0"/>
        <w:snapToGrid w:val="0"/>
        <w:spacing w:line="360" w:lineRule="auto"/>
        <w:ind w:firstLine="482"/>
        <w:jc w:val="left"/>
        <w:outlineLvl w:val="2"/>
        <w:rPr>
          <w:rFonts w:ascii="宋体" w:hAnsi="宋体"/>
          <w:sz w:val="24"/>
        </w:rPr>
      </w:pPr>
      <w:r>
        <w:rPr>
          <w:rFonts w:hint="eastAsia" w:ascii="宋体" w:hAnsi="宋体"/>
          <w:color w:val="000000"/>
          <w:sz w:val="24"/>
          <w:szCs w:val="24"/>
          <w:lang w:val="en-US" w:eastAsia="zh-CN"/>
        </w:rPr>
        <w:t xml:space="preserve">3.原中标单位拒绝与采购人签订合同后，采购人可以按照评审报告推荐的中标或者成交候选人名单排序，确定下一候选人为中标单位，也可以重新开展政府采购活动。  </w:t>
      </w:r>
      <w:r>
        <w:rPr>
          <w:rFonts w:hint="eastAsia" w:ascii="宋体" w:hAnsi="宋体"/>
          <w:b/>
          <w:sz w:val="24"/>
        </w:rPr>
        <w:t>（二）</w:t>
      </w:r>
      <w:bookmarkEnd w:id="64"/>
      <w:bookmarkStart w:id="65" w:name="_Toc504504578"/>
      <w:r>
        <w:rPr>
          <w:rFonts w:hint="eastAsia" w:ascii="宋体" w:hAnsi="宋体"/>
          <w:b/>
          <w:sz w:val="24"/>
        </w:rPr>
        <w:t>履约保证金</w:t>
      </w:r>
      <w:bookmarkEnd w:id="65"/>
    </w:p>
    <w:p>
      <w:pPr>
        <w:pStyle w:val="28"/>
        <w:pageBreakBefore w:val="0"/>
        <w:kinsoku/>
        <w:wordWrap/>
        <w:overflowPunct/>
        <w:topLinePunct w:val="0"/>
        <w:autoSpaceDE/>
        <w:autoSpaceDN/>
        <w:bidi w:val="0"/>
        <w:snapToGrid w:val="0"/>
        <w:spacing w:before="120" w:after="120" w:line="360" w:lineRule="auto"/>
        <w:ind w:firstLine="480" w:firstLineChars="200"/>
        <w:rPr>
          <w:rFonts w:hAnsi="宋体"/>
          <w:color w:val="000000"/>
        </w:rPr>
      </w:pPr>
      <w:r>
        <w:rPr>
          <w:rFonts w:hint="eastAsia" w:hAnsi="宋体"/>
        </w:rPr>
        <w:t>1.签订合同前，中标供应商按照磋商文件</w:t>
      </w:r>
      <w:r>
        <w:rPr>
          <w:rFonts w:hint="eastAsia" w:hAnsi="宋体"/>
          <w:color w:val="000000"/>
        </w:rPr>
        <w:t>规定递交履约保证金。</w:t>
      </w:r>
    </w:p>
    <w:p>
      <w:pPr>
        <w:pStyle w:val="28"/>
        <w:pageBreakBefore w:val="0"/>
        <w:kinsoku/>
        <w:wordWrap/>
        <w:overflowPunct/>
        <w:topLinePunct w:val="0"/>
        <w:autoSpaceDE/>
        <w:autoSpaceDN/>
        <w:bidi w:val="0"/>
        <w:snapToGrid w:val="0"/>
        <w:spacing w:before="120" w:after="120" w:line="360" w:lineRule="auto"/>
        <w:ind w:firstLine="480" w:firstLineChars="200"/>
        <w:rPr>
          <w:rFonts w:hAnsi="宋体"/>
          <w:color w:val="000000"/>
        </w:rPr>
      </w:pPr>
      <w:r>
        <w:rPr>
          <w:rFonts w:hint="eastAsia" w:hAnsi="宋体"/>
          <w:color w:val="000000"/>
        </w:rPr>
        <w:t>2.签订合同后，如中标供应商不按双方合同约定履约，则没收其全部履约保证金，履约保证金不足以赔偿损失的，按实际损失赔偿。</w:t>
      </w:r>
    </w:p>
    <w:p>
      <w:pPr>
        <w:pStyle w:val="28"/>
        <w:pageBreakBefore w:val="0"/>
        <w:kinsoku/>
        <w:wordWrap/>
        <w:overflowPunct/>
        <w:topLinePunct w:val="0"/>
        <w:autoSpaceDE/>
        <w:autoSpaceDN/>
        <w:bidi w:val="0"/>
        <w:snapToGrid w:val="0"/>
        <w:spacing w:before="120" w:after="120" w:line="360" w:lineRule="auto"/>
        <w:ind w:firstLine="482" w:firstLineChars="200"/>
        <w:rPr>
          <w:rFonts w:hAnsi="宋体"/>
          <w:b/>
          <w:bCs/>
          <w:color w:val="000000"/>
        </w:rPr>
      </w:pPr>
      <w:r>
        <w:rPr>
          <w:rFonts w:hint="eastAsia" w:hAnsi="宋体"/>
          <w:b/>
          <w:bCs/>
          <w:color w:val="000000"/>
        </w:rPr>
        <w:t>（三）合同备案</w:t>
      </w:r>
    </w:p>
    <w:p>
      <w:pPr>
        <w:pStyle w:val="28"/>
        <w:pageBreakBefore w:val="0"/>
        <w:kinsoku/>
        <w:wordWrap/>
        <w:overflowPunct/>
        <w:topLinePunct w:val="0"/>
        <w:autoSpaceDE/>
        <w:autoSpaceDN/>
        <w:bidi w:val="0"/>
        <w:snapToGrid w:val="0"/>
        <w:spacing w:before="120" w:after="120" w:line="360" w:lineRule="auto"/>
        <w:ind w:firstLine="480" w:firstLineChars="200"/>
        <w:rPr>
          <w:rFonts w:hAnsi="宋体"/>
        </w:rPr>
      </w:pPr>
      <w:r>
        <w:rPr>
          <w:rFonts w:hint="eastAsia" w:hAnsi="宋体"/>
        </w:rPr>
        <w:t>1.中标人应当自采购合同签订之日起3个工作日内，将采购合同原件报绍兴平准招标代理有限公司备案。</w:t>
      </w:r>
    </w:p>
    <w:p>
      <w:pPr>
        <w:pStyle w:val="28"/>
        <w:pageBreakBefore w:val="0"/>
        <w:kinsoku/>
        <w:wordWrap/>
        <w:overflowPunct/>
        <w:topLinePunct w:val="0"/>
        <w:autoSpaceDE/>
        <w:autoSpaceDN/>
        <w:bidi w:val="0"/>
        <w:snapToGrid w:val="0"/>
        <w:spacing w:before="120" w:after="120" w:line="360" w:lineRule="auto"/>
        <w:ind w:firstLine="480" w:firstLineChars="200"/>
        <w:rPr>
          <w:rFonts w:hAnsi="宋体"/>
        </w:rPr>
      </w:pPr>
      <w:r>
        <w:rPr>
          <w:rFonts w:hint="eastAsia" w:hAnsi="宋体"/>
        </w:rPr>
        <w:t>2.未领取中标通知书，采购双方自行签订的合同不予备案。</w:t>
      </w:r>
    </w:p>
    <w:p>
      <w:pPr>
        <w:pStyle w:val="28"/>
        <w:pageBreakBefore w:val="0"/>
        <w:kinsoku/>
        <w:wordWrap/>
        <w:overflowPunct/>
        <w:topLinePunct w:val="0"/>
        <w:autoSpaceDE/>
        <w:autoSpaceDN/>
        <w:bidi w:val="0"/>
        <w:snapToGrid w:val="0"/>
        <w:spacing w:before="120" w:after="120" w:line="360" w:lineRule="auto"/>
        <w:ind w:firstLine="477" w:firstLineChars="198"/>
        <w:outlineLvl w:val="1"/>
        <w:rPr>
          <w:rFonts w:hAnsi="宋体"/>
          <w:b/>
          <w:color w:val="000000"/>
        </w:rPr>
      </w:pPr>
      <w:bookmarkStart w:id="66" w:name="_Toc504504579"/>
      <w:bookmarkStart w:id="67" w:name="_Toc510614928"/>
      <w:bookmarkStart w:id="68" w:name="_Toc520986892"/>
      <w:bookmarkStart w:id="69" w:name="_Toc4897"/>
      <w:r>
        <w:rPr>
          <w:rFonts w:hint="eastAsia" w:hAnsi="宋体"/>
          <w:b/>
          <w:color w:val="000000"/>
        </w:rPr>
        <w:t>七、款项的结算</w:t>
      </w:r>
      <w:bookmarkEnd w:id="66"/>
      <w:bookmarkEnd w:id="67"/>
      <w:bookmarkEnd w:id="68"/>
      <w:bookmarkEnd w:id="69"/>
    </w:p>
    <w:p>
      <w:pPr>
        <w:pageBreakBefore w:val="0"/>
        <w:kinsoku/>
        <w:wordWrap/>
        <w:overflowPunct/>
        <w:topLinePunct w:val="0"/>
        <w:autoSpaceDE/>
        <w:autoSpaceDN/>
        <w:bidi w:val="0"/>
        <w:spacing w:line="360" w:lineRule="auto"/>
        <w:ind w:firstLine="460" w:firstLineChars="192"/>
        <w:rPr>
          <w:rFonts w:hint="eastAsia" w:ascii="宋体" w:hAnsi="宋体" w:eastAsia="宋体" w:cs="宋体"/>
          <w:sz w:val="24"/>
          <w:lang w:val="en-US" w:eastAsia="zh-CN"/>
        </w:rPr>
        <w:sectPr>
          <w:footerReference r:id="rId8" w:type="default"/>
          <w:pgSz w:w="11850" w:h="16783"/>
          <w:pgMar w:top="1304" w:right="1565" w:bottom="1247" w:left="1344" w:header="851" w:footer="992" w:gutter="0"/>
          <w:pgNumType w:start="1"/>
          <w:cols w:space="720" w:num="1"/>
          <w:docGrid w:linePitch="312" w:charSpace="0"/>
        </w:sectPr>
      </w:pPr>
      <w:r>
        <w:rPr>
          <w:rFonts w:hint="eastAsia" w:ascii="宋体" w:hAnsi="宋体"/>
          <w:color w:val="000000"/>
          <w:sz w:val="24"/>
        </w:rPr>
        <w:t>按照前面前附表的有关规定</w:t>
      </w:r>
      <w:r>
        <w:rPr>
          <w:rFonts w:hint="eastAsia" w:ascii="宋体" w:hAnsi="宋体"/>
          <w:color w:val="000000"/>
          <w:sz w:val="24"/>
          <w:lang w:val="en-US" w:eastAsia="zh-CN"/>
        </w:rPr>
        <w:t>.</w:t>
      </w:r>
    </w:p>
    <w:p>
      <w:pPr>
        <w:pStyle w:val="28"/>
        <w:snapToGrid w:val="0"/>
        <w:spacing w:beforeLines="0" w:afterLines="0" w:line="480" w:lineRule="auto"/>
        <w:jc w:val="center"/>
        <w:outlineLvl w:val="0"/>
        <w:rPr>
          <w:rFonts w:hAnsi="宋体"/>
          <w:b/>
          <w:sz w:val="36"/>
          <w:szCs w:val="36"/>
        </w:rPr>
      </w:pPr>
      <w:bookmarkStart w:id="70" w:name="_Toc20411"/>
      <w:r>
        <w:rPr>
          <w:rFonts w:hint="eastAsia" w:hAnsi="宋体"/>
          <w:b/>
          <w:sz w:val="36"/>
          <w:szCs w:val="36"/>
        </w:rPr>
        <w:t>第三章  评审办法及评审标准</w:t>
      </w:r>
      <w:bookmarkEnd w:id="70"/>
    </w:p>
    <w:p>
      <w:pPr>
        <w:spacing w:line="460" w:lineRule="exact"/>
        <w:ind w:firstLine="420"/>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根据《中华人民共和国政府采购法》、《中华人民共和国政府采购法实施条例》、《政府采购竞争性磋商采购方式管理暂行办法》等有关法律法规，结合本项目的实际需求，制定本办法。</w:t>
      </w:r>
    </w:p>
    <w:p>
      <w:pPr>
        <w:spacing w:line="460" w:lineRule="exact"/>
        <w:ind w:firstLine="472" w:firstLineChars="196"/>
        <w:outlineLvl w:val="1"/>
        <w:rPr>
          <w:rFonts w:asciiTheme="minorEastAsia" w:hAnsiTheme="minorEastAsia" w:eastAsiaTheme="minorEastAsia"/>
          <w:b/>
          <w:sz w:val="24"/>
          <w:szCs w:val="24"/>
        </w:rPr>
      </w:pPr>
      <w:bookmarkStart w:id="71" w:name="_Toc9103"/>
      <w:r>
        <w:rPr>
          <w:rFonts w:hint="eastAsia" w:asciiTheme="minorEastAsia" w:hAnsiTheme="minorEastAsia" w:eastAsiaTheme="minorEastAsia"/>
          <w:b/>
          <w:sz w:val="24"/>
          <w:szCs w:val="24"/>
        </w:rPr>
        <w:t>一、总则</w:t>
      </w:r>
      <w:bookmarkEnd w:id="71"/>
    </w:p>
    <w:p>
      <w:pPr>
        <w:spacing w:line="46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Theme="minorEastAsia" w:hAnsiTheme="minorEastAsia" w:eastAsiaTheme="minorEastAsia"/>
          <w:bCs/>
          <w:sz w:val="24"/>
          <w:szCs w:val="24"/>
        </w:rPr>
        <w:t>评分过程中采用四舍五入法，并保留小数2位。</w:t>
      </w:r>
    </w:p>
    <w:p>
      <w:pPr>
        <w:spacing w:line="460" w:lineRule="exact"/>
        <w:ind w:firstLine="472" w:firstLineChars="196"/>
        <w:outlineLvl w:val="1"/>
        <w:rPr>
          <w:rFonts w:asciiTheme="minorEastAsia" w:hAnsiTheme="minorEastAsia" w:eastAsiaTheme="minorEastAsia"/>
          <w:b/>
          <w:sz w:val="24"/>
          <w:szCs w:val="24"/>
        </w:rPr>
      </w:pPr>
      <w:bookmarkStart w:id="72" w:name="_Toc31002"/>
      <w:r>
        <w:rPr>
          <w:rFonts w:hint="eastAsia" w:asciiTheme="minorEastAsia" w:hAnsiTheme="minorEastAsia" w:eastAsiaTheme="minorEastAsia"/>
          <w:b/>
          <w:sz w:val="24"/>
          <w:szCs w:val="24"/>
        </w:rPr>
        <w:t>二、分值的计算</w:t>
      </w:r>
      <w:bookmarkEnd w:id="72"/>
    </w:p>
    <w:p>
      <w:pPr>
        <w:spacing w:line="46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磋商报价得分=（磋商基准价/最终磋商报价）×价格权值×100</w:t>
      </w:r>
    </w:p>
    <w:p>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商务技术分按照磋商小组成员的独立评分结果汇总后的算术平均分计算，计算公式为：</w:t>
      </w:r>
    </w:p>
    <w:p>
      <w:pPr>
        <w:spacing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商务技术分=磋商小组所有成员评分合计数/磋商小组成员组成人数</w:t>
      </w:r>
    </w:p>
    <w:p>
      <w:pPr>
        <w:spacing w:line="46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响应方</w:t>
      </w:r>
      <w:r>
        <w:rPr>
          <w:rFonts w:hint="eastAsia" w:asciiTheme="minorEastAsia" w:hAnsiTheme="minorEastAsia" w:eastAsiaTheme="minorEastAsia"/>
          <w:bCs/>
          <w:sz w:val="24"/>
          <w:szCs w:val="24"/>
        </w:rPr>
        <w:t>综合得分=价格分+商务技术分</w:t>
      </w:r>
    </w:p>
    <w:p>
      <w:pPr>
        <w:spacing w:line="460" w:lineRule="exact"/>
        <w:ind w:firstLine="472" w:firstLineChars="196"/>
        <w:outlineLvl w:val="1"/>
        <w:rPr>
          <w:rFonts w:asciiTheme="minorEastAsia" w:hAnsiTheme="minorEastAsia" w:eastAsiaTheme="minorEastAsia"/>
          <w:b/>
          <w:sz w:val="24"/>
          <w:szCs w:val="24"/>
        </w:rPr>
      </w:pPr>
      <w:bookmarkStart w:id="73" w:name="_Toc31633"/>
      <w:r>
        <w:rPr>
          <w:rFonts w:hint="eastAsia" w:asciiTheme="minorEastAsia" w:hAnsiTheme="minorEastAsia" w:eastAsiaTheme="minorEastAsia"/>
          <w:b/>
          <w:sz w:val="24"/>
          <w:szCs w:val="24"/>
        </w:rPr>
        <w:t>三、评审内容及标准</w:t>
      </w:r>
      <w:bookmarkEnd w:id="73"/>
    </w:p>
    <w:p>
      <w:pPr>
        <w:pStyle w:val="539"/>
        <w:tabs>
          <w:tab w:val="left" w:pos="900"/>
        </w:tabs>
        <w:spacing w:after="0" w:afterLines="0" w:line="460" w:lineRule="exact"/>
        <w:ind w:left="0" w:firstLine="480" w:firstLineChars="200"/>
        <w:rPr>
          <w:rFonts w:hint="default" w:ascii="宋体" w:hAnsi="宋体"/>
          <w:kern w:val="2"/>
          <w:szCs w:val="24"/>
        </w:rPr>
      </w:pPr>
      <w:bookmarkStart w:id="74" w:name="_Toc11861524"/>
      <w:r>
        <w:rPr>
          <w:rFonts w:ascii="宋体" w:hAnsi="宋体"/>
          <w:kern w:val="2"/>
          <w:szCs w:val="24"/>
        </w:rPr>
        <w:t>1.商务技术分（</w:t>
      </w:r>
      <w:r>
        <w:rPr>
          <w:rFonts w:hint="eastAsia" w:ascii="宋体" w:hAnsi="宋体"/>
          <w:kern w:val="2"/>
          <w:szCs w:val="24"/>
          <w:lang w:val="en-US" w:eastAsia="zh-CN"/>
        </w:rPr>
        <w:t>6</w:t>
      </w:r>
      <w:r>
        <w:rPr>
          <w:rFonts w:ascii="宋体" w:hAnsi="宋体"/>
          <w:kern w:val="2"/>
          <w:szCs w:val="24"/>
        </w:rPr>
        <w:t>0分）</w:t>
      </w:r>
      <w:bookmarkEnd w:id="74"/>
    </w:p>
    <w:tbl>
      <w:tblPr>
        <w:tblStyle w:val="53"/>
        <w:tblW w:w="97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1383"/>
        <w:gridCol w:w="850"/>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atLeast"/>
          <w:jc w:val="center"/>
        </w:trPr>
        <w:tc>
          <w:tcPr>
            <w:tcW w:w="698" w:type="dxa"/>
            <w:noWrap w:val="0"/>
            <w:tcMar>
              <w:top w:w="15" w:type="dxa"/>
              <w:left w:w="108" w:type="dxa"/>
              <w:bottom w:w="0" w:type="dxa"/>
              <w:right w:w="108" w:type="dxa"/>
            </w:tcMar>
            <w:vAlign w:val="center"/>
          </w:tcPr>
          <w:p>
            <w:pPr>
              <w:spacing w:line="360" w:lineRule="auto"/>
              <w:jc w:val="center"/>
              <w:rPr>
                <w:rFonts w:ascii="宋体" w:hAnsi="宋体"/>
                <w:b/>
                <w:bCs/>
                <w:sz w:val="24"/>
                <w:szCs w:val="24"/>
              </w:rPr>
            </w:pPr>
            <w:r>
              <w:rPr>
                <w:rFonts w:hint="eastAsia" w:ascii="宋体" w:hAnsi="宋体"/>
                <w:b/>
                <w:bCs/>
                <w:sz w:val="24"/>
                <w:szCs w:val="24"/>
              </w:rPr>
              <w:t>序号</w:t>
            </w:r>
          </w:p>
        </w:tc>
        <w:tc>
          <w:tcPr>
            <w:tcW w:w="1383" w:type="dxa"/>
            <w:noWrap w:val="0"/>
            <w:tcMar>
              <w:top w:w="15" w:type="dxa"/>
              <w:left w:w="108" w:type="dxa"/>
              <w:bottom w:w="0" w:type="dxa"/>
              <w:right w:w="108" w:type="dxa"/>
            </w:tcMar>
            <w:vAlign w:val="center"/>
          </w:tcPr>
          <w:p>
            <w:pPr>
              <w:spacing w:line="360" w:lineRule="auto"/>
              <w:jc w:val="center"/>
              <w:rPr>
                <w:rFonts w:ascii="宋体" w:hAnsi="宋体"/>
                <w:b/>
                <w:bCs/>
                <w:sz w:val="24"/>
                <w:szCs w:val="24"/>
              </w:rPr>
            </w:pPr>
            <w:r>
              <w:rPr>
                <w:rFonts w:hint="eastAsia" w:ascii="宋体" w:hAnsi="宋体"/>
                <w:b/>
                <w:bCs/>
                <w:sz w:val="24"/>
                <w:szCs w:val="24"/>
              </w:rPr>
              <w:t>评价因素</w:t>
            </w:r>
          </w:p>
        </w:tc>
        <w:tc>
          <w:tcPr>
            <w:tcW w:w="850" w:type="dxa"/>
            <w:noWrap w:val="0"/>
            <w:tcMar>
              <w:top w:w="15" w:type="dxa"/>
              <w:left w:w="108" w:type="dxa"/>
              <w:bottom w:w="0" w:type="dxa"/>
              <w:right w:w="108" w:type="dxa"/>
            </w:tcMar>
            <w:vAlign w:val="center"/>
          </w:tcPr>
          <w:p>
            <w:pPr>
              <w:spacing w:line="360" w:lineRule="auto"/>
              <w:jc w:val="center"/>
              <w:rPr>
                <w:rFonts w:ascii="宋体" w:hAnsi="宋体"/>
                <w:b/>
                <w:bCs/>
                <w:sz w:val="24"/>
                <w:szCs w:val="24"/>
              </w:rPr>
            </w:pPr>
            <w:r>
              <w:rPr>
                <w:rFonts w:hint="eastAsia" w:ascii="宋体" w:hAnsi="宋体"/>
                <w:b/>
                <w:bCs/>
                <w:sz w:val="24"/>
                <w:szCs w:val="24"/>
              </w:rPr>
              <w:t>分值</w:t>
            </w:r>
          </w:p>
        </w:tc>
        <w:tc>
          <w:tcPr>
            <w:tcW w:w="6860" w:type="dxa"/>
            <w:noWrap w:val="0"/>
            <w:tcMar>
              <w:top w:w="15" w:type="dxa"/>
              <w:left w:w="108" w:type="dxa"/>
              <w:bottom w:w="0" w:type="dxa"/>
              <w:right w:w="108" w:type="dxa"/>
            </w:tcMar>
            <w:vAlign w:val="center"/>
          </w:tcPr>
          <w:p>
            <w:pPr>
              <w:spacing w:line="360" w:lineRule="auto"/>
              <w:jc w:val="center"/>
              <w:rPr>
                <w:rFonts w:ascii="宋体" w:hAnsi="宋体"/>
                <w:b/>
                <w:bCs/>
                <w:sz w:val="24"/>
                <w:szCs w:val="24"/>
              </w:rPr>
            </w:pPr>
            <w:r>
              <w:rPr>
                <w:rFonts w:hint="eastAsia" w:ascii="宋体" w:hAnsi="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atLeast"/>
          <w:jc w:val="center"/>
        </w:trPr>
        <w:tc>
          <w:tcPr>
            <w:tcW w:w="698" w:type="dxa"/>
            <w:noWrap w:val="0"/>
            <w:tcMar>
              <w:top w:w="15" w:type="dxa"/>
              <w:left w:w="108" w:type="dxa"/>
              <w:bottom w:w="0" w:type="dxa"/>
              <w:right w:w="108" w:type="dxa"/>
            </w:tcMar>
            <w:vAlign w:val="center"/>
          </w:tcPr>
          <w:p>
            <w:pPr>
              <w:spacing w:line="360" w:lineRule="auto"/>
              <w:jc w:val="center"/>
              <w:rPr>
                <w:rFonts w:hint="eastAsia" w:ascii="宋体" w:hAnsi="宋体" w:cs="宋体"/>
                <w:sz w:val="24"/>
                <w:szCs w:val="24"/>
              </w:rPr>
            </w:pPr>
            <w:r>
              <w:rPr>
                <w:rFonts w:hint="eastAsia" w:ascii="宋体" w:hAnsi="宋体" w:cs="宋体"/>
                <w:sz w:val="24"/>
                <w:szCs w:val="24"/>
              </w:rPr>
              <w:t>1</w:t>
            </w:r>
          </w:p>
        </w:tc>
        <w:tc>
          <w:tcPr>
            <w:tcW w:w="1383" w:type="dxa"/>
            <w:noWrap w:val="0"/>
            <w:tcMar>
              <w:top w:w="15" w:type="dxa"/>
              <w:left w:w="108" w:type="dxa"/>
              <w:bottom w:w="0" w:type="dxa"/>
              <w:right w:w="108" w:type="dxa"/>
            </w:tcMar>
            <w:vAlign w:val="center"/>
          </w:tcPr>
          <w:p>
            <w:pPr>
              <w:spacing w:line="360" w:lineRule="auto"/>
              <w:jc w:val="center"/>
              <w:rPr>
                <w:rFonts w:hint="eastAsia" w:ascii="宋体" w:hAnsi="宋体" w:cs="宋体"/>
                <w:sz w:val="24"/>
                <w:szCs w:val="24"/>
              </w:rPr>
            </w:pPr>
            <w:r>
              <w:rPr>
                <w:rFonts w:hint="eastAsia" w:ascii="宋体" w:hAnsi="宋体"/>
                <w:sz w:val="24"/>
                <w:szCs w:val="24"/>
              </w:rPr>
              <w:t>设备参数响应程度</w:t>
            </w:r>
          </w:p>
        </w:tc>
        <w:tc>
          <w:tcPr>
            <w:tcW w:w="850" w:type="dxa"/>
            <w:noWrap w:val="0"/>
            <w:tcMar>
              <w:top w:w="15" w:type="dxa"/>
              <w:left w:w="108" w:type="dxa"/>
              <w:bottom w:w="0" w:type="dxa"/>
              <w:right w:w="108" w:type="dxa"/>
            </w:tcMar>
            <w:vAlign w:val="center"/>
          </w:tcPr>
          <w:p>
            <w:pPr>
              <w:spacing w:line="360" w:lineRule="auto"/>
              <w:jc w:val="center"/>
              <w:rPr>
                <w:rFonts w:hint="eastAsia" w:ascii="宋体" w:hAnsi="宋体" w:cs="宋体"/>
                <w:sz w:val="24"/>
                <w:szCs w:val="24"/>
              </w:rPr>
            </w:pPr>
            <w:r>
              <w:rPr>
                <w:rFonts w:hint="eastAsia" w:ascii="宋体" w:hAnsi="宋体" w:cs="宋体"/>
                <w:sz w:val="24"/>
                <w:szCs w:val="24"/>
              </w:rPr>
              <w:t>20</w:t>
            </w:r>
          </w:p>
        </w:tc>
        <w:tc>
          <w:tcPr>
            <w:tcW w:w="6860" w:type="dxa"/>
            <w:noWrap w:val="0"/>
            <w:tcMar>
              <w:top w:w="15" w:type="dxa"/>
              <w:left w:w="108" w:type="dxa"/>
              <w:bottom w:w="0" w:type="dxa"/>
              <w:right w:w="108" w:type="dxa"/>
            </w:tcMar>
            <w:vAlign w:val="center"/>
          </w:tcPr>
          <w:p>
            <w:pPr>
              <w:pStyle w:val="559"/>
              <w:spacing w:line="360" w:lineRule="auto"/>
              <w:rPr>
                <w:rFonts w:hint="default" w:ascii="宋体" w:hAnsi="宋体" w:eastAsia="宋体" w:cs="宋体"/>
                <w:bCs/>
                <w:sz w:val="24"/>
                <w:lang w:val="en-US" w:eastAsia="zh-CN"/>
              </w:rPr>
            </w:pPr>
            <w:r>
              <w:rPr>
                <w:rFonts w:hint="eastAsia" w:ascii="宋体" w:hAnsi="宋体" w:cs="宋体"/>
                <w:sz w:val="24"/>
              </w:rPr>
              <w:t>技术指标响应性：投标产品完全响应技术参数要求得（20分），打★技术参数有负偏离</w:t>
            </w:r>
            <w:r>
              <w:rPr>
                <w:rFonts w:hint="eastAsia" w:ascii="宋体" w:hAnsi="宋体" w:cs="宋体"/>
                <w:sz w:val="24"/>
                <w:lang w:val="en-US" w:eastAsia="zh-CN"/>
              </w:rPr>
              <w:t>的每项</w:t>
            </w:r>
            <w:r>
              <w:rPr>
                <w:rFonts w:hint="eastAsia" w:ascii="宋体" w:hAnsi="宋体" w:cs="宋体"/>
                <w:sz w:val="24"/>
              </w:rPr>
              <w:t>扣</w:t>
            </w:r>
            <w:r>
              <w:rPr>
                <w:rFonts w:hint="eastAsia" w:ascii="宋体" w:hAnsi="宋体" w:cs="宋体"/>
                <w:sz w:val="24"/>
                <w:lang w:val="en-US" w:eastAsia="zh-CN"/>
              </w:rPr>
              <w:t>3</w:t>
            </w:r>
            <w:r>
              <w:rPr>
                <w:rFonts w:hint="eastAsia" w:ascii="宋体" w:hAnsi="宋体" w:cs="宋体"/>
                <w:sz w:val="24"/>
              </w:rPr>
              <w:t>分，打△</w:t>
            </w:r>
            <w:r>
              <w:rPr>
                <w:rFonts w:hint="eastAsia" w:ascii="宋体" w:hAnsi="宋体" w:cs="宋体"/>
                <w:sz w:val="24"/>
                <w:lang w:val="en-US" w:eastAsia="zh-CN"/>
              </w:rPr>
              <w:t>技</w:t>
            </w:r>
            <w:r>
              <w:rPr>
                <w:rFonts w:hint="eastAsia" w:ascii="宋体" w:hAnsi="宋体" w:cs="宋体"/>
                <w:sz w:val="24"/>
              </w:rPr>
              <w:t>术参数有负偏离每项扣</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lang w:val="en-US" w:eastAsia="zh-CN"/>
              </w:rPr>
              <w:t>其他</w:t>
            </w:r>
            <w:r>
              <w:rPr>
                <w:rFonts w:hint="eastAsia" w:ascii="宋体" w:hAnsi="宋体" w:cs="宋体"/>
                <w:sz w:val="24"/>
              </w:rPr>
              <w:t>参数负偏离</w:t>
            </w:r>
            <w:r>
              <w:rPr>
                <w:rFonts w:hint="eastAsia" w:ascii="宋体" w:hAnsi="宋体" w:cs="宋体"/>
                <w:sz w:val="24"/>
                <w:lang w:val="en-US" w:eastAsia="zh-CN"/>
              </w:rPr>
              <w:t>每项</w:t>
            </w:r>
            <w:r>
              <w:rPr>
                <w:rFonts w:hint="eastAsia" w:ascii="宋体" w:hAnsi="宋体" w:cs="宋体"/>
                <w:sz w:val="24"/>
              </w:rPr>
              <w:t>扣</w:t>
            </w:r>
            <w:r>
              <w:rPr>
                <w:rFonts w:hint="eastAsia" w:ascii="宋体" w:hAnsi="宋体" w:cs="宋体"/>
                <w:sz w:val="24"/>
                <w:lang w:val="en-US" w:eastAsia="zh-CN"/>
              </w:rPr>
              <w:t>1</w:t>
            </w:r>
            <w:r>
              <w:rPr>
                <w:rFonts w:hint="eastAsia" w:ascii="宋体" w:hAnsi="宋体" w:cs="宋体"/>
                <w:sz w:val="24"/>
              </w:rPr>
              <w:t>分。扣完为止。打△技术参数需提供相关检测报告证明，提供证明材料与中标后实际提供产品不符做虚假应标处理。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03" w:hRule="atLeast"/>
          <w:jc w:val="center"/>
        </w:trPr>
        <w:tc>
          <w:tcPr>
            <w:tcW w:w="698" w:type="dxa"/>
            <w:noWrap w:val="0"/>
            <w:tcMar>
              <w:top w:w="15" w:type="dxa"/>
              <w:left w:w="108" w:type="dxa"/>
              <w:bottom w:w="0" w:type="dxa"/>
              <w:right w:w="108" w:type="dxa"/>
            </w:tcMar>
            <w:vAlign w:val="center"/>
          </w:tcPr>
          <w:p>
            <w:pPr>
              <w:spacing w:line="360" w:lineRule="auto"/>
              <w:jc w:val="center"/>
              <w:rPr>
                <w:rFonts w:hint="eastAsia" w:ascii="宋体" w:hAnsi="宋体" w:cs="宋体"/>
                <w:sz w:val="24"/>
                <w:szCs w:val="24"/>
              </w:rPr>
            </w:pPr>
            <w:r>
              <w:rPr>
                <w:rFonts w:hint="eastAsia" w:ascii="宋体" w:hAnsi="宋体" w:cs="宋体"/>
                <w:sz w:val="24"/>
                <w:szCs w:val="24"/>
              </w:rPr>
              <w:t>2</w:t>
            </w:r>
          </w:p>
        </w:tc>
        <w:tc>
          <w:tcPr>
            <w:tcW w:w="1383" w:type="dxa"/>
            <w:noWrap w:val="0"/>
            <w:tcMar>
              <w:top w:w="15" w:type="dxa"/>
              <w:left w:w="108" w:type="dxa"/>
              <w:bottom w:w="0" w:type="dxa"/>
              <w:right w:w="108" w:type="dxa"/>
            </w:tcMar>
            <w:vAlign w:val="center"/>
          </w:tcPr>
          <w:p>
            <w:pPr>
              <w:spacing w:line="360" w:lineRule="auto"/>
              <w:jc w:val="center"/>
              <w:rPr>
                <w:rFonts w:hint="eastAsia" w:ascii="宋体" w:hAnsi="宋体" w:cs="宋体"/>
                <w:sz w:val="24"/>
                <w:szCs w:val="24"/>
              </w:rPr>
            </w:pPr>
            <w:r>
              <w:rPr>
                <w:rFonts w:hint="eastAsia" w:ascii="宋体" w:hAnsi="宋体" w:cs="宋体"/>
                <w:sz w:val="24"/>
                <w:szCs w:val="24"/>
              </w:rPr>
              <w:t>85寸一体机演示</w:t>
            </w:r>
          </w:p>
        </w:tc>
        <w:tc>
          <w:tcPr>
            <w:tcW w:w="850" w:type="dxa"/>
            <w:noWrap w:val="0"/>
            <w:tcMar>
              <w:top w:w="15" w:type="dxa"/>
              <w:left w:w="108" w:type="dxa"/>
              <w:bottom w:w="0" w:type="dxa"/>
              <w:right w:w="108" w:type="dxa"/>
            </w:tcMar>
            <w:vAlign w:val="center"/>
          </w:tcPr>
          <w:p>
            <w:pPr>
              <w:spacing w:line="360" w:lineRule="auto"/>
              <w:jc w:val="center"/>
              <w:rPr>
                <w:rFonts w:hint="eastAsia" w:ascii="宋体" w:hAnsi="宋体" w:cs="宋体"/>
                <w:sz w:val="24"/>
                <w:szCs w:val="24"/>
              </w:rPr>
            </w:pPr>
            <w:r>
              <w:rPr>
                <w:rFonts w:hint="eastAsia" w:ascii="宋体" w:hAnsi="宋体" w:cs="宋体"/>
                <w:sz w:val="24"/>
                <w:szCs w:val="24"/>
              </w:rPr>
              <w:t>20</w:t>
            </w:r>
          </w:p>
        </w:tc>
        <w:tc>
          <w:tcPr>
            <w:tcW w:w="6860" w:type="dxa"/>
            <w:noWrap w:val="0"/>
            <w:tcMar>
              <w:top w:w="15" w:type="dxa"/>
              <w:left w:w="108" w:type="dxa"/>
              <w:bottom w:w="0" w:type="dxa"/>
              <w:right w:w="108" w:type="dxa"/>
            </w:tcMar>
            <w:vAlign w:val="center"/>
          </w:tcPr>
          <w:p>
            <w:pPr>
              <w:pStyle w:val="559"/>
              <w:spacing w:line="360" w:lineRule="auto"/>
              <w:rPr>
                <w:rFonts w:hint="eastAsia" w:ascii="宋体" w:hAnsi="宋体" w:cs="宋体"/>
                <w:sz w:val="24"/>
              </w:rPr>
            </w:pPr>
            <w:r>
              <w:rPr>
                <w:rFonts w:hint="eastAsia" w:ascii="宋体" w:hAnsi="宋体" w:cs="宋体"/>
                <w:sz w:val="24"/>
              </w:rPr>
              <w:t>1.为方便教师授课使用，系统设置双侧双功能快捷键，快捷键可根据教师授课习惯选择左右两侧显示或单侧显示及隐藏方式，并设置显示时长，老师可快速打开软件应用功能，如关闭当前窗口，打开软件、多屏互动，触控开关等。（0-2分）</w:t>
            </w:r>
          </w:p>
          <w:p>
            <w:pPr>
              <w:pStyle w:val="559"/>
              <w:spacing w:line="360" w:lineRule="auto"/>
              <w:rPr>
                <w:rFonts w:hint="eastAsia" w:ascii="宋体" w:hAnsi="宋体" w:cs="宋体"/>
                <w:sz w:val="24"/>
              </w:rPr>
            </w:pPr>
            <w:r>
              <w:rPr>
                <w:rFonts w:hint="eastAsia" w:ascii="宋体" w:hAnsi="宋体" w:cs="宋体"/>
                <w:sz w:val="24"/>
              </w:rPr>
              <w:t>2.为教师操作便捷，所投产品可通过多指长按屏幕部分达到息屏及唤醒功能，不接受触控菜单和物理按键方式</w:t>
            </w:r>
            <w:r>
              <w:rPr>
                <w:rFonts w:ascii="宋体" w:hAnsi="宋体" w:cs="宋体"/>
                <w:sz w:val="24"/>
              </w:rPr>
              <w:t>；</w:t>
            </w:r>
            <w:r>
              <w:rPr>
                <w:rFonts w:hint="eastAsia" w:ascii="宋体" w:hAnsi="宋体" w:cs="宋体"/>
                <w:sz w:val="24"/>
              </w:rPr>
              <w:t>所投产品标配书写笔具备两种笔头直径，无需切换菜单，可自动识别粗细笔迹，既能够方便教师板书及批注重点，又可以保留真实书</w:t>
            </w:r>
            <w:r>
              <w:rPr>
                <w:rFonts w:ascii="宋体" w:hAnsi="宋体" w:cs="宋体"/>
                <w:sz w:val="24"/>
              </w:rPr>
              <w:t>。</w:t>
            </w:r>
            <w:r>
              <w:rPr>
                <w:rFonts w:hint="eastAsia" w:ascii="宋体" w:hAnsi="宋体" w:cs="宋体"/>
                <w:sz w:val="24"/>
              </w:rPr>
              <w:t>（0-2分）</w:t>
            </w:r>
          </w:p>
          <w:p>
            <w:pPr>
              <w:pStyle w:val="559"/>
              <w:spacing w:line="360" w:lineRule="auto"/>
              <w:rPr>
                <w:rFonts w:hint="eastAsia" w:ascii="宋体" w:hAnsi="宋体" w:cs="宋体"/>
                <w:sz w:val="24"/>
              </w:rPr>
            </w:pPr>
            <w:r>
              <w:rPr>
                <w:rFonts w:hint="eastAsia" w:ascii="宋体" w:hAnsi="宋体" w:cs="宋体"/>
                <w:sz w:val="24"/>
              </w:rPr>
              <w:t>3.交互平板具有悬浮菜单，可通过两指调用到屏幕任意位置；在任意信号源通道下均可调用悬浮菜单，悬浮菜单具有一键启用批注、切换信号源等功能，悬浮菜单中的信号源支持自定义修改。交互平板悬浮菜单中的应用可根据使用需求进行不少于15种应用更换（非信号源切换）。满足不同老师授课习惯。（0-2分）</w:t>
            </w:r>
          </w:p>
          <w:p>
            <w:pPr>
              <w:pStyle w:val="559"/>
              <w:spacing w:line="360" w:lineRule="auto"/>
              <w:rPr>
                <w:rFonts w:hint="eastAsia" w:ascii="宋体" w:hAnsi="宋体" w:cs="宋体"/>
                <w:sz w:val="24"/>
              </w:rPr>
            </w:pPr>
            <w:r>
              <w:rPr>
                <w:rFonts w:hint="eastAsia" w:ascii="宋体" w:hAnsi="宋体" w:cs="宋体"/>
                <w:sz w:val="24"/>
              </w:rPr>
              <w:t>4.具有教学云平台，支持云端备课，教师可直接登陆云平台进行备课及课件下载使用，教师注册即可获得不少于40GB的云盘容量，无需用户通过完成特定任务才能获取，方便教师使用（0-2分）。</w:t>
            </w:r>
          </w:p>
          <w:p>
            <w:pPr>
              <w:pStyle w:val="559"/>
              <w:spacing w:line="360" w:lineRule="auto"/>
              <w:rPr>
                <w:rFonts w:hint="eastAsia" w:ascii="宋体" w:hAnsi="宋体" w:cs="宋体"/>
                <w:sz w:val="24"/>
              </w:rPr>
            </w:pPr>
            <w:r>
              <w:rPr>
                <w:rFonts w:hint="eastAsia" w:ascii="宋体" w:hAnsi="宋体" w:cs="宋体"/>
                <w:sz w:val="24"/>
              </w:rPr>
              <w:t>5.仿真实验（不依托于网络，离线可使用）：涵盖K-12年级科学、初高中物理、化学、生物等学科的本地仿真实验资源，仿真实验包括实验目的、实验原理、实验器材、注意事项、实验演示、开始实验、实验检测、实验应用等环节。为方便向学生展示及操作，仿真实验支持一键全屏播放。（0-2分）</w:t>
            </w:r>
          </w:p>
          <w:p>
            <w:pPr>
              <w:pStyle w:val="559"/>
              <w:spacing w:line="360" w:lineRule="auto"/>
              <w:rPr>
                <w:rFonts w:hint="eastAsia" w:ascii="宋体" w:hAnsi="宋体" w:cs="宋体"/>
                <w:b/>
                <w:bCs/>
                <w:sz w:val="24"/>
              </w:rPr>
            </w:pPr>
            <w:r>
              <w:rPr>
                <w:rFonts w:hint="eastAsia" w:ascii="宋体" w:hAnsi="宋体" w:cs="宋体"/>
                <w:sz w:val="24"/>
              </w:rPr>
              <w:t>6.软件提供教案设计功能，支持老师按照情景导入、内容精讲、同步习题、随堂测试、分组竞赛、分组探究等教学环节自由创建教案，满足不同老师备课使用需求。（0-2分）</w:t>
            </w:r>
          </w:p>
          <w:p>
            <w:pPr>
              <w:pStyle w:val="559"/>
              <w:spacing w:line="360" w:lineRule="auto"/>
              <w:rPr>
                <w:rFonts w:hint="eastAsia" w:ascii="宋体" w:hAnsi="宋体" w:cs="宋体"/>
                <w:sz w:val="24"/>
              </w:rPr>
            </w:pPr>
            <w:r>
              <w:rPr>
                <w:rFonts w:hint="eastAsia" w:ascii="宋体" w:hAnsi="宋体" w:cs="宋体"/>
                <w:sz w:val="24"/>
              </w:rPr>
              <w:t>7.专业学科工具（不依托于网络，离线可使用）：至少提供12门以上学科工具，且学科工具和其他白板软件功能在同一软件界面下，无需切换打开另外软件界面，方便老师快速应用。包含数学、语文、英语、物理、生物、历史等。内容包括但不仅包括数学公式编辑器，支持常规输入与LaTeX两种输入方式，提供古诗词、成语词典、注音、游标卡尺、启普发生器、铁架台、朝代动态介绍功能等。（0-2分）</w:t>
            </w:r>
          </w:p>
          <w:p>
            <w:pPr>
              <w:pStyle w:val="559"/>
              <w:spacing w:line="360" w:lineRule="auto"/>
              <w:rPr>
                <w:rFonts w:hint="eastAsia" w:ascii="宋体" w:hAnsi="宋体" w:cs="宋体"/>
                <w:sz w:val="24"/>
              </w:rPr>
            </w:pPr>
            <w:r>
              <w:rPr>
                <w:rFonts w:hint="eastAsia" w:ascii="宋体" w:hAnsi="宋体" w:cs="宋体"/>
                <w:sz w:val="24"/>
              </w:rPr>
              <w:t>8.方便老师教学，软件需提供快速备课功能，包含小学语文，数学，科学，初中数学，语文、物理，化学，高中数学等学科，通过简单的勾选章节（支持预览），一键生成带有文字以及动画效果的幻灯片课件，无需教师后续编辑，支持一键全屏播放。（不得使用第三方软件）（0-2分）</w:t>
            </w:r>
          </w:p>
          <w:p>
            <w:pPr>
              <w:pStyle w:val="559"/>
              <w:spacing w:line="360" w:lineRule="auto"/>
              <w:rPr>
                <w:rFonts w:hint="eastAsia" w:ascii="宋体" w:hAnsi="宋体" w:cs="宋体"/>
                <w:sz w:val="24"/>
              </w:rPr>
            </w:pPr>
            <w:r>
              <w:rPr>
                <w:rFonts w:hint="eastAsia" w:ascii="宋体" w:hAnsi="宋体" w:cs="宋体"/>
                <w:sz w:val="24"/>
              </w:rPr>
              <w:t>9.移动端可实现电脑管理：支持移动端一键切换电脑软件窗口、启动电脑应用，以及锁定、关闭电脑等。可直接读取插入智能交互设备的U盘内容，并按图片、音频、视频、文档分类，方便老师快速查找并直接打开U盘文件。（0-2分）</w:t>
            </w:r>
          </w:p>
          <w:p>
            <w:pPr>
              <w:pStyle w:val="559"/>
              <w:spacing w:line="360" w:lineRule="auto"/>
              <w:rPr>
                <w:rFonts w:hint="eastAsia" w:ascii="宋体" w:hAnsi="宋体" w:cs="宋体"/>
                <w:sz w:val="24"/>
              </w:rPr>
            </w:pPr>
            <w:r>
              <w:rPr>
                <w:rFonts w:hint="eastAsia" w:ascii="宋体" w:hAnsi="宋体" w:cs="宋体"/>
                <w:sz w:val="24"/>
              </w:rPr>
              <w:t>10.配置正版授权数字教材，数字教材覆盖小学及初中语文、历史、道德与法治及高中语文、历史、政治等部编版教材；支持教师个人账号登录并在线下载（账号和白板软件打通）。数字教材资源含教材原文、教学动画、教学视频、语音点播等。（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2" w:hRule="atLeast"/>
          <w:jc w:val="center"/>
        </w:trPr>
        <w:tc>
          <w:tcPr>
            <w:tcW w:w="698" w:type="dxa"/>
            <w:vMerge w:val="restart"/>
            <w:noWrap w:val="0"/>
            <w:tcMar>
              <w:top w:w="15" w:type="dxa"/>
              <w:left w:w="108" w:type="dxa"/>
              <w:bottom w:w="0" w:type="dxa"/>
              <w:right w:w="108" w:type="dxa"/>
            </w:tcMar>
            <w:vAlign w:val="center"/>
          </w:tcPr>
          <w:p>
            <w:pPr>
              <w:spacing w:line="360" w:lineRule="auto"/>
              <w:jc w:val="center"/>
              <w:rPr>
                <w:rFonts w:hint="eastAsia" w:ascii="宋体" w:hAnsi="宋体" w:cs="宋体"/>
                <w:sz w:val="24"/>
                <w:szCs w:val="24"/>
              </w:rPr>
            </w:pPr>
            <w:r>
              <w:rPr>
                <w:rFonts w:hint="eastAsia" w:ascii="宋体" w:hAnsi="宋体" w:cs="宋体"/>
                <w:sz w:val="24"/>
                <w:szCs w:val="24"/>
              </w:rPr>
              <w:t>3</w:t>
            </w:r>
          </w:p>
        </w:tc>
        <w:tc>
          <w:tcPr>
            <w:tcW w:w="1383" w:type="dxa"/>
            <w:vMerge w:val="restart"/>
            <w:noWrap w:val="0"/>
            <w:tcMar>
              <w:top w:w="15" w:type="dxa"/>
              <w:left w:w="108" w:type="dxa"/>
              <w:bottom w:w="0" w:type="dxa"/>
              <w:right w:w="108" w:type="dxa"/>
            </w:tcMar>
            <w:vAlign w:val="center"/>
          </w:tcPr>
          <w:p>
            <w:pPr>
              <w:snapToGrid w:val="0"/>
              <w:spacing w:line="360" w:lineRule="auto"/>
              <w:jc w:val="center"/>
              <w:rPr>
                <w:rStyle w:val="129"/>
                <w:rFonts w:ascii="宋体" w:hAnsi="宋体" w:cs="宋体"/>
                <w:szCs w:val="24"/>
              </w:rPr>
            </w:pPr>
            <w:r>
              <w:rPr>
                <w:rFonts w:hint="eastAsia" w:ascii="宋体" w:hAnsi="宋体"/>
                <w:sz w:val="24"/>
                <w:szCs w:val="24"/>
              </w:rPr>
              <w:t>85寸触控一体机</w:t>
            </w:r>
            <w:r>
              <w:rPr>
                <w:rStyle w:val="129"/>
                <w:rFonts w:hint="eastAsia" w:ascii="宋体" w:hAnsi="宋体" w:cs="宋体"/>
                <w:b w:val="0"/>
                <w:bCs/>
                <w:szCs w:val="24"/>
              </w:rPr>
              <w:t>投标产品资质</w:t>
            </w:r>
          </w:p>
        </w:tc>
        <w:tc>
          <w:tcPr>
            <w:tcW w:w="850" w:type="dxa"/>
            <w:noWrap w:val="0"/>
            <w:tcMar>
              <w:top w:w="15" w:type="dxa"/>
              <w:left w:w="108" w:type="dxa"/>
              <w:bottom w:w="0" w:type="dxa"/>
              <w:right w:w="108" w:type="dxa"/>
            </w:tcMar>
            <w:vAlign w:val="center"/>
          </w:tcPr>
          <w:p>
            <w:pPr>
              <w:spacing w:line="360" w:lineRule="auto"/>
              <w:jc w:val="center"/>
              <w:rPr>
                <w:rFonts w:hint="eastAsia" w:ascii="宋体" w:hAnsi="宋体" w:cs="宋体"/>
                <w:sz w:val="24"/>
                <w:szCs w:val="24"/>
              </w:rPr>
            </w:pPr>
            <w:r>
              <w:rPr>
                <w:rFonts w:hint="eastAsia" w:ascii="宋体" w:hAnsi="宋体" w:cs="宋体"/>
                <w:sz w:val="24"/>
                <w:szCs w:val="24"/>
              </w:rPr>
              <w:t>2</w:t>
            </w:r>
          </w:p>
        </w:tc>
        <w:tc>
          <w:tcPr>
            <w:tcW w:w="6860" w:type="dxa"/>
            <w:noWrap w:val="0"/>
            <w:tcMar>
              <w:top w:w="15" w:type="dxa"/>
              <w:left w:w="108" w:type="dxa"/>
              <w:bottom w:w="0" w:type="dxa"/>
              <w:right w:w="108" w:type="dxa"/>
            </w:tcMar>
            <w:vAlign w:val="center"/>
          </w:tcPr>
          <w:p>
            <w:pPr>
              <w:snapToGrid w:val="0"/>
              <w:spacing w:line="360" w:lineRule="auto"/>
              <w:jc w:val="left"/>
              <w:rPr>
                <w:rFonts w:ascii="宋体" w:hAnsi="宋体"/>
                <w:sz w:val="24"/>
                <w:szCs w:val="24"/>
              </w:rPr>
            </w:pPr>
            <w:r>
              <w:rPr>
                <w:rFonts w:hint="eastAsia" w:ascii="宋体" w:hAnsi="宋体"/>
                <w:sz w:val="24"/>
                <w:szCs w:val="24"/>
              </w:rPr>
              <w:t>投标交互产品整机通过莱茵TUV低蓝光护眼认证，提供证书扫描件</w:t>
            </w:r>
            <w:r>
              <w:rPr>
                <w:rFonts w:hint="eastAsia" w:ascii="宋体" w:hAnsi="宋体" w:cs="宋体"/>
                <w:sz w:val="24"/>
              </w:rPr>
              <w:t>加盖CA签章。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4" w:hRule="atLeast"/>
          <w:jc w:val="center"/>
        </w:trPr>
        <w:tc>
          <w:tcPr>
            <w:tcW w:w="698" w:type="dxa"/>
            <w:vMerge w:val="continue"/>
            <w:noWrap w:val="0"/>
            <w:tcMar>
              <w:top w:w="15" w:type="dxa"/>
              <w:left w:w="108" w:type="dxa"/>
              <w:bottom w:w="0" w:type="dxa"/>
              <w:right w:w="108" w:type="dxa"/>
            </w:tcMar>
            <w:vAlign w:val="center"/>
          </w:tcPr>
          <w:p>
            <w:pPr>
              <w:spacing w:line="360" w:lineRule="auto"/>
              <w:jc w:val="center"/>
              <w:rPr>
                <w:rFonts w:hint="eastAsia" w:ascii="宋体" w:hAnsi="宋体" w:cs="宋体"/>
                <w:sz w:val="24"/>
                <w:szCs w:val="24"/>
              </w:rPr>
            </w:pPr>
          </w:p>
        </w:tc>
        <w:tc>
          <w:tcPr>
            <w:tcW w:w="1383" w:type="dxa"/>
            <w:vMerge w:val="continue"/>
            <w:noWrap w:val="0"/>
            <w:tcMar>
              <w:top w:w="15" w:type="dxa"/>
              <w:left w:w="108" w:type="dxa"/>
              <w:bottom w:w="0" w:type="dxa"/>
              <w:right w:w="108" w:type="dxa"/>
            </w:tcMar>
            <w:vAlign w:val="center"/>
          </w:tcPr>
          <w:p>
            <w:pPr>
              <w:snapToGrid w:val="0"/>
              <w:spacing w:line="360" w:lineRule="auto"/>
              <w:jc w:val="center"/>
              <w:rPr>
                <w:rFonts w:hint="eastAsia" w:ascii="宋体" w:hAnsi="宋体"/>
                <w:sz w:val="24"/>
                <w:szCs w:val="24"/>
              </w:rPr>
            </w:pPr>
          </w:p>
        </w:tc>
        <w:tc>
          <w:tcPr>
            <w:tcW w:w="850" w:type="dxa"/>
            <w:noWrap w:val="0"/>
            <w:tcMar>
              <w:top w:w="15" w:type="dxa"/>
              <w:left w:w="108" w:type="dxa"/>
              <w:bottom w:w="0" w:type="dxa"/>
              <w:right w:w="108" w:type="dxa"/>
            </w:tcMar>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6860" w:type="dxa"/>
            <w:noWrap w:val="0"/>
            <w:tcMar>
              <w:top w:w="15" w:type="dxa"/>
              <w:left w:w="108" w:type="dxa"/>
              <w:bottom w:w="0" w:type="dxa"/>
              <w:right w:w="108" w:type="dxa"/>
            </w:tcMar>
            <w:vAlign w:val="center"/>
          </w:tcPr>
          <w:p>
            <w:pPr>
              <w:spacing w:line="360" w:lineRule="auto"/>
              <w:jc w:val="left"/>
              <w:rPr>
                <w:rFonts w:ascii="宋体" w:hAnsi="宋体" w:cs="宋体"/>
                <w:sz w:val="24"/>
                <w:szCs w:val="24"/>
              </w:rPr>
            </w:pPr>
            <w:r>
              <w:rPr>
                <w:rFonts w:hint="eastAsia" w:ascii="宋体" w:hAnsi="宋体" w:cs="宋体"/>
                <w:sz w:val="24"/>
                <w:szCs w:val="24"/>
              </w:rPr>
              <w:t>投标产品教学平台软件具有公安部监制的信息安全等级保护三级及以上证书</w:t>
            </w:r>
            <w:r>
              <w:rPr>
                <w:rFonts w:hint="eastAsia" w:ascii="宋体" w:hAnsi="宋体" w:cs="宋体"/>
                <w:sz w:val="24"/>
              </w:rPr>
              <w:t>加盖CA签章。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4" w:hRule="atLeast"/>
          <w:jc w:val="center"/>
        </w:trPr>
        <w:tc>
          <w:tcPr>
            <w:tcW w:w="698" w:type="dxa"/>
            <w:vMerge w:val="continue"/>
            <w:noWrap w:val="0"/>
            <w:tcMar>
              <w:top w:w="15" w:type="dxa"/>
              <w:left w:w="108" w:type="dxa"/>
              <w:bottom w:w="0" w:type="dxa"/>
              <w:right w:w="108" w:type="dxa"/>
            </w:tcMar>
            <w:vAlign w:val="center"/>
          </w:tcPr>
          <w:p>
            <w:pPr>
              <w:spacing w:line="360" w:lineRule="auto"/>
              <w:jc w:val="center"/>
              <w:rPr>
                <w:rFonts w:hint="eastAsia" w:ascii="宋体" w:hAnsi="宋体" w:cs="宋体"/>
                <w:sz w:val="24"/>
                <w:szCs w:val="24"/>
              </w:rPr>
            </w:pPr>
          </w:p>
        </w:tc>
        <w:tc>
          <w:tcPr>
            <w:tcW w:w="1383" w:type="dxa"/>
            <w:vMerge w:val="continue"/>
            <w:noWrap w:val="0"/>
            <w:tcMar>
              <w:top w:w="15" w:type="dxa"/>
              <w:left w:w="108" w:type="dxa"/>
              <w:bottom w:w="0" w:type="dxa"/>
              <w:right w:w="108" w:type="dxa"/>
            </w:tcMar>
            <w:vAlign w:val="center"/>
          </w:tcPr>
          <w:p>
            <w:pPr>
              <w:snapToGrid w:val="0"/>
              <w:spacing w:line="360" w:lineRule="auto"/>
              <w:jc w:val="center"/>
              <w:rPr>
                <w:rFonts w:hint="eastAsia" w:ascii="宋体" w:hAnsi="宋体"/>
                <w:sz w:val="24"/>
                <w:szCs w:val="24"/>
              </w:rPr>
            </w:pPr>
          </w:p>
        </w:tc>
        <w:tc>
          <w:tcPr>
            <w:tcW w:w="850" w:type="dxa"/>
            <w:noWrap w:val="0"/>
            <w:tcMar>
              <w:top w:w="15" w:type="dxa"/>
              <w:left w:w="108" w:type="dxa"/>
              <w:bottom w:w="0" w:type="dxa"/>
              <w:right w:w="108" w:type="dxa"/>
            </w:tcMar>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6860" w:type="dxa"/>
            <w:noWrap w:val="0"/>
            <w:tcMar>
              <w:top w:w="15" w:type="dxa"/>
              <w:left w:w="108" w:type="dxa"/>
              <w:bottom w:w="0" w:type="dxa"/>
              <w:right w:w="108" w:type="dxa"/>
            </w:tcMar>
            <w:vAlign w:val="center"/>
          </w:tcPr>
          <w:p>
            <w:pPr>
              <w:snapToGrid w:val="0"/>
              <w:spacing w:line="360" w:lineRule="auto"/>
              <w:jc w:val="left"/>
              <w:rPr>
                <w:rFonts w:hint="eastAsia" w:ascii="宋体" w:hAnsi="宋体"/>
                <w:sz w:val="24"/>
                <w:szCs w:val="24"/>
              </w:rPr>
            </w:pPr>
            <w:r>
              <w:rPr>
                <w:rFonts w:hint="eastAsia" w:ascii="宋体" w:hAnsi="宋体"/>
                <w:sz w:val="24"/>
                <w:szCs w:val="24"/>
              </w:rPr>
              <w:t>为保证产品质量、供货进度及后续便利维护，最大限度保护用户根本利益，交互平板CCC证书的申请人、制造商、生产厂为同一企业，提供3C证书复印件</w:t>
            </w:r>
            <w:r>
              <w:rPr>
                <w:rFonts w:hint="eastAsia" w:ascii="宋体" w:hAnsi="宋体" w:cs="宋体"/>
                <w:sz w:val="24"/>
              </w:rPr>
              <w:t>加盖CA签章。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4" w:hRule="atLeast"/>
          <w:jc w:val="center"/>
        </w:trPr>
        <w:tc>
          <w:tcPr>
            <w:tcW w:w="698" w:type="dxa"/>
            <w:noWrap w:val="0"/>
            <w:tcMar>
              <w:top w:w="15" w:type="dxa"/>
              <w:left w:w="108" w:type="dxa"/>
              <w:bottom w:w="0" w:type="dxa"/>
              <w:right w:w="108" w:type="dxa"/>
            </w:tcMar>
            <w:vAlign w:val="center"/>
          </w:tcPr>
          <w:p>
            <w:pPr>
              <w:spacing w:line="360" w:lineRule="auto"/>
              <w:jc w:val="center"/>
              <w:rPr>
                <w:rFonts w:hint="eastAsia" w:ascii="宋体" w:hAnsi="宋体" w:cs="宋体"/>
                <w:sz w:val="24"/>
                <w:szCs w:val="24"/>
              </w:rPr>
            </w:pPr>
            <w:r>
              <w:rPr>
                <w:rFonts w:hint="eastAsia" w:ascii="宋体" w:hAnsi="宋体" w:cs="宋体"/>
                <w:sz w:val="24"/>
                <w:szCs w:val="24"/>
              </w:rPr>
              <w:t>4</w:t>
            </w:r>
          </w:p>
        </w:tc>
        <w:tc>
          <w:tcPr>
            <w:tcW w:w="1383" w:type="dxa"/>
            <w:noWrap w:val="0"/>
            <w:tcMar>
              <w:top w:w="15" w:type="dxa"/>
              <w:left w:w="108" w:type="dxa"/>
              <w:bottom w:w="0" w:type="dxa"/>
              <w:right w:w="108" w:type="dxa"/>
            </w:tcMar>
            <w:vAlign w:val="center"/>
          </w:tcPr>
          <w:p>
            <w:pPr>
              <w:snapToGrid w:val="0"/>
              <w:spacing w:line="360" w:lineRule="auto"/>
              <w:jc w:val="center"/>
              <w:rPr>
                <w:rFonts w:hint="eastAsia" w:ascii="宋体" w:hAnsi="宋体"/>
                <w:sz w:val="24"/>
                <w:szCs w:val="24"/>
              </w:rPr>
            </w:pPr>
            <w:r>
              <w:rPr>
                <w:rFonts w:hint="eastAsia" w:ascii="宋体" w:hAnsi="宋体" w:cs="宋体"/>
                <w:color w:val="000000"/>
                <w:kern w:val="0"/>
                <w:sz w:val="24"/>
                <w:szCs w:val="24"/>
              </w:rPr>
              <w:t>类似业绩</w:t>
            </w:r>
          </w:p>
        </w:tc>
        <w:tc>
          <w:tcPr>
            <w:tcW w:w="850" w:type="dxa"/>
            <w:noWrap w:val="0"/>
            <w:tcMar>
              <w:top w:w="15" w:type="dxa"/>
              <w:left w:w="108" w:type="dxa"/>
              <w:bottom w:w="0" w:type="dxa"/>
              <w:right w:w="108" w:type="dxa"/>
            </w:tcMar>
            <w:vAlign w:val="center"/>
          </w:tcPr>
          <w:p>
            <w:pPr>
              <w:spacing w:line="360" w:lineRule="auto"/>
              <w:jc w:val="center"/>
              <w:rPr>
                <w:rFonts w:hint="eastAsia" w:ascii="宋体" w:hAnsi="宋体" w:cs="宋体"/>
                <w:sz w:val="24"/>
                <w:szCs w:val="24"/>
              </w:rPr>
            </w:pPr>
            <w:r>
              <w:rPr>
                <w:rFonts w:hint="eastAsia" w:ascii="宋体" w:hAnsi="宋体" w:cs="宋体"/>
                <w:sz w:val="24"/>
                <w:szCs w:val="24"/>
              </w:rPr>
              <w:t>5</w:t>
            </w:r>
          </w:p>
        </w:tc>
        <w:tc>
          <w:tcPr>
            <w:tcW w:w="6860" w:type="dxa"/>
            <w:noWrap w:val="0"/>
            <w:tcMar>
              <w:top w:w="15" w:type="dxa"/>
              <w:left w:w="108" w:type="dxa"/>
              <w:bottom w:w="0" w:type="dxa"/>
              <w:right w:w="108" w:type="dxa"/>
            </w:tcMar>
            <w:vAlign w:val="center"/>
          </w:tcPr>
          <w:p>
            <w:pPr>
              <w:pStyle w:val="559"/>
              <w:spacing w:line="360" w:lineRule="auto"/>
              <w:rPr>
                <w:rFonts w:hint="eastAsia" w:ascii="宋体" w:hAnsi="宋体"/>
                <w:sz w:val="24"/>
              </w:rPr>
            </w:pPr>
            <w:r>
              <w:rPr>
                <w:rFonts w:hint="eastAsia" w:ascii="宋体" w:hAnsi="宋体" w:cs="宋体"/>
                <w:sz w:val="24"/>
              </w:rPr>
              <w:t>根据投标人所提供近三年类似触控一体机业绩进行比较</w:t>
            </w:r>
            <w:r>
              <w:rPr>
                <w:rFonts w:hint="eastAsia" w:ascii="宋体" w:hAnsi="宋体" w:cs="宋体"/>
                <w:sz w:val="24"/>
                <w:lang w:eastAsia="zh-CN"/>
              </w:rPr>
              <w:t>。</w:t>
            </w:r>
            <w:r>
              <w:rPr>
                <w:rFonts w:hint="eastAsia" w:ascii="宋体" w:hAnsi="宋体" w:cs="宋体"/>
                <w:sz w:val="24"/>
              </w:rPr>
              <w:t>提供中标通知书、合同扫描件加盖CA签章。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4" w:hRule="atLeast"/>
          <w:jc w:val="center"/>
        </w:trPr>
        <w:tc>
          <w:tcPr>
            <w:tcW w:w="698" w:type="dxa"/>
            <w:vMerge w:val="restart"/>
            <w:noWrap w:val="0"/>
            <w:tcMar>
              <w:top w:w="15" w:type="dxa"/>
              <w:left w:w="108" w:type="dxa"/>
              <w:bottom w:w="0" w:type="dxa"/>
              <w:right w:w="108" w:type="dxa"/>
            </w:tcMar>
            <w:vAlign w:val="center"/>
          </w:tcPr>
          <w:p>
            <w:pPr>
              <w:spacing w:line="360" w:lineRule="auto"/>
              <w:jc w:val="center"/>
              <w:rPr>
                <w:rFonts w:hint="eastAsia" w:ascii="宋体" w:hAnsi="宋体" w:cs="宋体"/>
                <w:sz w:val="24"/>
                <w:szCs w:val="24"/>
              </w:rPr>
            </w:pPr>
            <w:r>
              <w:rPr>
                <w:rFonts w:hint="eastAsia" w:ascii="宋体" w:hAnsi="宋体" w:cs="宋体"/>
                <w:sz w:val="24"/>
                <w:szCs w:val="24"/>
              </w:rPr>
              <w:t>5</w:t>
            </w:r>
          </w:p>
        </w:tc>
        <w:tc>
          <w:tcPr>
            <w:tcW w:w="1383" w:type="dxa"/>
            <w:vMerge w:val="restart"/>
            <w:noWrap w:val="0"/>
            <w:tcMar>
              <w:top w:w="15" w:type="dxa"/>
              <w:left w:w="108" w:type="dxa"/>
              <w:bottom w:w="0" w:type="dxa"/>
              <w:right w:w="108" w:type="dxa"/>
            </w:tcMar>
            <w:vAlign w:val="center"/>
          </w:tcPr>
          <w:p>
            <w:pPr>
              <w:snapToGrid w:val="0"/>
              <w:spacing w:line="360" w:lineRule="auto"/>
              <w:jc w:val="center"/>
              <w:rPr>
                <w:rFonts w:hint="eastAsia" w:ascii="宋体" w:hAnsi="宋体" w:cs="宋体"/>
                <w:color w:val="000000"/>
                <w:kern w:val="0"/>
                <w:sz w:val="24"/>
                <w:szCs w:val="24"/>
              </w:rPr>
            </w:pPr>
            <w:r>
              <w:rPr>
                <w:rFonts w:hint="eastAsia" w:ascii="宋体" w:hAnsi="宋体" w:cs="宋体"/>
                <w:sz w:val="24"/>
                <w:szCs w:val="24"/>
              </w:rPr>
              <w:t>售后服务</w:t>
            </w:r>
          </w:p>
        </w:tc>
        <w:tc>
          <w:tcPr>
            <w:tcW w:w="850" w:type="dxa"/>
            <w:noWrap w:val="0"/>
            <w:tcMar>
              <w:top w:w="15" w:type="dxa"/>
              <w:left w:w="108" w:type="dxa"/>
              <w:bottom w:w="0" w:type="dxa"/>
              <w:right w:w="108" w:type="dxa"/>
            </w:tcMar>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6860" w:type="dxa"/>
            <w:noWrap w:val="0"/>
            <w:tcMar>
              <w:top w:w="15" w:type="dxa"/>
              <w:left w:w="108" w:type="dxa"/>
              <w:bottom w:w="0" w:type="dxa"/>
              <w:right w:w="108" w:type="dxa"/>
            </w:tcMar>
            <w:vAlign w:val="center"/>
          </w:tcPr>
          <w:p>
            <w:pPr>
              <w:spacing w:line="360" w:lineRule="auto"/>
              <w:jc w:val="left"/>
              <w:rPr>
                <w:rFonts w:ascii="宋体" w:hAnsi="宋体" w:cs="宋体"/>
                <w:sz w:val="24"/>
                <w:szCs w:val="24"/>
              </w:rPr>
            </w:pPr>
            <w:r>
              <w:rPr>
                <w:rFonts w:hint="eastAsia" w:ascii="宋体" w:hAnsi="宋体" w:cs="宋体"/>
                <w:sz w:val="24"/>
                <w:szCs w:val="24"/>
              </w:rPr>
              <w:t>施工方案</w:t>
            </w:r>
            <w:r>
              <w:rPr>
                <w:rFonts w:hint="eastAsia" w:ascii="宋体" w:hAnsi="宋体" w:cs="宋体"/>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atLeast"/>
          <w:jc w:val="center"/>
        </w:trPr>
        <w:tc>
          <w:tcPr>
            <w:tcW w:w="698" w:type="dxa"/>
            <w:vMerge w:val="continue"/>
            <w:noWrap w:val="0"/>
            <w:tcMar>
              <w:top w:w="15" w:type="dxa"/>
              <w:left w:w="108" w:type="dxa"/>
              <w:bottom w:w="0" w:type="dxa"/>
              <w:right w:w="108" w:type="dxa"/>
            </w:tcMar>
            <w:vAlign w:val="center"/>
          </w:tcPr>
          <w:p>
            <w:pPr>
              <w:spacing w:line="360" w:lineRule="auto"/>
              <w:jc w:val="center"/>
              <w:rPr>
                <w:rFonts w:hint="eastAsia" w:ascii="宋体" w:hAnsi="宋体" w:cs="宋体"/>
                <w:sz w:val="24"/>
                <w:szCs w:val="24"/>
              </w:rPr>
            </w:pPr>
          </w:p>
        </w:tc>
        <w:tc>
          <w:tcPr>
            <w:tcW w:w="1383" w:type="dxa"/>
            <w:vMerge w:val="continue"/>
            <w:noWrap w:val="0"/>
            <w:tcMar>
              <w:top w:w="15" w:type="dxa"/>
              <w:left w:w="108" w:type="dxa"/>
              <w:bottom w:w="0" w:type="dxa"/>
              <w:right w:w="108" w:type="dxa"/>
            </w:tcMar>
            <w:vAlign w:val="center"/>
          </w:tcPr>
          <w:p>
            <w:pPr>
              <w:snapToGrid w:val="0"/>
              <w:spacing w:line="360" w:lineRule="auto"/>
              <w:jc w:val="center"/>
              <w:rPr>
                <w:rFonts w:hint="eastAsia" w:ascii="宋体" w:hAnsi="宋体" w:cs="宋体"/>
                <w:sz w:val="24"/>
                <w:szCs w:val="24"/>
              </w:rPr>
            </w:pPr>
          </w:p>
        </w:tc>
        <w:tc>
          <w:tcPr>
            <w:tcW w:w="850" w:type="dxa"/>
            <w:noWrap w:val="0"/>
            <w:tcMar>
              <w:top w:w="15" w:type="dxa"/>
              <w:left w:w="108" w:type="dxa"/>
              <w:bottom w:w="0" w:type="dxa"/>
              <w:right w:w="108" w:type="dxa"/>
            </w:tcMar>
            <w:vAlign w:val="center"/>
          </w:tcPr>
          <w:p>
            <w:pPr>
              <w:spacing w:line="360" w:lineRule="auto"/>
              <w:jc w:val="center"/>
              <w:rPr>
                <w:rFonts w:hint="eastAsia" w:ascii="宋体" w:hAnsi="宋体" w:cs="宋体"/>
                <w:sz w:val="24"/>
                <w:szCs w:val="24"/>
              </w:rPr>
            </w:pPr>
            <w:r>
              <w:rPr>
                <w:rFonts w:hint="eastAsia" w:ascii="宋体" w:hAnsi="宋体" w:cs="宋体"/>
                <w:sz w:val="24"/>
                <w:szCs w:val="24"/>
              </w:rPr>
              <w:t>5</w:t>
            </w:r>
          </w:p>
        </w:tc>
        <w:tc>
          <w:tcPr>
            <w:tcW w:w="6860" w:type="dxa"/>
            <w:noWrap w:val="0"/>
            <w:tcMar>
              <w:top w:w="15" w:type="dxa"/>
              <w:left w:w="108" w:type="dxa"/>
              <w:bottom w:w="0" w:type="dxa"/>
              <w:right w:w="108" w:type="dxa"/>
            </w:tcMar>
            <w:vAlign w:val="center"/>
          </w:tcPr>
          <w:p>
            <w:pPr>
              <w:spacing w:line="360" w:lineRule="auto"/>
              <w:jc w:val="left"/>
              <w:rPr>
                <w:rFonts w:hint="eastAsia" w:ascii="宋体" w:hAnsi="宋体" w:cs="宋体"/>
                <w:sz w:val="24"/>
                <w:szCs w:val="24"/>
              </w:rPr>
            </w:pPr>
            <w:r>
              <w:rPr>
                <w:rFonts w:hint="eastAsia" w:ascii="宋体" w:hAnsi="宋体"/>
                <w:kern w:val="0"/>
                <w:sz w:val="24"/>
                <w:szCs w:val="24"/>
              </w:rPr>
              <w:t>根据售后服务的具体内容和措施（包括质保期内的售后服务具体方案及质保期满后的售后服务具体方案）及售后服务的网点等情况由专家进行打分。</w:t>
            </w:r>
            <w:r>
              <w:rPr>
                <w:rFonts w:hint="eastAsia" w:ascii="宋体" w:hAnsi="宋体" w:cs="宋体"/>
                <w:sz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atLeast"/>
          <w:jc w:val="center"/>
        </w:trPr>
        <w:tc>
          <w:tcPr>
            <w:tcW w:w="698" w:type="dxa"/>
            <w:noWrap w:val="0"/>
            <w:tcMar>
              <w:top w:w="15" w:type="dxa"/>
              <w:left w:w="108" w:type="dxa"/>
              <w:bottom w:w="0" w:type="dxa"/>
              <w:right w:w="108" w:type="dxa"/>
            </w:tcMar>
            <w:vAlign w:val="center"/>
          </w:tcPr>
          <w:p>
            <w:pPr>
              <w:spacing w:line="360" w:lineRule="auto"/>
              <w:jc w:val="center"/>
              <w:rPr>
                <w:rFonts w:hint="eastAsia" w:ascii="宋体" w:hAnsi="宋体" w:cs="宋体"/>
                <w:sz w:val="24"/>
                <w:szCs w:val="24"/>
              </w:rPr>
            </w:pPr>
            <w:r>
              <w:rPr>
                <w:rFonts w:hint="eastAsia" w:ascii="宋体" w:hAnsi="宋体" w:cs="宋体"/>
                <w:sz w:val="24"/>
                <w:szCs w:val="24"/>
              </w:rPr>
              <w:t>6</w:t>
            </w:r>
          </w:p>
        </w:tc>
        <w:tc>
          <w:tcPr>
            <w:tcW w:w="1383" w:type="dxa"/>
            <w:noWrap w:val="0"/>
            <w:tcMar>
              <w:top w:w="15" w:type="dxa"/>
              <w:left w:w="108" w:type="dxa"/>
              <w:bottom w:w="0" w:type="dxa"/>
              <w:right w:w="108" w:type="dxa"/>
            </w:tcMar>
            <w:vAlign w:val="center"/>
          </w:tcPr>
          <w:p>
            <w:pPr>
              <w:spacing w:line="360" w:lineRule="auto"/>
              <w:jc w:val="center"/>
              <w:rPr>
                <w:rFonts w:hint="eastAsia" w:ascii="宋体" w:hAnsi="宋体" w:cs="宋体"/>
                <w:sz w:val="24"/>
                <w:szCs w:val="24"/>
              </w:rPr>
            </w:pPr>
            <w:r>
              <w:rPr>
                <w:rFonts w:hint="eastAsia" w:ascii="宋体" w:hAnsi="宋体"/>
                <w:color w:val="000000"/>
                <w:kern w:val="0"/>
                <w:sz w:val="24"/>
                <w:szCs w:val="24"/>
                <w:shd w:val="clear" w:color="auto" w:fill="FFFFFF"/>
              </w:rPr>
              <w:t>标书质量</w:t>
            </w:r>
          </w:p>
        </w:tc>
        <w:tc>
          <w:tcPr>
            <w:tcW w:w="850" w:type="dxa"/>
            <w:noWrap w:val="0"/>
            <w:tcMar>
              <w:top w:w="15" w:type="dxa"/>
              <w:left w:w="108" w:type="dxa"/>
              <w:bottom w:w="0" w:type="dxa"/>
              <w:right w:w="108" w:type="dxa"/>
            </w:tcMar>
            <w:vAlign w:val="center"/>
          </w:tcPr>
          <w:p>
            <w:pPr>
              <w:spacing w:line="360" w:lineRule="auto"/>
              <w:jc w:val="center"/>
              <w:rPr>
                <w:rFonts w:hint="eastAsia" w:ascii="宋体" w:hAnsi="宋体" w:cs="宋体"/>
                <w:sz w:val="24"/>
                <w:szCs w:val="24"/>
              </w:rPr>
            </w:pPr>
            <w:r>
              <w:rPr>
                <w:rFonts w:hint="eastAsia" w:ascii="宋体" w:hAnsi="宋体" w:cs="宋体"/>
                <w:sz w:val="24"/>
                <w:szCs w:val="24"/>
              </w:rPr>
              <w:t>2</w:t>
            </w:r>
          </w:p>
        </w:tc>
        <w:tc>
          <w:tcPr>
            <w:tcW w:w="6860" w:type="dxa"/>
            <w:noWrap w:val="0"/>
            <w:tcMar>
              <w:top w:w="15" w:type="dxa"/>
              <w:left w:w="108" w:type="dxa"/>
              <w:bottom w:w="0" w:type="dxa"/>
              <w:right w:w="108" w:type="dxa"/>
            </w:tcMar>
            <w:vAlign w:val="center"/>
          </w:tcPr>
          <w:p>
            <w:pPr>
              <w:spacing w:line="360" w:lineRule="auto"/>
              <w:jc w:val="left"/>
              <w:rPr>
                <w:rFonts w:hint="eastAsia" w:ascii="宋体" w:hAnsi="宋体" w:cs="宋体"/>
                <w:sz w:val="24"/>
                <w:szCs w:val="24"/>
              </w:rPr>
            </w:pPr>
            <w:r>
              <w:rPr>
                <w:rFonts w:hint="eastAsia" w:ascii="宋体" w:hAnsi="宋体"/>
                <w:color w:val="000000"/>
                <w:kern w:val="0"/>
                <w:sz w:val="24"/>
                <w:szCs w:val="24"/>
                <w:shd w:val="clear" w:color="auto" w:fill="FFFFFF"/>
              </w:rPr>
              <w:t>根据投标文件编制质量和内容进行打分。</w:t>
            </w:r>
          </w:p>
        </w:tc>
      </w:tr>
    </w:tbl>
    <w:p>
      <w:pPr>
        <w:pStyle w:val="539"/>
        <w:tabs>
          <w:tab w:val="left" w:pos="900"/>
        </w:tabs>
        <w:spacing w:after="0" w:afterLines="0" w:line="460" w:lineRule="exact"/>
        <w:ind w:left="0" w:leftChars="0" w:firstLine="480" w:firstLineChars="200"/>
        <w:rPr>
          <w:rFonts w:hint="default" w:ascii="宋体" w:hAnsi="宋体"/>
          <w:kern w:val="2"/>
          <w:szCs w:val="24"/>
        </w:rPr>
      </w:pPr>
      <w:r>
        <w:rPr>
          <w:rFonts w:ascii="宋体" w:hAnsi="宋体"/>
          <w:kern w:val="2"/>
          <w:szCs w:val="24"/>
        </w:rPr>
        <w:t>2.</w:t>
      </w:r>
      <w:r>
        <w:rPr>
          <w:rFonts w:asciiTheme="minorEastAsia" w:hAnsiTheme="minorEastAsia" w:eastAsiaTheme="minorEastAsia"/>
          <w:bCs/>
          <w:szCs w:val="24"/>
        </w:rPr>
        <w:t>价格分</w:t>
      </w:r>
      <w:r>
        <w:rPr>
          <w:rFonts w:ascii="宋体" w:hAnsi="宋体"/>
          <w:kern w:val="2"/>
          <w:szCs w:val="24"/>
        </w:rPr>
        <w:t>(</w:t>
      </w:r>
      <w:r>
        <w:rPr>
          <w:rFonts w:hint="eastAsia" w:ascii="宋体" w:hAnsi="宋体"/>
          <w:kern w:val="2"/>
          <w:szCs w:val="24"/>
          <w:lang w:val="en-US" w:eastAsia="zh-CN"/>
        </w:rPr>
        <w:t>4</w:t>
      </w:r>
      <w:r>
        <w:rPr>
          <w:rFonts w:ascii="宋体" w:hAnsi="宋体"/>
          <w:kern w:val="2"/>
          <w:szCs w:val="24"/>
        </w:rPr>
        <w:t>0分)</w:t>
      </w:r>
    </w:p>
    <w:p>
      <w:pPr>
        <w:pStyle w:val="539"/>
        <w:tabs>
          <w:tab w:val="left" w:pos="900"/>
        </w:tabs>
        <w:spacing w:after="0" w:afterLines="0" w:line="460" w:lineRule="exact"/>
        <w:ind w:left="0" w:firstLine="480"/>
        <w:rPr>
          <w:rFonts w:hint="default"/>
          <w:szCs w:val="24"/>
        </w:rPr>
      </w:pPr>
      <w:r>
        <w:rPr>
          <w:rFonts w:asciiTheme="minorEastAsia" w:hAnsiTheme="minorEastAsia" w:eastAsiaTheme="minorEastAsia"/>
          <w:bCs/>
          <w:szCs w:val="24"/>
        </w:rPr>
        <w:t>价格分</w:t>
      </w:r>
      <w:r>
        <w:rPr>
          <w:rFonts w:ascii="宋体" w:hAnsi="宋体"/>
          <w:szCs w:val="24"/>
        </w:rPr>
        <w:t>采用低价优先法计算</w:t>
      </w:r>
      <w:r>
        <w:rPr>
          <w:szCs w:val="24"/>
        </w:rPr>
        <w:t>，即满足磋商文件要求且投标价格最低的投标报价为评标基准价，其</w:t>
      </w:r>
      <w:r>
        <w:rPr>
          <w:rFonts w:asciiTheme="minorEastAsia" w:hAnsiTheme="minorEastAsia" w:eastAsiaTheme="minorEastAsia"/>
          <w:bCs/>
          <w:szCs w:val="24"/>
        </w:rPr>
        <w:t>价格分</w:t>
      </w:r>
      <w:r>
        <w:rPr>
          <w:szCs w:val="24"/>
        </w:rPr>
        <w:t>为满分</w:t>
      </w:r>
      <w:r>
        <w:rPr>
          <w:rFonts w:hint="eastAsia"/>
          <w:szCs w:val="24"/>
          <w:lang w:val="en-US" w:eastAsia="zh-CN"/>
        </w:rPr>
        <w:t>4</w:t>
      </w:r>
      <w:r>
        <w:rPr>
          <w:szCs w:val="24"/>
        </w:rPr>
        <w:t>0分。其他磋商响应方的商务分统一按照下列公式计算：</w:t>
      </w:r>
      <w:r>
        <w:rPr>
          <w:rFonts w:asciiTheme="minorEastAsia" w:hAnsiTheme="minorEastAsia" w:eastAsiaTheme="minorEastAsia"/>
          <w:bCs/>
          <w:szCs w:val="24"/>
        </w:rPr>
        <w:t>价格分</w:t>
      </w:r>
      <w:r>
        <w:rPr>
          <w:szCs w:val="24"/>
        </w:rPr>
        <w:t>=（评标基准价/投标报价）×</w:t>
      </w:r>
      <w:r>
        <w:rPr>
          <w:rFonts w:hint="eastAsia"/>
          <w:szCs w:val="24"/>
          <w:lang w:val="en-US" w:eastAsia="zh-CN"/>
        </w:rPr>
        <w:t>4</w:t>
      </w:r>
      <w:r>
        <w:rPr>
          <w:szCs w:val="24"/>
        </w:rPr>
        <w:t>0%×100（保留到小数点后两位，第单位四舍五入）。</w:t>
      </w:r>
    </w:p>
    <w:p>
      <w:pPr>
        <w:snapToGrid w:val="0"/>
        <w:spacing w:line="460" w:lineRule="exact"/>
        <w:ind w:left="105" w:leftChars="50" w:firstLine="480" w:firstLineChars="200"/>
        <w:rPr>
          <w:rFonts w:ascii="宋体" w:hAnsi="宋体"/>
          <w:kern w:val="0"/>
          <w:sz w:val="24"/>
          <w:szCs w:val="24"/>
        </w:rPr>
      </w:pPr>
      <w:r>
        <w:rPr>
          <w:rFonts w:hint="eastAsia" w:ascii="宋体" w:hAnsi="宋体"/>
          <w:color w:val="auto"/>
          <w:kern w:val="0"/>
          <w:sz w:val="24"/>
          <w:szCs w:val="24"/>
          <w:lang w:val="en-US" w:eastAsia="zh-CN"/>
        </w:rPr>
        <w:t>根据财政部87号令第六十条规定，</w:t>
      </w:r>
      <w:r>
        <w:rPr>
          <w:rFonts w:ascii="宋体" w:hAnsi="宋体"/>
          <w:kern w:val="0"/>
          <w:sz w:val="24"/>
          <w:szCs w:val="24"/>
        </w:rPr>
        <w:t>磋商小组委员会在评审时发现投标人的报价明显低于本项目市场运行成本报价的，应当要求投标人书面说明并提供相关证明材料。投标人不能当场合理说明原因并提供证明材料的，磋商小组委员会将把该投标人的磋商响应文件作无效处理，并在评审报告中说明。</w:t>
      </w:r>
    </w:p>
    <w:p>
      <w:pPr>
        <w:pStyle w:val="2"/>
      </w:pPr>
      <w:r>
        <w:br w:type="page"/>
      </w:r>
    </w:p>
    <w:p>
      <w:pPr>
        <w:pStyle w:val="28"/>
        <w:snapToGrid w:val="0"/>
        <w:spacing w:beforeLines="0" w:afterLines="0" w:line="480" w:lineRule="auto"/>
        <w:jc w:val="center"/>
        <w:outlineLvl w:val="0"/>
        <w:rPr>
          <w:rFonts w:hAnsi="宋体"/>
          <w:b/>
          <w:sz w:val="36"/>
          <w:szCs w:val="36"/>
        </w:rPr>
      </w:pPr>
      <w:bookmarkStart w:id="75" w:name="_Toc3402"/>
      <w:r>
        <w:rPr>
          <w:rFonts w:hAnsi="宋体"/>
          <w:b/>
          <w:sz w:val="36"/>
          <w:szCs w:val="36"/>
        </w:rPr>
        <w:t>第四章</w:t>
      </w:r>
      <w:r>
        <w:rPr>
          <w:rFonts w:hint="eastAsia" w:hAnsi="宋体"/>
          <w:b/>
          <w:sz w:val="36"/>
          <w:szCs w:val="36"/>
        </w:rPr>
        <w:t xml:space="preserve"> 采购需求</w:t>
      </w:r>
      <w:bookmarkEnd w:id="75"/>
      <w:r>
        <w:rPr>
          <w:rFonts w:hAnsi="宋体"/>
          <w:b/>
          <w:sz w:val="36"/>
          <w:szCs w:val="36"/>
        </w:rPr>
        <w:t xml:space="preserve"> </w:t>
      </w:r>
    </w:p>
    <w:p>
      <w:pPr>
        <w:snapToGrid w:val="0"/>
        <w:spacing w:line="360" w:lineRule="auto"/>
        <w:ind w:firstLine="482" w:firstLineChars="200"/>
        <w:jc w:val="left"/>
        <w:outlineLvl w:val="1"/>
        <w:rPr>
          <w:rFonts w:ascii="宋体" w:hAnsi="宋体" w:cs="宋体"/>
          <w:b/>
          <w:bCs/>
          <w:sz w:val="24"/>
        </w:rPr>
      </w:pPr>
      <w:bookmarkStart w:id="76" w:name="_Toc7142"/>
      <w:r>
        <w:rPr>
          <w:rFonts w:hint="eastAsia" w:ascii="宋体" w:hAnsi="宋体" w:cs="宋体"/>
          <w:b/>
          <w:bCs/>
          <w:color w:val="0D0D0D"/>
          <w:sz w:val="24"/>
        </w:rPr>
        <w:t>一、</w:t>
      </w:r>
      <w:r>
        <w:rPr>
          <w:rFonts w:hint="eastAsia" w:ascii="宋体" w:hAnsi="宋体" w:cs="宋体"/>
          <w:b/>
          <w:bCs/>
          <w:sz w:val="24"/>
        </w:rPr>
        <w:t>采购需求清单</w:t>
      </w:r>
    </w:p>
    <w:tbl>
      <w:tblPr>
        <w:tblStyle w:val="53"/>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908"/>
        <w:gridCol w:w="1232"/>
        <w:gridCol w:w="1742"/>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noWrap w:val="0"/>
            <w:vAlign w:val="center"/>
          </w:tcPr>
          <w:p>
            <w:pPr>
              <w:jc w:val="center"/>
              <w:rPr>
                <w:rFonts w:hint="eastAsia" w:ascii="宋体" w:hAnsi="宋体" w:cs="宋体"/>
                <w:sz w:val="24"/>
                <w:szCs w:val="24"/>
              </w:rPr>
            </w:pPr>
            <w:r>
              <w:rPr>
                <w:rFonts w:hint="eastAsia" w:ascii="宋体" w:hAnsi="宋体" w:cs="宋体"/>
                <w:sz w:val="24"/>
                <w:szCs w:val="24"/>
              </w:rPr>
              <w:t>序号</w:t>
            </w:r>
          </w:p>
        </w:tc>
        <w:tc>
          <w:tcPr>
            <w:tcW w:w="2908" w:type="dxa"/>
            <w:noWrap w:val="0"/>
            <w:vAlign w:val="center"/>
          </w:tcPr>
          <w:p>
            <w:pPr>
              <w:jc w:val="center"/>
              <w:rPr>
                <w:rFonts w:hint="eastAsia" w:ascii="宋体" w:hAnsi="宋体" w:cs="宋体"/>
                <w:sz w:val="24"/>
                <w:szCs w:val="24"/>
              </w:rPr>
            </w:pPr>
            <w:r>
              <w:rPr>
                <w:rFonts w:hint="eastAsia" w:ascii="宋体" w:hAnsi="宋体" w:cs="宋体"/>
                <w:sz w:val="24"/>
                <w:szCs w:val="24"/>
              </w:rPr>
              <w:t>产品名称</w:t>
            </w:r>
          </w:p>
        </w:tc>
        <w:tc>
          <w:tcPr>
            <w:tcW w:w="1232" w:type="dxa"/>
            <w:noWrap w:val="0"/>
            <w:vAlign w:val="center"/>
          </w:tcPr>
          <w:p>
            <w:pPr>
              <w:snapToGrid w:val="0"/>
              <w:spacing w:line="360" w:lineRule="auto"/>
              <w:jc w:val="center"/>
              <w:rPr>
                <w:rFonts w:hint="eastAsia" w:ascii="宋体" w:hAnsi="宋体" w:cs="宋体"/>
                <w:bCs/>
                <w:sz w:val="24"/>
                <w:szCs w:val="24"/>
              </w:rPr>
            </w:pPr>
            <w:r>
              <w:rPr>
                <w:rFonts w:hint="eastAsia" w:ascii="宋体" w:hAnsi="宋体" w:cs="宋体"/>
                <w:bCs/>
                <w:sz w:val="24"/>
                <w:szCs w:val="24"/>
              </w:rPr>
              <w:t>单位</w:t>
            </w:r>
          </w:p>
        </w:tc>
        <w:tc>
          <w:tcPr>
            <w:tcW w:w="1742" w:type="dxa"/>
            <w:noWrap w:val="0"/>
            <w:vAlign w:val="center"/>
          </w:tcPr>
          <w:p>
            <w:pPr>
              <w:snapToGrid w:val="0"/>
              <w:spacing w:line="360" w:lineRule="auto"/>
              <w:jc w:val="center"/>
              <w:rPr>
                <w:rFonts w:hint="eastAsia" w:ascii="宋体" w:hAnsi="宋体" w:cs="宋体"/>
                <w:bCs/>
                <w:sz w:val="24"/>
                <w:szCs w:val="24"/>
              </w:rPr>
            </w:pPr>
            <w:r>
              <w:rPr>
                <w:rFonts w:hint="eastAsia" w:ascii="宋体" w:hAnsi="宋体" w:cs="宋体"/>
                <w:bCs/>
                <w:sz w:val="24"/>
                <w:szCs w:val="24"/>
              </w:rPr>
              <w:t>数量</w:t>
            </w:r>
          </w:p>
        </w:tc>
        <w:tc>
          <w:tcPr>
            <w:tcW w:w="1735" w:type="dxa"/>
            <w:noWrap w:val="0"/>
            <w:vAlign w:val="center"/>
          </w:tcPr>
          <w:p>
            <w:pPr>
              <w:snapToGrid w:val="0"/>
              <w:spacing w:line="360" w:lineRule="auto"/>
              <w:jc w:val="center"/>
              <w:rPr>
                <w:rFonts w:hint="eastAsia" w:ascii="宋体" w:hAnsi="宋体" w:cs="宋体"/>
                <w:bCs/>
                <w:sz w:val="24"/>
                <w:szCs w:val="24"/>
              </w:rPr>
            </w:pPr>
            <w:r>
              <w:rPr>
                <w:rFonts w:hint="eastAsia" w:ascii="宋体"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1" w:type="dxa"/>
            <w:gridSpan w:val="5"/>
            <w:noWrap w:val="0"/>
            <w:vAlign w:val="center"/>
          </w:tcPr>
          <w:p>
            <w:pPr>
              <w:snapToGrid w:val="0"/>
              <w:spacing w:line="360" w:lineRule="auto"/>
              <w:jc w:val="left"/>
              <w:rPr>
                <w:rFonts w:hint="eastAsia" w:ascii="宋体" w:hAnsi="宋体" w:cs="宋体"/>
                <w:b/>
                <w:bCs/>
                <w:sz w:val="24"/>
                <w:szCs w:val="24"/>
              </w:rPr>
            </w:pPr>
            <w:r>
              <w:rPr>
                <w:rFonts w:hint="eastAsia" w:ascii="宋体" w:hAnsi="宋体" w:cs="宋体"/>
                <w:b/>
                <w:bCs/>
                <w:sz w:val="24"/>
                <w:szCs w:val="24"/>
              </w:rPr>
              <w:t>一、多媒体触摸一体机系统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noWrap w:val="0"/>
            <w:vAlign w:val="center"/>
          </w:tcPr>
          <w:p>
            <w:pPr>
              <w:jc w:val="center"/>
              <w:textAlignment w:val="center"/>
              <w:rPr>
                <w:rFonts w:hint="eastAsia" w:ascii="宋体" w:hAnsi="宋体" w:cs="宋体"/>
                <w:sz w:val="24"/>
                <w:szCs w:val="24"/>
              </w:rPr>
            </w:pPr>
            <w:r>
              <w:rPr>
                <w:rFonts w:hint="eastAsia" w:ascii="宋体" w:hAnsi="宋体" w:cs="宋体"/>
                <w:color w:val="000000"/>
                <w:sz w:val="24"/>
                <w:szCs w:val="24"/>
              </w:rPr>
              <w:t>1</w:t>
            </w:r>
          </w:p>
        </w:tc>
        <w:tc>
          <w:tcPr>
            <w:tcW w:w="2908" w:type="dxa"/>
            <w:noWrap w:val="0"/>
            <w:vAlign w:val="center"/>
          </w:tcPr>
          <w:p>
            <w:pPr>
              <w:widowControl/>
              <w:jc w:val="left"/>
              <w:textAlignment w:val="center"/>
              <w:rPr>
                <w:rFonts w:hint="eastAsia" w:ascii="宋体" w:hAnsi="宋体" w:cs="宋体"/>
                <w:sz w:val="24"/>
                <w:szCs w:val="24"/>
              </w:rPr>
            </w:pPr>
            <w:r>
              <w:rPr>
                <w:rFonts w:hint="eastAsia" w:ascii="宋体" w:hAnsi="宋体" w:cs="宋体"/>
                <w:color w:val="000000"/>
                <w:kern w:val="0"/>
                <w:sz w:val="24"/>
                <w:szCs w:val="24"/>
                <w:lang w:bidi="ar"/>
              </w:rPr>
              <w:t>85寸红外触摸一体机</w:t>
            </w:r>
          </w:p>
        </w:tc>
        <w:tc>
          <w:tcPr>
            <w:tcW w:w="1232" w:type="dxa"/>
            <w:noWrap w:val="0"/>
            <w:vAlign w:val="center"/>
          </w:tcPr>
          <w:p>
            <w:pPr>
              <w:widowControl/>
              <w:jc w:val="center"/>
              <w:textAlignment w:val="center"/>
              <w:rPr>
                <w:rFonts w:hint="eastAsia" w:ascii="宋体" w:hAnsi="宋体" w:cs="宋体"/>
                <w:bCs/>
                <w:sz w:val="24"/>
                <w:szCs w:val="24"/>
              </w:rPr>
            </w:pPr>
            <w:r>
              <w:rPr>
                <w:rFonts w:hint="eastAsia" w:ascii="宋体" w:hAnsi="宋体" w:cs="宋体"/>
                <w:color w:val="000000"/>
                <w:kern w:val="0"/>
                <w:sz w:val="24"/>
                <w:szCs w:val="24"/>
                <w:lang w:bidi="ar"/>
              </w:rPr>
              <w:t>台</w:t>
            </w:r>
          </w:p>
        </w:tc>
        <w:tc>
          <w:tcPr>
            <w:tcW w:w="1742" w:type="dxa"/>
            <w:noWrap w:val="0"/>
            <w:vAlign w:val="center"/>
          </w:tcPr>
          <w:p>
            <w:pPr>
              <w:widowControl/>
              <w:jc w:val="center"/>
              <w:textAlignment w:val="center"/>
              <w:rPr>
                <w:rFonts w:hint="eastAsia" w:ascii="宋体" w:hAnsi="宋体" w:cs="宋体"/>
                <w:bCs/>
                <w:sz w:val="24"/>
                <w:szCs w:val="24"/>
              </w:rPr>
            </w:pPr>
            <w:r>
              <w:rPr>
                <w:rFonts w:hint="eastAsia" w:ascii="宋体" w:hAnsi="宋体" w:cs="宋体"/>
                <w:color w:val="000000"/>
                <w:kern w:val="0"/>
                <w:sz w:val="24"/>
                <w:szCs w:val="24"/>
                <w:lang w:bidi="ar"/>
              </w:rPr>
              <w:t>42</w:t>
            </w:r>
          </w:p>
        </w:tc>
        <w:tc>
          <w:tcPr>
            <w:tcW w:w="1735" w:type="dxa"/>
            <w:noWrap w:val="0"/>
            <w:vAlign w:val="top"/>
          </w:tcPr>
          <w:p>
            <w:pPr>
              <w:snapToGrid w:val="0"/>
              <w:spacing w:line="360" w:lineRule="auto"/>
              <w:jc w:val="left"/>
              <w:rPr>
                <w:rFonts w:hint="eastAsia" w:ascii="宋体" w:hAnsi="宋体" w:cs="宋体"/>
                <w:b/>
                <w:bCs/>
                <w:sz w:val="24"/>
                <w:szCs w:val="24"/>
              </w:rPr>
            </w:pPr>
          </w:p>
        </w:tc>
      </w:tr>
      <w:tr>
        <w:tblPrEx>
          <w:tblLayout w:type="fixed"/>
          <w:tblCellMar>
            <w:top w:w="0" w:type="dxa"/>
            <w:left w:w="108" w:type="dxa"/>
            <w:bottom w:w="0" w:type="dxa"/>
            <w:right w:w="108" w:type="dxa"/>
          </w:tblCellMar>
        </w:tblPrEx>
        <w:tc>
          <w:tcPr>
            <w:tcW w:w="1064" w:type="dxa"/>
            <w:noWrap w:val="0"/>
            <w:vAlign w:val="center"/>
          </w:tcPr>
          <w:p>
            <w:pPr>
              <w:jc w:val="center"/>
              <w:textAlignment w:val="center"/>
              <w:rPr>
                <w:rFonts w:hint="eastAsia" w:ascii="宋体" w:hAnsi="宋体" w:cs="宋体"/>
                <w:sz w:val="24"/>
                <w:szCs w:val="24"/>
              </w:rPr>
            </w:pPr>
            <w:r>
              <w:rPr>
                <w:rFonts w:hint="eastAsia" w:ascii="宋体" w:hAnsi="宋体" w:cs="宋体"/>
                <w:color w:val="000000"/>
                <w:sz w:val="24"/>
                <w:szCs w:val="24"/>
              </w:rPr>
              <w:t>2</w:t>
            </w:r>
          </w:p>
        </w:tc>
        <w:tc>
          <w:tcPr>
            <w:tcW w:w="2908" w:type="dxa"/>
            <w:noWrap w:val="0"/>
            <w:vAlign w:val="center"/>
          </w:tcPr>
          <w:p>
            <w:pPr>
              <w:widowControl/>
              <w:jc w:val="left"/>
              <w:textAlignment w:val="center"/>
              <w:rPr>
                <w:rFonts w:hint="eastAsia" w:ascii="宋体" w:hAnsi="宋体" w:cs="宋体"/>
                <w:sz w:val="24"/>
                <w:szCs w:val="24"/>
              </w:rPr>
            </w:pPr>
            <w:r>
              <w:rPr>
                <w:rFonts w:hint="eastAsia" w:ascii="宋体" w:hAnsi="宋体" w:cs="宋体"/>
                <w:color w:val="000000"/>
                <w:kern w:val="0"/>
                <w:sz w:val="24"/>
                <w:szCs w:val="24"/>
                <w:lang w:bidi="ar"/>
              </w:rPr>
              <w:t>壁挂实物展台</w:t>
            </w:r>
          </w:p>
        </w:tc>
        <w:tc>
          <w:tcPr>
            <w:tcW w:w="1232" w:type="dxa"/>
            <w:noWrap w:val="0"/>
            <w:vAlign w:val="center"/>
          </w:tcPr>
          <w:p>
            <w:pPr>
              <w:widowControl/>
              <w:jc w:val="center"/>
              <w:textAlignment w:val="center"/>
              <w:rPr>
                <w:rFonts w:hint="eastAsia" w:ascii="宋体" w:hAnsi="宋体" w:cs="宋体"/>
                <w:bCs/>
                <w:sz w:val="24"/>
                <w:szCs w:val="24"/>
              </w:rPr>
            </w:pPr>
            <w:r>
              <w:rPr>
                <w:rFonts w:hint="eastAsia" w:ascii="宋体" w:hAnsi="宋体" w:cs="宋体"/>
                <w:color w:val="000000"/>
                <w:kern w:val="0"/>
                <w:sz w:val="24"/>
                <w:szCs w:val="24"/>
                <w:lang w:bidi="ar"/>
              </w:rPr>
              <w:t>套</w:t>
            </w:r>
          </w:p>
        </w:tc>
        <w:tc>
          <w:tcPr>
            <w:tcW w:w="1742" w:type="dxa"/>
            <w:noWrap w:val="0"/>
            <w:vAlign w:val="center"/>
          </w:tcPr>
          <w:p>
            <w:pPr>
              <w:widowControl/>
              <w:jc w:val="center"/>
              <w:textAlignment w:val="center"/>
              <w:rPr>
                <w:rFonts w:hint="eastAsia" w:ascii="宋体" w:hAnsi="宋体" w:cs="宋体"/>
                <w:bCs/>
                <w:sz w:val="24"/>
                <w:szCs w:val="24"/>
              </w:rPr>
            </w:pPr>
            <w:r>
              <w:rPr>
                <w:rFonts w:hint="eastAsia" w:ascii="宋体" w:hAnsi="宋体" w:cs="宋体"/>
                <w:color w:val="000000"/>
                <w:kern w:val="0"/>
                <w:sz w:val="24"/>
                <w:szCs w:val="24"/>
                <w:lang w:bidi="ar"/>
              </w:rPr>
              <w:t>42</w:t>
            </w:r>
          </w:p>
        </w:tc>
        <w:tc>
          <w:tcPr>
            <w:tcW w:w="1735" w:type="dxa"/>
            <w:noWrap w:val="0"/>
            <w:vAlign w:val="top"/>
          </w:tcPr>
          <w:p>
            <w:pPr>
              <w:snapToGrid w:val="0"/>
              <w:spacing w:line="360" w:lineRule="auto"/>
              <w:jc w:val="left"/>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noWrap w:val="0"/>
            <w:vAlign w:val="center"/>
          </w:tcPr>
          <w:p>
            <w:pPr>
              <w:jc w:val="center"/>
              <w:textAlignment w:val="center"/>
              <w:rPr>
                <w:rFonts w:hint="eastAsia" w:ascii="宋体" w:hAnsi="宋体" w:cs="宋体"/>
                <w:sz w:val="24"/>
                <w:szCs w:val="24"/>
              </w:rPr>
            </w:pPr>
            <w:r>
              <w:rPr>
                <w:rFonts w:hint="eastAsia" w:ascii="宋体" w:hAnsi="宋体" w:cs="宋体"/>
                <w:color w:val="000000"/>
                <w:sz w:val="24"/>
                <w:szCs w:val="24"/>
              </w:rPr>
              <w:t>3</w:t>
            </w:r>
          </w:p>
        </w:tc>
        <w:tc>
          <w:tcPr>
            <w:tcW w:w="2908" w:type="dxa"/>
            <w:noWrap w:val="0"/>
            <w:vAlign w:val="center"/>
          </w:tcPr>
          <w:p>
            <w:pPr>
              <w:widowControl/>
              <w:jc w:val="left"/>
              <w:textAlignment w:val="center"/>
              <w:rPr>
                <w:rFonts w:hint="eastAsia" w:ascii="宋体" w:hAnsi="宋体" w:cs="宋体"/>
                <w:sz w:val="24"/>
                <w:szCs w:val="24"/>
              </w:rPr>
            </w:pPr>
            <w:r>
              <w:rPr>
                <w:rFonts w:hint="eastAsia" w:ascii="宋体" w:hAnsi="宋体" w:cs="宋体"/>
                <w:color w:val="000000"/>
                <w:kern w:val="0"/>
                <w:sz w:val="24"/>
                <w:szCs w:val="24"/>
                <w:lang w:bidi="ar"/>
              </w:rPr>
              <w:t>推拉式绿板</w:t>
            </w:r>
          </w:p>
        </w:tc>
        <w:tc>
          <w:tcPr>
            <w:tcW w:w="1232" w:type="dxa"/>
            <w:noWrap w:val="0"/>
            <w:vAlign w:val="center"/>
          </w:tcPr>
          <w:p>
            <w:pPr>
              <w:widowControl/>
              <w:jc w:val="center"/>
              <w:textAlignment w:val="center"/>
              <w:rPr>
                <w:rFonts w:hint="eastAsia" w:ascii="宋体" w:hAnsi="宋体" w:cs="宋体"/>
                <w:bCs/>
                <w:sz w:val="24"/>
                <w:szCs w:val="24"/>
              </w:rPr>
            </w:pPr>
            <w:r>
              <w:rPr>
                <w:rFonts w:hint="eastAsia" w:ascii="宋体" w:hAnsi="宋体" w:cs="宋体"/>
                <w:color w:val="000000"/>
                <w:kern w:val="0"/>
                <w:sz w:val="24"/>
                <w:szCs w:val="24"/>
                <w:lang w:bidi="ar"/>
              </w:rPr>
              <w:t>套</w:t>
            </w:r>
          </w:p>
        </w:tc>
        <w:tc>
          <w:tcPr>
            <w:tcW w:w="1742" w:type="dxa"/>
            <w:noWrap w:val="0"/>
            <w:vAlign w:val="center"/>
          </w:tcPr>
          <w:p>
            <w:pPr>
              <w:widowControl/>
              <w:jc w:val="center"/>
              <w:textAlignment w:val="center"/>
              <w:rPr>
                <w:rFonts w:hint="eastAsia" w:ascii="宋体" w:hAnsi="宋体" w:cs="宋体"/>
                <w:bCs/>
                <w:sz w:val="24"/>
                <w:szCs w:val="24"/>
              </w:rPr>
            </w:pPr>
            <w:r>
              <w:rPr>
                <w:rFonts w:hint="eastAsia" w:ascii="宋体" w:hAnsi="宋体" w:cs="宋体"/>
                <w:color w:val="000000"/>
                <w:kern w:val="0"/>
                <w:sz w:val="24"/>
                <w:szCs w:val="24"/>
                <w:lang w:bidi="ar"/>
              </w:rPr>
              <w:t>42</w:t>
            </w:r>
          </w:p>
        </w:tc>
        <w:tc>
          <w:tcPr>
            <w:tcW w:w="1735" w:type="dxa"/>
            <w:noWrap w:val="0"/>
            <w:vAlign w:val="top"/>
          </w:tcPr>
          <w:p>
            <w:pPr>
              <w:snapToGrid w:val="0"/>
              <w:spacing w:line="360" w:lineRule="auto"/>
              <w:jc w:val="left"/>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noWrap w:val="0"/>
            <w:vAlign w:val="center"/>
          </w:tcPr>
          <w:p>
            <w:pPr>
              <w:jc w:val="center"/>
              <w:textAlignment w:val="center"/>
              <w:rPr>
                <w:rFonts w:hint="eastAsia" w:ascii="宋体" w:hAnsi="宋体" w:cs="宋体"/>
                <w:sz w:val="24"/>
                <w:szCs w:val="24"/>
              </w:rPr>
            </w:pPr>
            <w:r>
              <w:rPr>
                <w:rFonts w:hint="eastAsia" w:ascii="宋体" w:hAnsi="宋体" w:cs="宋体"/>
                <w:color w:val="000000"/>
                <w:sz w:val="24"/>
                <w:szCs w:val="24"/>
              </w:rPr>
              <w:t>4</w:t>
            </w:r>
          </w:p>
        </w:tc>
        <w:tc>
          <w:tcPr>
            <w:tcW w:w="2908" w:type="dxa"/>
            <w:noWrap w:val="0"/>
            <w:vAlign w:val="center"/>
          </w:tcPr>
          <w:p>
            <w:pPr>
              <w:widowControl/>
              <w:jc w:val="left"/>
              <w:textAlignment w:val="center"/>
              <w:rPr>
                <w:rFonts w:hint="eastAsia" w:ascii="宋体" w:hAnsi="宋体" w:cs="宋体"/>
                <w:sz w:val="24"/>
                <w:szCs w:val="24"/>
              </w:rPr>
            </w:pPr>
            <w:r>
              <w:rPr>
                <w:rFonts w:hint="eastAsia" w:ascii="宋体" w:hAnsi="宋体" w:cs="宋体"/>
                <w:color w:val="000000"/>
                <w:kern w:val="0"/>
                <w:sz w:val="24"/>
                <w:szCs w:val="24"/>
                <w:lang w:bidi="ar"/>
              </w:rPr>
              <w:t>75寸红外触摸一体机</w:t>
            </w:r>
          </w:p>
        </w:tc>
        <w:tc>
          <w:tcPr>
            <w:tcW w:w="1232" w:type="dxa"/>
            <w:noWrap w:val="0"/>
            <w:vAlign w:val="center"/>
          </w:tcPr>
          <w:p>
            <w:pPr>
              <w:widowControl/>
              <w:jc w:val="center"/>
              <w:textAlignment w:val="center"/>
              <w:rPr>
                <w:rFonts w:hint="eastAsia" w:ascii="宋体" w:hAnsi="宋体" w:cs="宋体"/>
                <w:bCs/>
                <w:sz w:val="24"/>
                <w:szCs w:val="24"/>
              </w:rPr>
            </w:pPr>
            <w:r>
              <w:rPr>
                <w:rFonts w:hint="eastAsia" w:ascii="宋体" w:hAnsi="宋体" w:cs="宋体"/>
                <w:color w:val="000000"/>
                <w:kern w:val="0"/>
                <w:sz w:val="24"/>
                <w:szCs w:val="24"/>
                <w:lang w:bidi="ar"/>
              </w:rPr>
              <w:t>台</w:t>
            </w:r>
          </w:p>
        </w:tc>
        <w:tc>
          <w:tcPr>
            <w:tcW w:w="1742" w:type="dxa"/>
            <w:noWrap w:val="0"/>
            <w:vAlign w:val="center"/>
          </w:tcPr>
          <w:p>
            <w:pPr>
              <w:widowControl/>
              <w:jc w:val="center"/>
              <w:textAlignment w:val="center"/>
              <w:rPr>
                <w:rFonts w:hint="eastAsia" w:ascii="宋体" w:hAnsi="宋体" w:cs="宋体"/>
                <w:bCs/>
                <w:sz w:val="24"/>
                <w:szCs w:val="24"/>
              </w:rPr>
            </w:pPr>
            <w:r>
              <w:rPr>
                <w:rFonts w:hint="eastAsia" w:ascii="宋体" w:hAnsi="宋体" w:cs="宋体"/>
                <w:color w:val="000000"/>
                <w:kern w:val="0"/>
                <w:sz w:val="24"/>
                <w:szCs w:val="24"/>
                <w:lang w:bidi="ar"/>
              </w:rPr>
              <w:t>8</w:t>
            </w:r>
          </w:p>
        </w:tc>
        <w:tc>
          <w:tcPr>
            <w:tcW w:w="1735" w:type="dxa"/>
            <w:noWrap w:val="0"/>
            <w:vAlign w:val="top"/>
          </w:tcPr>
          <w:p>
            <w:pPr>
              <w:snapToGrid w:val="0"/>
              <w:spacing w:line="360" w:lineRule="auto"/>
              <w:jc w:val="left"/>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noWrap w:val="0"/>
            <w:vAlign w:val="center"/>
          </w:tcPr>
          <w:p>
            <w:pPr>
              <w:jc w:val="center"/>
              <w:textAlignment w:val="center"/>
              <w:rPr>
                <w:rFonts w:hint="eastAsia" w:ascii="宋体" w:hAnsi="宋体" w:cs="宋体"/>
                <w:sz w:val="24"/>
                <w:szCs w:val="24"/>
              </w:rPr>
            </w:pPr>
            <w:r>
              <w:rPr>
                <w:rFonts w:hint="eastAsia" w:ascii="宋体" w:hAnsi="宋体" w:cs="宋体"/>
                <w:color w:val="000000"/>
                <w:sz w:val="24"/>
                <w:szCs w:val="24"/>
              </w:rPr>
              <w:t>5</w:t>
            </w:r>
          </w:p>
        </w:tc>
        <w:tc>
          <w:tcPr>
            <w:tcW w:w="2908" w:type="dxa"/>
            <w:noWrap w:val="0"/>
            <w:vAlign w:val="center"/>
          </w:tcPr>
          <w:p>
            <w:pPr>
              <w:widowControl/>
              <w:jc w:val="left"/>
              <w:textAlignment w:val="center"/>
              <w:rPr>
                <w:rFonts w:hint="eastAsia" w:ascii="宋体" w:hAnsi="宋体" w:cs="宋体"/>
                <w:sz w:val="24"/>
                <w:szCs w:val="24"/>
              </w:rPr>
            </w:pPr>
            <w:r>
              <w:rPr>
                <w:rFonts w:hint="eastAsia" w:ascii="宋体" w:hAnsi="宋体" w:cs="宋体"/>
                <w:color w:val="000000"/>
                <w:kern w:val="0"/>
                <w:sz w:val="24"/>
                <w:szCs w:val="24"/>
                <w:lang w:bidi="ar"/>
              </w:rPr>
              <w:t>壁挂式高拍仪</w:t>
            </w:r>
          </w:p>
        </w:tc>
        <w:tc>
          <w:tcPr>
            <w:tcW w:w="1232" w:type="dxa"/>
            <w:noWrap w:val="0"/>
            <w:vAlign w:val="center"/>
          </w:tcPr>
          <w:p>
            <w:pPr>
              <w:widowControl/>
              <w:jc w:val="center"/>
              <w:textAlignment w:val="center"/>
              <w:rPr>
                <w:rFonts w:hint="eastAsia" w:ascii="宋体" w:hAnsi="宋体" w:cs="宋体"/>
                <w:bCs/>
                <w:sz w:val="24"/>
                <w:szCs w:val="24"/>
              </w:rPr>
            </w:pPr>
            <w:r>
              <w:rPr>
                <w:rFonts w:hint="eastAsia" w:ascii="宋体" w:hAnsi="宋体" w:cs="宋体"/>
                <w:color w:val="000000"/>
                <w:kern w:val="0"/>
                <w:sz w:val="24"/>
                <w:szCs w:val="24"/>
                <w:lang w:bidi="ar"/>
              </w:rPr>
              <w:t>套</w:t>
            </w:r>
          </w:p>
        </w:tc>
        <w:tc>
          <w:tcPr>
            <w:tcW w:w="1742" w:type="dxa"/>
            <w:noWrap w:val="0"/>
            <w:vAlign w:val="center"/>
          </w:tcPr>
          <w:p>
            <w:pPr>
              <w:widowControl/>
              <w:jc w:val="center"/>
              <w:textAlignment w:val="center"/>
              <w:rPr>
                <w:rFonts w:hint="eastAsia" w:ascii="宋体" w:hAnsi="宋体" w:cs="宋体"/>
                <w:bCs/>
                <w:sz w:val="24"/>
                <w:szCs w:val="24"/>
              </w:rPr>
            </w:pPr>
            <w:r>
              <w:rPr>
                <w:rFonts w:hint="eastAsia" w:ascii="宋体" w:hAnsi="宋体" w:cs="宋体"/>
                <w:color w:val="000000"/>
                <w:kern w:val="0"/>
                <w:sz w:val="24"/>
                <w:szCs w:val="24"/>
                <w:lang w:bidi="ar"/>
              </w:rPr>
              <w:t>12</w:t>
            </w:r>
          </w:p>
        </w:tc>
        <w:tc>
          <w:tcPr>
            <w:tcW w:w="1735" w:type="dxa"/>
            <w:noWrap w:val="0"/>
            <w:vAlign w:val="top"/>
          </w:tcPr>
          <w:p>
            <w:pPr>
              <w:snapToGrid w:val="0"/>
              <w:spacing w:line="360" w:lineRule="auto"/>
              <w:jc w:val="left"/>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noWrap w:val="0"/>
            <w:vAlign w:val="center"/>
          </w:tcPr>
          <w:p>
            <w:pPr>
              <w:jc w:val="center"/>
              <w:textAlignment w:val="center"/>
              <w:rPr>
                <w:rFonts w:hint="eastAsia" w:ascii="宋体" w:hAnsi="宋体" w:cs="宋体"/>
                <w:sz w:val="24"/>
                <w:szCs w:val="24"/>
              </w:rPr>
            </w:pPr>
            <w:r>
              <w:rPr>
                <w:rFonts w:hint="eastAsia" w:ascii="宋体" w:hAnsi="宋体" w:cs="宋体"/>
                <w:color w:val="000000"/>
                <w:sz w:val="24"/>
                <w:szCs w:val="24"/>
              </w:rPr>
              <w:t>6</w:t>
            </w:r>
          </w:p>
        </w:tc>
        <w:tc>
          <w:tcPr>
            <w:tcW w:w="2908" w:type="dxa"/>
            <w:noWrap w:val="0"/>
            <w:vAlign w:val="top"/>
          </w:tcPr>
          <w:p>
            <w:pPr>
              <w:autoSpaceDE w:val="0"/>
              <w:autoSpaceDN w:val="0"/>
              <w:adjustRightInd w:val="0"/>
              <w:rPr>
                <w:rFonts w:hint="eastAsia" w:ascii="宋体" w:hAnsi="宋体" w:cs="宋体"/>
                <w:sz w:val="24"/>
                <w:szCs w:val="24"/>
              </w:rPr>
            </w:pPr>
            <w:r>
              <w:rPr>
                <w:rFonts w:hint="eastAsia" w:ascii="宋体" w:hAnsi="宋体" w:cs="宋体"/>
                <w:color w:val="000000"/>
                <w:kern w:val="0"/>
                <w:sz w:val="24"/>
                <w:szCs w:val="24"/>
                <w:lang w:val="zh-CN"/>
              </w:rPr>
              <w:t>安装及附件</w:t>
            </w:r>
          </w:p>
        </w:tc>
        <w:tc>
          <w:tcPr>
            <w:tcW w:w="1232" w:type="dxa"/>
            <w:noWrap w:val="0"/>
            <w:vAlign w:val="top"/>
          </w:tcPr>
          <w:p>
            <w:pPr>
              <w:autoSpaceDE w:val="0"/>
              <w:autoSpaceDN w:val="0"/>
              <w:adjustRightInd w:val="0"/>
              <w:jc w:val="center"/>
              <w:rPr>
                <w:rFonts w:hint="eastAsia" w:ascii="宋体" w:hAnsi="宋体" w:cs="宋体"/>
                <w:bCs/>
                <w:sz w:val="24"/>
                <w:szCs w:val="24"/>
              </w:rPr>
            </w:pPr>
            <w:r>
              <w:rPr>
                <w:rFonts w:hint="eastAsia" w:ascii="宋体" w:hAnsi="宋体" w:cs="宋体"/>
                <w:color w:val="000000"/>
                <w:kern w:val="0"/>
                <w:sz w:val="24"/>
                <w:szCs w:val="24"/>
              </w:rPr>
              <w:t>批</w:t>
            </w:r>
          </w:p>
        </w:tc>
        <w:tc>
          <w:tcPr>
            <w:tcW w:w="1742" w:type="dxa"/>
            <w:noWrap w:val="0"/>
            <w:vAlign w:val="top"/>
          </w:tcPr>
          <w:p>
            <w:pPr>
              <w:autoSpaceDE w:val="0"/>
              <w:autoSpaceDN w:val="0"/>
              <w:adjustRightInd w:val="0"/>
              <w:jc w:val="center"/>
              <w:rPr>
                <w:rFonts w:hint="eastAsia" w:ascii="宋体" w:hAnsi="宋体" w:cs="宋体"/>
                <w:bCs/>
                <w:sz w:val="24"/>
                <w:szCs w:val="24"/>
              </w:rPr>
            </w:pPr>
            <w:r>
              <w:rPr>
                <w:rFonts w:hint="eastAsia" w:ascii="宋体" w:hAnsi="宋体" w:cs="宋体"/>
                <w:color w:val="000000"/>
                <w:kern w:val="0"/>
                <w:sz w:val="24"/>
                <w:szCs w:val="24"/>
              </w:rPr>
              <w:t>1</w:t>
            </w:r>
          </w:p>
        </w:tc>
        <w:tc>
          <w:tcPr>
            <w:tcW w:w="1735" w:type="dxa"/>
            <w:noWrap w:val="0"/>
            <w:vAlign w:val="top"/>
          </w:tcPr>
          <w:p>
            <w:pPr>
              <w:snapToGrid w:val="0"/>
              <w:spacing w:line="360" w:lineRule="auto"/>
              <w:jc w:val="left"/>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1" w:type="dxa"/>
            <w:gridSpan w:val="5"/>
            <w:noWrap w:val="0"/>
            <w:vAlign w:val="center"/>
          </w:tcPr>
          <w:p>
            <w:pPr>
              <w:snapToGrid w:val="0"/>
              <w:spacing w:line="360" w:lineRule="auto"/>
              <w:jc w:val="left"/>
              <w:rPr>
                <w:rFonts w:hint="eastAsia" w:ascii="宋体" w:hAnsi="宋体" w:cs="宋体"/>
                <w:b/>
                <w:bCs/>
                <w:sz w:val="24"/>
                <w:szCs w:val="24"/>
              </w:rPr>
            </w:pPr>
            <w:r>
              <w:rPr>
                <w:rFonts w:hint="eastAsia" w:ascii="宋体" w:hAnsi="宋体" w:cs="宋体"/>
                <w:color w:val="000000"/>
                <w:kern w:val="0"/>
                <w:sz w:val="24"/>
                <w:szCs w:val="24"/>
                <w:lang w:bidi="ar"/>
              </w:rPr>
              <w:t>二、云机房系统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noWrap w:val="0"/>
            <w:vAlign w:val="center"/>
          </w:tcPr>
          <w:p>
            <w:pPr>
              <w:jc w:val="center"/>
              <w:textAlignment w:val="center"/>
              <w:rPr>
                <w:rFonts w:hint="eastAsia" w:ascii="宋体" w:hAnsi="宋体" w:cs="宋体"/>
                <w:sz w:val="24"/>
                <w:szCs w:val="24"/>
              </w:rPr>
            </w:pPr>
            <w:r>
              <w:rPr>
                <w:rFonts w:hint="eastAsia" w:ascii="宋体" w:hAnsi="宋体" w:cs="宋体"/>
                <w:color w:val="000000"/>
                <w:sz w:val="24"/>
                <w:szCs w:val="24"/>
              </w:rPr>
              <w:t>1</w:t>
            </w:r>
          </w:p>
        </w:tc>
        <w:tc>
          <w:tcPr>
            <w:tcW w:w="2908" w:type="dxa"/>
            <w:noWrap w:val="0"/>
            <w:vAlign w:val="top"/>
          </w:tcPr>
          <w:p>
            <w:pPr>
              <w:autoSpaceDE w:val="0"/>
              <w:autoSpaceDN w:val="0"/>
              <w:adjustRightInd w:val="0"/>
              <w:rPr>
                <w:rFonts w:hint="eastAsia" w:ascii="宋体" w:hAnsi="宋体" w:cs="宋体"/>
                <w:sz w:val="24"/>
                <w:szCs w:val="24"/>
              </w:rPr>
            </w:pPr>
            <w:r>
              <w:rPr>
                <w:rFonts w:hint="eastAsia" w:ascii="宋体" w:hAnsi="宋体" w:cs="宋体"/>
                <w:color w:val="000000"/>
                <w:kern w:val="0"/>
                <w:sz w:val="24"/>
                <w:szCs w:val="24"/>
              </w:rPr>
              <w:t>云主机</w:t>
            </w:r>
          </w:p>
        </w:tc>
        <w:tc>
          <w:tcPr>
            <w:tcW w:w="1232" w:type="dxa"/>
            <w:noWrap w:val="0"/>
            <w:vAlign w:val="top"/>
          </w:tcPr>
          <w:p>
            <w:pPr>
              <w:autoSpaceDE w:val="0"/>
              <w:autoSpaceDN w:val="0"/>
              <w:adjustRightInd w:val="0"/>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742" w:type="dxa"/>
            <w:noWrap w:val="0"/>
            <w:vAlign w:val="top"/>
          </w:tcPr>
          <w:p>
            <w:pPr>
              <w:autoSpaceDE w:val="0"/>
              <w:autoSpaceDN w:val="0"/>
              <w:adjustRightInd w:val="0"/>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1735" w:type="dxa"/>
            <w:noWrap w:val="0"/>
            <w:vAlign w:val="top"/>
          </w:tcPr>
          <w:p>
            <w:pPr>
              <w:snapToGrid w:val="0"/>
              <w:spacing w:line="360" w:lineRule="auto"/>
              <w:jc w:val="left"/>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noWrap w:val="0"/>
            <w:vAlign w:val="center"/>
          </w:tcPr>
          <w:p>
            <w:pPr>
              <w:jc w:val="center"/>
              <w:textAlignment w:val="center"/>
              <w:rPr>
                <w:rFonts w:hint="eastAsia" w:ascii="宋体" w:hAnsi="宋体" w:cs="宋体"/>
                <w:sz w:val="24"/>
                <w:szCs w:val="24"/>
              </w:rPr>
            </w:pPr>
            <w:r>
              <w:rPr>
                <w:rFonts w:hint="eastAsia" w:ascii="宋体" w:hAnsi="宋体" w:cs="宋体"/>
                <w:color w:val="000000"/>
                <w:sz w:val="24"/>
                <w:szCs w:val="24"/>
              </w:rPr>
              <w:t>2</w:t>
            </w:r>
          </w:p>
        </w:tc>
        <w:tc>
          <w:tcPr>
            <w:tcW w:w="2908" w:type="dxa"/>
            <w:noWrap w:val="0"/>
            <w:vAlign w:val="top"/>
          </w:tcPr>
          <w:p>
            <w:pPr>
              <w:autoSpaceDE w:val="0"/>
              <w:autoSpaceDN w:val="0"/>
              <w:adjustRightInd w:val="0"/>
              <w:rPr>
                <w:rFonts w:hint="eastAsia" w:ascii="宋体" w:hAnsi="宋体" w:cs="宋体"/>
                <w:sz w:val="24"/>
                <w:szCs w:val="24"/>
              </w:rPr>
            </w:pPr>
            <w:r>
              <w:rPr>
                <w:rFonts w:hint="eastAsia" w:ascii="宋体" w:hAnsi="宋体" w:cs="宋体"/>
                <w:sz w:val="24"/>
                <w:szCs w:val="24"/>
              </w:rPr>
              <w:t>教学管理软件</w:t>
            </w:r>
          </w:p>
        </w:tc>
        <w:tc>
          <w:tcPr>
            <w:tcW w:w="1232" w:type="dxa"/>
            <w:noWrap w:val="0"/>
            <w:vAlign w:val="top"/>
          </w:tcPr>
          <w:p>
            <w:pPr>
              <w:autoSpaceDE w:val="0"/>
              <w:autoSpaceDN w:val="0"/>
              <w:adjustRightInd w:val="0"/>
              <w:jc w:val="center"/>
              <w:rPr>
                <w:rFonts w:hint="eastAsia" w:ascii="宋体" w:hAnsi="宋体" w:cs="宋体"/>
                <w:color w:val="000000"/>
                <w:kern w:val="0"/>
                <w:sz w:val="24"/>
                <w:szCs w:val="24"/>
              </w:rPr>
            </w:pPr>
            <w:r>
              <w:rPr>
                <w:rFonts w:hint="eastAsia" w:ascii="宋体" w:hAnsi="宋体" w:cs="宋体"/>
                <w:color w:val="000000"/>
                <w:kern w:val="0"/>
                <w:sz w:val="24"/>
                <w:szCs w:val="24"/>
              </w:rPr>
              <w:t>套</w:t>
            </w:r>
          </w:p>
        </w:tc>
        <w:tc>
          <w:tcPr>
            <w:tcW w:w="1742" w:type="dxa"/>
            <w:noWrap w:val="0"/>
            <w:vAlign w:val="top"/>
          </w:tcPr>
          <w:p>
            <w:pPr>
              <w:autoSpaceDE w:val="0"/>
              <w:autoSpaceDN w:val="0"/>
              <w:adjustRightInd w:val="0"/>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1735" w:type="dxa"/>
            <w:noWrap w:val="0"/>
            <w:vAlign w:val="top"/>
          </w:tcPr>
          <w:p>
            <w:pPr>
              <w:snapToGrid w:val="0"/>
              <w:spacing w:line="360" w:lineRule="auto"/>
              <w:jc w:val="left"/>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noWrap w:val="0"/>
            <w:vAlign w:val="center"/>
          </w:tcPr>
          <w:p>
            <w:pPr>
              <w:jc w:val="center"/>
              <w:textAlignment w:val="center"/>
              <w:rPr>
                <w:rFonts w:hint="eastAsia" w:ascii="宋体" w:hAnsi="宋体" w:cs="宋体"/>
                <w:sz w:val="24"/>
                <w:szCs w:val="24"/>
              </w:rPr>
            </w:pPr>
            <w:r>
              <w:rPr>
                <w:rFonts w:hint="eastAsia" w:ascii="宋体" w:hAnsi="宋体" w:cs="宋体"/>
                <w:color w:val="000000"/>
                <w:sz w:val="24"/>
                <w:szCs w:val="24"/>
              </w:rPr>
              <w:t>3</w:t>
            </w:r>
          </w:p>
        </w:tc>
        <w:tc>
          <w:tcPr>
            <w:tcW w:w="2908" w:type="dxa"/>
            <w:noWrap w:val="0"/>
            <w:vAlign w:val="top"/>
          </w:tcPr>
          <w:p>
            <w:pPr>
              <w:autoSpaceDE w:val="0"/>
              <w:autoSpaceDN w:val="0"/>
              <w:adjustRightInd w:val="0"/>
              <w:rPr>
                <w:rFonts w:hint="eastAsia" w:ascii="宋体" w:hAnsi="宋体" w:cs="宋体"/>
                <w:sz w:val="24"/>
                <w:szCs w:val="24"/>
              </w:rPr>
            </w:pPr>
            <w:r>
              <w:rPr>
                <w:rFonts w:hint="eastAsia" w:ascii="宋体" w:hAnsi="宋体" w:cs="宋体"/>
                <w:sz w:val="24"/>
                <w:szCs w:val="24"/>
              </w:rPr>
              <w:t>云终端</w:t>
            </w:r>
          </w:p>
        </w:tc>
        <w:tc>
          <w:tcPr>
            <w:tcW w:w="1232" w:type="dxa"/>
            <w:noWrap w:val="0"/>
            <w:vAlign w:val="top"/>
          </w:tcPr>
          <w:p>
            <w:pPr>
              <w:autoSpaceDE w:val="0"/>
              <w:autoSpaceDN w:val="0"/>
              <w:adjustRightInd w:val="0"/>
              <w:jc w:val="center"/>
              <w:rPr>
                <w:rFonts w:hint="eastAsia" w:ascii="宋体" w:hAnsi="宋体" w:cs="宋体"/>
                <w:color w:val="000000"/>
                <w:kern w:val="0"/>
                <w:sz w:val="24"/>
                <w:szCs w:val="24"/>
              </w:rPr>
            </w:pPr>
            <w:r>
              <w:rPr>
                <w:rFonts w:hint="eastAsia" w:ascii="宋体" w:hAnsi="宋体" w:cs="宋体"/>
                <w:color w:val="000000"/>
                <w:kern w:val="0"/>
                <w:sz w:val="24"/>
                <w:szCs w:val="24"/>
              </w:rPr>
              <w:t>套</w:t>
            </w:r>
          </w:p>
        </w:tc>
        <w:tc>
          <w:tcPr>
            <w:tcW w:w="1742" w:type="dxa"/>
            <w:noWrap w:val="0"/>
            <w:vAlign w:val="top"/>
          </w:tcPr>
          <w:p>
            <w:pPr>
              <w:autoSpaceDE w:val="0"/>
              <w:autoSpaceDN w:val="0"/>
              <w:adjustRightInd w:val="0"/>
              <w:jc w:val="center"/>
              <w:rPr>
                <w:rFonts w:hint="eastAsia" w:ascii="宋体" w:hAnsi="宋体" w:cs="宋体"/>
                <w:color w:val="000000"/>
                <w:kern w:val="0"/>
                <w:sz w:val="24"/>
                <w:szCs w:val="24"/>
              </w:rPr>
            </w:pPr>
            <w:r>
              <w:rPr>
                <w:rFonts w:hint="eastAsia" w:ascii="宋体" w:hAnsi="宋体" w:cs="宋体"/>
                <w:color w:val="000000"/>
                <w:kern w:val="0"/>
                <w:sz w:val="24"/>
                <w:szCs w:val="24"/>
              </w:rPr>
              <w:t>90</w:t>
            </w:r>
          </w:p>
        </w:tc>
        <w:tc>
          <w:tcPr>
            <w:tcW w:w="1735" w:type="dxa"/>
            <w:noWrap w:val="0"/>
            <w:vAlign w:val="top"/>
          </w:tcPr>
          <w:p>
            <w:pPr>
              <w:snapToGrid w:val="0"/>
              <w:spacing w:line="360" w:lineRule="auto"/>
              <w:jc w:val="left"/>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064" w:type="dxa"/>
            <w:noWrap w:val="0"/>
            <w:vAlign w:val="center"/>
          </w:tcPr>
          <w:p>
            <w:pPr>
              <w:jc w:val="center"/>
              <w:textAlignment w:val="center"/>
              <w:rPr>
                <w:rFonts w:hint="eastAsia" w:ascii="宋体" w:hAnsi="宋体" w:cs="宋体"/>
                <w:sz w:val="24"/>
                <w:szCs w:val="24"/>
              </w:rPr>
            </w:pPr>
            <w:r>
              <w:rPr>
                <w:rFonts w:hint="eastAsia" w:ascii="宋体" w:hAnsi="宋体" w:cs="宋体"/>
                <w:color w:val="000000"/>
                <w:sz w:val="24"/>
                <w:szCs w:val="24"/>
              </w:rPr>
              <w:t>4</w:t>
            </w:r>
          </w:p>
        </w:tc>
        <w:tc>
          <w:tcPr>
            <w:tcW w:w="2908" w:type="dxa"/>
            <w:noWrap w:val="0"/>
            <w:vAlign w:val="center"/>
          </w:tcPr>
          <w:p>
            <w:pPr>
              <w:widowControl/>
              <w:jc w:val="left"/>
              <w:textAlignment w:val="center"/>
              <w:rPr>
                <w:rFonts w:hint="eastAsia" w:ascii="宋体" w:hAnsi="宋体" w:cs="宋体"/>
                <w:sz w:val="24"/>
                <w:szCs w:val="24"/>
              </w:rPr>
            </w:pPr>
            <w:r>
              <w:rPr>
                <w:rFonts w:hint="eastAsia" w:ascii="宋体" w:hAnsi="宋体" w:cs="宋体"/>
                <w:color w:val="000000"/>
                <w:kern w:val="0"/>
                <w:sz w:val="24"/>
                <w:szCs w:val="24"/>
                <w:lang w:bidi="ar"/>
              </w:rPr>
              <w:t>显示器</w:t>
            </w:r>
          </w:p>
        </w:tc>
        <w:tc>
          <w:tcPr>
            <w:tcW w:w="1232" w:type="dxa"/>
            <w:noWrap w:val="0"/>
            <w:vAlign w:val="top"/>
          </w:tcPr>
          <w:p>
            <w:pPr>
              <w:autoSpaceDE w:val="0"/>
              <w:autoSpaceDN w:val="0"/>
              <w:adjustRightInd w:val="0"/>
              <w:jc w:val="center"/>
              <w:rPr>
                <w:rFonts w:hint="eastAsia" w:ascii="宋体" w:hAnsi="宋体" w:cs="宋体"/>
                <w:color w:val="000000"/>
                <w:kern w:val="0"/>
                <w:sz w:val="24"/>
                <w:szCs w:val="24"/>
              </w:rPr>
            </w:pPr>
            <w:r>
              <w:rPr>
                <w:rFonts w:hint="eastAsia" w:ascii="宋体" w:hAnsi="宋体" w:cs="宋体"/>
                <w:color w:val="000000"/>
                <w:kern w:val="0"/>
                <w:sz w:val="24"/>
                <w:szCs w:val="24"/>
              </w:rPr>
              <w:t>只</w:t>
            </w:r>
          </w:p>
        </w:tc>
        <w:tc>
          <w:tcPr>
            <w:tcW w:w="1742" w:type="dxa"/>
            <w:noWrap w:val="0"/>
            <w:vAlign w:val="top"/>
          </w:tcPr>
          <w:p>
            <w:pPr>
              <w:autoSpaceDE w:val="0"/>
              <w:autoSpaceDN w:val="0"/>
              <w:adjustRightInd w:val="0"/>
              <w:jc w:val="center"/>
              <w:rPr>
                <w:rFonts w:hint="eastAsia" w:ascii="宋体" w:hAnsi="宋体" w:cs="宋体"/>
                <w:color w:val="000000"/>
                <w:kern w:val="0"/>
                <w:sz w:val="24"/>
                <w:szCs w:val="24"/>
              </w:rPr>
            </w:pPr>
            <w:r>
              <w:rPr>
                <w:rFonts w:hint="eastAsia" w:ascii="宋体" w:hAnsi="宋体" w:cs="宋体"/>
                <w:color w:val="000000"/>
                <w:kern w:val="0"/>
                <w:sz w:val="24"/>
                <w:szCs w:val="24"/>
              </w:rPr>
              <w:t>90</w:t>
            </w:r>
          </w:p>
        </w:tc>
        <w:tc>
          <w:tcPr>
            <w:tcW w:w="1735" w:type="dxa"/>
            <w:noWrap w:val="0"/>
            <w:vAlign w:val="top"/>
          </w:tcPr>
          <w:p>
            <w:pPr>
              <w:snapToGrid w:val="0"/>
              <w:spacing w:line="360" w:lineRule="auto"/>
              <w:jc w:val="left"/>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noWrap w:val="0"/>
            <w:vAlign w:val="center"/>
          </w:tcPr>
          <w:p>
            <w:pPr>
              <w:jc w:val="center"/>
              <w:textAlignment w:val="center"/>
              <w:rPr>
                <w:rFonts w:hint="eastAsia" w:ascii="宋体" w:hAnsi="宋体" w:cs="宋体"/>
                <w:sz w:val="24"/>
                <w:szCs w:val="24"/>
              </w:rPr>
            </w:pPr>
            <w:r>
              <w:rPr>
                <w:rFonts w:hint="eastAsia" w:ascii="宋体" w:hAnsi="宋体" w:cs="宋体"/>
                <w:color w:val="000000"/>
                <w:sz w:val="24"/>
                <w:szCs w:val="24"/>
              </w:rPr>
              <w:t>5</w:t>
            </w:r>
          </w:p>
        </w:tc>
        <w:tc>
          <w:tcPr>
            <w:tcW w:w="2908" w:type="dxa"/>
            <w:noWrap w:val="0"/>
            <w:vAlign w:val="center"/>
          </w:tcPr>
          <w:p>
            <w:pPr>
              <w:widowControl/>
              <w:jc w:val="left"/>
              <w:textAlignment w:val="center"/>
              <w:rPr>
                <w:rFonts w:hint="eastAsia" w:ascii="宋体" w:hAnsi="宋体" w:cs="宋体"/>
                <w:sz w:val="24"/>
                <w:szCs w:val="24"/>
              </w:rPr>
            </w:pPr>
            <w:r>
              <w:rPr>
                <w:rFonts w:hint="eastAsia" w:ascii="宋体" w:hAnsi="宋体" w:cs="宋体"/>
                <w:color w:val="000000"/>
                <w:kern w:val="0"/>
                <w:sz w:val="24"/>
                <w:szCs w:val="24"/>
                <w:lang w:bidi="ar"/>
              </w:rPr>
              <w:t>键盘鼠标</w:t>
            </w:r>
          </w:p>
        </w:tc>
        <w:tc>
          <w:tcPr>
            <w:tcW w:w="1232" w:type="dxa"/>
            <w:noWrap w:val="0"/>
            <w:vAlign w:val="top"/>
          </w:tcPr>
          <w:p>
            <w:pPr>
              <w:autoSpaceDE w:val="0"/>
              <w:autoSpaceDN w:val="0"/>
              <w:adjustRightInd w:val="0"/>
              <w:jc w:val="center"/>
              <w:rPr>
                <w:rFonts w:hint="eastAsia" w:ascii="宋体" w:hAnsi="宋体" w:cs="宋体"/>
                <w:color w:val="000000"/>
                <w:kern w:val="0"/>
                <w:sz w:val="24"/>
                <w:szCs w:val="24"/>
              </w:rPr>
            </w:pPr>
            <w:r>
              <w:rPr>
                <w:rFonts w:hint="eastAsia" w:ascii="宋体" w:hAnsi="宋体" w:cs="宋体"/>
                <w:color w:val="000000"/>
                <w:kern w:val="0"/>
                <w:sz w:val="24"/>
                <w:szCs w:val="24"/>
              </w:rPr>
              <w:t>套</w:t>
            </w:r>
          </w:p>
        </w:tc>
        <w:tc>
          <w:tcPr>
            <w:tcW w:w="1742" w:type="dxa"/>
            <w:noWrap w:val="0"/>
            <w:vAlign w:val="top"/>
          </w:tcPr>
          <w:p>
            <w:pPr>
              <w:autoSpaceDE w:val="0"/>
              <w:autoSpaceDN w:val="0"/>
              <w:adjustRightInd w:val="0"/>
              <w:jc w:val="center"/>
              <w:rPr>
                <w:rFonts w:hint="eastAsia" w:ascii="宋体" w:hAnsi="宋体" w:cs="宋体"/>
                <w:color w:val="000000"/>
                <w:kern w:val="0"/>
                <w:sz w:val="24"/>
                <w:szCs w:val="24"/>
              </w:rPr>
            </w:pPr>
            <w:r>
              <w:rPr>
                <w:rFonts w:hint="eastAsia" w:ascii="宋体" w:hAnsi="宋体" w:cs="宋体"/>
                <w:color w:val="000000"/>
                <w:kern w:val="0"/>
                <w:sz w:val="24"/>
                <w:szCs w:val="24"/>
              </w:rPr>
              <w:t>90</w:t>
            </w:r>
          </w:p>
        </w:tc>
        <w:tc>
          <w:tcPr>
            <w:tcW w:w="1735" w:type="dxa"/>
            <w:noWrap w:val="0"/>
            <w:vAlign w:val="top"/>
          </w:tcPr>
          <w:p>
            <w:pPr>
              <w:snapToGrid w:val="0"/>
              <w:spacing w:line="360" w:lineRule="auto"/>
              <w:jc w:val="left"/>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noWrap w:val="0"/>
            <w:vAlign w:val="center"/>
          </w:tcPr>
          <w:p>
            <w:pPr>
              <w:jc w:val="center"/>
              <w:textAlignment w:val="center"/>
              <w:rPr>
                <w:rFonts w:hint="eastAsia" w:ascii="宋体" w:hAnsi="宋体" w:cs="宋体"/>
                <w:sz w:val="24"/>
                <w:szCs w:val="24"/>
              </w:rPr>
            </w:pPr>
            <w:r>
              <w:rPr>
                <w:rFonts w:hint="eastAsia" w:ascii="宋体" w:hAnsi="宋体" w:cs="宋体"/>
                <w:color w:val="000000"/>
                <w:sz w:val="24"/>
                <w:szCs w:val="24"/>
              </w:rPr>
              <w:t>6</w:t>
            </w:r>
          </w:p>
        </w:tc>
        <w:tc>
          <w:tcPr>
            <w:tcW w:w="2908" w:type="dxa"/>
            <w:noWrap w:val="0"/>
            <w:vAlign w:val="center"/>
          </w:tcPr>
          <w:p>
            <w:pPr>
              <w:widowControl/>
              <w:jc w:val="left"/>
              <w:textAlignment w:val="center"/>
              <w:rPr>
                <w:rFonts w:hint="eastAsia" w:ascii="宋体" w:hAnsi="宋体" w:cs="宋体"/>
                <w:sz w:val="24"/>
                <w:szCs w:val="24"/>
              </w:rPr>
            </w:pPr>
            <w:r>
              <w:rPr>
                <w:rFonts w:hint="eastAsia" w:ascii="宋体" w:hAnsi="宋体" w:cs="宋体"/>
                <w:color w:val="000000"/>
                <w:kern w:val="0"/>
                <w:sz w:val="24"/>
                <w:szCs w:val="24"/>
                <w:lang w:bidi="ar"/>
              </w:rPr>
              <w:t>管理电脑</w:t>
            </w:r>
          </w:p>
        </w:tc>
        <w:tc>
          <w:tcPr>
            <w:tcW w:w="1232" w:type="dxa"/>
            <w:noWrap w:val="0"/>
            <w:vAlign w:val="top"/>
          </w:tcPr>
          <w:p>
            <w:pPr>
              <w:autoSpaceDE w:val="0"/>
              <w:autoSpaceDN w:val="0"/>
              <w:adjustRightInd w:val="0"/>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742" w:type="dxa"/>
            <w:noWrap w:val="0"/>
            <w:vAlign w:val="top"/>
          </w:tcPr>
          <w:p>
            <w:pPr>
              <w:autoSpaceDE w:val="0"/>
              <w:autoSpaceDN w:val="0"/>
              <w:adjustRightInd w:val="0"/>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1735" w:type="dxa"/>
            <w:noWrap w:val="0"/>
            <w:vAlign w:val="top"/>
          </w:tcPr>
          <w:p>
            <w:pPr>
              <w:snapToGrid w:val="0"/>
              <w:spacing w:line="360" w:lineRule="auto"/>
              <w:jc w:val="left"/>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noWrap w:val="0"/>
            <w:vAlign w:val="center"/>
          </w:tcPr>
          <w:p>
            <w:pPr>
              <w:jc w:val="center"/>
              <w:textAlignment w:val="center"/>
              <w:rPr>
                <w:rFonts w:hint="eastAsia" w:ascii="宋体" w:hAnsi="宋体" w:cs="宋体"/>
                <w:sz w:val="24"/>
                <w:szCs w:val="24"/>
              </w:rPr>
            </w:pPr>
            <w:r>
              <w:rPr>
                <w:rFonts w:hint="eastAsia" w:ascii="宋体" w:hAnsi="宋体" w:cs="宋体"/>
                <w:color w:val="000000"/>
                <w:sz w:val="24"/>
                <w:szCs w:val="24"/>
              </w:rPr>
              <w:t>7</w:t>
            </w:r>
          </w:p>
        </w:tc>
        <w:tc>
          <w:tcPr>
            <w:tcW w:w="2908" w:type="dxa"/>
            <w:noWrap w:val="0"/>
            <w:vAlign w:val="center"/>
          </w:tcPr>
          <w:p>
            <w:pPr>
              <w:widowControl/>
              <w:jc w:val="left"/>
              <w:textAlignment w:val="center"/>
              <w:rPr>
                <w:rFonts w:hint="eastAsia" w:ascii="宋体" w:hAnsi="宋体" w:cs="宋体"/>
                <w:sz w:val="24"/>
                <w:szCs w:val="24"/>
              </w:rPr>
            </w:pPr>
            <w:r>
              <w:rPr>
                <w:rFonts w:hint="eastAsia" w:ascii="宋体" w:hAnsi="宋体" w:cs="宋体"/>
                <w:color w:val="000000"/>
                <w:kern w:val="0"/>
                <w:sz w:val="24"/>
                <w:szCs w:val="24"/>
                <w:lang w:bidi="ar"/>
              </w:rPr>
              <w:t>48口交换机</w:t>
            </w:r>
          </w:p>
        </w:tc>
        <w:tc>
          <w:tcPr>
            <w:tcW w:w="1232" w:type="dxa"/>
            <w:noWrap w:val="0"/>
            <w:vAlign w:val="top"/>
          </w:tcPr>
          <w:p>
            <w:pPr>
              <w:autoSpaceDE w:val="0"/>
              <w:autoSpaceDN w:val="0"/>
              <w:adjustRightInd w:val="0"/>
              <w:jc w:val="center"/>
              <w:rPr>
                <w:rFonts w:hint="eastAsia" w:ascii="宋体" w:hAnsi="宋体" w:cs="宋体"/>
                <w:color w:val="000000"/>
                <w:kern w:val="0"/>
                <w:sz w:val="24"/>
                <w:szCs w:val="24"/>
              </w:rPr>
            </w:pPr>
            <w:r>
              <w:rPr>
                <w:rFonts w:hint="eastAsia" w:ascii="宋体" w:hAnsi="宋体" w:cs="宋体"/>
                <w:color w:val="000000"/>
                <w:kern w:val="0"/>
                <w:sz w:val="24"/>
                <w:szCs w:val="24"/>
              </w:rPr>
              <w:t>台</w:t>
            </w:r>
          </w:p>
        </w:tc>
        <w:tc>
          <w:tcPr>
            <w:tcW w:w="1742" w:type="dxa"/>
            <w:noWrap w:val="0"/>
            <w:vAlign w:val="top"/>
          </w:tcPr>
          <w:p>
            <w:pPr>
              <w:autoSpaceDE w:val="0"/>
              <w:autoSpaceDN w:val="0"/>
              <w:adjustRightInd w:val="0"/>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1735" w:type="dxa"/>
            <w:noWrap w:val="0"/>
            <w:vAlign w:val="top"/>
          </w:tcPr>
          <w:p>
            <w:pPr>
              <w:snapToGrid w:val="0"/>
              <w:spacing w:line="360" w:lineRule="auto"/>
              <w:jc w:val="left"/>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noWrap w:val="0"/>
            <w:vAlign w:val="center"/>
          </w:tcPr>
          <w:p>
            <w:pPr>
              <w:jc w:val="center"/>
              <w:textAlignment w:val="center"/>
              <w:rPr>
                <w:rFonts w:hint="eastAsia" w:ascii="宋体" w:hAnsi="宋体" w:cs="宋体"/>
                <w:sz w:val="24"/>
                <w:szCs w:val="24"/>
              </w:rPr>
            </w:pPr>
            <w:r>
              <w:rPr>
                <w:rFonts w:hint="eastAsia" w:ascii="宋体" w:hAnsi="宋体" w:cs="宋体"/>
                <w:color w:val="000000"/>
                <w:sz w:val="24"/>
                <w:szCs w:val="24"/>
              </w:rPr>
              <w:t>8</w:t>
            </w:r>
          </w:p>
        </w:tc>
        <w:tc>
          <w:tcPr>
            <w:tcW w:w="2908" w:type="dxa"/>
            <w:noWrap w:val="0"/>
            <w:vAlign w:val="center"/>
          </w:tcPr>
          <w:p>
            <w:pPr>
              <w:widowControl/>
              <w:jc w:val="left"/>
              <w:textAlignment w:val="center"/>
              <w:rPr>
                <w:rFonts w:hint="eastAsia" w:ascii="宋体" w:hAnsi="宋体" w:cs="宋体"/>
                <w:sz w:val="24"/>
                <w:szCs w:val="24"/>
              </w:rPr>
            </w:pPr>
            <w:r>
              <w:rPr>
                <w:rFonts w:hint="eastAsia" w:ascii="宋体" w:hAnsi="宋体" w:cs="宋体"/>
                <w:color w:val="000000"/>
                <w:kern w:val="0"/>
                <w:sz w:val="24"/>
                <w:szCs w:val="24"/>
                <w:lang w:bidi="ar"/>
              </w:rPr>
              <w:t>非屏蔽24口六类配线架(含理线器）</w:t>
            </w:r>
          </w:p>
        </w:tc>
        <w:tc>
          <w:tcPr>
            <w:tcW w:w="1232" w:type="dxa"/>
            <w:noWrap w:val="0"/>
            <w:vAlign w:val="top"/>
          </w:tcPr>
          <w:p>
            <w:pPr>
              <w:autoSpaceDE w:val="0"/>
              <w:autoSpaceDN w:val="0"/>
              <w:adjustRightInd w:val="0"/>
              <w:jc w:val="center"/>
              <w:rPr>
                <w:rFonts w:hint="eastAsia" w:ascii="宋体" w:hAnsi="宋体" w:cs="宋体"/>
                <w:color w:val="000000"/>
                <w:kern w:val="0"/>
                <w:sz w:val="24"/>
                <w:szCs w:val="24"/>
              </w:rPr>
            </w:pPr>
            <w:r>
              <w:rPr>
                <w:rFonts w:hint="eastAsia" w:ascii="宋体" w:hAnsi="宋体" w:cs="宋体"/>
                <w:color w:val="000000"/>
                <w:kern w:val="0"/>
                <w:sz w:val="24"/>
                <w:szCs w:val="24"/>
              </w:rPr>
              <w:t>条</w:t>
            </w:r>
          </w:p>
        </w:tc>
        <w:tc>
          <w:tcPr>
            <w:tcW w:w="1742" w:type="dxa"/>
            <w:noWrap w:val="0"/>
            <w:vAlign w:val="top"/>
          </w:tcPr>
          <w:p>
            <w:pPr>
              <w:autoSpaceDE w:val="0"/>
              <w:autoSpaceDN w:val="0"/>
              <w:adjustRightInd w:val="0"/>
              <w:jc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1735" w:type="dxa"/>
            <w:noWrap w:val="0"/>
            <w:vAlign w:val="top"/>
          </w:tcPr>
          <w:p>
            <w:pPr>
              <w:snapToGrid w:val="0"/>
              <w:spacing w:line="360" w:lineRule="auto"/>
              <w:jc w:val="left"/>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noWrap w:val="0"/>
            <w:vAlign w:val="center"/>
          </w:tcPr>
          <w:p>
            <w:pPr>
              <w:jc w:val="center"/>
              <w:textAlignment w:val="center"/>
              <w:rPr>
                <w:rFonts w:hint="eastAsia" w:ascii="宋体" w:hAnsi="宋体" w:cs="宋体"/>
                <w:sz w:val="24"/>
                <w:szCs w:val="24"/>
              </w:rPr>
            </w:pPr>
            <w:r>
              <w:rPr>
                <w:rFonts w:hint="eastAsia" w:ascii="宋体" w:hAnsi="宋体" w:cs="宋体"/>
                <w:color w:val="000000"/>
                <w:sz w:val="24"/>
                <w:szCs w:val="24"/>
              </w:rPr>
              <w:t>9</w:t>
            </w:r>
          </w:p>
        </w:tc>
        <w:tc>
          <w:tcPr>
            <w:tcW w:w="2908" w:type="dxa"/>
            <w:noWrap w:val="0"/>
            <w:vAlign w:val="center"/>
          </w:tcPr>
          <w:p>
            <w:pPr>
              <w:widowControl/>
              <w:jc w:val="left"/>
              <w:textAlignment w:val="center"/>
              <w:rPr>
                <w:rFonts w:hint="eastAsia" w:ascii="宋体" w:hAnsi="宋体" w:cs="宋体"/>
                <w:sz w:val="24"/>
                <w:szCs w:val="24"/>
              </w:rPr>
            </w:pPr>
            <w:r>
              <w:rPr>
                <w:rFonts w:hint="eastAsia" w:ascii="宋体" w:hAnsi="宋体" w:cs="宋体"/>
                <w:color w:val="000000"/>
                <w:kern w:val="0"/>
                <w:sz w:val="24"/>
                <w:szCs w:val="24"/>
                <w:lang w:bidi="ar"/>
              </w:rPr>
              <w:t>六类网线</w:t>
            </w:r>
          </w:p>
        </w:tc>
        <w:tc>
          <w:tcPr>
            <w:tcW w:w="1232" w:type="dxa"/>
            <w:noWrap w:val="0"/>
            <w:vAlign w:val="top"/>
          </w:tcPr>
          <w:p>
            <w:pPr>
              <w:autoSpaceDE w:val="0"/>
              <w:autoSpaceDN w:val="0"/>
              <w:adjustRightInd w:val="0"/>
              <w:jc w:val="center"/>
              <w:rPr>
                <w:rFonts w:hint="eastAsia" w:ascii="宋体" w:hAnsi="宋体" w:cs="宋体"/>
                <w:color w:val="000000"/>
                <w:kern w:val="0"/>
                <w:sz w:val="24"/>
                <w:szCs w:val="24"/>
              </w:rPr>
            </w:pPr>
            <w:r>
              <w:rPr>
                <w:rFonts w:hint="eastAsia" w:ascii="宋体" w:hAnsi="宋体" w:cs="宋体"/>
                <w:color w:val="000000"/>
                <w:kern w:val="0"/>
                <w:sz w:val="24"/>
                <w:szCs w:val="24"/>
              </w:rPr>
              <w:t>米</w:t>
            </w:r>
          </w:p>
        </w:tc>
        <w:tc>
          <w:tcPr>
            <w:tcW w:w="1742" w:type="dxa"/>
            <w:noWrap w:val="0"/>
            <w:vAlign w:val="top"/>
          </w:tcPr>
          <w:p>
            <w:pPr>
              <w:autoSpaceDE w:val="0"/>
              <w:autoSpaceDN w:val="0"/>
              <w:adjustRightInd w:val="0"/>
              <w:jc w:val="center"/>
              <w:rPr>
                <w:rFonts w:hint="eastAsia" w:ascii="宋体" w:hAnsi="宋体" w:cs="宋体"/>
                <w:color w:val="000000"/>
                <w:kern w:val="0"/>
                <w:sz w:val="24"/>
                <w:szCs w:val="24"/>
              </w:rPr>
            </w:pPr>
            <w:r>
              <w:rPr>
                <w:rFonts w:hint="eastAsia" w:ascii="宋体" w:hAnsi="宋体" w:cs="宋体"/>
                <w:color w:val="000000"/>
                <w:kern w:val="0"/>
                <w:sz w:val="24"/>
                <w:szCs w:val="24"/>
              </w:rPr>
              <w:t>2000</w:t>
            </w:r>
          </w:p>
        </w:tc>
        <w:tc>
          <w:tcPr>
            <w:tcW w:w="1735" w:type="dxa"/>
            <w:noWrap w:val="0"/>
            <w:vAlign w:val="top"/>
          </w:tcPr>
          <w:p>
            <w:pPr>
              <w:snapToGrid w:val="0"/>
              <w:spacing w:line="360" w:lineRule="auto"/>
              <w:jc w:val="left"/>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noWrap w:val="0"/>
            <w:vAlign w:val="center"/>
          </w:tcPr>
          <w:p>
            <w:pPr>
              <w:jc w:val="center"/>
              <w:textAlignment w:val="center"/>
              <w:rPr>
                <w:rFonts w:hint="eastAsia" w:ascii="宋体" w:hAnsi="宋体" w:cs="宋体"/>
                <w:sz w:val="24"/>
                <w:szCs w:val="24"/>
              </w:rPr>
            </w:pPr>
            <w:r>
              <w:rPr>
                <w:rFonts w:hint="eastAsia" w:ascii="宋体" w:hAnsi="宋体" w:cs="宋体"/>
                <w:color w:val="000000"/>
                <w:sz w:val="24"/>
                <w:szCs w:val="24"/>
              </w:rPr>
              <w:t>10</w:t>
            </w:r>
          </w:p>
        </w:tc>
        <w:tc>
          <w:tcPr>
            <w:tcW w:w="2908" w:type="dxa"/>
            <w:noWrap w:val="0"/>
            <w:vAlign w:val="center"/>
          </w:tcPr>
          <w:p>
            <w:pPr>
              <w:widowControl/>
              <w:jc w:val="left"/>
              <w:textAlignment w:val="center"/>
              <w:rPr>
                <w:rFonts w:hint="eastAsia" w:ascii="宋体" w:hAnsi="宋体" w:cs="宋体"/>
                <w:sz w:val="24"/>
                <w:szCs w:val="24"/>
              </w:rPr>
            </w:pPr>
            <w:r>
              <w:rPr>
                <w:rFonts w:hint="eastAsia" w:ascii="宋体" w:hAnsi="宋体" w:cs="宋体"/>
                <w:color w:val="000000"/>
                <w:kern w:val="0"/>
                <w:sz w:val="24"/>
                <w:szCs w:val="24"/>
                <w:lang w:bidi="ar"/>
              </w:rPr>
              <w:t>六类网络模块</w:t>
            </w:r>
          </w:p>
        </w:tc>
        <w:tc>
          <w:tcPr>
            <w:tcW w:w="1232" w:type="dxa"/>
            <w:noWrap w:val="0"/>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套</w:t>
            </w:r>
          </w:p>
        </w:tc>
        <w:tc>
          <w:tcPr>
            <w:tcW w:w="1742" w:type="dxa"/>
            <w:noWrap w:val="0"/>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90</w:t>
            </w:r>
          </w:p>
        </w:tc>
        <w:tc>
          <w:tcPr>
            <w:tcW w:w="1735" w:type="dxa"/>
            <w:noWrap w:val="0"/>
            <w:vAlign w:val="top"/>
          </w:tcPr>
          <w:p>
            <w:pPr>
              <w:snapToGrid w:val="0"/>
              <w:spacing w:line="360" w:lineRule="auto"/>
              <w:jc w:val="left"/>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noWrap w:val="0"/>
            <w:vAlign w:val="center"/>
          </w:tcPr>
          <w:p>
            <w:pPr>
              <w:jc w:val="center"/>
              <w:textAlignment w:val="center"/>
              <w:rPr>
                <w:rFonts w:hint="eastAsia" w:ascii="宋体" w:hAnsi="宋体" w:cs="宋体"/>
                <w:sz w:val="24"/>
                <w:szCs w:val="24"/>
              </w:rPr>
            </w:pPr>
            <w:r>
              <w:rPr>
                <w:rFonts w:hint="eastAsia" w:ascii="宋体" w:hAnsi="宋体" w:cs="宋体"/>
                <w:color w:val="000000"/>
                <w:sz w:val="24"/>
                <w:szCs w:val="24"/>
              </w:rPr>
              <w:t>11</w:t>
            </w:r>
          </w:p>
        </w:tc>
        <w:tc>
          <w:tcPr>
            <w:tcW w:w="2908" w:type="dxa"/>
            <w:noWrap w:val="0"/>
            <w:vAlign w:val="center"/>
          </w:tcPr>
          <w:p>
            <w:pPr>
              <w:widowControl/>
              <w:jc w:val="left"/>
              <w:textAlignment w:val="center"/>
              <w:rPr>
                <w:rFonts w:hint="eastAsia" w:ascii="宋体" w:hAnsi="宋体" w:cs="宋体"/>
                <w:sz w:val="24"/>
                <w:szCs w:val="24"/>
              </w:rPr>
            </w:pPr>
            <w:r>
              <w:rPr>
                <w:rFonts w:hint="eastAsia" w:ascii="宋体" w:hAnsi="宋体" w:cs="宋体"/>
                <w:color w:val="000000"/>
                <w:kern w:val="0"/>
                <w:sz w:val="24"/>
                <w:szCs w:val="24"/>
                <w:lang w:bidi="ar"/>
              </w:rPr>
              <w:t>理线架</w:t>
            </w:r>
          </w:p>
        </w:tc>
        <w:tc>
          <w:tcPr>
            <w:tcW w:w="1232" w:type="dxa"/>
            <w:noWrap w:val="0"/>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条</w:t>
            </w:r>
          </w:p>
        </w:tc>
        <w:tc>
          <w:tcPr>
            <w:tcW w:w="1742" w:type="dxa"/>
            <w:noWrap w:val="0"/>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4</w:t>
            </w:r>
          </w:p>
        </w:tc>
        <w:tc>
          <w:tcPr>
            <w:tcW w:w="1735" w:type="dxa"/>
            <w:noWrap w:val="0"/>
            <w:vAlign w:val="top"/>
          </w:tcPr>
          <w:p>
            <w:pPr>
              <w:snapToGrid w:val="0"/>
              <w:spacing w:line="360" w:lineRule="auto"/>
              <w:jc w:val="left"/>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noWrap w:val="0"/>
            <w:vAlign w:val="center"/>
          </w:tcPr>
          <w:p>
            <w:pPr>
              <w:jc w:val="center"/>
              <w:textAlignment w:val="center"/>
              <w:rPr>
                <w:rFonts w:hint="eastAsia" w:ascii="宋体" w:hAnsi="宋体" w:cs="宋体"/>
                <w:sz w:val="24"/>
                <w:szCs w:val="24"/>
              </w:rPr>
            </w:pPr>
            <w:r>
              <w:rPr>
                <w:rFonts w:hint="eastAsia" w:ascii="宋体" w:hAnsi="宋体" w:cs="宋体"/>
                <w:color w:val="000000"/>
                <w:sz w:val="24"/>
                <w:szCs w:val="24"/>
              </w:rPr>
              <w:t>12</w:t>
            </w:r>
          </w:p>
        </w:tc>
        <w:tc>
          <w:tcPr>
            <w:tcW w:w="2908" w:type="dxa"/>
            <w:noWrap w:val="0"/>
            <w:vAlign w:val="center"/>
          </w:tcPr>
          <w:p>
            <w:pPr>
              <w:widowControl/>
              <w:jc w:val="left"/>
              <w:textAlignment w:val="center"/>
              <w:rPr>
                <w:rFonts w:hint="eastAsia" w:ascii="宋体" w:hAnsi="宋体" w:cs="宋体"/>
                <w:sz w:val="24"/>
                <w:szCs w:val="24"/>
              </w:rPr>
            </w:pPr>
            <w:r>
              <w:rPr>
                <w:rFonts w:hint="eastAsia" w:ascii="宋体" w:hAnsi="宋体" w:cs="宋体"/>
                <w:color w:val="000000"/>
                <w:kern w:val="0"/>
                <w:sz w:val="24"/>
                <w:szCs w:val="24"/>
                <w:lang w:bidi="ar"/>
              </w:rPr>
              <w:t>水晶头</w:t>
            </w:r>
          </w:p>
        </w:tc>
        <w:tc>
          <w:tcPr>
            <w:tcW w:w="1232" w:type="dxa"/>
            <w:noWrap w:val="0"/>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个</w:t>
            </w:r>
          </w:p>
        </w:tc>
        <w:tc>
          <w:tcPr>
            <w:tcW w:w="1742" w:type="dxa"/>
            <w:noWrap w:val="0"/>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200</w:t>
            </w:r>
          </w:p>
        </w:tc>
        <w:tc>
          <w:tcPr>
            <w:tcW w:w="1735" w:type="dxa"/>
            <w:noWrap w:val="0"/>
            <w:vAlign w:val="top"/>
          </w:tcPr>
          <w:p>
            <w:pPr>
              <w:snapToGrid w:val="0"/>
              <w:spacing w:line="360" w:lineRule="auto"/>
              <w:jc w:val="left"/>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noWrap w:val="0"/>
            <w:vAlign w:val="center"/>
          </w:tcPr>
          <w:p>
            <w:pPr>
              <w:jc w:val="center"/>
              <w:textAlignment w:val="center"/>
              <w:rPr>
                <w:rFonts w:hint="eastAsia" w:ascii="宋体" w:hAnsi="宋体" w:cs="宋体"/>
                <w:sz w:val="24"/>
                <w:szCs w:val="24"/>
              </w:rPr>
            </w:pPr>
            <w:r>
              <w:rPr>
                <w:rFonts w:hint="eastAsia" w:ascii="宋体" w:hAnsi="宋体" w:cs="宋体"/>
                <w:color w:val="000000"/>
                <w:sz w:val="24"/>
                <w:szCs w:val="24"/>
              </w:rPr>
              <w:t>13</w:t>
            </w:r>
          </w:p>
        </w:tc>
        <w:tc>
          <w:tcPr>
            <w:tcW w:w="2908" w:type="dxa"/>
            <w:noWrap w:val="0"/>
            <w:vAlign w:val="center"/>
          </w:tcPr>
          <w:p>
            <w:pPr>
              <w:widowControl/>
              <w:jc w:val="left"/>
              <w:textAlignment w:val="center"/>
              <w:rPr>
                <w:rFonts w:hint="eastAsia" w:ascii="宋体" w:hAnsi="宋体" w:cs="宋体"/>
                <w:sz w:val="24"/>
                <w:szCs w:val="24"/>
              </w:rPr>
            </w:pPr>
            <w:r>
              <w:rPr>
                <w:rFonts w:hint="eastAsia" w:ascii="宋体" w:hAnsi="宋体" w:cs="宋体"/>
                <w:color w:val="000000"/>
                <w:kern w:val="0"/>
                <w:sz w:val="24"/>
                <w:szCs w:val="24"/>
                <w:lang w:bidi="ar"/>
              </w:rPr>
              <w:t>静电地板</w:t>
            </w:r>
          </w:p>
        </w:tc>
        <w:tc>
          <w:tcPr>
            <w:tcW w:w="1232" w:type="dxa"/>
            <w:noWrap w:val="0"/>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间</w:t>
            </w:r>
          </w:p>
        </w:tc>
        <w:tc>
          <w:tcPr>
            <w:tcW w:w="1742" w:type="dxa"/>
            <w:noWrap w:val="0"/>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2</w:t>
            </w:r>
          </w:p>
        </w:tc>
        <w:tc>
          <w:tcPr>
            <w:tcW w:w="1735" w:type="dxa"/>
            <w:noWrap w:val="0"/>
            <w:vAlign w:val="top"/>
          </w:tcPr>
          <w:p>
            <w:pPr>
              <w:snapToGrid w:val="0"/>
              <w:spacing w:line="360" w:lineRule="auto"/>
              <w:jc w:val="left"/>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noWrap w:val="0"/>
            <w:vAlign w:val="center"/>
          </w:tcPr>
          <w:p>
            <w:pPr>
              <w:jc w:val="center"/>
              <w:textAlignment w:val="center"/>
              <w:rPr>
                <w:rFonts w:hint="eastAsia" w:ascii="宋体" w:hAnsi="宋体" w:cs="宋体"/>
                <w:sz w:val="24"/>
                <w:szCs w:val="24"/>
              </w:rPr>
            </w:pPr>
            <w:r>
              <w:rPr>
                <w:rFonts w:hint="eastAsia" w:ascii="宋体" w:hAnsi="宋体" w:cs="宋体"/>
                <w:color w:val="000000"/>
                <w:sz w:val="24"/>
                <w:szCs w:val="24"/>
              </w:rPr>
              <w:t>14</w:t>
            </w:r>
          </w:p>
        </w:tc>
        <w:tc>
          <w:tcPr>
            <w:tcW w:w="2908" w:type="dxa"/>
            <w:noWrap w:val="0"/>
            <w:vAlign w:val="center"/>
          </w:tcPr>
          <w:p>
            <w:pPr>
              <w:widowControl/>
              <w:jc w:val="left"/>
              <w:textAlignment w:val="center"/>
              <w:rPr>
                <w:rFonts w:hint="eastAsia" w:ascii="宋体" w:hAnsi="宋体" w:cs="宋体"/>
                <w:sz w:val="24"/>
                <w:szCs w:val="24"/>
              </w:rPr>
            </w:pPr>
            <w:r>
              <w:rPr>
                <w:rFonts w:hint="eastAsia" w:ascii="宋体" w:hAnsi="宋体" w:cs="宋体"/>
                <w:color w:val="000000"/>
                <w:kern w:val="0"/>
                <w:sz w:val="24"/>
                <w:szCs w:val="24"/>
                <w:lang w:bidi="ar"/>
              </w:rPr>
              <w:t>电脑桌</w:t>
            </w:r>
          </w:p>
        </w:tc>
        <w:tc>
          <w:tcPr>
            <w:tcW w:w="1232" w:type="dxa"/>
            <w:noWrap w:val="0"/>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套</w:t>
            </w:r>
          </w:p>
        </w:tc>
        <w:tc>
          <w:tcPr>
            <w:tcW w:w="1742" w:type="dxa"/>
            <w:noWrap w:val="0"/>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16</w:t>
            </w:r>
          </w:p>
        </w:tc>
        <w:tc>
          <w:tcPr>
            <w:tcW w:w="1735" w:type="dxa"/>
            <w:noWrap w:val="0"/>
            <w:vAlign w:val="top"/>
          </w:tcPr>
          <w:p>
            <w:pPr>
              <w:snapToGrid w:val="0"/>
              <w:spacing w:line="360" w:lineRule="auto"/>
              <w:jc w:val="left"/>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noWrap w:val="0"/>
            <w:vAlign w:val="center"/>
          </w:tcPr>
          <w:p>
            <w:pPr>
              <w:jc w:val="center"/>
              <w:textAlignment w:val="center"/>
              <w:rPr>
                <w:rFonts w:hint="eastAsia" w:ascii="宋体" w:hAnsi="宋体" w:cs="宋体"/>
                <w:sz w:val="24"/>
                <w:szCs w:val="24"/>
              </w:rPr>
            </w:pPr>
            <w:r>
              <w:rPr>
                <w:rFonts w:hint="eastAsia" w:ascii="宋体" w:hAnsi="宋体" w:cs="宋体"/>
                <w:color w:val="000000"/>
                <w:sz w:val="24"/>
                <w:szCs w:val="24"/>
              </w:rPr>
              <w:t>15</w:t>
            </w:r>
          </w:p>
        </w:tc>
        <w:tc>
          <w:tcPr>
            <w:tcW w:w="2908" w:type="dxa"/>
            <w:noWrap w:val="0"/>
            <w:vAlign w:val="center"/>
          </w:tcPr>
          <w:p>
            <w:pPr>
              <w:widowControl/>
              <w:jc w:val="left"/>
              <w:textAlignment w:val="center"/>
              <w:rPr>
                <w:rFonts w:hint="eastAsia" w:ascii="宋体" w:hAnsi="宋体" w:cs="宋体"/>
                <w:sz w:val="24"/>
                <w:szCs w:val="24"/>
              </w:rPr>
            </w:pPr>
            <w:r>
              <w:rPr>
                <w:rFonts w:hint="eastAsia" w:ascii="宋体" w:hAnsi="宋体" w:cs="宋体"/>
                <w:color w:val="000000"/>
                <w:kern w:val="0"/>
                <w:sz w:val="24"/>
                <w:szCs w:val="24"/>
                <w:lang w:bidi="ar"/>
              </w:rPr>
              <w:t>网络机柜</w:t>
            </w:r>
          </w:p>
        </w:tc>
        <w:tc>
          <w:tcPr>
            <w:tcW w:w="1232" w:type="dxa"/>
            <w:noWrap w:val="0"/>
            <w:vAlign w:val="top"/>
          </w:tcPr>
          <w:p>
            <w:pPr>
              <w:autoSpaceDE w:val="0"/>
              <w:autoSpaceDN w:val="0"/>
              <w:adjustRightInd w:val="0"/>
              <w:jc w:val="center"/>
              <w:rPr>
                <w:rFonts w:hint="eastAsia" w:ascii="宋体" w:hAnsi="宋体" w:cs="宋体"/>
                <w:color w:val="000000"/>
                <w:kern w:val="0"/>
                <w:sz w:val="24"/>
                <w:szCs w:val="24"/>
              </w:rPr>
            </w:pPr>
            <w:r>
              <w:rPr>
                <w:rFonts w:hint="eastAsia" w:ascii="宋体" w:hAnsi="宋体" w:cs="宋体"/>
                <w:color w:val="000000"/>
                <w:kern w:val="0"/>
                <w:sz w:val="24"/>
                <w:szCs w:val="24"/>
              </w:rPr>
              <w:t>只</w:t>
            </w:r>
          </w:p>
        </w:tc>
        <w:tc>
          <w:tcPr>
            <w:tcW w:w="1742" w:type="dxa"/>
            <w:noWrap w:val="0"/>
            <w:vAlign w:val="top"/>
          </w:tcPr>
          <w:p>
            <w:pPr>
              <w:autoSpaceDE w:val="0"/>
              <w:autoSpaceDN w:val="0"/>
              <w:adjustRightInd w:val="0"/>
              <w:jc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1735" w:type="dxa"/>
            <w:noWrap w:val="0"/>
            <w:vAlign w:val="top"/>
          </w:tcPr>
          <w:p>
            <w:pPr>
              <w:snapToGrid w:val="0"/>
              <w:spacing w:line="360" w:lineRule="auto"/>
              <w:jc w:val="left"/>
              <w:rPr>
                <w:rFonts w:hint="eastAsia"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4" w:type="dxa"/>
            <w:noWrap w:val="0"/>
            <w:vAlign w:val="center"/>
          </w:tcPr>
          <w:p>
            <w:pPr>
              <w:jc w:val="center"/>
              <w:textAlignment w:val="center"/>
              <w:rPr>
                <w:rFonts w:hint="eastAsia" w:ascii="宋体" w:hAnsi="宋体" w:cs="宋体"/>
                <w:sz w:val="24"/>
                <w:szCs w:val="24"/>
              </w:rPr>
            </w:pPr>
            <w:r>
              <w:rPr>
                <w:rFonts w:hint="eastAsia" w:ascii="宋体" w:hAnsi="宋体" w:cs="宋体"/>
                <w:color w:val="000000"/>
                <w:sz w:val="24"/>
                <w:szCs w:val="24"/>
              </w:rPr>
              <w:t>16</w:t>
            </w:r>
          </w:p>
        </w:tc>
        <w:tc>
          <w:tcPr>
            <w:tcW w:w="2908" w:type="dxa"/>
            <w:noWrap w:val="0"/>
            <w:vAlign w:val="center"/>
          </w:tcPr>
          <w:p>
            <w:pPr>
              <w:widowControl/>
              <w:jc w:val="left"/>
              <w:textAlignment w:val="center"/>
              <w:rPr>
                <w:rFonts w:hint="eastAsia" w:ascii="宋体" w:hAnsi="宋体" w:cs="宋体"/>
                <w:sz w:val="24"/>
                <w:szCs w:val="24"/>
              </w:rPr>
            </w:pPr>
            <w:r>
              <w:rPr>
                <w:rFonts w:hint="eastAsia" w:ascii="宋体" w:hAnsi="宋体" w:cs="宋体"/>
                <w:color w:val="000000"/>
                <w:kern w:val="0"/>
                <w:sz w:val="24"/>
                <w:szCs w:val="24"/>
                <w:lang w:bidi="ar"/>
              </w:rPr>
              <w:t>系统配件、施工</w:t>
            </w:r>
          </w:p>
        </w:tc>
        <w:tc>
          <w:tcPr>
            <w:tcW w:w="1232" w:type="dxa"/>
            <w:noWrap w:val="0"/>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批</w:t>
            </w:r>
          </w:p>
        </w:tc>
        <w:tc>
          <w:tcPr>
            <w:tcW w:w="1742" w:type="dxa"/>
            <w:noWrap w:val="0"/>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bidi="ar"/>
              </w:rPr>
              <w:t>1</w:t>
            </w:r>
          </w:p>
        </w:tc>
        <w:tc>
          <w:tcPr>
            <w:tcW w:w="1735" w:type="dxa"/>
            <w:noWrap w:val="0"/>
            <w:vAlign w:val="top"/>
          </w:tcPr>
          <w:p>
            <w:pPr>
              <w:snapToGrid w:val="0"/>
              <w:spacing w:line="360" w:lineRule="auto"/>
              <w:jc w:val="left"/>
              <w:rPr>
                <w:rFonts w:hint="eastAsia" w:ascii="宋体" w:hAnsi="宋体" w:cs="宋体"/>
                <w:b/>
                <w:bCs/>
                <w:sz w:val="24"/>
                <w:szCs w:val="24"/>
              </w:rPr>
            </w:pPr>
          </w:p>
        </w:tc>
      </w:tr>
    </w:tbl>
    <w:p>
      <w:pPr>
        <w:spacing w:line="360" w:lineRule="auto"/>
        <w:ind w:firstLine="482" w:firstLineChars="200"/>
        <w:jc w:val="left"/>
        <w:outlineLvl w:val="1"/>
        <w:rPr>
          <w:rFonts w:hint="eastAsia" w:ascii="宋体" w:hAnsi="宋体" w:cs="宋体"/>
          <w:b/>
          <w:bCs/>
          <w:sz w:val="24"/>
        </w:rPr>
      </w:pPr>
      <w:bookmarkStart w:id="77" w:name="_Toc11050259"/>
      <w:r>
        <w:rPr>
          <w:rFonts w:hint="eastAsia" w:ascii="宋体" w:hAnsi="宋体" w:cs="宋体"/>
          <w:b/>
          <w:bCs/>
          <w:sz w:val="24"/>
        </w:rPr>
        <w:t>二、技术参数要求</w:t>
      </w:r>
      <w:bookmarkEnd w:id="77"/>
    </w:p>
    <w:tbl>
      <w:tblPr>
        <w:tblStyle w:val="53"/>
        <w:tblW w:w="86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12"/>
        <w:gridCol w:w="5458"/>
        <w:gridCol w:w="670"/>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8614" w:type="dxa"/>
            <w:gridSpan w:val="5"/>
            <w:noWrap w:val="0"/>
            <w:vAlign w:val="center"/>
          </w:tcPr>
          <w:p>
            <w:pPr>
              <w:spacing w:line="400" w:lineRule="exact"/>
              <w:rPr>
                <w:rFonts w:hint="eastAsia" w:ascii="宋体" w:hAnsi="宋体" w:cs="宋体"/>
                <w:b/>
                <w:bCs/>
                <w:color w:val="auto"/>
                <w:sz w:val="24"/>
                <w:szCs w:val="24"/>
              </w:rPr>
            </w:pPr>
            <w:r>
              <w:rPr>
                <w:rFonts w:hint="eastAsia" w:ascii="宋体" w:hAnsi="宋体" w:cs="宋体"/>
                <w:b/>
                <w:bCs/>
                <w:color w:val="auto"/>
                <w:sz w:val="24"/>
                <w:szCs w:val="24"/>
              </w:rPr>
              <w:t>一、多媒体触摸一体机系统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序号</w:t>
            </w:r>
          </w:p>
        </w:tc>
        <w:tc>
          <w:tcPr>
            <w:tcW w:w="1212" w:type="dxa"/>
            <w:noWrap w:val="0"/>
            <w:vAlign w:val="center"/>
          </w:tcPr>
          <w:p>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设备名称</w:t>
            </w:r>
          </w:p>
        </w:tc>
        <w:tc>
          <w:tcPr>
            <w:tcW w:w="5458" w:type="dxa"/>
            <w:noWrap w:val="0"/>
            <w:vAlign w:val="center"/>
          </w:tcPr>
          <w:p>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技术参数与要求</w:t>
            </w:r>
          </w:p>
        </w:tc>
        <w:tc>
          <w:tcPr>
            <w:tcW w:w="670" w:type="dxa"/>
            <w:noWrap w:val="0"/>
            <w:vAlign w:val="center"/>
          </w:tcPr>
          <w:p>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单位</w:t>
            </w:r>
          </w:p>
        </w:tc>
        <w:tc>
          <w:tcPr>
            <w:tcW w:w="640" w:type="dxa"/>
            <w:noWrap w:val="0"/>
            <w:vAlign w:val="center"/>
          </w:tcPr>
          <w:p>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400" w:lineRule="exact"/>
              <w:jc w:val="center"/>
              <w:textAlignment w:val="center"/>
              <w:rPr>
                <w:rFonts w:hint="eastAsia" w:ascii="宋体" w:hAnsi="宋体" w:cs="宋体"/>
                <w:color w:val="auto"/>
                <w:sz w:val="24"/>
                <w:szCs w:val="24"/>
              </w:rPr>
            </w:pPr>
            <w:r>
              <w:rPr>
                <w:rFonts w:hint="eastAsia" w:ascii="宋体" w:hAnsi="宋体" w:cs="宋体"/>
                <w:color w:val="auto"/>
                <w:sz w:val="24"/>
                <w:szCs w:val="24"/>
              </w:rPr>
              <w:t>1</w:t>
            </w:r>
          </w:p>
        </w:tc>
        <w:tc>
          <w:tcPr>
            <w:tcW w:w="1212" w:type="dxa"/>
            <w:noWrap w:val="0"/>
            <w:vAlign w:val="center"/>
          </w:tcPr>
          <w:p>
            <w:pPr>
              <w:widowControl/>
              <w:spacing w:line="400" w:lineRule="exact"/>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85寸红外触摸一体机</w:t>
            </w:r>
          </w:p>
        </w:tc>
        <w:tc>
          <w:tcPr>
            <w:tcW w:w="5458" w:type="dxa"/>
            <w:noWrap w:val="0"/>
            <w:vAlign w:val="bottom"/>
          </w:tcPr>
          <w:p>
            <w:pPr>
              <w:spacing w:line="400" w:lineRule="exact"/>
              <w:rPr>
                <w:rFonts w:hint="eastAsia" w:ascii="宋体" w:hAnsi="宋体" w:cs="宋体"/>
                <w:b/>
                <w:bCs/>
                <w:color w:val="auto"/>
                <w:sz w:val="24"/>
                <w:szCs w:val="24"/>
              </w:rPr>
            </w:pPr>
            <w:r>
              <w:rPr>
                <w:rFonts w:hint="eastAsia" w:ascii="宋体" w:hAnsi="宋体" w:cs="宋体"/>
                <w:b/>
                <w:bCs/>
                <w:color w:val="auto"/>
                <w:sz w:val="24"/>
                <w:szCs w:val="24"/>
              </w:rPr>
              <w:t>一、显示模块及整机性能</w:t>
            </w:r>
          </w:p>
          <w:p>
            <w:pPr>
              <w:spacing w:line="400" w:lineRule="exact"/>
              <w:rPr>
                <w:rFonts w:hint="eastAsia" w:ascii="宋体" w:hAnsi="宋体" w:cs="宋体"/>
                <w:color w:val="auto"/>
                <w:sz w:val="24"/>
                <w:szCs w:val="24"/>
              </w:rPr>
            </w:pPr>
            <w:r>
              <w:rPr>
                <w:rFonts w:hint="eastAsia" w:ascii="宋体" w:hAnsi="宋体" w:cs="宋体"/>
                <w:color w:val="auto"/>
                <w:sz w:val="24"/>
                <w:szCs w:val="24"/>
              </w:rPr>
              <w:t>1.LED液晶屏体：A规屏，显示尺寸≥85英寸，显示比例16:9，物理解析度：3840×2160。</w:t>
            </w:r>
          </w:p>
          <w:p>
            <w:pPr>
              <w:spacing w:line="400" w:lineRule="exact"/>
              <w:rPr>
                <w:rFonts w:hint="eastAsia" w:ascii="宋体" w:hAnsi="宋体" w:cs="宋体"/>
                <w:color w:val="auto"/>
                <w:sz w:val="24"/>
                <w:szCs w:val="24"/>
              </w:rPr>
            </w:pPr>
            <w:r>
              <w:rPr>
                <w:rFonts w:hint="eastAsia" w:ascii="宋体" w:hAnsi="宋体" w:cs="宋体"/>
                <w:color w:val="auto"/>
                <w:sz w:val="24"/>
                <w:szCs w:val="24"/>
              </w:rPr>
              <w:t>2.屏体亮度≥</w:t>
            </w:r>
            <w:r>
              <w:rPr>
                <w:rFonts w:hint="default" w:ascii="宋体" w:hAnsi="宋体" w:cs="宋体"/>
                <w:color w:val="auto"/>
                <w:sz w:val="24"/>
                <w:szCs w:val="24"/>
              </w:rPr>
              <w:t>400</w:t>
            </w:r>
            <w:r>
              <w:rPr>
                <w:rFonts w:hint="eastAsia" w:ascii="宋体" w:hAnsi="宋体" w:cs="宋体"/>
                <w:color w:val="auto"/>
                <w:sz w:val="24"/>
                <w:szCs w:val="24"/>
              </w:rPr>
              <w:t xml:space="preserve">cd/M2, 色彩覆盖率不低于NTSC </w:t>
            </w:r>
            <w:r>
              <w:rPr>
                <w:rFonts w:hint="default" w:ascii="宋体" w:hAnsi="宋体" w:cs="宋体"/>
                <w:color w:val="auto"/>
                <w:sz w:val="24"/>
                <w:szCs w:val="24"/>
              </w:rPr>
              <w:t>90</w:t>
            </w:r>
            <w:r>
              <w:rPr>
                <w:rFonts w:hint="eastAsia" w:ascii="宋体" w:hAnsi="宋体" w:cs="宋体"/>
                <w:color w:val="auto"/>
                <w:sz w:val="24"/>
                <w:szCs w:val="24"/>
              </w:rPr>
              <w:t>%，</w:t>
            </w:r>
            <w:r>
              <w:rPr>
                <w:rFonts w:ascii="宋体" w:hAnsi="宋体" w:eastAsia="宋体"/>
                <w:color w:val="auto"/>
                <w:sz w:val="24"/>
                <w:szCs w:val="24"/>
              </w:rPr>
              <w:t>对比度≥4000：1，最大可视角度≥178度</w:t>
            </w:r>
            <w:r>
              <w:rPr>
                <w:rFonts w:hint="eastAsia" w:ascii="宋体" w:hAnsi="宋体" w:cs="宋体"/>
                <w:color w:val="auto"/>
                <w:sz w:val="24"/>
                <w:szCs w:val="24"/>
              </w:rPr>
              <w:t>。</w:t>
            </w:r>
          </w:p>
          <w:p>
            <w:pPr>
              <w:spacing w:line="400" w:lineRule="exact"/>
              <w:rPr>
                <w:rFonts w:hint="eastAsia" w:ascii="宋体" w:hAnsi="宋体" w:cs="宋体"/>
                <w:color w:val="auto"/>
                <w:sz w:val="24"/>
                <w:szCs w:val="24"/>
              </w:rPr>
            </w:pPr>
            <w:r>
              <w:rPr>
                <w:rFonts w:hint="eastAsia" w:ascii="宋体" w:hAnsi="宋体" w:cs="宋体"/>
                <w:color w:val="auto"/>
                <w:sz w:val="24"/>
                <w:szCs w:val="24"/>
              </w:rPr>
              <w:t>3.整机外壳采用金属材质，屏幕采用4mm防眩玻璃保护，表面硬度不低于</w:t>
            </w:r>
            <w:r>
              <w:rPr>
                <w:rFonts w:hint="default" w:ascii="宋体" w:hAnsi="宋体" w:cs="宋体"/>
                <w:color w:val="auto"/>
                <w:sz w:val="24"/>
                <w:szCs w:val="24"/>
              </w:rPr>
              <w:t>8</w:t>
            </w:r>
            <w:r>
              <w:rPr>
                <w:rFonts w:hint="eastAsia" w:ascii="宋体" w:hAnsi="宋体" w:cs="宋体"/>
                <w:color w:val="auto"/>
                <w:sz w:val="24"/>
                <w:szCs w:val="24"/>
              </w:rPr>
              <w:t>H，透光率不低于9</w:t>
            </w:r>
            <w:r>
              <w:rPr>
                <w:rFonts w:hint="default" w:ascii="宋体" w:hAnsi="宋体" w:cs="宋体"/>
                <w:color w:val="auto"/>
                <w:sz w:val="24"/>
                <w:szCs w:val="24"/>
              </w:rPr>
              <w:t>2</w:t>
            </w:r>
            <w:r>
              <w:rPr>
                <w:rFonts w:hint="eastAsia" w:ascii="宋体" w:hAnsi="宋体" w:cs="宋体"/>
                <w:color w:val="auto"/>
                <w:sz w:val="24"/>
                <w:szCs w:val="24"/>
              </w:rPr>
              <w:t>%，雾度≤</w:t>
            </w:r>
            <w:r>
              <w:rPr>
                <w:rFonts w:hint="default" w:ascii="宋体" w:hAnsi="宋体" w:cs="宋体"/>
                <w:color w:val="auto"/>
                <w:sz w:val="24"/>
                <w:szCs w:val="24"/>
              </w:rPr>
              <w:t>8</w:t>
            </w:r>
            <w:r>
              <w:rPr>
                <w:rFonts w:hint="eastAsia" w:ascii="宋体" w:hAnsi="宋体" w:cs="宋体"/>
                <w:color w:val="auto"/>
                <w:sz w:val="24"/>
                <w:szCs w:val="24"/>
              </w:rPr>
              <w:t xml:space="preserve">%； </w:t>
            </w:r>
          </w:p>
          <w:p>
            <w:pPr>
              <w:spacing w:line="400" w:lineRule="exact"/>
              <w:rPr>
                <w:rFonts w:hint="eastAsia" w:ascii="宋体" w:hAnsi="宋体" w:cs="宋体"/>
                <w:color w:val="auto"/>
                <w:sz w:val="24"/>
                <w:szCs w:val="24"/>
              </w:rPr>
            </w:pPr>
            <w:r>
              <w:rPr>
                <w:rFonts w:hint="eastAsia" w:ascii="宋体" w:hAnsi="宋体" w:cs="宋体"/>
                <w:color w:val="auto"/>
                <w:sz w:val="24"/>
                <w:szCs w:val="24"/>
              </w:rPr>
              <w:t>△4.屏体正面前置接口皆具有中文丝印标识，提供≥3路USB3.0接口（可同时在Windows及Android系统下被读取）和1路HDMI高清接口（非转接方式），并采用磁吸式盖板保护接口。（提供产品接口照片）</w:t>
            </w:r>
          </w:p>
          <w:p>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5.屏体正面前置中文丝印标识按键，包含音量加减、触控开关、安卓主页、节能等物理按键； </w:t>
            </w:r>
          </w:p>
          <w:p>
            <w:pPr>
              <w:spacing w:line="400" w:lineRule="exact"/>
              <w:rPr>
                <w:rFonts w:hint="eastAsia" w:ascii="宋体" w:hAnsi="宋体" w:cs="宋体"/>
                <w:color w:val="auto"/>
                <w:sz w:val="24"/>
                <w:szCs w:val="24"/>
              </w:rPr>
            </w:pPr>
            <w:r>
              <w:rPr>
                <w:rFonts w:hint="eastAsia" w:ascii="宋体" w:hAnsi="宋体" w:cs="宋体"/>
                <w:color w:val="auto"/>
                <w:sz w:val="24"/>
                <w:szCs w:val="24"/>
              </w:rPr>
              <w:t>6.智能交互一体机的显示部分具备前置一键电脑还原按键，带中文丝印标识，不需专业人员即可轻松解决电脑系统故障。</w:t>
            </w:r>
          </w:p>
          <w:p>
            <w:pPr>
              <w:spacing w:line="400" w:lineRule="exact"/>
              <w:rPr>
                <w:rFonts w:hint="eastAsia" w:ascii="宋体" w:hAnsi="宋体" w:cs="宋体"/>
                <w:color w:val="auto"/>
                <w:sz w:val="24"/>
                <w:szCs w:val="24"/>
              </w:rPr>
            </w:pPr>
            <w:r>
              <w:rPr>
                <w:rFonts w:hint="eastAsia" w:ascii="宋体" w:hAnsi="宋体" w:cs="宋体"/>
                <w:color w:val="auto"/>
                <w:sz w:val="24"/>
                <w:szCs w:val="24"/>
              </w:rPr>
              <w:t>△7.为保证信号不遮挡，屏体正面前置2.4G和5G双频wifi和蓝牙信号发射器。</w:t>
            </w:r>
          </w:p>
          <w:p>
            <w:pPr>
              <w:spacing w:line="400" w:lineRule="exact"/>
              <w:rPr>
                <w:rFonts w:hint="eastAsia" w:ascii="宋体" w:hAnsi="宋体" w:cs="宋体"/>
                <w:color w:val="auto"/>
                <w:sz w:val="24"/>
                <w:szCs w:val="24"/>
              </w:rPr>
            </w:pPr>
            <w:r>
              <w:rPr>
                <w:rFonts w:hint="eastAsia" w:ascii="宋体" w:hAnsi="宋体" w:cs="宋体"/>
                <w:color w:val="auto"/>
                <w:sz w:val="24"/>
                <w:szCs w:val="24"/>
              </w:rPr>
              <w:t>8.采用红外感应技术，支持10点同时触控，10笔同时书写，触摸分辨率：≥32767*32767；支持单点书写、多指息屏和唤醒屏幕、手势擦除功能。</w:t>
            </w:r>
          </w:p>
          <w:p>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△9.触摸高度≤3mm；最小识别直径≤3mm； </w:t>
            </w:r>
          </w:p>
          <w:p>
            <w:pPr>
              <w:spacing w:line="400" w:lineRule="exact"/>
              <w:rPr>
                <w:rFonts w:hint="eastAsia" w:ascii="宋体" w:hAnsi="宋体" w:cs="宋体"/>
                <w:color w:val="auto"/>
                <w:sz w:val="24"/>
                <w:szCs w:val="24"/>
              </w:rPr>
            </w:pPr>
            <w:r>
              <w:rPr>
                <w:rFonts w:hint="eastAsia" w:ascii="宋体" w:hAnsi="宋体" w:cs="宋体"/>
                <w:color w:val="auto"/>
                <w:sz w:val="24"/>
                <w:szCs w:val="24"/>
              </w:rPr>
              <w:t>10.屏体正面内置前朝向2*15W扬声器和笔槽。</w:t>
            </w:r>
          </w:p>
          <w:p>
            <w:pPr>
              <w:spacing w:line="400" w:lineRule="exact"/>
              <w:rPr>
                <w:rFonts w:hint="eastAsia" w:ascii="宋体" w:hAnsi="宋体" w:cs="宋体"/>
                <w:color w:val="auto"/>
                <w:sz w:val="24"/>
                <w:szCs w:val="24"/>
              </w:rPr>
            </w:pPr>
            <w:r>
              <w:rPr>
                <w:rFonts w:hint="eastAsia" w:ascii="宋体" w:hAnsi="宋体" w:cs="宋体"/>
                <w:color w:val="auto"/>
                <w:sz w:val="24"/>
                <w:szCs w:val="24"/>
              </w:rPr>
              <w:t>11.只需一根网线， windows和Android双系统均可实现上网功能。</w:t>
            </w:r>
          </w:p>
          <w:p>
            <w:pPr>
              <w:spacing w:line="400" w:lineRule="exact"/>
              <w:rPr>
                <w:rFonts w:hint="eastAsia" w:ascii="宋体" w:hAnsi="宋体" w:cs="宋体"/>
                <w:color w:val="auto"/>
                <w:sz w:val="24"/>
                <w:szCs w:val="24"/>
              </w:rPr>
            </w:pPr>
            <w:r>
              <w:rPr>
                <w:rFonts w:hint="eastAsia" w:ascii="宋体" w:hAnsi="宋体" w:cs="宋体"/>
                <w:color w:val="auto"/>
                <w:sz w:val="24"/>
                <w:szCs w:val="24"/>
              </w:rPr>
              <w:t>12.背光采用去蓝光技术，蓝光过滤≥90%,屏幕为高清护眼不闪屏，有效抗蓝光、防眩光。</w:t>
            </w:r>
          </w:p>
          <w:p>
            <w:pPr>
              <w:spacing w:line="400" w:lineRule="exact"/>
              <w:rPr>
                <w:rFonts w:hint="eastAsia" w:ascii="宋体" w:hAnsi="宋体" w:cs="宋体"/>
                <w:color w:val="auto"/>
                <w:sz w:val="24"/>
                <w:szCs w:val="24"/>
              </w:rPr>
            </w:pPr>
            <w:r>
              <w:rPr>
                <w:rFonts w:hint="eastAsia" w:ascii="宋体" w:hAnsi="宋体" w:cs="宋体"/>
                <w:color w:val="auto"/>
                <w:sz w:val="24"/>
                <w:szCs w:val="24"/>
              </w:rPr>
              <w:t>△13.内置安卓系统，CPU采用四核，主板具备ROM不小于8G, RAM不小于1G, 安卓系统版本不低于6.0。</w:t>
            </w:r>
          </w:p>
          <w:p>
            <w:pPr>
              <w:spacing w:line="400" w:lineRule="exact"/>
              <w:rPr>
                <w:rFonts w:hint="eastAsia" w:ascii="宋体" w:hAnsi="宋体" w:cs="宋体"/>
                <w:color w:val="auto"/>
                <w:sz w:val="24"/>
                <w:szCs w:val="24"/>
              </w:rPr>
            </w:pPr>
            <w:r>
              <w:rPr>
                <w:rFonts w:hint="eastAsia" w:ascii="宋体" w:hAnsi="宋体" w:cs="宋体"/>
                <w:color w:val="auto"/>
                <w:sz w:val="24"/>
                <w:szCs w:val="24"/>
              </w:rPr>
              <w:t>14.为方便教师应用，后置输入接口具备2*HDMI、2*USB（其中包含一路双通道接口）、1*触控USB、1*VGA、1*PC音频、1*串口控制、1*RJ45网络。后置输出接口具备1*PC音频。</w:t>
            </w:r>
          </w:p>
          <w:p>
            <w:pPr>
              <w:spacing w:line="400" w:lineRule="exact"/>
              <w:rPr>
                <w:rFonts w:hint="eastAsia" w:ascii="宋体" w:hAnsi="宋体" w:cs="宋体"/>
                <w:color w:val="auto"/>
                <w:sz w:val="24"/>
                <w:szCs w:val="24"/>
              </w:rPr>
            </w:pPr>
            <w:r>
              <w:rPr>
                <w:rFonts w:hint="eastAsia" w:ascii="宋体" w:hAnsi="宋体" w:cs="宋体"/>
                <w:color w:val="auto"/>
                <w:sz w:val="24"/>
                <w:szCs w:val="24"/>
              </w:rPr>
              <w:t>△15.交互平板具有防雷击、防静电、抗撞击、防火、防腐蚀、防辐射、防划伤、触摸屏防遮挡等安全保护，整机具备抗强光干扰性能，在100K LUX照度的光照下保证正常触控、书写。</w:t>
            </w:r>
          </w:p>
          <w:p>
            <w:pPr>
              <w:spacing w:line="400" w:lineRule="exact"/>
              <w:rPr>
                <w:rFonts w:hint="eastAsia" w:ascii="宋体" w:hAnsi="宋体" w:cs="宋体"/>
                <w:color w:val="auto"/>
                <w:sz w:val="24"/>
                <w:szCs w:val="24"/>
              </w:rPr>
            </w:pPr>
            <w:r>
              <w:rPr>
                <w:rFonts w:hint="eastAsia" w:ascii="宋体" w:hAnsi="宋体" w:cs="宋体"/>
                <w:color w:val="auto"/>
                <w:sz w:val="24"/>
                <w:szCs w:val="24"/>
              </w:rPr>
              <w:t>△16.平均无故障时间不低于10万小时。</w:t>
            </w:r>
          </w:p>
          <w:p>
            <w:pPr>
              <w:spacing w:line="400" w:lineRule="exact"/>
              <w:rPr>
                <w:rFonts w:hint="eastAsia" w:ascii="宋体" w:hAnsi="宋体" w:cs="宋体"/>
                <w:color w:val="auto"/>
                <w:sz w:val="24"/>
                <w:szCs w:val="24"/>
              </w:rPr>
            </w:pPr>
            <w:r>
              <w:rPr>
                <w:rFonts w:hint="eastAsia" w:ascii="宋体" w:hAnsi="宋体" w:cs="宋体"/>
                <w:color w:val="auto"/>
                <w:sz w:val="24"/>
                <w:szCs w:val="24"/>
              </w:rPr>
              <w:t>△17.整机测试结果符合 GB21520-20</w:t>
            </w:r>
            <w:r>
              <w:rPr>
                <w:rFonts w:hint="default" w:ascii="宋体" w:hAnsi="宋体" w:cs="宋体"/>
                <w:color w:val="auto"/>
                <w:sz w:val="24"/>
                <w:szCs w:val="24"/>
              </w:rPr>
              <w:t>15</w:t>
            </w:r>
            <w:r>
              <w:rPr>
                <w:rFonts w:hint="eastAsia" w:ascii="宋体" w:hAnsi="宋体" w:cs="宋体"/>
                <w:color w:val="auto"/>
                <w:sz w:val="24"/>
                <w:szCs w:val="24"/>
              </w:rPr>
              <w:t xml:space="preserve">  的能源效率等级 1 级要求。</w:t>
            </w:r>
          </w:p>
          <w:p>
            <w:pPr>
              <w:spacing w:line="400" w:lineRule="exact"/>
              <w:rPr>
                <w:rFonts w:hint="eastAsia" w:ascii="宋体" w:hAnsi="宋体" w:cs="宋体"/>
                <w:color w:val="auto"/>
                <w:sz w:val="24"/>
                <w:szCs w:val="24"/>
              </w:rPr>
            </w:pPr>
            <w:r>
              <w:rPr>
                <w:rFonts w:hint="eastAsia" w:ascii="宋体" w:hAnsi="宋体" w:cs="宋体"/>
                <w:color w:val="auto"/>
                <w:sz w:val="24"/>
                <w:szCs w:val="24"/>
              </w:rPr>
              <w:t>功能应用：</w:t>
            </w:r>
          </w:p>
          <w:p>
            <w:pPr>
              <w:spacing w:line="400" w:lineRule="exact"/>
              <w:rPr>
                <w:rFonts w:hint="eastAsia" w:ascii="宋体" w:hAnsi="宋体" w:cs="宋体"/>
                <w:color w:val="auto"/>
                <w:sz w:val="24"/>
                <w:szCs w:val="24"/>
              </w:rPr>
            </w:pPr>
            <w:r>
              <w:rPr>
                <w:rFonts w:hint="eastAsia" w:ascii="宋体" w:hAnsi="宋体" w:cs="宋体"/>
                <w:color w:val="auto"/>
                <w:sz w:val="24"/>
                <w:szCs w:val="24"/>
              </w:rPr>
              <w:t>1.为体现设备便捷性和先进性，教师可通过三指触摸显示区域，一步操作达到息屏或唤醒屏幕功能，不接受触摸菜单或物理按键的方式。</w:t>
            </w:r>
          </w:p>
          <w:p>
            <w:pPr>
              <w:spacing w:line="400" w:lineRule="exact"/>
              <w:rPr>
                <w:rFonts w:hint="eastAsia" w:ascii="宋体" w:hAnsi="宋体" w:cs="宋体"/>
                <w:color w:val="auto"/>
                <w:sz w:val="24"/>
                <w:szCs w:val="24"/>
              </w:rPr>
            </w:pPr>
            <w:r>
              <w:rPr>
                <w:rFonts w:hint="eastAsia" w:ascii="宋体" w:hAnsi="宋体" w:cs="宋体"/>
                <w:color w:val="auto"/>
                <w:sz w:val="24"/>
                <w:szCs w:val="24"/>
              </w:rPr>
              <w:t>2.为方便教学，在Windows和Android双系统下，可通过智能交互一体机的悬浮菜单一键切换信号源通道，并可通过两指长按调用悬浮菜单到指定位置。</w:t>
            </w:r>
          </w:p>
          <w:p>
            <w:pPr>
              <w:spacing w:line="400" w:lineRule="exact"/>
              <w:rPr>
                <w:rFonts w:hint="eastAsia" w:ascii="宋体" w:hAnsi="宋体" w:cs="宋体"/>
                <w:color w:val="auto"/>
                <w:sz w:val="24"/>
                <w:szCs w:val="24"/>
              </w:rPr>
            </w:pPr>
            <w:r>
              <w:rPr>
                <w:rFonts w:hint="eastAsia" w:ascii="宋体" w:hAnsi="宋体" w:cs="宋体"/>
                <w:color w:val="auto"/>
                <w:sz w:val="24"/>
                <w:szCs w:val="24"/>
              </w:rPr>
              <w:t>3.为方便教学，在任何信号源下均可实现批注、打开展台等功能；悬浮菜单中的应用可根据使用需求进行不少于10种应用更换（非信号源切换）。</w:t>
            </w:r>
          </w:p>
          <w:p>
            <w:pPr>
              <w:spacing w:line="400" w:lineRule="exact"/>
              <w:rPr>
                <w:rFonts w:hint="eastAsia" w:ascii="宋体" w:hAnsi="宋体" w:cs="宋体"/>
                <w:color w:val="auto"/>
                <w:sz w:val="24"/>
                <w:szCs w:val="24"/>
              </w:rPr>
            </w:pPr>
            <w:r>
              <w:rPr>
                <w:rFonts w:hint="eastAsia" w:ascii="宋体" w:hAnsi="宋体" w:cs="宋体"/>
                <w:color w:val="auto"/>
                <w:sz w:val="24"/>
                <w:szCs w:val="24"/>
              </w:rPr>
              <w:t>4.安卓主页面提供≥4个应用入口，任意入口可以根据教学场景进行自定义。</w:t>
            </w:r>
          </w:p>
          <w:p>
            <w:pPr>
              <w:spacing w:line="400" w:lineRule="exact"/>
              <w:rPr>
                <w:rFonts w:hint="eastAsia" w:ascii="宋体" w:hAnsi="宋体" w:cs="宋体"/>
                <w:color w:val="auto"/>
                <w:sz w:val="24"/>
                <w:szCs w:val="24"/>
              </w:rPr>
            </w:pPr>
            <w:r>
              <w:rPr>
                <w:rFonts w:hint="eastAsia" w:ascii="宋体" w:hAnsi="宋体" w:cs="宋体"/>
                <w:color w:val="auto"/>
                <w:sz w:val="24"/>
                <w:szCs w:val="24"/>
              </w:rPr>
              <w:t>△5.安卓系统下提供硬件系统检测：对系统内存、存储、触控系统、电脑、屏温监控（含高温预警及断电保护功能）等提供直观的状态、故障提示。</w:t>
            </w:r>
          </w:p>
          <w:p>
            <w:pPr>
              <w:spacing w:line="400" w:lineRule="exact"/>
              <w:rPr>
                <w:rFonts w:hint="eastAsia" w:ascii="宋体" w:hAnsi="宋体" w:cs="宋体"/>
                <w:color w:val="auto"/>
                <w:sz w:val="24"/>
                <w:szCs w:val="24"/>
              </w:rPr>
            </w:pPr>
            <w:r>
              <w:rPr>
                <w:rFonts w:hint="eastAsia" w:ascii="宋体" w:hAnsi="宋体" w:cs="宋体"/>
                <w:color w:val="auto"/>
                <w:sz w:val="24"/>
                <w:szCs w:val="24"/>
              </w:rPr>
              <w:t>6.为方便教学，本地白板软件、展台和文件浏览具备二维码分享功能。</w:t>
            </w:r>
          </w:p>
          <w:p>
            <w:pPr>
              <w:spacing w:line="400" w:lineRule="exact"/>
              <w:rPr>
                <w:rFonts w:hint="eastAsia" w:ascii="宋体" w:hAnsi="宋体" w:cs="宋体"/>
                <w:color w:val="auto"/>
                <w:sz w:val="24"/>
                <w:szCs w:val="24"/>
              </w:rPr>
            </w:pPr>
            <w:r>
              <w:rPr>
                <w:rFonts w:hint="eastAsia" w:ascii="宋体" w:hAnsi="宋体" w:cs="宋体"/>
                <w:color w:val="auto"/>
                <w:sz w:val="24"/>
                <w:szCs w:val="24"/>
              </w:rPr>
              <w:t>7.为方便教学，智能交互一体机具备多任务功能，对正在运行的应用快速切换或结束进程。</w:t>
            </w:r>
          </w:p>
          <w:p>
            <w:pPr>
              <w:spacing w:line="400" w:lineRule="exact"/>
              <w:rPr>
                <w:rFonts w:hint="eastAsia" w:ascii="宋体" w:hAnsi="宋体" w:cs="宋体"/>
                <w:color w:val="auto"/>
                <w:sz w:val="24"/>
                <w:szCs w:val="24"/>
              </w:rPr>
            </w:pPr>
            <w:r>
              <w:rPr>
                <w:rFonts w:hint="eastAsia" w:ascii="宋体" w:hAnsi="宋体" w:cs="宋体"/>
                <w:color w:val="auto"/>
                <w:sz w:val="24"/>
                <w:szCs w:val="24"/>
              </w:rPr>
              <w:t>△8.为方便教学，整机具备单独听功能，在关闭显示部分的情况下可播放音频，轻触显示部分可点亮。</w:t>
            </w:r>
          </w:p>
          <w:p>
            <w:pPr>
              <w:spacing w:line="400" w:lineRule="exact"/>
              <w:rPr>
                <w:rFonts w:hint="eastAsia" w:ascii="宋体" w:hAnsi="宋体" w:cs="宋体"/>
                <w:color w:val="auto"/>
                <w:sz w:val="24"/>
                <w:szCs w:val="24"/>
              </w:rPr>
            </w:pPr>
            <w:r>
              <w:rPr>
                <w:rFonts w:hint="eastAsia" w:ascii="宋体" w:hAnsi="宋体" w:cs="宋体"/>
                <w:color w:val="auto"/>
                <w:sz w:val="24"/>
                <w:szCs w:val="24"/>
              </w:rPr>
              <w:t>9.在无操作或无信号输入时,具备自动进入待机节能的功能，可自定义时间间隔</w:t>
            </w:r>
          </w:p>
          <w:p>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10.为防止学生误触，智能交互显示设备需提供不少于3种锁定设备的方式；同时，应提供不少于3种方式进行解锁。 </w:t>
            </w:r>
          </w:p>
          <w:p>
            <w:pPr>
              <w:spacing w:line="400" w:lineRule="exact"/>
              <w:rPr>
                <w:rFonts w:hint="eastAsia" w:ascii="宋体" w:hAnsi="宋体" w:cs="宋体"/>
                <w:color w:val="auto"/>
                <w:sz w:val="24"/>
                <w:szCs w:val="24"/>
              </w:rPr>
            </w:pPr>
            <w:r>
              <w:rPr>
                <w:rFonts w:hint="eastAsia" w:ascii="宋体" w:hAnsi="宋体" w:cs="宋体"/>
                <w:color w:val="auto"/>
                <w:sz w:val="24"/>
                <w:szCs w:val="24"/>
              </w:rPr>
              <w:t>11.为方便教学，智能交互显示设备自动识别新接入的信号源，并自动切换到该信号源，断开后自动回到内置电脑。</w:t>
            </w:r>
          </w:p>
          <w:p>
            <w:pPr>
              <w:spacing w:line="400" w:lineRule="exact"/>
              <w:rPr>
                <w:rFonts w:hint="eastAsia" w:ascii="宋体" w:hAnsi="宋体" w:cs="宋体"/>
                <w:color w:val="auto"/>
                <w:sz w:val="24"/>
                <w:szCs w:val="24"/>
              </w:rPr>
            </w:pPr>
            <w:r>
              <w:rPr>
                <w:rFonts w:hint="eastAsia" w:ascii="宋体" w:hAnsi="宋体" w:cs="宋体"/>
                <w:color w:val="auto"/>
                <w:sz w:val="24"/>
                <w:szCs w:val="24"/>
              </w:rPr>
              <w:t>12.智能交互平板具备任意通道下无需点击物理按键，可随时调用计算器、日历等小工具，并支持拖拽及关闭。</w:t>
            </w:r>
          </w:p>
          <w:p>
            <w:pPr>
              <w:spacing w:line="400" w:lineRule="exact"/>
              <w:rPr>
                <w:rFonts w:hint="eastAsia" w:ascii="宋体" w:hAnsi="宋体" w:cs="宋体"/>
                <w:color w:val="auto"/>
                <w:sz w:val="24"/>
                <w:szCs w:val="24"/>
              </w:rPr>
            </w:pPr>
            <w:r>
              <w:rPr>
                <w:rFonts w:hint="eastAsia" w:ascii="宋体" w:hAnsi="宋体" w:cs="宋体"/>
                <w:color w:val="auto"/>
                <w:sz w:val="24"/>
                <w:szCs w:val="24"/>
              </w:rPr>
              <w:t>△13.所投产品标配书写笔具备两种笔头直径，无需切换菜单，可自动识别粗细笔记，方便教师板书及批注重点。</w:t>
            </w:r>
          </w:p>
          <w:p>
            <w:pPr>
              <w:spacing w:line="400" w:lineRule="exact"/>
              <w:rPr>
                <w:rFonts w:hint="eastAsia" w:ascii="宋体" w:hAnsi="宋体" w:cs="宋体"/>
                <w:color w:val="auto"/>
                <w:sz w:val="24"/>
                <w:szCs w:val="24"/>
              </w:rPr>
            </w:pPr>
            <w:r>
              <w:rPr>
                <w:rFonts w:hint="eastAsia" w:ascii="宋体" w:hAnsi="宋体" w:cs="宋体"/>
                <w:color w:val="auto"/>
                <w:sz w:val="24"/>
                <w:szCs w:val="24"/>
              </w:rPr>
              <w:t>二、内置电脑:</w:t>
            </w:r>
          </w:p>
          <w:p>
            <w:pPr>
              <w:spacing w:line="400" w:lineRule="exact"/>
              <w:rPr>
                <w:rFonts w:hint="eastAsia" w:ascii="宋体" w:hAnsi="宋体" w:cs="宋体"/>
                <w:color w:val="auto"/>
                <w:sz w:val="24"/>
                <w:szCs w:val="24"/>
              </w:rPr>
            </w:pPr>
            <w:r>
              <w:rPr>
                <w:rFonts w:hint="eastAsia" w:ascii="宋体" w:hAnsi="宋体" w:cs="宋体"/>
                <w:color w:val="auto"/>
                <w:sz w:val="24"/>
                <w:szCs w:val="24"/>
              </w:rPr>
              <w:t>1.整机架构:采用插拔式模块电脑架构，接口严格遵循Intel®相关规范,针脚数为国际通用80Pin ,与大屏无单独接线。</w:t>
            </w:r>
          </w:p>
          <w:p>
            <w:pPr>
              <w:spacing w:line="400" w:lineRule="exact"/>
              <w:rPr>
                <w:rFonts w:hint="eastAsia" w:ascii="宋体" w:hAnsi="宋体" w:cs="宋体"/>
                <w:color w:val="auto"/>
                <w:sz w:val="24"/>
                <w:szCs w:val="24"/>
              </w:rPr>
            </w:pPr>
            <w:r>
              <w:rPr>
                <w:rFonts w:hint="eastAsia" w:ascii="宋体" w:hAnsi="宋体" w:cs="宋体"/>
                <w:color w:val="auto"/>
                <w:sz w:val="24"/>
                <w:szCs w:val="24"/>
              </w:rPr>
              <w:t>2.Intel第8代酷睿，I5处理器（CPU 8400）；</w:t>
            </w:r>
          </w:p>
          <w:p>
            <w:pPr>
              <w:spacing w:line="400" w:lineRule="exact"/>
              <w:rPr>
                <w:rFonts w:hint="eastAsia" w:ascii="宋体" w:hAnsi="宋体" w:cs="宋体"/>
                <w:color w:val="auto"/>
                <w:sz w:val="24"/>
                <w:szCs w:val="24"/>
              </w:rPr>
            </w:pPr>
            <w:r>
              <w:rPr>
                <w:rFonts w:hint="eastAsia" w:ascii="宋体" w:hAnsi="宋体" w:cs="宋体"/>
                <w:color w:val="auto"/>
                <w:sz w:val="24"/>
                <w:szCs w:val="24"/>
              </w:rPr>
              <w:t>3.内存：8G DDR4；硬盘： 256G SSD；具备USB3.0*3.USB2.0*3，HDMI *1，DP接口*1</w:t>
            </w:r>
          </w:p>
          <w:p>
            <w:pPr>
              <w:spacing w:line="400" w:lineRule="exact"/>
              <w:rPr>
                <w:rFonts w:hint="eastAsia" w:ascii="宋体" w:hAnsi="宋体" w:cs="宋体"/>
                <w:color w:val="auto"/>
                <w:sz w:val="24"/>
                <w:szCs w:val="24"/>
              </w:rPr>
            </w:pPr>
            <w:r>
              <w:rPr>
                <w:rFonts w:hint="eastAsia" w:ascii="宋体" w:hAnsi="宋体" w:cs="宋体"/>
                <w:color w:val="auto"/>
                <w:sz w:val="24"/>
                <w:szCs w:val="24"/>
              </w:rPr>
              <w:t>4.插拔电脑具有安全使用提醒功能，如电脑未进行安全锁紧机制则电脑无法正常使用。</w:t>
            </w:r>
          </w:p>
          <w:p>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三、教学应用软件: </w:t>
            </w:r>
          </w:p>
          <w:p>
            <w:pPr>
              <w:spacing w:line="400" w:lineRule="exact"/>
              <w:rPr>
                <w:rFonts w:hint="eastAsia" w:ascii="宋体" w:hAnsi="宋体" w:cs="宋体"/>
                <w:color w:val="auto"/>
                <w:sz w:val="24"/>
                <w:szCs w:val="24"/>
              </w:rPr>
            </w:pPr>
            <w:r>
              <w:rPr>
                <w:rFonts w:hint="eastAsia" w:ascii="宋体" w:hAnsi="宋体" w:cs="宋体"/>
                <w:color w:val="auto"/>
                <w:sz w:val="24"/>
                <w:szCs w:val="24"/>
              </w:rPr>
              <w:t>（一）主界面与登录</w:t>
            </w:r>
          </w:p>
          <w:p>
            <w:pPr>
              <w:spacing w:line="400" w:lineRule="exact"/>
              <w:rPr>
                <w:rFonts w:hint="eastAsia" w:ascii="宋体" w:hAnsi="宋体" w:cs="宋体"/>
                <w:color w:val="auto"/>
                <w:sz w:val="24"/>
                <w:szCs w:val="24"/>
              </w:rPr>
            </w:pPr>
            <w:r>
              <w:rPr>
                <w:rFonts w:hint="eastAsia" w:ascii="宋体" w:hAnsi="宋体" w:cs="宋体"/>
                <w:color w:val="auto"/>
                <w:sz w:val="24"/>
                <w:szCs w:val="24"/>
              </w:rPr>
              <w:t>1.具有教学云平台，支持云端备课，教师可直接登陆云平台进行备课及课件下载使用，教师注册即可获得不少于32GB的云盘容量。无需用户通过完成特定任务才能获取，方便老师存储资料。</w:t>
            </w:r>
          </w:p>
          <w:p>
            <w:pPr>
              <w:spacing w:line="400" w:lineRule="exact"/>
              <w:rPr>
                <w:rFonts w:hint="eastAsia" w:ascii="宋体" w:hAnsi="宋体" w:cs="宋体"/>
                <w:color w:val="auto"/>
                <w:sz w:val="24"/>
                <w:szCs w:val="24"/>
              </w:rPr>
            </w:pPr>
            <w:r>
              <w:rPr>
                <w:rFonts w:hint="eastAsia" w:ascii="宋体" w:hAnsi="宋体" w:cs="宋体"/>
                <w:color w:val="auto"/>
                <w:sz w:val="24"/>
                <w:szCs w:val="24"/>
              </w:rPr>
              <w:t>2.提供至少三种登录方式，所有应用模块的入口均在统一界面上，包括课前设计、教学软件、资源、多屏互动、展台软件等。</w:t>
            </w:r>
          </w:p>
          <w:p>
            <w:pPr>
              <w:spacing w:line="400" w:lineRule="exact"/>
              <w:rPr>
                <w:rFonts w:hint="eastAsia" w:ascii="宋体" w:hAnsi="宋体" w:cs="宋体"/>
                <w:color w:val="auto"/>
                <w:sz w:val="24"/>
                <w:szCs w:val="24"/>
              </w:rPr>
            </w:pPr>
            <w:r>
              <w:rPr>
                <w:rFonts w:hint="eastAsia" w:ascii="宋体" w:hAnsi="宋体" w:cs="宋体"/>
                <w:color w:val="auto"/>
                <w:sz w:val="24"/>
                <w:szCs w:val="24"/>
              </w:rPr>
              <w:t>（二）课前设计</w:t>
            </w:r>
          </w:p>
          <w:p>
            <w:pPr>
              <w:spacing w:line="400" w:lineRule="exact"/>
              <w:rPr>
                <w:rFonts w:hint="eastAsia" w:ascii="宋体" w:hAnsi="宋体" w:cs="宋体"/>
                <w:color w:val="auto"/>
                <w:sz w:val="24"/>
                <w:szCs w:val="24"/>
              </w:rPr>
            </w:pPr>
            <w:r>
              <w:rPr>
                <w:rFonts w:hint="eastAsia" w:ascii="宋体" w:hAnsi="宋体" w:cs="宋体"/>
                <w:color w:val="auto"/>
                <w:sz w:val="24"/>
                <w:szCs w:val="24"/>
              </w:rPr>
              <w:t>1.软件提供教案设计功能，支持老师按照情景导入、内容精讲、同步习题、随堂测试、分组竞赛、分组探究、自定义等教学环节创建教案，支持调整各个环节顺序或增删环节。</w:t>
            </w:r>
          </w:p>
          <w:p>
            <w:pPr>
              <w:spacing w:line="400" w:lineRule="exact"/>
              <w:rPr>
                <w:rFonts w:hint="eastAsia" w:ascii="宋体" w:hAnsi="宋体" w:cs="宋体"/>
                <w:color w:val="auto"/>
                <w:sz w:val="24"/>
                <w:szCs w:val="24"/>
              </w:rPr>
            </w:pPr>
            <w:r>
              <w:rPr>
                <w:rFonts w:hint="eastAsia" w:ascii="宋体" w:hAnsi="宋体" w:cs="宋体"/>
                <w:color w:val="auto"/>
                <w:sz w:val="24"/>
                <w:szCs w:val="24"/>
              </w:rPr>
              <w:t>2.云平台针对不同教学环节自动推送与课程精准匹配的资源；</w:t>
            </w:r>
          </w:p>
          <w:p>
            <w:pPr>
              <w:spacing w:line="400" w:lineRule="exact"/>
              <w:rPr>
                <w:rFonts w:hint="eastAsia" w:ascii="宋体" w:hAnsi="宋体" w:cs="宋体"/>
                <w:color w:val="auto"/>
                <w:sz w:val="24"/>
                <w:szCs w:val="24"/>
              </w:rPr>
            </w:pPr>
            <w:r>
              <w:rPr>
                <w:rFonts w:hint="eastAsia" w:ascii="宋体" w:hAnsi="宋体" w:cs="宋体"/>
                <w:color w:val="auto"/>
                <w:sz w:val="24"/>
                <w:szCs w:val="24"/>
              </w:rPr>
              <w:t>3.支持添加：mp4.txt、ppt、pptx、doc、jpg 、gif、等多种格式的本地素材。</w:t>
            </w:r>
          </w:p>
          <w:p>
            <w:pPr>
              <w:spacing w:line="400" w:lineRule="exact"/>
              <w:rPr>
                <w:rFonts w:hint="eastAsia" w:ascii="宋体" w:hAnsi="宋体" w:cs="宋体"/>
                <w:color w:val="auto"/>
                <w:sz w:val="24"/>
                <w:szCs w:val="24"/>
              </w:rPr>
            </w:pPr>
            <w:r>
              <w:rPr>
                <w:rFonts w:hint="eastAsia" w:ascii="宋体" w:hAnsi="宋体" w:cs="宋体"/>
                <w:color w:val="auto"/>
                <w:sz w:val="24"/>
                <w:szCs w:val="24"/>
              </w:rPr>
              <w:t>4.软件提供人教社等数字教材资源、云端资源、本地资源进行教案制作。针对不同教学环节自动推送与课程精准匹配的资源；</w:t>
            </w:r>
          </w:p>
          <w:p>
            <w:pPr>
              <w:spacing w:line="400" w:lineRule="exact"/>
              <w:rPr>
                <w:rFonts w:hint="eastAsia" w:ascii="宋体" w:hAnsi="宋体" w:cs="宋体"/>
                <w:color w:val="auto"/>
                <w:sz w:val="24"/>
                <w:szCs w:val="24"/>
              </w:rPr>
            </w:pPr>
            <w:r>
              <w:rPr>
                <w:rFonts w:hint="eastAsia" w:ascii="宋体" w:hAnsi="宋体" w:cs="宋体"/>
                <w:color w:val="auto"/>
                <w:sz w:val="24"/>
                <w:szCs w:val="24"/>
              </w:rPr>
              <w:t>5.云端资源涵盖幼教、普教、职教等学段，总量不少于1000G。试题库不少于50万道。</w:t>
            </w:r>
          </w:p>
          <w:p>
            <w:pPr>
              <w:spacing w:line="400" w:lineRule="exact"/>
              <w:rPr>
                <w:rFonts w:hint="eastAsia" w:ascii="宋体" w:hAnsi="宋体" w:cs="宋体"/>
                <w:color w:val="auto"/>
                <w:sz w:val="24"/>
                <w:szCs w:val="24"/>
              </w:rPr>
            </w:pPr>
            <w:r>
              <w:rPr>
                <w:rFonts w:hint="eastAsia" w:ascii="宋体" w:hAnsi="宋体" w:cs="宋体"/>
                <w:color w:val="auto"/>
                <w:sz w:val="24"/>
                <w:szCs w:val="24"/>
              </w:rPr>
              <w:t>6.支持教师向移动端（手机、pad等）发布学习任务，学生完成提交后，系统自动统计提交情况、完成率等。</w:t>
            </w:r>
          </w:p>
          <w:p>
            <w:pPr>
              <w:spacing w:line="400" w:lineRule="exact"/>
              <w:rPr>
                <w:rFonts w:hint="eastAsia" w:ascii="宋体" w:hAnsi="宋体" w:cs="宋体"/>
                <w:color w:val="auto"/>
                <w:sz w:val="24"/>
                <w:szCs w:val="24"/>
              </w:rPr>
            </w:pPr>
            <w:r>
              <w:rPr>
                <w:rFonts w:hint="eastAsia" w:ascii="宋体" w:hAnsi="宋体" w:cs="宋体"/>
                <w:color w:val="auto"/>
                <w:sz w:val="24"/>
                <w:szCs w:val="24"/>
              </w:rPr>
              <w:t>7. 提供可视化学情分析，可查看多班级学生的学习态度、学习效果、学习难点，为备课提供参考。</w:t>
            </w:r>
          </w:p>
          <w:p>
            <w:pPr>
              <w:spacing w:line="400" w:lineRule="exact"/>
              <w:rPr>
                <w:rFonts w:hint="eastAsia" w:ascii="宋体" w:hAnsi="宋体" w:cs="宋体"/>
                <w:color w:val="auto"/>
                <w:sz w:val="24"/>
                <w:szCs w:val="24"/>
              </w:rPr>
            </w:pPr>
            <w:r>
              <w:rPr>
                <w:rFonts w:hint="eastAsia" w:ascii="宋体" w:hAnsi="宋体" w:cs="宋体"/>
                <w:color w:val="auto"/>
                <w:sz w:val="24"/>
                <w:szCs w:val="24"/>
              </w:rPr>
              <w:t>8.提供教案管理功能，支持教案与教师教学日历关联。</w:t>
            </w:r>
          </w:p>
          <w:p>
            <w:pPr>
              <w:spacing w:line="400" w:lineRule="exact"/>
              <w:rPr>
                <w:rFonts w:hint="eastAsia" w:ascii="宋体" w:hAnsi="宋体" w:cs="宋体"/>
                <w:color w:val="auto"/>
                <w:sz w:val="24"/>
                <w:szCs w:val="24"/>
              </w:rPr>
            </w:pPr>
            <w:r>
              <w:rPr>
                <w:rFonts w:hint="eastAsia" w:ascii="宋体" w:hAnsi="宋体" w:cs="宋体"/>
                <w:color w:val="auto"/>
                <w:sz w:val="24"/>
                <w:szCs w:val="24"/>
              </w:rPr>
              <w:t>（三）教学软件</w:t>
            </w:r>
          </w:p>
          <w:p>
            <w:pPr>
              <w:spacing w:line="400" w:lineRule="exact"/>
              <w:rPr>
                <w:rFonts w:hint="eastAsia" w:ascii="宋体" w:hAnsi="宋体" w:cs="宋体"/>
                <w:color w:val="auto"/>
                <w:sz w:val="24"/>
                <w:szCs w:val="24"/>
              </w:rPr>
            </w:pPr>
            <w:r>
              <w:rPr>
                <w:rFonts w:hint="eastAsia" w:ascii="宋体" w:hAnsi="宋体" w:cs="宋体"/>
                <w:color w:val="auto"/>
                <w:sz w:val="24"/>
                <w:szCs w:val="24"/>
              </w:rPr>
              <w:t>1.提供双侧快捷键，快捷键可自定义显示时长；</w:t>
            </w:r>
          </w:p>
          <w:p>
            <w:pPr>
              <w:spacing w:line="400" w:lineRule="exact"/>
              <w:rPr>
                <w:rFonts w:hint="eastAsia" w:ascii="宋体" w:hAnsi="宋体" w:cs="宋体"/>
                <w:color w:val="auto"/>
                <w:sz w:val="24"/>
                <w:szCs w:val="24"/>
              </w:rPr>
            </w:pPr>
            <w:r>
              <w:rPr>
                <w:rFonts w:hint="eastAsia" w:ascii="宋体" w:hAnsi="宋体" w:cs="宋体"/>
                <w:color w:val="auto"/>
                <w:sz w:val="24"/>
                <w:szCs w:val="24"/>
              </w:rPr>
              <w:t>2.无PC系统下，软件菜单功能按钮和图标的各级菜单均配备明确中文标识；方便老师对系统应用的设置。</w:t>
            </w:r>
          </w:p>
          <w:p>
            <w:pPr>
              <w:spacing w:line="400" w:lineRule="exact"/>
              <w:rPr>
                <w:rFonts w:hint="eastAsia" w:ascii="宋体" w:hAnsi="宋体" w:cs="宋体"/>
                <w:color w:val="auto"/>
                <w:sz w:val="24"/>
                <w:szCs w:val="24"/>
              </w:rPr>
            </w:pPr>
            <w:r>
              <w:rPr>
                <w:rFonts w:hint="eastAsia" w:ascii="宋体" w:hAnsi="宋体" w:cs="宋体"/>
                <w:color w:val="auto"/>
                <w:sz w:val="24"/>
                <w:szCs w:val="24"/>
              </w:rPr>
              <w:t>3.书写工具：至少提供硬笔、智能笔、激光笔、粉笔、手势笔等不少于10种书写工具。通过智能笔可识别平面图形；通过手势笔可实现书写、擦除、前后翻页，聚光灯，放大镜等功能。</w:t>
            </w:r>
          </w:p>
          <w:p>
            <w:pPr>
              <w:spacing w:line="400" w:lineRule="exact"/>
              <w:rPr>
                <w:rFonts w:hint="eastAsia" w:ascii="宋体" w:hAnsi="宋体" w:cs="宋体"/>
                <w:color w:val="auto"/>
                <w:sz w:val="24"/>
                <w:szCs w:val="24"/>
              </w:rPr>
            </w:pPr>
            <w:r>
              <w:rPr>
                <w:rFonts w:hint="eastAsia" w:ascii="宋体" w:hAnsi="宋体" w:cs="宋体"/>
                <w:color w:val="auto"/>
                <w:sz w:val="24"/>
                <w:szCs w:val="24"/>
              </w:rPr>
              <w:t>4.工具箱：提供不少于12个教学辅助工具，例如直尺、圆规、三角板、聚光灯、放大镜、屏幕截图、展台、草稿纸等；</w:t>
            </w:r>
          </w:p>
          <w:p>
            <w:pPr>
              <w:spacing w:line="400" w:lineRule="exact"/>
              <w:rPr>
                <w:rFonts w:hint="eastAsia" w:ascii="宋体" w:hAnsi="宋体" w:cs="宋体"/>
                <w:color w:val="auto"/>
                <w:sz w:val="24"/>
                <w:szCs w:val="24"/>
              </w:rPr>
            </w:pPr>
            <w:r>
              <w:rPr>
                <w:rFonts w:hint="eastAsia" w:ascii="宋体" w:hAnsi="宋体" w:cs="宋体"/>
                <w:color w:val="auto"/>
                <w:sz w:val="24"/>
                <w:szCs w:val="24"/>
              </w:rPr>
              <w:t>5.提供音、视频编辑功能。音、视频文件导入到软件中进行播放，可设置循环播放、跨页面播放。视频文件可一键全屏播放，支持动态截图，截取图片自动生成图片索引栏，图片索引栏可跨页面显示。</w:t>
            </w:r>
          </w:p>
          <w:p>
            <w:pPr>
              <w:spacing w:line="400" w:lineRule="exact"/>
              <w:rPr>
                <w:rFonts w:hint="eastAsia" w:ascii="宋体" w:hAnsi="宋体" w:cs="宋体"/>
                <w:color w:val="auto"/>
                <w:sz w:val="24"/>
                <w:szCs w:val="24"/>
              </w:rPr>
            </w:pPr>
            <w:r>
              <w:rPr>
                <w:rFonts w:hint="eastAsia" w:ascii="宋体" w:hAnsi="宋体" w:cs="宋体"/>
                <w:color w:val="auto"/>
                <w:sz w:val="24"/>
                <w:szCs w:val="24"/>
              </w:rPr>
              <w:t>6.思维导图：提供多种思维导图模板如逻辑图、鱼骨图、组织结构图，可轻松增删或拖拽编辑内容、节点，并支持在节点上插入图片、音频、视频、文档等附件、及网页链接、课件页面、聚光灯等小工具链接，支持添加笑脸、星星、旗子、遮罩等特殊标记。支持思维导图逐级、逐个节点展开，满足不同演示需求；</w:t>
            </w:r>
          </w:p>
          <w:p>
            <w:pPr>
              <w:spacing w:line="400" w:lineRule="exact"/>
              <w:rPr>
                <w:rFonts w:hint="eastAsia" w:ascii="宋体" w:hAnsi="宋体" w:cs="宋体"/>
                <w:color w:val="auto"/>
                <w:sz w:val="24"/>
                <w:szCs w:val="24"/>
              </w:rPr>
            </w:pPr>
            <w:r>
              <w:rPr>
                <w:rFonts w:hint="eastAsia" w:ascii="宋体" w:hAnsi="宋体" w:cs="宋体"/>
                <w:color w:val="auto"/>
                <w:sz w:val="24"/>
                <w:szCs w:val="24"/>
              </w:rPr>
              <w:t>7.蒙层工具：一键对输入的文本、图片、形状、平面图形设置蒙层进行隐藏，授课模式下可通过橡皮或手势擦除动作擦除蒙层展现图片，丰富课件互动展示效果。</w:t>
            </w:r>
          </w:p>
          <w:p>
            <w:pPr>
              <w:spacing w:line="400" w:lineRule="exact"/>
              <w:rPr>
                <w:rFonts w:hint="eastAsia" w:ascii="宋体" w:hAnsi="宋体" w:cs="宋体"/>
                <w:color w:val="auto"/>
                <w:sz w:val="24"/>
                <w:szCs w:val="24"/>
              </w:rPr>
            </w:pPr>
            <w:r>
              <w:rPr>
                <w:rFonts w:hint="eastAsia" w:ascii="宋体" w:hAnsi="宋体" w:cs="宋体"/>
                <w:color w:val="auto"/>
                <w:sz w:val="24"/>
                <w:szCs w:val="24"/>
              </w:rPr>
              <w:t>8.课堂互动工具：能够创建知识连线、互动分类、选词填空、趣味竞赛、翻翻卡等不少于5种互动类游戏，并且支持自定义修改，每类互动游戏提供至少12个适用普教K12不同学科、学段风格的模板，如翻翻卡工具，可以制作多张正反两面的卡片，用户可以编辑卡片上的文字和图片内容。可设置提示音效，可选择重新开始</w:t>
            </w:r>
          </w:p>
          <w:p>
            <w:pPr>
              <w:spacing w:line="400" w:lineRule="exact"/>
              <w:rPr>
                <w:rFonts w:hint="eastAsia" w:ascii="宋体" w:hAnsi="宋体" w:cs="宋体"/>
                <w:color w:val="auto"/>
                <w:sz w:val="24"/>
                <w:szCs w:val="24"/>
              </w:rPr>
            </w:pPr>
            <w:r>
              <w:rPr>
                <w:rFonts w:hint="eastAsia" w:ascii="宋体" w:hAnsi="宋体" w:cs="宋体"/>
                <w:color w:val="auto"/>
                <w:sz w:val="24"/>
                <w:szCs w:val="24"/>
              </w:rPr>
              <w:t>（1）课堂互动模板中背景、各个元素图标可替换为其他风格，也可设置为本地图片，支持教师自主设计题干以及相应的答案选项、自定义不同类别及相对应的对象、自主设计填空题题干以及相应的答案选项、编辑竞赛主题以及相应的答案选项，上课时，学生将选项拖到对应题干处，系统将自动判别答案是否正确，可设置提示音效，可选择重新开始。</w:t>
            </w:r>
          </w:p>
          <w:p>
            <w:pPr>
              <w:spacing w:line="400" w:lineRule="exact"/>
              <w:rPr>
                <w:rFonts w:hint="eastAsia" w:ascii="宋体" w:hAnsi="宋体" w:cs="宋体"/>
                <w:color w:val="auto"/>
                <w:sz w:val="24"/>
                <w:szCs w:val="24"/>
              </w:rPr>
            </w:pPr>
            <w:r>
              <w:rPr>
                <w:rFonts w:hint="eastAsia" w:ascii="宋体" w:hAnsi="宋体" w:cs="宋体"/>
                <w:color w:val="auto"/>
                <w:sz w:val="24"/>
                <w:szCs w:val="24"/>
              </w:rPr>
              <w:t>9.学科工具：至少提供12门以上学科工具，且学科工具和其他白板软件功能在同一软件界面下，无需切换打开另外软件界面，方便老师快速应用。包含语文、数学、英语、物理、化学、生物、地理、历史、音乐、体育、书法、美术等常用学科。针对以上学科，学科工具包含视频、文字、图片、动态教具、动态课件等内容。</w:t>
            </w:r>
          </w:p>
          <w:p>
            <w:pPr>
              <w:spacing w:line="400" w:lineRule="exact"/>
              <w:rPr>
                <w:rFonts w:hint="eastAsia" w:ascii="宋体" w:hAnsi="宋体" w:cs="宋体"/>
                <w:color w:val="auto"/>
                <w:sz w:val="24"/>
                <w:szCs w:val="24"/>
              </w:rPr>
            </w:pPr>
            <w:r>
              <w:rPr>
                <w:rFonts w:hint="eastAsia" w:ascii="宋体" w:hAnsi="宋体" w:cs="宋体"/>
                <w:color w:val="auto"/>
                <w:sz w:val="24"/>
                <w:szCs w:val="24"/>
              </w:rPr>
              <w:t>（1）数学工具：包含公式、动态课件、立体图形、平面图形四类。提供数学公式编辑功能，支持常规输入与LaTeX两种输入方式；提供初中和高中成品动态课件，课件可一键插入白板教学页面直接使用；提供立体图形动态展示功能，支持分段展示，并可以精确修改几何数值。立体图形工具可支持通过手势旋转看到不同面，可分面填充颜色，可展开为平面图形；平面图形工具提供线段、角、弧、三角形、正方形等各种几何图形，支持图形动点调整、一键插入白板；</w:t>
            </w:r>
          </w:p>
          <w:p>
            <w:pPr>
              <w:spacing w:line="400" w:lineRule="exact"/>
              <w:rPr>
                <w:rFonts w:hint="eastAsia" w:ascii="宋体" w:hAnsi="宋体" w:cs="宋体"/>
                <w:color w:val="auto"/>
                <w:sz w:val="24"/>
                <w:szCs w:val="24"/>
              </w:rPr>
            </w:pPr>
            <w:r>
              <w:rPr>
                <w:rFonts w:hint="eastAsia" w:ascii="宋体" w:hAnsi="宋体" w:cs="宋体"/>
                <w:color w:val="auto"/>
                <w:sz w:val="24"/>
                <w:szCs w:val="24"/>
              </w:rPr>
              <w:t>（2）语文学科工具：至少包含汉字、拼音、注音、古诗词、学词语、学拼音、成语词典七类。包括汉字的笔顺演示、指定分解笔画演示、部首、释义等；支持手写识别文字、拼音，以及笔顺演示和朗读发音；注音工具可实现文本注音、注音编辑，提供单个或多个文字自动注音功能。拼音工具可识别手写拼音为标准拼音字体，演示笔顺，朗读发音（包含一声、二声、三声、四声）；古诗词工具可按年级、课文、朝代、作者、主题、诗集筛选诗词，支持输入关键字搜索，插入页面展示，可同时选择与诗词相关的题目插入页面互动；学词语工具可实现词语认读、词语分类学习、学习游戏；学拼音工具可实现字母笔画顺序演示、声母韵母以及整体认读拼音的读音（包含一声、二声、三声、四声）、学习游戏；成语词典工具可实现拼音、含字、形式多种搜索方式查找成语，可显示该成语的意思、出处、组词、拼音等，可复制粘贴成语词典内容；</w:t>
            </w:r>
          </w:p>
          <w:p>
            <w:pPr>
              <w:spacing w:line="400" w:lineRule="exact"/>
              <w:rPr>
                <w:rFonts w:hint="eastAsia" w:ascii="宋体" w:hAnsi="宋体" w:cs="宋体"/>
                <w:color w:val="auto"/>
                <w:sz w:val="24"/>
                <w:szCs w:val="24"/>
              </w:rPr>
            </w:pPr>
            <w:r>
              <w:rPr>
                <w:rFonts w:hint="eastAsia" w:ascii="宋体" w:hAnsi="宋体" w:cs="宋体"/>
                <w:color w:val="auto"/>
                <w:sz w:val="24"/>
                <w:szCs w:val="24"/>
              </w:rPr>
              <w:t>（3）英语工具：提供单词和音标学习视频，四线三格支持手写英语自动识别；</w:t>
            </w:r>
          </w:p>
          <w:p>
            <w:pPr>
              <w:spacing w:line="400" w:lineRule="exact"/>
              <w:rPr>
                <w:rFonts w:hint="eastAsia" w:ascii="宋体" w:hAnsi="宋体" w:cs="宋体"/>
                <w:color w:val="auto"/>
                <w:sz w:val="24"/>
                <w:szCs w:val="24"/>
              </w:rPr>
            </w:pPr>
            <w:r>
              <w:rPr>
                <w:rFonts w:hint="eastAsia" w:ascii="宋体" w:hAnsi="宋体" w:cs="宋体"/>
                <w:color w:val="auto"/>
                <w:sz w:val="24"/>
                <w:szCs w:val="24"/>
              </w:rPr>
              <w:t>（4）物理工具：提供力学、电学、电磁学、光学、电学图例等多种动态可调节素材，如弹簧、游标卡尺、刻度尺、气缸、安培表、伏特表、开关、滑动变阻器、透镜等；</w:t>
            </w:r>
          </w:p>
          <w:p>
            <w:pPr>
              <w:spacing w:line="400" w:lineRule="exact"/>
              <w:rPr>
                <w:rFonts w:hint="eastAsia" w:ascii="宋体" w:hAnsi="宋体" w:cs="宋体"/>
                <w:color w:val="auto"/>
                <w:sz w:val="24"/>
                <w:szCs w:val="24"/>
              </w:rPr>
            </w:pPr>
            <w:r>
              <w:rPr>
                <w:rFonts w:hint="eastAsia" w:ascii="宋体" w:hAnsi="宋体" w:cs="宋体"/>
                <w:color w:val="auto"/>
                <w:sz w:val="24"/>
                <w:szCs w:val="24"/>
              </w:rPr>
              <w:t>（5）化学工具：提供动态可调节实验化学器械和化学器皿，如量筒、启普发生器、铁架台、分液漏斗、天平等；提供化学元素周期表工具和化学符号，如苯环、化学键、双线桥；</w:t>
            </w:r>
          </w:p>
          <w:p>
            <w:pPr>
              <w:spacing w:line="400" w:lineRule="exact"/>
              <w:rPr>
                <w:rFonts w:hint="eastAsia" w:ascii="宋体" w:hAnsi="宋体" w:cs="宋体"/>
                <w:color w:val="auto"/>
                <w:sz w:val="24"/>
                <w:szCs w:val="24"/>
              </w:rPr>
            </w:pPr>
            <w:r>
              <w:rPr>
                <w:rFonts w:hint="eastAsia" w:ascii="宋体" w:hAnsi="宋体" w:cs="宋体"/>
                <w:color w:val="auto"/>
                <w:sz w:val="24"/>
                <w:szCs w:val="24"/>
              </w:rPr>
              <w:t>（6）生物工具：提供显微镜功能，可模拟装片展示，如对洋葱表皮、叶绿体等细胞进行装片，进行粗螺纹、细螺纹进行调试观看细胞。实现显微镜仿真教学，为方便向学生展示，学科工具支持一键全屏播放。提供氨基酸、核苷酸、染色体、细胞膜、信息传递等工具，可进行R基替换、脱水缩合、互补配对、聚合、信息传递等相应的操作演示。</w:t>
            </w:r>
          </w:p>
          <w:p>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7）地理工具：地理学科工具提供地球仪功能，模拟实物地球仪可以进行旋转，也可调整地球仪显示类型，如全球气候、国家、地形等；提供太阳系图示，可显示不同视角、黄白交角、地球晨昏线、可调节速度，可选择仅显示地月图示；提供天气符号图示，可显示不同天气状况图例；为方便向学生展示，支持一键全屏播放； </w:t>
            </w:r>
          </w:p>
          <w:p>
            <w:pPr>
              <w:spacing w:line="400" w:lineRule="exact"/>
              <w:rPr>
                <w:rFonts w:hint="eastAsia" w:ascii="宋体" w:hAnsi="宋体" w:cs="宋体"/>
                <w:color w:val="auto"/>
                <w:sz w:val="24"/>
                <w:szCs w:val="24"/>
              </w:rPr>
            </w:pPr>
            <w:r>
              <w:rPr>
                <w:rFonts w:hint="eastAsia" w:ascii="宋体" w:hAnsi="宋体" w:cs="宋体"/>
                <w:color w:val="auto"/>
                <w:sz w:val="24"/>
                <w:szCs w:val="24"/>
              </w:rPr>
              <w:t>（8）音乐工具：至少提供电子琴、架子鼓、吉他、排笛、大提琴等多种教具。提供音长和音高工具，可进行相应的互动练习游戏。为方便学生操作，学科工具支持一键全屏播放；。</w:t>
            </w:r>
          </w:p>
          <w:p>
            <w:pPr>
              <w:spacing w:line="400" w:lineRule="exact"/>
              <w:rPr>
                <w:rFonts w:hint="eastAsia" w:ascii="宋体" w:hAnsi="宋体" w:cs="宋体"/>
                <w:color w:val="auto"/>
                <w:sz w:val="24"/>
                <w:szCs w:val="24"/>
              </w:rPr>
            </w:pPr>
            <w:r>
              <w:rPr>
                <w:rFonts w:hint="eastAsia" w:ascii="宋体" w:hAnsi="宋体" w:cs="宋体"/>
                <w:color w:val="auto"/>
                <w:sz w:val="24"/>
                <w:szCs w:val="24"/>
              </w:rPr>
              <w:t>（9）历史工具：提供中国各朝代的动态简介，包含世系表、疆域图、朝代历史简介等；提供国内外近代政治、经济、文化、军事、历史事件介绍，提供年代检索；以及丝绸之路、新航路开辟、赤壁之战等历史大事件的动态简介等；</w:t>
            </w:r>
          </w:p>
          <w:p>
            <w:pPr>
              <w:spacing w:line="400" w:lineRule="exact"/>
              <w:rPr>
                <w:rFonts w:hint="eastAsia" w:ascii="宋体" w:hAnsi="宋体" w:cs="宋体"/>
                <w:color w:val="auto"/>
                <w:sz w:val="24"/>
                <w:szCs w:val="24"/>
              </w:rPr>
            </w:pPr>
            <w:r>
              <w:rPr>
                <w:rFonts w:hint="eastAsia" w:ascii="宋体" w:hAnsi="宋体" w:cs="宋体"/>
                <w:color w:val="auto"/>
                <w:sz w:val="24"/>
                <w:szCs w:val="24"/>
              </w:rPr>
              <w:t>（10）美术学科工具提供爱涂色功能，包含动物、植物、人物、水果、蔬菜、交通等类别的图画涂色，支持画笔颜色选择、笔迹粗细调节、撤销、擦除、音乐设置、内容检索等功能；</w:t>
            </w:r>
          </w:p>
          <w:p>
            <w:pPr>
              <w:spacing w:line="400" w:lineRule="exact"/>
              <w:rPr>
                <w:rFonts w:hint="eastAsia" w:ascii="宋体" w:hAnsi="宋体" w:cs="宋体"/>
                <w:color w:val="auto"/>
                <w:sz w:val="24"/>
                <w:szCs w:val="24"/>
              </w:rPr>
            </w:pPr>
            <w:r>
              <w:rPr>
                <w:rFonts w:hint="eastAsia" w:ascii="宋体" w:hAnsi="宋体" w:cs="宋体"/>
                <w:color w:val="auto"/>
                <w:sz w:val="24"/>
                <w:szCs w:val="24"/>
              </w:rPr>
              <w:t>10.仿真实验：具备总数不少于450个,涵盖K-12年级科学、初高中物理、化学、生物等学科的本地仿真实验资源，仿真实验包括实验目的、实验原理、实验器材、注意事项、实验演示、开始实验、实验检测、实验应用等环节，为方便向学生展示及操作，仿真实验支持一键全屏播放。</w:t>
            </w:r>
          </w:p>
          <w:p>
            <w:pPr>
              <w:spacing w:line="400" w:lineRule="exact"/>
              <w:rPr>
                <w:rFonts w:hint="eastAsia" w:ascii="宋体" w:hAnsi="宋体" w:cs="宋体"/>
                <w:color w:val="auto"/>
                <w:sz w:val="24"/>
                <w:szCs w:val="24"/>
              </w:rPr>
            </w:pPr>
            <w:r>
              <w:rPr>
                <w:rFonts w:hint="eastAsia" w:ascii="宋体" w:hAnsi="宋体" w:cs="宋体"/>
                <w:color w:val="auto"/>
                <w:sz w:val="24"/>
                <w:szCs w:val="24"/>
              </w:rPr>
              <w:t>11.PPT课件批注功能：PPT全屏播放时可自动开启工具菜单，提供PPT课件的播放控制(如前后翻页)、聚光灯、放大镜、草稿纸、黑屏和书写批注等功能,支持生成二维码，快速分享课件。</w:t>
            </w:r>
          </w:p>
          <w:p>
            <w:pPr>
              <w:spacing w:line="400" w:lineRule="exact"/>
              <w:rPr>
                <w:rFonts w:hint="eastAsia" w:ascii="宋体" w:hAnsi="宋体" w:cs="宋体"/>
                <w:color w:val="auto"/>
                <w:sz w:val="24"/>
                <w:szCs w:val="24"/>
              </w:rPr>
            </w:pPr>
            <w:r>
              <w:rPr>
                <w:rFonts w:hint="eastAsia" w:ascii="宋体" w:hAnsi="宋体" w:cs="宋体"/>
                <w:color w:val="auto"/>
                <w:sz w:val="24"/>
                <w:szCs w:val="24"/>
              </w:rPr>
              <w:t>12.多屏互动功能：</w:t>
            </w:r>
          </w:p>
          <w:p>
            <w:pPr>
              <w:spacing w:line="400" w:lineRule="exact"/>
              <w:rPr>
                <w:rFonts w:hint="eastAsia" w:ascii="宋体" w:hAnsi="宋体" w:cs="宋体"/>
                <w:color w:val="auto"/>
                <w:sz w:val="24"/>
                <w:szCs w:val="24"/>
              </w:rPr>
            </w:pPr>
            <w:r>
              <w:rPr>
                <w:rFonts w:hint="eastAsia" w:ascii="宋体" w:hAnsi="宋体" w:cs="宋体"/>
                <w:color w:val="auto"/>
                <w:sz w:val="24"/>
                <w:szCs w:val="24"/>
              </w:rPr>
              <w:t>（1）.支持手机移动端与PC端通过智能搜索或扫描二维码方式连接；</w:t>
            </w:r>
          </w:p>
          <w:p>
            <w:pPr>
              <w:spacing w:line="400" w:lineRule="exact"/>
              <w:rPr>
                <w:rFonts w:hint="eastAsia" w:ascii="宋体" w:hAnsi="宋体" w:cs="宋体"/>
                <w:color w:val="auto"/>
                <w:sz w:val="24"/>
                <w:szCs w:val="24"/>
              </w:rPr>
            </w:pPr>
            <w:r>
              <w:rPr>
                <w:rFonts w:hint="eastAsia" w:ascii="宋体" w:hAnsi="宋体" w:cs="宋体"/>
                <w:color w:val="auto"/>
                <w:sz w:val="24"/>
                <w:szCs w:val="24"/>
              </w:rPr>
              <w:t>（2）可实现影像上传功能：支持对上传的图片内容再次编辑如裁剪、马赛克、批注、旋转等操作，可同时上传多张照片进行同屏对比，双向批注；</w:t>
            </w:r>
          </w:p>
          <w:p>
            <w:pPr>
              <w:spacing w:line="400" w:lineRule="exact"/>
              <w:rPr>
                <w:rFonts w:hint="eastAsia" w:ascii="宋体" w:hAnsi="宋体" w:cs="宋体"/>
                <w:color w:val="auto"/>
                <w:sz w:val="24"/>
                <w:szCs w:val="24"/>
              </w:rPr>
            </w:pPr>
            <w:r>
              <w:rPr>
                <w:rFonts w:hint="eastAsia" w:ascii="宋体" w:hAnsi="宋体" w:cs="宋体"/>
                <w:color w:val="auto"/>
                <w:sz w:val="24"/>
                <w:szCs w:val="24"/>
              </w:rPr>
              <w:t>（3）可实现投屏功能：手机画面上传至PC端；PC端电脑画面同步至手机，可实现手机实时控制、随时批注PC端电脑桌面；</w:t>
            </w:r>
          </w:p>
          <w:p>
            <w:pPr>
              <w:spacing w:line="400" w:lineRule="exact"/>
              <w:rPr>
                <w:rFonts w:hint="eastAsia" w:ascii="宋体" w:hAnsi="宋体" w:cs="宋体"/>
                <w:color w:val="auto"/>
                <w:sz w:val="24"/>
                <w:szCs w:val="24"/>
              </w:rPr>
            </w:pPr>
            <w:r>
              <w:rPr>
                <w:rFonts w:hint="eastAsia" w:ascii="宋体" w:hAnsi="宋体" w:cs="宋体"/>
                <w:color w:val="auto"/>
                <w:sz w:val="24"/>
                <w:szCs w:val="24"/>
              </w:rPr>
              <w:t>（4）可实现播放课件功能：支持播放电脑桌面的ppt/白板课件；</w:t>
            </w:r>
          </w:p>
          <w:p>
            <w:pPr>
              <w:spacing w:line="400" w:lineRule="exact"/>
              <w:rPr>
                <w:rFonts w:hint="eastAsia" w:ascii="宋体" w:hAnsi="宋体" w:cs="宋体"/>
                <w:color w:val="auto"/>
                <w:sz w:val="24"/>
                <w:szCs w:val="24"/>
              </w:rPr>
            </w:pPr>
            <w:r>
              <w:rPr>
                <w:rFonts w:hint="eastAsia" w:ascii="宋体" w:hAnsi="宋体" w:cs="宋体"/>
                <w:color w:val="auto"/>
                <w:sz w:val="24"/>
                <w:szCs w:val="24"/>
              </w:rPr>
              <w:t>（5）课件支持播放列表，可快速选择PPT或白板课件进行播放；</w:t>
            </w:r>
          </w:p>
          <w:p>
            <w:pPr>
              <w:spacing w:line="400" w:lineRule="exact"/>
              <w:rPr>
                <w:rFonts w:hint="eastAsia" w:ascii="宋体" w:hAnsi="宋体" w:cs="宋体"/>
                <w:color w:val="auto"/>
                <w:sz w:val="24"/>
                <w:szCs w:val="24"/>
              </w:rPr>
            </w:pPr>
            <w:r>
              <w:rPr>
                <w:rFonts w:hint="eastAsia" w:ascii="宋体" w:hAnsi="宋体" w:cs="宋体"/>
                <w:color w:val="auto"/>
                <w:sz w:val="24"/>
                <w:szCs w:val="24"/>
              </w:rPr>
              <w:t>（6）可实现手机直播：同步直播手机摄像头画面至PC端，支持一键切换前后置摄像头</w:t>
            </w:r>
          </w:p>
          <w:p>
            <w:pPr>
              <w:spacing w:line="400" w:lineRule="exact"/>
              <w:rPr>
                <w:rFonts w:hint="eastAsia" w:ascii="宋体" w:hAnsi="宋体" w:cs="宋体"/>
                <w:color w:val="auto"/>
                <w:sz w:val="24"/>
                <w:szCs w:val="24"/>
              </w:rPr>
            </w:pPr>
            <w:r>
              <w:rPr>
                <w:rFonts w:hint="eastAsia" w:ascii="宋体" w:hAnsi="宋体" w:cs="宋体"/>
                <w:color w:val="auto"/>
                <w:sz w:val="24"/>
                <w:szCs w:val="24"/>
              </w:rPr>
              <w:t>（7）可实现u盘文件直读功能，读取插入智能交互设备的U盘内容，并按图片、音频、视频、文档分类，方便老师快速查找并直接打开U盘文件；</w:t>
            </w:r>
          </w:p>
          <w:p>
            <w:pPr>
              <w:spacing w:line="400" w:lineRule="exact"/>
              <w:rPr>
                <w:rFonts w:hint="eastAsia" w:ascii="宋体" w:hAnsi="宋体" w:cs="宋体"/>
                <w:color w:val="auto"/>
                <w:sz w:val="24"/>
                <w:szCs w:val="24"/>
              </w:rPr>
            </w:pPr>
            <w:r>
              <w:rPr>
                <w:rFonts w:hint="eastAsia" w:ascii="宋体" w:hAnsi="宋体" w:cs="宋体"/>
                <w:color w:val="auto"/>
                <w:sz w:val="24"/>
                <w:szCs w:val="24"/>
              </w:rPr>
              <w:t>（8）可实现一键切换电脑窗口应用及文件功能；</w:t>
            </w:r>
          </w:p>
          <w:p>
            <w:pPr>
              <w:spacing w:line="400" w:lineRule="exact"/>
              <w:rPr>
                <w:rFonts w:hint="eastAsia" w:ascii="宋体" w:hAnsi="宋体" w:cs="宋体"/>
                <w:color w:val="auto"/>
                <w:sz w:val="24"/>
                <w:szCs w:val="24"/>
              </w:rPr>
            </w:pPr>
            <w:r>
              <w:rPr>
                <w:rFonts w:hint="eastAsia" w:ascii="宋体" w:hAnsi="宋体" w:cs="宋体"/>
                <w:color w:val="auto"/>
                <w:sz w:val="24"/>
                <w:szCs w:val="24"/>
              </w:rPr>
              <w:t>（9）可实现触摸板功能：手机可模拟鼠标操作PC端画面；</w:t>
            </w:r>
          </w:p>
          <w:p>
            <w:pPr>
              <w:spacing w:line="400" w:lineRule="exact"/>
              <w:rPr>
                <w:rFonts w:hint="eastAsia" w:ascii="宋体" w:hAnsi="宋体" w:cs="宋体"/>
                <w:color w:val="auto"/>
                <w:sz w:val="24"/>
                <w:szCs w:val="24"/>
              </w:rPr>
            </w:pPr>
            <w:r>
              <w:rPr>
                <w:rFonts w:hint="eastAsia" w:ascii="宋体" w:hAnsi="宋体" w:cs="宋体"/>
                <w:color w:val="auto"/>
                <w:sz w:val="24"/>
                <w:szCs w:val="24"/>
              </w:rPr>
              <w:t>（10）可实现电脑管理功能：手机可远程操作PC端电脑关闭或重启；</w:t>
            </w:r>
          </w:p>
          <w:p>
            <w:pPr>
              <w:spacing w:line="400" w:lineRule="exact"/>
              <w:rPr>
                <w:rFonts w:hint="eastAsia" w:ascii="宋体" w:hAnsi="宋体" w:cs="宋体"/>
                <w:color w:val="auto"/>
                <w:sz w:val="24"/>
                <w:szCs w:val="24"/>
              </w:rPr>
            </w:pPr>
            <w:r>
              <w:rPr>
                <w:rFonts w:hint="eastAsia" w:ascii="宋体" w:hAnsi="宋体" w:cs="宋体"/>
                <w:color w:val="auto"/>
                <w:sz w:val="24"/>
                <w:szCs w:val="24"/>
              </w:rPr>
              <w:t>13.文本编辑功能，支持文本输入并可快速设置字体、大小、颜色、粗体、斜体、下划线、删除线、上标、下标、项目符号等文本输入。</w:t>
            </w:r>
          </w:p>
          <w:p>
            <w:pPr>
              <w:spacing w:line="400" w:lineRule="exact"/>
              <w:rPr>
                <w:rFonts w:hint="eastAsia" w:ascii="宋体" w:hAnsi="宋体" w:cs="宋体"/>
                <w:color w:val="auto"/>
                <w:sz w:val="24"/>
                <w:szCs w:val="24"/>
              </w:rPr>
            </w:pPr>
            <w:r>
              <w:rPr>
                <w:rFonts w:hint="eastAsia" w:ascii="宋体" w:hAnsi="宋体" w:cs="宋体"/>
                <w:color w:val="auto"/>
                <w:sz w:val="24"/>
                <w:szCs w:val="24"/>
              </w:rPr>
              <w:t>14.软件具有水平和垂直的对齐虚线，当移动对象素材时，对齐虚线提示是否对齐。</w:t>
            </w:r>
          </w:p>
          <w:p>
            <w:pPr>
              <w:spacing w:line="400" w:lineRule="exact"/>
              <w:rPr>
                <w:rFonts w:hint="eastAsia" w:ascii="宋体" w:hAnsi="宋体" w:cs="宋体"/>
                <w:color w:val="auto"/>
                <w:sz w:val="24"/>
                <w:szCs w:val="24"/>
              </w:rPr>
            </w:pPr>
            <w:r>
              <w:rPr>
                <w:rFonts w:hint="eastAsia" w:ascii="宋体" w:hAnsi="宋体" w:cs="宋体"/>
                <w:color w:val="auto"/>
                <w:sz w:val="24"/>
                <w:szCs w:val="24"/>
              </w:rPr>
              <w:t>15.软件具备页面参考辅助线、智能辅助线，移动单个素材时，可以智能提示水平、垂直对齐位置，方便课件排版</w:t>
            </w:r>
          </w:p>
          <w:p>
            <w:pPr>
              <w:spacing w:line="400" w:lineRule="exact"/>
              <w:rPr>
                <w:rFonts w:hint="eastAsia" w:ascii="宋体" w:hAnsi="宋体" w:cs="宋体"/>
                <w:color w:val="auto"/>
                <w:sz w:val="24"/>
                <w:szCs w:val="24"/>
              </w:rPr>
            </w:pPr>
            <w:r>
              <w:rPr>
                <w:rFonts w:hint="eastAsia" w:ascii="宋体" w:hAnsi="宋体" w:cs="宋体"/>
                <w:color w:val="auto"/>
                <w:sz w:val="24"/>
                <w:szCs w:val="24"/>
              </w:rPr>
              <w:t>16.软件提供不少于14种精美页面背景；</w:t>
            </w:r>
          </w:p>
          <w:p>
            <w:pPr>
              <w:spacing w:line="400" w:lineRule="exact"/>
              <w:rPr>
                <w:rFonts w:hint="eastAsia" w:ascii="宋体" w:hAnsi="宋体" w:cs="宋体"/>
                <w:color w:val="auto"/>
                <w:sz w:val="24"/>
                <w:szCs w:val="24"/>
              </w:rPr>
            </w:pPr>
            <w:r>
              <w:rPr>
                <w:rFonts w:hint="eastAsia" w:ascii="宋体" w:hAnsi="宋体" w:cs="宋体"/>
                <w:color w:val="auto"/>
                <w:sz w:val="24"/>
                <w:szCs w:val="24"/>
              </w:rPr>
              <w:t>17.软件提供不少于8种与学科相关的页面背景如田字格、米字格、拼音本、英语本、笔记本、小楷本、五线谱、生字本等；</w:t>
            </w:r>
          </w:p>
          <w:p>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18.提供插入形状功能：具备线段、圆形、三角形、四边形、多边形以及五角星、心形、旗子、对话框、单双箭头、大中括号、加减乘除等特殊图形，不低于30种，可自定义图形填充色、边框颜色、边框粗细、边框样式、透明度、可添加文字； </w:t>
            </w:r>
          </w:p>
          <w:p>
            <w:pPr>
              <w:spacing w:line="400" w:lineRule="exact"/>
              <w:rPr>
                <w:rFonts w:hint="eastAsia" w:ascii="宋体" w:hAnsi="宋体" w:cs="宋体"/>
                <w:color w:val="auto"/>
                <w:sz w:val="24"/>
                <w:szCs w:val="24"/>
              </w:rPr>
            </w:pPr>
            <w:r>
              <w:rPr>
                <w:rFonts w:hint="eastAsia" w:ascii="宋体" w:hAnsi="宋体" w:cs="宋体"/>
                <w:color w:val="auto"/>
                <w:sz w:val="24"/>
                <w:szCs w:val="24"/>
              </w:rPr>
              <w:t>19.具有页面切换特效，包括缩放、揭开、切出、淡出、推进、覆盖等多种特殊效果；</w:t>
            </w:r>
          </w:p>
          <w:p>
            <w:pPr>
              <w:spacing w:line="400" w:lineRule="exact"/>
              <w:rPr>
                <w:rFonts w:hint="eastAsia" w:ascii="宋体" w:hAnsi="宋体" w:cs="宋体"/>
                <w:color w:val="auto"/>
                <w:sz w:val="24"/>
                <w:szCs w:val="24"/>
              </w:rPr>
            </w:pPr>
            <w:r>
              <w:rPr>
                <w:rFonts w:hint="eastAsia" w:ascii="宋体" w:hAnsi="宋体" w:cs="宋体"/>
                <w:color w:val="auto"/>
                <w:sz w:val="24"/>
                <w:szCs w:val="24"/>
              </w:rPr>
              <w:t>20、对象特效设置：可对页面对象设置多种进入、退出时的特殊效果，如百叶窗、淡入、缩放、浮现、飞入、旋转、劈裂、弹跳等效果，支持设置触发源，支持调整特效顺序、特效时间设置、特效预览、特效删除；支持教学软件页面中的图片、文字等任何对象可在页面中可实现路径轨迹设置、对页面对象设置直线路径与自定义路径动作。</w:t>
            </w:r>
          </w:p>
          <w:p>
            <w:pPr>
              <w:spacing w:line="400" w:lineRule="exact"/>
              <w:rPr>
                <w:rFonts w:hint="eastAsia" w:ascii="宋体" w:hAnsi="宋体" w:cs="宋体"/>
                <w:color w:val="auto"/>
                <w:sz w:val="24"/>
                <w:szCs w:val="24"/>
              </w:rPr>
            </w:pPr>
            <w:r>
              <w:rPr>
                <w:rFonts w:hint="eastAsia" w:ascii="宋体" w:hAnsi="宋体" w:cs="宋体"/>
                <w:color w:val="auto"/>
                <w:sz w:val="24"/>
                <w:szCs w:val="24"/>
              </w:rPr>
              <w:t>21.镜像设置：支持形状和图片向上、向下、向左、向右镜像设置；</w:t>
            </w:r>
          </w:p>
          <w:p>
            <w:pPr>
              <w:spacing w:line="400" w:lineRule="exact"/>
              <w:rPr>
                <w:rFonts w:hint="eastAsia" w:ascii="宋体" w:hAnsi="宋体" w:cs="宋体"/>
                <w:color w:val="auto"/>
                <w:sz w:val="24"/>
                <w:szCs w:val="24"/>
              </w:rPr>
            </w:pPr>
            <w:r>
              <w:rPr>
                <w:rFonts w:hint="eastAsia" w:ascii="宋体" w:hAnsi="宋体" w:cs="宋体"/>
                <w:color w:val="auto"/>
                <w:sz w:val="24"/>
                <w:szCs w:val="24"/>
              </w:rPr>
              <w:t>22.图片设置：支持滤镜设置，提供不少于3中滤镜效果，如怀旧、底片、黑白，支持图片效果设置，如圆形对角、椭圆框架、矩形阴影等，支持图片透明度设置，可直接进行图片替换；</w:t>
            </w:r>
          </w:p>
          <w:p>
            <w:pPr>
              <w:spacing w:line="400" w:lineRule="exact"/>
              <w:rPr>
                <w:rFonts w:hint="eastAsia" w:ascii="宋体" w:hAnsi="宋体" w:cs="宋体"/>
                <w:color w:val="auto"/>
                <w:sz w:val="24"/>
                <w:szCs w:val="24"/>
              </w:rPr>
            </w:pPr>
            <w:r>
              <w:rPr>
                <w:rFonts w:hint="eastAsia" w:ascii="宋体" w:hAnsi="宋体" w:cs="宋体"/>
                <w:color w:val="auto"/>
                <w:sz w:val="24"/>
                <w:szCs w:val="24"/>
              </w:rPr>
              <w:t>23.支持图片/形状翻转、图层设置、锁定、拖动克隆、添加链接等功能；</w:t>
            </w:r>
          </w:p>
          <w:p>
            <w:pPr>
              <w:spacing w:line="400" w:lineRule="exact"/>
              <w:rPr>
                <w:rFonts w:hint="eastAsia" w:ascii="宋体" w:hAnsi="宋体" w:cs="宋体"/>
                <w:color w:val="auto"/>
                <w:sz w:val="24"/>
                <w:szCs w:val="24"/>
              </w:rPr>
            </w:pPr>
            <w:r>
              <w:rPr>
                <w:rFonts w:hint="eastAsia" w:ascii="宋体" w:hAnsi="宋体" w:cs="宋体"/>
                <w:color w:val="auto"/>
                <w:sz w:val="24"/>
                <w:szCs w:val="24"/>
              </w:rPr>
              <w:t>24.图库功能：为方便课件制作，软件至少提供如乐器、交通运输、人物、军事、办公用品、动物、天气季节、服装、节日等20大类本地图片素材，支持用户保存页面中的图片至个人图库；</w:t>
            </w:r>
          </w:p>
          <w:p>
            <w:pPr>
              <w:spacing w:line="400" w:lineRule="exact"/>
              <w:rPr>
                <w:rFonts w:hint="eastAsia" w:ascii="宋体" w:hAnsi="宋体" w:cs="宋体"/>
                <w:color w:val="auto"/>
                <w:sz w:val="24"/>
                <w:szCs w:val="24"/>
              </w:rPr>
            </w:pPr>
            <w:r>
              <w:rPr>
                <w:rFonts w:hint="eastAsia" w:ascii="宋体" w:hAnsi="宋体" w:cs="宋体"/>
                <w:color w:val="auto"/>
                <w:sz w:val="24"/>
                <w:szCs w:val="24"/>
              </w:rPr>
              <w:t>25.为方便老师应用，提供与所投产品相关的微信公众号学习交流及售后平台，老师可通过关注厂家微信公众号在线自主学习产品使用，也可通过公众号在线提问及产品的报修。</w:t>
            </w:r>
          </w:p>
          <w:p>
            <w:pPr>
              <w:spacing w:line="400" w:lineRule="exact"/>
              <w:rPr>
                <w:rFonts w:hint="eastAsia" w:ascii="宋体" w:hAnsi="宋体" w:cs="宋体"/>
                <w:color w:val="auto"/>
                <w:sz w:val="24"/>
                <w:szCs w:val="24"/>
              </w:rPr>
            </w:pPr>
            <w:r>
              <w:rPr>
                <w:rFonts w:hint="eastAsia" w:ascii="宋体" w:hAnsi="宋体" w:cs="宋体"/>
                <w:color w:val="auto"/>
                <w:sz w:val="24"/>
                <w:szCs w:val="24"/>
              </w:rPr>
              <w:t>（四）专用备授课工具</w:t>
            </w:r>
          </w:p>
          <w:p>
            <w:pPr>
              <w:spacing w:line="400" w:lineRule="exact"/>
              <w:rPr>
                <w:rFonts w:hint="eastAsia" w:ascii="宋体" w:hAnsi="宋体" w:cs="宋体"/>
                <w:color w:val="auto"/>
                <w:sz w:val="24"/>
                <w:szCs w:val="24"/>
              </w:rPr>
            </w:pPr>
            <w:r>
              <w:rPr>
                <w:rFonts w:hint="eastAsia" w:ascii="宋体" w:hAnsi="宋体" w:cs="宋体"/>
                <w:color w:val="auto"/>
                <w:sz w:val="24"/>
                <w:szCs w:val="24"/>
              </w:rPr>
              <w:t>方便老师教学，软件需提供快速备课功能，通过简单的勾选章节（支持预览），一键生成高质量的符合教师教学习惯的幻灯片课件。所生成的课件即带有文字以及动画效果，无需教师后续编辑，支持一键全屏播放。素材丰富，支持组合拼选，包含课堂引入，知识引导与探索，知识辨析与练习，例题与变式，拓展延伸，课堂练习等。（不得使用第三方软件）</w:t>
            </w:r>
          </w:p>
          <w:p>
            <w:pPr>
              <w:spacing w:line="400" w:lineRule="exact"/>
              <w:rPr>
                <w:rFonts w:hint="eastAsia" w:ascii="宋体" w:hAnsi="宋体" w:cs="宋体"/>
                <w:color w:val="auto"/>
                <w:sz w:val="24"/>
                <w:szCs w:val="24"/>
              </w:rPr>
            </w:pPr>
            <w:r>
              <w:rPr>
                <w:rFonts w:hint="eastAsia" w:ascii="宋体" w:hAnsi="宋体" w:cs="宋体"/>
                <w:color w:val="auto"/>
                <w:sz w:val="24"/>
                <w:szCs w:val="24"/>
              </w:rPr>
              <w:t>1.账号及课件管理</w:t>
            </w:r>
          </w:p>
          <w:p>
            <w:pPr>
              <w:spacing w:line="400" w:lineRule="exact"/>
              <w:rPr>
                <w:rFonts w:hint="eastAsia" w:ascii="宋体" w:hAnsi="宋体" w:cs="宋体"/>
                <w:color w:val="auto"/>
                <w:sz w:val="24"/>
                <w:szCs w:val="24"/>
              </w:rPr>
            </w:pPr>
            <w:r>
              <w:rPr>
                <w:rFonts w:hint="eastAsia" w:ascii="宋体" w:hAnsi="宋体" w:cs="宋体"/>
                <w:color w:val="auto"/>
                <w:sz w:val="24"/>
                <w:szCs w:val="24"/>
              </w:rPr>
              <w:t>①</w:t>
            </w:r>
            <w:r>
              <w:rPr>
                <w:rFonts w:hint="eastAsia" w:ascii="宋体" w:hAnsi="宋体" w:cs="宋体"/>
                <w:color w:val="auto"/>
                <w:sz w:val="24"/>
                <w:szCs w:val="24"/>
              </w:rPr>
              <w:tab/>
            </w:r>
            <w:r>
              <w:rPr>
                <w:rFonts w:hint="eastAsia" w:ascii="宋体" w:hAnsi="宋体" w:cs="宋体"/>
                <w:color w:val="auto"/>
                <w:sz w:val="24"/>
                <w:szCs w:val="24"/>
              </w:rPr>
              <w:t>支持微信扫码登录，注册后绑定微信，可方便老师在大屏上登录，无需键盘输入密码。</w:t>
            </w:r>
          </w:p>
          <w:p>
            <w:pPr>
              <w:spacing w:line="400" w:lineRule="exact"/>
              <w:rPr>
                <w:rFonts w:hint="eastAsia" w:ascii="宋体" w:hAnsi="宋体" w:cs="宋体"/>
                <w:color w:val="auto"/>
                <w:sz w:val="24"/>
                <w:szCs w:val="24"/>
              </w:rPr>
            </w:pPr>
            <w:r>
              <w:rPr>
                <w:rFonts w:hint="eastAsia" w:ascii="宋体" w:hAnsi="宋体" w:cs="宋体"/>
                <w:color w:val="auto"/>
                <w:sz w:val="24"/>
                <w:szCs w:val="24"/>
              </w:rPr>
              <w:t>②</w:t>
            </w:r>
            <w:r>
              <w:rPr>
                <w:rFonts w:hint="eastAsia" w:ascii="宋体" w:hAnsi="宋体" w:cs="宋体"/>
                <w:color w:val="auto"/>
                <w:sz w:val="24"/>
                <w:szCs w:val="24"/>
              </w:rPr>
              <w:tab/>
            </w:r>
            <w:r>
              <w:rPr>
                <w:rFonts w:hint="eastAsia" w:ascii="宋体" w:hAnsi="宋体" w:cs="宋体"/>
                <w:color w:val="auto"/>
                <w:sz w:val="24"/>
                <w:szCs w:val="24"/>
              </w:rPr>
              <w:t>所有制作的课件均可云端保存，无需使用U盘等设备，老师只需要登录即可查看。在无网络环境下，通过安装桌面端依然可以播放下载的课件，无网络教室也可以使用授课。</w:t>
            </w:r>
          </w:p>
          <w:p>
            <w:pPr>
              <w:spacing w:line="400" w:lineRule="exact"/>
              <w:rPr>
                <w:rFonts w:hint="eastAsia" w:ascii="宋体" w:hAnsi="宋体" w:cs="宋体"/>
                <w:color w:val="auto"/>
                <w:sz w:val="24"/>
                <w:szCs w:val="24"/>
              </w:rPr>
            </w:pPr>
            <w:r>
              <w:rPr>
                <w:rFonts w:hint="eastAsia" w:ascii="宋体" w:hAnsi="宋体" w:cs="宋体"/>
                <w:color w:val="auto"/>
                <w:sz w:val="24"/>
                <w:szCs w:val="24"/>
              </w:rPr>
              <w:t>2.备课工具</w:t>
            </w:r>
          </w:p>
          <w:p>
            <w:pPr>
              <w:spacing w:line="400" w:lineRule="exact"/>
              <w:rPr>
                <w:rFonts w:hint="eastAsia" w:ascii="宋体" w:hAnsi="宋体" w:cs="宋体"/>
                <w:color w:val="auto"/>
                <w:sz w:val="24"/>
                <w:szCs w:val="24"/>
              </w:rPr>
            </w:pPr>
            <w:r>
              <w:rPr>
                <w:rFonts w:hint="eastAsia" w:ascii="宋体" w:hAnsi="宋体" w:cs="宋体"/>
                <w:color w:val="auto"/>
                <w:sz w:val="24"/>
                <w:szCs w:val="24"/>
              </w:rPr>
              <w:t>①</w:t>
            </w:r>
            <w:r>
              <w:rPr>
                <w:rFonts w:hint="eastAsia" w:ascii="宋体" w:hAnsi="宋体" w:cs="宋体"/>
                <w:color w:val="auto"/>
                <w:sz w:val="24"/>
                <w:szCs w:val="24"/>
              </w:rPr>
              <w:tab/>
            </w:r>
            <w:r>
              <w:rPr>
                <w:rFonts w:hint="eastAsia" w:ascii="宋体" w:hAnsi="宋体" w:cs="宋体"/>
                <w:color w:val="auto"/>
                <w:sz w:val="24"/>
                <w:szCs w:val="24"/>
              </w:rPr>
              <w:t>提供预置的高质量课件素材，允许老师按课时在网页端、手机端、电脑端进行内容的选择与组合，快速生成课件并浏览；支持在官网、电脑端播放课件。</w:t>
            </w:r>
          </w:p>
          <w:p>
            <w:pPr>
              <w:spacing w:line="400" w:lineRule="exact"/>
              <w:rPr>
                <w:rFonts w:hint="eastAsia" w:ascii="宋体" w:hAnsi="宋体" w:cs="宋体"/>
                <w:color w:val="auto"/>
                <w:sz w:val="24"/>
                <w:szCs w:val="24"/>
              </w:rPr>
            </w:pPr>
            <w:r>
              <w:rPr>
                <w:rFonts w:hint="eastAsia" w:ascii="宋体" w:hAnsi="宋体" w:cs="宋体"/>
                <w:color w:val="auto"/>
                <w:sz w:val="24"/>
                <w:szCs w:val="24"/>
              </w:rPr>
              <w:t>②提供小学语文部编版教学素材，包含课件、教案等。支持根据老师选择的课件组合自动生成与课件内容相匹配的教案，并支持教案的在线编辑及教案的保存和打印。</w:t>
            </w:r>
          </w:p>
          <w:p>
            <w:pPr>
              <w:spacing w:line="400" w:lineRule="exact"/>
              <w:rPr>
                <w:rFonts w:hint="eastAsia" w:ascii="宋体" w:hAnsi="宋体" w:cs="宋体"/>
                <w:color w:val="auto"/>
                <w:sz w:val="24"/>
                <w:szCs w:val="24"/>
              </w:rPr>
            </w:pPr>
            <w:r>
              <w:rPr>
                <w:rFonts w:hint="eastAsia" w:ascii="宋体" w:hAnsi="宋体" w:cs="宋体"/>
                <w:color w:val="auto"/>
                <w:sz w:val="24"/>
                <w:szCs w:val="24"/>
              </w:rPr>
              <w:t>③内置上千个制作完成的动态课件，可直接选用插入到课件中。每个动态课件须支持互动操作，通过拖动滑条、改变参数等方式进行动态演示。</w:t>
            </w:r>
          </w:p>
          <w:p>
            <w:pPr>
              <w:spacing w:line="400" w:lineRule="exact"/>
              <w:rPr>
                <w:rFonts w:hint="eastAsia" w:ascii="宋体" w:hAnsi="宋体" w:cs="宋体"/>
                <w:color w:val="auto"/>
                <w:sz w:val="24"/>
                <w:szCs w:val="24"/>
              </w:rPr>
            </w:pPr>
            <w:r>
              <w:rPr>
                <w:rFonts w:hint="eastAsia" w:ascii="宋体" w:hAnsi="宋体" w:cs="宋体"/>
                <w:color w:val="auto"/>
                <w:sz w:val="24"/>
                <w:szCs w:val="24"/>
              </w:rPr>
              <w:t>④精选各省市高考、统考真题、学校考试真题，以及主流教辅书中的习题组成数学学科题库，题库总量高达20万道。</w:t>
            </w:r>
          </w:p>
          <w:p>
            <w:pPr>
              <w:spacing w:line="400" w:lineRule="exact"/>
              <w:rPr>
                <w:rFonts w:hint="eastAsia" w:ascii="宋体" w:hAnsi="宋体" w:cs="宋体"/>
                <w:color w:val="auto"/>
                <w:sz w:val="24"/>
                <w:szCs w:val="24"/>
              </w:rPr>
            </w:pPr>
            <w:r>
              <w:rPr>
                <w:rFonts w:hint="eastAsia" w:ascii="宋体" w:hAnsi="宋体" w:cs="宋体"/>
                <w:color w:val="auto"/>
                <w:sz w:val="24"/>
                <w:szCs w:val="24"/>
              </w:rPr>
              <w:t>⑤题库内的题目支持支持筛选题型和试题难度，可支持直接插入到课件中。题库内容添加进课件之后，还可以对文本和公式进行二次编辑。</w:t>
            </w:r>
          </w:p>
          <w:p>
            <w:pPr>
              <w:spacing w:line="400" w:lineRule="exact"/>
              <w:rPr>
                <w:rFonts w:hint="eastAsia" w:ascii="宋体" w:hAnsi="宋体" w:cs="宋体"/>
                <w:color w:val="auto"/>
                <w:sz w:val="24"/>
                <w:szCs w:val="24"/>
              </w:rPr>
            </w:pPr>
            <w:r>
              <w:rPr>
                <w:rFonts w:hint="eastAsia" w:ascii="宋体" w:hAnsi="宋体" w:cs="宋体"/>
                <w:color w:val="auto"/>
                <w:sz w:val="24"/>
                <w:szCs w:val="24"/>
              </w:rPr>
              <w:t>3.课件编辑</w:t>
            </w:r>
          </w:p>
          <w:p>
            <w:pPr>
              <w:spacing w:line="400" w:lineRule="exact"/>
              <w:rPr>
                <w:rFonts w:hint="eastAsia" w:ascii="宋体" w:hAnsi="宋体" w:cs="宋体"/>
                <w:color w:val="auto"/>
                <w:sz w:val="24"/>
                <w:szCs w:val="24"/>
              </w:rPr>
            </w:pPr>
            <w:r>
              <w:rPr>
                <w:rFonts w:hint="eastAsia" w:ascii="宋体" w:hAnsi="宋体" w:cs="宋体"/>
                <w:color w:val="auto"/>
                <w:sz w:val="24"/>
                <w:szCs w:val="24"/>
              </w:rPr>
              <w:t>①支持网页端、电脑端在线创建、编辑和修改课件。</w:t>
            </w:r>
          </w:p>
          <w:p>
            <w:pPr>
              <w:spacing w:line="400" w:lineRule="exact"/>
              <w:rPr>
                <w:rFonts w:hint="eastAsia" w:ascii="宋体" w:hAnsi="宋体" w:cs="宋体"/>
                <w:color w:val="auto"/>
                <w:sz w:val="24"/>
                <w:szCs w:val="24"/>
              </w:rPr>
            </w:pPr>
            <w:r>
              <w:rPr>
                <w:rFonts w:hint="eastAsia" w:ascii="宋体" w:hAnsi="宋体" w:cs="宋体"/>
                <w:color w:val="auto"/>
                <w:sz w:val="24"/>
                <w:szCs w:val="24"/>
              </w:rPr>
              <w:t>②提供拼音自动输入工具。输入汉字文本后，勾选编辑栏中的“拼音”选项，文字便自动标注好拼音。支持转换显示方式，可只显示拼音内容不显示文本。</w:t>
            </w:r>
          </w:p>
          <w:p>
            <w:pPr>
              <w:spacing w:line="400" w:lineRule="exact"/>
              <w:rPr>
                <w:rFonts w:hint="eastAsia" w:ascii="宋体" w:hAnsi="宋体" w:cs="宋体"/>
                <w:color w:val="auto"/>
                <w:sz w:val="24"/>
                <w:szCs w:val="24"/>
              </w:rPr>
            </w:pPr>
            <w:r>
              <w:rPr>
                <w:rFonts w:hint="eastAsia" w:ascii="宋体" w:hAnsi="宋体" w:cs="宋体"/>
                <w:color w:val="auto"/>
                <w:sz w:val="24"/>
                <w:szCs w:val="24"/>
              </w:rPr>
              <w:t>③提供数学公式编辑器，提供至少三种符号输入的快捷方式，提供近百种数学符号，输出的公式内容支持不同颜色标记及二次编辑。支持老师切换至LATEX模式输入公式。输入后的公式与文本处于同一个文本框内，拖动文本框后公式随文本框变化位置。</w:t>
            </w:r>
          </w:p>
          <w:p>
            <w:pPr>
              <w:spacing w:line="400" w:lineRule="exact"/>
              <w:rPr>
                <w:rFonts w:hint="eastAsia" w:ascii="宋体" w:hAnsi="宋体" w:cs="宋体"/>
                <w:color w:val="auto"/>
                <w:sz w:val="24"/>
                <w:szCs w:val="24"/>
              </w:rPr>
            </w:pPr>
            <w:r>
              <w:rPr>
                <w:rFonts w:hint="eastAsia" w:ascii="宋体" w:hAnsi="宋体" w:cs="宋体"/>
                <w:color w:val="auto"/>
                <w:sz w:val="24"/>
                <w:szCs w:val="24"/>
              </w:rPr>
              <w:t>④支持老师创建交互式动态课件，提供相应的教学画板工具。画板工具支持通过指令快速绘制平面图形、立体图形和函数图像。支持通过拖动或输入的方式改变对象的参数数值，相应的图像和函数随数值的变化而发生变化。支持调节缩放坐标轴，图像生成后可重新编辑。</w:t>
            </w:r>
          </w:p>
          <w:p>
            <w:pPr>
              <w:spacing w:line="400" w:lineRule="exact"/>
              <w:rPr>
                <w:rFonts w:hint="eastAsia" w:ascii="宋体" w:hAnsi="宋体" w:cs="宋体"/>
                <w:color w:val="auto"/>
                <w:sz w:val="24"/>
                <w:szCs w:val="24"/>
              </w:rPr>
            </w:pPr>
            <w:r>
              <w:rPr>
                <w:rFonts w:hint="eastAsia" w:ascii="宋体" w:hAnsi="宋体" w:cs="宋体"/>
                <w:color w:val="auto"/>
                <w:sz w:val="24"/>
                <w:szCs w:val="24"/>
              </w:rPr>
              <w:t>⑤支持老师将绘制的函数图像或图形一键导出为图片，插入到课件中。</w:t>
            </w:r>
          </w:p>
          <w:p>
            <w:pPr>
              <w:spacing w:line="400" w:lineRule="exact"/>
              <w:rPr>
                <w:rFonts w:hint="eastAsia" w:ascii="宋体" w:hAnsi="宋体" w:cs="宋体"/>
                <w:color w:val="auto"/>
                <w:sz w:val="24"/>
                <w:szCs w:val="24"/>
              </w:rPr>
            </w:pPr>
            <w:r>
              <w:rPr>
                <w:rFonts w:hint="eastAsia" w:ascii="宋体" w:hAnsi="宋体" w:cs="宋体"/>
                <w:color w:val="auto"/>
                <w:sz w:val="24"/>
                <w:szCs w:val="24"/>
              </w:rPr>
              <w:t>4.打印分享</w:t>
            </w:r>
          </w:p>
          <w:p>
            <w:pPr>
              <w:spacing w:line="400" w:lineRule="exact"/>
              <w:rPr>
                <w:rFonts w:hint="eastAsia" w:ascii="宋体" w:hAnsi="宋体" w:cs="宋体"/>
                <w:color w:val="auto"/>
                <w:sz w:val="24"/>
                <w:szCs w:val="24"/>
              </w:rPr>
            </w:pPr>
            <w:r>
              <w:rPr>
                <w:rFonts w:hint="eastAsia" w:ascii="宋体" w:hAnsi="宋体" w:cs="宋体"/>
                <w:color w:val="auto"/>
                <w:sz w:val="24"/>
                <w:szCs w:val="24"/>
              </w:rPr>
              <w:t>①支持将做好的课件打印成纸质版或导出成PDF。</w:t>
            </w:r>
          </w:p>
          <w:p>
            <w:pPr>
              <w:spacing w:line="400" w:lineRule="exact"/>
              <w:rPr>
                <w:rFonts w:hint="eastAsia" w:ascii="宋体" w:hAnsi="宋体" w:cs="宋体"/>
                <w:color w:val="auto"/>
                <w:sz w:val="24"/>
                <w:szCs w:val="24"/>
              </w:rPr>
            </w:pPr>
            <w:r>
              <w:rPr>
                <w:rFonts w:hint="eastAsia" w:ascii="宋体" w:hAnsi="宋体" w:cs="宋体"/>
                <w:color w:val="auto"/>
                <w:sz w:val="24"/>
                <w:szCs w:val="24"/>
              </w:rPr>
              <w:t>②支持将做好的课件以链接的形式分享。同时，还支持扫码分享到手机微信以及一键分享到QQ群。</w:t>
            </w:r>
          </w:p>
          <w:p>
            <w:pPr>
              <w:spacing w:line="400" w:lineRule="exact"/>
              <w:rPr>
                <w:rFonts w:hint="eastAsia" w:ascii="宋体" w:hAnsi="宋体" w:cs="宋体"/>
                <w:color w:val="auto"/>
                <w:sz w:val="24"/>
                <w:szCs w:val="24"/>
              </w:rPr>
            </w:pPr>
            <w:r>
              <w:rPr>
                <w:rFonts w:hint="eastAsia" w:ascii="宋体" w:hAnsi="宋体" w:cs="宋体"/>
                <w:color w:val="auto"/>
                <w:sz w:val="24"/>
                <w:szCs w:val="24"/>
              </w:rPr>
              <w:t>（五）微课工具</w:t>
            </w:r>
          </w:p>
          <w:p>
            <w:pPr>
              <w:spacing w:line="400" w:lineRule="exact"/>
              <w:rPr>
                <w:rFonts w:hint="eastAsia" w:ascii="宋体" w:hAnsi="宋体" w:cs="宋体"/>
                <w:color w:val="auto"/>
                <w:sz w:val="24"/>
                <w:szCs w:val="24"/>
              </w:rPr>
            </w:pPr>
            <w:r>
              <w:rPr>
                <w:rFonts w:hint="eastAsia" w:ascii="宋体" w:hAnsi="宋体" w:cs="宋体"/>
                <w:color w:val="auto"/>
                <w:sz w:val="24"/>
                <w:szCs w:val="24"/>
              </w:rPr>
              <w:t>1.具有便捷工具条，可控制录制的视频、音频，拍摄区域的选择；</w:t>
            </w:r>
          </w:p>
          <w:p>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2.在电脑系统任何显示比例选项下都可以进行录制； </w:t>
            </w:r>
          </w:p>
          <w:p>
            <w:pPr>
              <w:spacing w:line="400" w:lineRule="exact"/>
              <w:rPr>
                <w:rFonts w:hint="eastAsia" w:ascii="宋体" w:hAnsi="宋体" w:cs="宋体"/>
                <w:color w:val="auto"/>
                <w:sz w:val="24"/>
                <w:szCs w:val="24"/>
              </w:rPr>
            </w:pPr>
            <w:r>
              <w:rPr>
                <w:rFonts w:hint="eastAsia" w:ascii="宋体" w:hAnsi="宋体" w:cs="宋体"/>
                <w:color w:val="auto"/>
                <w:sz w:val="24"/>
                <w:szCs w:val="24"/>
              </w:rPr>
              <w:t>3.在屏幕录制的情况下可以一键选择录制的开始、暂停和结束，且该三个按键均可设置为键盘快捷键；屏幕录制显示录制时长，方便老师对视频长短进行把握；可自定义屏幕录制储存路径；</w:t>
            </w:r>
          </w:p>
          <w:p>
            <w:pPr>
              <w:spacing w:line="400" w:lineRule="exact"/>
              <w:rPr>
                <w:rFonts w:hint="eastAsia" w:ascii="宋体" w:hAnsi="宋体" w:cs="宋体"/>
                <w:color w:val="auto"/>
                <w:sz w:val="24"/>
                <w:szCs w:val="24"/>
              </w:rPr>
            </w:pPr>
            <w:r>
              <w:rPr>
                <w:rFonts w:hint="eastAsia" w:ascii="宋体" w:hAnsi="宋体" w:cs="宋体"/>
                <w:color w:val="auto"/>
                <w:sz w:val="24"/>
                <w:szCs w:val="24"/>
              </w:rPr>
              <w:t>4.可设置录制的帧率、码率、录制内容的保存路径。</w:t>
            </w:r>
          </w:p>
          <w:p>
            <w:pPr>
              <w:spacing w:line="400" w:lineRule="exact"/>
              <w:rPr>
                <w:rFonts w:hint="eastAsia" w:ascii="宋体" w:hAnsi="宋体" w:cs="宋体"/>
                <w:color w:val="auto"/>
                <w:sz w:val="24"/>
                <w:szCs w:val="24"/>
              </w:rPr>
            </w:pPr>
            <w:r>
              <w:rPr>
                <w:rFonts w:hint="eastAsia" w:ascii="宋体" w:hAnsi="宋体" w:cs="宋体"/>
                <w:color w:val="auto"/>
                <w:sz w:val="24"/>
                <w:szCs w:val="24"/>
              </w:rPr>
              <w:t>（六）展台软件</w:t>
            </w:r>
          </w:p>
          <w:p>
            <w:pPr>
              <w:spacing w:line="400" w:lineRule="exact"/>
              <w:rPr>
                <w:rFonts w:hint="eastAsia" w:ascii="宋体" w:hAnsi="宋体" w:cs="宋体"/>
                <w:color w:val="auto"/>
                <w:sz w:val="24"/>
                <w:szCs w:val="24"/>
              </w:rPr>
            </w:pPr>
            <w:r>
              <w:rPr>
                <w:rFonts w:hint="eastAsia" w:ascii="宋体" w:hAnsi="宋体" w:cs="宋体"/>
                <w:color w:val="auto"/>
                <w:sz w:val="24"/>
                <w:szCs w:val="24"/>
              </w:rPr>
              <w:t>1.具有拍照截图、智能连拍功能，支持通用、文本档、色彩三种图像模式，方便用户根据实际教学场景切换模式；</w:t>
            </w:r>
          </w:p>
          <w:p>
            <w:pPr>
              <w:spacing w:line="400" w:lineRule="exact"/>
              <w:rPr>
                <w:rFonts w:hint="eastAsia" w:ascii="宋体" w:hAnsi="宋体" w:cs="宋体"/>
                <w:color w:val="auto"/>
                <w:sz w:val="24"/>
                <w:szCs w:val="24"/>
              </w:rPr>
            </w:pPr>
            <w:r>
              <w:rPr>
                <w:rFonts w:hint="eastAsia" w:ascii="宋体" w:hAnsi="宋体" w:cs="宋体"/>
                <w:color w:val="auto"/>
                <w:sz w:val="24"/>
                <w:szCs w:val="24"/>
              </w:rPr>
              <w:t>2.具有点击方式进行实时画面及图片的同屏对比功能，且支持本地图片导入功能；</w:t>
            </w:r>
          </w:p>
          <w:p>
            <w:pPr>
              <w:spacing w:line="400" w:lineRule="exact"/>
              <w:rPr>
                <w:rFonts w:hint="eastAsia" w:ascii="宋体" w:hAnsi="宋体" w:cs="宋体"/>
                <w:color w:val="auto"/>
                <w:sz w:val="24"/>
                <w:szCs w:val="24"/>
              </w:rPr>
            </w:pPr>
            <w:r>
              <w:rPr>
                <w:rFonts w:hint="eastAsia" w:ascii="宋体" w:hAnsi="宋体" w:cs="宋体"/>
                <w:color w:val="auto"/>
                <w:sz w:val="24"/>
                <w:szCs w:val="24"/>
              </w:rPr>
              <w:t>3.支持展台画面实时批注，预设多种笔划粗细及颜色供选择，且支持对展台画面联同批注内容进行同步缩放、移动；</w:t>
            </w:r>
          </w:p>
          <w:p>
            <w:pPr>
              <w:spacing w:line="400" w:lineRule="exact"/>
              <w:rPr>
                <w:rFonts w:hint="eastAsia" w:ascii="宋体" w:hAnsi="宋体" w:cs="宋体"/>
                <w:color w:val="auto"/>
                <w:sz w:val="24"/>
                <w:szCs w:val="24"/>
              </w:rPr>
            </w:pPr>
            <w:r>
              <w:rPr>
                <w:rFonts w:hint="eastAsia" w:ascii="宋体" w:hAnsi="宋体" w:cs="宋体"/>
                <w:color w:val="auto"/>
                <w:sz w:val="24"/>
                <w:szCs w:val="24"/>
              </w:rPr>
              <w:t>4.支持不少于三种裁切模式：无裁切、单图裁切、多图裁切，根据所选模式自动裁切图像，生成正式文档；</w:t>
            </w:r>
          </w:p>
          <w:p>
            <w:pPr>
              <w:spacing w:line="400" w:lineRule="exact"/>
              <w:rPr>
                <w:rFonts w:hint="eastAsia" w:ascii="宋体" w:hAnsi="宋体" w:cs="宋体"/>
                <w:color w:val="auto"/>
                <w:sz w:val="24"/>
                <w:szCs w:val="24"/>
              </w:rPr>
            </w:pPr>
            <w:r>
              <w:rPr>
                <w:rFonts w:hint="eastAsia" w:ascii="宋体" w:hAnsi="宋体" w:cs="宋体"/>
                <w:color w:val="auto"/>
                <w:sz w:val="24"/>
                <w:szCs w:val="24"/>
              </w:rPr>
              <w:t>5.同屏对比支持多图联动缩放和单图缩放两种模式，并支持六张图片同屏对比；</w:t>
            </w:r>
          </w:p>
          <w:p>
            <w:pPr>
              <w:spacing w:line="400" w:lineRule="exact"/>
              <w:rPr>
                <w:rFonts w:hint="eastAsia" w:ascii="宋体" w:hAnsi="宋体" w:cs="宋体"/>
                <w:color w:val="auto"/>
                <w:sz w:val="24"/>
                <w:szCs w:val="24"/>
              </w:rPr>
            </w:pPr>
            <w:r>
              <w:rPr>
                <w:rFonts w:hint="eastAsia" w:ascii="宋体" w:hAnsi="宋体" w:cs="宋体"/>
                <w:color w:val="auto"/>
                <w:sz w:val="24"/>
                <w:szCs w:val="24"/>
              </w:rPr>
              <w:t>6.图像修正：具有缺角补边功能；</w:t>
            </w:r>
          </w:p>
          <w:p>
            <w:pPr>
              <w:spacing w:line="400" w:lineRule="exact"/>
              <w:rPr>
                <w:rFonts w:hint="eastAsia" w:ascii="宋体" w:hAnsi="宋体" w:cs="宋体"/>
                <w:color w:val="auto"/>
                <w:sz w:val="24"/>
                <w:szCs w:val="24"/>
              </w:rPr>
            </w:pPr>
            <w:r>
              <w:rPr>
                <w:rFonts w:hint="eastAsia" w:ascii="宋体" w:hAnsi="宋体" w:cs="宋体"/>
                <w:color w:val="auto"/>
                <w:sz w:val="24"/>
                <w:szCs w:val="24"/>
              </w:rPr>
              <w:t>7.图像旋转：提供常规旋转和无极旋转功能；</w:t>
            </w:r>
          </w:p>
          <w:p>
            <w:pPr>
              <w:spacing w:line="400" w:lineRule="exact"/>
              <w:rPr>
                <w:rFonts w:hint="eastAsia" w:ascii="宋体" w:hAnsi="宋体" w:cs="宋体"/>
                <w:color w:val="auto"/>
                <w:sz w:val="24"/>
                <w:szCs w:val="24"/>
              </w:rPr>
            </w:pPr>
            <w:r>
              <w:rPr>
                <w:rFonts w:hint="eastAsia" w:ascii="宋体" w:hAnsi="宋体" w:cs="宋体"/>
                <w:color w:val="auto"/>
                <w:sz w:val="24"/>
                <w:szCs w:val="24"/>
              </w:rPr>
              <w:t>8.展台软件具有自检功能：硬件检测、解码器、机器序列号等，方便维护升级；</w:t>
            </w:r>
          </w:p>
          <w:p>
            <w:pPr>
              <w:spacing w:line="400" w:lineRule="exact"/>
              <w:rPr>
                <w:rFonts w:hint="eastAsia" w:ascii="宋体" w:hAnsi="宋体" w:cs="宋体"/>
                <w:color w:val="auto"/>
                <w:sz w:val="24"/>
                <w:szCs w:val="24"/>
              </w:rPr>
            </w:pPr>
            <w:r>
              <w:rPr>
                <w:rFonts w:hint="eastAsia" w:ascii="宋体" w:hAnsi="宋体" w:cs="宋体"/>
                <w:color w:val="auto"/>
                <w:sz w:val="24"/>
                <w:szCs w:val="24"/>
              </w:rPr>
              <w:t>9.索引栏支持左右位置互换，方便教学使用；且实时画面始终置于索引栏顶部，可随时调用；</w:t>
            </w:r>
          </w:p>
          <w:p>
            <w:pPr>
              <w:spacing w:line="400" w:lineRule="exact"/>
              <w:rPr>
                <w:rFonts w:hint="eastAsia" w:ascii="宋体" w:hAnsi="宋体" w:cs="宋体"/>
                <w:color w:val="auto"/>
                <w:sz w:val="24"/>
                <w:szCs w:val="24"/>
              </w:rPr>
            </w:pPr>
            <w:r>
              <w:rPr>
                <w:rFonts w:hint="eastAsia" w:ascii="宋体" w:hAnsi="宋体" w:cs="宋体"/>
                <w:color w:val="auto"/>
                <w:sz w:val="24"/>
                <w:szCs w:val="24"/>
              </w:rPr>
              <w:t>10.支持最少5幅展台画面插入白板软件进行批注；</w:t>
            </w:r>
          </w:p>
          <w:p>
            <w:pPr>
              <w:spacing w:line="400" w:lineRule="exact"/>
              <w:rPr>
                <w:rFonts w:hint="eastAsia" w:ascii="宋体" w:hAnsi="宋体" w:cs="宋体"/>
                <w:color w:val="auto"/>
                <w:sz w:val="24"/>
                <w:szCs w:val="24"/>
              </w:rPr>
            </w:pPr>
            <w:r>
              <w:rPr>
                <w:rFonts w:hint="eastAsia" w:ascii="宋体" w:hAnsi="宋体" w:cs="宋体"/>
                <w:color w:val="auto"/>
                <w:sz w:val="24"/>
                <w:szCs w:val="24"/>
              </w:rPr>
              <w:t>11.具有图片保存功能，方便用户留档备存。</w:t>
            </w:r>
          </w:p>
          <w:p>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（七）资源 </w:t>
            </w:r>
          </w:p>
          <w:p>
            <w:pPr>
              <w:spacing w:line="400" w:lineRule="exact"/>
              <w:rPr>
                <w:rFonts w:hint="eastAsia" w:ascii="宋体" w:hAnsi="宋体" w:cs="宋体"/>
                <w:color w:val="auto"/>
                <w:sz w:val="24"/>
                <w:szCs w:val="24"/>
              </w:rPr>
            </w:pPr>
            <w:r>
              <w:rPr>
                <w:rFonts w:hint="eastAsia" w:ascii="宋体" w:hAnsi="宋体" w:cs="宋体"/>
                <w:color w:val="auto"/>
                <w:sz w:val="24"/>
                <w:szCs w:val="24"/>
              </w:rPr>
              <w:t>1.配置人民教育出版社正版授权数字教材，支持账号在线下载，方便老师随时随地登录账号下载。数字教材覆盖K-12各个年级各个学科；数字教材资源内容与课程标准及现行课改教材完全配套相符。教材资源含教材原文，教学素材、教学动画、教学视频、语音点播等。数字教材页面提供点读、笔记、标注等工具。数字教材达到放大200%不失真的功能。数字教材可在交互教学软件中直接打开数字化教材；</w:t>
            </w:r>
          </w:p>
          <w:p>
            <w:pPr>
              <w:spacing w:line="400" w:lineRule="exact"/>
              <w:rPr>
                <w:rFonts w:hint="eastAsia" w:ascii="宋体" w:hAnsi="宋体" w:cs="宋体"/>
                <w:color w:val="auto"/>
                <w:sz w:val="24"/>
                <w:szCs w:val="24"/>
              </w:rPr>
            </w:pPr>
            <w:r>
              <w:rPr>
                <w:rFonts w:hint="eastAsia" w:ascii="宋体" w:hAnsi="宋体" w:cs="宋体"/>
                <w:color w:val="auto"/>
                <w:sz w:val="24"/>
                <w:szCs w:val="24"/>
              </w:rPr>
              <w:t>2.教学资源库</w:t>
            </w:r>
          </w:p>
          <w:p>
            <w:pPr>
              <w:spacing w:line="400" w:lineRule="exact"/>
              <w:rPr>
                <w:rFonts w:hint="eastAsia" w:ascii="宋体" w:hAnsi="宋体" w:cs="宋体"/>
                <w:color w:val="auto"/>
                <w:sz w:val="24"/>
                <w:szCs w:val="24"/>
              </w:rPr>
            </w:pPr>
            <w:r>
              <w:rPr>
                <w:rFonts w:hint="eastAsia" w:ascii="宋体" w:hAnsi="宋体" w:cs="宋体"/>
                <w:color w:val="auto"/>
                <w:sz w:val="24"/>
                <w:szCs w:val="24"/>
              </w:rPr>
              <w:t>涵盖幼教、普教、职教等学段，总量高达1000G、50万条。可按学科、年级、版本、章节、栏目进行查询、下载，备课时可直接拖拽至教学活动中。</w:t>
            </w:r>
          </w:p>
          <w:p>
            <w:pPr>
              <w:spacing w:line="400" w:lineRule="exact"/>
              <w:rPr>
                <w:rFonts w:hint="eastAsia" w:ascii="宋体" w:hAnsi="宋体" w:cs="宋体"/>
                <w:color w:val="auto"/>
                <w:sz w:val="24"/>
                <w:szCs w:val="24"/>
              </w:rPr>
            </w:pPr>
            <w:r>
              <w:rPr>
                <w:rFonts w:hint="eastAsia" w:ascii="宋体" w:hAnsi="宋体" w:cs="宋体"/>
                <w:color w:val="auto"/>
                <w:sz w:val="24"/>
                <w:szCs w:val="24"/>
              </w:rPr>
              <w:t>（1）幼教资源库</w:t>
            </w:r>
          </w:p>
          <w:p>
            <w:pPr>
              <w:spacing w:line="400" w:lineRule="exact"/>
              <w:rPr>
                <w:rFonts w:hint="eastAsia" w:ascii="宋体" w:hAnsi="宋体" w:cs="宋体"/>
                <w:color w:val="auto"/>
                <w:sz w:val="24"/>
                <w:szCs w:val="24"/>
              </w:rPr>
            </w:pPr>
            <w:r>
              <w:rPr>
                <w:rFonts w:hint="eastAsia" w:ascii="宋体" w:hAnsi="宋体" w:cs="宋体"/>
                <w:color w:val="auto"/>
                <w:sz w:val="24"/>
                <w:szCs w:val="24"/>
              </w:rPr>
              <w:t>①提供了丰富的幼教资源内容，涵盖语文、数学、英语、科学、艺术、健康、社会等七大主题内容；</w:t>
            </w:r>
          </w:p>
          <w:p>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②包括图片、文本、视频、音频等多种类型资源，可基本满足幼儿园小班、中班、大班的教学需求； </w:t>
            </w:r>
          </w:p>
          <w:p>
            <w:pPr>
              <w:spacing w:line="400" w:lineRule="exact"/>
              <w:rPr>
                <w:rFonts w:hint="eastAsia" w:ascii="宋体" w:hAnsi="宋体" w:cs="宋体"/>
                <w:color w:val="auto"/>
                <w:sz w:val="24"/>
                <w:szCs w:val="24"/>
              </w:rPr>
            </w:pPr>
            <w:r>
              <w:rPr>
                <w:rFonts w:hint="eastAsia" w:ascii="宋体" w:hAnsi="宋体" w:cs="宋体"/>
                <w:color w:val="auto"/>
                <w:sz w:val="24"/>
                <w:szCs w:val="24"/>
              </w:rPr>
              <w:t>③资源总量共计20G、2万条。</w:t>
            </w:r>
          </w:p>
          <w:p>
            <w:pPr>
              <w:spacing w:line="400" w:lineRule="exact"/>
              <w:rPr>
                <w:rFonts w:hint="eastAsia" w:ascii="宋体" w:hAnsi="宋体" w:cs="宋体"/>
                <w:color w:val="auto"/>
                <w:sz w:val="24"/>
                <w:szCs w:val="24"/>
              </w:rPr>
            </w:pPr>
            <w:r>
              <w:rPr>
                <w:rFonts w:hint="eastAsia" w:ascii="宋体" w:hAnsi="宋体" w:cs="宋体"/>
                <w:color w:val="auto"/>
                <w:sz w:val="24"/>
                <w:szCs w:val="24"/>
              </w:rPr>
              <w:t>（2）普教资源库</w:t>
            </w:r>
          </w:p>
          <w:p>
            <w:pPr>
              <w:spacing w:line="400" w:lineRule="exact"/>
              <w:rPr>
                <w:rFonts w:hint="eastAsia" w:ascii="宋体" w:hAnsi="宋体" w:cs="宋体"/>
                <w:color w:val="auto"/>
                <w:sz w:val="24"/>
                <w:szCs w:val="24"/>
              </w:rPr>
            </w:pPr>
            <w:r>
              <w:rPr>
                <w:rFonts w:hint="eastAsia" w:ascii="宋体" w:hAnsi="宋体" w:cs="宋体"/>
                <w:color w:val="auto"/>
                <w:sz w:val="24"/>
                <w:szCs w:val="24"/>
              </w:rPr>
              <w:t>①覆盖小学一年级到高中三年级；囊括人教、北师大、苏教、冀教、教科、湘教、鲁教、西南师大、华东师大等三十多个教材版本，可最大限度地满足不同年级、不同学科、不同地域教师的需求；</w:t>
            </w:r>
          </w:p>
          <w:p>
            <w:pPr>
              <w:spacing w:line="400" w:lineRule="exact"/>
              <w:rPr>
                <w:rFonts w:hint="eastAsia" w:ascii="宋体" w:hAnsi="宋体" w:cs="宋体"/>
                <w:color w:val="auto"/>
                <w:sz w:val="24"/>
                <w:szCs w:val="24"/>
              </w:rPr>
            </w:pPr>
            <w:r>
              <w:rPr>
                <w:rFonts w:hint="eastAsia" w:ascii="宋体" w:hAnsi="宋体" w:cs="宋体"/>
                <w:color w:val="auto"/>
                <w:sz w:val="24"/>
                <w:szCs w:val="24"/>
              </w:rPr>
              <w:t>②所有资源均采用与教材同步的目录结构进行组织，每一课/节所包含的主要资源种类如下：</w:t>
            </w:r>
          </w:p>
          <w:p>
            <w:pPr>
              <w:spacing w:line="400" w:lineRule="exact"/>
              <w:rPr>
                <w:rFonts w:hint="eastAsia" w:ascii="宋体" w:hAnsi="宋体" w:cs="宋体"/>
                <w:color w:val="auto"/>
                <w:sz w:val="24"/>
                <w:szCs w:val="24"/>
              </w:rPr>
            </w:pPr>
            <w:r>
              <w:rPr>
                <w:rFonts w:hint="eastAsia" w:ascii="宋体" w:hAnsi="宋体" w:cs="宋体"/>
                <w:color w:val="auto"/>
                <w:sz w:val="24"/>
                <w:szCs w:val="24"/>
              </w:rPr>
              <w:t>教学建议：为教师备课提供有效支撑的参考资料，如教材分析、教法建议等；</w:t>
            </w:r>
          </w:p>
          <w:p>
            <w:pPr>
              <w:spacing w:line="400" w:lineRule="exact"/>
              <w:rPr>
                <w:rFonts w:hint="eastAsia" w:ascii="宋体" w:hAnsi="宋体" w:cs="宋体"/>
                <w:color w:val="auto"/>
                <w:sz w:val="24"/>
                <w:szCs w:val="24"/>
              </w:rPr>
            </w:pPr>
            <w:r>
              <w:rPr>
                <w:rFonts w:hint="eastAsia" w:ascii="宋体" w:hAnsi="宋体" w:cs="宋体"/>
                <w:color w:val="auto"/>
                <w:sz w:val="24"/>
                <w:szCs w:val="24"/>
              </w:rPr>
              <w:t>教案示例：提供成型的教学设计、教案、学案、说课等资源；</w:t>
            </w:r>
          </w:p>
          <w:p>
            <w:pPr>
              <w:spacing w:line="400" w:lineRule="exact"/>
              <w:rPr>
                <w:rFonts w:hint="eastAsia" w:ascii="宋体" w:hAnsi="宋体" w:cs="宋体"/>
                <w:color w:val="auto"/>
                <w:sz w:val="24"/>
                <w:szCs w:val="24"/>
              </w:rPr>
            </w:pPr>
            <w:r>
              <w:rPr>
                <w:rFonts w:hint="eastAsia" w:ascii="宋体" w:hAnsi="宋体" w:cs="宋体"/>
                <w:color w:val="auto"/>
                <w:sz w:val="24"/>
                <w:szCs w:val="24"/>
              </w:rPr>
              <w:t>教学课件：提供该课/节的完整课件，包括白板课件、ppt课件等；</w:t>
            </w:r>
          </w:p>
          <w:p>
            <w:pPr>
              <w:spacing w:line="400" w:lineRule="exact"/>
              <w:rPr>
                <w:rFonts w:hint="eastAsia" w:ascii="宋体" w:hAnsi="宋体" w:cs="宋体"/>
                <w:color w:val="auto"/>
                <w:sz w:val="24"/>
                <w:szCs w:val="24"/>
              </w:rPr>
            </w:pPr>
            <w:r>
              <w:rPr>
                <w:rFonts w:hint="eastAsia" w:ascii="宋体" w:hAnsi="宋体" w:cs="宋体"/>
                <w:color w:val="auto"/>
                <w:sz w:val="24"/>
                <w:szCs w:val="24"/>
              </w:rPr>
              <w:t>多媒体素材：提供支撑课堂教学和课外延伸的多媒体资料，有情景展示、实验操作的视频，有各种形式的微课，还有课文范读、单词朗读的音频；</w:t>
            </w:r>
          </w:p>
          <w:p>
            <w:pPr>
              <w:spacing w:line="400" w:lineRule="exact"/>
              <w:rPr>
                <w:rFonts w:hint="eastAsia" w:ascii="宋体" w:hAnsi="宋体" w:cs="宋体"/>
                <w:color w:val="auto"/>
                <w:sz w:val="24"/>
                <w:szCs w:val="24"/>
              </w:rPr>
            </w:pPr>
            <w:r>
              <w:rPr>
                <w:rFonts w:hint="eastAsia" w:ascii="宋体" w:hAnsi="宋体" w:cs="宋体"/>
                <w:color w:val="auto"/>
                <w:sz w:val="24"/>
                <w:szCs w:val="24"/>
              </w:rPr>
              <w:t>试题与试卷：提供分层次的试题和试卷，包括课后练习、章节测试、期中/末试卷、中高考真题等。</w:t>
            </w:r>
          </w:p>
          <w:p>
            <w:pPr>
              <w:spacing w:line="400" w:lineRule="exact"/>
              <w:rPr>
                <w:rFonts w:hint="eastAsia" w:ascii="宋体" w:hAnsi="宋体" w:cs="宋体"/>
                <w:color w:val="auto"/>
                <w:sz w:val="24"/>
                <w:szCs w:val="24"/>
              </w:rPr>
            </w:pPr>
            <w:r>
              <w:rPr>
                <w:rFonts w:hint="eastAsia" w:ascii="宋体" w:hAnsi="宋体" w:cs="宋体"/>
                <w:color w:val="auto"/>
                <w:sz w:val="24"/>
                <w:szCs w:val="24"/>
              </w:rPr>
              <w:t>③原资源库中收费资源对电子书包用户免费开放</w:t>
            </w:r>
          </w:p>
          <w:p>
            <w:pPr>
              <w:spacing w:line="400" w:lineRule="exact"/>
              <w:rPr>
                <w:rFonts w:hint="eastAsia" w:ascii="宋体" w:hAnsi="宋体" w:cs="宋体"/>
                <w:color w:val="auto"/>
                <w:sz w:val="24"/>
                <w:szCs w:val="24"/>
              </w:rPr>
            </w:pPr>
            <w:r>
              <w:rPr>
                <w:rFonts w:hint="eastAsia" w:ascii="宋体" w:hAnsi="宋体" w:cs="宋体"/>
                <w:color w:val="auto"/>
                <w:sz w:val="24"/>
                <w:szCs w:val="24"/>
              </w:rPr>
              <w:t>价值1088元/年；</w:t>
            </w:r>
          </w:p>
          <w:p>
            <w:pPr>
              <w:spacing w:line="400" w:lineRule="exact"/>
              <w:rPr>
                <w:rFonts w:hint="eastAsia" w:ascii="宋体" w:hAnsi="宋体" w:cs="宋体"/>
                <w:color w:val="auto"/>
                <w:sz w:val="24"/>
                <w:szCs w:val="24"/>
              </w:rPr>
            </w:pPr>
            <w:r>
              <w:rPr>
                <w:rFonts w:hint="eastAsia" w:ascii="宋体" w:hAnsi="宋体" w:cs="宋体"/>
                <w:color w:val="auto"/>
                <w:sz w:val="24"/>
                <w:szCs w:val="24"/>
              </w:rPr>
              <w:t>总容量近30G、6万余条；</w:t>
            </w:r>
          </w:p>
          <w:p>
            <w:pPr>
              <w:spacing w:line="400" w:lineRule="exact"/>
              <w:rPr>
                <w:rFonts w:hint="eastAsia" w:ascii="宋体" w:hAnsi="宋体" w:cs="宋体"/>
                <w:color w:val="auto"/>
                <w:sz w:val="24"/>
                <w:szCs w:val="24"/>
              </w:rPr>
            </w:pPr>
            <w:r>
              <w:rPr>
                <w:rFonts w:hint="eastAsia" w:ascii="宋体" w:hAnsi="宋体" w:cs="宋体"/>
                <w:color w:val="auto"/>
                <w:sz w:val="24"/>
                <w:szCs w:val="24"/>
              </w:rPr>
              <w:t>包括3000节微课、8000个课件、10000个教案/学案、10000个教学建议、20000套习题/试题</w:t>
            </w:r>
          </w:p>
          <w:p>
            <w:pPr>
              <w:spacing w:line="400" w:lineRule="exact"/>
              <w:rPr>
                <w:rFonts w:hint="eastAsia" w:ascii="宋体" w:hAnsi="宋体" w:cs="宋体"/>
                <w:color w:val="auto"/>
                <w:sz w:val="24"/>
                <w:szCs w:val="24"/>
              </w:rPr>
            </w:pPr>
            <w:r>
              <w:rPr>
                <w:rFonts w:hint="eastAsia" w:ascii="宋体" w:hAnsi="宋体" w:cs="宋体"/>
                <w:color w:val="auto"/>
                <w:sz w:val="24"/>
                <w:szCs w:val="24"/>
              </w:rPr>
              <w:t>（3）职教资源库</w:t>
            </w:r>
          </w:p>
          <w:p>
            <w:pPr>
              <w:spacing w:line="400" w:lineRule="exact"/>
              <w:rPr>
                <w:rFonts w:hint="eastAsia" w:ascii="宋体" w:hAnsi="宋体" w:cs="宋体"/>
                <w:color w:val="auto"/>
                <w:sz w:val="24"/>
                <w:szCs w:val="24"/>
              </w:rPr>
            </w:pPr>
            <w:r>
              <w:rPr>
                <w:rFonts w:hint="eastAsia" w:ascii="宋体" w:hAnsi="宋体" w:cs="宋体"/>
                <w:color w:val="auto"/>
                <w:sz w:val="24"/>
                <w:szCs w:val="24"/>
              </w:rPr>
              <w:t>职教资源库包括中职和高职两大部分，资源合计约5G、近万条。</w:t>
            </w:r>
          </w:p>
          <w:p>
            <w:pPr>
              <w:spacing w:line="400" w:lineRule="exact"/>
              <w:rPr>
                <w:rFonts w:hint="eastAsia" w:ascii="宋体" w:hAnsi="宋体" w:cs="宋体"/>
                <w:color w:val="auto"/>
                <w:sz w:val="24"/>
                <w:szCs w:val="24"/>
              </w:rPr>
            </w:pPr>
            <w:r>
              <w:rPr>
                <w:rFonts w:hint="eastAsia" w:ascii="宋体" w:hAnsi="宋体" w:cs="宋体"/>
                <w:color w:val="auto"/>
                <w:sz w:val="24"/>
                <w:szCs w:val="24"/>
              </w:rPr>
              <w:t>①中职资源：覆盖农林牧渔类、资源环境类、能源与新能源类、土木水利类、加工制造类、石油化工类、轻纺食品类、交通运输类、信息技术类、医药卫生类、休闲保健类、财经商贸类、旅游服务类、文化艺术类、体育与健身类、教育类、司法服务类、公共管理与服务类等18个类别；</w:t>
            </w:r>
          </w:p>
          <w:p>
            <w:pPr>
              <w:spacing w:line="400" w:lineRule="exact"/>
              <w:rPr>
                <w:rFonts w:hint="eastAsia" w:ascii="宋体" w:hAnsi="宋体" w:cs="宋体"/>
                <w:color w:val="auto"/>
                <w:sz w:val="24"/>
                <w:szCs w:val="24"/>
              </w:rPr>
            </w:pPr>
            <w:r>
              <w:rPr>
                <w:rFonts w:hint="eastAsia" w:ascii="宋体" w:hAnsi="宋体" w:cs="宋体"/>
                <w:color w:val="auto"/>
                <w:sz w:val="24"/>
                <w:szCs w:val="24"/>
              </w:rPr>
              <w:t>②高职资源：覆盖材料与能源、财经、法律、旅游、文化教育、医药卫生、艺术设计传媒等7个类别。</w:t>
            </w:r>
          </w:p>
          <w:p>
            <w:pPr>
              <w:spacing w:line="400" w:lineRule="exact"/>
              <w:rPr>
                <w:rFonts w:hint="eastAsia" w:ascii="宋体" w:hAnsi="宋体" w:cs="宋体"/>
                <w:color w:val="auto"/>
                <w:sz w:val="24"/>
                <w:szCs w:val="24"/>
              </w:rPr>
            </w:pPr>
            <w:r>
              <w:rPr>
                <w:rFonts w:hint="eastAsia" w:ascii="宋体" w:hAnsi="宋体" w:cs="宋体"/>
                <w:color w:val="auto"/>
                <w:sz w:val="24"/>
                <w:szCs w:val="24"/>
              </w:rPr>
              <w:t>3.学科试题库</w:t>
            </w:r>
          </w:p>
          <w:p>
            <w:pPr>
              <w:spacing w:line="400" w:lineRule="exact"/>
              <w:rPr>
                <w:rFonts w:hint="eastAsia" w:ascii="宋体" w:hAnsi="宋体" w:cs="宋体"/>
                <w:color w:val="auto"/>
                <w:sz w:val="24"/>
                <w:szCs w:val="24"/>
              </w:rPr>
            </w:pPr>
            <w:r>
              <w:rPr>
                <w:rFonts w:hint="eastAsia" w:ascii="宋体" w:hAnsi="宋体" w:cs="宋体"/>
                <w:color w:val="auto"/>
                <w:sz w:val="24"/>
                <w:szCs w:val="24"/>
              </w:rPr>
              <w:t>提供丰富的学科试题库，支持教师自定义题目，能够自定义单选、多选、判断、解答等多种类型题目。学科试题库提供按学科知识点与学科教材目录同步检索方式，方便教师使用。（为保证兼容性及后期升级，要求试题库与所投产品硬件为同一制造商，拒绝使用第三方软件）。</w:t>
            </w:r>
          </w:p>
          <w:p>
            <w:pPr>
              <w:spacing w:line="400" w:lineRule="exact"/>
              <w:rPr>
                <w:rFonts w:hint="eastAsia" w:ascii="宋体" w:hAnsi="宋体" w:cs="宋体"/>
                <w:color w:val="auto"/>
                <w:sz w:val="24"/>
                <w:szCs w:val="24"/>
              </w:rPr>
            </w:pPr>
            <w:r>
              <w:rPr>
                <w:rFonts w:hint="eastAsia" w:ascii="宋体" w:hAnsi="宋体" w:cs="宋体"/>
                <w:color w:val="auto"/>
                <w:sz w:val="24"/>
                <w:szCs w:val="24"/>
              </w:rPr>
              <w:t>试题库分为同步题库和个人题库，教师可根据题型、难度进行选择。备课时可直接拖拽至教学活动中。</w:t>
            </w:r>
          </w:p>
          <w:p>
            <w:pPr>
              <w:spacing w:line="400" w:lineRule="exact"/>
              <w:rPr>
                <w:rFonts w:hint="eastAsia" w:ascii="宋体" w:hAnsi="宋体" w:cs="宋体"/>
                <w:color w:val="auto"/>
                <w:sz w:val="24"/>
                <w:szCs w:val="24"/>
              </w:rPr>
            </w:pPr>
            <w:r>
              <w:rPr>
                <w:rFonts w:hint="eastAsia" w:ascii="宋体" w:hAnsi="宋体" w:cs="宋体"/>
                <w:color w:val="auto"/>
                <w:sz w:val="24"/>
                <w:szCs w:val="24"/>
              </w:rPr>
              <w:t>（1）同步题库</w:t>
            </w:r>
          </w:p>
          <w:p>
            <w:pPr>
              <w:spacing w:line="400" w:lineRule="exact"/>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rPr>
              <w:tab/>
            </w:r>
            <w:r>
              <w:rPr>
                <w:rFonts w:hint="eastAsia" w:ascii="宋体" w:hAnsi="宋体" w:cs="宋体"/>
                <w:color w:val="auto"/>
                <w:sz w:val="24"/>
                <w:szCs w:val="24"/>
              </w:rPr>
              <w:t>按教材目录结构进行组织，包括语文、数学、英语、物理、化学、生物、历史等学科，总数不少于50万道；</w:t>
            </w:r>
          </w:p>
          <w:p>
            <w:pPr>
              <w:spacing w:line="400" w:lineRule="exact"/>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rPr>
              <w:tab/>
            </w:r>
            <w:r>
              <w:rPr>
                <w:rFonts w:hint="eastAsia" w:ascii="宋体" w:hAnsi="宋体" w:cs="宋体"/>
                <w:color w:val="auto"/>
                <w:sz w:val="24"/>
                <w:szCs w:val="24"/>
              </w:rPr>
              <w:t>试题包括学科、年级、版本、知识点/章节、题型、难度、答案、解析等属性；</w:t>
            </w:r>
          </w:p>
          <w:p>
            <w:pPr>
              <w:spacing w:line="400" w:lineRule="exact"/>
              <w:rPr>
                <w:rFonts w:hint="eastAsia" w:ascii="宋体" w:hAnsi="宋体" w:cs="宋体"/>
                <w:color w:val="auto"/>
                <w:sz w:val="24"/>
                <w:szCs w:val="24"/>
              </w:rPr>
            </w:pPr>
            <w:r>
              <w:rPr>
                <w:rFonts w:hint="eastAsia" w:ascii="宋体" w:hAnsi="宋体" w:cs="宋体"/>
                <w:color w:val="auto"/>
                <w:sz w:val="24"/>
                <w:szCs w:val="24"/>
              </w:rPr>
              <w:t>（2）个人题库</w:t>
            </w:r>
          </w:p>
          <w:p>
            <w:pPr>
              <w:spacing w:line="400" w:lineRule="exact"/>
              <w:rPr>
                <w:rFonts w:hint="eastAsia" w:ascii="宋体" w:hAnsi="宋体" w:cs="宋体"/>
                <w:color w:val="auto"/>
                <w:sz w:val="24"/>
                <w:szCs w:val="24"/>
              </w:rPr>
            </w:pPr>
            <w:r>
              <w:rPr>
                <w:rFonts w:hint="eastAsia" w:ascii="宋体" w:hAnsi="宋体" w:cs="宋体"/>
                <w:color w:val="auto"/>
                <w:sz w:val="24"/>
                <w:szCs w:val="24"/>
              </w:rPr>
              <w:tab/>
            </w:r>
            <w:r>
              <w:rPr>
                <w:rFonts w:hint="eastAsia" w:ascii="宋体" w:hAnsi="宋体" w:cs="宋体"/>
                <w:color w:val="auto"/>
                <w:sz w:val="24"/>
                <w:szCs w:val="24"/>
              </w:rPr>
              <w:t>支持用户自行创建试题，支持单选、多选、判断、解答等题型，可自定义答案和解析。</w:t>
            </w:r>
          </w:p>
          <w:p>
            <w:pPr>
              <w:spacing w:line="400" w:lineRule="exact"/>
              <w:rPr>
                <w:rFonts w:hint="eastAsia" w:ascii="宋体" w:hAnsi="宋体" w:cs="宋体"/>
                <w:color w:val="auto"/>
                <w:sz w:val="24"/>
                <w:szCs w:val="24"/>
              </w:rPr>
            </w:pPr>
            <w:r>
              <w:rPr>
                <w:rFonts w:hint="eastAsia" w:ascii="宋体" w:hAnsi="宋体" w:cs="宋体"/>
                <w:color w:val="auto"/>
                <w:sz w:val="24"/>
                <w:szCs w:val="24"/>
              </w:rPr>
              <w:t>（八）课堂评价系统</w:t>
            </w:r>
          </w:p>
          <w:p>
            <w:pPr>
              <w:spacing w:line="400" w:lineRule="exact"/>
              <w:rPr>
                <w:rFonts w:hint="eastAsia" w:ascii="宋体" w:hAnsi="宋体" w:cs="宋体"/>
                <w:color w:val="auto"/>
                <w:sz w:val="24"/>
                <w:szCs w:val="24"/>
              </w:rPr>
            </w:pPr>
            <w:r>
              <w:rPr>
                <w:rFonts w:hint="eastAsia" w:ascii="宋体" w:hAnsi="宋体" w:cs="宋体"/>
                <w:color w:val="auto"/>
                <w:sz w:val="24"/>
                <w:szCs w:val="24"/>
              </w:rPr>
              <w:t>1.课堂评价支持老师随时随地对学生进行评价。支持对全班或单个学生进行评价，评价结果可撤回。</w:t>
            </w:r>
          </w:p>
          <w:p>
            <w:pPr>
              <w:spacing w:line="400" w:lineRule="exact"/>
              <w:rPr>
                <w:rFonts w:hint="eastAsia" w:ascii="宋体" w:hAnsi="宋体" w:cs="宋体"/>
                <w:color w:val="auto"/>
                <w:sz w:val="24"/>
                <w:szCs w:val="24"/>
              </w:rPr>
            </w:pPr>
            <w:r>
              <w:rPr>
                <w:rFonts w:hint="eastAsia" w:ascii="宋体" w:hAnsi="宋体" w:cs="宋体"/>
                <w:color w:val="auto"/>
                <w:sz w:val="24"/>
                <w:szCs w:val="24"/>
              </w:rPr>
              <w:t>2.支持查看所有班级学生的评价报告，界面、评价项、学生头像均采用卡通化方式，提高课堂趣味性。</w:t>
            </w:r>
          </w:p>
          <w:p>
            <w:pPr>
              <w:spacing w:line="400" w:lineRule="exact"/>
              <w:rPr>
                <w:rFonts w:hint="eastAsia" w:ascii="宋体" w:hAnsi="宋体" w:cs="宋体"/>
                <w:color w:val="auto"/>
                <w:sz w:val="24"/>
                <w:szCs w:val="24"/>
              </w:rPr>
            </w:pPr>
            <w:r>
              <w:rPr>
                <w:rFonts w:hint="eastAsia" w:ascii="宋体" w:hAnsi="宋体" w:cs="宋体"/>
                <w:color w:val="auto"/>
                <w:sz w:val="24"/>
                <w:szCs w:val="24"/>
              </w:rPr>
              <w:t>3.为提高课堂趣味性，软件支持随机抽选学生进行评价。为方便把控课堂活动时间，支持计时器功能，包括秒表和倒计时。</w:t>
            </w:r>
          </w:p>
          <w:p>
            <w:pPr>
              <w:spacing w:line="400" w:lineRule="exact"/>
              <w:rPr>
                <w:rFonts w:hint="eastAsia" w:ascii="宋体" w:hAnsi="宋体" w:cs="宋体"/>
                <w:color w:val="auto"/>
                <w:sz w:val="24"/>
                <w:szCs w:val="24"/>
              </w:rPr>
            </w:pPr>
            <w:r>
              <w:rPr>
                <w:rFonts w:hint="eastAsia" w:ascii="宋体" w:hAnsi="宋体" w:cs="宋体"/>
                <w:color w:val="auto"/>
                <w:sz w:val="24"/>
                <w:szCs w:val="24"/>
              </w:rPr>
              <w:t>4.支持一体机桌面光荣榜功能，可显示班级学生的本日、本周的排名情况。可设置隐藏。</w:t>
            </w:r>
          </w:p>
          <w:p>
            <w:pPr>
              <w:spacing w:line="400" w:lineRule="exact"/>
              <w:rPr>
                <w:rFonts w:hint="eastAsia" w:ascii="宋体" w:hAnsi="宋体" w:cs="宋体"/>
                <w:color w:val="auto"/>
                <w:sz w:val="24"/>
                <w:szCs w:val="24"/>
              </w:rPr>
            </w:pPr>
            <w:r>
              <w:rPr>
                <w:rFonts w:hint="eastAsia" w:ascii="宋体" w:hAnsi="宋体" w:cs="宋体"/>
                <w:color w:val="auto"/>
                <w:sz w:val="24"/>
                <w:szCs w:val="24"/>
              </w:rPr>
              <w:t>5.支持教师通过PC客户端、安卓手机端、苹果手机端登录使用，且各端数据互通。支持家长通过安卓手机端、苹果手机端端查看学生的近期表现。</w:t>
            </w:r>
          </w:p>
          <w:p>
            <w:pPr>
              <w:spacing w:line="400" w:lineRule="exact"/>
              <w:rPr>
                <w:rFonts w:hint="eastAsia" w:ascii="宋体" w:hAnsi="宋体" w:cs="宋体"/>
                <w:color w:val="auto"/>
                <w:sz w:val="24"/>
                <w:szCs w:val="24"/>
              </w:rPr>
            </w:pPr>
            <w:r>
              <w:rPr>
                <w:rFonts w:hint="eastAsia" w:ascii="宋体" w:hAnsi="宋体" w:cs="宋体"/>
                <w:color w:val="auto"/>
                <w:sz w:val="24"/>
                <w:szCs w:val="24"/>
                <w:lang w:val="zh-CN"/>
              </w:rPr>
              <w:t>签订合同时提供生产厂家针对本项目投标单位授权书原件及生产厂家针对本项目使用单位三年质保函原件加盖原厂公章。</w:t>
            </w:r>
          </w:p>
        </w:tc>
        <w:tc>
          <w:tcPr>
            <w:tcW w:w="670" w:type="dxa"/>
            <w:noWrap w:val="0"/>
            <w:vAlign w:val="center"/>
          </w:tcPr>
          <w:p>
            <w:pPr>
              <w:widowControl/>
              <w:spacing w:line="4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台</w:t>
            </w:r>
          </w:p>
        </w:tc>
        <w:tc>
          <w:tcPr>
            <w:tcW w:w="640" w:type="dxa"/>
            <w:noWrap w:val="0"/>
            <w:vAlign w:val="center"/>
          </w:tcPr>
          <w:p>
            <w:pPr>
              <w:widowControl/>
              <w:spacing w:line="400" w:lineRule="exact"/>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400" w:lineRule="exact"/>
              <w:jc w:val="center"/>
              <w:textAlignment w:val="center"/>
              <w:rPr>
                <w:rFonts w:hint="eastAsia" w:ascii="宋体" w:hAnsi="宋体" w:cs="宋体"/>
                <w:color w:val="auto"/>
                <w:sz w:val="24"/>
                <w:szCs w:val="24"/>
              </w:rPr>
            </w:pPr>
            <w:r>
              <w:rPr>
                <w:rFonts w:hint="eastAsia" w:ascii="宋体" w:hAnsi="宋体" w:cs="宋体"/>
                <w:color w:val="auto"/>
                <w:sz w:val="24"/>
                <w:szCs w:val="24"/>
              </w:rPr>
              <w:t>2</w:t>
            </w:r>
          </w:p>
        </w:tc>
        <w:tc>
          <w:tcPr>
            <w:tcW w:w="1212" w:type="dxa"/>
            <w:noWrap w:val="0"/>
            <w:vAlign w:val="center"/>
          </w:tcPr>
          <w:p>
            <w:pPr>
              <w:widowControl/>
              <w:spacing w:line="4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壁挂实物展台</w:t>
            </w:r>
          </w:p>
        </w:tc>
        <w:tc>
          <w:tcPr>
            <w:tcW w:w="5458" w:type="dxa"/>
            <w:noWrap w:val="0"/>
            <w:vAlign w:val="center"/>
          </w:tcPr>
          <w:p>
            <w:pPr>
              <w:spacing w:line="400" w:lineRule="exact"/>
              <w:textAlignment w:val="center"/>
              <w:rPr>
                <w:rFonts w:hint="eastAsia" w:ascii="宋体" w:hAnsi="宋体" w:cs="宋体"/>
                <w:color w:val="auto"/>
                <w:sz w:val="24"/>
                <w:szCs w:val="24"/>
              </w:rPr>
            </w:pPr>
            <w:r>
              <w:rPr>
                <w:rFonts w:hint="eastAsia" w:ascii="宋体" w:hAnsi="宋体" w:cs="宋体"/>
                <w:color w:val="auto"/>
                <w:kern w:val="0"/>
                <w:sz w:val="24"/>
                <w:szCs w:val="24"/>
                <w:lang w:val="zh-CN"/>
              </w:rPr>
              <w:t>★</w:t>
            </w:r>
            <w:r>
              <w:rPr>
                <w:rFonts w:hint="eastAsia" w:ascii="宋体" w:hAnsi="宋体" w:cs="宋体"/>
                <w:color w:val="auto"/>
                <w:kern w:val="0"/>
                <w:sz w:val="24"/>
                <w:szCs w:val="24"/>
              </w:rPr>
              <w:t>为保障设备兼容性，需</w:t>
            </w:r>
            <w:r>
              <w:rPr>
                <w:rFonts w:hint="eastAsia" w:ascii="宋体" w:hAnsi="宋体" w:cs="宋体"/>
                <w:color w:val="auto"/>
                <w:sz w:val="24"/>
                <w:szCs w:val="24"/>
              </w:rPr>
              <w:t>与85寸红外触摸一体机同一品牌。</w:t>
            </w:r>
          </w:p>
          <w:p>
            <w:pPr>
              <w:spacing w:line="400" w:lineRule="exact"/>
              <w:rPr>
                <w:rFonts w:hint="eastAsia" w:ascii="宋体" w:hAnsi="宋体" w:cs="宋体"/>
                <w:color w:val="auto"/>
                <w:sz w:val="24"/>
                <w:szCs w:val="24"/>
              </w:rPr>
            </w:pPr>
            <w:r>
              <w:rPr>
                <w:rFonts w:hint="eastAsia" w:ascii="宋体" w:hAnsi="宋体" w:cs="宋体"/>
                <w:color w:val="auto"/>
                <w:sz w:val="24"/>
                <w:szCs w:val="24"/>
              </w:rPr>
              <w:t>1. 支持壁挂和台式两种安装方式，为保证产品稳定性，台式安装需与桌面牢固不晃动，托板边角采用圆弧倒角设计，整机具有安全锁。</w:t>
            </w:r>
          </w:p>
          <w:p>
            <w:pPr>
              <w:spacing w:line="400" w:lineRule="exact"/>
              <w:rPr>
                <w:rFonts w:hint="eastAsia" w:ascii="宋体" w:hAnsi="宋体" w:cs="宋体"/>
                <w:color w:val="auto"/>
                <w:sz w:val="24"/>
                <w:szCs w:val="24"/>
              </w:rPr>
            </w:pPr>
            <w:r>
              <w:rPr>
                <w:rFonts w:hint="eastAsia" w:ascii="宋体" w:hAnsi="宋体" w:cs="宋体"/>
                <w:color w:val="auto"/>
                <w:sz w:val="24"/>
                <w:szCs w:val="24"/>
              </w:rPr>
              <w:t>2. 为保证托板表面平整性，托板采用单板结构，不接受托板表面折叠设计。</w:t>
            </w:r>
          </w:p>
          <w:p>
            <w:pPr>
              <w:spacing w:line="400" w:lineRule="exact"/>
              <w:rPr>
                <w:rFonts w:hint="eastAsia" w:ascii="宋体" w:hAnsi="宋体" w:cs="宋体"/>
                <w:color w:val="auto"/>
                <w:sz w:val="24"/>
                <w:szCs w:val="24"/>
              </w:rPr>
            </w:pPr>
            <w:r>
              <w:rPr>
                <w:rFonts w:hint="eastAsia" w:ascii="宋体" w:hAnsi="宋体" w:cs="宋体"/>
                <w:color w:val="auto"/>
                <w:sz w:val="24"/>
                <w:szCs w:val="24"/>
              </w:rPr>
              <w:t>3. 清晰度：≥800万像素，中心≥1200线；拍摄幅面不小于A4。</w:t>
            </w:r>
          </w:p>
          <w:p>
            <w:pPr>
              <w:spacing w:line="400" w:lineRule="exact"/>
              <w:rPr>
                <w:rFonts w:hint="eastAsia" w:ascii="宋体" w:hAnsi="宋体" w:cs="宋体"/>
                <w:color w:val="auto"/>
                <w:sz w:val="24"/>
                <w:szCs w:val="24"/>
              </w:rPr>
            </w:pPr>
            <w:r>
              <w:rPr>
                <w:rFonts w:hint="eastAsia" w:ascii="宋体" w:hAnsi="宋体" w:cs="宋体"/>
                <w:color w:val="auto"/>
                <w:sz w:val="24"/>
                <w:szCs w:val="24"/>
              </w:rPr>
              <w:t>4. 图像色彩：24位；输出格式：图片JPG，视频MP4。</w:t>
            </w:r>
          </w:p>
          <w:p>
            <w:pPr>
              <w:spacing w:line="400" w:lineRule="exact"/>
              <w:rPr>
                <w:rFonts w:hint="eastAsia" w:ascii="宋体" w:hAnsi="宋体" w:cs="宋体"/>
                <w:color w:val="auto"/>
                <w:sz w:val="24"/>
                <w:szCs w:val="24"/>
              </w:rPr>
            </w:pPr>
            <w:r>
              <w:rPr>
                <w:rFonts w:hint="eastAsia" w:ascii="宋体" w:hAnsi="宋体" w:cs="宋体"/>
                <w:color w:val="auto"/>
                <w:sz w:val="24"/>
                <w:szCs w:val="24"/>
              </w:rPr>
              <w:t>5. 光源： LED灯补光，支持5级调光。</w:t>
            </w:r>
          </w:p>
          <w:p>
            <w:pPr>
              <w:spacing w:line="400" w:lineRule="exact"/>
              <w:rPr>
                <w:rFonts w:hint="eastAsia" w:ascii="宋体" w:hAnsi="宋体" w:cs="宋体"/>
                <w:color w:val="auto"/>
                <w:sz w:val="24"/>
                <w:szCs w:val="24"/>
              </w:rPr>
            </w:pPr>
            <w:r>
              <w:rPr>
                <w:rFonts w:hint="eastAsia" w:ascii="宋体" w:hAnsi="宋体" w:cs="宋体"/>
                <w:color w:val="auto"/>
                <w:sz w:val="24"/>
                <w:szCs w:val="24"/>
              </w:rPr>
              <w:t>6. 动态视频帧率：30帧/秒（1080P）。</w:t>
            </w:r>
          </w:p>
          <w:p>
            <w:pPr>
              <w:spacing w:line="400" w:lineRule="exact"/>
              <w:rPr>
                <w:rFonts w:hint="eastAsia" w:ascii="宋体" w:hAnsi="宋体" w:cs="宋体"/>
                <w:color w:val="auto"/>
                <w:sz w:val="24"/>
                <w:szCs w:val="24"/>
              </w:rPr>
            </w:pPr>
            <w:r>
              <w:rPr>
                <w:rFonts w:hint="eastAsia" w:ascii="宋体" w:hAnsi="宋体" w:cs="宋体"/>
                <w:color w:val="auto"/>
                <w:sz w:val="24"/>
                <w:szCs w:val="24"/>
              </w:rPr>
              <w:t>7. 对焦/白平衡：自动</w:t>
            </w:r>
          </w:p>
          <w:p>
            <w:pPr>
              <w:spacing w:line="400" w:lineRule="exact"/>
              <w:rPr>
                <w:rFonts w:hint="eastAsia" w:ascii="宋体" w:hAnsi="宋体" w:cs="宋体"/>
                <w:color w:val="auto"/>
                <w:sz w:val="24"/>
                <w:szCs w:val="24"/>
              </w:rPr>
            </w:pPr>
            <w:r>
              <w:rPr>
                <w:rFonts w:hint="eastAsia" w:ascii="宋体" w:hAnsi="宋体" w:cs="宋体"/>
                <w:color w:val="auto"/>
                <w:sz w:val="24"/>
                <w:szCs w:val="24"/>
              </w:rPr>
              <w:t>二、软件功能：</w:t>
            </w:r>
          </w:p>
          <w:p>
            <w:pPr>
              <w:spacing w:line="400" w:lineRule="exact"/>
              <w:rPr>
                <w:rFonts w:hint="eastAsia" w:ascii="宋体" w:hAnsi="宋体" w:cs="宋体"/>
                <w:color w:val="auto"/>
                <w:sz w:val="24"/>
                <w:szCs w:val="24"/>
              </w:rPr>
            </w:pPr>
            <w:r>
              <w:rPr>
                <w:rFonts w:hint="eastAsia" w:ascii="宋体" w:hAnsi="宋体" w:cs="宋体"/>
                <w:color w:val="auto"/>
                <w:sz w:val="24"/>
                <w:szCs w:val="24"/>
              </w:rPr>
              <w:t>1.具有拍照截图、智能连拍功能，支持通用、文本档、色彩三种图像模式，方便用户根据实际教学场景切换模式；</w:t>
            </w:r>
          </w:p>
          <w:p>
            <w:pPr>
              <w:spacing w:line="400" w:lineRule="exact"/>
              <w:rPr>
                <w:rFonts w:hint="eastAsia" w:ascii="宋体" w:hAnsi="宋体" w:cs="宋体"/>
                <w:color w:val="auto"/>
                <w:sz w:val="24"/>
                <w:szCs w:val="24"/>
              </w:rPr>
            </w:pPr>
            <w:r>
              <w:rPr>
                <w:rFonts w:hint="eastAsia" w:ascii="宋体" w:hAnsi="宋体" w:cs="宋体"/>
                <w:color w:val="auto"/>
                <w:sz w:val="24"/>
                <w:szCs w:val="24"/>
              </w:rPr>
              <w:t>2.具有点击方式进行实时画面及图片的同屏对比功能，且支持本地图片导入功能；</w:t>
            </w:r>
          </w:p>
          <w:p>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3.支持展台画面实时批注，预设多种笔划粗细及颜色供选择，且支持对展台画面联同批注内容进行同步缩放、移动； </w:t>
            </w:r>
          </w:p>
          <w:p>
            <w:pPr>
              <w:spacing w:line="400" w:lineRule="exact"/>
              <w:rPr>
                <w:rFonts w:hint="eastAsia" w:ascii="宋体" w:hAnsi="宋体" w:cs="宋体"/>
                <w:color w:val="auto"/>
                <w:sz w:val="24"/>
                <w:szCs w:val="24"/>
              </w:rPr>
            </w:pPr>
            <w:r>
              <w:rPr>
                <w:rFonts w:hint="eastAsia" w:ascii="宋体" w:hAnsi="宋体" w:cs="宋体"/>
                <w:color w:val="auto"/>
                <w:sz w:val="24"/>
                <w:szCs w:val="24"/>
              </w:rPr>
              <w:t>4．支持不少于三种裁切模式：无裁切、单图裁切、多图裁切，根据所选模式自动裁切背景，增强显示效果，生成正式文档；</w:t>
            </w:r>
          </w:p>
          <w:p>
            <w:pPr>
              <w:spacing w:line="400" w:lineRule="exact"/>
              <w:rPr>
                <w:rFonts w:hint="eastAsia" w:ascii="宋体" w:hAnsi="宋体" w:cs="宋体"/>
                <w:color w:val="auto"/>
                <w:sz w:val="24"/>
                <w:szCs w:val="24"/>
              </w:rPr>
            </w:pPr>
            <w:r>
              <w:rPr>
                <w:rFonts w:hint="eastAsia" w:ascii="宋体" w:hAnsi="宋体" w:cs="宋体"/>
                <w:color w:val="auto"/>
                <w:sz w:val="24"/>
                <w:szCs w:val="24"/>
              </w:rPr>
              <w:t>5.同屏对比支持多图联动缩放和单图缩放两种模式，并支持六张图片同屏对比；</w:t>
            </w:r>
          </w:p>
          <w:p>
            <w:pPr>
              <w:spacing w:line="400" w:lineRule="exact"/>
              <w:rPr>
                <w:rFonts w:hint="eastAsia" w:ascii="宋体" w:hAnsi="宋体" w:cs="宋体"/>
                <w:color w:val="auto"/>
                <w:sz w:val="24"/>
                <w:szCs w:val="24"/>
              </w:rPr>
            </w:pPr>
            <w:r>
              <w:rPr>
                <w:rFonts w:hint="eastAsia" w:ascii="宋体" w:hAnsi="宋体" w:cs="宋体"/>
                <w:color w:val="auto"/>
                <w:sz w:val="24"/>
                <w:szCs w:val="24"/>
              </w:rPr>
              <w:t>6.图像修正：具有缺角补边功能；</w:t>
            </w:r>
          </w:p>
          <w:p>
            <w:pPr>
              <w:spacing w:line="400" w:lineRule="exact"/>
              <w:rPr>
                <w:rFonts w:hint="eastAsia" w:ascii="宋体" w:hAnsi="宋体" w:cs="宋体"/>
                <w:color w:val="auto"/>
                <w:sz w:val="24"/>
                <w:szCs w:val="24"/>
              </w:rPr>
            </w:pPr>
            <w:r>
              <w:rPr>
                <w:rFonts w:hint="eastAsia" w:ascii="宋体" w:hAnsi="宋体" w:cs="宋体"/>
                <w:color w:val="auto"/>
                <w:sz w:val="24"/>
                <w:szCs w:val="24"/>
              </w:rPr>
              <w:t>7.图像旋转：提供常规旋转和无极旋转功能；</w:t>
            </w:r>
          </w:p>
          <w:p>
            <w:pPr>
              <w:spacing w:line="400" w:lineRule="exact"/>
              <w:rPr>
                <w:rFonts w:hint="eastAsia" w:ascii="宋体" w:hAnsi="宋体" w:cs="宋体"/>
                <w:color w:val="auto"/>
                <w:sz w:val="24"/>
                <w:szCs w:val="24"/>
              </w:rPr>
            </w:pPr>
            <w:r>
              <w:rPr>
                <w:rFonts w:hint="eastAsia" w:ascii="宋体" w:hAnsi="宋体" w:cs="宋体"/>
                <w:color w:val="auto"/>
                <w:sz w:val="24"/>
                <w:szCs w:val="24"/>
              </w:rPr>
              <w:t>8.展台软件具有自检功能：硬件检测、解码器、机器序列号等，方便维护升级；</w:t>
            </w:r>
          </w:p>
          <w:p>
            <w:pPr>
              <w:spacing w:line="400" w:lineRule="exact"/>
              <w:rPr>
                <w:rFonts w:hint="eastAsia" w:ascii="宋体" w:hAnsi="宋体" w:cs="宋体"/>
                <w:color w:val="auto"/>
                <w:sz w:val="24"/>
                <w:szCs w:val="24"/>
              </w:rPr>
            </w:pPr>
            <w:r>
              <w:rPr>
                <w:rFonts w:hint="eastAsia" w:ascii="宋体" w:hAnsi="宋体" w:cs="宋体"/>
                <w:color w:val="auto"/>
                <w:sz w:val="24"/>
                <w:szCs w:val="24"/>
              </w:rPr>
              <w:t>9.索引栏支持左右位置互换，方便教学使用；且实时画面始终置于索引栏顶部，可随时调用；</w:t>
            </w:r>
          </w:p>
          <w:p>
            <w:pPr>
              <w:spacing w:line="400" w:lineRule="exact"/>
              <w:rPr>
                <w:rFonts w:hint="eastAsia" w:ascii="宋体" w:hAnsi="宋体" w:cs="宋体"/>
                <w:color w:val="auto"/>
                <w:sz w:val="24"/>
                <w:szCs w:val="24"/>
              </w:rPr>
            </w:pPr>
            <w:r>
              <w:rPr>
                <w:rFonts w:hint="eastAsia" w:ascii="宋体" w:hAnsi="宋体" w:cs="宋体"/>
                <w:color w:val="auto"/>
                <w:sz w:val="24"/>
                <w:szCs w:val="24"/>
              </w:rPr>
              <w:t>10.支持最少5幅展台画面插入白板软件进行批注；</w:t>
            </w:r>
          </w:p>
          <w:p>
            <w:pPr>
              <w:spacing w:line="400" w:lineRule="exact"/>
              <w:rPr>
                <w:rFonts w:hint="eastAsia" w:ascii="宋体" w:hAnsi="宋体" w:cs="宋体"/>
                <w:color w:val="auto"/>
                <w:sz w:val="24"/>
                <w:szCs w:val="24"/>
              </w:rPr>
            </w:pPr>
            <w:r>
              <w:rPr>
                <w:rFonts w:hint="eastAsia" w:ascii="宋体" w:hAnsi="宋体" w:cs="宋体"/>
                <w:color w:val="auto"/>
                <w:sz w:val="24"/>
                <w:szCs w:val="24"/>
              </w:rPr>
              <w:t>11.具有图片保存功能，方便用户留档备存。</w:t>
            </w:r>
          </w:p>
        </w:tc>
        <w:tc>
          <w:tcPr>
            <w:tcW w:w="670" w:type="dxa"/>
            <w:noWrap w:val="0"/>
            <w:vAlign w:val="center"/>
          </w:tcPr>
          <w:p>
            <w:pPr>
              <w:widowControl/>
              <w:spacing w:line="4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套</w:t>
            </w:r>
          </w:p>
        </w:tc>
        <w:tc>
          <w:tcPr>
            <w:tcW w:w="640" w:type="dxa"/>
            <w:noWrap w:val="0"/>
            <w:vAlign w:val="center"/>
          </w:tcPr>
          <w:p>
            <w:pPr>
              <w:widowControl/>
              <w:spacing w:line="4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4" w:type="dxa"/>
            <w:noWrap w:val="0"/>
            <w:vAlign w:val="center"/>
          </w:tcPr>
          <w:p>
            <w:pPr>
              <w:spacing w:line="400" w:lineRule="exact"/>
              <w:jc w:val="center"/>
              <w:textAlignment w:val="center"/>
              <w:rPr>
                <w:rFonts w:hint="eastAsia" w:ascii="宋体" w:hAnsi="宋体" w:cs="宋体"/>
                <w:color w:val="auto"/>
                <w:sz w:val="24"/>
                <w:szCs w:val="24"/>
              </w:rPr>
            </w:pPr>
            <w:r>
              <w:rPr>
                <w:rFonts w:hint="eastAsia" w:ascii="宋体" w:hAnsi="宋体" w:cs="宋体"/>
                <w:color w:val="auto"/>
                <w:sz w:val="24"/>
                <w:szCs w:val="24"/>
              </w:rPr>
              <w:t>3</w:t>
            </w:r>
          </w:p>
        </w:tc>
        <w:tc>
          <w:tcPr>
            <w:tcW w:w="1212" w:type="dxa"/>
            <w:noWrap w:val="0"/>
            <w:vAlign w:val="center"/>
          </w:tcPr>
          <w:p>
            <w:pPr>
              <w:widowControl/>
              <w:spacing w:line="4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推拉式绿板</w:t>
            </w:r>
          </w:p>
        </w:tc>
        <w:tc>
          <w:tcPr>
            <w:tcW w:w="5458" w:type="dxa"/>
            <w:noWrap w:val="0"/>
            <w:vAlign w:val="bottom"/>
          </w:tcPr>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1.结构：内外双层结构，内层为两块固定书写板与一体机正面平齐，外层为两块滑动书写板。</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2.基本尺寸：≥4000mm×1305mm，可根据所配电子白板或一体机适当调整，确保有效配套。</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3.书写板面：采用优质烤漆钢板，厚度≥0.4mm。板面为亚光墨绿色、漆膜硬度为6H，粗糙度为Ra1.6-3.2um。</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4.内芯材料：选用高强度、吸音、防潮、阻燃聚苯乙烯板，厚度≥13mm。</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5.背板：选用优质防锈亚光彩涂钢板，每隔8公分设有2公分加强凹槽。</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6.边框：边框经氧化、喷砂涂层处理，无明显眩光；横（立）框采用双层加强结构，厚≥15㎜。</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7.滑轮：采用上吊轮双滑道、下平轮单滑动结构，滑动顺畅、噪音小；书写时定位精确不晃动、滑动板前后晃动小于0.5mm。</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8.粉尘槽：配备宽度≥30mm一体化粉尘槽，防止粉尘垂直落地；粉尘槽与下边框一体化设计，滑动板下方配小毛刷，正常使用过程中自动清除粉笔灰，并配备粉尘盒。</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9.包角材料：采用抗老化高强度ABS工程塑料注塑成型，双壁成腔流线型设计，圆角≥R25mm。</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10.限位档：黑板边框内部两侧安装滑动板限位档，防止活动黑板开启时撞击立框。</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11.产品应符合GB/T 28231-2011《书写板安全卫生要求》和GB 21027-2007《学生用品的安全通用要求》等国家标准。</w:t>
            </w:r>
          </w:p>
          <w:p>
            <w:pPr>
              <w:spacing w:line="400" w:lineRule="exact"/>
              <w:rPr>
                <w:rFonts w:hint="eastAsia" w:ascii="宋体" w:hAnsi="宋体" w:cs="宋体"/>
                <w:color w:val="auto"/>
                <w:sz w:val="24"/>
                <w:szCs w:val="24"/>
              </w:rPr>
            </w:pPr>
            <w:r>
              <w:rPr>
                <w:rFonts w:hint="eastAsia" w:ascii="宋体" w:hAnsi="宋体" w:cs="宋体"/>
                <w:color w:val="auto"/>
                <w:sz w:val="24"/>
                <w:szCs w:val="24"/>
              </w:rPr>
              <w:drawing>
                <wp:inline distT="0" distB="0" distL="114300" distR="114300">
                  <wp:extent cx="2077085" cy="733425"/>
                  <wp:effectExtent l="0" t="0" r="18415" b="9525"/>
                  <wp:docPr id="4" name="图片 1" descr="中置液晶板、四块装推拉板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中置液晶板、四块装推拉板单"/>
                          <pic:cNvPicPr>
                            <a:picLocks noChangeAspect="1"/>
                          </pic:cNvPicPr>
                        </pic:nvPicPr>
                        <pic:blipFill>
                          <a:blip r:embed="rId16"/>
                          <a:stretch>
                            <a:fillRect/>
                          </a:stretch>
                        </pic:blipFill>
                        <pic:spPr>
                          <a:xfrm>
                            <a:off x="0" y="0"/>
                            <a:ext cx="2077085" cy="733425"/>
                          </a:xfrm>
                          <a:prstGeom prst="rect">
                            <a:avLst/>
                          </a:prstGeom>
                          <a:noFill/>
                          <a:ln>
                            <a:noFill/>
                          </a:ln>
                        </pic:spPr>
                      </pic:pic>
                    </a:graphicData>
                  </a:graphic>
                </wp:inline>
              </w:drawing>
            </w:r>
          </w:p>
        </w:tc>
        <w:tc>
          <w:tcPr>
            <w:tcW w:w="670" w:type="dxa"/>
            <w:noWrap w:val="0"/>
            <w:vAlign w:val="center"/>
          </w:tcPr>
          <w:p>
            <w:pPr>
              <w:widowControl/>
              <w:spacing w:line="4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套</w:t>
            </w:r>
          </w:p>
        </w:tc>
        <w:tc>
          <w:tcPr>
            <w:tcW w:w="640" w:type="dxa"/>
            <w:noWrap w:val="0"/>
            <w:vAlign w:val="center"/>
          </w:tcPr>
          <w:p>
            <w:pPr>
              <w:widowControl/>
              <w:spacing w:line="4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400" w:lineRule="exact"/>
              <w:jc w:val="center"/>
              <w:textAlignment w:val="center"/>
              <w:rPr>
                <w:rFonts w:hint="eastAsia" w:ascii="宋体" w:hAnsi="宋体" w:cs="宋体"/>
                <w:color w:val="auto"/>
                <w:sz w:val="24"/>
                <w:szCs w:val="24"/>
              </w:rPr>
            </w:pPr>
            <w:r>
              <w:rPr>
                <w:rFonts w:hint="eastAsia" w:ascii="宋体" w:hAnsi="宋体" w:cs="宋体"/>
                <w:color w:val="auto"/>
                <w:sz w:val="24"/>
                <w:szCs w:val="24"/>
              </w:rPr>
              <w:t>4</w:t>
            </w:r>
          </w:p>
        </w:tc>
        <w:tc>
          <w:tcPr>
            <w:tcW w:w="1212" w:type="dxa"/>
            <w:noWrap w:val="0"/>
            <w:vAlign w:val="center"/>
          </w:tcPr>
          <w:p>
            <w:pPr>
              <w:widowControl/>
              <w:spacing w:line="4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75寸红外触摸一体机</w:t>
            </w:r>
          </w:p>
        </w:tc>
        <w:tc>
          <w:tcPr>
            <w:tcW w:w="5458" w:type="dxa"/>
            <w:noWrap w:val="0"/>
            <w:vAlign w:val="top"/>
          </w:tcPr>
          <w:p>
            <w:pPr>
              <w:spacing w:line="400" w:lineRule="exact"/>
              <w:rPr>
                <w:rFonts w:hint="eastAsia" w:ascii="宋体" w:hAnsi="宋体" w:cs="宋体"/>
                <w:color w:val="auto"/>
                <w:kern w:val="0"/>
                <w:sz w:val="24"/>
                <w:szCs w:val="24"/>
              </w:rPr>
            </w:pPr>
            <w:r>
              <w:rPr>
                <w:rFonts w:hint="eastAsia" w:ascii="宋体" w:hAnsi="宋体" w:cs="宋体"/>
                <w:color w:val="auto"/>
                <w:kern w:val="0"/>
                <w:sz w:val="24"/>
                <w:szCs w:val="24"/>
              </w:rPr>
              <w:t>硬件技术要求：</w:t>
            </w:r>
          </w:p>
          <w:p>
            <w:pPr>
              <w:pStyle w:val="559"/>
              <w:spacing w:line="400" w:lineRule="exact"/>
              <w:rPr>
                <w:rFonts w:hint="eastAsia" w:ascii="宋体" w:hAnsi="宋体" w:cs="宋体"/>
                <w:color w:val="auto"/>
                <w:sz w:val="24"/>
              </w:rPr>
            </w:pPr>
            <w:r>
              <w:rPr>
                <w:rFonts w:hint="eastAsia" w:ascii="宋体" w:hAnsi="宋体" w:cs="宋体"/>
                <w:color w:val="auto"/>
                <w:sz w:val="24"/>
              </w:rPr>
              <w:t>1.全金属外观，一体化设计，外部无任何可见内部功能模块连接线。</w:t>
            </w:r>
          </w:p>
          <w:p>
            <w:pPr>
              <w:pStyle w:val="559"/>
              <w:spacing w:line="400" w:lineRule="exact"/>
              <w:rPr>
                <w:rFonts w:hint="eastAsia"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rPr>
              <w:t>2.整机屏幕采用75英寸LED 液晶屏，分辨率: 3840*2160,显示比例16:9，具备防眩光效果。</w:t>
            </w:r>
          </w:p>
          <w:p>
            <w:pPr>
              <w:pStyle w:val="559"/>
              <w:spacing w:line="400" w:lineRule="exact"/>
              <w:rPr>
                <w:rFonts w:hint="eastAsia"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rPr>
              <w:t>3.采用红外触控技术，支持在Windows与安卓系统中进行十点触控及十点书写。</w:t>
            </w:r>
          </w:p>
          <w:p>
            <w:pPr>
              <w:pStyle w:val="559"/>
              <w:spacing w:line="400" w:lineRule="exact"/>
              <w:rPr>
                <w:rFonts w:hint="eastAsia" w:ascii="宋体" w:hAnsi="宋体" w:cs="宋体"/>
                <w:color w:val="auto"/>
                <w:sz w:val="24"/>
              </w:rPr>
            </w:pPr>
            <w:r>
              <w:rPr>
                <w:rFonts w:hint="eastAsia" w:ascii="宋体" w:hAnsi="宋体" w:cs="宋体"/>
                <w:color w:val="auto"/>
                <w:sz w:val="24"/>
              </w:rPr>
              <w:t>4.书写方式：手指或笔触摸</w:t>
            </w:r>
          </w:p>
          <w:p>
            <w:pPr>
              <w:shd w:val="solid" w:color="FFFFFF" w:fill="auto"/>
              <w:tabs>
                <w:tab w:val="left" w:pos="425"/>
              </w:tabs>
              <w:autoSpaceDN w:val="0"/>
              <w:spacing w:line="400" w:lineRule="exact"/>
              <w:rPr>
                <w:rFonts w:hint="eastAsia" w:ascii="宋体" w:hAnsi="宋体" w:cs="宋体"/>
                <w:color w:val="auto"/>
                <w:kern w:val="0"/>
                <w:sz w:val="24"/>
                <w:szCs w:val="24"/>
              </w:rPr>
            </w:pPr>
            <w:r>
              <w:rPr>
                <w:rFonts w:hint="eastAsia" w:ascii="宋体" w:hAnsi="宋体" w:cs="宋体"/>
                <w:color w:val="auto"/>
                <w:kern w:val="0"/>
                <w:sz w:val="24"/>
                <w:szCs w:val="24"/>
              </w:rPr>
              <w:t>5.整机在0℃—40℃环境下可正常工作，在-20℃—60℃的环境下可正常贮存且贮存后功能无损。</w:t>
            </w:r>
          </w:p>
          <w:p>
            <w:pPr>
              <w:pStyle w:val="559"/>
              <w:spacing w:line="400" w:lineRule="exact"/>
              <w:rPr>
                <w:rFonts w:hint="eastAsia" w:ascii="宋体" w:hAnsi="宋体" w:cs="宋体"/>
                <w:color w:val="auto"/>
                <w:sz w:val="24"/>
              </w:rPr>
            </w:pPr>
            <w:r>
              <w:rPr>
                <w:rFonts w:hint="eastAsia" w:ascii="宋体" w:hAnsi="宋体" w:cs="宋体"/>
                <w:color w:val="auto"/>
                <w:sz w:val="24"/>
              </w:rPr>
              <w:t>6.自动节能功能：当设备在五分钟内处于无信号接收状态时，将会自动关机，节省能耗。</w:t>
            </w:r>
          </w:p>
          <w:p>
            <w:pPr>
              <w:pStyle w:val="559"/>
              <w:spacing w:line="400" w:lineRule="exact"/>
              <w:rPr>
                <w:rFonts w:hint="eastAsia" w:ascii="宋体" w:hAnsi="宋体" w:cs="宋体"/>
                <w:color w:val="auto"/>
                <w:sz w:val="24"/>
              </w:rPr>
            </w:pPr>
            <w:r>
              <w:rPr>
                <w:rFonts w:hint="eastAsia" w:ascii="宋体" w:hAnsi="宋体" w:cs="宋体"/>
                <w:color w:val="auto"/>
                <w:sz w:val="24"/>
              </w:rPr>
              <w:t>7.黑板关闭自动节能：当整机安装到推拉黑板中时，关闭推拉黑板，整机将在短时间内自动进入黑屏节能模式。</w:t>
            </w:r>
          </w:p>
          <w:p>
            <w:pPr>
              <w:shd w:val="solid" w:color="FFFFFF" w:fill="auto"/>
              <w:tabs>
                <w:tab w:val="left" w:pos="425"/>
              </w:tabs>
              <w:autoSpaceDN w:val="0"/>
              <w:spacing w:line="400" w:lineRule="exact"/>
              <w:rPr>
                <w:rFonts w:hint="eastAsia" w:ascii="宋体" w:hAnsi="宋体" w:cs="宋体"/>
                <w:color w:val="auto"/>
                <w:kern w:val="0"/>
                <w:sz w:val="24"/>
                <w:szCs w:val="24"/>
              </w:rPr>
            </w:pPr>
            <w:r>
              <w:rPr>
                <w:rFonts w:hint="eastAsia" w:ascii="宋体" w:hAnsi="宋体" w:cs="宋体"/>
                <w:color w:val="auto"/>
                <w:kern w:val="0"/>
                <w:sz w:val="24"/>
                <w:szCs w:val="24"/>
              </w:rPr>
              <w:t>8.整机电视开关、电脑开关和节能待机键三合一，确保用户操作便捷。</w:t>
            </w:r>
          </w:p>
          <w:p>
            <w:pPr>
              <w:pStyle w:val="559"/>
              <w:spacing w:line="400" w:lineRule="exact"/>
              <w:rPr>
                <w:rFonts w:hint="eastAsia" w:ascii="宋体" w:hAnsi="宋体" w:cs="宋体"/>
                <w:color w:val="auto"/>
                <w:sz w:val="24"/>
              </w:rPr>
            </w:pPr>
            <w:r>
              <w:rPr>
                <w:rFonts w:hint="eastAsia" w:ascii="宋体" w:hAnsi="宋体" w:cs="宋体"/>
                <w:color w:val="auto"/>
                <w:sz w:val="24"/>
              </w:rPr>
              <w:t>9.整机屏幕采用钢化玻璃，使用1.04kg钢球，在2m处自由落体撞击整机液晶显示屏幕的钢化玻璃，产品无损伤破裂，功能无异常。</w:t>
            </w:r>
          </w:p>
          <w:p>
            <w:pPr>
              <w:pStyle w:val="559"/>
              <w:spacing w:line="400" w:lineRule="exact"/>
              <w:rPr>
                <w:rFonts w:hint="eastAsia" w:ascii="宋体" w:hAnsi="宋体" w:cs="宋体"/>
                <w:color w:val="auto"/>
                <w:sz w:val="24"/>
              </w:rPr>
            </w:pPr>
            <w:r>
              <w:rPr>
                <w:rFonts w:hint="eastAsia" w:ascii="宋体" w:hAnsi="宋体" w:cs="宋体"/>
                <w:color w:val="auto"/>
                <w:sz w:val="24"/>
              </w:rPr>
              <w:t>10.整机具备抗振动、防跌落特性，保证整机运输或使用过程中不易受损。</w:t>
            </w:r>
          </w:p>
          <w:p>
            <w:pPr>
              <w:shd w:val="solid" w:color="FFFFFF" w:fill="auto"/>
              <w:tabs>
                <w:tab w:val="left" w:pos="425"/>
              </w:tabs>
              <w:autoSpaceDN w:val="0"/>
              <w:spacing w:line="400" w:lineRule="exact"/>
              <w:rPr>
                <w:rFonts w:hint="eastAsia" w:ascii="宋体" w:hAnsi="宋体" w:cs="宋体"/>
                <w:color w:val="auto"/>
                <w:kern w:val="0"/>
                <w:sz w:val="24"/>
                <w:szCs w:val="24"/>
              </w:rPr>
            </w:pPr>
            <w:r>
              <w:rPr>
                <w:rFonts w:hint="eastAsia" w:ascii="宋体" w:hAnsi="宋体" w:cs="宋体"/>
                <w:color w:val="auto"/>
                <w:kern w:val="0"/>
                <w:sz w:val="24"/>
                <w:szCs w:val="24"/>
              </w:rPr>
              <w:t>11.整机具备至少3路前置USB3.0接口,且前置USB接口全部支持Windows及Android双系统读取，将U盘插入任意前置USB接口，均能被Windows及Android系统识别，防止老师误操作。</w:t>
            </w:r>
          </w:p>
          <w:p>
            <w:pPr>
              <w:shd w:val="solid" w:color="FFFFFF" w:fill="auto"/>
              <w:tabs>
                <w:tab w:val="left" w:pos="425"/>
              </w:tabs>
              <w:autoSpaceDN w:val="0"/>
              <w:spacing w:line="400" w:lineRule="exact"/>
              <w:rPr>
                <w:rFonts w:hint="eastAsia" w:ascii="宋体" w:hAnsi="宋体" w:cs="宋体"/>
                <w:color w:val="auto"/>
                <w:kern w:val="0"/>
                <w:sz w:val="24"/>
                <w:szCs w:val="24"/>
              </w:rPr>
            </w:pPr>
            <w:r>
              <w:rPr>
                <w:rFonts w:hint="eastAsia" w:ascii="宋体" w:hAnsi="宋体" w:cs="宋体"/>
                <w:color w:val="auto"/>
                <w:kern w:val="0"/>
                <w:sz w:val="24"/>
                <w:szCs w:val="24"/>
              </w:rPr>
              <w:t>12.触摸中控菜单上的通道信号源名称支持自定义，方便老师识别。</w:t>
            </w:r>
          </w:p>
          <w:p>
            <w:pPr>
              <w:shd w:val="solid" w:color="FFFFFF" w:fill="auto"/>
              <w:tabs>
                <w:tab w:val="left" w:pos="425"/>
              </w:tabs>
              <w:autoSpaceDN w:val="0"/>
              <w:spacing w:line="400" w:lineRule="exact"/>
              <w:rPr>
                <w:rFonts w:hint="eastAsia" w:ascii="宋体" w:hAnsi="宋体" w:cs="宋体"/>
                <w:color w:val="auto"/>
                <w:kern w:val="0"/>
                <w:sz w:val="24"/>
                <w:szCs w:val="24"/>
              </w:rPr>
            </w:pPr>
            <w:r>
              <w:rPr>
                <w:rFonts w:hint="eastAsia" w:ascii="宋体" w:hAnsi="宋体" w:cs="宋体"/>
                <w:color w:val="auto"/>
                <w:kern w:val="0"/>
                <w:sz w:val="24"/>
                <w:szCs w:val="24"/>
              </w:rPr>
              <w:t>13.当外接电脑设备时，如整机处于关机上电状态，则接上外接电脑后自动开机。如整机处于正常使用状态，则设备能自动识别并切换到对应的VGA/HDMI信号源通道，且断开后能回到上一通道。自动跳转前支持选择确认，待确认后再跳转。</w:t>
            </w:r>
          </w:p>
          <w:p>
            <w:pPr>
              <w:shd w:val="solid" w:color="FFFFFF" w:fill="auto"/>
              <w:tabs>
                <w:tab w:val="left" w:pos="425"/>
              </w:tabs>
              <w:autoSpaceDN w:val="0"/>
              <w:spacing w:line="400" w:lineRule="exact"/>
              <w:rPr>
                <w:rFonts w:hint="eastAsia" w:ascii="宋体" w:hAnsi="宋体" w:cs="宋体"/>
                <w:color w:val="auto"/>
                <w:kern w:val="0"/>
                <w:sz w:val="24"/>
                <w:szCs w:val="24"/>
              </w:rPr>
            </w:pPr>
            <w:r>
              <w:rPr>
                <w:rFonts w:hint="eastAsia" w:ascii="宋体" w:hAnsi="宋体" w:cs="宋体"/>
                <w:color w:val="auto"/>
                <w:sz w:val="24"/>
                <w:szCs w:val="24"/>
              </w:rPr>
              <w:t>△</w:t>
            </w:r>
            <w:r>
              <w:rPr>
                <w:rFonts w:hint="eastAsia" w:ascii="宋体" w:hAnsi="宋体" w:cs="宋体"/>
                <w:color w:val="auto"/>
                <w:kern w:val="0"/>
                <w:sz w:val="24"/>
                <w:szCs w:val="24"/>
              </w:rPr>
              <w:t>14.配备无线智能遥控：人性化设计具备电视遥控功能和电脑键盘常用的F1—F12功能键及Alt+F4.Alt+Tab、Space、Enter、windows等快捷按键，可实现一键开启交互白板软件、PPT上下翻页、一键锁定/解锁触摸及整机实体按键、一键冻结屏幕、一键查看整机温度、一键黑屏等功能。</w:t>
            </w:r>
          </w:p>
          <w:p>
            <w:pPr>
              <w:pStyle w:val="559"/>
              <w:spacing w:line="400" w:lineRule="exact"/>
              <w:rPr>
                <w:rFonts w:hint="eastAsia" w:ascii="宋体" w:hAnsi="宋体" w:cs="宋体"/>
                <w:color w:val="auto"/>
                <w:sz w:val="24"/>
              </w:rPr>
            </w:pPr>
            <w:r>
              <w:rPr>
                <w:rFonts w:hint="eastAsia" w:ascii="宋体" w:hAnsi="宋体" w:cs="宋体"/>
                <w:color w:val="auto"/>
                <w:sz w:val="24"/>
              </w:rPr>
              <w:t>15.为防止课间学生操作，设备可设置锁定屏幕触摸、实体按键，除可通过遥控器及软件菜单实现该功能，老师还可通过前置的实体按键，以组合按键的形式锁定/解锁，方便使用。</w:t>
            </w:r>
          </w:p>
          <w:p>
            <w:pPr>
              <w:pStyle w:val="559"/>
              <w:spacing w:line="400" w:lineRule="exact"/>
              <w:rPr>
                <w:rFonts w:hint="eastAsia" w:ascii="宋体" w:hAnsi="宋体" w:cs="宋体"/>
                <w:color w:val="auto"/>
                <w:sz w:val="24"/>
              </w:rPr>
            </w:pPr>
            <w:r>
              <w:rPr>
                <w:rFonts w:hint="eastAsia" w:ascii="宋体" w:hAnsi="宋体" w:cs="宋体"/>
                <w:color w:val="auto"/>
                <w:sz w:val="24"/>
              </w:rPr>
              <w:t>16.支持智能U盘锁功能，整机可设置触摸及按键自动锁定，保证无关人士无法自由操作，需要使用时只需插入USB key即可解锁。</w:t>
            </w:r>
          </w:p>
          <w:p>
            <w:pPr>
              <w:shd w:val="solid" w:color="FFFFFF" w:fill="auto"/>
              <w:tabs>
                <w:tab w:val="left" w:pos="425"/>
              </w:tabs>
              <w:autoSpaceDN w:val="0"/>
              <w:spacing w:line="400" w:lineRule="exact"/>
              <w:rPr>
                <w:rFonts w:hint="eastAsia" w:ascii="宋体" w:hAnsi="宋体" w:cs="宋体"/>
                <w:color w:val="auto"/>
                <w:kern w:val="0"/>
                <w:sz w:val="24"/>
                <w:szCs w:val="24"/>
              </w:rPr>
            </w:pPr>
            <w:r>
              <w:rPr>
                <w:rFonts w:hint="eastAsia" w:ascii="宋体" w:hAnsi="宋体" w:cs="宋体"/>
                <w:color w:val="auto"/>
                <w:sz w:val="24"/>
                <w:szCs w:val="24"/>
              </w:rPr>
              <w:t>△</w:t>
            </w:r>
            <w:r>
              <w:rPr>
                <w:rFonts w:hint="eastAsia" w:ascii="宋体" w:hAnsi="宋体" w:cs="宋体"/>
                <w:color w:val="auto"/>
                <w:kern w:val="0"/>
                <w:sz w:val="24"/>
                <w:szCs w:val="24"/>
              </w:rPr>
              <w:t>17.整机处于任意通道下，可调用互动课堂功能</w:t>
            </w:r>
          </w:p>
          <w:p>
            <w:pPr>
              <w:pStyle w:val="559"/>
              <w:spacing w:line="400" w:lineRule="exact"/>
              <w:rPr>
                <w:rFonts w:hint="eastAsia" w:ascii="宋体" w:hAnsi="宋体" w:cs="宋体"/>
                <w:color w:val="auto"/>
                <w:sz w:val="24"/>
              </w:rPr>
            </w:pPr>
            <w:r>
              <w:rPr>
                <w:rFonts w:hint="eastAsia" w:ascii="宋体" w:hAnsi="宋体" w:cs="宋体"/>
                <w:color w:val="auto"/>
                <w:sz w:val="24"/>
              </w:rPr>
              <w:t>(a)支持手机扫描二维码，实现互动答题功能。</w:t>
            </w:r>
          </w:p>
          <w:p>
            <w:pPr>
              <w:pStyle w:val="559"/>
              <w:spacing w:line="400" w:lineRule="exact"/>
              <w:rPr>
                <w:rFonts w:hint="eastAsia" w:ascii="宋体" w:hAnsi="宋体" w:cs="宋体"/>
                <w:color w:val="auto"/>
                <w:sz w:val="24"/>
              </w:rPr>
            </w:pPr>
            <w:r>
              <w:rPr>
                <w:rFonts w:hint="eastAsia" w:ascii="宋体" w:hAnsi="宋体" w:cs="宋体"/>
                <w:color w:val="auto"/>
                <w:sz w:val="24"/>
              </w:rPr>
              <w:t>(b)支持老师发起单选题、多选题、抢答题等，答题结束可查看答题结果，帮助老师了解课堂学习情况。</w:t>
            </w:r>
          </w:p>
          <w:p>
            <w:pPr>
              <w:pStyle w:val="559"/>
              <w:spacing w:line="400" w:lineRule="exact"/>
              <w:rPr>
                <w:rFonts w:hint="eastAsia" w:ascii="宋体" w:hAnsi="宋体" w:cs="宋体"/>
                <w:color w:val="auto"/>
                <w:sz w:val="24"/>
              </w:rPr>
            </w:pPr>
            <w:r>
              <w:rPr>
                <w:rFonts w:hint="eastAsia" w:ascii="宋体" w:hAnsi="宋体" w:cs="宋体"/>
                <w:color w:val="auto"/>
                <w:sz w:val="24"/>
              </w:rPr>
              <w:t>(c)可便捷设置学生姓名，方便老师管理课堂答题情况。</w:t>
            </w:r>
          </w:p>
          <w:p>
            <w:pPr>
              <w:pStyle w:val="559"/>
              <w:spacing w:line="400" w:lineRule="exact"/>
              <w:rPr>
                <w:rFonts w:hint="eastAsia" w:ascii="宋体" w:hAnsi="宋体" w:cs="宋体"/>
                <w:color w:val="auto"/>
                <w:sz w:val="24"/>
              </w:rPr>
            </w:pPr>
            <w:r>
              <w:rPr>
                <w:rFonts w:hint="eastAsia" w:ascii="宋体" w:hAnsi="宋体" w:cs="宋体"/>
                <w:color w:val="auto"/>
                <w:sz w:val="24"/>
              </w:rPr>
              <w:t>(d)支持开启或关闭信息接收功能，开启后学生可通过手机发送信息至智能平板展示，增加课堂互动方式。</w:t>
            </w:r>
          </w:p>
          <w:p>
            <w:pPr>
              <w:pStyle w:val="559"/>
              <w:spacing w:line="400" w:lineRule="exact"/>
              <w:rPr>
                <w:rFonts w:hint="eastAsia" w:ascii="宋体" w:hAnsi="宋体" w:cs="宋体"/>
                <w:color w:val="auto"/>
                <w:sz w:val="24"/>
              </w:rPr>
            </w:pPr>
            <w:r>
              <w:rPr>
                <w:rFonts w:hint="eastAsia" w:ascii="宋体" w:hAnsi="宋体" w:cs="宋体"/>
                <w:color w:val="auto"/>
                <w:sz w:val="24"/>
              </w:rPr>
              <w:t>18.当整机外接电脑设备并连接触摸线使用时，外接电脑可直接读取插在整机上的U盘，并识别连接至整机的翻页笔、无线键鼠等USB连接设备。</w:t>
            </w:r>
          </w:p>
          <w:p>
            <w:pPr>
              <w:pStyle w:val="559"/>
              <w:spacing w:line="400" w:lineRule="exact"/>
              <w:rPr>
                <w:rFonts w:hint="eastAsia" w:ascii="宋体" w:hAnsi="宋体" w:cs="宋体"/>
                <w:color w:val="auto"/>
                <w:sz w:val="24"/>
              </w:rPr>
            </w:pPr>
            <w:r>
              <w:rPr>
                <w:rFonts w:hint="eastAsia" w:ascii="宋体" w:hAnsi="宋体" w:cs="宋体"/>
                <w:color w:val="auto"/>
                <w:sz w:val="24"/>
              </w:rPr>
              <w:t>19.通过一根USB数据线实现外部电脑与触控一体机之间高清视频信号、音频信号以及触摸信号的实时传输，可兼容市面上具备通用USB端子的各类电脑，传输分辨率：支持1920*1080@60Hz。</w:t>
            </w:r>
          </w:p>
          <w:p>
            <w:pPr>
              <w:pStyle w:val="559"/>
              <w:spacing w:line="400" w:lineRule="exact"/>
              <w:rPr>
                <w:rFonts w:hint="eastAsia" w:ascii="宋体" w:hAnsi="宋体" w:cs="宋体"/>
                <w:color w:val="auto"/>
                <w:sz w:val="24"/>
              </w:rPr>
            </w:pPr>
            <w:r>
              <w:rPr>
                <w:rFonts w:hint="eastAsia" w:ascii="宋体" w:hAnsi="宋体" w:cs="宋体"/>
                <w:color w:val="auto"/>
                <w:sz w:val="24"/>
              </w:rPr>
              <w:t>20、内置非独立外扩展的拾音麦克风，方便录制老师人声。</w:t>
            </w:r>
          </w:p>
          <w:p>
            <w:pPr>
              <w:shd w:val="solid" w:color="FFFFFF" w:fill="auto"/>
              <w:tabs>
                <w:tab w:val="left" w:pos="425"/>
              </w:tabs>
              <w:autoSpaceDN w:val="0"/>
              <w:spacing w:line="400" w:lineRule="exact"/>
              <w:rPr>
                <w:rFonts w:hint="eastAsia" w:ascii="宋体" w:hAnsi="宋体" w:cs="宋体"/>
                <w:color w:val="auto"/>
                <w:kern w:val="0"/>
                <w:sz w:val="24"/>
                <w:szCs w:val="24"/>
              </w:rPr>
            </w:pPr>
            <w:r>
              <w:rPr>
                <w:rFonts w:hint="eastAsia" w:ascii="宋体" w:hAnsi="宋体" w:cs="宋体"/>
                <w:color w:val="auto"/>
                <w:sz w:val="24"/>
                <w:szCs w:val="24"/>
              </w:rPr>
              <w:t>△</w:t>
            </w:r>
            <w:r>
              <w:rPr>
                <w:rFonts w:hint="eastAsia" w:ascii="宋体" w:hAnsi="宋体" w:cs="宋体"/>
                <w:color w:val="auto"/>
                <w:kern w:val="0"/>
                <w:sz w:val="24"/>
                <w:szCs w:val="24"/>
              </w:rPr>
              <w:t>21.内置非独立外扩展的摄像头，像素至少500万，支持二维码扫码识别功能，帮助用户调用在线资源。</w:t>
            </w:r>
          </w:p>
          <w:p>
            <w:pPr>
              <w:shd w:val="solid" w:color="FFFFFF" w:fill="auto"/>
              <w:tabs>
                <w:tab w:val="left" w:pos="425"/>
              </w:tabs>
              <w:autoSpaceDN w:val="0"/>
              <w:spacing w:line="400" w:lineRule="exact"/>
              <w:rPr>
                <w:rFonts w:hint="eastAsia" w:ascii="宋体" w:hAnsi="宋体" w:cs="宋体"/>
                <w:color w:val="auto"/>
                <w:kern w:val="0"/>
                <w:sz w:val="24"/>
                <w:szCs w:val="24"/>
              </w:rPr>
            </w:pPr>
            <w:r>
              <w:rPr>
                <w:rFonts w:hint="eastAsia" w:ascii="宋体" w:hAnsi="宋体" w:cs="宋体"/>
                <w:color w:val="auto"/>
                <w:sz w:val="24"/>
                <w:szCs w:val="24"/>
              </w:rPr>
              <w:t>△</w:t>
            </w:r>
            <w:r>
              <w:rPr>
                <w:rFonts w:hint="eastAsia" w:ascii="宋体" w:hAnsi="宋体" w:cs="宋体"/>
                <w:color w:val="auto"/>
                <w:kern w:val="0"/>
                <w:sz w:val="24"/>
                <w:szCs w:val="24"/>
              </w:rPr>
              <w:t>22.触摸屏具有防光干扰功能，能在照度400K LUX（勒克司）环境下仍能正常工作。</w:t>
            </w:r>
          </w:p>
          <w:p>
            <w:pPr>
              <w:pStyle w:val="559"/>
              <w:spacing w:line="400" w:lineRule="exact"/>
              <w:rPr>
                <w:rFonts w:hint="eastAsia" w:ascii="宋体" w:hAnsi="宋体" w:cs="宋体"/>
                <w:color w:val="auto"/>
                <w:sz w:val="24"/>
              </w:rPr>
            </w:pPr>
            <w:r>
              <w:rPr>
                <w:rFonts w:hint="eastAsia" w:ascii="宋体" w:hAnsi="宋体" w:cs="宋体"/>
                <w:color w:val="auto"/>
                <w:sz w:val="24"/>
              </w:rPr>
              <w:t>△23.嵌入式系统版本不低于Android7.0，内存不低于2GB，存储空间不低于8GB。</w:t>
            </w:r>
          </w:p>
          <w:p>
            <w:pPr>
              <w:pStyle w:val="559"/>
              <w:spacing w:line="400" w:lineRule="exact"/>
              <w:rPr>
                <w:rFonts w:hint="eastAsia" w:ascii="宋体" w:hAnsi="宋体" w:cs="宋体"/>
                <w:color w:val="auto"/>
                <w:sz w:val="24"/>
              </w:rPr>
            </w:pPr>
            <w:r>
              <w:rPr>
                <w:rFonts w:hint="eastAsia" w:ascii="宋体" w:hAnsi="宋体" w:cs="宋体"/>
                <w:color w:val="auto"/>
                <w:sz w:val="24"/>
              </w:rPr>
              <w:t>24.无PC状态下，嵌入式安卓操作系统支持超级计算器功能，可进行初级计算、方程（组）智能求解、自动求导求积分等操作；该计算器还可根据用户输入的函数，智能绘制函数图像，提升老师课堂效率。</w:t>
            </w:r>
          </w:p>
          <w:p>
            <w:pPr>
              <w:shd w:val="solid" w:color="FFFFFF" w:fill="auto"/>
              <w:tabs>
                <w:tab w:val="left" w:pos="425"/>
              </w:tabs>
              <w:autoSpaceDN w:val="0"/>
              <w:spacing w:line="400" w:lineRule="exact"/>
              <w:rPr>
                <w:rFonts w:hint="eastAsia" w:ascii="宋体" w:hAnsi="宋体" w:cs="宋体"/>
                <w:color w:val="auto"/>
                <w:kern w:val="0"/>
                <w:sz w:val="24"/>
                <w:szCs w:val="24"/>
              </w:rPr>
            </w:pPr>
            <w:r>
              <w:rPr>
                <w:rFonts w:hint="eastAsia" w:ascii="宋体" w:hAnsi="宋体" w:cs="宋体"/>
                <w:color w:val="auto"/>
                <w:sz w:val="24"/>
                <w:szCs w:val="24"/>
              </w:rPr>
              <w:t>△</w:t>
            </w:r>
            <w:r>
              <w:rPr>
                <w:rFonts w:hint="eastAsia" w:ascii="宋体" w:hAnsi="宋体" w:cs="宋体"/>
                <w:color w:val="auto"/>
                <w:kern w:val="0"/>
                <w:sz w:val="24"/>
                <w:szCs w:val="24"/>
              </w:rPr>
              <w:t>25.去蓝光护眼系统：整机具有减滤蓝光功能，可通过前置物理功能按键一键启用减滤蓝光模式。</w:t>
            </w:r>
          </w:p>
          <w:p>
            <w:pPr>
              <w:shd w:val="solid" w:color="FFFFFF" w:fill="auto"/>
              <w:tabs>
                <w:tab w:val="left" w:pos="425"/>
              </w:tabs>
              <w:autoSpaceDN w:val="0"/>
              <w:spacing w:line="400" w:lineRule="exact"/>
              <w:rPr>
                <w:rFonts w:hint="eastAsia" w:ascii="宋体" w:hAnsi="宋体" w:cs="宋体"/>
                <w:color w:val="auto"/>
                <w:kern w:val="0"/>
                <w:sz w:val="24"/>
                <w:szCs w:val="24"/>
              </w:rPr>
            </w:pPr>
            <w:r>
              <w:rPr>
                <w:rFonts w:hint="eastAsia" w:ascii="宋体" w:hAnsi="宋体" w:cs="宋体"/>
                <w:color w:val="auto"/>
                <w:sz w:val="24"/>
                <w:szCs w:val="24"/>
              </w:rPr>
              <w:t>△</w:t>
            </w:r>
            <w:r>
              <w:rPr>
                <w:rFonts w:hint="eastAsia" w:ascii="宋体" w:hAnsi="宋体" w:cs="宋体"/>
                <w:color w:val="auto"/>
                <w:kern w:val="0"/>
                <w:sz w:val="24"/>
                <w:szCs w:val="24"/>
              </w:rPr>
              <w:t>26.在PC系统出现异常或需要清除PC数据时，可插入带激活文件的U盘，在嵌入式系统的设置界面中启动PC一键还原功能，将PC系统恢复至出厂状态。</w:t>
            </w:r>
          </w:p>
          <w:p>
            <w:pPr>
              <w:pStyle w:val="559"/>
              <w:spacing w:line="400" w:lineRule="exact"/>
              <w:rPr>
                <w:rFonts w:hint="eastAsia" w:ascii="宋体" w:hAnsi="宋体" w:cs="宋体"/>
                <w:color w:val="auto"/>
                <w:sz w:val="24"/>
              </w:rPr>
            </w:pPr>
            <w:r>
              <w:rPr>
                <w:rFonts w:hint="eastAsia" w:ascii="宋体" w:hAnsi="宋体" w:cs="宋体"/>
                <w:color w:val="auto"/>
                <w:sz w:val="24"/>
              </w:rPr>
              <w:t>内置电脑：</w:t>
            </w:r>
          </w:p>
          <w:p>
            <w:pPr>
              <w:pStyle w:val="559"/>
              <w:spacing w:line="400" w:lineRule="exact"/>
              <w:rPr>
                <w:rFonts w:hint="eastAsia" w:ascii="宋体" w:hAnsi="宋体" w:cs="宋体"/>
                <w:color w:val="auto"/>
                <w:sz w:val="24"/>
              </w:rPr>
            </w:pPr>
            <w:r>
              <w:rPr>
                <w:rFonts w:hint="eastAsia" w:ascii="宋体" w:hAnsi="宋体" w:cs="宋体"/>
                <w:color w:val="auto"/>
                <w:sz w:val="24"/>
              </w:rPr>
              <w:t>△1.采用模块化电脑方案，采用按压式卡扣，无需工具即可快速拆卸电脑模块。</w:t>
            </w:r>
          </w:p>
          <w:p>
            <w:pPr>
              <w:pStyle w:val="559"/>
              <w:spacing w:line="400" w:lineRule="exact"/>
              <w:rPr>
                <w:rFonts w:hint="eastAsia" w:ascii="宋体" w:hAnsi="宋体" w:cs="宋体"/>
                <w:color w:val="auto"/>
                <w:sz w:val="24"/>
              </w:rPr>
            </w:pPr>
            <w:r>
              <w:rPr>
                <w:rFonts w:hint="eastAsia" w:ascii="宋体" w:hAnsi="宋体" w:cs="宋体"/>
                <w:color w:val="auto"/>
                <w:sz w:val="24"/>
              </w:rPr>
              <w:t>★2.处理器：Intel Core I5第8代 主频2.5GHZ以上。</w:t>
            </w:r>
          </w:p>
          <w:p>
            <w:pPr>
              <w:pStyle w:val="559"/>
              <w:spacing w:line="400" w:lineRule="exact"/>
              <w:rPr>
                <w:rFonts w:hint="eastAsia" w:ascii="宋体" w:hAnsi="宋体" w:cs="宋体"/>
                <w:color w:val="auto"/>
                <w:sz w:val="24"/>
              </w:rPr>
            </w:pPr>
            <w:r>
              <w:rPr>
                <w:rFonts w:hint="eastAsia" w:ascii="宋体" w:hAnsi="宋体" w:cs="宋体"/>
                <w:color w:val="auto"/>
                <w:sz w:val="24"/>
              </w:rPr>
              <w:t>3.内存：4G DDR4内存或以上配置</w:t>
            </w:r>
          </w:p>
          <w:p>
            <w:pPr>
              <w:pStyle w:val="559"/>
              <w:spacing w:line="400" w:lineRule="exact"/>
              <w:rPr>
                <w:rFonts w:hint="eastAsia" w:ascii="宋体" w:hAnsi="宋体" w:cs="宋体"/>
                <w:color w:val="auto"/>
                <w:sz w:val="24"/>
              </w:rPr>
            </w:pPr>
            <w:r>
              <w:rPr>
                <w:rFonts w:hint="eastAsia" w:ascii="宋体" w:hAnsi="宋体" w:cs="宋体"/>
                <w:color w:val="auto"/>
                <w:sz w:val="24"/>
              </w:rPr>
              <w:t>4.硬盘：256G或以上SSD固态硬盘</w:t>
            </w:r>
          </w:p>
          <w:p>
            <w:pPr>
              <w:pStyle w:val="559"/>
              <w:spacing w:line="400" w:lineRule="exact"/>
              <w:rPr>
                <w:rFonts w:hint="eastAsia" w:ascii="宋体" w:hAnsi="宋体" w:cs="宋体"/>
                <w:color w:val="auto"/>
                <w:sz w:val="24"/>
              </w:rPr>
            </w:pPr>
            <w:r>
              <w:rPr>
                <w:rFonts w:hint="eastAsia" w:ascii="宋体" w:hAnsi="宋体" w:cs="宋体"/>
                <w:color w:val="auto"/>
                <w:sz w:val="24"/>
              </w:rPr>
              <w:t>5.有独立非外扩展的电脑USB接口：电脑上至少6个USB接口，其中至少包含2个USB3.0接口。</w:t>
            </w:r>
          </w:p>
          <w:p>
            <w:pPr>
              <w:pStyle w:val="559"/>
              <w:spacing w:line="400" w:lineRule="exact"/>
              <w:rPr>
                <w:rFonts w:hint="eastAsia" w:ascii="宋体" w:hAnsi="宋体" w:cs="宋体"/>
                <w:color w:val="auto"/>
                <w:sz w:val="24"/>
              </w:rPr>
            </w:pPr>
            <w:r>
              <w:rPr>
                <w:rFonts w:hint="eastAsia" w:ascii="宋体" w:hAnsi="宋体" w:cs="宋体"/>
                <w:color w:val="auto"/>
                <w:sz w:val="24"/>
              </w:rPr>
              <w:t>6.具有独立非外扩展的视频输出接口：≥1路HDMI ；≥1路DP。</w:t>
            </w:r>
          </w:p>
          <w:p>
            <w:pPr>
              <w:pStyle w:val="559"/>
              <w:spacing w:line="400" w:lineRule="exact"/>
              <w:rPr>
                <w:rFonts w:hint="eastAsia" w:ascii="宋体" w:hAnsi="宋体" w:cs="宋体"/>
                <w:color w:val="auto"/>
                <w:sz w:val="24"/>
              </w:rPr>
            </w:pPr>
            <w:r>
              <w:rPr>
                <w:rFonts w:hint="eastAsia" w:ascii="宋体" w:hAnsi="宋体" w:cs="宋体"/>
                <w:color w:val="auto"/>
                <w:sz w:val="24"/>
              </w:rPr>
              <w:t>7.具有标准PC防盗锁孔，确保电脑模块安全防盗。</w:t>
            </w:r>
          </w:p>
          <w:p>
            <w:pPr>
              <w:pStyle w:val="559"/>
              <w:spacing w:line="400" w:lineRule="exact"/>
              <w:rPr>
                <w:rFonts w:hint="eastAsia" w:ascii="宋体" w:hAnsi="宋体" w:cs="宋体"/>
                <w:color w:val="auto"/>
                <w:sz w:val="24"/>
              </w:rPr>
            </w:pPr>
            <w:r>
              <w:rPr>
                <w:rFonts w:hint="eastAsia" w:ascii="宋体" w:hAnsi="宋体" w:cs="宋体"/>
                <w:color w:val="auto"/>
                <w:sz w:val="24"/>
              </w:rPr>
              <w:t>白板教学软件：</w:t>
            </w:r>
          </w:p>
          <w:p>
            <w:pPr>
              <w:pStyle w:val="559"/>
              <w:spacing w:line="400" w:lineRule="exact"/>
              <w:rPr>
                <w:rFonts w:hint="eastAsia" w:ascii="宋体" w:hAnsi="宋体" w:cs="宋体"/>
                <w:color w:val="auto"/>
                <w:sz w:val="24"/>
              </w:rPr>
            </w:pPr>
            <w:r>
              <w:rPr>
                <w:rFonts w:hint="eastAsia" w:ascii="宋体" w:hAnsi="宋体" w:cs="宋体"/>
                <w:color w:val="auto"/>
                <w:sz w:val="24"/>
              </w:rPr>
              <w:t>1.支持老师个人账号注册登录使用，可通过U盘插入进行身份快速识别登录。老师只需登录即可获取云课件。</w:t>
            </w:r>
          </w:p>
          <w:p>
            <w:pPr>
              <w:pStyle w:val="559"/>
              <w:spacing w:line="400" w:lineRule="exact"/>
              <w:rPr>
                <w:rFonts w:hint="eastAsia" w:ascii="宋体" w:hAnsi="宋体" w:cs="宋体"/>
                <w:color w:val="auto"/>
                <w:sz w:val="24"/>
              </w:rPr>
            </w:pPr>
            <w:r>
              <w:rPr>
                <w:rFonts w:hint="eastAsia" w:ascii="宋体" w:hAnsi="宋体" w:cs="宋体"/>
                <w:color w:val="auto"/>
                <w:sz w:val="24"/>
              </w:rPr>
              <w:t>2.白板软件支持英文单词听写功能，老师可以根据章节选择单词现场制作听写卡片，也可以自定义增加单词，可进行听写设置，如朗读方式、音效、书写时间、朗读次数等。</w:t>
            </w:r>
          </w:p>
          <w:p>
            <w:pPr>
              <w:pStyle w:val="559"/>
              <w:spacing w:line="400" w:lineRule="exact"/>
              <w:rPr>
                <w:rFonts w:hint="eastAsia" w:ascii="宋体" w:hAnsi="宋体" w:cs="宋体"/>
                <w:color w:val="auto"/>
                <w:sz w:val="24"/>
              </w:rPr>
            </w:pPr>
            <w:r>
              <w:rPr>
                <w:rFonts w:hint="eastAsia" w:ascii="宋体" w:hAnsi="宋体" w:cs="宋体"/>
                <w:color w:val="auto"/>
                <w:sz w:val="24"/>
              </w:rPr>
              <w:t>3.支持一对多分享云课件，用户可在软件中通过生成课件链接/二维码，分享给其他用户，接收方可点击链接/扫描二维码，通过网页方式浏览课件并体验课件互动功能，方便快捷。同时接收方可在网页版课件页面点击课件下载，登陆软件即可获取课件。</w:t>
            </w:r>
          </w:p>
          <w:p>
            <w:pPr>
              <w:pStyle w:val="559"/>
              <w:spacing w:line="400" w:lineRule="exact"/>
              <w:rPr>
                <w:rFonts w:hint="eastAsia" w:ascii="宋体" w:hAnsi="宋体" w:cs="宋体"/>
                <w:color w:val="auto"/>
                <w:sz w:val="24"/>
              </w:rPr>
            </w:pPr>
            <w:r>
              <w:rPr>
                <w:rFonts w:hint="eastAsia" w:ascii="宋体" w:hAnsi="宋体" w:cs="宋体"/>
                <w:color w:val="auto"/>
                <w:sz w:val="24"/>
              </w:rPr>
              <w:t>4.现场演示白板软件听课评价功能，参与听课老师只需扫描二维码即可通过手机进行评课，评课结果自动上传到数据管理平台上，无需后期手动记录。</w:t>
            </w:r>
          </w:p>
          <w:p>
            <w:pPr>
              <w:pStyle w:val="559"/>
              <w:spacing w:line="400" w:lineRule="exact"/>
              <w:rPr>
                <w:rFonts w:hint="eastAsia" w:ascii="宋体" w:hAnsi="宋体" w:cs="宋体"/>
                <w:color w:val="auto"/>
                <w:sz w:val="24"/>
              </w:rPr>
            </w:pPr>
            <w:r>
              <w:rPr>
                <w:rFonts w:hint="eastAsia" w:ascii="宋体" w:hAnsi="宋体" w:cs="宋体"/>
                <w:color w:val="auto"/>
                <w:sz w:val="24"/>
              </w:rPr>
              <w:t>5.支持意见反馈机制，老师可通过软件给原厂发送问题及反馈建议，支持文字及图片形式。</w:t>
            </w:r>
          </w:p>
          <w:p>
            <w:pPr>
              <w:pStyle w:val="559"/>
              <w:spacing w:line="400" w:lineRule="exact"/>
              <w:rPr>
                <w:rFonts w:hint="eastAsia" w:ascii="宋体" w:hAnsi="宋体" w:cs="宋体"/>
                <w:color w:val="auto"/>
                <w:sz w:val="24"/>
              </w:rPr>
            </w:pPr>
            <w:r>
              <w:rPr>
                <w:rFonts w:hint="eastAsia" w:ascii="宋体" w:hAnsi="宋体" w:cs="宋体"/>
                <w:color w:val="auto"/>
                <w:sz w:val="24"/>
              </w:rPr>
              <w:t>6.软件支持PPT的一键导入到教学白板，教师可将pptx课件转化为互动教学课件，支持单份导入和批量文件夹导入两种格式，保留pptx原文件中的文字、图片、表格等对象及动画的可二次编辑性，并可为课件增加互动教学元素。</w:t>
            </w:r>
          </w:p>
          <w:p>
            <w:pPr>
              <w:pStyle w:val="559"/>
              <w:spacing w:line="400" w:lineRule="exact"/>
              <w:rPr>
                <w:rFonts w:hint="eastAsia" w:ascii="宋体" w:hAnsi="宋体" w:cs="宋体"/>
                <w:color w:val="auto"/>
                <w:sz w:val="24"/>
              </w:rPr>
            </w:pPr>
            <w:r>
              <w:rPr>
                <w:rFonts w:hint="eastAsia" w:ascii="宋体" w:hAnsi="宋体" w:cs="宋体"/>
                <w:color w:val="auto"/>
                <w:sz w:val="24"/>
              </w:rPr>
              <w:t>7.整机处于任意通道下，调用互动课堂功能，使用任意学生移动终端扫描二维码即可实现互动答题功能。老师可发起单选，多选或抢答题等。学生可便捷设置学生姓名，老师可管理课堂答题情况。</w:t>
            </w:r>
          </w:p>
          <w:p>
            <w:pPr>
              <w:pStyle w:val="559"/>
              <w:spacing w:line="400" w:lineRule="exact"/>
              <w:rPr>
                <w:rFonts w:hint="eastAsia" w:ascii="宋体" w:hAnsi="宋体" w:cs="宋体"/>
                <w:color w:val="auto"/>
                <w:sz w:val="24"/>
              </w:rPr>
            </w:pPr>
            <w:r>
              <w:rPr>
                <w:rFonts w:hint="eastAsia" w:ascii="宋体" w:hAnsi="宋体" w:cs="宋体"/>
                <w:color w:val="auto"/>
                <w:sz w:val="24"/>
              </w:rPr>
              <w:t>8.互动分类游戏：支持创建互动分类游戏，可自定义不同类别及相对应的对象，实现将不同对象拖拽到对应的类别容器中可自动辨识分类，分类正确或错误均有相应提示，同时在竞争模式下可记录不同操作者的动作和用时，并自动识别排名。类别和对象的样式、数量均可以自定义设置。系统需提供不少于10种游戏模板，直接选择并输入相应内容即可轻松生成互动分类游戏，提升课堂趣味性。</w:t>
            </w:r>
          </w:p>
          <w:p>
            <w:pPr>
              <w:pStyle w:val="559"/>
              <w:spacing w:line="400" w:lineRule="exact"/>
              <w:rPr>
                <w:rFonts w:hint="eastAsia" w:ascii="宋体" w:hAnsi="宋体" w:cs="宋体"/>
                <w:color w:val="auto"/>
                <w:sz w:val="24"/>
              </w:rPr>
            </w:pPr>
            <w:r>
              <w:rPr>
                <w:rFonts w:hint="eastAsia" w:ascii="宋体" w:hAnsi="宋体" w:cs="宋体"/>
                <w:color w:val="auto"/>
                <w:sz w:val="24"/>
              </w:rPr>
              <w:t>9.智能选词填空：支持创建智能选词填空游戏，填空选项支持并列选项，并列选项支持答案互换，教师可随意编辑填空题题干以及相应的答案选项，将选项拖到对应题干空白处，系统将自动判别答案是否正确，系统需提供不少于9种游戏模板供老师选择，且模板样式支持自定义修改。</w:t>
            </w:r>
          </w:p>
          <w:p>
            <w:pPr>
              <w:pStyle w:val="559"/>
              <w:spacing w:line="400" w:lineRule="exact"/>
              <w:rPr>
                <w:rFonts w:hint="eastAsia" w:ascii="宋体" w:hAnsi="宋体" w:cs="宋体"/>
                <w:color w:val="auto"/>
                <w:sz w:val="24"/>
              </w:rPr>
            </w:pPr>
            <w:r>
              <w:rPr>
                <w:rFonts w:hint="eastAsia" w:ascii="宋体" w:hAnsi="宋体" w:cs="宋体"/>
                <w:color w:val="auto"/>
                <w:sz w:val="24"/>
              </w:rPr>
              <w:t>10.美术画板：支持美术画板工具，提供铅笔、毛笔、油画笔，可实现模拟调色盘功能，老师可自由选择不同颜色进行混合调色，搭配出任意色彩。</w:t>
            </w:r>
          </w:p>
          <w:p>
            <w:pPr>
              <w:pStyle w:val="559"/>
              <w:spacing w:line="400" w:lineRule="exact"/>
              <w:rPr>
                <w:rFonts w:hint="eastAsia" w:ascii="宋体" w:hAnsi="宋体" w:cs="宋体"/>
                <w:color w:val="auto"/>
                <w:sz w:val="24"/>
              </w:rPr>
            </w:pPr>
            <w:r>
              <w:rPr>
                <w:rFonts w:hint="eastAsia" w:ascii="宋体" w:hAnsi="宋体" w:cs="宋体"/>
                <w:color w:val="auto"/>
                <w:sz w:val="24"/>
              </w:rPr>
              <w:t>11.数学公式编辑器：支持中文、复杂数学公式输入，并且支持直接用键盘enter键换行，可实现在编辑器内输入方程组、在编辑器中输入脱式运算，提供不少于72个数学符号及模板，输出的公式内容支持不同颜色标记及二次编辑。</w:t>
            </w:r>
          </w:p>
          <w:p>
            <w:pPr>
              <w:pStyle w:val="559"/>
              <w:spacing w:line="400" w:lineRule="exact"/>
              <w:rPr>
                <w:rFonts w:hint="eastAsia" w:ascii="宋体" w:hAnsi="宋体" w:cs="宋体"/>
                <w:color w:val="auto"/>
                <w:sz w:val="24"/>
              </w:rPr>
            </w:pPr>
            <w:r>
              <w:rPr>
                <w:rFonts w:hint="eastAsia" w:ascii="宋体" w:hAnsi="宋体" w:cs="宋体"/>
                <w:color w:val="auto"/>
                <w:sz w:val="24"/>
              </w:rPr>
              <w:t>12.思维导图：提供思维导图、鱼骨图及组织结构图编辑功能，可轻松增删或拖拽编辑内容节点，并支持在节点上插入备注、图片、音频、视频、网页链接、课件页面链接，插入多张图片是可通过翻页浏览。支持思维导图逐级、逐个节点展开，并可任意缩放，满足不同演示需求。</w:t>
            </w:r>
          </w:p>
          <w:p>
            <w:pPr>
              <w:pStyle w:val="559"/>
              <w:spacing w:line="400" w:lineRule="exact"/>
              <w:rPr>
                <w:rFonts w:hint="eastAsia" w:ascii="宋体" w:hAnsi="宋体" w:cs="宋体"/>
                <w:color w:val="auto"/>
                <w:sz w:val="24"/>
              </w:rPr>
            </w:pPr>
            <w:r>
              <w:rPr>
                <w:rFonts w:hint="eastAsia" w:ascii="宋体" w:hAnsi="宋体" w:cs="宋体"/>
                <w:color w:val="auto"/>
                <w:sz w:val="24"/>
              </w:rPr>
              <w:t>13.美术画板：支持美术画板工具，提供铅笔、毛笔、油画笔，可实现模拟调色盘功能，老师可自由选择不同颜色进行混合调色，搭配出任意色彩。</w:t>
            </w:r>
          </w:p>
          <w:p>
            <w:pPr>
              <w:pStyle w:val="559"/>
              <w:spacing w:line="400" w:lineRule="exact"/>
              <w:rPr>
                <w:rFonts w:hint="eastAsia" w:ascii="宋体" w:hAnsi="宋体" w:cs="宋体"/>
                <w:color w:val="auto"/>
                <w:sz w:val="24"/>
              </w:rPr>
            </w:pPr>
            <w:r>
              <w:rPr>
                <w:rFonts w:hint="eastAsia" w:ascii="宋体" w:hAnsi="宋体" w:cs="宋体"/>
                <w:color w:val="auto"/>
                <w:sz w:val="24"/>
              </w:rPr>
              <w:t>14.地球教学工具：提供立体地球教学工具，清晰展现地球表面的六大板块、降水分布、气温分布、气候分布、人口分布、表层洋流、陆地自然带、海平面等压线等内容，且支持三维、二维切换展示，方便地理学科教学。</w:t>
            </w:r>
          </w:p>
          <w:p>
            <w:pPr>
              <w:pStyle w:val="559"/>
              <w:spacing w:line="400" w:lineRule="exact"/>
              <w:rPr>
                <w:rFonts w:hint="eastAsia" w:ascii="宋体" w:hAnsi="宋体" w:cs="宋体"/>
                <w:color w:val="auto"/>
                <w:sz w:val="24"/>
              </w:rPr>
            </w:pPr>
            <w:r>
              <w:rPr>
                <w:rFonts w:hint="eastAsia" w:ascii="宋体" w:hAnsi="宋体" w:cs="宋体"/>
                <w:color w:val="auto"/>
                <w:sz w:val="24"/>
              </w:rPr>
              <w:t>15.具备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pPr>
              <w:pStyle w:val="559"/>
              <w:spacing w:line="400" w:lineRule="exact"/>
              <w:rPr>
                <w:rFonts w:hint="eastAsia" w:ascii="宋体" w:hAnsi="宋体" w:eastAsia="宋体" w:cs="宋体"/>
                <w:color w:val="auto"/>
                <w:sz w:val="24"/>
                <w:lang w:eastAsia="zh-CN"/>
              </w:rPr>
            </w:pPr>
            <w:r>
              <w:rPr>
                <w:rFonts w:hint="eastAsia" w:ascii="宋体" w:hAnsi="宋体" w:cs="宋体"/>
                <w:color w:val="auto"/>
                <w:sz w:val="24"/>
              </w:rPr>
              <w:t>△16.投标产品的制造商需通过CMMI3或以上软件能力成熟度模型集成认证</w:t>
            </w:r>
            <w:r>
              <w:rPr>
                <w:rFonts w:hint="eastAsia" w:ascii="宋体" w:hAnsi="宋体" w:cs="宋体"/>
                <w:color w:val="auto"/>
                <w:sz w:val="24"/>
                <w:lang w:eastAsia="zh-CN"/>
              </w:rPr>
              <w:t>。</w:t>
            </w:r>
          </w:p>
          <w:p>
            <w:pPr>
              <w:pStyle w:val="559"/>
              <w:spacing w:line="400" w:lineRule="exact"/>
              <w:rPr>
                <w:rFonts w:hint="eastAsia" w:ascii="宋体" w:hAnsi="宋体" w:cs="宋体"/>
                <w:color w:val="auto"/>
                <w:sz w:val="24"/>
              </w:rPr>
            </w:pPr>
            <w:r>
              <w:rPr>
                <w:rFonts w:hint="eastAsia" w:ascii="宋体" w:hAnsi="宋体" w:cs="宋体"/>
                <w:color w:val="auto"/>
                <w:sz w:val="24"/>
              </w:rPr>
              <w:t>集中控制软件：</w:t>
            </w:r>
          </w:p>
          <w:p>
            <w:pPr>
              <w:pStyle w:val="559"/>
              <w:spacing w:line="400" w:lineRule="exact"/>
              <w:rPr>
                <w:rFonts w:hint="eastAsia" w:ascii="宋体" w:hAnsi="宋体" w:cs="宋体"/>
                <w:color w:val="auto"/>
                <w:sz w:val="24"/>
              </w:rPr>
            </w:pPr>
            <w:r>
              <w:rPr>
                <w:rFonts w:hint="eastAsia" w:ascii="宋体" w:hAnsi="宋体" w:cs="宋体"/>
                <w:color w:val="auto"/>
                <w:sz w:val="24"/>
              </w:rPr>
              <w:t>1.远程监控：在控制端网页可实时监控已连接的一体机，可远程查看开关机状态、使用状态评估、整机温度、以及系统内存、硬盘空间等设备信息。</w:t>
            </w:r>
          </w:p>
          <w:p>
            <w:pPr>
              <w:pStyle w:val="559"/>
              <w:spacing w:line="400" w:lineRule="exact"/>
              <w:rPr>
                <w:rFonts w:hint="eastAsia" w:ascii="宋体" w:hAnsi="宋体" w:cs="宋体"/>
                <w:color w:val="auto"/>
                <w:sz w:val="24"/>
              </w:rPr>
            </w:pPr>
            <w:r>
              <w:rPr>
                <w:rFonts w:hint="eastAsia" w:ascii="宋体" w:hAnsi="宋体" w:cs="宋体"/>
                <w:color w:val="auto"/>
                <w:sz w:val="24"/>
              </w:rPr>
              <w:t>2.远程设备控制：在控制端网页可对已连接的一体机进行实时控制，包括开关机、切换通道、更改图像及声音模式、锁屏等功能。</w:t>
            </w:r>
          </w:p>
          <w:p>
            <w:pPr>
              <w:pStyle w:val="559"/>
              <w:spacing w:line="400" w:lineRule="exact"/>
              <w:rPr>
                <w:rFonts w:hint="eastAsia" w:ascii="宋体" w:hAnsi="宋体" w:cs="宋体"/>
                <w:color w:val="auto"/>
                <w:sz w:val="24"/>
              </w:rPr>
            </w:pPr>
            <w:r>
              <w:rPr>
                <w:rFonts w:hint="eastAsia" w:ascii="宋体" w:hAnsi="宋体" w:cs="宋体"/>
                <w:color w:val="auto"/>
                <w:sz w:val="24"/>
              </w:rPr>
              <w:t>3.支持区域集控功能：可实现本区域跨校跨网段远程数据管理，系统自动生成各学校对应的专属代码，各校一体机接入互联网输入对应代码，即可自动完成与区级数据平台的对接，实现数据的远程搜集和分析，以便了解一体机设备整体的使用情况。</w:t>
            </w:r>
          </w:p>
          <w:p>
            <w:pPr>
              <w:pStyle w:val="559"/>
              <w:spacing w:line="400" w:lineRule="exact"/>
              <w:rPr>
                <w:rFonts w:hint="eastAsia" w:ascii="宋体" w:hAnsi="宋体" w:cs="宋体"/>
                <w:color w:val="auto"/>
                <w:sz w:val="24"/>
              </w:rPr>
            </w:pPr>
            <w:r>
              <w:rPr>
                <w:rFonts w:hint="eastAsia" w:ascii="宋体" w:hAnsi="宋体" w:cs="宋体"/>
                <w:color w:val="auto"/>
                <w:sz w:val="24"/>
              </w:rPr>
              <w:t>4.整体数据汇总分析：区域数据平台可自动汇总各学校入网一体机的使用数据，对各学校总体数据进行横向对比，并输出数据图表，提供多维度包括各学校使用活跃度总体排行、一体机使用总时长、各类软件使用总体分布情况等在内的各学校整体运行数据。</w:t>
            </w:r>
          </w:p>
          <w:p>
            <w:pPr>
              <w:pStyle w:val="559"/>
              <w:spacing w:line="400" w:lineRule="exact"/>
              <w:rPr>
                <w:rFonts w:hint="eastAsia" w:ascii="宋体" w:hAnsi="宋体" w:cs="宋体"/>
                <w:color w:val="auto"/>
                <w:sz w:val="24"/>
              </w:rPr>
            </w:pPr>
            <w:r>
              <w:rPr>
                <w:rFonts w:hint="eastAsia" w:ascii="宋体" w:hAnsi="宋体" w:cs="宋体"/>
                <w:color w:val="auto"/>
                <w:sz w:val="24"/>
              </w:rPr>
              <w:t>5.区域设备管理：区域控制端可实时监控区域内已连接的一体机开关机状态，并可实时同步查看其桌面画面。</w:t>
            </w:r>
          </w:p>
          <w:p>
            <w:pPr>
              <w:pStyle w:val="559"/>
              <w:spacing w:line="400" w:lineRule="exact"/>
              <w:rPr>
                <w:rFonts w:hint="eastAsia" w:ascii="宋体" w:hAnsi="宋体" w:cs="宋体"/>
                <w:color w:val="auto"/>
                <w:kern w:val="2"/>
                <w:sz w:val="24"/>
              </w:rPr>
            </w:pPr>
            <w:r>
              <w:rPr>
                <w:rFonts w:hint="eastAsia" w:ascii="宋体" w:hAnsi="宋体" w:cs="宋体"/>
                <w:color w:val="auto"/>
                <w:sz w:val="24"/>
                <w:lang w:val="zh-CN"/>
              </w:rPr>
              <w:t>签订合同时提供生产厂家针对本项目投标单位授权书原件及生产厂家针对本项目使用单位三年质保函原件加盖原厂公章。</w:t>
            </w:r>
          </w:p>
        </w:tc>
        <w:tc>
          <w:tcPr>
            <w:tcW w:w="670" w:type="dxa"/>
            <w:noWrap w:val="0"/>
            <w:vAlign w:val="center"/>
          </w:tcPr>
          <w:p>
            <w:pPr>
              <w:widowControl/>
              <w:spacing w:line="4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台</w:t>
            </w:r>
          </w:p>
        </w:tc>
        <w:tc>
          <w:tcPr>
            <w:tcW w:w="640" w:type="dxa"/>
            <w:noWrap w:val="0"/>
            <w:vAlign w:val="center"/>
          </w:tcPr>
          <w:p>
            <w:pPr>
              <w:widowControl/>
              <w:spacing w:line="4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400" w:lineRule="exact"/>
              <w:jc w:val="center"/>
              <w:textAlignment w:val="center"/>
              <w:rPr>
                <w:rFonts w:hint="eastAsia" w:ascii="宋体" w:hAnsi="宋体" w:cs="宋体"/>
                <w:color w:val="auto"/>
                <w:sz w:val="24"/>
                <w:szCs w:val="24"/>
              </w:rPr>
            </w:pPr>
            <w:r>
              <w:rPr>
                <w:rFonts w:hint="eastAsia" w:ascii="宋体" w:hAnsi="宋体" w:cs="宋体"/>
                <w:color w:val="auto"/>
                <w:sz w:val="24"/>
                <w:szCs w:val="24"/>
              </w:rPr>
              <w:t>5</w:t>
            </w:r>
          </w:p>
        </w:tc>
        <w:tc>
          <w:tcPr>
            <w:tcW w:w="1212" w:type="dxa"/>
            <w:noWrap w:val="0"/>
            <w:vAlign w:val="center"/>
          </w:tcPr>
          <w:p>
            <w:pPr>
              <w:widowControl/>
              <w:spacing w:line="4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壁挂式高拍仪</w:t>
            </w:r>
          </w:p>
        </w:tc>
        <w:tc>
          <w:tcPr>
            <w:tcW w:w="5458" w:type="dxa"/>
            <w:noWrap w:val="0"/>
            <w:vAlign w:val="top"/>
          </w:tcPr>
          <w:p>
            <w:pPr>
              <w:spacing w:line="400" w:lineRule="exact"/>
              <w:textAlignment w:val="center"/>
              <w:rPr>
                <w:rFonts w:hint="eastAsia" w:ascii="宋体" w:hAnsi="宋体" w:cs="宋体"/>
                <w:color w:val="auto"/>
                <w:sz w:val="24"/>
                <w:szCs w:val="24"/>
              </w:rPr>
            </w:pPr>
            <w:r>
              <w:rPr>
                <w:rFonts w:hint="eastAsia" w:ascii="宋体" w:hAnsi="宋体" w:cs="宋体"/>
                <w:color w:val="auto"/>
                <w:kern w:val="0"/>
                <w:sz w:val="24"/>
                <w:szCs w:val="24"/>
                <w:lang w:val="zh-CN"/>
              </w:rPr>
              <w:t>★</w:t>
            </w:r>
            <w:r>
              <w:rPr>
                <w:rFonts w:hint="eastAsia" w:ascii="宋体" w:hAnsi="宋体" w:cs="宋体"/>
                <w:color w:val="auto"/>
                <w:kern w:val="0"/>
                <w:sz w:val="24"/>
                <w:szCs w:val="24"/>
              </w:rPr>
              <w:t>为保障设备兼容性，需</w:t>
            </w:r>
            <w:r>
              <w:rPr>
                <w:rFonts w:hint="eastAsia" w:ascii="宋体" w:hAnsi="宋体" w:cs="宋体"/>
                <w:color w:val="auto"/>
                <w:sz w:val="24"/>
                <w:szCs w:val="24"/>
              </w:rPr>
              <w:t>与75寸红外触摸一体机同一品牌。</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1.采用≥800万像素摄像头；采用 USB五伏电源直接供电，无需额外配置电源适配器，环保无辐射；箱内USB连线采用隐藏式设计，箱内无可见连线且USB口下出，有效防止积尘，且方便布线和返修。</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2.A4大小拍摄幅面，1080P动态视频预览达到30帧/秒；托板及挂墙部分采用金属加强，托板可承重3kg，整机壁挂式安装。</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3.支持展台成像画面实时批注，预设多种笔划粗细及颜色供选择，且支持对展台成像画面联同批注内容进行同步缩放、移动。</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4.整机采用圆弧式设计，无锐角；同时托板采用磁吸吸附式机构，防止托板打落，方便打开及固定，避免机械式锁具故障率高的问题。</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5.展示托板正上方具备LED补光灯，保证展示区域的亮度及展示效果，补光灯开关采用触摸按键设计，同时可通过交互智能平板中的软件直接控制开关；</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△6.带自动对焦摄像头；外壳在摄像头部分带保护镜片密封，防止灰尘沾染摄像头，防护等级达到IP4X级别。</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7.具有故障自动检测功能：在调用展台却无法出现镜头采集画面信号时，可自动出现检测链接，并给出导致性原因</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软件参数</w:t>
            </w:r>
            <w:r>
              <w:rPr>
                <w:rFonts w:hint="eastAsia" w:ascii="宋体" w:hAnsi="宋体" w:cs="宋体"/>
                <w:color w:val="auto"/>
                <w:sz w:val="24"/>
                <w:szCs w:val="24"/>
              </w:rPr>
              <w:tab/>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1.支持对展台画面进行放大、缩小、旋转、自适应、冻结画面等操作。</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2.支持展台画面实时批注，预设多种笔划粗细及颜色供选择，且支持对展台画面联同批注内容进行同步缩放、移动。</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3.支持展台画面拍照截图并进行多图预览，可对任一图片进行全屏显示。</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4.老师可在一体机或电脑上选择延时拍照功能，支持5秒或10秒延时模式，预留充足时间以便调整拍摄内容。</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5.具备图像增强功能，可自动裁剪背景并增强文字显示，使文档画面更清晰。</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6.可选择图像、文本或动态等多种情景模式，适应不同展示内容。</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7.支持故障自动检测，在软件无法出现展台拍摄画面时，自动出现检测链接，帮助用户检测“无画面”的原因，并给出引导性解决方案。可判断硬件连接、显卡驱动、摄像头占用、软件版本等问题。</w:t>
            </w:r>
          </w:p>
          <w:p>
            <w:pPr>
              <w:spacing w:line="400" w:lineRule="exact"/>
              <w:textAlignment w:val="center"/>
              <w:rPr>
                <w:rFonts w:hint="eastAsia" w:ascii="宋体" w:hAnsi="宋体" w:cs="宋体"/>
                <w:color w:val="auto"/>
                <w:sz w:val="24"/>
                <w:szCs w:val="24"/>
              </w:rPr>
            </w:pPr>
            <w:r>
              <w:rPr>
                <w:rFonts w:hint="eastAsia" w:ascii="宋体" w:hAnsi="宋体" w:cs="宋体"/>
                <w:color w:val="auto"/>
                <w:sz w:val="24"/>
                <w:szCs w:val="24"/>
              </w:rPr>
              <w:t>8.支持二维码扫码功能：打开扫一扫功能后，将书本上的二维码放入扫描框内即可自动扫描，并进入系统浏览器获取二维码的链接内容，帮助老师快速获取电子教学资源。</w:t>
            </w:r>
          </w:p>
        </w:tc>
        <w:tc>
          <w:tcPr>
            <w:tcW w:w="670" w:type="dxa"/>
            <w:noWrap w:val="0"/>
            <w:vAlign w:val="center"/>
          </w:tcPr>
          <w:p>
            <w:pPr>
              <w:widowControl/>
              <w:spacing w:line="4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套</w:t>
            </w:r>
          </w:p>
        </w:tc>
        <w:tc>
          <w:tcPr>
            <w:tcW w:w="640" w:type="dxa"/>
            <w:noWrap w:val="0"/>
            <w:vAlign w:val="center"/>
          </w:tcPr>
          <w:p>
            <w:pPr>
              <w:widowControl/>
              <w:spacing w:line="4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400" w:lineRule="exact"/>
              <w:jc w:val="center"/>
              <w:textAlignment w:val="center"/>
              <w:rPr>
                <w:rFonts w:hint="eastAsia" w:ascii="宋体" w:hAnsi="宋体" w:cs="宋体"/>
                <w:color w:val="auto"/>
                <w:sz w:val="24"/>
                <w:szCs w:val="24"/>
              </w:rPr>
            </w:pPr>
            <w:r>
              <w:rPr>
                <w:rFonts w:hint="eastAsia" w:ascii="宋体" w:hAnsi="宋体" w:cs="宋体"/>
                <w:color w:val="auto"/>
                <w:sz w:val="24"/>
                <w:szCs w:val="24"/>
              </w:rPr>
              <w:t>6</w:t>
            </w:r>
          </w:p>
        </w:tc>
        <w:tc>
          <w:tcPr>
            <w:tcW w:w="1212" w:type="dxa"/>
            <w:noWrap w:val="0"/>
            <w:vAlign w:val="top"/>
          </w:tcPr>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安装及附件</w:t>
            </w:r>
          </w:p>
        </w:tc>
        <w:tc>
          <w:tcPr>
            <w:tcW w:w="5458" w:type="dxa"/>
            <w:noWrap w:val="0"/>
            <w:vAlign w:val="top"/>
          </w:tcPr>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含交互智能平板壁装支架、VGA线、视频线和两声道音频线(线长度都≥9.0 m)、网络线、水晶头RJ45.阻燃塑料线槽板或PVC管、线槽板等安装所需必要附件。</w:t>
            </w:r>
          </w:p>
        </w:tc>
        <w:tc>
          <w:tcPr>
            <w:tcW w:w="670" w:type="dxa"/>
            <w:noWrap w:val="0"/>
            <w:vAlign w:val="top"/>
          </w:tcPr>
          <w:p>
            <w:pPr>
              <w:autoSpaceDE w:val="0"/>
              <w:autoSpaceDN w:val="0"/>
              <w:adjustRightInd w:val="0"/>
              <w:spacing w:line="400" w:lineRule="exact"/>
              <w:jc w:val="center"/>
              <w:rPr>
                <w:rFonts w:hint="eastAsia" w:ascii="宋体" w:hAnsi="宋体" w:cs="宋体"/>
                <w:color w:val="auto"/>
                <w:kern w:val="0"/>
                <w:sz w:val="24"/>
                <w:szCs w:val="24"/>
                <w:lang w:val="zh-CN"/>
              </w:rPr>
            </w:pPr>
            <w:r>
              <w:rPr>
                <w:rFonts w:hint="eastAsia" w:ascii="宋体" w:hAnsi="宋体" w:cs="宋体"/>
                <w:color w:val="auto"/>
                <w:kern w:val="0"/>
                <w:sz w:val="24"/>
                <w:szCs w:val="24"/>
              </w:rPr>
              <w:t>批</w:t>
            </w:r>
          </w:p>
        </w:tc>
        <w:tc>
          <w:tcPr>
            <w:tcW w:w="640" w:type="dxa"/>
            <w:noWrap w:val="0"/>
            <w:vAlign w:val="top"/>
          </w:tcPr>
          <w:p>
            <w:pPr>
              <w:autoSpaceDE w:val="0"/>
              <w:autoSpaceDN w:val="0"/>
              <w:adjustRightInd w:val="0"/>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14" w:type="dxa"/>
            <w:gridSpan w:val="5"/>
            <w:noWrap w:val="0"/>
            <w:vAlign w:val="center"/>
          </w:tcPr>
          <w:p>
            <w:pPr>
              <w:widowControl/>
              <w:spacing w:line="400" w:lineRule="exac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二、云机房系统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400" w:lineRule="exact"/>
              <w:jc w:val="center"/>
              <w:textAlignment w:val="center"/>
              <w:rPr>
                <w:rFonts w:hint="eastAsia" w:ascii="宋体" w:hAnsi="宋体" w:cs="宋体"/>
                <w:color w:val="auto"/>
                <w:sz w:val="24"/>
                <w:szCs w:val="24"/>
              </w:rPr>
            </w:pPr>
            <w:r>
              <w:rPr>
                <w:rFonts w:hint="eastAsia" w:ascii="宋体" w:hAnsi="宋体" w:cs="宋体"/>
                <w:color w:val="auto"/>
                <w:sz w:val="24"/>
                <w:szCs w:val="24"/>
              </w:rPr>
              <w:t>1</w:t>
            </w:r>
          </w:p>
        </w:tc>
        <w:tc>
          <w:tcPr>
            <w:tcW w:w="1212" w:type="dxa"/>
            <w:noWrap w:val="0"/>
            <w:vAlign w:val="center"/>
          </w:tcPr>
          <w:p>
            <w:pPr>
              <w:autoSpaceDE w:val="0"/>
              <w:autoSpaceDN w:val="0"/>
              <w:adjustRightInd w:val="0"/>
              <w:spacing w:line="400" w:lineRule="exact"/>
              <w:jc w:val="center"/>
              <w:rPr>
                <w:rFonts w:hint="eastAsia" w:ascii="宋体" w:hAnsi="宋体" w:cs="宋体"/>
                <w:color w:val="auto"/>
                <w:kern w:val="0"/>
                <w:sz w:val="24"/>
                <w:szCs w:val="24"/>
                <w:lang w:val="zh-CN"/>
              </w:rPr>
            </w:pPr>
            <w:r>
              <w:rPr>
                <w:rFonts w:hint="eastAsia" w:ascii="宋体" w:hAnsi="宋体" w:cs="宋体"/>
                <w:color w:val="auto"/>
                <w:kern w:val="0"/>
                <w:sz w:val="24"/>
                <w:szCs w:val="24"/>
              </w:rPr>
              <w:t>云主机</w:t>
            </w:r>
          </w:p>
        </w:tc>
        <w:tc>
          <w:tcPr>
            <w:tcW w:w="5458" w:type="dxa"/>
            <w:noWrap w:val="0"/>
            <w:vAlign w:val="top"/>
          </w:tcPr>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硬件配置：</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国产品牌2U机架式软硬件一体化设备。</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 xml:space="preserve">CPU配置≥2颗Intel Xeon skylake 4000系列处理器，单颗CPU不低于10核心，主频不低于2.2GHz。 </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内存插槽数≥24个，配置≥128GB DDR4，内存要求支持ECC，速率不低于2400MHz，支持最大内存扩展768GB。</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可插拔硬盘槽位≥8个，配置固态硬盘容量≥480GB，机械硬盘容量≥4TB。</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配置≥1块Raid卡，支持Raid0/1/10/5，自带1GB缓存，掉电瞬间，Raid卡内存信息自动写入Flash，提供永久保护。</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配置≥4个千兆以太网口，支持扩展FLOM网卡。</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支持≥10个PCIe 3.0扩展槽。</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配置2个不低于550W的电源。</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配置不少于45个学生机管理授权</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配置不少于2颗硬件CPU虚拟化授权</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基本要求：</w:t>
            </w:r>
            <w:r>
              <w:rPr>
                <w:rFonts w:hint="eastAsia" w:ascii="宋体" w:hAnsi="宋体" w:cs="宋体"/>
                <w:color w:val="auto"/>
                <w:kern w:val="0"/>
                <w:sz w:val="24"/>
                <w:szCs w:val="24"/>
                <w:lang w:val="zh-CN"/>
              </w:rPr>
              <w:tab/>
            </w:r>
          </w:p>
          <w:p>
            <w:pPr>
              <w:autoSpaceDE w:val="0"/>
              <w:autoSpaceDN w:val="0"/>
              <w:adjustRightInd w:val="0"/>
              <w:spacing w:line="400" w:lineRule="exact"/>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预装虚拟化软件，无需单独购买和配置。虚拟化软件非OEM或贴牌产品，不允许借用第三方软件的整合，以保证功能的可靠性和安全性。</w:t>
            </w:r>
          </w:p>
          <w:p>
            <w:pPr>
              <w:autoSpaceDE w:val="0"/>
              <w:autoSpaceDN w:val="0"/>
              <w:adjustRightInd w:val="0"/>
              <w:spacing w:line="400" w:lineRule="exact"/>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虚拟化软件应基于KVM开发，可维护性好，能够随着Linux版本的升级而升级，部署时无需绑定安装OpenStack相关组件。</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功能要求：</w:t>
            </w:r>
            <w:r>
              <w:rPr>
                <w:rFonts w:hint="eastAsia" w:ascii="宋体" w:hAnsi="宋体" w:cs="宋体"/>
                <w:color w:val="auto"/>
                <w:kern w:val="0"/>
                <w:sz w:val="24"/>
                <w:szCs w:val="24"/>
                <w:lang w:val="zh-CN"/>
              </w:rPr>
              <w:tab/>
            </w:r>
          </w:p>
          <w:p>
            <w:pPr>
              <w:autoSpaceDE w:val="0"/>
              <w:autoSpaceDN w:val="0"/>
              <w:adjustRightInd w:val="0"/>
              <w:spacing w:line="400" w:lineRule="exact"/>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可支持多种操作系统镜像发布，虚拟桌面支持的Windows系统必须包含Windows XP、Windows 7.Windows8.1.Windows10.Windows</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lang w:val="zh-CN"/>
              </w:rPr>
              <w:t>Server</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lang w:val="zh-CN"/>
              </w:rPr>
              <w:t>2003.</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Windows Server 2008；支持的Linux系统必须包含CentOS、Fedora、RedHat、SUSE、Ubuntu、FreeBSD、MacOS、中标红旗、中标麒麟、中标普华、深度、一铭、凝思等。</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所有操作系统镜像可以通过云主机后台管理界面实现统一管理，能够实现操作系统镜像上传、创建、编辑、复制、删除和置顶等功能。整个过程采用向导式操作，无需安装操作系统。</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每个操作系统镜像都可以配置可见和可编辑等几种权限。可以在云主机后台管理界面将权限授予教师账号。只有被授予相关权限的老师才能看到该操作系统镜像并进行相应操作。</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支持≥60用户虚拟桌面并发。为保证教学环境的兼容性，要求虚拟桌面能模拟物理PC的运行效果，使用习惯与物理PC一致，包括但不限于：有独立的虚拟资源（CPU、内存、存储、网卡），并且可以指定单独的IP地址、MAC地址；启动时能显示完整的操作系统加载过程。</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提供内置的分布式存储功能，无需额外采购分布式存储软件。分布式存储采用多副本机制保证数据可靠性，同一数据的多个副本能够分散到不同的磁盘/节点存储，各副本间保证数据的一致性。支持集群节点或者硬盘故障后的数据重构，数据不丢失。支持图形化的管理界面。</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提供虚拟教室功能，支持通过指定教师机IP地址和教室座位数量，在云主机集群上灵活划分虚拟教室。为提高资源利用率和灵活性，云主机和虚拟教室没有绑定关系。支持单个虚拟教室的虚拟桌面同时运行在≥2台云主机上，也支持单台云主机同时给≥2个不同的虚拟教室使用。</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支持在虚拟教室的管理界面一键批量创建、删除虚拟桌面，一键对多个教室进行上下课，并实现对学生桌面进行远程操作。支持虚拟教室的策略配置，包括但不限于教室名称、DNS、VLAN、白名单、禁网等。</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支持设置定时任务，主要包括定时下课和定时清理。定时下课状态下，上课时间达到设定时长之后自动执行下课操作；定时清理时，可以在每天固定的时刻或者某个指定时间点，对自由上课模式下创建的云桌面进行删除或者关闭的操作</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云主机宕机或断网后，无需人工介入，自动将虚拟桌面迁移到其他正常的云主机上，写入磁盘（包括系统盘）的数据不会丢失，保证教学环境的快速恢复，恢复时间≤10分钟。</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云主机宕机或断网后，支持通过教学管理软件一键批量控制云终端进入备用的Windows系统，云终端硬件无需重启。此时屏幕广播、视频广播等主要教学功能依然可以正常使用。</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提供考试专用课程功能。设置成功后，下课时考试桌面系统及相关考试数据不会丢失，下次打开时，学生可继续使用保留的考试桌面及数据。不再使用该考试课程后，也可手动删除根据该课程创建的虚拟桌面，以便节省存储空间。</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提供云应用功能，支持在云主机上基于应用模板创建虚拟服务器，用于教学和教务管理等业务软件的服务端部署。虚拟服务器和学生上课使用的虚拟桌面可以同时存在，互不影响。</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提供软件库功能。通过软件库功能，教师可在线对全体学生机进行软件安装。并支持老师对软件库的上传，查看，删除等管理功能。</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为提高管理平台的可靠性，支持对管理服务器主机进行资源预留设置，预留的资源需要包括vCPU和内存。</w:t>
            </w:r>
          </w:p>
        </w:tc>
        <w:tc>
          <w:tcPr>
            <w:tcW w:w="670" w:type="dxa"/>
            <w:noWrap w:val="0"/>
            <w:vAlign w:val="top"/>
          </w:tcPr>
          <w:p>
            <w:pPr>
              <w:autoSpaceDE w:val="0"/>
              <w:autoSpaceDN w:val="0"/>
              <w:adjustRightInd w:val="0"/>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台</w:t>
            </w:r>
          </w:p>
        </w:tc>
        <w:tc>
          <w:tcPr>
            <w:tcW w:w="640" w:type="dxa"/>
            <w:noWrap w:val="0"/>
            <w:vAlign w:val="top"/>
          </w:tcPr>
          <w:p>
            <w:pPr>
              <w:autoSpaceDE w:val="0"/>
              <w:autoSpaceDN w:val="0"/>
              <w:adjustRightInd w:val="0"/>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400" w:lineRule="exact"/>
              <w:jc w:val="center"/>
              <w:textAlignment w:val="center"/>
              <w:rPr>
                <w:rFonts w:hint="eastAsia" w:ascii="宋体" w:hAnsi="宋体" w:cs="宋体"/>
                <w:color w:val="auto"/>
                <w:sz w:val="24"/>
                <w:szCs w:val="24"/>
              </w:rPr>
            </w:pPr>
            <w:r>
              <w:rPr>
                <w:rFonts w:hint="eastAsia" w:ascii="宋体" w:hAnsi="宋体" w:cs="宋体"/>
                <w:color w:val="auto"/>
                <w:sz w:val="24"/>
                <w:szCs w:val="24"/>
              </w:rPr>
              <w:t>2</w:t>
            </w:r>
          </w:p>
        </w:tc>
        <w:tc>
          <w:tcPr>
            <w:tcW w:w="1212" w:type="dxa"/>
            <w:noWrap w:val="0"/>
            <w:vAlign w:val="center"/>
          </w:tcPr>
          <w:p>
            <w:pPr>
              <w:autoSpaceDE w:val="0"/>
              <w:autoSpaceDN w:val="0"/>
              <w:adjustRightInd w:val="0"/>
              <w:spacing w:line="400" w:lineRule="exact"/>
              <w:jc w:val="center"/>
              <w:rPr>
                <w:rFonts w:hint="eastAsia" w:ascii="宋体" w:hAnsi="宋体" w:cs="宋体"/>
                <w:color w:val="auto"/>
                <w:kern w:val="0"/>
                <w:sz w:val="24"/>
                <w:szCs w:val="24"/>
                <w:lang w:val="zh-CN"/>
              </w:rPr>
            </w:pPr>
            <w:r>
              <w:rPr>
                <w:rFonts w:hint="eastAsia" w:ascii="宋体" w:hAnsi="宋体" w:cs="宋体"/>
                <w:color w:val="auto"/>
                <w:sz w:val="24"/>
                <w:szCs w:val="24"/>
              </w:rPr>
              <w:t>教学管理软件</w:t>
            </w:r>
          </w:p>
        </w:tc>
        <w:tc>
          <w:tcPr>
            <w:tcW w:w="5458" w:type="dxa"/>
            <w:noWrap w:val="0"/>
            <w:vAlign w:val="top"/>
          </w:tcPr>
          <w:p>
            <w:pPr>
              <w:autoSpaceDE w:val="0"/>
              <w:autoSpaceDN w:val="0"/>
              <w:adjustRightInd w:val="0"/>
              <w:spacing w:line="400" w:lineRule="exact"/>
              <w:ind w:firstLine="240" w:firstLineChars="1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C/S架构，至少包含教师端和学生端。教师端和学生端都可以提供多个操作系统镜像的选择界面。</w:t>
            </w: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支持自由模式或上课模式。自由模式下，学生可自行选择加载的操作系统，不同学生可以加载不同的操作系统；上课模式下，老师可以通过教学管理软件一键控制所有云终端加载老师指定的操作系统，该过程云终端硬件无需重启。以上功能无需通过登录后台管理平台进行配置。</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提供内置账号管理功能，无需依赖第三方账号系统或组件，能够实现班级、教师和学生账号集中管理，包括但不限于账号创建、导入、导出、修改、删除、权限分配等功能。同时支持批量导入班级、老师、学生账号功能。</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提供学生签到功能。支持在教学管理软件发起实名签到或匿名签到。实名签到时，老师需要选择班级，学生需要输入学生账号和密码，才能进入虚拟桌面。匿名签到时，学生只需输入姓名，即可进入虚拟桌面。支持签到时间戳、密码重置、结果导出等功能。</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支持通过签到创建班级账号。签到时老师可以自创班级账号，并允许学生进行注册，学生注册成功后，系统后台自动将学生账号匹配至相应班级。</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提供内置的学生网盘功能，无需使用第三方网盘系统或组件。学生网盘与学生账号一一对应。学生实名签到后，网盘会自动挂载到虚拟桌面的文件系统里；学生签退或下课后，网盘会自动卸载，以保证个人数据的安全。网盘里的数据可以永久保存，且提供多副本备份机制，数据不会丢失。</w:t>
            </w: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提供教师网盘功能。教师网盘和老师账号绑定，可以提供给老师一个自己的私人网盘，用于存放课件，辅导资料等内容。网盘数据可永久保存，且提供多副本备份机制，数据不会丢失。</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支持文件分发及文件提交功能。老师可以将文件或文件夹发送给单个或部分学生，分发完成后，学生桌面自动弹出提示信息，提示学生可以获取分发后的文件，学生可通过专用的空间来存储、访问、管理老师单独发送的文件。单个学生也可直接向老师发送作业文件，老师可通过专用的空间来存放学生单独上交的材料。同时为了保证不影响下节课，下课后可以自动清除学生空间的内容。</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支持老师通过全屏或者窗口的模式对全体学生广播教师机屏幕，实现多媒体教学，为保证灵活性，屏幕广播窗口可进行拖拽，无论学生加载什么类型的操作系统，包括但不限于Windows、Linux等，该功能都必须可以正常使用。</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支持在教师机播放1080P高清视频，并向所有学生广播该视频，要求画质无损耗，且教师机和学生机的声音和图像都严格同步，延时≤100ms。要求能流畅支持分辨率≥1920×1080，数据速率≥35000kbps，帧率≥50帧/秒的高清视频。</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支持在线实时直播功能，直播画面同时包含老师在教师机上的操作等。可以通过教师端和管理平台两种方式直接查看网络内的直播课程。</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具备一键下课快捷选择窗。可自主选择下课后进行其他操作。可选项需要包括关闭终端、关闭教师端、关闭教师电脑、注销签到、清理学生空间、关闭服务器。</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教师端内置在线技术支持功能，包括在线客服求助、微信服务号、客服热线等方式。在线求助可以指定原厂客服进行远程控制，处理非紧急故障，控制界面必须全程向用户呈现，并可在结束后对该客服进行满意度评价。在线运维功能包括但不限于在线交流，提交问题工单、工单处理进度查询、共享桌面、观看演示、传输文件等。</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提供在线Wiki帮助功能。Wiki内容包括但不限于安装步骤、使用维护、常见问题、资源下载等。</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为了加强教室的管理，支持远程协助及学生桌面管理教师通过老师机远程操控学生电脑进行指导。并支持老师对单一、部分、全体学生进行桌面还原和重启。</w:t>
            </w:r>
          </w:p>
        </w:tc>
        <w:tc>
          <w:tcPr>
            <w:tcW w:w="670" w:type="dxa"/>
            <w:noWrap w:val="0"/>
            <w:vAlign w:val="top"/>
          </w:tcPr>
          <w:p>
            <w:pPr>
              <w:autoSpaceDE w:val="0"/>
              <w:autoSpaceDN w:val="0"/>
              <w:adjustRightInd w:val="0"/>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套</w:t>
            </w:r>
          </w:p>
        </w:tc>
        <w:tc>
          <w:tcPr>
            <w:tcW w:w="640" w:type="dxa"/>
            <w:noWrap w:val="0"/>
            <w:vAlign w:val="top"/>
          </w:tcPr>
          <w:p>
            <w:pPr>
              <w:autoSpaceDE w:val="0"/>
              <w:autoSpaceDN w:val="0"/>
              <w:adjustRightInd w:val="0"/>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400" w:lineRule="exact"/>
              <w:jc w:val="center"/>
              <w:textAlignment w:val="center"/>
              <w:rPr>
                <w:rFonts w:hint="eastAsia" w:ascii="宋体" w:hAnsi="宋体" w:cs="宋体"/>
                <w:color w:val="auto"/>
                <w:sz w:val="24"/>
                <w:szCs w:val="24"/>
              </w:rPr>
            </w:pPr>
            <w:r>
              <w:rPr>
                <w:rFonts w:hint="eastAsia" w:ascii="宋体" w:hAnsi="宋体" w:cs="宋体"/>
                <w:color w:val="auto"/>
                <w:sz w:val="24"/>
                <w:szCs w:val="24"/>
              </w:rPr>
              <w:t>3</w:t>
            </w:r>
          </w:p>
        </w:tc>
        <w:tc>
          <w:tcPr>
            <w:tcW w:w="1212" w:type="dxa"/>
            <w:noWrap w:val="0"/>
            <w:vAlign w:val="center"/>
          </w:tcPr>
          <w:p>
            <w:pPr>
              <w:autoSpaceDE w:val="0"/>
              <w:autoSpaceDN w:val="0"/>
              <w:adjustRightInd w:val="0"/>
              <w:spacing w:line="400" w:lineRule="exact"/>
              <w:jc w:val="center"/>
              <w:rPr>
                <w:rFonts w:hint="eastAsia" w:ascii="宋体" w:hAnsi="宋体" w:cs="宋体"/>
                <w:color w:val="auto"/>
                <w:kern w:val="0"/>
                <w:sz w:val="24"/>
                <w:szCs w:val="24"/>
                <w:lang w:val="zh-CN"/>
              </w:rPr>
            </w:pPr>
            <w:r>
              <w:rPr>
                <w:rFonts w:hint="eastAsia" w:ascii="宋体" w:hAnsi="宋体" w:cs="宋体"/>
                <w:color w:val="auto"/>
                <w:sz w:val="24"/>
                <w:szCs w:val="24"/>
              </w:rPr>
              <w:t>云终端</w:t>
            </w:r>
          </w:p>
        </w:tc>
        <w:tc>
          <w:tcPr>
            <w:tcW w:w="5458" w:type="dxa"/>
            <w:noWrap w:val="0"/>
            <w:vAlign w:val="top"/>
          </w:tcPr>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配置要求：</w:t>
            </w:r>
          </w:p>
          <w:p>
            <w:pPr>
              <w:autoSpaceDE w:val="0"/>
              <w:autoSpaceDN w:val="0"/>
              <w:adjustRightInd w:val="0"/>
              <w:spacing w:line="400" w:lineRule="exact"/>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采用Intel X86架构，处理器核芯数≥4个，内存≥2GB，存储≥16GB。</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提供≥1个USB3.0接口，≥5个USB2.0接口，1个千兆网口，1对音频输入输出接口，1个防盗锁孔，1个VGA接口，1个HDMI接口（VGA与HDMI均支持1920*1080@60Hz输出）。</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功能要求：</w:t>
            </w:r>
          </w:p>
          <w:p>
            <w:pPr>
              <w:autoSpaceDE w:val="0"/>
              <w:autoSpaceDN w:val="0"/>
              <w:adjustRightInd w:val="0"/>
              <w:spacing w:line="400" w:lineRule="exact"/>
              <w:ind w:firstLine="480" w:firstLineChars="200"/>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支持上电自启（功能可配置是否启用），支持通过一键操作实现批量开关机、批量重启等功能。</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ab/>
            </w:r>
            <w:r>
              <w:rPr>
                <w:rFonts w:hint="eastAsia" w:ascii="宋体" w:hAnsi="宋体" w:cs="宋体"/>
                <w:color w:val="auto"/>
                <w:kern w:val="0"/>
                <w:sz w:val="24"/>
                <w:szCs w:val="24"/>
                <w:lang w:val="zh-CN"/>
              </w:rPr>
              <w:t>支持通过热键和密码的方式进入隐藏菜单，可以手动配置网络接口IP地址、编号等信息，进入隐藏菜单的密码可以在教学管理软件上批量修改。并且支持老师对隐藏菜单密码进行更改。</w:t>
            </w:r>
          </w:p>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val="zh-CN"/>
              </w:rPr>
              <w:t>为保证教学系统的兼容性，便于管理维护，要求所投云主机、云终端、教学管理软件为同一品牌</w:t>
            </w:r>
          </w:p>
        </w:tc>
        <w:tc>
          <w:tcPr>
            <w:tcW w:w="670" w:type="dxa"/>
            <w:noWrap w:val="0"/>
            <w:vAlign w:val="top"/>
          </w:tcPr>
          <w:p>
            <w:pPr>
              <w:autoSpaceDE w:val="0"/>
              <w:autoSpaceDN w:val="0"/>
              <w:adjustRightInd w:val="0"/>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套</w:t>
            </w:r>
          </w:p>
        </w:tc>
        <w:tc>
          <w:tcPr>
            <w:tcW w:w="640" w:type="dxa"/>
            <w:noWrap w:val="0"/>
            <w:vAlign w:val="top"/>
          </w:tcPr>
          <w:p>
            <w:pPr>
              <w:autoSpaceDE w:val="0"/>
              <w:autoSpaceDN w:val="0"/>
              <w:adjustRightInd w:val="0"/>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400" w:lineRule="exact"/>
              <w:jc w:val="center"/>
              <w:textAlignment w:val="center"/>
              <w:rPr>
                <w:rFonts w:hint="eastAsia" w:ascii="宋体" w:hAnsi="宋体" w:cs="宋体"/>
                <w:color w:val="auto"/>
                <w:sz w:val="24"/>
                <w:szCs w:val="24"/>
              </w:rPr>
            </w:pPr>
            <w:r>
              <w:rPr>
                <w:rFonts w:hint="eastAsia" w:ascii="宋体" w:hAnsi="宋体" w:cs="宋体"/>
                <w:color w:val="auto"/>
                <w:sz w:val="24"/>
                <w:szCs w:val="24"/>
              </w:rPr>
              <w:t>4</w:t>
            </w:r>
          </w:p>
        </w:tc>
        <w:tc>
          <w:tcPr>
            <w:tcW w:w="1212" w:type="dxa"/>
            <w:noWrap w:val="0"/>
            <w:vAlign w:val="center"/>
          </w:tcPr>
          <w:p>
            <w:pPr>
              <w:widowControl/>
              <w:spacing w:line="400" w:lineRule="exact"/>
              <w:jc w:val="left"/>
              <w:textAlignment w:val="center"/>
              <w:rPr>
                <w:rFonts w:hint="eastAsia" w:ascii="宋体" w:hAnsi="宋体" w:cs="宋体"/>
                <w:color w:val="auto"/>
                <w:kern w:val="0"/>
                <w:sz w:val="24"/>
                <w:szCs w:val="24"/>
                <w:lang w:val="zh-CN"/>
              </w:rPr>
            </w:pPr>
            <w:r>
              <w:rPr>
                <w:rFonts w:hint="eastAsia" w:ascii="宋体" w:hAnsi="宋体" w:cs="宋体"/>
                <w:color w:val="auto"/>
                <w:kern w:val="0"/>
                <w:sz w:val="24"/>
                <w:szCs w:val="24"/>
                <w:lang w:bidi="ar"/>
              </w:rPr>
              <w:t>显示器</w:t>
            </w:r>
          </w:p>
        </w:tc>
        <w:tc>
          <w:tcPr>
            <w:tcW w:w="5458" w:type="dxa"/>
            <w:noWrap w:val="0"/>
            <w:vAlign w:val="top"/>
          </w:tcPr>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bidi="ar"/>
              </w:rPr>
              <w:t>显示器尺寸：≥21寸</w:t>
            </w:r>
          </w:p>
        </w:tc>
        <w:tc>
          <w:tcPr>
            <w:tcW w:w="670" w:type="dxa"/>
            <w:noWrap w:val="0"/>
            <w:vAlign w:val="top"/>
          </w:tcPr>
          <w:p>
            <w:pPr>
              <w:autoSpaceDE w:val="0"/>
              <w:autoSpaceDN w:val="0"/>
              <w:adjustRightInd w:val="0"/>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只</w:t>
            </w:r>
          </w:p>
        </w:tc>
        <w:tc>
          <w:tcPr>
            <w:tcW w:w="640" w:type="dxa"/>
            <w:noWrap w:val="0"/>
            <w:vAlign w:val="top"/>
          </w:tcPr>
          <w:p>
            <w:pPr>
              <w:autoSpaceDE w:val="0"/>
              <w:autoSpaceDN w:val="0"/>
              <w:adjustRightInd w:val="0"/>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400" w:lineRule="exact"/>
              <w:jc w:val="center"/>
              <w:textAlignment w:val="center"/>
              <w:rPr>
                <w:rFonts w:hint="eastAsia" w:ascii="宋体" w:hAnsi="宋体" w:cs="宋体"/>
                <w:color w:val="auto"/>
                <w:sz w:val="24"/>
                <w:szCs w:val="24"/>
              </w:rPr>
            </w:pPr>
            <w:r>
              <w:rPr>
                <w:rFonts w:hint="eastAsia" w:ascii="宋体" w:hAnsi="宋体" w:cs="宋体"/>
                <w:color w:val="auto"/>
                <w:sz w:val="24"/>
                <w:szCs w:val="24"/>
              </w:rPr>
              <w:t>5</w:t>
            </w:r>
          </w:p>
        </w:tc>
        <w:tc>
          <w:tcPr>
            <w:tcW w:w="1212" w:type="dxa"/>
            <w:noWrap w:val="0"/>
            <w:vAlign w:val="center"/>
          </w:tcPr>
          <w:p>
            <w:pPr>
              <w:widowControl/>
              <w:spacing w:line="400" w:lineRule="exact"/>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键盘鼠标</w:t>
            </w:r>
          </w:p>
        </w:tc>
        <w:tc>
          <w:tcPr>
            <w:tcW w:w="5458" w:type="dxa"/>
            <w:noWrap w:val="0"/>
            <w:vAlign w:val="top"/>
          </w:tcPr>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bidi="ar"/>
              </w:rPr>
              <w:t>键盘鼠标套装</w:t>
            </w:r>
          </w:p>
        </w:tc>
        <w:tc>
          <w:tcPr>
            <w:tcW w:w="670" w:type="dxa"/>
            <w:noWrap w:val="0"/>
            <w:vAlign w:val="top"/>
          </w:tcPr>
          <w:p>
            <w:pPr>
              <w:autoSpaceDE w:val="0"/>
              <w:autoSpaceDN w:val="0"/>
              <w:adjustRightInd w:val="0"/>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套</w:t>
            </w:r>
          </w:p>
        </w:tc>
        <w:tc>
          <w:tcPr>
            <w:tcW w:w="640" w:type="dxa"/>
            <w:noWrap w:val="0"/>
            <w:vAlign w:val="top"/>
          </w:tcPr>
          <w:p>
            <w:pPr>
              <w:autoSpaceDE w:val="0"/>
              <w:autoSpaceDN w:val="0"/>
              <w:adjustRightInd w:val="0"/>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400" w:lineRule="exact"/>
              <w:jc w:val="center"/>
              <w:textAlignment w:val="center"/>
              <w:rPr>
                <w:rFonts w:hint="eastAsia" w:ascii="宋体" w:hAnsi="宋体" w:cs="宋体"/>
                <w:color w:val="auto"/>
                <w:sz w:val="24"/>
                <w:szCs w:val="24"/>
              </w:rPr>
            </w:pPr>
            <w:r>
              <w:rPr>
                <w:rFonts w:hint="eastAsia" w:ascii="宋体" w:hAnsi="宋体" w:cs="宋体"/>
                <w:color w:val="auto"/>
                <w:sz w:val="24"/>
                <w:szCs w:val="24"/>
              </w:rPr>
              <w:t>6</w:t>
            </w:r>
          </w:p>
        </w:tc>
        <w:tc>
          <w:tcPr>
            <w:tcW w:w="1212" w:type="dxa"/>
            <w:noWrap w:val="0"/>
            <w:vAlign w:val="center"/>
          </w:tcPr>
          <w:p>
            <w:pPr>
              <w:widowControl/>
              <w:spacing w:line="4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管理电脑</w:t>
            </w:r>
          </w:p>
        </w:tc>
        <w:tc>
          <w:tcPr>
            <w:tcW w:w="5458" w:type="dxa"/>
            <w:noWrap w:val="0"/>
            <w:vAlign w:val="top"/>
          </w:tcPr>
          <w:p>
            <w:pPr>
              <w:spacing w:line="400" w:lineRule="exact"/>
              <w:rPr>
                <w:rFonts w:hint="eastAsia" w:ascii="宋体" w:hAnsi="宋体" w:cs="宋体"/>
                <w:color w:val="auto"/>
                <w:sz w:val="24"/>
                <w:szCs w:val="24"/>
              </w:rPr>
            </w:pPr>
            <w:r>
              <w:rPr>
                <w:rFonts w:hint="eastAsia" w:ascii="宋体" w:hAnsi="宋体" w:cs="宋体"/>
                <w:color w:val="auto"/>
                <w:sz w:val="24"/>
                <w:szCs w:val="24"/>
              </w:rPr>
              <w:t>主板：Intel 360 系列芯片组或以上</w:t>
            </w:r>
          </w:p>
          <w:p>
            <w:pPr>
              <w:spacing w:line="400" w:lineRule="exact"/>
              <w:rPr>
                <w:rFonts w:hint="eastAsia" w:ascii="宋体" w:hAnsi="宋体" w:cs="宋体"/>
                <w:color w:val="auto"/>
                <w:sz w:val="24"/>
                <w:szCs w:val="24"/>
              </w:rPr>
            </w:pPr>
            <w:r>
              <w:rPr>
                <w:rFonts w:hint="eastAsia" w:ascii="宋体" w:hAnsi="宋体" w:cs="宋体"/>
                <w:color w:val="auto"/>
                <w:sz w:val="24"/>
                <w:szCs w:val="24"/>
              </w:rPr>
              <w:t>处理器：≥New Core i5-9500处理器</w:t>
            </w:r>
          </w:p>
          <w:p>
            <w:pPr>
              <w:spacing w:line="400" w:lineRule="exact"/>
              <w:rPr>
                <w:rFonts w:hint="eastAsia" w:ascii="宋体" w:hAnsi="宋体" w:cs="宋体"/>
                <w:color w:val="auto"/>
                <w:sz w:val="24"/>
                <w:szCs w:val="24"/>
              </w:rPr>
            </w:pPr>
            <w:r>
              <w:rPr>
                <w:rFonts w:hint="eastAsia" w:ascii="宋体" w:hAnsi="宋体" w:cs="宋体"/>
                <w:color w:val="auto"/>
                <w:sz w:val="24"/>
                <w:szCs w:val="24"/>
              </w:rPr>
              <w:t>系统内存：≥8GB DDR4-2666，内存，2个内存插槽，最大支持32G</w:t>
            </w:r>
          </w:p>
          <w:p>
            <w:pPr>
              <w:spacing w:line="400" w:lineRule="exact"/>
              <w:rPr>
                <w:rFonts w:hint="eastAsia" w:ascii="宋体" w:hAnsi="宋体" w:cs="宋体"/>
                <w:color w:val="auto"/>
                <w:sz w:val="24"/>
                <w:szCs w:val="24"/>
              </w:rPr>
            </w:pPr>
            <w:r>
              <w:rPr>
                <w:rFonts w:hint="eastAsia" w:ascii="宋体" w:hAnsi="宋体" w:cs="宋体"/>
                <w:color w:val="auto"/>
                <w:sz w:val="24"/>
                <w:szCs w:val="24"/>
              </w:rPr>
              <w:t>网络蓝牙：内置802.11 AC 1x1 无线网卡/蓝牙  (M.2无线网卡接口)</w:t>
            </w:r>
          </w:p>
          <w:p>
            <w:pPr>
              <w:spacing w:line="400" w:lineRule="exact"/>
              <w:rPr>
                <w:rFonts w:hint="default" w:ascii="宋体" w:hAnsi="宋体" w:eastAsia="宋体" w:cs="宋体"/>
                <w:color w:val="auto"/>
                <w:sz w:val="24"/>
                <w:szCs w:val="24"/>
                <w:lang w:val="en-US" w:eastAsia="zh-CN"/>
              </w:rPr>
            </w:pPr>
            <w:r>
              <w:rPr>
                <w:rFonts w:hint="eastAsia" w:ascii="宋体" w:hAnsi="宋体" w:cs="宋体"/>
                <w:color w:val="auto"/>
                <w:sz w:val="24"/>
                <w:szCs w:val="24"/>
              </w:rPr>
              <w:t>硬盘：≥256GB M.2 2280 PCIe NVMe SSD</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1T机械硬盘。</w:t>
            </w:r>
          </w:p>
          <w:p>
            <w:pPr>
              <w:spacing w:line="400" w:lineRule="exact"/>
              <w:rPr>
                <w:rFonts w:hint="eastAsia" w:ascii="宋体" w:hAnsi="宋体" w:cs="宋体"/>
                <w:color w:val="auto"/>
                <w:sz w:val="24"/>
                <w:szCs w:val="24"/>
              </w:rPr>
            </w:pPr>
            <w:r>
              <w:rPr>
                <w:rFonts w:hint="eastAsia" w:ascii="宋体" w:hAnsi="宋体" w:cs="宋体"/>
                <w:color w:val="auto"/>
                <w:sz w:val="24"/>
                <w:szCs w:val="24"/>
              </w:rPr>
              <w:t>鼠标：原厂USB键盘鼠标，可选PS/2接口</w:t>
            </w:r>
          </w:p>
          <w:p>
            <w:pPr>
              <w:spacing w:line="400" w:lineRule="exact"/>
              <w:rPr>
                <w:rFonts w:hint="eastAsia" w:ascii="宋体" w:hAnsi="宋体" w:cs="宋体"/>
                <w:color w:val="auto"/>
                <w:sz w:val="24"/>
                <w:szCs w:val="24"/>
              </w:rPr>
            </w:pPr>
            <w:r>
              <w:rPr>
                <w:rFonts w:hint="eastAsia" w:ascii="宋体" w:hAnsi="宋体" w:cs="宋体"/>
                <w:color w:val="auto"/>
                <w:sz w:val="24"/>
                <w:szCs w:val="24"/>
              </w:rPr>
              <w:t>显卡：集成显卡</w:t>
            </w:r>
          </w:p>
          <w:p>
            <w:pPr>
              <w:spacing w:line="400" w:lineRule="exact"/>
              <w:rPr>
                <w:rFonts w:hint="eastAsia" w:ascii="宋体" w:hAnsi="宋体" w:cs="宋体"/>
                <w:color w:val="auto"/>
                <w:sz w:val="24"/>
                <w:szCs w:val="24"/>
              </w:rPr>
            </w:pPr>
            <w:r>
              <w:rPr>
                <w:rFonts w:hint="eastAsia" w:ascii="宋体" w:hAnsi="宋体" w:cs="宋体"/>
                <w:color w:val="auto"/>
                <w:sz w:val="24"/>
                <w:szCs w:val="24"/>
              </w:rPr>
              <w:t xml:space="preserve">I/O接口：1 个麦克风/耳机组合插孔；1 个 SD 读卡器； ≥8个USB；1 个麦克风输入端口；1 个 电源接口；1 个 RJ-45 ；1 个串口；1 个 VGA ；1个 HDMI ； </w:t>
            </w:r>
          </w:p>
          <w:p>
            <w:pPr>
              <w:spacing w:line="400" w:lineRule="exact"/>
              <w:rPr>
                <w:rFonts w:hint="eastAsia" w:ascii="宋体" w:hAnsi="宋体" w:cs="宋体"/>
                <w:color w:val="auto"/>
                <w:kern w:val="0"/>
                <w:sz w:val="24"/>
                <w:szCs w:val="24"/>
              </w:rPr>
            </w:pPr>
            <w:r>
              <w:rPr>
                <w:rFonts w:hint="eastAsia" w:ascii="宋体" w:hAnsi="宋体" w:cs="宋体"/>
                <w:color w:val="auto"/>
                <w:sz w:val="24"/>
                <w:szCs w:val="24"/>
              </w:rPr>
              <w:t>扩展槽：标配1个PCI 2.3，1个PCIeX1，1个PCIeX16, 1个用于无线网卡的M.2；1个用于SSD的M.2</w:t>
            </w:r>
          </w:p>
          <w:p>
            <w:pPr>
              <w:spacing w:line="400" w:lineRule="exact"/>
              <w:rPr>
                <w:rFonts w:hint="eastAsia" w:ascii="宋体" w:hAnsi="宋体" w:cs="宋体"/>
                <w:color w:val="auto"/>
                <w:sz w:val="24"/>
                <w:szCs w:val="24"/>
              </w:rPr>
            </w:pPr>
            <w:r>
              <w:rPr>
                <w:rFonts w:hint="eastAsia" w:ascii="宋体" w:hAnsi="宋体" w:cs="宋体"/>
                <w:color w:val="auto"/>
                <w:sz w:val="24"/>
                <w:szCs w:val="24"/>
              </w:rPr>
              <w:t>显示器：与主机同品牌显示器, ≥ 21.5"宽屏16:9 IPS显示器,分辨率1920*1080， 三边窄边框。</w:t>
            </w:r>
          </w:p>
          <w:p>
            <w:pPr>
              <w:spacing w:line="400" w:lineRule="exact"/>
              <w:rPr>
                <w:rFonts w:hint="eastAsia" w:ascii="宋体" w:hAnsi="宋体" w:cs="宋体"/>
                <w:color w:val="auto"/>
                <w:sz w:val="24"/>
                <w:szCs w:val="24"/>
              </w:rPr>
            </w:pPr>
            <w:r>
              <w:rPr>
                <w:rFonts w:hint="eastAsia" w:ascii="宋体" w:hAnsi="宋体" w:cs="宋体"/>
                <w:color w:val="auto"/>
                <w:sz w:val="24"/>
                <w:szCs w:val="24"/>
              </w:rPr>
              <w:t>操作系统：正版Win10操作系统</w:t>
            </w:r>
          </w:p>
          <w:p>
            <w:pPr>
              <w:spacing w:line="400" w:lineRule="exact"/>
              <w:rPr>
                <w:rFonts w:hint="eastAsia" w:ascii="宋体" w:hAnsi="宋体" w:cs="宋体"/>
                <w:color w:val="auto"/>
                <w:sz w:val="24"/>
                <w:szCs w:val="24"/>
              </w:rPr>
            </w:pPr>
            <w:r>
              <w:rPr>
                <w:rFonts w:hint="eastAsia" w:ascii="宋体" w:hAnsi="宋体" w:cs="宋体"/>
                <w:color w:val="auto"/>
                <w:sz w:val="24"/>
                <w:szCs w:val="24"/>
              </w:rPr>
              <w:t>先进设计：节能环保机箱，大于等于15L，免工具开启，机箱散热风扇可智能调控，机箱配备内置音箱</w:t>
            </w:r>
          </w:p>
          <w:p>
            <w:pPr>
              <w:spacing w:line="400" w:lineRule="exact"/>
              <w:rPr>
                <w:rFonts w:hint="eastAsia" w:ascii="宋体" w:hAnsi="宋体" w:cs="宋体"/>
                <w:color w:val="auto"/>
                <w:sz w:val="24"/>
                <w:szCs w:val="24"/>
              </w:rPr>
            </w:pPr>
            <w:r>
              <w:rPr>
                <w:rFonts w:hint="eastAsia" w:ascii="宋体" w:hAnsi="宋体" w:cs="宋体"/>
                <w:color w:val="auto"/>
                <w:sz w:val="24"/>
                <w:szCs w:val="24"/>
              </w:rPr>
              <w:t>安全认证</w:t>
            </w:r>
          </w:p>
          <w:p>
            <w:pPr>
              <w:spacing w:line="400" w:lineRule="exact"/>
              <w:rPr>
                <w:rFonts w:hint="eastAsia" w:ascii="宋体" w:hAnsi="宋体" w:cs="宋体"/>
                <w:color w:val="auto"/>
                <w:sz w:val="24"/>
                <w:szCs w:val="24"/>
              </w:rPr>
            </w:pPr>
            <w:r>
              <w:rPr>
                <w:rFonts w:hint="eastAsia" w:ascii="宋体" w:hAnsi="宋体" w:cs="宋体"/>
                <w:color w:val="auto"/>
                <w:sz w:val="24"/>
                <w:szCs w:val="24"/>
              </w:rPr>
              <w:t>主机工作噪音≤11db认证，具备双防雷及高级防静电认证</w:t>
            </w:r>
          </w:p>
          <w:p>
            <w:pPr>
              <w:spacing w:line="400" w:lineRule="exact"/>
              <w:rPr>
                <w:rFonts w:hint="eastAsia" w:ascii="宋体" w:hAnsi="宋体" w:cs="宋体"/>
                <w:color w:val="auto"/>
                <w:sz w:val="24"/>
                <w:szCs w:val="24"/>
              </w:rPr>
            </w:pPr>
            <w:r>
              <w:rPr>
                <w:rFonts w:hint="eastAsia" w:ascii="宋体" w:hAnsi="宋体" w:cs="宋体"/>
                <w:color w:val="auto"/>
                <w:sz w:val="24"/>
                <w:szCs w:val="24"/>
              </w:rPr>
              <w:t>电源：≥250w电源</w:t>
            </w:r>
          </w:p>
          <w:p>
            <w:pPr>
              <w:spacing w:line="400" w:lineRule="exact"/>
              <w:rPr>
                <w:rFonts w:hint="eastAsia" w:ascii="宋体" w:hAnsi="宋体" w:cs="宋体"/>
                <w:color w:val="auto"/>
                <w:kern w:val="0"/>
                <w:sz w:val="24"/>
                <w:szCs w:val="24"/>
                <w:lang w:bidi="ar"/>
              </w:rPr>
            </w:pPr>
            <w:r>
              <w:rPr>
                <w:rFonts w:hint="eastAsia" w:ascii="宋体" w:hAnsi="宋体" w:cs="宋体"/>
                <w:color w:val="auto"/>
                <w:sz w:val="24"/>
                <w:szCs w:val="24"/>
              </w:rPr>
              <w:t>安全保护：BIOS具备自动保护功能，BIOS被攻击会自动保护， 不影响正常工作。通过BIOS控制USB enable或者disable，并能识别键盘/鼠标/打印机等非存储设备</w:t>
            </w:r>
          </w:p>
        </w:tc>
        <w:tc>
          <w:tcPr>
            <w:tcW w:w="670" w:type="dxa"/>
            <w:noWrap w:val="0"/>
            <w:vAlign w:val="top"/>
          </w:tcPr>
          <w:p>
            <w:pPr>
              <w:autoSpaceDE w:val="0"/>
              <w:autoSpaceDN w:val="0"/>
              <w:adjustRightInd w:val="0"/>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台</w:t>
            </w:r>
          </w:p>
        </w:tc>
        <w:tc>
          <w:tcPr>
            <w:tcW w:w="640" w:type="dxa"/>
            <w:noWrap w:val="0"/>
            <w:vAlign w:val="top"/>
          </w:tcPr>
          <w:p>
            <w:pPr>
              <w:autoSpaceDE w:val="0"/>
              <w:autoSpaceDN w:val="0"/>
              <w:adjustRightInd w:val="0"/>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400" w:lineRule="exact"/>
              <w:jc w:val="center"/>
              <w:textAlignment w:val="center"/>
              <w:rPr>
                <w:rFonts w:hint="eastAsia" w:ascii="宋体" w:hAnsi="宋体" w:cs="宋体"/>
                <w:color w:val="auto"/>
                <w:sz w:val="24"/>
                <w:szCs w:val="24"/>
              </w:rPr>
            </w:pPr>
            <w:r>
              <w:rPr>
                <w:rFonts w:hint="eastAsia" w:ascii="宋体" w:hAnsi="宋体" w:cs="宋体"/>
                <w:color w:val="auto"/>
                <w:sz w:val="24"/>
                <w:szCs w:val="24"/>
              </w:rPr>
              <w:t>7</w:t>
            </w:r>
          </w:p>
        </w:tc>
        <w:tc>
          <w:tcPr>
            <w:tcW w:w="1212" w:type="dxa"/>
            <w:noWrap w:val="0"/>
            <w:vAlign w:val="center"/>
          </w:tcPr>
          <w:p>
            <w:pPr>
              <w:widowControl/>
              <w:spacing w:line="400" w:lineRule="exact"/>
              <w:jc w:val="left"/>
              <w:textAlignment w:val="center"/>
              <w:rPr>
                <w:rFonts w:hint="eastAsia" w:ascii="宋体" w:hAnsi="宋体" w:cs="宋体"/>
                <w:color w:val="auto"/>
                <w:kern w:val="0"/>
                <w:sz w:val="24"/>
                <w:szCs w:val="24"/>
                <w:lang w:val="zh-CN"/>
              </w:rPr>
            </w:pPr>
            <w:r>
              <w:rPr>
                <w:rFonts w:hint="eastAsia" w:ascii="宋体" w:hAnsi="宋体" w:cs="宋体"/>
                <w:color w:val="auto"/>
                <w:kern w:val="0"/>
                <w:sz w:val="24"/>
                <w:szCs w:val="24"/>
                <w:lang w:bidi="ar"/>
              </w:rPr>
              <w:t>48口交换机</w:t>
            </w:r>
          </w:p>
        </w:tc>
        <w:tc>
          <w:tcPr>
            <w:tcW w:w="5458" w:type="dxa"/>
            <w:noWrap w:val="0"/>
            <w:vAlign w:val="top"/>
          </w:tcPr>
          <w:p>
            <w:pPr>
              <w:autoSpaceDE w:val="0"/>
              <w:autoSpaceDN w:val="0"/>
              <w:adjustRightInd w:val="0"/>
              <w:spacing w:line="400" w:lineRule="exact"/>
              <w:rPr>
                <w:rFonts w:hint="eastAsia" w:ascii="宋体" w:hAnsi="宋体" w:cs="宋体"/>
                <w:color w:val="auto"/>
                <w:kern w:val="0"/>
                <w:sz w:val="24"/>
                <w:szCs w:val="24"/>
              </w:rPr>
            </w:pPr>
            <w:r>
              <w:rPr>
                <w:rFonts w:hint="eastAsia" w:ascii="宋体" w:hAnsi="宋体" w:cs="宋体"/>
                <w:color w:val="auto"/>
                <w:sz w:val="24"/>
                <w:szCs w:val="24"/>
              </w:rPr>
              <w:t>48个千兆电接口；交换容量≥96Gbps，转发性能≥71Mpps</w:t>
            </w:r>
          </w:p>
        </w:tc>
        <w:tc>
          <w:tcPr>
            <w:tcW w:w="670" w:type="dxa"/>
            <w:noWrap w:val="0"/>
            <w:vAlign w:val="top"/>
          </w:tcPr>
          <w:p>
            <w:pPr>
              <w:autoSpaceDE w:val="0"/>
              <w:autoSpaceDN w:val="0"/>
              <w:adjustRightInd w:val="0"/>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台</w:t>
            </w:r>
          </w:p>
        </w:tc>
        <w:tc>
          <w:tcPr>
            <w:tcW w:w="640" w:type="dxa"/>
            <w:noWrap w:val="0"/>
            <w:vAlign w:val="top"/>
          </w:tcPr>
          <w:p>
            <w:pPr>
              <w:autoSpaceDE w:val="0"/>
              <w:autoSpaceDN w:val="0"/>
              <w:adjustRightInd w:val="0"/>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400" w:lineRule="exact"/>
              <w:jc w:val="center"/>
              <w:textAlignment w:val="center"/>
              <w:rPr>
                <w:rFonts w:hint="eastAsia" w:ascii="宋体" w:hAnsi="宋体" w:cs="宋体"/>
                <w:color w:val="auto"/>
                <w:sz w:val="24"/>
                <w:szCs w:val="24"/>
              </w:rPr>
            </w:pPr>
            <w:r>
              <w:rPr>
                <w:rFonts w:hint="eastAsia" w:ascii="宋体" w:hAnsi="宋体" w:cs="宋体"/>
                <w:color w:val="auto"/>
                <w:sz w:val="24"/>
                <w:szCs w:val="24"/>
              </w:rPr>
              <w:t>8</w:t>
            </w:r>
          </w:p>
        </w:tc>
        <w:tc>
          <w:tcPr>
            <w:tcW w:w="1212" w:type="dxa"/>
            <w:noWrap w:val="0"/>
            <w:vAlign w:val="center"/>
          </w:tcPr>
          <w:p>
            <w:pPr>
              <w:widowControl/>
              <w:spacing w:line="400" w:lineRule="exact"/>
              <w:jc w:val="left"/>
              <w:textAlignment w:val="center"/>
              <w:rPr>
                <w:rFonts w:hint="eastAsia" w:ascii="宋体" w:hAnsi="宋体" w:cs="宋体"/>
                <w:color w:val="auto"/>
                <w:kern w:val="0"/>
                <w:sz w:val="24"/>
                <w:szCs w:val="24"/>
                <w:lang w:val="zh-CN"/>
              </w:rPr>
            </w:pPr>
            <w:r>
              <w:rPr>
                <w:rFonts w:hint="eastAsia" w:ascii="宋体" w:hAnsi="宋体" w:cs="宋体"/>
                <w:color w:val="auto"/>
                <w:kern w:val="0"/>
                <w:sz w:val="24"/>
                <w:szCs w:val="24"/>
                <w:lang w:bidi="ar"/>
              </w:rPr>
              <w:t>非屏蔽24口六类配线架(含理线器）</w:t>
            </w:r>
          </w:p>
        </w:tc>
        <w:tc>
          <w:tcPr>
            <w:tcW w:w="5458" w:type="dxa"/>
            <w:noWrap w:val="0"/>
            <w:vAlign w:val="top"/>
          </w:tcPr>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bidi="ar"/>
              </w:rPr>
              <w:t>1.系统性能超越ANSI/TIA 568-C和ISO/IEC 11801:2012对六类标准的规定</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2.标准19英寸机架式安装，采用塑料面板\钢质底板整体结构、保证产品的机械强度</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3.提供模块式设计、满足用户差异化需求</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4.模块后座配有防尘盖，有效防止积尘对链路性能的影响</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5.可更换的标识管理，让施工、维护、管理更方便、快捷</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6.快装式配线架，方便施工，节省施工时间。</w:t>
            </w:r>
          </w:p>
        </w:tc>
        <w:tc>
          <w:tcPr>
            <w:tcW w:w="670" w:type="dxa"/>
            <w:noWrap w:val="0"/>
            <w:vAlign w:val="top"/>
          </w:tcPr>
          <w:p>
            <w:pPr>
              <w:autoSpaceDE w:val="0"/>
              <w:autoSpaceDN w:val="0"/>
              <w:adjustRightInd w:val="0"/>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条</w:t>
            </w:r>
          </w:p>
        </w:tc>
        <w:tc>
          <w:tcPr>
            <w:tcW w:w="640" w:type="dxa"/>
            <w:noWrap w:val="0"/>
            <w:vAlign w:val="top"/>
          </w:tcPr>
          <w:p>
            <w:pPr>
              <w:autoSpaceDE w:val="0"/>
              <w:autoSpaceDN w:val="0"/>
              <w:adjustRightInd w:val="0"/>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400" w:lineRule="exact"/>
              <w:jc w:val="center"/>
              <w:textAlignment w:val="center"/>
              <w:rPr>
                <w:rFonts w:hint="eastAsia" w:ascii="宋体" w:hAnsi="宋体" w:cs="宋体"/>
                <w:color w:val="auto"/>
                <w:sz w:val="24"/>
                <w:szCs w:val="24"/>
              </w:rPr>
            </w:pPr>
            <w:r>
              <w:rPr>
                <w:rFonts w:hint="eastAsia" w:ascii="宋体" w:hAnsi="宋体" w:cs="宋体"/>
                <w:color w:val="auto"/>
                <w:sz w:val="24"/>
                <w:szCs w:val="24"/>
              </w:rPr>
              <w:t>9</w:t>
            </w:r>
          </w:p>
        </w:tc>
        <w:tc>
          <w:tcPr>
            <w:tcW w:w="1212" w:type="dxa"/>
            <w:noWrap w:val="0"/>
            <w:vAlign w:val="center"/>
          </w:tcPr>
          <w:p>
            <w:pPr>
              <w:widowControl/>
              <w:spacing w:line="400" w:lineRule="exact"/>
              <w:jc w:val="left"/>
              <w:textAlignment w:val="center"/>
              <w:rPr>
                <w:rFonts w:hint="eastAsia" w:ascii="宋体" w:hAnsi="宋体" w:cs="宋体"/>
                <w:color w:val="auto"/>
                <w:kern w:val="0"/>
                <w:sz w:val="24"/>
                <w:szCs w:val="24"/>
                <w:lang w:val="zh-CN"/>
              </w:rPr>
            </w:pPr>
            <w:r>
              <w:rPr>
                <w:rFonts w:hint="eastAsia" w:ascii="宋体" w:hAnsi="宋体" w:cs="宋体"/>
                <w:color w:val="auto"/>
                <w:kern w:val="0"/>
                <w:sz w:val="24"/>
                <w:szCs w:val="24"/>
                <w:lang w:bidi="ar"/>
              </w:rPr>
              <w:t>六类网线</w:t>
            </w:r>
          </w:p>
        </w:tc>
        <w:tc>
          <w:tcPr>
            <w:tcW w:w="5458" w:type="dxa"/>
            <w:noWrap w:val="0"/>
            <w:vAlign w:val="top"/>
          </w:tcPr>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kern w:val="0"/>
                <w:sz w:val="24"/>
                <w:szCs w:val="24"/>
                <w:lang w:bidi="ar"/>
              </w:rPr>
              <w:t>1.本产品为执行YD/T 1019-2013标准生产的数字通信用聚烯烃绝缘水平对绞电缆，主要用于大楼通信综合布线系统中工作区通信引出端与交接间配线架之间的布线，以及住宅综合布线系统中用户通信引出端到配线架之间的布线；</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2.本产品的具体型号规格为：HSYV-6 4×2×0.57，为非屏蔽型6类电缆，最高传输频率为250MHz；</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3.导体采用符合GB/T3953-2009标准规定的TR型软圆铜线，单线标称直径为0.5mm；绝缘采用符合YD/T 760-1995标准规定的HDPE型高密度实心聚乙烯；</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4.绝缘芯线按照白（蓝）/蓝、白（橙）/橙、白（绿）/绿、白（棕）/棕四对以不同节距对绞；四对之间用聚乙烯十字骨架隔离；</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5.护套采用符合GB/T 8815-2008标准规定的H-70型聚氯乙烯，常规颜色为蓝色，护套内平拖一根撕裂绳；</w:t>
            </w:r>
            <w:r>
              <w:rPr>
                <w:rFonts w:hint="eastAsia" w:ascii="宋体" w:hAnsi="宋体" w:cs="宋体"/>
                <w:color w:val="auto"/>
                <w:kern w:val="0"/>
                <w:sz w:val="24"/>
                <w:szCs w:val="24"/>
                <w:lang w:bidi="ar"/>
              </w:rPr>
              <w:br w:type="textWrapping"/>
            </w:r>
            <w:r>
              <w:rPr>
                <w:rFonts w:hint="eastAsia" w:ascii="宋体" w:hAnsi="宋体" w:cs="宋体"/>
                <w:color w:val="auto"/>
                <w:kern w:val="0"/>
                <w:sz w:val="24"/>
                <w:szCs w:val="24"/>
                <w:lang w:bidi="ar"/>
              </w:rPr>
              <w:t>6.产品的结构尺寸、机械性能、电气性能、传输性能等符合YD/T 1019-2013。</w:t>
            </w:r>
          </w:p>
        </w:tc>
        <w:tc>
          <w:tcPr>
            <w:tcW w:w="670" w:type="dxa"/>
            <w:noWrap w:val="0"/>
            <w:vAlign w:val="top"/>
          </w:tcPr>
          <w:p>
            <w:pPr>
              <w:autoSpaceDE w:val="0"/>
              <w:autoSpaceDN w:val="0"/>
              <w:adjustRightInd w:val="0"/>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米</w:t>
            </w:r>
          </w:p>
        </w:tc>
        <w:tc>
          <w:tcPr>
            <w:tcW w:w="640" w:type="dxa"/>
            <w:noWrap w:val="0"/>
            <w:vAlign w:val="top"/>
          </w:tcPr>
          <w:p>
            <w:pPr>
              <w:autoSpaceDE w:val="0"/>
              <w:autoSpaceDN w:val="0"/>
              <w:adjustRightInd w:val="0"/>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400" w:lineRule="exact"/>
              <w:jc w:val="center"/>
              <w:textAlignment w:val="center"/>
              <w:rPr>
                <w:rFonts w:hint="eastAsia" w:ascii="宋体" w:hAnsi="宋体" w:cs="宋体"/>
                <w:color w:val="auto"/>
                <w:sz w:val="24"/>
                <w:szCs w:val="24"/>
              </w:rPr>
            </w:pPr>
            <w:r>
              <w:rPr>
                <w:rFonts w:hint="eastAsia" w:ascii="宋体" w:hAnsi="宋体" w:cs="宋体"/>
                <w:color w:val="auto"/>
                <w:sz w:val="24"/>
                <w:szCs w:val="24"/>
              </w:rPr>
              <w:t>10</w:t>
            </w:r>
          </w:p>
        </w:tc>
        <w:tc>
          <w:tcPr>
            <w:tcW w:w="1212" w:type="dxa"/>
            <w:noWrap w:val="0"/>
            <w:vAlign w:val="center"/>
          </w:tcPr>
          <w:p>
            <w:pPr>
              <w:widowControl/>
              <w:spacing w:line="4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六类网络模块</w:t>
            </w:r>
          </w:p>
        </w:tc>
        <w:tc>
          <w:tcPr>
            <w:tcW w:w="5458" w:type="dxa"/>
            <w:noWrap w:val="0"/>
            <w:vAlign w:val="center"/>
          </w:tcPr>
          <w:p>
            <w:pPr>
              <w:spacing w:line="400" w:lineRule="exact"/>
              <w:rPr>
                <w:rFonts w:hint="eastAsia" w:ascii="宋体" w:hAnsi="宋体" w:cs="宋体"/>
                <w:color w:val="auto"/>
                <w:sz w:val="24"/>
                <w:szCs w:val="24"/>
              </w:rPr>
            </w:pPr>
            <w:r>
              <w:rPr>
                <w:rFonts w:hint="eastAsia" w:ascii="宋体" w:hAnsi="宋体" w:cs="宋体"/>
                <w:color w:val="auto"/>
                <w:sz w:val="24"/>
                <w:szCs w:val="24"/>
              </w:rPr>
              <w:t>6类非屏蔽信息模块；颜色：白色 高抗压及阻燃塑料,； 线束及连接片材料：铜铍合金；接触点镀金；与面板的连接方式：卡口；电介值承受功率:1000VAC RMS＠60Hz/min；用于端接22-26 AWG铜缆；最小插拔寿命≥750次；</w:t>
            </w:r>
          </w:p>
        </w:tc>
        <w:tc>
          <w:tcPr>
            <w:tcW w:w="670" w:type="dxa"/>
            <w:noWrap w:val="0"/>
            <w:vAlign w:val="center"/>
          </w:tcPr>
          <w:p>
            <w:pPr>
              <w:widowControl/>
              <w:spacing w:line="4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套</w:t>
            </w:r>
          </w:p>
        </w:tc>
        <w:tc>
          <w:tcPr>
            <w:tcW w:w="640" w:type="dxa"/>
            <w:noWrap w:val="0"/>
            <w:vAlign w:val="center"/>
          </w:tcPr>
          <w:p>
            <w:pPr>
              <w:widowControl/>
              <w:spacing w:line="4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400" w:lineRule="exact"/>
              <w:jc w:val="center"/>
              <w:textAlignment w:val="center"/>
              <w:rPr>
                <w:rFonts w:hint="eastAsia" w:ascii="宋体" w:hAnsi="宋体" w:cs="宋体"/>
                <w:color w:val="auto"/>
                <w:sz w:val="24"/>
                <w:szCs w:val="24"/>
              </w:rPr>
            </w:pPr>
            <w:r>
              <w:rPr>
                <w:rFonts w:hint="eastAsia" w:ascii="宋体" w:hAnsi="宋体" w:cs="宋体"/>
                <w:color w:val="auto"/>
                <w:sz w:val="24"/>
                <w:szCs w:val="24"/>
              </w:rPr>
              <w:t>11</w:t>
            </w:r>
          </w:p>
        </w:tc>
        <w:tc>
          <w:tcPr>
            <w:tcW w:w="1212" w:type="dxa"/>
            <w:noWrap w:val="0"/>
            <w:vAlign w:val="center"/>
          </w:tcPr>
          <w:p>
            <w:pPr>
              <w:widowControl/>
              <w:spacing w:line="4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理线架</w:t>
            </w:r>
          </w:p>
        </w:tc>
        <w:tc>
          <w:tcPr>
            <w:tcW w:w="5458" w:type="dxa"/>
            <w:noWrap w:val="0"/>
            <w:vAlign w:val="bottom"/>
          </w:tcPr>
          <w:p>
            <w:pPr>
              <w:spacing w:line="400" w:lineRule="exact"/>
              <w:rPr>
                <w:rFonts w:hint="eastAsia" w:ascii="宋体" w:hAnsi="宋体" w:cs="宋体"/>
                <w:color w:val="auto"/>
                <w:sz w:val="24"/>
                <w:szCs w:val="24"/>
              </w:rPr>
            </w:pPr>
            <w:r>
              <w:rPr>
                <w:rFonts w:hint="eastAsia" w:ascii="宋体" w:hAnsi="宋体" w:cs="宋体"/>
                <w:color w:val="auto"/>
                <w:sz w:val="24"/>
                <w:szCs w:val="24"/>
              </w:rPr>
              <w:t>黑色，适用任何19英寸标准机柜，高度1U，提供快速安装，管理在配线架和交换机之间连接的跳线可以支持48/24根跳线，电缆环具有更大的深度可以保证符合最小弯曲半径的要求，设计简洁对于各种线缆提供灵活有效和安全的管理使布线系统整洁美观</w:t>
            </w:r>
          </w:p>
        </w:tc>
        <w:tc>
          <w:tcPr>
            <w:tcW w:w="670" w:type="dxa"/>
            <w:noWrap w:val="0"/>
            <w:vAlign w:val="center"/>
          </w:tcPr>
          <w:p>
            <w:pPr>
              <w:widowControl/>
              <w:spacing w:line="4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条</w:t>
            </w:r>
          </w:p>
        </w:tc>
        <w:tc>
          <w:tcPr>
            <w:tcW w:w="640" w:type="dxa"/>
            <w:noWrap w:val="0"/>
            <w:vAlign w:val="center"/>
          </w:tcPr>
          <w:p>
            <w:pPr>
              <w:widowControl/>
              <w:spacing w:line="4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400" w:lineRule="exact"/>
              <w:jc w:val="center"/>
              <w:textAlignment w:val="center"/>
              <w:rPr>
                <w:rFonts w:hint="eastAsia" w:ascii="宋体" w:hAnsi="宋体" w:cs="宋体"/>
                <w:color w:val="auto"/>
                <w:sz w:val="24"/>
                <w:szCs w:val="24"/>
              </w:rPr>
            </w:pPr>
            <w:r>
              <w:rPr>
                <w:rFonts w:hint="eastAsia" w:ascii="宋体" w:hAnsi="宋体" w:cs="宋体"/>
                <w:color w:val="auto"/>
                <w:sz w:val="24"/>
                <w:szCs w:val="24"/>
              </w:rPr>
              <w:t>12</w:t>
            </w:r>
          </w:p>
        </w:tc>
        <w:tc>
          <w:tcPr>
            <w:tcW w:w="1212" w:type="dxa"/>
            <w:noWrap w:val="0"/>
            <w:vAlign w:val="center"/>
          </w:tcPr>
          <w:p>
            <w:pPr>
              <w:widowControl/>
              <w:spacing w:line="4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水晶头</w:t>
            </w:r>
          </w:p>
        </w:tc>
        <w:tc>
          <w:tcPr>
            <w:tcW w:w="5458" w:type="dxa"/>
            <w:noWrap w:val="0"/>
            <w:vAlign w:val="center"/>
          </w:tcPr>
          <w:p>
            <w:pPr>
              <w:spacing w:line="400" w:lineRule="exact"/>
              <w:rPr>
                <w:rFonts w:hint="eastAsia" w:ascii="宋体" w:hAnsi="宋体" w:cs="宋体"/>
                <w:color w:val="auto"/>
                <w:sz w:val="24"/>
                <w:szCs w:val="24"/>
              </w:rPr>
            </w:pPr>
            <w:r>
              <w:rPr>
                <w:rFonts w:hint="eastAsia" w:ascii="宋体" w:hAnsi="宋体" w:cs="宋体"/>
                <w:color w:val="auto"/>
                <w:sz w:val="24"/>
                <w:szCs w:val="24"/>
              </w:rPr>
              <w:t>六类水晶头</w:t>
            </w:r>
          </w:p>
        </w:tc>
        <w:tc>
          <w:tcPr>
            <w:tcW w:w="670" w:type="dxa"/>
            <w:noWrap w:val="0"/>
            <w:vAlign w:val="center"/>
          </w:tcPr>
          <w:p>
            <w:pPr>
              <w:widowControl/>
              <w:spacing w:line="4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个</w:t>
            </w:r>
          </w:p>
        </w:tc>
        <w:tc>
          <w:tcPr>
            <w:tcW w:w="640" w:type="dxa"/>
            <w:noWrap w:val="0"/>
            <w:vAlign w:val="center"/>
          </w:tcPr>
          <w:p>
            <w:pPr>
              <w:widowControl/>
              <w:spacing w:line="4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400" w:lineRule="exact"/>
              <w:jc w:val="center"/>
              <w:textAlignment w:val="center"/>
              <w:rPr>
                <w:rFonts w:hint="eastAsia" w:ascii="宋体" w:hAnsi="宋体" w:cs="宋体"/>
                <w:color w:val="auto"/>
                <w:sz w:val="24"/>
                <w:szCs w:val="24"/>
              </w:rPr>
            </w:pPr>
            <w:r>
              <w:rPr>
                <w:rFonts w:hint="eastAsia" w:ascii="宋体" w:hAnsi="宋体" w:cs="宋体"/>
                <w:color w:val="auto"/>
                <w:sz w:val="24"/>
                <w:szCs w:val="24"/>
              </w:rPr>
              <w:t>13</w:t>
            </w:r>
          </w:p>
        </w:tc>
        <w:tc>
          <w:tcPr>
            <w:tcW w:w="1212" w:type="dxa"/>
            <w:noWrap w:val="0"/>
            <w:vAlign w:val="center"/>
          </w:tcPr>
          <w:p>
            <w:pPr>
              <w:widowControl/>
              <w:spacing w:line="4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静电地板</w:t>
            </w:r>
          </w:p>
        </w:tc>
        <w:tc>
          <w:tcPr>
            <w:tcW w:w="5458" w:type="dxa"/>
            <w:noWrap w:val="0"/>
            <w:vAlign w:val="center"/>
          </w:tcPr>
          <w:p>
            <w:pPr>
              <w:spacing w:line="400" w:lineRule="exact"/>
              <w:rPr>
                <w:rFonts w:hint="eastAsia" w:ascii="宋体" w:hAnsi="宋体" w:cs="宋体"/>
                <w:color w:val="auto"/>
                <w:sz w:val="24"/>
                <w:szCs w:val="24"/>
              </w:rPr>
            </w:pPr>
            <w:r>
              <w:rPr>
                <w:rFonts w:hint="eastAsia" w:ascii="宋体" w:hAnsi="宋体" w:cs="宋体"/>
                <w:color w:val="auto"/>
                <w:sz w:val="24"/>
                <w:szCs w:val="24"/>
              </w:rPr>
              <w:t>标准教室60*60静电地板铺设</w:t>
            </w:r>
          </w:p>
        </w:tc>
        <w:tc>
          <w:tcPr>
            <w:tcW w:w="670" w:type="dxa"/>
            <w:noWrap w:val="0"/>
            <w:vAlign w:val="center"/>
          </w:tcPr>
          <w:p>
            <w:pPr>
              <w:widowControl/>
              <w:spacing w:line="4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间</w:t>
            </w:r>
          </w:p>
        </w:tc>
        <w:tc>
          <w:tcPr>
            <w:tcW w:w="640" w:type="dxa"/>
            <w:noWrap w:val="0"/>
            <w:vAlign w:val="center"/>
          </w:tcPr>
          <w:p>
            <w:pPr>
              <w:widowControl/>
              <w:spacing w:line="4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400" w:lineRule="exact"/>
              <w:jc w:val="center"/>
              <w:textAlignment w:val="center"/>
              <w:rPr>
                <w:rFonts w:hint="eastAsia" w:ascii="宋体" w:hAnsi="宋体" w:cs="宋体"/>
                <w:color w:val="auto"/>
                <w:sz w:val="24"/>
                <w:szCs w:val="24"/>
              </w:rPr>
            </w:pPr>
            <w:r>
              <w:rPr>
                <w:rFonts w:hint="eastAsia" w:ascii="宋体" w:hAnsi="宋体" w:cs="宋体"/>
                <w:color w:val="auto"/>
                <w:sz w:val="24"/>
                <w:szCs w:val="24"/>
              </w:rPr>
              <w:t>14</w:t>
            </w:r>
          </w:p>
        </w:tc>
        <w:tc>
          <w:tcPr>
            <w:tcW w:w="1212" w:type="dxa"/>
            <w:noWrap w:val="0"/>
            <w:vAlign w:val="center"/>
          </w:tcPr>
          <w:p>
            <w:pPr>
              <w:widowControl/>
              <w:spacing w:line="4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电脑桌</w:t>
            </w:r>
          </w:p>
        </w:tc>
        <w:tc>
          <w:tcPr>
            <w:tcW w:w="5458" w:type="dxa"/>
            <w:noWrap w:val="0"/>
            <w:vAlign w:val="top"/>
          </w:tcPr>
          <w:p>
            <w:pPr>
              <w:pStyle w:val="549"/>
              <w:spacing w:line="400" w:lineRule="exact"/>
              <w:ind w:firstLine="0" w:firstLineChars="0"/>
              <w:rPr>
                <w:rFonts w:hint="eastAsia" w:ascii="宋体" w:hAnsi="宋体" w:cs="宋体"/>
                <w:color w:val="auto"/>
                <w:sz w:val="24"/>
                <w:szCs w:val="24"/>
              </w:rPr>
            </w:pPr>
            <w:r>
              <w:rPr>
                <w:rFonts w:hint="eastAsia" w:ascii="宋体" w:hAnsi="宋体" w:cs="宋体"/>
                <w:color w:val="auto"/>
                <w:sz w:val="24"/>
                <w:szCs w:val="24"/>
              </w:rPr>
              <w:t>1.机房电脑桌尺寸：(长) 1800 ×(宽)1000× (高)750MM，整体钢木结构，可组合并排放。可坐六个学生。</w:t>
            </w:r>
          </w:p>
          <w:p>
            <w:pPr>
              <w:pStyle w:val="549"/>
              <w:spacing w:line="400" w:lineRule="exact"/>
              <w:ind w:firstLine="0" w:firstLineChars="0"/>
              <w:rPr>
                <w:rFonts w:hint="eastAsia" w:ascii="宋体" w:hAnsi="宋体" w:cs="宋体"/>
                <w:color w:val="auto"/>
                <w:sz w:val="24"/>
                <w:szCs w:val="24"/>
              </w:rPr>
            </w:pPr>
            <w:r>
              <w:rPr>
                <w:rFonts w:hint="eastAsia" w:ascii="宋体" w:hAnsi="宋体" w:cs="宋体"/>
                <w:color w:val="auto"/>
                <w:sz w:val="24"/>
                <w:szCs w:val="24"/>
              </w:rPr>
              <w:t>2.桌面采用18mm的实木板，颜色为原木清漆色。下支架采用40*40mm，厚1.2mm镀锌方管，颜色为电脑灰，焊接拼接而成。</w:t>
            </w:r>
          </w:p>
          <w:p>
            <w:pPr>
              <w:pStyle w:val="549"/>
              <w:spacing w:line="400" w:lineRule="exact"/>
              <w:ind w:firstLine="0" w:firstLineChars="0"/>
              <w:rPr>
                <w:rFonts w:hint="eastAsia" w:ascii="宋体" w:hAnsi="宋体" w:cs="宋体"/>
                <w:color w:val="auto"/>
                <w:sz w:val="24"/>
                <w:szCs w:val="24"/>
              </w:rPr>
            </w:pPr>
            <w:r>
              <w:rPr>
                <w:rFonts w:hint="eastAsia" w:ascii="宋体" w:hAnsi="宋体" w:cs="宋体"/>
                <w:color w:val="auto"/>
                <w:sz w:val="24"/>
                <w:szCs w:val="24"/>
              </w:rPr>
              <w:t>3.桌面下方电源线隐藏式，线槽可活动，方便维修。每个六人桌配六个方凳。</w:t>
            </w:r>
          </w:p>
          <w:p>
            <w:pPr>
              <w:spacing w:line="400" w:lineRule="exact"/>
              <w:rPr>
                <w:rFonts w:hint="eastAsia" w:ascii="宋体" w:hAnsi="宋体" w:cs="宋体"/>
                <w:color w:val="auto"/>
                <w:sz w:val="24"/>
                <w:szCs w:val="24"/>
              </w:rPr>
            </w:pPr>
            <w:r>
              <w:rPr>
                <w:rFonts w:hint="eastAsia" w:ascii="宋体" w:hAnsi="宋体" w:cs="宋体"/>
                <w:color w:val="auto"/>
                <w:kern w:val="0"/>
                <w:sz w:val="24"/>
                <w:szCs w:val="24"/>
              </w:rPr>
              <w:drawing>
                <wp:anchor distT="0" distB="0" distL="114300" distR="114300" simplePos="0" relativeHeight="251665408" behindDoc="0" locked="0" layoutInCell="1" allowOverlap="1">
                  <wp:simplePos x="0" y="0"/>
                  <wp:positionH relativeFrom="page">
                    <wp:posOffset>76835</wp:posOffset>
                  </wp:positionH>
                  <wp:positionV relativeFrom="page">
                    <wp:posOffset>1109345</wp:posOffset>
                  </wp:positionV>
                  <wp:extent cx="3171825" cy="1591310"/>
                  <wp:effectExtent l="0" t="0" r="9525" b="8890"/>
                  <wp:wrapSquare wrapText="bothSides"/>
                  <wp:docPr id="2" name="图片 5" descr="C:\Users\lenovo\AppData\Local\Temp\WeChat Files\b387f89beedf834e05a37b6d1b88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lenovo\AppData\Local\Temp\WeChat Files\b387f89beedf834e05a37b6d1b88457.jpg"/>
                          <pic:cNvPicPr>
                            <a:picLocks noChangeAspect="1"/>
                          </pic:cNvPicPr>
                        </pic:nvPicPr>
                        <pic:blipFill>
                          <a:blip r:embed="rId17"/>
                          <a:stretch>
                            <a:fillRect/>
                          </a:stretch>
                        </pic:blipFill>
                        <pic:spPr>
                          <a:xfrm>
                            <a:off x="0" y="0"/>
                            <a:ext cx="3171825" cy="1591310"/>
                          </a:xfrm>
                          <a:prstGeom prst="rect">
                            <a:avLst/>
                          </a:prstGeom>
                          <a:noFill/>
                          <a:ln>
                            <a:noFill/>
                          </a:ln>
                        </pic:spPr>
                      </pic:pic>
                    </a:graphicData>
                  </a:graphic>
                </wp:anchor>
              </w:drawing>
            </w:r>
          </w:p>
        </w:tc>
        <w:tc>
          <w:tcPr>
            <w:tcW w:w="670" w:type="dxa"/>
            <w:noWrap w:val="0"/>
            <w:vAlign w:val="center"/>
          </w:tcPr>
          <w:p>
            <w:pPr>
              <w:widowControl/>
              <w:spacing w:line="4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套</w:t>
            </w:r>
          </w:p>
        </w:tc>
        <w:tc>
          <w:tcPr>
            <w:tcW w:w="640" w:type="dxa"/>
            <w:noWrap w:val="0"/>
            <w:vAlign w:val="center"/>
          </w:tcPr>
          <w:p>
            <w:pPr>
              <w:widowControl/>
              <w:spacing w:line="4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400" w:lineRule="exact"/>
              <w:jc w:val="center"/>
              <w:textAlignment w:val="center"/>
              <w:rPr>
                <w:rFonts w:hint="eastAsia" w:ascii="宋体" w:hAnsi="宋体" w:cs="宋体"/>
                <w:color w:val="auto"/>
                <w:sz w:val="24"/>
                <w:szCs w:val="24"/>
              </w:rPr>
            </w:pPr>
            <w:r>
              <w:rPr>
                <w:rFonts w:hint="eastAsia" w:ascii="宋体" w:hAnsi="宋体" w:cs="宋体"/>
                <w:color w:val="auto"/>
                <w:sz w:val="24"/>
                <w:szCs w:val="24"/>
              </w:rPr>
              <w:t>15</w:t>
            </w:r>
          </w:p>
        </w:tc>
        <w:tc>
          <w:tcPr>
            <w:tcW w:w="1212" w:type="dxa"/>
            <w:noWrap w:val="0"/>
            <w:vAlign w:val="center"/>
          </w:tcPr>
          <w:p>
            <w:pPr>
              <w:widowControl/>
              <w:spacing w:line="400" w:lineRule="exact"/>
              <w:jc w:val="left"/>
              <w:textAlignment w:val="center"/>
              <w:rPr>
                <w:rFonts w:hint="eastAsia" w:ascii="宋体" w:hAnsi="宋体" w:cs="宋体"/>
                <w:color w:val="auto"/>
                <w:kern w:val="0"/>
                <w:sz w:val="24"/>
                <w:szCs w:val="24"/>
                <w:lang w:val="zh-CN"/>
              </w:rPr>
            </w:pPr>
            <w:r>
              <w:rPr>
                <w:rFonts w:hint="eastAsia" w:ascii="宋体" w:hAnsi="宋体" w:cs="宋体"/>
                <w:color w:val="auto"/>
                <w:kern w:val="0"/>
                <w:sz w:val="24"/>
                <w:szCs w:val="24"/>
                <w:lang w:bidi="ar"/>
              </w:rPr>
              <w:t>网络机柜</w:t>
            </w:r>
          </w:p>
        </w:tc>
        <w:tc>
          <w:tcPr>
            <w:tcW w:w="5458" w:type="dxa"/>
            <w:noWrap w:val="0"/>
            <w:vAlign w:val="top"/>
          </w:tcPr>
          <w:p>
            <w:pPr>
              <w:autoSpaceDE w:val="0"/>
              <w:autoSpaceDN w:val="0"/>
              <w:adjustRightInd w:val="0"/>
              <w:spacing w:line="400" w:lineRule="exact"/>
              <w:rPr>
                <w:rFonts w:hint="eastAsia" w:ascii="宋体" w:hAnsi="宋体" w:cs="宋体"/>
                <w:color w:val="auto"/>
                <w:kern w:val="0"/>
                <w:sz w:val="24"/>
                <w:szCs w:val="24"/>
                <w:lang w:val="zh-CN"/>
              </w:rPr>
            </w:pPr>
            <w:r>
              <w:rPr>
                <w:rFonts w:hint="eastAsia" w:ascii="宋体" w:hAnsi="宋体" w:cs="宋体"/>
                <w:color w:val="auto"/>
                <w:sz w:val="24"/>
                <w:szCs w:val="24"/>
              </w:rPr>
              <w:t>国标32U前钢化玻璃，后钢板；优质冷轧钢板成型，磷酸盐防腐处理，静电粉末喷塑。</w:t>
            </w:r>
          </w:p>
        </w:tc>
        <w:tc>
          <w:tcPr>
            <w:tcW w:w="670" w:type="dxa"/>
            <w:noWrap w:val="0"/>
            <w:vAlign w:val="top"/>
          </w:tcPr>
          <w:p>
            <w:pPr>
              <w:autoSpaceDE w:val="0"/>
              <w:autoSpaceDN w:val="0"/>
              <w:adjustRightInd w:val="0"/>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只</w:t>
            </w:r>
          </w:p>
        </w:tc>
        <w:tc>
          <w:tcPr>
            <w:tcW w:w="640" w:type="dxa"/>
            <w:noWrap w:val="0"/>
            <w:vAlign w:val="top"/>
          </w:tcPr>
          <w:p>
            <w:pPr>
              <w:autoSpaceDE w:val="0"/>
              <w:autoSpaceDN w:val="0"/>
              <w:adjustRightInd w:val="0"/>
              <w:spacing w:line="400" w:lineRule="exact"/>
              <w:jc w:val="center"/>
              <w:rPr>
                <w:rFonts w:hint="eastAsia" w:ascii="宋体" w:hAnsi="宋体" w:cs="宋体"/>
                <w:color w:val="auto"/>
                <w:kern w:val="0"/>
                <w:sz w:val="24"/>
                <w:szCs w:val="24"/>
              </w:rPr>
            </w:pPr>
            <w:r>
              <w:rPr>
                <w:rFonts w:hint="eastAsia" w:ascii="宋体" w:hAnsi="宋体" w:cs="宋体"/>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noWrap w:val="0"/>
            <w:vAlign w:val="center"/>
          </w:tcPr>
          <w:p>
            <w:pPr>
              <w:spacing w:line="400" w:lineRule="exact"/>
              <w:jc w:val="center"/>
              <w:textAlignment w:val="center"/>
              <w:rPr>
                <w:rFonts w:hint="eastAsia" w:ascii="宋体" w:hAnsi="宋体" w:cs="宋体"/>
                <w:color w:val="auto"/>
                <w:sz w:val="24"/>
                <w:szCs w:val="24"/>
              </w:rPr>
            </w:pPr>
            <w:r>
              <w:rPr>
                <w:rFonts w:hint="eastAsia" w:ascii="宋体" w:hAnsi="宋体" w:cs="宋体"/>
                <w:color w:val="auto"/>
                <w:sz w:val="24"/>
                <w:szCs w:val="24"/>
              </w:rPr>
              <w:t>16</w:t>
            </w:r>
          </w:p>
        </w:tc>
        <w:tc>
          <w:tcPr>
            <w:tcW w:w="1212" w:type="dxa"/>
            <w:noWrap w:val="0"/>
            <w:vAlign w:val="center"/>
          </w:tcPr>
          <w:p>
            <w:pPr>
              <w:widowControl/>
              <w:spacing w:line="40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系统配件、施工</w:t>
            </w:r>
          </w:p>
        </w:tc>
        <w:tc>
          <w:tcPr>
            <w:tcW w:w="5458" w:type="dxa"/>
            <w:noWrap w:val="0"/>
            <w:vAlign w:val="center"/>
          </w:tcPr>
          <w:p>
            <w:pPr>
              <w:spacing w:line="400" w:lineRule="exact"/>
              <w:rPr>
                <w:rFonts w:hint="eastAsia" w:ascii="宋体" w:hAnsi="宋体" w:cs="宋体"/>
                <w:color w:val="auto"/>
                <w:sz w:val="24"/>
                <w:szCs w:val="24"/>
              </w:rPr>
            </w:pPr>
            <w:r>
              <w:rPr>
                <w:rFonts w:hint="eastAsia" w:ascii="宋体" w:hAnsi="宋体" w:cs="宋体"/>
                <w:color w:val="auto"/>
                <w:sz w:val="24"/>
                <w:szCs w:val="24"/>
              </w:rPr>
              <w:t>完成系统所需配件及施工</w:t>
            </w:r>
          </w:p>
        </w:tc>
        <w:tc>
          <w:tcPr>
            <w:tcW w:w="670" w:type="dxa"/>
            <w:noWrap w:val="0"/>
            <w:vAlign w:val="center"/>
          </w:tcPr>
          <w:p>
            <w:pPr>
              <w:widowControl/>
              <w:spacing w:line="4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批</w:t>
            </w:r>
          </w:p>
        </w:tc>
        <w:tc>
          <w:tcPr>
            <w:tcW w:w="640" w:type="dxa"/>
            <w:noWrap w:val="0"/>
            <w:vAlign w:val="center"/>
          </w:tcPr>
          <w:p>
            <w:pPr>
              <w:widowControl/>
              <w:spacing w:line="40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1</w:t>
            </w:r>
          </w:p>
        </w:tc>
      </w:tr>
    </w:tbl>
    <w:p>
      <w:pPr>
        <w:spacing w:line="440" w:lineRule="exact"/>
        <w:ind w:right="-202" w:rightChars="-96" w:firstLine="472" w:firstLineChars="200"/>
        <w:rPr>
          <w:rStyle w:val="129"/>
          <w:rFonts w:hint="eastAsia" w:ascii="宋体" w:hAnsi="宋体" w:cs="宋体"/>
          <w:b w:val="0"/>
          <w:szCs w:val="24"/>
        </w:rPr>
      </w:pPr>
      <w:r>
        <w:rPr>
          <w:rStyle w:val="129"/>
          <w:rFonts w:hint="eastAsia" w:ascii="宋体" w:hAnsi="宋体" w:cs="宋体"/>
          <w:b w:val="0"/>
          <w:szCs w:val="24"/>
          <w:shd w:val="clear" w:color="FFFFFF" w:fill="D9D9D9"/>
        </w:rPr>
        <w:t>1.</w:t>
      </w:r>
      <w:r>
        <w:rPr>
          <w:rStyle w:val="129"/>
          <w:rFonts w:hint="eastAsia" w:ascii="宋体" w:hAnsi="宋体" w:cs="宋体"/>
          <w:b w:val="0"/>
          <w:szCs w:val="24"/>
        </w:rPr>
        <w:t xml:space="preserve"> 所有投标单位提供</w:t>
      </w:r>
      <w:r>
        <w:rPr>
          <w:rFonts w:hint="eastAsia" w:ascii="宋体" w:hAnsi="宋体" w:cs="宋体"/>
          <w:sz w:val="24"/>
          <w:szCs w:val="24"/>
        </w:rPr>
        <w:t>一体机视频演示</w:t>
      </w:r>
      <w:r>
        <w:rPr>
          <w:rStyle w:val="129"/>
          <w:rFonts w:hint="eastAsia" w:ascii="宋体" w:hAnsi="宋体" w:cs="宋体"/>
          <w:b w:val="0"/>
          <w:szCs w:val="24"/>
        </w:rPr>
        <w:t>，演示时间不超过15分钟。演示视频需以</w:t>
      </w:r>
      <w:r>
        <w:rPr>
          <w:rFonts w:hint="eastAsia" w:ascii="宋体" w:hAnsi="宋体"/>
          <w:kern w:val="0"/>
          <w:sz w:val="24"/>
          <w:szCs w:val="24"/>
        </w:rPr>
        <w:t>U盘形式于开标之前邮寄至绍兴平准招标代理有限公司。</w:t>
      </w:r>
      <w:r>
        <w:rPr>
          <w:rStyle w:val="129"/>
          <w:rFonts w:hint="eastAsia" w:ascii="宋体" w:hAnsi="宋体" w:cs="宋体"/>
          <w:b w:val="0"/>
          <w:szCs w:val="24"/>
        </w:rPr>
        <w:t>演示视频</w:t>
      </w:r>
      <w:r>
        <w:rPr>
          <w:rFonts w:hint="eastAsia" w:ascii="宋体" w:hAnsi="宋体"/>
          <w:kern w:val="0"/>
          <w:sz w:val="24"/>
          <w:szCs w:val="24"/>
        </w:rPr>
        <w:t>应当密封包装，并在包装上标注投标项目名称、投标单位名称并加盖公章。没有密封包装或标识或盖章或逾期送达至投标地点的视为未递交。演示视频可与</w:t>
      </w:r>
      <w:r>
        <w:rPr>
          <w:rFonts w:ascii="宋体" w:hAnsi="宋体" w:cs="宋体"/>
          <w:sz w:val="24"/>
          <w:lang w:bidi="ar"/>
        </w:rPr>
        <w:t>备份投标文件</w:t>
      </w:r>
      <w:r>
        <w:rPr>
          <w:rFonts w:hint="eastAsia" w:ascii="宋体" w:hAnsi="宋体" w:cs="宋体"/>
          <w:sz w:val="24"/>
          <w:lang w:bidi="ar"/>
        </w:rPr>
        <w:t>一起寄出，但需分别密封包装。</w:t>
      </w:r>
    </w:p>
    <w:p>
      <w:pPr>
        <w:spacing w:line="360" w:lineRule="auto"/>
        <w:ind w:firstLine="482" w:firstLineChars="200"/>
        <w:jc w:val="left"/>
        <w:outlineLvl w:val="1"/>
        <w:rPr>
          <w:rFonts w:ascii="宋体" w:hAnsi="宋体" w:cs="宋体"/>
          <w:b/>
          <w:bCs/>
          <w:sz w:val="24"/>
        </w:rPr>
      </w:pPr>
      <w:bookmarkStart w:id="78" w:name="_Toc11050260"/>
      <w:r>
        <w:rPr>
          <w:rFonts w:hint="eastAsia" w:ascii="宋体" w:hAnsi="宋体" w:cs="宋体"/>
          <w:b/>
          <w:bCs/>
          <w:sz w:val="24"/>
        </w:rPr>
        <w:t>三、商务要求</w:t>
      </w:r>
      <w:bookmarkEnd w:id="78"/>
    </w:p>
    <w:tbl>
      <w:tblPr>
        <w:tblStyle w:val="53"/>
        <w:tblW w:w="864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4"/>
        <w:gridCol w:w="70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售后服务保障要求</w:t>
            </w:r>
          </w:p>
        </w:tc>
        <w:tc>
          <w:tcPr>
            <w:tcW w:w="7033" w:type="dxa"/>
            <w:tcBorders>
              <w:top w:val="single" w:color="auto" w:sz="4" w:space="0"/>
              <w:left w:val="single" w:color="auto" w:sz="4" w:space="0"/>
              <w:bottom w:val="single" w:color="auto" w:sz="4" w:space="0"/>
              <w:right w:val="single" w:color="auto" w:sz="4" w:space="0"/>
            </w:tcBorders>
            <w:noWrap w:val="0"/>
            <w:vAlign w:val="center"/>
          </w:tcPr>
          <w:p>
            <w:pPr>
              <w:pStyle w:val="559"/>
              <w:spacing w:line="360" w:lineRule="auto"/>
              <w:rPr>
                <w:rFonts w:ascii="宋体" w:hAnsi="宋体" w:cs="宋体"/>
                <w:sz w:val="24"/>
              </w:rPr>
            </w:pPr>
            <w:r>
              <w:rPr>
                <w:rFonts w:hint="eastAsia" w:ascii="宋体" w:hAnsi="宋体" w:cs="宋体"/>
                <w:sz w:val="24"/>
              </w:rPr>
              <w:t>质保期：质保期为验收合格日期起三年。（若原厂服务期高于3年，以原厂质保期承诺为准）。提供7×24技术支持热线，立即电话响应，如有质量问题4小时送货上门免费更换。以保证采购单位的正常使用。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验收</w:t>
            </w:r>
          </w:p>
        </w:tc>
        <w:tc>
          <w:tcPr>
            <w:tcW w:w="70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1.由采购人负责进行验收。</w:t>
            </w:r>
          </w:p>
          <w:p>
            <w:pPr>
              <w:spacing w:line="360" w:lineRule="auto"/>
              <w:rPr>
                <w:rFonts w:hint="eastAsia" w:ascii="宋体" w:hAnsi="宋体" w:cs="宋体"/>
                <w:sz w:val="24"/>
                <w:szCs w:val="24"/>
              </w:rPr>
            </w:pPr>
            <w:r>
              <w:rPr>
                <w:rFonts w:hint="eastAsia" w:ascii="宋体" w:hAnsi="宋体" w:cs="宋体"/>
                <w:sz w:val="24"/>
                <w:szCs w:val="24"/>
              </w:rPr>
              <w:t>2.检验：采购人有权在货物的生产加工期间到卖方的工厂查看原料、加工工艺和货物实样，不按采购人要求的，采购人有权终止合同，一切责任由卖方承担。</w:t>
            </w:r>
          </w:p>
          <w:p>
            <w:pPr>
              <w:spacing w:line="360" w:lineRule="auto"/>
              <w:jc w:val="left"/>
              <w:rPr>
                <w:rFonts w:hint="eastAsia" w:ascii="宋体" w:hAnsi="宋体" w:cs="宋体"/>
                <w:sz w:val="24"/>
                <w:szCs w:val="24"/>
              </w:rPr>
            </w:pPr>
            <w:r>
              <w:rPr>
                <w:rFonts w:hint="eastAsia" w:ascii="宋体" w:hAnsi="宋体" w:cs="宋体"/>
                <w:sz w:val="24"/>
                <w:szCs w:val="24"/>
              </w:rPr>
              <w:t>3.安装和验收：安装完毕，根据采购人需要，可以委托国家认可的专业检测机构进行检测，费用由中标单位承担。</w:t>
            </w:r>
          </w:p>
          <w:p>
            <w:pPr>
              <w:spacing w:line="360" w:lineRule="auto"/>
              <w:jc w:val="left"/>
              <w:rPr>
                <w:rFonts w:hint="eastAsia" w:ascii="宋体" w:hAnsi="宋体" w:cs="宋体"/>
                <w:sz w:val="24"/>
                <w:szCs w:val="24"/>
              </w:rPr>
            </w:pPr>
            <w:r>
              <w:rPr>
                <w:rFonts w:hint="eastAsia" w:ascii="宋体" w:hAnsi="宋体" w:cs="宋体"/>
                <w:sz w:val="24"/>
                <w:szCs w:val="24"/>
              </w:rPr>
              <w:t>4.采购人在中标单位履行合同结束后进行检查验收，如果发现成果有质量、技术等问题，中标单位应负责根据合同及采购人的要求采取补足或更换等处理措施，并承担由此发生的一切损失和费用。验收合格后，采购人在验收单上签字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trPr>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交货安装时间及地点</w:t>
            </w:r>
          </w:p>
        </w:tc>
        <w:tc>
          <w:tcPr>
            <w:tcW w:w="70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sz w:val="24"/>
                <w:szCs w:val="24"/>
              </w:rPr>
            </w:pPr>
            <w:r>
              <w:rPr>
                <w:rFonts w:hint="eastAsia"/>
                <w:sz w:val="24"/>
                <w:szCs w:val="24"/>
              </w:rPr>
              <w:t>交货期：合同签订后7个工作日内完成交货。</w:t>
            </w:r>
          </w:p>
          <w:p>
            <w:pPr>
              <w:spacing w:line="360" w:lineRule="auto"/>
              <w:rPr>
                <w:rFonts w:hint="eastAsia" w:ascii="宋体" w:hAnsi="宋体" w:cs="宋体"/>
                <w:sz w:val="24"/>
                <w:szCs w:val="24"/>
              </w:rPr>
            </w:pPr>
            <w:r>
              <w:rPr>
                <w:rFonts w:hint="eastAsia"/>
                <w:sz w:val="24"/>
                <w:szCs w:val="24"/>
              </w:rPr>
              <w:t>交货和安装地点：交货需送达招标单位指定地点，并根据招标单位要求安装所需软件系统，并完成调试。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付款方式</w:t>
            </w:r>
          </w:p>
        </w:tc>
        <w:tc>
          <w:tcPr>
            <w:tcW w:w="7033"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line="360" w:lineRule="auto"/>
              <w:rPr>
                <w:sz w:val="24"/>
              </w:rPr>
            </w:pPr>
            <w:r>
              <w:rPr>
                <w:rFonts w:hint="eastAsia"/>
                <w:sz w:val="24"/>
              </w:rPr>
              <w:t>安装调试完毕验收合格后十个工作日内一次性付清。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6" w:hRule="atLeast"/>
        </w:trPr>
        <w:tc>
          <w:tcPr>
            <w:tcW w:w="16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其他</w:t>
            </w:r>
          </w:p>
        </w:tc>
        <w:tc>
          <w:tcPr>
            <w:tcW w:w="7033" w:type="dxa"/>
            <w:tcBorders>
              <w:top w:val="single" w:color="auto" w:sz="4" w:space="0"/>
              <w:left w:val="single" w:color="auto" w:sz="4" w:space="0"/>
              <w:bottom w:val="single" w:color="auto" w:sz="4" w:space="0"/>
              <w:right w:val="single" w:color="auto" w:sz="4" w:space="0"/>
            </w:tcBorders>
            <w:noWrap w:val="0"/>
            <w:vAlign w:val="center"/>
          </w:tcPr>
          <w:p>
            <w:pPr>
              <w:pStyle w:val="559"/>
              <w:spacing w:line="360" w:lineRule="auto"/>
              <w:rPr>
                <w:rFonts w:ascii="宋体" w:cs="宋体"/>
                <w:color w:val="000000"/>
                <w:kern w:val="2"/>
                <w:sz w:val="24"/>
              </w:rPr>
            </w:pPr>
            <w:r>
              <w:rPr>
                <w:rFonts w:hint="eastAsia" w:ascii="宋体" w:hAnsi="宋体" w:cs="宋体"/>
                <w:color w:val="000000"/>
                <w:kern w:val="2"/>
                <w:sz w:val="24"/>
              </w:rPr>
              <w:t>1.签订合同时中标供应商提供招标文件内所要求的生产厂家针对本项目使用单位三年质保承诺书原件；如不提供，按自动弃标处理。</w:t>
            </w:r>
          </w:p>
          <w:p>
            <w:pPr>
              <w:pStyle w:val="559"/>
              <w:spacing w:line="360" w:lineRule="auto"/>
              <w:rPr>
                <w:rFonts w:hint="eastAsia"/>
                <w:sz w:val="24"/>
              </w:rPr>
            </w:pPr>
            <w:r>
              <w:rPr>
                <w:rFonts w:hint="eastAsia" w:ascii="宋体" w:hAnsi="宋体" w:cs="宋体"/>
                <w:color w:val="000000"/>
                <w:kern w:val="2"/>
                <w:sz w:val="24"/>
              </w:rPr>
              <w:t>2.在合同签订前，用户保留对产品测试的权利，如当用户向成交供应商提出测试要求，成交供应商和设备厂商必须在</w:t>
            </w:r>
            <w:r>
              <w:rPr>
                <w:rFonts w:ascii="宋体" w:hAnsi="宋体" w:cs="宋体"/>
                <w:color w:val="000000"/>
                <w:kern w:val="2"/>
                <w:sz w:val="24"/>
              </w:rPr>
              <w:t>3</w:t>
            </w:r>
            <w:r>
              <w:rPr>
                <w:rFonts w:hint="eastAsia" w:ascii="宋体" w:hAnsi="宋体" w:cs="宋体"/>
                <w:color w:val="000000"/>
                <w:kern w:val="2"/>
                <w:sz w:val="24"/>
              </w:rPr>
              <w:t>个工作日内提供测试样机，在规定时间内如不提供或测试结果无法满足标书要求的，则将定性为虚假应标，将取消其成交人资格。</w:t>
            </w:r>
          </w:p>
        </w:tc>
      </w:tr>
    </w:tbl>
    <w:p>
      <w:pPr>
        <w:pStyle w:val="21"/>
        <w:rPr>
          <w:rFonts w:hint="eastAsia"/>
        </w:rPr>
      </w:pPr>
    </w:p>
    <w:p>
      <w:pPr>
        <w:rPr>
          <w:rFonts w:hint="eastAsia" w:ascii="宋体" w:hAnsi="宋体"/>
          <w:sz w:val="36"/>
          <w:szCs w:val="36"/>
        </w:rPr>
      </w:pPr>
      <w:r>
        <w:rPr>
          <w:rFonts w:hint="eastAsia" w:ascii="宋体" w:hAnsi="宋体"/>
          <w:sz w:val="36"/>
          <w:szCs w:val="36"/>
        </w:rPr>
        <w:br w:type="page"/>
      </w:r>
    </w:p>
    <w:p>
      <w:pPr>
        <w:pStyle w:val="28"/>
        <w:snapToGrid w:val="0"/>
        <w:spacing w:beforeLines="0" w:afterLines="0" w:line="500" w:lineRule="exact"/>
        <w:jc w:val="center"/>
        <w:rPr>
          <w:rFonts w:hint="eastAsia"/>
          <w:b/>
          <w:bCs/>
          <w:sz w:val="36"/>
          <w:szCs w:val="36"/>
        </w:rPr>
      </w:pPr>
      <w:r>
        <w:rPr>
          <w:rFonts w:hint="eastAsia" w:ascii="宋体" w:hAnsi="宋体"/>
          <w:b/>
          <w:bCs/>
          <w:sz w:val="36"/>
          <w:szCs w:val="36"/>
        </w:rPr>
        <w:t>第五章</w:t>
      </w:r>
      <w:r>
        <w:rPr>
          <w:b/>
          <w:bCs/>
          <w:sz w:val="36"/>
          <w:szCs w:val="36"/>
        </w:rPr>
        <w:t xml:space="preserve"> </w:t>
      </w:r>
      <w:bookmarkEnd w:id="76"/>
      <w:r>
        <w:rPr>
          <w:rFonts w:hint="eastAsia"/>
          <w:b/>
          <w:bCs/>
          <w:sz w:val="36"/>
          <w:szCs w:val="36"/>
        </w:rPr>
        <w:t>合同主要条款</w:t>
      </w:r>
    </w:p>
    <w:p>
      <w:pPr>
        <w:ind w:firstLine="482"/>
        <w:jc w:val="center"/>
        <w:rPr>
          <w:rFonts w:ascii="宋体"/>
          <w:b/>
          <w:color w:val="000000"/>
          <w:sz w:val="24"/>
        </w:rPr>
      </w:pPr>
      <w:r>
        <w:rPr>
          <w:rFonts w:hint="eastAsia" w:ascii="仿宋" w:hAnsi="仿宋" w:eastAsia="仿宋"/>
          <w:sz w:val="30"/>
          <w:szCs w:val="30"/>
        </w:rPr>
        <w:t xml:space="preserve">              </w:t>
      </w:r>
      <w:bookmarkStart w:id="79" w:name="_Toc21201"/>
      <w:r>
        <w:rPr>
          <w:rFonts w:hint="eastAsia" w:ascii="宋体" w:hAnsi="宋体"/>
          <w:b/>
          <w:color w:val="000000"/>
          <w:sz w:val="24"/>
        </w:rPr>
        <w:t>合同协议书</w:t>
      </w:r>
    </w:p>
    <w:p>
      <w:pPr>
        <w:ind w:firstLine="480"/>
        <w:jc w:val="center"/>
        <w:rPr>
          <w:rFonts w:ascii="宋体" w:hAnsi="宋体"/>
          <w:color w:val="000000"/>
          <w:sz w:val="24"/>
        </w:rPr>
      </w:pPr>
      <w:r>
        <w:rPr>
          <w:rFonts w:hint="eastAsia" w:ascii="宋体" w:hAnsi="宋体"/>
          <w:color w:val="000000"/>
          <w:sz w:val="24"/>
        </w:rPr>
        <w:t>（仅为合同模板，最终稿由甲乙双方协商后确定）</w:t>
      </w:r>
    </w:p>
    <w:p>
      <w:pPr>
        <w:pStyle w:val="28"/>
        <w:snapToGrid w:val="0"/>
        <w:spacing w:before="120" w:after="120"/>
        <w:rPr>
          <w:rFonts w:hint="eastAsia" w:hAnsi="宋体" w:eastAsia="宋体"/>
          <w:b/>
          <w:color w:val="000000"/>
          <w:sz w:val="24"/>
          <w:szCs w:val="24"/>
          <w:lang w:eastAsia="zh-CN"/>
        </w:rPr>
      </w:pPr>
      <w:r>
        <w:rPr>
          <w:rFonts w:hint="eastAsia" w:hAnsi="宋体"/>
          <w:b/>
          <w:color w:val="000000"/>
          <w:sz w:val="24"/>
          <w:szCs w:val="24"/>
        </w:rPr>
        <w:t>甲方：</w:t>
      </w:r>
      <w:r>
        <w:rPr>
          <w:rFonts w:hint="eastAsia" w:hAnsi="宋体"/>
          <w:b/>
          <w:color w:val="000000"/>
          <w:sz w:val="24"/>
          <w:szCs w:val="24"/>
          <w:lang w:eastAsia="zh-CN"/>
        </w:rPr>
        <w:t>新昌县城东实验学校</w:t>
      </w:r>
    </w:p>
    <w:p>
      <w:pPr>
        <w:rPr>
          <w:rFonts w:hint="eastAsia" w:ascii="宋体" w:hAnsi="宋体"/>
          <w:b/>
          <w:color w:val="000000"/>
          <w:sz w:val="24"/>
        </w:rPr>
      </w:pPr>
      <w:r>
        <w:rPr>
          <w:rFonts w:hint="eastAsia" w:ascii="宋体" w:hAnsi="宋体"/>
          <w:b/>
          <w:color w:val="000000"/>
          <w:sz w:val="24"/>
        </w:rPr>
        <w:t>乙方：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 xml:space="preserve">根据《中华人民共和国合同法》、 绍兴平准招标代理有限公司编号为       </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eastAsia="zh-CN"/>
        </w:rPr>
        <w:t>）</w:t>
      </w:r>
      <w:r>
        <w:rPr>
          <w:rFonts w:hint="eastAsia" w:ascii="宋体" w:hAnsi="宋体" w:cs="宋体"/>
          <w:color w:val="000000"/>
          <w:sz w:val="24"/>
          <w:szCs w:val="24"/>
        </w:rPr>
        <w:t>的招标文件和乙方的投标文件，经双方充分协商，特订立本合同，以便共同遵守。</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第一条 项目名称、规格、型号、数量、金额和质量</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1.采购项目的名称、规格、型号、数量、金额：</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724"/>
        <w:gridCol w:w="68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采购项目名称</w:t>
            </w:r>
          </w:p>
        </w:tc>
        <w:tc>
          <w:tcPr>
            <w:tcW w:w="2724" w:type="dxa"/>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设备名称、配置、要求规格</w:t>
            </w:r>
          </w:p>
        </w:tc>
        <w:tc>
          <w:tcPr>
            <w:tcW w:w="684" w:type="dxa"/>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数量</w:t>
            </w:r>
          </w:p>
        </w:tc>
        <w:tc>
          <w:tcPr>
            <w:tcW w:w="1705" w:type="dxa"/>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单价(元)</w:t>
            </w:r>
          </w:p>
        </w:tc>
        <w:tc>
          <w:tcPr>
            <w:tcW w:w="1705" w:type="dxa"/>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04" w:type="dxa"/>
            <w:vMerge w:val="restart"/>
            <w:noWrap w:val="0"/>
            <w:vAlign w:val="top"/>
          </w:tcPr>
          <w:p>
            <w:pPr>
              <w:spacing w:line="360" w:lineRule="auto"/>
              <w:rPr>
                <w:rFonts w:hint="eastAsia" w:ascii="宋体" w:hAnsi="宋体" w:cs="宋体"/>
                <w:color w:val="000000"/>
                <w:sz w:val="24"/>
                <w:szCs w:val="24"/>
              </w:rPr>
            </w:pPr>
          </w:p>
        </w:tc>
        <w:tc>
          <w:tcPr>
            <w:tcW w:w="2724" w:type="dxa"/>
            <w:noWrap w:val="0"/>
            <w:vAlign w:val="top"/>
          </w:tcPr>
          <w:p>
            <w:pPr>
              <w:spacing w:line="360" w:lineRule="auto"/>
              <w:rPr>
                <w:rFonts w:hint="eastAsia" w:ascii="宋体" w:hAnsi="宋体" w:cs="宋体"/>
                <w:color w:val="000000"/>
                <w:sz w:val="24"/>
                <w:szCs w:val="24"/>
              </w:rPr>
            </w:pPr>
          </w:p>
        </w:tc>
        <w:tc>
          <w:tcPr>
            <w:tcW w:w="684" w:type="dxa"/>
            <w:noWrap w:val="0"/>
            <w:vAlign w:val="top"/>
          </w:tcPr>
          <w:p>
            <w:pPr>
              <w:spacing w:line="360" w:lineRule="auto"/>
              <w:rPr>
                <w:rFonts w:hint="eastAsia" w:ascii="宋体" w:hAnsi="宋体" w:cs="宋体"/>
                <w:color w:val="000000"/>
                <w:sz w:val="24"/>
                <w:szCs w:val="24"/>
              </w:rPr>
            </w:pPr>
          </w:p>
        </w:tc>
        <w:tc>
          <w:tcPr>
            <w:tcW w:w="1705" w:type="dxa"/>
            <w:noWrap w:val="0"/>
            <w:vAlign w:val="top"/>
          </w:tcPr>
          <w:p>
            <w:pPr>
              <w:spacing w:line="360" w:lineRule="auto"/>
              <w:rPr>
                <w:rFonts w:hint="eastAsia" w:ascii="宋体" w:hAnsi="宋体" w:cs="宋体"/>
                <w:color w:val="000000"/>
                <w:sz w:val="24"/>
                <w:szCs w:val="24"/>
              </w:rPr>
            </w:pPr>
          </w:p>
        </w:tc>
        <w:tc>
          <w:tcPr>
            <w:tcW w:w="1705" w:type="dxa"/>
            <w:noWrap w:val="0"/>
            <w:vAlign w:val="top"/>
          </w:tcPr>
          <w:p>
            <w:pPr>
              <w:spacing w:line="360" w:lineRule="auto"/>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04" w:type="dxa"/>
            <w:vMerge w:val="continue"/>
            <w:noWrap w:val="0"/>
            <w:vAlign w:val="top"/>
          </w:tcPr>
          <w:p>
            <w:pPr>
              <w:spacing w:line="360" w:lineRule="auto"/>
              <w:rPr>
                <w:rFonts w:hint="eastAsia" w:ascii="宋体" w:hAnsi="宋体" w:cs="宋体"/>
                <w:color w:val="000000"/>
                <w:sz w:val="24"/>
                <w:szCs w:val="24"/>
              </w:rPr>
            </w:pPr>
          </w:p>
        </w:tc>
        <w:tc>
          <w:tcPr>
            <w:tcW w:w="2724" w:type="dxa"/>
            <w:noWrap w:val="0"/>
            <w:vAlign w:val="top"/>
          </w:tcPr>
          <w:p>
            <w:pPr>
              <w:spacing w:line="360" w:lineRule="auto"/>
              <w:rPr>
                <w:rFonts w:hint="eastAsia" w:ascii="宋体" w:hAnsi="宋体" w:cs="宋体"/>
                <w:color w:val="000000"/>
                <w:sz w:val="24"/>
                <w:szCs w:val="24"/>
              </w:rPr>
            </w:pPr>
          </w:p>
        </w:tc>
        <w:tc>
          <w:tcPr>
            <w:tcW w:w="684" w:type="dxa"/>
            <w:noWrap w:val="0"/>
            <w:vAlign w:val="top"/>
          </w:tcPr>
          <w:p>
            <w:pPr>
              <w:spacing w:line="360" w:lineRule="auto"/>
              <w:rPr>
                <w:rFonts w:hint="eastAsia" w:ascii="宋体" w:hAnsi="宋体" w:cs="宋体"/>
                <w:color w:val="000000"/>
                <w:sz w:val="24"/>
                <w:szCs w:val="24"/>
              </w:rPr>
            </w:pPr>
          </w:p>
        </w:tc>
        <w:tc>
          <w:tcPr>
            <w:tcW w:w="1705" w:type="dxa"/>
            <w:noWrap w:val="0"/>
            <w:vAlign w:val="top"/>
          </w:tcPr>
          <w:p>
            <w:pPr>
              <w:spacing w:line="360" w:lineRule="auto"/>
              <w:rPr>
                <w:rFonts w:hint="eastAsia" w:ascii="宋体" w:hAnsi="宋体" w:cs="宋体"/>
                <w:color w:val="000000"/>
                <w:sz w:val="24"/>
                <w:szCs w:val="24"/>
              </w:rPr>
            </w:pPr>
          </w:p>
        </w:tc>
        <w:tc>
          <w:tcPr>
            <w:tcW w:w="1705" w:type="dxa"/>
            <w:noWrap w:val="0"/>
            <w:vAlign w:val="top"/>
          </w:tcPr>
          <w:p>
            <w:pPr>
              <w:spacing w:line="360" w:lineRule="auto"/>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04" w:type="dxa"/>
            <w:vMerge w:val="continue"/>
            <w:noWrap w:val="0"/>
            <w:vAlign w:val="top"/>
          </w:tcPr>
          <w:p>
            <w:pPr>
              <w:spacing w:line="360" w:lineRule="auto"/>
              <w:rPr>
                <w:rFonts w:hint="eastAsia" w:ascii="宋体" w:hAnsi="宋体" w:cs="宋体"/>
                <w:color w:val="000000"/>
                <w:sz w:val="24"/>
                <w:szCs w:val="24"/>
              </w:rPr>
            </w:pPr>
          </w:p>
        </w:tc>
        <w:tc>
          <w:tcPr>
            <w:tcW w:w="2724" w:type="dxa"/>
            <w:noWrap w:val="0"/>
            <w:vAlign w:val="top"/>
          </w:tcPr>
          <w:p>
            <w:pPr>
              <w:spacing w:line="360" w:lineRule="auto"/>
              <w:rPr>
                <w:rFonts w:hint="eastAsia" w:ascii="宋体" w:hAnsi="宋体" w:cs="宋体"/>
                <w:color w:val="000000"/>
                <w:sz w:val="24"/>
                <w:szCs w:val="24"/>
              </w:rPr>
            </w:pPr>
          </w:p>
        </w:tc>
        <w:tc>
          <w:tcPr>
            <w:tcW w:w="684" w:type="dxa"/>
            <w:noWrap w:val="0"/>
            <w:vAlign w:val="top"/>
          </w:tcPr>
          <w:p>
            <w:pPr>
              <w:spacing w:line="360" w:lineRule="auto"/>
              <w:rPr>
                <w:rFonts w:hint="eastAsia" w:ascii="宋体" w:hAnsi="宋体" w:cs="宋体"/>
                <w:color w:val="000000"/>
                <w:sz w:val="24"/>
                <w:szCs w:val="24"/>
              </w:rPr>
            </w:pPr>
          </w:p>
        </w:tc>
        <w:tc>
          <w:tcPr>
            <w:tcW w:w="1705" w:type="dxa"/>
            <w:noWrap w:val="0"/>
            <w:vAlign w:val="top"/>
          </w:tcPr>
          <w:p>
            <w:pPr>
              <w:spacing w:line="360" w:lineRule="auto"/>
              <w:rPr>
                <w:rFonts w:hint="eastAsia" w:ascii="宋体" w:hAnsi="宋体" w:cs="宋体"/>
                <w:color w:val="000000"/>
                <w:sz w:val="24"/>
                <w:szCs w:val="24"/>
              </w:rPr>
            </w:pPr>
          </w:p>
        </w:tc>
        <w:tc>
          <w:tcPr>
            <w:tcW w:w="1705" w:type="dxa"/>
            <w:noWrap w:val="0"/>
            <w:vAlign w:val="top"/>
          </w:tcPr>
          <w:p>
            <w:pPr>
              <w:spacing w:line="360" w:lineRule="auto"/>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04" w:type="dxa"/>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合计（元）</w:t>
            </w:r>
          </w:p>
        </w:tc>
        <w:tc>
          <w:tcPr>
            <w:tcW w:w="6818" w:type="dxa"/>
            <w:gridSpan w:val="4"/>
            <w:noWrap w:val="0"/>
            <w:vAlign w:val="top"/>
          </w:tcPr>
          <w:p>
            <w:pPr>
              <w:spacing w:line="360" w:lineRule="auto"/>
              <w:rPr>
                <w:rFonts w:hint="eastAsia" w:ascii="宋体" w:hAnsi="宋体" w:cs="宋体"/>
                <w:color w:val="000000"/>
                <w:sz w:val="24"/>
                <w:szCs w:val="24"/>
              </w:rPr>
            </w:pPr>
            <w:r>
              <w:rPr>
                <w:rFonts w:hint="eastAsia" w:ascii="宋体" w:hAnsi="宋体" w:cs="宋体"/>
                <w:color w:val="000000"/>
                <w:sz w:val="24"/>
                <w:szCs w:val="24"/>
              </w:rPr>
              <w:t>小写：</w:t>
            </w:r>
          </w:p>
          <w:p>
            <w:pPr>
              <w:spacing w:line="360" w:lineRule="auto"/>
              <w:rPr>
                <w:rFonts w:hint="eastAsia" w:ascii="宋体" w:hAnsi="宋体" w:cs="宋体"/>
                <w:color w:val="000000"/>
                <w:sz w:val="24"/>
                <w:szCs w:val="24"/>
              </w:rPr>
            </w:pPr>
            <w:r>
              <w:rPr>
                <w:rFonts w:hint="eastAsia" w:ascii="宋体" w:hAnsi="宋体" w:cs="宋体"/>
                <w:color w:val="000000"/>
                <w:sz w:val="24"/>
                <w:szCs w:val="24"/>
              </w:rPr>
              <w:t>大写：</w:t>
            </w:r>
          </w:p>
        </w:tc>
      </w:tr>
    </w:tbl>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采购项目的数量计量单位、计量方法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第二条 采购项目货物的包装标准</w:t>
      </w:r>
    </w:p>
    <w:p>
      <w:pPr>
        <w:pStyle w:val="28"/>
        <w:tabs>
          <w:tab w:val="left" w:pos="180"/>
        </w:tabs>
        <w:snapToGrid w:val="0"/>
        <w:spacing w:line="360" w:lineRule="auto"/>
        <w:ind w:firstLine="480" w:firstLineChars="200"/>
        <w:rPr>
          <w:rFonts w:hint="eastAsia" w:hAnsi="宋体" w:cs="宋体"/>
          <w:color w:val="000000"/>
          <w:sz w:val="24"/>
          <w:szCs w:val="24"/>
        </w:rPr>
      </w:pPr>
      <w:r>
        <w:rPr>
          <w:rFonts w:hint="eastAsia" w:hAnsi="宋体" w:cs="宋体"/>
          <w:color w:val="000000"/>
          <w:sz w:val="24"/>
          <w:szCs w:val="24"/>
        </w:rPr>
        <w:t>（国家或业务主管部门有技术规定的，按技术规定执行；国家与业务主管部门无技术规定的，由甲乙双方商定。）</w:t>
      </w:r>
    </w:p>
    <w:p>
      <w:pPr>
        <w:pStyle w:val="28"/>
        <w:tabs>
          <w:tab w:val="left" w:pos="180"/>
        </w:tabs>
        <w:snapToGrid w:val="0"/>
        <w:spacing w:line="360" w:lineRule="auto"/>
        <w:ind w:firstLine="480" w:firstLineChars="200"/>
        <w:rPr>
          <w:rFonts w:hint="eastAsia" w:hAnsi="宋体" w:cs="宋体"/>
          <w:bCs/>
          <w:sz w:val="24"/>
          <w:szCs w:val="24"/>
        </w:rPr>
      </w:pPr>
      <w:r>
        <w:rPr>
          <w:rFonts w:hint="eastAsia" w:hAnsi="宋体" w:cs="宋体"/>
          <w:bCs/>
          <w:sz w:val="24"/>
          <w:szCs w:val="24"/>
        </w:rPr>
        <w:t>第三条、质量保证</w:t>
      </w:r>
    </w:p>
    <w:p>
      <w:pPr>
        <w:pStyle w:val="28"/>
        <w:tabs>
          <w:tab w:val="left" w:pos="180"/>
        </w:tabs>
        <w:snapToGrid w:val="0"/>
        <w:spacing w:line="360" w:lineRule="auto"/>
        <w:ind w:firstLine="480"/>
        <w:rPr>
          <w:rFonts w:hint="eastAsia" w:hAnsi="宋体" w:cs="宋体"/>
          <w:sz w:val="24"/>
          <w:szCs w:val="24"/>
        </w:rPr>
      </w:pPr>
      <w:r>
        <w:rPr>
          <w:rFonts w:hint="eastAsia" w:hAnsi="宋体" w:cs="宋体"/>
          <w:sz w:val="24"/>
          <w:szCs w:val="24"/>
        </w:rPr>
        <w:t>乙方保证本合同中所供应的商品符合国家技术规格和质量标准的出厂合格产品；如发生所供商品与合同不符，甲方有权拒收或退货，由此产生的一切责任和后果由乙方承担。</w:t>
      </w:r>
    </w:p>
    <w:p>
      <w:pPr>
        <w:spacing w:line="360" w:lineRule="auto"/>
        <w:ind w:firstLine="480" w:firstLineChars="200"/>
        <w:rPr>
          <w:rFonts w:hint="eastAsia" w:ascii="宋体" w:hAnsi="宋体" w:cs="宋体"/>
          <w:color w:val="000000"/>
          <w:sz w:val="24"/>
          <w:szCs w:val="24"/>
        </w:rPr>
      </w:pPr>
    </w:p>
    <w:p>
      <w:pPr>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第四条、</w:t>
      </w:r>
      <w:r>
        <w:rPr>
          <w:rFonts w:hint="eastAsia" w:ascii="宋体" w:hAnsi="宋体" w:cs="宋体"/>
          <w:bCs/>
          <w:sz w:val="24"/>
          <w:szCs w:val="24"/>
        </w:rPr>
        <w:t>交货时间及地点</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中标通知书发出后30日内和采购单位签订采购合同，在签定合同后十个工作日内提供所有设备，经过品牌、规格型号、数量、包装验收通过后才能安装，60天内进行安装、调试完毕。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地点：新昌县城东实验学校内。</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第五条、质保期</w:t>
      </w:r>
    </w:p>
    <w:p>
      <w:pPr>
        <w:pStyle w:val="523"/>
        <w:numPr>
          <w:ilvl w:val="6"/>
          <w:numId w:val="0"/>
        </w:numPr>
        <w:ind w:firstLine="480" w:firstLineChars="200"/>
        <w:rPr>
          <w:rFonts w:hint="eastAsia" w:ascii="宋体" w:hAnsi="宋体" w:cs="宋体"/>
          <w:bCs/>
          <w:sz w:val="24"/>
          <w:szCs w:val="24"/>
        </w:rPr>
      </w:pPr>
      <w:r>
        <w:rPr>
          <w:rFonts w:hint="eastAsia" w:ascii="宋体" w:hAnsi="宋体" w:cs="宋体"/>
          <w:bCs/>
          <w:sz w:val="24"/>
          <w:szCs w:val="24"/>
        </w:rPr>
        <w:t>自验收合格之日起，提供至少3年的免费技术服务和售后质保服务，确保系统的正常运行。在项目质保期内不收取任何额外费用。质保期从项目验收合格交付使用之日起开始计算。</w:t>
      </w:r>
    </w:p>
    <w:p>
      <w:pPr>
        <w:pStyle w:val="523"/>
        <w:numPr>
          <w:ilvl w:val="6"/>
          <w:numId w:val="0"/>
        </w:numPr>
        <w:ind w:firstLine="480" w:firstLineChars="200"/>
        <w:rPr>
          <w:rFonts w:hint="eastAsia" w:ascii="宋体" w:hAnsi="宋体" w:cs="宋体"/>
          <w:bCs/>
          <w:sz w:val="24"/>
          <w:szCs w:val="24"/>
        </w:rPr>
      </w:pPr>
      <w:r>
        <w:rPr>
          <w:rFonts w:hint="eastAsia" w:ascii="宋体" w:hAnsi="宋体" w:cs="宋体"/>
          <w:bCs/>
          <w:color w:val="000000"/>
          <w:sz w:val="24"/>
          <w:szCs w:val="24"/>
        </w:rPr>
        <w:t>第六条、</w:t>
      </w:r>
      <w:r>
        <w:rPr>
          <w:rFonts w:hint="eastAsia" w:ascii="宋体" w:hAnsi="宋体" w:cs="宋体"/>
          <w:bCs/>
          <w:sz w:val="24"/>
          <w:szCs w:val="24"/>
        </w:rPr>
        <w:t>售后技术服务要求</w:t>
      </w:r>
    </w:p>
    <w:p>
      <w:pPr>
        <w:pStyle w:val="523"/>
        <w:numPr>
          <w:ilvl w:val="6"/>
          <w:numId w:val="0"/>
        </w:numPr>
        <w:ind w:firstLine="480" w:firstLineChars="200"/>
        <w:rPr>
          <w:rFonts w:hint="eastAsia" w:ascii="宋体" w:hAnsi="宋体" w:cs="宋体"/>
          <w:bCs/>
          <w:sz w:val="24"/>
          <w:szCs w:val="24"/>
        </w:rPr>
      </w:pPr>
      <w:r>
        <w:rPr>
          <w:rFonts w:hint="eastAsia" w:ascii="宋体" w:hAnsi="宋体" w:cs="宋体"/>
          <w:bCs/>
          <w:sz w:val="24"/>
          <w:szCs w:val="24"/>
        </w:rPr>
        <w:t>在免费维护期：故障发生1小时内现场响应，中标供应商根据项目需要2小时内派出中标供应商技术人员到现场技术支持；中标供应商应提供免费24小时电话技术支持。</w:t>
      </w:r>
    </w:p>
    <w:p>
      <w:pPr>
        <w:pStyle w:val="523"/>
        <w:numPr>
          <w:ilvl w:val="6"/>
          <w:numId w:val="0"/>
        </w:numPr>
        <w:ind w:firstLine="480" w:firstLineChars="200"/>
        <w:rPr>
          <w:rFonts w:hint="eastAsia" w:ascii="宋体" w:hAnsi="宋体" w:cs="宋体"/>
          <w:bCs/>
          <w:sz w:val="24"/>
          <w:szCs w:val="24"/>
        </w:rPr>
      </w:pPr>
      <w:r>
        <w:rPr>
          <w:rFonts w:hint="eastAsia" w:ascii="宋体" w:hAnsi="宋体" w:cs="宋体"/>
          <w:bCs/>
          <w:color w:val="000000"/>
          <w:sz w:val="24"/>
          <w:szCs w:val="24"/>
        </w:rPr>
        <w:t>第七条、</w:t>
      </w:r>
      <w:r>
        <w:rPr>
          <w:rFonts w:hint="eastAsia" w:ascii="宋体" w:hAnsi="宋体" w:cs="宋体"/>
          <w:bCs/>
          <w:sz w:val="24"/>
          <w:szCs w:val="24"/>
        </w:rPr>
        <w:t>履约保证金</w:t>
      </w:r>
    </w:p>
    <w:p>
      <w:pPr>
        <w:pStyle w:val="523"/>
        <w:numPr>
          <w:ilvl w:val="6"/>
          <w:numId w:val="0"/>
        </w:numPr>
        <w:ind w:firstLine="480" w:firstLineChars="200"/>
        <w:rPr>
          <w:rFonts w:hint="eastAsia" w:ascii="宋体" w:hAnsi="宋体"/>
          <w:sz w:val="24"/>
          <w:szCs w:val="24"/>
        </w:rPr>
      </w:pPr>
      <w:r>
        <w:rPr>
          <w:rFonts w:hint="eastAsia" w:ascii="宋体" w:hAnsi="宋体"/>
          <w:sz w:val="24"/>
          <w:szCs w:val="24"/>
        </w:rPr>
        <w:t>合同签订前，由中标单位支付采购人合同总价2%的履约保证金，在</w:t>
      </w:r>
      <w:r>
        <w:rPr>
          <w:rFonts w:hint="eastAsia"/>
          <w:sz w:val="24"/>
        </w:rPr>
        <w:t>安装调试完毕验收合格后</w:t>
      </w:r>
      <w:r>
        <w:rPr>
          <w:rFonts w:hint="eastAsia" w:ascii="宋体" w:hAnsi="宋体"/>
          <w:sz w:val="24"/>
          <w:szCs w:val="24"/>
        </w:rPr>
        <w:t>转为质量保证金，质保期满后退还（不计息）。</w:t>
      </w:r>
    </w:p>
    <w:p>
      <w:pPr>
        <w:pStyle w:val="523"/>
        <w:numPr>
          <w:ilvl w:val="6"/>
          <w:numId w:val="0"/>
        </w:numPr>
        <w:ind w:firstLine="480" w:firstLineChars="200"/>
        <w:rPr>
          <w:rFonts w:hint="eastAsia" w:ascii="宋体" w:hAnsi="宋体" w:cs="宋体"/>
          <w:bCs/>
          <w:sz w:val="24"/>
          <w:szCs w:val="24"/>
        </w:rPr>
      </w:pPr>
      <w:r>
        <w:rPr>
          <w:rFonts w:hint="eastAsia" w:ascii="宋体" w:hAnsi="宋体" w:cs="宋体"/>
          <w:bCs/>
          <w:color w:val="000000"/>
          <w:sz w:val="24"/>
          <w:szCs w:val="24"/>
        </w:rPr>
        <w:t>第八条、</w:t>
      </w:r>
      <w:r>
        <w:rPr>
          <w:rFonts w:hint="eastAsia" w:ascii="宋体" w:hAnsi="宋体" w:cs="宋体"/>
          <w:bCs/>
          <w:sz w:val="24"/>
          <w:szCs w:val="24"/>
        </w:rPr>
        <w:t>付款方式</w:t>
      </w:r>
    </w:p>
    <w:p>
      <w:pPr>
        <w:spacing w:line="360" w:lineRule="auto"/>
        <w:ind w:firstLine="480" w:firstLineChars="200"/>
        <w:rPr>
          <w:rFonts w:hint="eastAsia"/>
          <w:sz w:val="24"/>
        </w:rPr>
      </w:pPr>
      <w:r>
        <w:rPr>
          <w:rFonts w:hint="eastAsia"/>
          <w:sz w:val="24"/>
        </w:rPr>
        <w:t>安装调试完毕验收合格后十个工作日内一次性付清。</w:t>
      </w:r>
    </w:p>
    <w:p>
      <w:pPr>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第九条、采购项目的验收</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乙方按本合同第四条约定将采购项目完成后，甲方应在</w:t>
      </w:r>
      <w:r>
        <w:rPr>
          <w:rFonts w:hint="eastAsia" w:ascii="宋体" w:hAnsi="宋体" w:cs="宋体"/>
          <w:color w:val="000000"/>
          <w:sz w:val="24"/>
          <w:szCs w:val="24"/>
          <w:u w:val="single"/>
        </w:rPr>
        <w:t>7</w:t>
      </w:r>
      <w:r>
        <w:rPr>
          <w:rFonts w:hint="eastAsia" w:ascii="宋体" w:hAnsi="宋体" w:cs="宋体"/>
          <w:color w:val="000000"/>
          <w:sz w:val="24"/>
          <w:szCs w:val="24"/>
        </w:rPr>
        <w:t>日内根据本合同约定的项目技术规格要求和质量标准等，对项目进行检查验收。</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甲方在使用过程中发现产品存在技术质量问题，甲方有权向乙方提出书面异议。乙方在接到甲方书面异议后，应在10天内负责处理，否则，即视为默认甲方提出的异议和处理意见。</w:t>
      </w:r>
    </w:p>
    <w:p>
      <w:pPr>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第十条、乙方的违约责任</w:t>
      </w:r>
    </w:p>
    <w:p>
      <w:pPr>
        <w:spacing w:line="360" w:lineRule="auto"/>
        <w:ind w:firstLine="440" w:firstLineChars="200"/>
        <w:rPr>
          <w:rFonts w:hint="eastAsia" w:ascii="宋体" w:hAnsi="宋体" w:cs="宋体"/>
          <w:color w:val="000000"/>
          <w:spacing w:val="-10"/>
          <w:sz w:val="24"/>
          <w:szCs w:val="24"/>
        </w:rPr>
      </w:pPr>
      <w:r>
        <w:rPr>
          <w:rFonts w:hint="eastAsia" w:ascii="宋体" w:hAnsi="宋体" w:cs="宋体"/>
          <w:color w:val="000000"/>
          <w:spacing w:val="-10"/>
          <w:sz w:val="24"/>
          <w:szCs w:val="24"/>
        </w:rPr>
        <w:t>1.乙方不能按本合同约定完成采购项目的，乙方应向甲方偿付项目总价款的</w:t>
      </w:r>
      <w:r>
        <w:rPr>
          <w:rFonts w:hint="eastAsia" w:ascii="宋体" w:hAnsi="宋体" w:cs="宋体"/>
          <w:color w:val="000000"/>
          <w:spacing w:val="-10"/>
          <w:sz w:val="24"/>
          <w:szCs w:val="24"/>
          <w:u w:val="single"/>
        </w:rPr>
        <w:t xml:space="preserve">5 </w:t>
      </w:r>
      <w:r>
        <w:rPr>
          <w:rFonts w:hint="eastAsia" w:ascii="宋体" w:hAnsi="宋体" w:cs="宋体"/>
          <w:color w:val="000000"/>
          <w:spacing w:val="-10"/>
          <w:sz w:val="24"/>
          <w:szCs w:val="24"/>
        </w:rPr>
        <w:t>％的违约金。乙方完成部分采购项目的，除甲方同意外，按不能完成采购项目处理。甲方同意的，乙方应向甲方偿付不能完成部分项目价款的</w:t>
      </w:r>
      <w:r>
        <w:rPr>
          <w:rFonts w:hint="eastAsia" w:ascii="宋体" w:hAnsi="宋体" w:cs="宋体"/>
          <w:color w:val="000000"/>
          <w:spacing w:val="-10"/>
          <w:sz w:val="24"/>
          <w:szCs w:val="24"/>
          <w:u w:val="single"/>
        </w:rPr>
        <w:t xml:space="preserve"> 5 </w:t>
      </w:r>
      <w:r>
        <w:rPr>
          <w:rFonts w:hint="eastAsia" w:ascii="宋体" w:hAnsi="宋体" w:cs="宋体"/>
          <w:color w:val="000000"/>
          <w:spacing w:val="-10"/>
          <w:sz w:val="24"/>
          <w:szCs w:val="24"/>
        </w:rPr>
        <w:t>％的违约金。</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2.乙方所交产品品种、型号、规格、质量或项目完成质量不符合合同规定的，由乙方在日内负责包换或返工，并承担调换、退货或返工而支付的实际费用。乙方不能调换或不予返工的，按不能完成采购项目处理。</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4.逾期完成采购项目的，如影响采购项目整体使用的，乙方应每日向甲方偿付采购项目总价款的</w:t>
      </w:r>
      <w:r>
        <w:rPr>
          <w:rFonts w:hint="eastAsia" w:ascii="宋体" w:hAnsi="宋体" w:cs="宋体"/>
          <w:color w:val="000000"/>
          <w:sz w:val="24"/>
          <w:szCs w:val="24"/>
          <w:u w:val="single"/>
        </w:rPr>
        <w:t xml:space="preserve">  0.1 </w:t>
      </w:r>
      <w:r>
        <w:rPr>
          <w:rFonts w:hint="eastAsia" w:ascii="宋体" w:hAnsi="宋体" w:cs="宋体"/>
          <w:color w:val="000000"/>
          <w:sz w:val="24"/>
          <w:szCs w:val="24"/>
        </w:rPr>
        <w:t>％的违约金，直至采购项目完成为止；如不影响采购项目整体使用的，乙方应每日向甲方偿付逾期完成部分项目价款的</w:t>
      </w:r>
      <w:r>
        <w:rPr>
          <w:rFonts w:hint="eastAsia" w:ascii="宋体" w:hAnsi="宋体" w:cs="宋体"/>
          <w:color w:val="000000"/>
          <w:sz w:val="24"/>
          <w:szCs w:val="24"/>
          <w:u w:val="single"/>
        </w:rPr>
        <w:t xml:space="preserve"> 0.1  </w:t>
      </w:r>
      <w:r>
        <w:rPr>
          <w:rFonts w:hint="eastAsia" w:ascii="宋体" w:hAnsi="宋体" w:cs="宋体"/>
          <w:color w:val="000000"/>
          <w:sz w:val="24"/>
          <w:szCs w:val="24"/>
        </w:rPr>
        <w:t>％的违约金。乙方应同时承担甲方因此所受的损失费用。</w:t>
      </w:r>
    </w:p>
    <w:p>
      <w:pPr>
        <w:pStyle w:val="42"/>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如逾期完成采购项目时间超过十五日（日历日）的，按不能完成采购项目处理，且甲方有权单方解除合同，乙方应同时承担甲方因此所受的损失费用。</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5.未按本合同第五条约定进行售后服务的，乙方应向甲方偿付采购项目总价款的  ％的违约金。</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第十一条、甲方的违约责任</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1.甲方无故退货的，应向乙方偿付退货部分货款</w:t>
      </w:r>
      <w:r>
        <w:rPr>
          <w:rFonts w:hint="eastAsia" w:ascii="宋体" w:hAnsi="宋体" w:cs="宋体"/>
          <w:color w:val="000000"/>
          <w:sz w:val="24"/>
          <w:szCs w:val="24"/>
          <w:u w:val="single"/>
        </w:rPr>
        <w:t xml:space="preserve"> 2  </w:t>
      </w:r>
      <w:r>
        <w:rPr>
          <w:rFonts w:hint="eastAsia" w:ascii="宋体" w:hAnsi="宋体" w:cs="宋体"/>
          <w:color w:val="000000"/>
          <w:sz w:val="24"/>
          <w:szCs w:val="24"/>
        </w:rPr>
        <w:t>％的违约金。</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2.甲方逾期付款的，应按照中国人民银行有关延期付款的规定向乙方偿付逾期付款的违约金。</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3.甲方违反本合同规定拒绝接货或不履行本合同约定义务的，应当承担由此对乙方造成的损失。</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第十二条、不可抗力</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甲乙双方的任何一方由于不可抗力的原因不能履行合同时，应及时向对方通报不能履行或不能完全履行的理由，经绍兴平准招标代理有限公司确认后，允许延期履行、部分履行或者不履行合同，并免予承担违约责任。</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第十三条、其他</w:t>
      </w:r>
    </w:p>
    <w:p>
      <w:pPr>
        <w:spacing w:line="360" w:lineRule="auto"/>
        <w:ind w:firstLine="360" w:firstLineChars="150"/>
        <w:rPr>
          <w:rFonts w:hint="eastAsia" w:ascii="宋体" w:hAnsi="宋体" w:cs="宋体"/>
          <w:color w:val="000000"/>
          <w:sz w:val="24"/>
          <w:szCs w:val="24"/>
        </w:rPr>
      </w:pPr>
      <w:r>
        <w:rPr>
          <w:rFonts w:hint="eastAsia" w:ascii="宋体" w:hAnsi="宋体" w:cs="宋体"/>
          <w:color w:val="000000"/>
          <w:sz w:val="24"/>
          <w:szCs w:val="24"/>
        </w:rPr>
        <w:t>招标文件和投标文件均作为本合同的组成部分。</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第十四条、诉讼</w:t>
      </w:r>
    </w:p>
    <w:p>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双方在执行合同中所发生的一切争议，应通过协商解决。如协商不成，可向甲方所在地法院起诉。</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第十五条、合同执行期内，甲乙双方均不得随意变更或解除合同。合同如有未尽事宜，须经双方共同协商，作出补充规定，补充规定与本合同具有同等效力。本合同一式三份，甲、乙双方各执一份，绍兴平准招标代理有限公司执一份备案。</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第十六条、本合同经甲乙双方签字、加盖公章后生效。 </w:t>
      </w:r>
    </w:p>
    <w:p>
      <w:pPr>
        <w:pStyle w:val="28"/>
        <w:keepNext w:val="0"/>
        <w:keepLines w:val="0"/>
        <w:pageBreakBefore w:val="0"/>
        <w:widowControl w:val="0"/>
        <w:kinsoku/>
        <w:wordWrap/>
        <w:overflowPunct/>
        <w:topLinePunct w:val="0"/>
        <w:autoSpaceDE/>
        <w:autoSpaceDN/>
        <w:bidi w:val="0"/>
        <w:adjustRightInd/>
        <w:snapToGrid w:val="0"/>
        <w:spacing w:line="600" w:lineRule="exact"/>
        <w:ind w:left="0" w:leftChars="0" w:firstLine="723" w:firstLineChars="300"/>
        <w:textAlignment w:val="auto"/>
        <w:rPr>
          <w:rFonts w:hAnsi="宋体"/>
          <w:sz w:val="24"/>
          <w:szCs w:val="24"/>
        </w:rPr>
      </w:pPr>
      <w:r>
        <w:rPr>
          <w:rFonts w:hint="eastAsia" w:hAnsi="宋体"/>
          <w:b/>
          <w:bCs/>
          <w:sz w:val="24"/>
          <w:szCs w:val="24"/>
        </w:rPr>
        <w:t>甲方（盖章）：                    　　乙方（盖章）：</w:t>
      </w:r>
    </w:p>
    <w:p>
      <w:pPr>
        <w:pStyle w:val="28"/>
        <w:keepNext w:val="0"/>
        <w:keepLines w:val="0"/>
        <w:pageBreakBefore w:val="0"/>
        <w:widowControl w:val="0"/>
        <w:kinsoku/>
        <w:wordWrap/>
        <w:overflowPunct/>
        <w:topLinePunct w:val="0"/>
        <w:autoSpaceDE/>
        <w:autoSpaceDN/>
        <w:bidi w:val="0"/>
        <w:adjustRightInd/>
        <w:snapToGrid w:val="0"/>
        <w:spacing w:line="440" w:lineRule="exact"/>
        <w:ind w:left="0" w:leftChars="0" w:firstLine="720" w:firstLineChars="300"/>
        <w:textAlignment w:val="auto"/>
        <w:rPr>
          <w:rFonts w:hAnsi="宋体"/>
          <w:sz w:val="24"/>
          <w:szCs w:val="24"/>
        </w:rPr>
      </w:pPr>
      <w:r>
        <w:rPr>
          <w:rFonts w:hint="eastAsia" w:hAnsi="宋体"/>
          <w:sz w:val="24"/>
          <w:szCs w:val="24"/>
        </w:rPr>
        <w:t>法定代表人或受委托人                 法定代表人或受委托人</w:t>
      </w:r>
    </w:p>
    <w:p>
      <w:pPr>
        <w:pStyle w:val="28"/>
        <w:keepNext w:val="0"/>
        <w:keepLines w:val="0"/>
        <w:pageBreakBefore w:val="0"/>
        <w:widowControl w:val="0"/>
        <w:kinsoku/>
        <w:wordWrap/>
        <w:overflowPunct/>
        <w:topLinePunct w:val="0"/>
        <w:autoSpaceDE/>
        <w:autoSpaceDN/>
        <w:bidi w:val="0"/>
        <w:adjustRightInd/>
        <w:snapToGrid w:val="0"/>
        <w:spacing w:line="440" w:lineRule="exact"/>
        <w:ind w:left="0" w:leftChars="0" w:firstLine="720" w:firstLineChars="300"/>
        <w:textAlignment w:val="auto"/>
        <w:rPr>
          <w:rFonts w:hAnsi="宋体"/>
          <w:sz w:val="24"/>
          <w:szCs w:val="24"/>
        </w:rPr>
      </w:pPr>
      <w:r>
        <w:rPr>
          <w:rFonts w:hint="eastAsia" w:hAnsi="宋体"/>
          <w:sz w:val="24"/>
          <w:szCs w:val="24"/>
        </w:rPr>
        <w:t>（签字）                             （签字）</w:t>
      </w:r>
    </w:p>
    <w:p>
      <w:pPr>
        <w:pStyle w:val="28"/>
        <w:keepNext w:val="0"/>
        <w:keepLines w:val="0"/>
        <w:pageBreakBefore w:val="0"/>
        <w:widowControl w:val="0"/>
        <w:kinsoku/>
        <w:wordWrap/>
        <w:overflowPunct/>
        <w:topLinePunct w:val="0"/>
        <w:autoSpaceDE/>
        <w:autoSpaceDN/>
        <w:bidi w:val="0"/>
        <w:adjustRightInd/>
        <w:snapToGrid w:val="0"/>
        <w:spacing w:line="440" w:lineRule="exact"/>
        <w:ind w:left="0" w:leftChars="0" w:firstLine="720" w:firstLineChars="300"/>
        <w:textAlignment w:val="auto"/>
        <w:rPr>
          <w:rFonts w:hAnsi="宋体"/>
          <w:sz w:val="24"/>
          <w:szCs w:val="24"/>
        </w:rPr>
      </w:pPr>
      <w:r>
        <w:rPr>
          <w:rFonts w:hint="eastAsia" w:hAnsi="宋体"/>
          <w:sz w:val="24"/>
          <w:szCs w:val="24"/>
        </w:rPr>
        <w:t>地址：                               地址：　　</w:t>
      </w:r>
    </w:p>
    <w:p>
      <w:pPr>
        <w:pStyle w:val="28"/>
        <w:keepNext w:val="0"/>
        <w:keepLines w:val="0"/>
        <w:pageBreakBefore w:val="0"/>
        <w:widowControl w:val="0"/>
        <w:kinsoku/>
        <w:wordWrap/>
        <w:overflowPunct/>
        <w:topLinePunct w:val="0"/>
        <w:autoSpaceDE/>
        <w:autoSpaceDN/>
        <w:bidi w:val="0"/>
        <w:adjustRightInd/>
        <w:snapToGrid w:val="0"/>
        <w:spacing w:line="440" w:lineRule="exact"/>
        <w:ind w:left="0" w:leftChars="0" w:firstLine="720" w:firstLineChars="300"/>
        <w:textAlignment w:val="auto"/>
        <w:rPr>
          <w:rFonts w:hAnsi="宋体"/>
          <w:sz w:val="24"/>
          <w:szCs w:val="24"/>
        </w:rPr>
      </w:pPr>
      <w:r>
        <w:rPr>
          <w:rFonts w:hint="eastAsia" w:hAnsi="宋体"/>
          <w:sz w:val="24"/>
          <w:szCs w:val="24"/>
        </w:rPr>
        <w:t>邮编：                               邮编：　</w:t>
      </w:r>
    </w:p>
    <w:p>
      <w:pPr>
        <w:pStyle w:val="28"/>
        <w:keepNext w:val="0"/>
        <w:keepLines w:val="0"/>
        <w:pageBreakBefore w:val="0"/>
        <w:widowControl w:val="0"/>
        <w:kinsoku/>
        <w:wordWrap/>
        <w:overflowPunct/>
        <w:topLinePunct w:val="0"/>
        <w:autoSpaceDE/>
        <w:autoSpaceDN/>
        <w:bidi w:val="0"/>
        <w:adjustRightInd/>
        <w:snapToGrid w:val="0"/>
        <w:spacing w:line="440" w:lineRule="exact"/>
        <w:ind w:left="0" w:leftChars="0" w:firstLine="720" w:firstLineChars="300"/>
        <w:textAlignment w:val="auto"/>
        <w:rPr>
          <w:rFonts w:hAnsi="宋体"/>
          <w:sz w:val="24"/>
          <w:szCs w:val="24"/>
        </w:rPr>
      </w:pPr>
      <w:r>
        <w:rPr>
          <w:rFonts w:hint="eastAsia" w:hAnsi="宋体"/>
          <w:sz w:val="24"/>
          <w:szCs w:val="24"/>
        </w:rPr>
        <w:t>电话：                               电话：　</w:t>
      </w:r>
    </w:p>
    <w:p>
      <w:pPr>
        <w:pStyle w:val="28"/>
        <w:keepNext w:val="0"/>
        <w:keepLines w:val="0"/>
        <w:pageBreakBefore w:val="0"/>
        <w:widowControl w:val="0"/>
        <w:kinsoku/>
        <w:wordWrap/>
        <w:overflowPunct/>
        <w:topLinePunct w:val="0"/>
        <w:autoSpaceDE/>
        <w:autoSpaceDN/>
        <w:bidi w:val="0"/>
        <w:adjustRightInd/>
        <w:snapToGrid w:val="0"/>
        <w:spacing w:line="440" w:lineRule="exact"/>
        <w:ind w:left="0" w:leftChars="0" w:firstLine="720" w:firstLineChars="300"/>
        <w:textAlignment w:val="auto"/>
        <w:rPr>
          <w:rFonts w:hAnsi="宋体"/>
          <w:sz w:val="24"/>
          <w:szCs w:val="24"/>
        </w:rPr>
      </w:pPr>
      <w:r>
        <w:rPr>
          <w:rFonts w:hint="eastAsia" w:hAnsi="宋体"/>
          <w:sz w:val="24"/>
          <w:szCs w:val="24"/>
        </w:rPr>
        <w:t>传真：                               传真：　</w:t>
      </w:r>
    </w:p>
    <w:p>
      <w:pPr>
        <w:pStyle w:val="28"/>
        <w:keepNext w:val="0"/>
        <w:keepLines w:val="0"/>
        <w:pageBreakBefore w:val="0"/>
        <w:widowControl w:val="0"/>
        <w:kinsoku/>
        <w:wordWrap/>
        <w:overflowPunct/>
        <w:topLinePunct w:val="0"/>
        <w:autoSpaceDE/>
        <w:autoSpaceDN/>
        <w:bidi w:val="0"/>
        <w:adjustRightInd/>
        <w:snapToGrid w:val="0"/>
        <w:spacing w:line="440" w:lineRule="exact"/>
        <w:ind w:left="0" w:leftChars="0" w:firstLine="720" w:firstLineChars="300"/>
        <w:textAlignment w:val="auto"/>
        <w:rPr>
          <w:rFonts w:hAnsi="宋体"/>
          <w:sz w:val="24"/>
          <w:szCs w:val="24"/>
        </w:rPr>
      </w:pPr>
      <w:r>
        <w:rPr>
          <w:rFonts w:hint="eastAsia" w:hAnsi="宋体"/>
          <w:sz w:val="24"/>
          <w:szCs w:val="24"/>
        </w:rPr>
        <w:t>开户银行：                           开户银行：</w:t>
      </w:r>
    </w:p>
    <w:p>
      <w:pPr>
        <w:rPr>
          <w:rFonts w:hAnsi="宋体"/>
          <w:b/>
          <w:bCs/>
          <w:sz w:val="36"/>
          <w:szCs w:val="36"/>
        </w:rPr>
      </w:pPr>
    </w:p>
    <w:p>
      <w:pPr>
        <w:widowControl/>
        <w:spacing w:line="340" w:lineRule="exact"/>
        <w:ind w:firstLine="630"/>
        <w:jc w:val="center"/>
        <w:rPr>
          <w:rFonts w:hint="eastAsia" w:ascii="宋体" w:hAnsi="宋体" w:cs="宋体"/>
          <w:b/>
          <w:kern w:val="0"/>
          <w:sz w:val="32"/>
          <w:szCs w:val="32"/>
        </w:rPr>
      </w:pPr>
    </w:p>
    <w:p>
      <w:pPr>
        <w:widowControl/>
        <w:spacing w:line="340" w:lineRule="exact"/>
        <w:ind w:firstLine="630"/>
        <w:jc w:val="center"/>
        <w:rPr>
          <w:rFonts w:hint="eastAsia" w:ascii="宋体" w:hAnsi="宋体" w:cs="宋体"/>
          <w:b/>
          <w:kern w:val="0"/>
          <w:sz w:val="32"/>
          <w:szCs w:val="32"/>
        </w:rPr>
      </w:pPr>
    </w:p>
    <w:p>
      <w:pPr>
        <w:widowControl/>
        <w:spacing w:line="340" w:lineRule="exact"/>
        <w:ind w:firstLine="630"/>
        <w:jc w:val="center"/>
        <w:rPr>
          <w:rFonts w:hint="eastAsia" w:ascii="宋体" w:hAnsi="宋体" w:cs="宋体"/>
          <w:b/>
          <w:kern w:val="0"/>
          <w:sz w:val="32"/>
          <w:szCs w:val="32"/>
        </w:rPr>
      </w:pPr>
    </w:p>
    <w:p>
      <w:pPr>
        <w:widowControl/>
        <w:spacing w:line="340" w:lineRule="exact"/>
        <w:ind w:firstLine="630"/>
        <w:jc w:val="center"/>
        <w:rPr>
          <w:rFonts w:hint="eastAsia" w:ascii="宋体" w:hAnsi="宋体" w:cs="宋体"/>
          <w:b/>
          <w:kern w:val="0"/>
          <w:sz w:val="32"/>
          <w:szCs w:val="32"/>
        </w:rPr>
      </w:pPr>
    </w:p>
    <w:p>
      <w:pPr>
        <w:widowControl/>
        <w:spacing w:line="340" w:lineRule="exact"/>
        <w:ind w:firstLine="630"/>
        <w:jc w:val="center"/>
        <w:rPr>
          <w:rFonts w:hint="eastAsia" w:ascii="宋体" w:hAnsi="宋体" w:cs="宋体"/>
          <w:b/>
          <w:kern w:val="0"/>
          <w:sz w:val="32"/>
          <w:szCs w:val="32"/>
        </w:rPr>
      </w:pPr>
    </w:p>
    <w:p>
      <w:pPr>
        <w:widowControl/>
        <w:spacing w:line="340" w:lineRule="exact"/>
        <w:ind w:firstLine="630"/>
        <w:jc w:val="center"/>
        <w:rPr>
          <w:rFonts w:hint="eastAsia" w:ascii="宋体" w:hAnsi="宋体" w:cs="宋体"/>
          <w:b/>
          <w:kern w:val="0"/>
          <w:sz w:val="32"/>
          <w:szCs w:val="32"/>
        </w:rPr>
      </w:pPr>
    </w:p>
    <w:p>
      <w:pPr>
        <w:widowControl/>
        <w:spacing w:line="340" w:lineRule="exact"/>
        <w:ind w:firstLine="630"/>
        <w:jc w:val="center"/>
        <w:rPr>
          <w:rFonts w:hint="eastAsia" w:ascii="宋体" w:hAnsi="宋体" w:cs="宋体"/>
          <w:b/>
          <w:kern w:val="0"/>
          <w:sz w:val="32"/>
          <w:szCs w:val="32"/>
        </w:rPr>
      </w:pPr>
    </w:p>
    <w:p>
      <w:pPr>
        <w:widowControl/>
        <w:spacing w:line="340" w:lineRule="exact"/>
        <w:ind w:firstLine="630"/>
        <w:jc w:val="center"/>
        <w:rPr>
          <w:rFonts w:hint="eastAsia" w:ascii="宋体" w:hAnsi="宋体" w:cs="宋体"/>
          <w:b/>
          <w:kern w:val="0"/>
          <w:sz w:val="32"/>
          <w:szCs w:val="32"/>
        </w:rPr>
      </w:pPr>
    </w:p>
    <w:p>
      <w:pPr>
        <w:widowControl/>
        <w:spacing w:line="340" w:lineRule="exact"/>
        <w:ind w:firstLine="630"/>
        <w:jc w:val="center"/>
        <w:rPr>
          <w:rFonts w:hint="eastAsia" w:ascii="宋体" w:hAnsi="宋体" w:cs="宋体"/>
          <w:b/>
          <w:kern w:val="0"/>
          <w:sz w:val="32"/>
          <w:szCs w:val="32"/>
        </w:rPr>
      </w:pPr>
    </w:p>
    <w:p>
      <w:pPr>
        <w:widowControl/>
        <w:spacing w:line="340" w:lineRule="exact"/>
        <w:ind w:firstLine="630"/>
        <w:jc w:val="center"/>
        <w:rPr>
          <w:rFonts w:hint="eastAsia" w:ascii="宋体" w:hAnsi="宋体" w:cs="宋体"/>
          <w:b/>
          <w:kern w:val="0"/>
          <w:sz w:val="32"/>
          <w:szCs w:val="32"/>
        </w:rPr>
      </w:pPr>
    </w:p>
    <w:p>
      <w:pPr>
        <w:widowControl/>
        <w:spacing w:line="340" w:lineRule="exact"/>
        <w:ind w:firstLine="630"/>
        <w:jc w:val="center"/>
        <w:rPr>
          <w:rFonts w:hint="eastAsia" w:ascii="宋体" w:hAnsi="宋体" w:cs="宋体"/>
          <w:b/>
          <w:kern w:val="0"/>
          <w:sz w:val="24"/>
        </w:rPr>
      </w:pPr>
      <w:r>
        <w:rPr>
          <w:rFonts w:hint="eastAsia" w:ascii="宋体" w:hAnsi="宋体" w:cs="宋体"/>
          <w:b/>
          <w:kern w:val="0"/>
          <w:sz w:val="32"/>
          <w:szCs w:val="32"/>
        </w:rPr>
        <w:t>政府采购项目廉政合同</w:t>
      </w:r>
    </w:p>
    <w:p>
      <w:pPr>
        <w:widowControl/>
        <w:spacing w:line="340" w:lineRule="exact"/>
        <w:ind w:firstLine="630"/>
        <w:rPr>
          <w:rFonts w:hint="eastAsia" w:ascii="宋体" w:hAnsi="宋体" w:cs="宋体"/>
          <w:kern w:val="0"/>
          <w:sz w:val="24"/>
        </w:rPr>
      </w:pPr>
    </w:p>
    <w:p>
      <w:pPr>
        <w:widowControl/>
        <w:spacing w:line="400" w:lineRule="exact"/>
        <w:ind w:firstLine="630"/>
        <w:rPr>
          <w:rFonts w:hint="eastAsia" w:ascii="宋体" w:hAnsi="宋体" w:cs="宋体"/>
          <w:kern w:val="0"/>
          <w:sz w:val="24"/>
          <w:u w:val="single"/>
        </w:rPr>
      </w:pPr>
      <w:r>
        <w:rPr>
          <w:rFonts w:hint="eastAsia" w:ascii="宋体" w:hAnsi="宋体" w:cs="宋体"/>
          <w:kern w:val="0"/>
          <w:sz w:val="24"/>
        </w:rPr>
        <w:t>甲方：</w:t>
      </w:r>
      <w:r>
        <w:rPr>
          <w:rFonts w:hint="eastAsia" w:ascii="宋体" w:hAnsi="宋体" w:cs="宋体"/>
          <w:kern w:val="0"/>
          <w:sz w:val="24"/>
          <w:u w:val="single"/>
        </w:rPr>
        <w:t xml:space="preserve">                       </w:t>
      </w:r>
    </w:p>
    <w:p>
      <w:pPr>
        <w:widowControl/>
        <w:spacing w:line="400" w:lineRule="exact"/>
        <w:ind w:firstLine="630"/>
        <w:rPr>
          <w:rFonts w:hint="eastAsia" w:ascii="宋体" w:hAnsi="宋体" w:cs="宋体"/>
          <w:kern w:val="0"/>
          <w:sz w:val="24"/>
        </w:rPr>
      </w:pPr>
      <w:r>
        <w:rPr>
          <w:rFonts w:hint="eastAsia" w:ascii="宋体" w:hAnsi="宋体" w:cs="宋体"/>
          <w:kern w:val="0"/>
          <w:sz w:val="24"/>
        </w:rPr>
        <w:t>乙方：</w:t>
      </w:r>
      <w:r>
        <w:rPr>
          <w:rFonts w:hint="eastAsia" w:ascii="宋体" w:hAnsi="宋体" w:cs="宋体"/>
          <w:kern w:val="0"/>
          <w:sz w:val="24"/>
          <w:u w:val="single"/>
        </w:rPr>
        <w:t xml:space="preserve">                       </w:t>
      </w:r>
      <w:r>
        <w:rPr>
          <w:rFonts w:hint="eastAsia" w:ascii="宋体" w:hAnsi="宋体" w:cs="宋体"/>
          <w:kern w:val="0"/>
          <w:sz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630"/>
        <w:textAlignment w:val="auto"/>
        <w:rPr>
          <w:rFonts w:hint="eastAsia" w:ascii="宋体" w:hAnsi="宋体" w:cs="宋体"/>
          <w:kern w:val="0"/>
          <w:sz w:val="24"/>
        </w:rPr>
      </w:pPr>
      <w:r>
        <w:rPr>
          <w:rFonts w:hint="eastAsia" w:ascii="宋体" w:hAnsi="宋体" w:cs="宋体"/>
          <w:kern w:val="0"/>
          <w:sz w:val="24"/>
        </w:rPr>
        <w:t>为加强</w:t>
      </w:r>
      <w:r>
        <w:rPr>
          <w:rFonts w:hint="eastAsia" w:ascii="宋体" w:hAnsi="宋体"/>
          <w:sz w:val="24"/>
        </w:rPr>
        <w:t>政府采购项目</w:t>
      </w:r>
      <w:r>
        <w:rPr>
          <w:rFonts w:hint="eastAsia" w:ascii="宋体" w:hAnsi="宋体" w:cs="宋体"/>
          <w:kern w:val="0"/>
          <w:sz w:val="24"/>
        </w:rPr>
        <w:t>中的廉政建设，保证采购项目高效优质完成，保证建设资金的安全和有效使用，采购人</w:t>
      </w:r>
      <w:r>
        <w:rPr>
          <w:rFonts w:hint="eastAsia" w:ascii="宋体" w:hAnsi="宋体" w:cs="宋体"/>
          <w:kern w:val="0"/>
          <w:sz w:val="24"/>
          <w:u w:val="single"/>
        </w:rPr>
        <w:t xml:space="preserve">                </w:t>
      </w:r>
      <w:r>
        <w:rPr>
          <w:rFonts w:hint="eastAsia" w:ascii="宋体" w:hAnsi="宋体" w:cs="宋体"/>
          <w:kern w:val="0"/>
          <w:sz w:val="24"/>
        </w:rPr>
        <w:t>（以下称甲方）与中标人</w:t>
      </w:r>
      <w:r>
        <w:rPr>
          <w:rFonts w:hint="eastAsia" w:ascii="宋体" w:hAnsi="宋体" w:cs="宋体"/>
          <w:kern w:val="0"/>
          <w:sz w:val="24"/>
          <w:u w:val="single"/>
        </w:rPr>
        <w:t xml:space="preserve">                    </w:t>
      </w:r>
      <w:r>
        <w:rPr>
          <w:rFonts w:hint="eastAsia" w:ascii="宋体" w:hAnsi="宋体" w:cs="宋体"/>
          <w:kern w:val="0"/>
          <w:sz w:val="24"/>
        </w:rPr>
        <w:t>（以下称乙方），特订立如下合同。</w:t>
      </w:r>
    </w:p>
    <w:p>
      <w:pPr>
        <w:keepNext w:val="0"/>
        <w:keepLines w:val="0"/>
        <w:pageBreakBefore w:val="0"/>
        <w:widowControl/>
        <w:kinsoku/>
        <w:wordWrap/>
        <w:overflowPunct/>
        <w:topLinePunct w:val="0"/>
        <w:autoSpaceDE/>
        <w:autoSpaceDN/>
        <w:bidi w:val="0"/>
        <w:adjustRightInd/>
        <w:snapToGrid/>
        <w:spacing w:line="360" w:lineRule="auto"/>
        <w:ind w:firstLine="630"/>
        <w:jc w:val="center"/>
        <w:textAlignment w:val="auto"/>
        <w:rPr>
          <w:rFonts w:hint="eastAsia" w:ascii="宋体" w:hAnsi="宋体" w:cs="宋体"/>
          <w:kern w:val="0"/>
          <w:sz w:val="24"/>
        </w:rPr>
      </w:pPr>
      <w:r>
        <w:rPr>
          <w:rFonts w:hint="eastAsia" w:ascii="宋体" w:hAnsi="宋体" w:cs="宋体"/>
          <w:kern w:val="0"/>
          <w:sz w:val="24"/>
        </w:rPr>
        <w:t>第一条 甲乙双方的权利和义务</w:t>
      </w:r>
    </w:p>
    <w:p>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hint="eastAsia" w:ascii="宋体" w:hAnsi="宋体" w:cs="宋体"/>
          <w:kern w:val="0"/>
          <w:sz w:val="24"/>
        </w:rPr>
      </w:pPr>
      <w:r>
        <w:rPr>
          <w:rFonts w:hint="eastAsia" w:ascii="宋体" w:hAnsi="宋体" w:cs="宋体"/>
          <w:kern w:val="0"/>
          <w:sz w:val="24"/>
        </w:rPr>
        <w:t>（一）严格遵守党和国家有关法律法规及</w:t>
      </w:r>
      <w:r>
        <w:rPr>
          <w:rFonts w:hint="eastAsia" w:ascii="宋体" w:hAnsi="宋体" w:cs="宋体"/>
          <w:kern w:val="0"/>
          <w:sz w:val="24"/>
          <w:lang w:val="en-US" w:eastAsia="zh-CN"/>
        </w:rPr>
        <w:t>相关</w:t>
      </w:r>
      <w:r>
        <w:rPr>
          <w:rFonts w:hint="eastAsia" w:ascii="宋体" w:hAnsi="宋体" w:cs="宋体"/>
          <w:kern w:val="0"/>
          <w:sz w:val="24"/>
        </w:rPr>
        <w:t>部门的有关规定。</w:t>
      </w:r>
    </w:p>
    <w:p>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hint="eastAsia" w:ascii="宋体" w:hAnsi="宋体" w:cs="宋体"/>
          <w:kern w:val="0"/>
          <w:sz w:val="24"/>
        </w:rPr>
      </w:pPr>
      <w:r>
        <w:rPr>
          <w:rFonts w:hint="eastAsia" w:ascii="宋体" w:hAnsi="宋体" w:cs="宋体"/>
          <w:kern w:val="0"/>
          <w:sz w:val="24"/>
        </w:rPr>
        <w:t>（二）严格执行</w:t>
      </w:r>
      <w:r>
        <w:rPr>
          <w:rFonts w:hint="eastAsia" w:ascii="宋体" w:hAnsi="宋体" w:cs="宋体"/>
          <w:kern w:val="0"/>
          <w:sz w:val="24"/>
          <w:lang w:val="en-US" w:eastAsia="zh-CN"/>
        </w:rPr>
        <w:t>政府采购</w:t>
      </w:r>
      <w:r>
        <w:rPr>
          <w:rFonts w:hint="eastAsia" w:ascii="宋体" w:hAnsi="宋体" w:cs="宋体"/>
          <w:kern w:val="0"/>
          <w:sz w:val="24"/>
        </w:rPr>
        <w:t>的合同文件，自觉按合同办事。</w:t>
      </w:r>
    </w:p>
    <w:p>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hint="eastAsia" w:ascii="宋体" w:hAnsi="宋体" w:cs="宋体"/>
          <w:kern w:val="0"/>
          <w:sz w:val="24"/>
        </w:rPr>
      </w:pPr>
      <w:r>
        <w:rPr>
          <w:rFonts w:hint="eastAsia" w:ascii="宋体" w:hAnsi="宋体" w:cs="宋体"/>
          <w:kern w:val="0"/>
          <w:sz w:val="24"/>
        </w:rPr>
        <w:t>（三）双方的业务活动坚持公开、公平、公正、诚信、透明的原则（除法律认定的商业秘密和合同文件另有规定之外），不得损害国家和集体利益，违反</w:t>
      </w:r>
      <w:r>
        <w:rPr>
          <w:rFonts w:hint="eastAsia" w:ascii="宋体" w:hAnsi="宋体" w:cs="宋体"/>
          <w:kern w:val="0"/>
          <w:sz w:val="24"/>
          <w:lang w:val="en-US" w:eastAsia="zh-CN"/>
        </w:rPr>
        <w:t>政府采购</w:t>
      </w:r>
      <w:r>
        <w:rPr>
          <w:rFonts w:hint="eastAsia" w:ascii="宋体" w:hAnsi="宋体" w:cs="宋体"/>
          <w:kern w:val="0"/>
          <w:sz w:val="24"/>
        </w:rPr>
        <w:t>管理规定。</w:t>
      </w:r>
    </w:p>
    <w:p>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hint="eastAsia" w:ascii="宋体" w:hAnsi="宋体" w:cs="宋体"/>
          <w:kern w:val="0"/>
          <w:sz w:val="24"/>
        </w:rPr>
      </w:pPr>
      <w:r>
        <w:rPr>
          <w:rFonts w:hint="eastAsia" w:ascii="宋体" w:hAnsi="宋体" w:cs="宋体"/>
          <w:kern w:val="0"/>
          <w:sz w:val="24"/>
        </w:rPr>
        <w:t>（四）建立健全廉政制度、监督制度和处罚制度，开展廉政教育，设立廉政告示牌，公布举报电话，监督并认真查处违规行为及相关人员。</w:t>
      </w:r>
    </w:p>
    <w:p>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hint="eastAsia" w:ascii="宋体" w:hAnsi="宋体" w:cs="宋体"/>
          <w:kern w:val="0"/>
          <w:sz w:val="24"/>
        </w:rPr>
      </w:pPr>
      <w:r>
        <w:rPr>
          <w:rFonts w:hint="eastAsia" w:ascii="宋体" w:hAnsi="宋体" w:cs="宋体"/>
          <w:kern w:val="0"/>
          <w:sz w:val="24"/>
        </w:rPr>
        <w:t>（五）发现对方在业务活动中有违反廉政规定的行为，有及时提醒对方纠正的权利和义务。</w:t>
      </w:r>
    </w:p>
    <w:p>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hint="eastAsia" w:ascii="宋体" w:hAnsi="宋体" w:cs="宋体"/>
          <w:kern w:val="0"/>
          <w:sz w:val="24"/>
        </w:rPr>
      </w:pPr>
      <w:r>
        <w:rPr>
          <w:rFonts w:hint="eastAsia" w:ascii="宋体" w:hAnsi="宋体" w:cs="宋体"/>
          <w:kern w:val="0"/>
          <w:sz w:val="24"/>
        </w:rPr>
        <w:t>（六）发现对方严重违反合同义务条款的行为，有向其上级有关部门举报、建议给予处理并要求告知处理结果的权利。</w:t>
      </w:r>
    </w:p>
    <w:p>
      <w:pPr>
        <w:keepNext w:val="0"/>
        <w:keepLines w:val="0"/>
        <w:pageBreakBefore w:val="0"/>
        <w:widowControl/>
        <w:kinsoku/>
        <w:wordWrap/>
        <w:overflowPunct/>
        <w:topLinePunct w:val="0"/>
        <w:autoSpaceDE/>
        <w:autoSpaceDN/>
        <w:bidi w:val="0"/>
        <w:adjustRightInd/>
        <w:snapToGrid/>
        <w:spacing w:line="360" w:lineRule="auto"/>
        <w:ind w:firstLine="630"/>
        <w:jc w:val="center"/>
        <w:textAlignment w:val="auto"/>
        <w:rPr>
          <w:rFonts w:hint="eastAsia" w:ascii="宋体" w:hAnsi="宋体" w:cs="宋体"/>
          <w:kern w:val="0"/>
          <w:sz w:val="24"/>
        </w:rPr>
      </w:pPr>
      <w:r>
        <w:rPr>
          <w:rFonts w:hint="eastAsia" w:ascii="宋体" w:hAnsi="宋体" w:cs="宋体"/>
          <w:kern w:val="0"/>
          <w:sz w:val="24"/>
        </w:rPr>
        <w:t>第二条 甲方的义务</w:t>
      </w:r>
    </w:p>
    <w:p>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hint="eastAsia" w:ascii="宋体" w:hAnsi="宋体" w:cs="宋体"/>
          <w:kern w:val="0"/>
          <w:sz w:val="24"/>
        </w:rPr>
      </w:pPr>
      <w:r>
        <w:rPr>
          <w:rFonts w:hint="eastAsia" w:ascii="宋体" w:hAnsi="宋体" w:cs="宋体"/>
          <w:kern w:val="0"/>
          <w:sz w:val="24"/>
        </w:rPr>
        <w:t>（一）甲方及其工作人员不得索要或接受乙方的礼金、礼券、有价证券和贵重物品，不得在乙方报销任何应由甲方或个人支付的费用等。</w:t>
      </w:r>
    </w:p>
    <w:p>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hint="eastAsia" w:ascii="宋体" w:hAnsi="宋体" w:cs="宋体"/>
          <w:kern w:val="0"/>
          <w:sz w:val="24"/>
        </w:rPr>
      </w:pPr>
      <w:r>
        <w:rPr>
          <w:rFonts w:hint="eastAsia" w:ascii="宋体" w:hAnsi="宋体" w:cs="宋体"/>
          <w:kern w:val="0"/>
          <w:sz w:val="24"/>
        </w:rPr>
        <w:t>（二）甲方不得有意刁难、拖欠款</w:t>
      </w:r>
      <w:r>
        <w:rPr>
          <w:rFonts w:hint="eastAsia" w:ascii="宋体" w:hAnsi="宋体" w:cs="宋体"/>
          <w:kern w:val="0"/>
          <w:sz w:val="24"/>
          <w:lang w:val="en-US" w:eastAsia="zh-CN"/>
        </w:rPr>
        <w:t>项</w:t>
      </w:r>
      <w:r>
        <w:rPr>
          <w:rFonts w:hint="eastAsia" w:ascii="宋体" w:hAnsi="宋体" w:cs="宋体"/>
          <w:kern w:val="0"/>
          <w:sz w:val="24"/>
        </w:rPr>
        <w:t>，不得违反规定批拨</w:t>
      </w:r>
      <w:r>
        <w:rPr>
          <w:rFonts w:hint="eastAsia" w:ascii="宋体" w:hAnsi="宋体" w:cs="宋体"/>
          <w:kern w:val="0"/>
          <w:sz w:val="24"/>
          <w:lang w:val="en-US" w:eastAsia="zh-CN"/>
        </w:rPr>
        <w:t>采购</w:t>
      </w:r>
      <w:r>
        <w:rPr>
          <w:rFonts w:hint="eastAsia" w:ascii="宋体" w:hAnsi="宋体" w:cs="宋体"/>
          <w:kern w:val="0"/>
          <w:sz w:val="24"/>
        </w:rPr>
        <w:t>费用等。</w:t>
      </w:r>
    </w:p>
    <w:p>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hint="eastAsia" w:ascii="宋体" w:hAnsi="宋体" w:cs="宋体"/>
          <w:kern w:val="0"/>
          <w:sz w:val="24"/>
        </w:rPr>
      </w:pPr>
      <w:r>
        <w:rPr>
          <w:rFonts w:hint="eastAsia" w:ascii="宋体" w:hAnsi="宋体" w:cs="宋体"/>
          <w:kern w:val="0"/>
          <w:sz w:val="24"/>
        </w:rPr>
        <w:t>（三）甲方工作人员不得参加乙方安排的宴请和娱乐活动；不得接受乙方提供的通讯工具、交通工具和高档办公用品等。</w:t>
      </w:r>
    </w:p>
    <w:p>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hint="eastAsia" w:ascii="宋体" w:hAnsi="宋体" w:cs="宋体"/>
          <w:kern w:val="0"/>
          <w:sz w:val="24"/>
        </w:rPr>
      </w:pPr>
      <w:r>
        <w:rPr>
          <w:rFonts w:hint="eastAsia" w:ascii="宋体" w:hAnsi="宋体" w:cs="宋体"/>
          <w:kern w:val="0"/>
          <w:sz w:val="24"/>
        </w:rPr>
        <w:t>（四）甲方及其工作人员不得要求或者接受乙方为其住房装修、操办婚丧嫁娶、安排配偶子女的工作以及出国出境、旅游等。</w:t>
      </w:r>
    </w:p>
    <w:p>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hint="eastAsia" w:ascii="宋体" w:hAnsi="宋体" w:cs="宋体"/>
          <w:kern w:val="0"/>
          <w:sz w:val="24"/>
        </w:rPr>
      </w:pPr>
      <w:r>
        <w:rPr>
          <w:rFonts w:hint="eastAsia" w:ascii="宋体" w:hAnsi="宋体" w:cs="宋体"/>
          <w:kern w:val="0"/>
          <w:sz w:val="24"/>
        </w:rPr>
        <w:t>（五）甲方工作人员的配偶、子女及下属单位不得从事与甲方</w:t>
      </w:r>
      <w:r>
        <w:rPr>
          <w:rFonts w:hint="eastAsia" w:ascii="宋体" w:hAnsi="宋体" w:cs="宋体"/>
          <w:kern w:val="0"/>
          <w:sz w:val="24"/>
          <w:lang w:val="en-US" w:eastAsia="zh-CN"/>
        </w:rPr>
        <w:t>项目采购</w:t>
      </w:r>
      <w:r>
        <w:rPr>
          <w:rFonts w:hint="eastAsia" w:ascii="宋体" w:hAnsi="宋体" w:cs="宋体"/>
          <w:kern w:val="0"/>
          <w:sz w:val="24"/>
        </w:rPr>
        <w:t>有关的材料设备供应、劳务等经济活动。</w:t>
      </w:r>
    </w:p>
    <w:p>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hint="eastAsia" w:ascii="宋体" w:hAnsi="宋体" w:cs="宋体"/>
          <w:kern w:val="0"/>
          <w:sz w:val="24"/>
        </w:rPr>
      </w:pPr>
      <w:r>
        <w:rPr>
          <w:rFonts w:hint="eastAsia" w:ascii="宋体" w:hAnsi="宋体" w:cs="宋体"/>
          <w:kern w:val="0"/>
          <w:sz w:val="24"/>
        </w:rPr>
        <w:t>（六）甲方及其工作人员不得以任何理由向乙方推荐分包单位，不得要求乙方购买合同规定外的材料和设备。</w:t>
      </w:r>
    </w:p>
    <w:p>
      <w:pPr>
        <w:keepNext w:val="0"/>
        <w:keepLines w:val="0"/>
        <w:pageBreakBefore w:val="0"/>
        <w:widowControl/>
        <w:kinsoku/>
        <w:wordWrap/>
        <w:overflowPunct/>
        <w:topLinePunct w:val="0"/>
        <w:autoSpaceDE/>
        <w:autoSpaceDN/>
        <w:bidi w:val="0"/>
        <w:adjustRightInd/>
        <w:snapToGrid/>
        <w:spacing w:line="360" w:lineRule="auto"/>
        <w:ind w:firstLine="630"/>
        <w:jc w:val="center"/>
        <w:textAlignment w:val="auto"/>
        <w:rPr>
          <w:rFonts w:hint="eastAsia" w:ascii="宋体" w:hAnsi="宋体" w:cs="宋体"/>
          <w:kern w:val="0"/>
          <w:sz w:val="24"/>
        </w:rPr>
      </w:pPr>
      <w:r>
        <w:rPr>
          <w:rFonts w:hint="eastAsia" w:ascii="宋体" w:hAnsi="宋体" w:cs="宋体"/>
          <w:kern w:val="0"/>
          <w:sz w:val="24"/>
        </w:rPr>
        <w:t>第三条 乙方义务</w:t>
      </w:r>
    </w:p>
    <w:p>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hint="eastAsia" w:ascii="宋体" w:hAnsi="宋体" w:cs="宋体"/>
          <w:kern w:val="0"/>
          <w:sz w:val="24"/>
        </w:rPr>
      </w:pPr>
      <w:r>
        <w:rPr>
          <w:rFonts w:hint="eastAsia" w:ascii="宋体" w:hAnsi="宋体" w:cs="宋体"/>
          <w:kern w:val="0"/>
          <w:sz w:val="24"/>
        </w:rPr>
        <w:t>（一）乙方不得以任何理由向甲方及其工作人员行贿或馈赠礼金、礼券、有价证券、贵重礼品。</w:t>
      </w:r>
    </w:p>
    <w:p>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hint="eastAsia" w:ascii="宋体" w:hAnsi="宋体" w:cs="宋体"/>
          <w:kern w:val="0"/>
          <w:sz w:val="24"/>
        </w:rPr>
      </w:pPr>
      <w:r>
        <w:rPr>
          <w:rFonts w:hint="eastAsia" w:ascii="宋体" w:hAnsi="宋体" w:cs="宋体"/>
          <w:kern w:val="0"/>
          <w:sz w:val="24"/>
        </w:rPr>
        <w:t>（二）乙方不得以任何名义为甲方及其工作人员报销应由甲方单位或个人支付的任何费用。</w:t>
      </w:r>
    </w:p>
    <w:p>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hint="eastAsia" w:ascii="宋体" w:hAnsi="宋体" w:cs="宋体"/>
          <w:kern w:val="0"/>
          <w:sz w:val="24"/>
        </w:rPr>
      </w:pPr>
      <w:r>
        <w:rPr>
          <w:rFonts w:hint="eastAsia" w:ascii="宋体" w:hAnsi="宋体" w:cs="宋体"/>
          <w:kern w:val="0"/>
          <w:sz w:val="24"/>
        </w:rPr>
        <w:t>（三）乙方不得要求甲方违反规定批拨、追加采购费用等。</w:t>
      </w:r>
    </w:p>
    <w:p>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hint="eastAsia" w:ascii="宋体" w:hAnsi="宋体" w:cs="宋体"/>
          <w:kern w:val="0"/>
          <w:sz w:val="24"/>
        </w:rPr>
      </w:pPr>
      <w:r>
        <w:rPr>
          <w:rFonts w:hint="eastAsia" w:ascii="宋体" w:hAnsi="宋体" w:cs="宋体"/>
          <w:kern w:val="0"/>
          <w:sz w:val="24"/>
        </w:rPr>
        <w:t>（四）乙方不得以任何理由安排甲方工作人员参加宴请及娱乐活动。</w:t>
      </w:r>
    </w:p>
    <w:p>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hint="eastAsia" w:ascii="宋体" w:hAnsi="宋体" w:cs="宋体"/>
          <w:kern w:val="0"/>
          <w:sz w:val="24"/>
        </w:rPr>
      </w:pPr>
      <w:r>
        <w:rPr>
          <w:rFonts w:hint="eastAsia" w:ascii="宋体" w:hAnsi="宋体" w:cs="宋体"/>
          <w:kern w:val="0"/>
          <w:sz w:val="24"/>
        </w:rPr>
        <w:t>（五）乙方不得为甲方单位和个人购置或提供通讯工具、交通工具和高档办公用品等。</w:t>
      </w:r>
    </w:p>
    <w:p>
      <w:pPr>
        <w:keepNext w:val="0"/>
        <w:keepLines w:val="0"/>
        <w:pageBreakBefore w:val="0"/>
        <w:widowControl/>
        <w:kinsoku/>
        <w:wordWrap/>
        <w:overflowPunct/>
        <w:topLinePunct w:val="0"/>
        <w:autoSpaceDE/>
        <w:autoSpaceDN/>
        <w:bidi w:val="0"/>
        <w:adjustRightInd/>
        <w:snapToGrid/>
        <w:spacing w:line="360" w:lineRule="auto"/>
        <w:ind w:firstLine="630"/>
        <w:jc w:val="center"/>
        <w:textAlignment w:val="auto"/>
        <w:rPr>
          <w:rFonts w:hint="eastAsia" w:ascii="宋体" w:hAnsi="宋体" w:cs="宋体"/>
          <w:kern w:val="0"/>
          <w:sz w:val="24"/>
        </w:rPr>
      </w:pPr>
      <w:r>
        <w:rPr>
          <w:rFonts w:hint="eastAsia" w:ascii="宋体" w:hAnsi="宋体" w:cs="宋体"/>
          <w:kern w:val="0"/>
          <w:sz w:val="24"/>
        </w:rPr>
        <w:t>第四条 违约责任</w:t>
      </w:r>
    </w:p>
    <w:p>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hint="eastAsia" w:ascii="宋体" w:hAnsi="宋体" w:cs="宋体"/>
          <w:kern w:val="0"/>
          <w:sz w:val="24"/>
        </w:rPr>
      </w:pPr>
      <w:r>
        <w:rPr>
          <w:rFonts w:hint="eastAsia" w:ascii="宋体" w:hAnsi="宋体" w:cs="宋体"/>
          <w:kern w:val="0"/>
          <w:sz w:val="24"/>
        </w:rPr>
        <w:t>（一）甲方及其工作人员违返本合同第一、二条，按管理权限，依据有关规定给予党纪、政纪或组织处理；涉嫌犯罪的，移送司法机关追究刑事责任；给乙方单位造成经济损失的，应予以赔偿。</w:t>
      </w:r>
    </w:p>
    <w:p>
      <w:pPr>
        <w:keepNext w:val="0"/>
        <w:keepLines w:val="0"/>
        <w:pageBreakBefore w:val="0"/>
        <w:widowControl/>
        <w:kinsoku/>
        <w:wordWrap/>
        <w:overflowPunct/>
        <w:topLinePunct w:val="0"/>
        <w:autoSpaceDE/>
        <w:autoSpaceDN/>
        <w:bidi w:val="0"/>
        <w:adjustRightInd/>
        <w:snapToGrid/>
        <w:spacing w:line="360" w:lineRule="auto"/>
        <w:ind w:firstLine="360" w:firstLineChars="150"/>
        <w:textAlignment w:val="auto"/>
        <w:rPr>
          <w:rFonts w:hint="eastAsia" w:ascii="宋体" w:hAnsi="宋体" w:cs="宋体"/>
          <w:kern w:val="0"/>
          <w:sz w:val="24"/>
        </w:rPr>
      </w:pPr>
      <w:r>
        <w:rPr>
          <w:rFonts w:hint="eastAsia" w:ascii="宋体" w:hAnsi="宋体" w:cs="宋体"/>
          <w:kern w:val="0"/>
          <w:sz w:val="24"/>
        </w:rPr>
        <w:t>（二）乙方及其工作人员违反本合同第一、三条，按管理权限，依据有关规定，给予党纪、政纪或组织处理；给甲方单位造成经济损失的，应予以赔偿；情节严重的，甲方建议有关主管部门给予乙方一至三年内不得参</w:t>
      </w:r>
      <w:r>
        <w:rPr>
          <w:rFonts w:hint="eastAsia" w:ascii="宋体" w:hAnsi="宋体" w:cs="宋体"/>
          <w:kern w:val="0"/>
          <w:sz w:val="24"/>
          <w:lang w:val="en-US" w:eastAsia="zh-CN"/>
        </w:rPr>
        <w:t>政府采购</w:t>
      </w:r>
      <w:r>
        <w:rPr>
          <w:rFonts w:hint="eastAsia" w:ascii="宋体" w:hAnsi="宋体" w:cs="宋体"/>
          <w:kern w:val="0"/>
          <w:sz w:val="24"/>
        </w:rPr>
        <w:t>项目投标的处罚。与此同时，视情扣除乙方部分或全部的廉政保证金。</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24"/>
        </w:rPr>
      </w:pPr>
      <w:r>
        <w:rPr>
          <w:rFonts w:hint="eastAsia" w:ascii="宋体" w:hAnsi="宋体" w:cs="宋体"/>
          <w:kern w:val="0"/>
          <w:sz w:val="24"/>
        </w:rPr>
        <w:t>第五条  双方约定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本合同由</w:t>
      </w:r>
      <w:r>
        <w:rPr>
          <w:rFonts w:hint="eastAsia" w:ascii="宋体" w:hAnsi="宋体" w:cs="宋体"/>
          <w:kern w:val="0"/>
          <w:sz w:val="24"/>
          <w:lang w:val="en-US" w:eastAsia="zh-CN"/>
        </w:rPr>
        <w:t>嵊州市</w:t>
      </w:r>
      <w:r>
        <w:rPr>
          <w:rFonts w:hint="eastAsia" w:ascii="宋体" w:hAnsi="宋体" w:cs="宋体"/>
          <w:kern w:val="0"/>
          <w:sz w:val="24"/>
        </w:rPr>
        <w:t>纪委负责监督执行。</w:t>
      </w:r>
      <w:r>
        <w:rPr>
          <w:rFonts w:hint="eastAsia" w:ascii="宋体" w:hAnsi="宋体" w:cs="宋体"/>
          <w:kern w:val="0"/>
          <w:sz w:val="24"/>
          <w:lang w:val="en-US" w:eastAsia="zh-CN"/>
        </w:rPr>
        <w:t>嵊州市</w:t>
      </w:r>
      <w:r>
        <w:rPr>
          <w:rFonts w:hint="eastAsia" w:ascii="宋体" w:hAnsi="宋体" w:cs="宋体"/>
          <w:kern w:val="0"/>
          <w:sz w:val="24"/>
        </w:rPr>
        <w:t>纪委对本合同执行情况进行抽查，提出属本合同规定范围内的处理意见。</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24"/>
        </w:rPr>
      </w:pPr>
      <w:r>
        <w:rPr>
          <w:rFonts w:hint="eastAsia" w:ascii="宋体" w:hAnsi="宋体" w:cs="宋体"/>
          <w:kern w:val="0"/>
          <w:sz w:val="24"/>
        </w:rPr>
        <w:t>第六条  合同有效期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本合同有效期为甲乙双方签署之日起至该项目</w:t>
      </w:r>
      <w:r>
        <w:rPr>
          <w:rFonts w:hint="eastAsia" w:ascii="宋体" w:hAnsi="宋体" w:cs="宋体"/>
          <w:kern w:val="0"/>
          <w:sz w:val="24"/>
          <w:lang w:val="en-US" w:eastAsia="zh-CN"/>
        </w:rPr>
        <w:t>服务期满</w:t>
      </w:r>
      <w:r>
        <w:rPr>
          <w:rFonts w:hint="eastAsia" w:ascii="宋体" w:hAnsi="宋体" w:cs="宋体"/>
          <w:kern w:val="0"/>
          <w:sz w:val="24"/>
        </w:rPr>
        <w:t>后止。</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kern w:val="0"/>
          <w:sz w:val="24"/>
        </w:rPr>
      </w:pPr>
      <w:r>
        <w:rPr>
          <w:rFonts w:hint="eastAsia" w:ascii="宋体" w:hAnsi="宋体" w:cs="宋体"/>
          <w:kern w:val="0"/>
          <w:sz w:val="24"/>
        </w:rPr>
        <w:t>第七条   本合同效力</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本合同作为</w:t>
      </w:r>
      <w:r>
        <w:rPr>
          <w:rFonts w:hint="eastAsia" w:ascii="宋体" w:hAnsi="宋体" w:cs="宋体"/>
          <w:kern w:val="0"/>
          <w:sz w:val="24"/>
          <w:lang w:eastAsia="zh-CN"/>
        </w:rPr>
        <w:t>服务合同</w:t>
      </w:r>
      <w:r>
        <w:rPr>
          <w:rFonts w:hint="eastAsia" w:ascii="宋体" w:hAnsi="宋体" w:cs="宋体"/>
          <w:kern w:val="0"/>
          <w:sz w:val="24"/>
        </w:rPr>
        <w:t>的附件，与</w:t>
      </w:r>
      <w:r>
        <w:rPr>
          <w:rFonts w:hint="eastAsia" w:ascii="宋体" w:hAnsi="宋体" w:cs="宋体"/>
          <w:kern w:val="0"/>
          <w:sz w:val="24"/>
          <w:lang w:eastAsia="zh-CN"/>
        </w:rPr>
        <w:t>服务合同</w:t>
      </w:r>
      <w:r>
        <w:rPr>
          <w:rFonts w:hint="eastAsia" w:ascii="宋体" w:hAnsi="宋体" w:cs="宋体"/>
          <w:kern w:val="0"/>
          <w:sz w:val="24"/>
        </w:rPr>
        <w:t>具有同等的法律效力，经合同双方签署立即生效。</w:t>
      </w:r>
    </w:p>
    <w:p>
      <w:pPr>
        <w:keepNext w:val="0"/>
        <w:keepLines w:val="0"/>
        <w:pageBreakBefore w:val="0"/>
        <w:widowControl/>
        <w:kinsoku/>
        <w:wordWrap/>
        <w:overflowPunct/>
        <w:topLinePunct w:val="0"/>
        <w:autoSpaceDE/>
        <w:autoSpaceDN/>
        <w:bidi w:val="0"/>
        <w:adjustRightInd/>
        <w:snapToGrid/>
        <w:spacing w:line="360" w:lineRule="auto"/>
        <w:ind w:firstLine="630"/>
        <w:textAlignment w:val="auto"/>
        <w:rPr>
          <w:rFonts w:hint="eastAsia" w:ascii="宋体" w:hAnsi="宋体" w:cs="宋体"/>
          <w:kern w:val="0"/>
          <w:sz w:val="24"/>
        </w:rPr>
      </w:pPr>
      <w:r>
        <w:rPr>
          <w:rFonts w:hint="eastAsia" w:ascii="宋体" w:hAnsi="宋体" w:cs="宋体"/>
          <w:kern w:val="0"/>
          <w:sz w:val="24"/>
        </w:rPr>
        <w:t>第八条 本合同一式</w:t>
      </w:r>
      <w:r>
        <w:rPr>
          <w:rFonts w:hint="eastAsia" w:ascii="宋体" w:hAnsi="宋体" w:cs="宋体"/>
          <w:kern w:val="0"/>
          <w:sz w:val="24"/>
          <w:lang w:val="en-US" w:eastAsia="zh-CN"/>
        </w:rPr>
        <w:t>二</w:t>
      </w:r>
      <w:r>
        <w:rPr>
          <w:rFonts w:hint="eastAsia" w:ascii="宋体" w:hAnsi="宋体" w:cs="宋体"/>
          <w:kern w:val="0"/>
          <w:sz w:val="24"/>
        </w:rPr>
        <w:t>份，甲、乙双方各执一份。</w:t>
      </w:r>
    </w:p>
    <w:p>
      <w:pPr>
        <w:keepNext w:val="0"/>
        <w:keepLines w:val="0"/>
        <w:pageBreakBefore w:val="0"/>
        <w:widowControl/>
        <w:kinsoku/>
        <w:wordWrap/>
        <w:overflowPunct/>
        <w:topLinePunct w:val="0"/>
        <w:autoSpaceDE/>
        <w:autoSpaceDN/>
        <w:bidi w:val="0"/>
        <w:adjustRightInd/>
        <w:snapToGrid/>
        <w:spacing w:line="360" w:lineRule="auto"/>
        <w:ind w:firstLine="630"/>
        <w:textAlignment w:val="auto"/>
        <w:rPr>
          <w:rFonts w:hint="eastAsia" w:ascii="宋体" w:hAnsi="宋体" w:cs="宋体"/>
          <w:kern w:val="0"/>
          <w:sz w:val="24"/>
        </w:rPr>
      </w:pPr>
    </w:p>
    <w:p>
      <w:pPr>
        <w:widowControl/>
        <w:spacing w:line="340" w:lineRule="exact"/>
        <w:ind w:firstLine="630"/>
        <w:rPr>
          <w:rFonts w:hint="eastAsia" w:ascii="宋体" w:hAnsi="宋体" w:cs="宋体"/>
          <w:kern w:val="0"/>
          <w:sz w:val="24"/>
        </w:rPr>
      </w:pPr>
    </w:p>
    <w:p>
      <w:pPr>
        <w:widowControl/>
        <w:spacing w:line="340" w:lineRule="exact"/>
        <w:rPr>
          <w:rFonts w:hint="eastAsia" w:ascii="宋体" w:hAnsi="宋体" w:cs="宋体"/>
          <w:kern w:val="0"/>
          <w:sz w:val="24"/>
        </w:rPr>
      </w:pPr>
    </w:p>
    <w:p>
      <w:pPr>
        <w:widowControl/>
        <w:spacing w:line="440" w:lineRule="exact"/>
        <w:rPr>
          <w:rFonts w:hint="eastAsia" w:ascii="宋体" w:hAnsi="宋体" w:cs="宋体"/>
          <w:kern w:val="0"/>
          <w:sz w:val="24"/>
        </w:rPr>
      </w:pPr>
      <w:r>
        <w:rPr>
          <w:rFonts w:hint="eastAsia" w:ascii="宋体" w:hAnsi="宋体" w:cs="宋体"/>
          <w:kern w:val="0"/>
          <w:sz w:val="24"/>
        </w:rPr>
        <w:t>甲方单位：（盖章）                      乙方单位：（盖章）</w:t>
      </w:r>
    </w:p>
    <w:p>
      <w:pPr>
        <w:widowControl/>
        <w:spacing w:line="440" w:lineRule="exact"/>
        <w:rPr>
          <w:rFonts w:hint="eastAsia" w:ascii="宋体" w:hAnsi="宋体" w:cs="宋体"/>
          <w:kern w:val="0"/>
          <w:sz w:val="24"/>
        </w:rPr>
      </w:pPr>
      <w:r>
        <w:rPr>
          <w:rFonts w:hint="eastAsia" w:ascii="宋体" w:hAnsi="宋体" w:cs="宋体"/>
          <w:kern w:val="0"/>
          <w:sz w:val="24"/>
        </w:rPr>
        <w:t>法定代表人：                       法定代表人：</w:t>
      </w:r>
    </w:p>
    <w:p>
      <w:pPr>
        <w:widowControl/>
        <w:spacing w:line="440" w:lineRule="exact"/>
        <w:rPr>
          <w:rFonts w:hint="eastAsia" w:ascii="宋体" w:hAnsi="宋体" w:cs="宋体"/>
          <w:kern w:val="0"/>
          <w:sz w:val="24"/>
        </w:rPr>
      </w:pPr>
      <w:r>
        <w:rPr>
          <w:rFonts w:hint="eastAsia" w:ascii="宋体" w:hAnsi="宋体" w:cs="宋体"/>
          <w:kern w:val="0"/>
          <w:sz w:val="24"/>
        </w:rPr>
        <w:t xml:space="preserve">地址：                                地址： </w:t>
      </w:r>
    </w:p>
    <w:p>
      <w:pPr>
        <w:widowControl/>
        <w:spacing w:line="440" w:lineRule="exact"/>
        <w:rPr>
          <w:rFonts w:hint="eastAsia" w:ascii="宋体" w:hAnsi="宋体" w:cs="宋体"/>
          <w:kern w:val="0"/>
          <w:sz w:val="24"/>
        </w:rPr>
      </w:pPr>
      <w:r>
        <w:rPr>
          <w:rFonts w:hint="eastAsia" w:ascii="宋体" w:hAnsi="宋体" w:cs="宋体"/>
          <w:kern w:val="0"/>
          <w:sz w:val="24"/>
        </w:rPr>
        <w:t>电话：                           电话：</w:t>
      </w:r>
    </w:p>
    <w:p>
      <w:pPr>
        <w:widowControl/>
        <w:spacing w:line="440" w:lineRule="exact"/>
        <w:rPr>
          <w:rFonts w:hint="eastAsia" w:ascii="宋体" w:hAnsi="宋体" w:cs="宋体"/>
          <w:kern w:val="0"/>
          <w:sz w:val="24"/>
        </w:rPr>
      </w:pPr>
      <w:r>
        <w:rPr>
          <w:rFonts w:hint="eastAsia" w:ascii="宋体" w:hAnsi="宋体" w:cs="宋体"/>
          <w:kern w:val="0"/>
          <w:sz w:val="24"/>
        </w:rPr>
        <w:t>年 月 日                                年 月 日</w:t>
      </w:r>
    </w:p>
    <w:p>
      <w:pPr>
        <w:rPr>
          <w:rFonts w:hint="eastAsia" w:hAnsi="宋体"/>
          <w:b/>
          <w:bCs/>
          <w:sz w:val="36"/>
          <w:szCs w:val="36"/>
        </w:rPr>
      </w:pPr>
      <w:r>
        <w:rPr>
          <w:rFonts w:hint="eastAsia" w:hAnsi="宋体"/>
          <w:b/>
          <w:bCs/>
          <w:sz w:val="36"/>
          <w:szCs w:val="36"/>
        </w:rPr>
        <w:br w:type="page"/>
      </w:r>
    </w:p>
    <w:p>
      <w:pPr>
        <w:pStyle w:val="28"/>
        <w:snapToGrid w:val="0"/>
        <w:spacing w:before="120" w:after="120" w:line="480" w:lineRule="auto"/>
        <w:jc w:val="center"/>
        <w:outlineLvl w:val="0"/>
        <w:rPr>
          <w:rFonts w:hAnsi="宋体"/>
          <w:b/>
          <w:bCs/>
          <w:sz w:val="36"/>
          <w:szCs w:val="36"/>
        </w:rPr>
      </w:pPr>
      <w:r>
        <w:rPr>
          <w:rFonts w:hint="eastAsia" w:hAnsi="宋体"/>
          <w:b/>
          <w:bCs/>
          <w:sz w:val="36"/>
          <w:szCs w:val="36"/>
        </w:rPr>
        <w:t>第六章  磋商响应文件格式附件</w:t>
      </w:r>
      <w:bookmarkEnd w:id="79"/>
    </w:p>
    <w:p>
      <w:pPr>
        <w:snapToGrid w:val="0"/>
        <w:spacing w:before="50" w:after="120" w:afterLines="5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附件1：</w:t>
      </w:r>
    </w:p>
    <w:p>
      <w:pPr>
        <w:snapToGrid w:val="0"/>
        <w:spacing w:before="50" w:after="50"/>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磋商函</w:t>
      </w:r>
    </w:p>
    <w:p>
      <w:pPr>
        <w:snapToGrid w:val="0"/>
        <w:spacing w:before="120" w:beforeLines="50" w:after="50" w:line="500" w:lineRule="exact"/>
        <w:jc w:val="center"/>
        <w:rPr>
          <w:rFonts w:ascii="仿宋" w:hAnsi="仿宋" w:eastAsia="仿宋"/>
          <w:b/>
          <w:bCs/>
          <w:sz w:val="36"/>
          <w:szCs w:val="36"/>
        </w:rPr>
      </w:pPr>
      <w:r>
        <w:rPr>
          <w:rFonts w:hint="eastAsia" w:ascii="仿宋" w:hAnsi="仿宋" w:eastAsia="仿宋"/>
          <w:b/>
          <w:bCs/>
          <w:sz w:val="36"/>
          <w:szCs w:val="36"/>
        </w:rPr>
        <w:t xml:space="preserve"> </w:t>
      </w:r>
    </w:p>
    <w:p>
      <w:pPr>
        <w:snapToGrid w:val="0"/>
        <w:spacing w:before="120" w:beforeLines="50" w:after="50"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致：绍兴平准招标代理有限公司</w:t>
      </w:r>
    </w:p>
    <w:p>
      <w:pPr>
        <w:snapToGrid w:val="0"/>
        <w:spacing w:before="120" w:beforeLines="50" w:after="50"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（磋商响应方名称）</w:t>
      </w:r>
      <w:r>
        <w:rPr>
          <w:rFonts w:hint="eastAsia" w:asciiTheme="minorEastAsia" w:hAnsiTheme="minorEastAsia" w:eastAsiaTheme="minorEastAsia"/>
          <w:sz w:val="24"/>
          <w:szCs w:val="24"/>
        </w:rPr>
        <w:t>系中华人民共和国合法企业，经营地址</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napToGrid w:val="0"/>
        <w:spacing w:before="120" w:beforeLines="50" w:after="50"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w:t>
      </w:r>
      <w:r>
        <w:rPr>
          <w:rFonts w:hint="eastAsia" w:asciiTheme="minorEastAsia" w:hAnsiTheme="minorEastAsia" w:eastAsiaTheme="minorEastAsia"/>
          <w:sz w:val="24"/>
          <w:szCs w:val="24"/>
          <w:u w:val="single"/>
        </w:rPr>
        <w:t>（姓名）</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rPr>
        <w:t>（磋商响应方名称）</w:t>
      </w:r>
      <w:r>
        <w:rPr>
          <w:rFonts w:hint="eastAsia" w:asciiTheme="minorEastAsia" w:hAnsiTheme="minorEastAsia" w:eastAsiaTheme="minorEastAsia"/>
          <w:sz w:val="24"/>
          <w:szCs w:val="24"/>
        </w:rPr>
        <w:t>的法定代表人，我方愿意参加贵方组织的</w:t>
      </w:r>
      <w:r>
        <w:rPr>
          <w:rFonts w:hint="eastAsia" w:asciiTheme="minorEastAsia" w:hAnsiTheme="minorEastAsia" w:eastAsiaTheme="minorEastAsia"/>
          <w:sz w:val="24"/>
          <w:szCs w:val="24"/>
          <w:u w:val="single"/>
        </w:rPr>
        <w:t>（磋商项目名称）（编号为</w:t>
      </w:r>
      <w:r>
        <w:rPr>
          <w:rFonts w:hint="eastAsia" w:asciiTheme="minorEastAsia" w:hAnsiTheme="minorEastAsia" w:eastAsiaTheme="minorEastAsia"/>
          <w:b/>
          <w:sz w:val="24"/>
          <w:szCs w:val="24"/>
          <w:u w:val="single"/>
          <w:lang w:eastAsia="zh-CN"/>
        </w:rPr>
        <w:t>SXPZ-H20200812ZXX</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的磋商响应，为此，我方就本次磋商响应有关事项郑重声明如下：</w:t>
      </w:r>
    </w:p>
    <w:p>
      <w:pPr>
        <w:snapToGrid w:val="0"/>
        <w:spacing w:before="120" w:beforeLines="50" w:after="50"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1.我方已详细审查全部磋商文件，同意竞争性磋商文件的各项要求。</w:t>
      </w:r>
    </w:p>
    <w:p>
      <w:pPr>
        <w:snapToGrid w:val="0"/>
        <w:spacing w:before="120" w:beforeLines="50" w:after="50"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2.我方向贵方提交的所有磋商响应文件、资料都是正确和真实的。</w:t>
      </w:r>
    </w:p>
    <w:p>
      <w:pPr>
        <w:snapToGrid w:val="0"/>
        <w:spacing w:before="120" w:beforeLines="50" w:after="50"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3.若成交，我方将按磋商文件规定履行合同责任和义务。</w:t>
      </w:r>
    </w:p>
    <w:p>
      <w:pPr>
        <w:snapToGrid w:val="0"/>
        <w:spacing w:before="120" w:beforeLines="50" w:after="50"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4.我方不是采购人的附属机构。</w:t>
      </w:r>
    </w:p>
    <w:p>
      <w:pPr>
        <w:snapToGrid w:val="0"/>
        <w:spacing w:before="120" w:beforeLines="50" w:after="50"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5.磋商响应书自磋商日起有效期为</w:t>
      </w:r>
      <w:r>
        <w:rPr>
          <w:rFonts w:hint="eastAsia" w:asciiTheme="minorEastAsia" w:hAnsiTheme="minorEastAsia" w:eastAsiaTheme="minorEastAsia"/>
          <w:sz w:val="24"/>
          <w:szCs w:val="24"/>
          <w:u w:val="single"/>
        </w:rPr>
        <w:t>90</w:t>
      </w:r>
      <w:r>
        <w:rPr>
          <w:rFonts w:hint="eastAsia" w:asciiTheme="minorEastAsia" w:hAnsiTheme="minorEastAsia" w:eastAsiaTheme="minorEastAsia"/>
          <w:sz w:val="24"/>
          <w:szCs w:val="24"/>
        </w:rPr>
        <w:t>天。</w:t>
      </w:r>
    </w:p>
    <w:p>
      <w:pPr>
        <w:snapToGrid w:val="0"/>
        <w:spacing w:before="120" w:beforeLines="50" w:after="50" w:line="4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6.以上事项如有虚假或隐瞒，我方愿意承担一切后果，并不再寻求任何旨在减轻或免除法律责任的辩解。</w:t>
      </w:r>
    </w:p>
    <w:p>
      <w:pPr>
        <w:pStyle w:val="24"/>
        <w:snapToGrid w:val="0"/>
        <w:spacing w:line="460" w:lineRule="exact"/>
        <w:ind w:left="773" w:leftChars="150" w:hanging="458" w:hangingChars="191"/>
        <w:rPr>
          <w:rFonts w:asciiTheme="minorEastAsia" w:hAnsiTheme="minorEastAsia" w:eastAsiaTheme="minorEastAsia"/>
          <w:sz w:val="24"/>
        </w:rPr>
      </w:pPr>
      <w:r>
        <w:rPr>
          <w:rFonts w:hint="eastAsia" w:asciiTheme="minorEastAsia" w:hAnsiTheme="minorEastAsia" w:eastAsiaTheme="minorEastAsia"/>
          <w:sz w:val="24"/>
        </w:rPr>
        <w:t xml:space="preserve"> </w:t>
      </w:r>
    </w:p>
    <w:p>
      <w:pPr>
        <w:pStyle w:val="352"/>
        <w:snapToGrid w:val="0"/>
        <w:spacing w:before="120" w:beforeLines="50" w:line="460" w:lineRule="exact"/>
        <w:ind w:firstLine="200"/>
        <w:rPr>
          <w:rFonts w:asciiTheme="minorEastAsia" w:hAnsiTheme="minorEastAsia" w:eastAsiaTheme="minorEastAsia"/>
          <w:szCs w:val="24"/>
        </w:rPr>
      </w:pPr>
      <w:r>
        <w:rPr>
          <w:rFonts w:hint="eastAsia" w:asciiTheme="minorEastAsia" w:hAnsiTheme="minorEastAsia" w:eastAsiaTheme="minorEastAsia"/>
          <w:szCs w:val="24"/>
        </w:rPr>
        <w:t xml:space="preserve"> </w:t>
      </w:r>
    </w:p>
    <w:p>
      <w:pPr>
        <w:snapToGrid w:val="0"/>
        <w:spacing w:before="120" w:beforeLines="50" w:after="50" w:line="460" w:lineRule="exact"/>
        <w:ind w:right="600" w:firstLine="120" w:firstLineChars="5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法定代表人签名或</w:t>
      </w:r>
      <w:r>
        <w:rPr>
          <w:rFonts w:hint="eastAsia" w:asciiTheme="minorEastAsia" w:hAnsiTheme="minorEastAsia" w:eastAsiaTheme="minorEastAsia"/>
          <w:sz w:val="24"/>
          <w:szCs w:val="24"/>
          <w:lang w:eastAsia="zh-CN"/>
        </w:rPr>
        <w:t>盖章</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napToGrid w:val="0"/>
        <w:spacing w:before="120" w:beforeLines="50" w:after="50" w:line="460" w:lineRule="exact"/>
        <w:ind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rPr>
        <w:t>磋商响应方全称（公章）：</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napToGrid w:val="0"/>
        <w:spacing w:before="120" w:beforeLines="50" w:after="50" w:line="460" w:lineRule="exact"/>
        <w:ind w:right="600" w:firstLine="2160" w:firstLineChars="9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napToGrid w:val="0"/>
        <w:spacing w:before="120" w:beforeLines="50" w:after="50" w:line="460" w:lineRule="exact"/>
        <w:rPr>
          <w:rFonts w:asciiTheme="minorEastAsia" w:hAnsiTheme="minorEastAsia" w:eastAsiaTheme="minorEastAsia"/>
          <w:b/>
          <w:sz w:val="28"/>
          <w:szCs w:val="28"/>
        </w:rPr>
      </w:pPr>
      <w:r>
        <w:rPr>
          <w:rFonts w:hint="eastAsia" w:ascii="仿宋" w:hAnsi="仿宋" w:eastAsia="仿宋"/>
          <w:sz w:val="30"/>
          <w:szCs w:val="30"/>
        </w:rPr>
        <w:br w:type="page"/>
      </w:r>
      <w:r>
        <w:rPr>
          <w:rFonts w:hint="eastAsia" w:asciiTheme="minorEastAsia" w:hAnsiTheme="minorEastAsia" w:eastAsiaTheme="minorEastAsia"/>
          <w:b/>
          <w:sz w:val="28"/>
          <w:szCs w:val="28"/>
        </w:rPr>
        <w:t>附件2：</w:t>
      </w:r>
    </w:p>
    <w:p>
      <w:pPr>
        <w:snapToGrid w:val="0"/>
        <w:spacing w:before="50" w:after="50"/>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法定代表人授权委托书</w:t>
      </w:r>
    </w:p>
    <w:p>
      <w:pPr>
        <w:snapToGrid w:val="0"/>
        <w:spacing w:before="120" w:beforeLines="50" w:after="50"/>
        <w:jc w:val="center"/>
        <w:rPr>
          <w:rFonts w:ascii="仿宋" w:hAnsi="仿宋" w:eastAsia="仿宋"/>
          <w:b/>
          <w:bCs/>
          <w:sz w:val="30"/>
          <w:szCs w:val="30"/>
        </w:rPr>
      </w:pPr>
      <w:r>
        <w:rPr>
          <w:rFonts w:hint="eastAsia" w:ascii="仿宋" w:hAnsi="仿宋" w:eastAsia="仿宋"/>
          <w:b/>
          <w:bCs/>
          <w:sz w:val="30"/>
          <w:szCs w:val="30"/>
        </w:rPr>
        <w:t xml:space="preserve"> </w:t>
      </w:r>
    </w:p>
    <w:p>
      <w:pPr>
        <w:snapToGrid w:val="0"/>
        <w:spacing w:before="120" w:beforeLines="50" w:after="50" w:line="460" w:lineRule="exact"/>
        <w:rPr>
          <w:rFonts w:asciiTheme="minorEastAsia" w:hAnsiTheme="minorEastAsia" w:eastAsiaTheme="minorEastAsia"/>
          <w:b/>
          <w:bCs/>
          <w:sz w:val="24"/>
          <w:szCs w:val="24"/>
        </w:rPr>
      </w:pPr>
      <w:r>
        <w:rPr>
          <w:rFonts w:hint="eastAsia" w:asciiTheme="minorEastAsia" w:hAnsiTheme="minorEastAsia" w:eastAsiaTheme="minorEastAsia"/>
          <w:sz w:val="24"/>
          <w:szCs w:val="24"/>
        </w:rPr>
        <w:t>绍兴平准招标代理有限公司：</w:t>
      </w:r>
    </w:p>
    <w:p>
      <w:pPr>
        <w:snapToGrid w:val="0"/>
        <w:spacing w:before="120" w:beforeLines="50" w:after="50" w:line="460" w:lineRule="exact"/>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（姓名）系</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（响应方名称）的法定代表人，现授权委托本单位在职职工 </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（姓名）为全权代表，以我方的名义参加项目编号：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项目名称：</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项目的竞争性磋商响应活动，并代表我方全权办理针对该项目的响应、磋商、评审、等具体事务和签署相关文件。我方对全权代表的签名事项负全部责任。</w:t>
      </w:r>
    </w:p>
    <w:p>
      <w:pPr>
        <w:snapToGrid w:val="0"/>
        <w:spacing w:before="120" w:beforeLines="50" w:after="50" w:line="4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在撤销授权的书面通知以前，本授权书一直有效。全权代表在授权书有效期内签署的所有文件不因授权的撤销而失效。</w:t>
      </w:r>
    </w:p>
    <w:p>
      <w:pPr>
        <w:snapToGrid w:val="0"/>
        <w:spacing w:before="120" w:beforeLines="50" w:after="50" w:line="4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全权代表无转委托权，特此委托。</w:t>
      </w:r>
    </w:p>
    <w:p>
      <w:pPr>
        <w:snapToGrid w:val="0"/>
        <w:spacing w:before="120" w:beforeLines="50" w:after="50" w:line="4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napToGrid w:val="0"/>
        <w:spacing w:before="120" w:beforeLines="50" w:after="50" w:line="46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napToGrid w:val="0"/>
        <w:spacing w:before="120" w:beforeLines="50" w:after="50"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全权代表签名</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或</w:t>
      </w:r>
      <w:r>
        <w:rPr>
          <w:rFonts w:hint="eastAsia" w:asciiTheme="minorEastAsia" w:hAnsiTheme="minorEastAsia" w:eastAsiaTheme="minorEastAsia"/>
          <w:sz w:val="24"/>
          <w:szCs w:val="24"/>
          <w:lang w:val="en-US" w:eastAsia="zh-CN"/>
        </w:rPr>
        <w:t>盖</w:t>
      </w:r>
      <w:r>
        <w:rPr>
          <w:rFonts w:hint="eastAsia" w:asciiTheme="minorEastAsia" w:hAnsiTheme="minorEastAsia" w:eastAsiaTheme="minorEastAsia"/>
          <w:sz w:val="24"/>
          <w:szCs w:val="24"/>
        </w:rPr>
        <w:t>章</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职务：</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napToGrid w:val="0"/>
        <w:spacing w:before="120" w:beforeLines="50" w:after="50"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全权代表身份证号码：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napToGrid w:val="0"/>
        <w:spacing w:before="120" w:beforeLines="50" w:after="50"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法定代表人签名</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或</w:t>
      </w:r>
      <w:r>
        <w:rPr>
          <w:rFonts w:hint="eastAsia" w:asciiTheme="minorEastAsia" w:hAnsiTheme="minorEastAsia" w:eastAsiaTheme="minorEastAsia"/>
          <w:sz w:val="24"/>
          <w:szCs w:val="24"/>
          <w:lang w:val="en-US" w:eastAsia="zh-CN"/>
        </w:rPr>
        <w:t>盖</w:t>
      </w:r>
      <w:r>
        <w:rPr>
          <w:rFonts w:hint="eastAsia" w:asciiTheme="minorEastAsia" w:hAnsiTheme="minorEastAsia" w:eastAsiaTheme="minorEastAsia"/>
          <w:sz w:val="24"/>
          <w:szCs w:val="24"/>
        </w:rPr>
        <w:t>章</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职务：</w:t>
      </w:r>
      <w:r>
        <w:rPr>
          <w:rFonts w:hint="eastAsia" w:asciiTheme="minorEastAsia" w:hAnsiTheme="minorEastAsia" w:eastAsiaTheme="minorEastAsia"/>
          <w:sz w:val="24"/>
          <w:szCs w:val="24"/>
          <w:u w:val="single"/>
        </w:rPr>
        <w:t xml:space="preserve">           </w:t>
      </w:r>
    </w:p>
    <w:p>
      <w:pPr>
        <w:snapToGrid w:val="0"/>
        <w:spacing w:before="120" w:beforeLines="50" w:after="50"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附全权代表及法定代表人身份证扫描件</w:t>
      </w:r>
      <w:r>
        <w:rPr>
          <w:rFonts w:hint="eastAsia" w:asciiTheme="minorEastAsia" w:hAnsiTheme="minorEastAsia" w:eastAsiaTheme="minorEastAsia"/>
          <w:sz w:val="24"/>
          <w:szCs w:val="24"/>
        </w:rPr>
        <w:t xml:space="preserve">                                   </w:t>
      </w:r>
    </w:p>
    <w:p>
      <w:pPr>
        <w:snapToGrid w:val="0"/>
        <w:spacing w:before="120" w:beforeLines="50" w:after="50" w:line="460" w:lineRule="exact"/>
        <w:ind w:firstLine="4920" w:firstLineChars="20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napToGrid w:val="0"/>
        <w:spacing w:before="120" w:beforeLines="50" w:after="50" w:line="46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磋商响应方全称（公章）：</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日  期：</w:t>
      </w:r>
      <w:r>
        <w:rPr>
          <w:rFonts w:hint="eastAsia" w:asciiTheme="minorEastAsia" w:hAnsiTheme="minorEastAsia" w:eastAsiaTheme="minorEastAsia"/>
          <w:sz w:val="24"/>
          <w:szCs w:val="24"/>
          <w:u w:val="single"/>
        </w:rPr>
        <w:t xml:space="preserve">     </w:t>
      </w:r>
    </w:p>
    <w:p>
      <w:pPr>
        <w:widowControl/>
        <w:jc w:val="left"/>
        <w:rPr>
          <w:rFonts w:ascii="宋体" w:hAnsi="宋体"/>
          <w:b/>
          <w:sz w:val="28"/>
          <w:szCs w:val="28"/>
        </w:rPr>
      </w:pPr>
      <w:r>
        <w:rPr>
          <w:rFonts w:ascii="宋体" w:hAnsi="宋体"/>
          <w:b/>
          <w:sz w:val="28"/>
          <w:szCs w:val="28"/>
        </w:rPr>
        <w:br w:type="page"/>
      </w:r>
    </w:p>
    <w:p>
      <w:pPr>
        <w:rPr>
          <w:kern w:val="0"/>
          <w:sz w:val="28"/>
          <w:szCs w:val="28"/>
        </w:rPr>
      </w:pPr>
      <w:r>
        <w:rPr>
          <w:rFonts w:hint="eastAsia" w:ascii="宋体" w:hAnsi="宋体"/>
          <w:b/>
          <w:sz w:val="28"/>
          <w:szCs w:val="28"/>
        </w:rPr>
        <w:t>附件3：</w:t>
      </w:r>
    </w:p>
    <w:p>
      <w:pPr>
        <w:jc w:val="center"/>
        <w:rPr>
          <w:rFonts w:ascii="宋体" w:hAnsi="宋体"/>
          <w:b/>
          <w:sz w:val="28"/>
          <w:szCs w:val="28"/>
        </w:rPr>
      </w:pPr>
      <w:r>
        <w:rPr>
          <w:rFonts w:hint="eastAsia" w:ascii="宋体" w:hAnsi="宋体"/>
          <w:b/>
          <w:bCs/>
          <w:sz w:val="28"/>
          <w:szCs w:val="28"/>
        </w:rPr>
        <w:t>法定代表人身份证明书</w:t>
      </w:r>
    </w:p>
    <w:p>
      <w:pPr>
        <w:jc w:val="center"/>
        <w:rPr>
          <w:rFonts w:ascii="宋体" w:hAnsi="宋体"/>
          <w:sz w:val="24"/>
          <w:szCs w:val="24"/>
        </w:rPr>
      </w:pPr>
    </w:p>
    <w:p>
      <w:pPr>
        <w:spacing w:line="600" w:lineRule="exact"/>
        <w:ind w:left="611" w:leftChars="291" w:firstLine="360" w:firstLineChars="150"/>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rPr>
        <w:t xml:space="preserve"> </w:t>
      </w:r>
    </w:p>
    <w:p>
      <w:pPr>
        <w:spacing w:line="600" w:lineRule="exact"/>
        <w:ind w:left="609" w:leftChars="290" w:firstLine="360" w:firstLineChars="150"/>
        <w:rPr>
          <w:rFonts w:ascii="宋体" w:hAnsi="宋体"/>
          <w:sz w:val="24"/>
          <w:szCs w:val="24"/>
        </w:rPr>
      </w:pPr>
      <w:r>
        <w:rPr>
          <w:rFonts w:hint="eastAsia" w:ascii="宋体" w:hAnsi="宋体"/>
          <w:sz w:val="24"/>
          <w:szCs w:val="24"/>
        </w:rPr>
        <w:t>单位性质：</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rPr>
        <w:t xml:space="preserve"> </w:t>
      </w:r>
    </w:p>
    <w:p>
      <w:pPr>
        <w:spacing w:line="600" w:lineRule="exact"/>
        <w:ind w:left="609" w:leftChars="290" w:firstLine="360" w:firstLineChars="150"/>
        <w:rPr>
          <w:rFonts w:ascii="宋体" w:hAnsi="宋体"/>
          <w:sz w:val="24"/>
          <w:szCs w:val="24"/>
        </w:rPr>
      </w:pPr>
      <w:r>
        <w:rPr>
          <w:rFonts w:hint="eastAsia" w:ascii="宋体" w:hAnsi="宋体"/>
          <w:sz w:val="24"/>
          <w:szCs w:val="24"/>
        </w:rPr>
        <w:t>地</w:t>
      </w:r>
      <w:r>
        <w:rPr>
          <w:rFonts w:ascii="宋体" w:hAnsi="宋体"/>
          <w:sz w:val="24"/>
          <w:szCs w:val="24"/>
        </w:rPr>
        <w:t xml:space="preserve">    址：</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4"/>
          <w:szCs w:val="24"/>
        </w:rPr>
        <w:tab/>
      </w:r>
      <w:r>
        <w:rPr>
          <w:rFonts w:hint="eastAsia" w:ascii="宋体" w:hAnsi="宋体"/>
          <w:sz w:val="24"/>
          <w:szCs w:val="24"/>
        </w:rPr>
        <w:t xml:space="preserve"> </w:t>
      </w:r>
    </w:p>
    <w:p>
      <w:pPr>
        <w:spacing w:line="600" w:lineRule="exact"/>
        <w:ind w:left="609" w:leftChars="290" w:firstLine="360" w:firstLineChars="150"/>
        <w:rPr>
          <w:rFonts w:ascii="宋体" w:hAnsi="宋体"/>
          <w:sz w:val="24"/>
          <w:szCs w:val="24"/>
          <w:u w:val="single"/>
        </w:rPr>
      </w:pPr>
      <w:r>
        <w:rPr>
          <w:rFonts w:hint="eastAsia" w:ascii="宋体" w:hAnsi="宋体"/>
          <w:sz w:val="24"/>
          <w:szCs w:val="24"/>
        </w:rPr>
        <w:t>成立时间：</w:t>
      </w:r>
      <w:r>
        <w:rPr>
          <w:rFonts w:ascii="宋体" w:hAnsi="宋体"/>
          <w:sz w:val="24"/>
          <w:szCs w:val="24"/>
          <w:u w:val="single"/>
        </w:rPr>
        <w:t xml:space="preserve">      </w:t>
      </w:r>
      <w:r>
        <w:rPr>
          <w:rFonts w:hint="eastAsia" w:ascii="宋体" w:hAnsi="宋体"/>
          <w:sz w:val="24"/>
          <w:szCs w:val="24"/>
          <w:u w:val="single"/>
        </w:rPr>
        <w:t>年</w:t>
      </w:r>
      <w:r>
        <w:rPr>
          <w:rFonts w:ascii="宋体" w:hAnsi="宋体"/>
          <w:sz w:val="24"/>
          <w:szCs w:val="24"/>
          <w:u w:val="single"/>
        </w:rPr>
        <w:t xml:space="preserve">      </w:t>
      </w:r>
      <w:r>
        <w:rPr>
          <w:rFonts w:hint="eastAsia" w:ascii="宋体" w:hAnsi="宋体"/>
          <w:sz w:val="24"/>
          <w:szCs w:val="24"/>
          <w:u w:val="single"/>
        </w:rPr>
        <w:t>月</w:t>
      </w:r>
      <w:r>
        <w:rPr>
          <w:rFonts w:ascii="宋体" w:hAnsi="宋体"/>
          <w:sz w:val="24"/>
          <w:szCs w:val="24"/>
          <w:u w:val="single"/>
        </w:rPr>
        <w:t xml:space="preserve">      </w:t>
      </w:r>
      <w:r>
        <w:rPr>
          <w:rFonts w:hint="eastAsia" w:ascii="宋体" w:hAnsi="宋体"/>
          <w:sz w:val="24"/>
          <w:szCs w:val="24"/>
          <w:u w:val="single"/>
        </w:rPr>
        <w:t>日</w:t>
      </w:r>
    </w:p>
    <w:p>
      <w:pPr>
        <w:spacing w:line="600" w:lineRule="exact"/>
        <w:ind w:left="609" w:leftChars="290" w:firstLine="360" w:firstLineChars="150"/>
        <w:rPr>
          <w:rFonts w:ascii="宋体" w:hAnsi="宋体"/>
          <w:sz w:val="24"/>
          <w:szCs w:val="24"/>
        </w:rPr>
      </w:pPr>
      <w:r>
        <w:rPr>
          <w:rFonts w:hint="eastAsia" w:ascii="宋体" w:hAnsi="宋体"/>
          <w:sz w:val="24"/>
          <w:szCs w:val="24"/>
        </w:rPr>
        <w:t>经营期限：</w:t>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rPr>
        <w:tab/>
      </w:r>
    </w:p>
    <w:p>
      <w:pPr>
        <w:spacing w:line="600" w:lineRule="exact"/>
        <w:ind w:left="609" w:leftChars="290" w:firstLine="360" w:firstLineChars="150"/>
        <w:rPr>
          <w:rFonts w:ascii="宋体" w:hAnsi="宋体"/>
          <w:sz w:val="24"/>
          <w:szCs w:val="24"/>
          <w:u w:val="single"/>
        </w:rPr>
      </w:pPr>
      <w:r>
        <w:rPr>
          <w:rFonts w:hint="eastAsia" w:ascii="宋体" w:hAnsi="宋体"/>
          <w:sz w:val="24"/>
          <w:szCs w:val="24"/>
        </w:rPr>
        <w:t>姓</w:t>
      </w:r>
      <w:r>
        <w:rPr>
          <w:rFonts w:ascii="宋体" w:hAnsi="宋体"/>
          <w:sz w:val="24"/>
          <w:szCs w:val="24"/>
        </w:rPr>
        <w:t xml:space="preserve">    名：</w:t>
      </w:r>
      <w:r>
        <w:rPr>
          <w:rFonts w:ascii="宋体" w:hAnsi="宋体"/>
          <w:sz w:val="24"/>
          <w:szCs w:val="24"/>
          <w:u w:val="single"/>
        </w:rPr>
        <w:t xml:space="preserve"> </w:t>
      </w:r>
      <w:r>
        <w:rPr>
          <w:rFonts w:hint="eastAsia" w:ascii="宋体" w:hAnsi="宋体"/>
          <w:sz w:val="24"/>
          <w:szCs w:val="24"/>
          <w:u w:val="single"/>
        </w:rPr>
        <w:t>（签字</w:t>
      </w:r>
      <w:r>
        <w:rPr>
          <w:rFonts w:hint="eastAsia" w:ascii="宋体" w:hAnsi="宋体"/>
          <w:sz w:val="24"/>
          <w:szCs w:val="24"/>
          <w:u w:val="single"/>
          <w:lang w:val="en-US" w:eastAsia="zh-CN"/>
        </w:rPr>
        <w:t>或盖章</w:t>
      </w:r>
      <w:r>
        <w:rPr>
          <w:rFonts w:hint="eastAsia" w:ascii="宋体" w:hAnsi="宋体"/>
          <w:sz w:val="24"/>
          <w:szCs w:val="24"/>
          <w:u w:val="single"/>
        </w:rPr>
        <w:t>）</w:t>
      </w:r>
      <w:r>
        <w:rPr>
          <w:rFonts w:ascii="宋体" w:hAnsi="宋体"/>
          <w:sz w:val="24"/>
          <w:szCs w:val="24"/>
          <w:u w:val="single"/>
        </w:rPr>
        <w:t xml:space="preserve"> </w:t>
      </w:r>
      <w:r>
        <w:rPr>
          <w:rFonts w:ascii="宋体" w:hAnsi="宋体"/>
          <w:sz w:val="24"/>
          <w:szCs w:val="24"/>
        </w:rPr>
        <w:t>性别</w:t>
      </w:r>
      <w:r>
        <w:rPr>
          <w:rFonts w:ascii="宋体" w:hAnsi="宋体"/>
          <w:sz w:val="24"/>
          <w:szCs w:val="24"/>
          <w:u w:val="single"/>
        </w:rPr>
        <w:t xml:space="preserve">：     </w:t>
      </w:r>
      <w:r>
        <w:rPr>
          <w:rFonts w:ascii="宋体" w:hAnsi="宋体"/>
          <w:sz w:val="24"/>
          <w:szCs w:val="24"/>
        </w:rPr>
        <w:t>年龄：</w:t>
      </w:r>
      <w:r>
        <w:rPr>
          <w:rFonts w:ascii="宋体" w:hAnsi="宋体"/>
          <w:sz w:val="24"/>
          <w:szCs w:val="24"/>
          <w:u w:val="single"/>
        </w:rPr>
        <w:t xml:space="preserve">    </w:t>
      </w:r>
      <w:r>
        <w:rPr>
          <w:rFonts w:ascii="宋体" w:hAnsi="宋体"/>
          <w:sz w:val="24"/>
          <w:szCs w:val="24"/>
        </w:rPr>
        <w:t>职务：</w:t>
      </w:r>
      <w:r>
        <w:rPr>
          <w:rFonts w:hint="eastAsia" w:ascii="宋体" w:hAnsi="宋体"/>
          <w:sz w:val="24"/>
          <w:szCs w:val="24"/>
          <w:u w:val="single"/>
        </w:rPr>
        <w:tab/>
      </w:r>
      <w:r>
        <w:rPr>
          <w:rFonts w:hint="eastAsia" w:ascii="宋体" w:hAnsi="宋体"/>
          <w:sz w:val="24"/>
          <w:szCs w:val="24"/>
          <w:u w:val="single"/>
        </w:rPr>
        <w:tab/>
      </w:r>
    </w:p>
    <w:p>
      <w:pPr>
        <w:spacing w:line="600" w:lineRule="exact"/>
        <w:ind w:left="609" w:leftChars="290" w:firstLine="360" w:firstLineChars="150"/>
        <w:rPr>
          <w:rFonts w:ascii="宋体" w:hAnsi="宋体"/>
          <w:sz w:val="24"/>
          <w:szCs w:val="24"/>
        </w:rPr>
      </w:pP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磋商响应方</w:t>
      </w:r>
      <w:r>
        <w:rPr>
          <w:rFonts w:ascii="宋体" w:hAnsi="宋体"/>
          <w:sz w:val="24"/>
          <w:szCs w:val="24"/>
          <w:u w:val="single"/>
        </w:rPr>
        <w:t xml:space="preserve">名称）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的法定代表人。</w:t>
      </w:r>
    </w:p>
    <w:p>
      <w:pPr>
        <w:spacing w:line="600" w:lineRule="exact"/>
        <w:ind w:left="610"/>
        <w:rPr>
          <w:rFonts w:ascii="宋体" w:hAnsi="宋体"/>
          <w:sz w:val="24"/>
          <w:szCs w:val="24"/>
        </w:rPr>
      </w:pPr>
    </w:p>
    <w:p>
      <w:pPr>
        <w:spacing w:line="600" w:lineRule="exact"/>
        <w:ind w:left="609" w:leftChars="290" w:firstLine="480" w:firstLineChars="200"/>
        <w:rPr>
          <w:rFonts w:ascii="宋体" w:hAnsi="宋体"/>
          <w:sz w:val="24"/>
          <w:szCs w:val="24"/>
        </w:rPr>
      </w:pPr>
      <w:r>
        <w:rPr>
          <w:rFonts w:hint="eastAsia" w:ascii="宋体" w:hAnsi="宋体"/>
          <w:sz w:val="24"/>
          <w:szCs w:val="24"/>
        </w:rPr>
        <w:t>特此证明。</w:t>
      </w:r>
    </w:p>
    <w:p>
      <w:pPr>
        <w:tabs>
          <w:tab w:val="left" w:pos="720"/>
          <w:tab w:val="left" w:pos="900"/>
        </w:tabs>
        <w:spacing w:line="600" w:lineRule="exact"/>
        <w:ind w:left="560"/>
        <w:rPr>
          <w:rFonts w:ascii="宋体" w:hAnsi="宋体"/>
          <w:sz w:val="24"/>
          <w:szCs w:val="24"/>
        </w:rPr>
      </w:pPr>
    </w:p>
    <w:p>
      <w:pPr>
        <w:tabs>
          <w:tab w:val="left" w:pos="720"/>
          <w:tab w:val="left" w:pos="900"/>
        </w:tabs>
        <w:spacing w:line="600" w:lineRule="exact"/>
        <w:ind w:left="5040" w:leftChars="2400" w:firstLine="120" w:firstLineChars="50"/>
        <w:rPr>
          <w:rFonts w:ascii="宋体" w:hAnsi="宋体"/>
          <w:sz w:val="24"/>
          <w:szCs w:val="24"/>
          <w:u w:val="single"/>
        </w:rPr>
      </w:pPr>
      <w:r>
        <w:rPr>
          <w:rFonts w:hint="eastAsia" w:ascii="宋体" w:hAnsi="宋体"/>
          <w:sz w:val="24"/>
          <w:szCs w:val="24"/>
        </w:rPr>
        <w:t>磋商响应方：</w:t>
      </w:r>
      <w:r>
        <w:rPr>
          <w:rFonts w:ascii="宋体" w:hAnsi="宋体"/>
          <w:sz w:val="24"/>
          <w:szCs w:val="24"/>
          <w:u w:val="single"/>
        </w:rPr>
        <w:t xml:space="preserve">    （盖章）</w:t>
      </w:r>
      <w:r>
        <w:rPr>
          <w:rFonts w:hint="eastAsia" w:ascii="宋体" w:hAnsi="宋体"/>
          <w:sz w:val="24"/>
          <w:szCs w:val="24"/>
          <w:u w:val="single"/>
        </w:rPr>
        <w:t xml:space="preserve">        </w:t>
      </w:r>
    </w:p>
    <w:p>
      <w:pPr>
        <w:tabs>
          <w:tab w:val="left" w:pos="720"/>
          <w:tab w:val="left" w:pos="900"/>
        </w:tabs>
        <w:spacing w:line="600" w:lineRule="exact"/>
        <w:ind w:left="5040" w:leftChars="2400" w:firstLine="120" w:firstLineChars="50"/>
        <w:rPr>
          <w:rFonts w:ascii="仿宋" w:hAnsi="仿宋" w:eastAsia="仿宋"/>
          <w:sz w:val="30"/>
          <w:szCs w:val="30"/>
        </w:rPr>
        <w:sectPr>
          <w:pgSz w:w="11906" w:h="16838"/>
          <w:pgMar w:top="1474" w:right="1797" w:bottom="1247" w:left="1797" w:header="720" w:footer="720" w:gutter="0"/>
          <w:cols w:space="720" w:num="1"/>
        </w:sectPr>
      </w:pPr>
      <w:r>
        <w:rPr>
          <w:rFonts w:hint="eastAsia" w:ascii="宋体" w:hAnsi="宋体"/>
          <w:sz w:val="24"/>
          <w:szCs w:val="24"/>
        </w:rPr>
        <w:t>日</w:t>
      </w:r>
      <w:r>
        <w:rPr>
          <w:rFonts w:ascii="宋体" w:hAnsi="宋体"/>
          <w:sz w:val="24"/>
          <w:szCs w:val="24"/>
        </w:rPr>
        <w:t xml:space="preserve">  期：    年    月  </w:t>
      </w:r>
    </w:p>
    <w:p>
      <w:pPr>
        <w:snapToGrid w:val="0"/>
        <w:spacing w:before="50" w:after="50"/>
        <w:jc w:val="both"/>
        <w:rPr>
          <w:rFonts w:hint="default" w:ascii="宋体" w:hAnsi="宋体" w:eastAsia="宋体" w:cs="宋体"/>
          <w:b/>
          <w:color w:val="000000"/>
          <w:sz w:val="28"/>
          <w:szCs w:val="28"/>
          <w:lang w:val="en-US" w:eastAsia="zh-CN"/>
        </w:rPr>
      </w:pPr>
      <w:bookmarkStart w:id="80" w:name="_Toc152042597"/>
      <w:bookmarkStart w:id="81" w:name="_Toc247514300"/>
      <w:bookmarkStart w:id="82" w:name="_Toc152045808"/>
      <w:bookmarkStart w:id="83" w:name="_Toc144974876"/>
      <w:bookmarkStart w:id="84" w:name="_Toc247527848"/>
      <w:r>
        <w:rPr>
          <w:rFonts w:hint="eastAsia" w:ascii="宋体" w:hAnsi="宋体" w:cs="宋体"/>
          <w:b/>
          <w:color w:val="000000"/>
          <w:sz w:val="28"/>
          <w:szCs w:val="28"/>
          <w:lang w:val="en-US" w:eastAsia="zh-CN"/>
        </w:rPr>
        <w:t>附件4：</w:t>
      </w:r>
    </w:p>
    <w:p>
      <w:pPr>
        <w:pStyle w:val="21"/>
        <w:rPr>
          <w:rFonts w:hint="eastAsia"/>
        </w:rPr>
      </w:pPr>
    </w:p>
    <w:p>
      <w:pPr>
        <w:snapToGrid w:val="0"/>
        <w:spacing w:before="50" w:after="50"/>
        <w:ind w:firstLine="562"/>
        <w:jc w:val="center"/>
        <w:rPr>
          <w:rFonts w:hint="eastAsia" w:ascii="宋体" w:hAnsi="宋体" w:cs="宋体"/>
          <w:b/>
          <w:color w:val="000000"/>
          <w:sz w:val="28"/>
          <w:szCs w:val="28"/>
        </w:rPr>
      </w:pPr>
      <w:r>
        <w:rPr>
          <w:rFonts w:hint="eastAsia" w:ascii="宋体" w:hAnsi="宋体" w:cs="宋体"/>
          <w:b/>
          <w:color w:val="000000"/>
          <w:sz w:val="28"/>
          <w:szCs w:val="28"/>
        </w:rPr>
        <w:t>具有履行合同所必需的设备和专业技术能力的承诺函</w:t>
      </w:r>
    </w:p>
    <w:p>
      <w:pPr>
        <w:ind w:firstLine="480"/>
        <w:rPr>
          <w:rFonts w:ascii="华文中宋" w:hAnsi="华文中宋" w:eastAsia="华文中宋" w:cs="Arial"/>
          <w:b/>
          <w:color w:val="000000"/>
          <w:kern w:val="0"/>
          <w:sz w:val="24"/>
          <w:szCs w:val="28"/>
          <w:u w:val="single"/>
        </w:rPr>
      </w:pPr>
    </w:p>
    <w:p>
      <w:pPr>
        <w:snapToGrid w:val="0"/>
        <w:spacing w:before="120" w:beforeLines="50" w:after="50" w:line="360" w:lineRule="auto"/>
        <w:rPr>
          <w:rFonts w:hint="eastAsia" w:ascii="宋体" w:hAnsi="宋体" w:cs="宋体"/>
          <w:color w:val="000000"/>
          <w:sz w:val="24"/>
          <w:u w:val="single"/>
        </w:rPr>
      </w:pPr>
      <w:r>
        <w:rPr>
          <w:rFonts w:hint="eastAsia" w:ascii="宋体" w:hAnsi="宋体" w:cs="宋体"/>
          <w:color w:val="000000"/>
          <w:sz w:val="24"/>
          <w:u w:val="single"/>
          <w:lang w:eastAsia="zh-CN"/>
        </w:rPr>
        <w:t>新昌县城东实验学校</w:t>
      </w:r>
      <w:r>
        <w:rPr>
          <w:rFonts w:hint="eastAsia" w:ascii="宋体" w:hAnsi="宋体" w:cs="宋体"/>
          <w:color w:val="000000"/>
          <w:sz w:val="24"/>
          <w:u w:val="single"/>
        </w:rPr>
        <w:t>、绍兴平准招标代理有限公司：</w:t>
      </w:r>
    </w:p>
    <w:p>
      <w:pPr>
        <w:spacing w:line="360" w:lineRule="auto"/>
        <w:ind w:firstLine="482"/>
        <w:rPr>
          <w:rFonts w:hint="eastAsia" w:ascii="宋体" w:hAnsi="宋体" w:cs="宋体"/>
          <w:color w:val="000000"/>
          <w:kern w:val="0"/>
          <w:sz w:val="24"/>
        </w:rPr>
      </w:pPr>
    </w:p>
    <w:p>
      <w:pPr>
        <w:spacing w:line="360" w:lineRule="auto"/>
        <w:ind w:firstLine="482"/>
        <w:rPr>
          <w:rFonts w:hint="eastAsia" w:ascii="宋体" w:hAnsi="宋体" w:cs="宋体"/>
          <w:color w:val="000000"/>
          <w:kern w:val="0"/>
          <w:sz w:val="24"/>
        </w:rPr>
      </w:pPr>
      <w:r>
        <w:rPr>
          <w:rFonts w:hint="eastAsia" w:ascii="宋体" w:hAnsi="宋体" w:cs="宋体"/>
          <w:color w:val="000000"/>
          <w:kern w:val="0"/>
          <w:sz w:val="24"/>
        </w:rPr>
        <w:t>我方郑重声明，我方具有履行</w:t>
      </w:r>
      <w:r>
        <w:rPr>
          <w:rFonts w:hint="eastAsia" w:ascii="宋体" w:hAnsi="宋体" w:cs="宋体"/>
          <w:color w:val="000000"/>
          <w:kern w:val="0"/>
          <w:sz w:val="24"/>
          <w:u w:val="single"/>
          <w:lang w:eastAsia="zh-CN"/>
        </w:rPr>
        <w:t>新昌县城东实验学校多媒体设备采购项目</w:t>
      </w:r>
      <w:r>
        <w:rPr>
          <w:rFonts w:hint="eastAsia" w:ascii="宋体" w:hAnsi="宋体" w:cs="宋体"/>
          <w:color w:val="000000"/>
          <w:kern w:val="0"/>
          <w:sz w:val="24"/>
          <w:u w:val="single"/>
        </w:rPr>
        <w:t>（项目编号：</w:t>
      </w:r>
      <w:r>
        <w:rPr>
          <w:rFonts w:hint="eastAsia" w:ascii="宋体" w:hAnsi="宋体" w:cs="宋体"/>
          <w:color w:val="000000"/>
          <w:kern w:val="0"/>
          <w:sz w:val="24"/>
          <w:u w:val="single"/>
          <w:lang w:eastAsia="zh-CN"/>
        </w:rPr>
        <w:t>SXPZ-H20200812ZXX</w:t>
      </w:r>
      <w:r>
        <w:rPr>
          <w:rFonts w:hint="eastAsia" w:ascii="宋体" w:hAnsi="宋体" w:cs="宋体"/>
          <w:color w:val="000000"/>
          <w:kern w:val="0"/>
          <w:sz w:val="24"/>
          <w:u w:val="single"/>
        </w:rPr>
        <w:t>）</w:t>
      </w:r>
      <w:r>
        <w:rPr>
          <w:rFonts w:hint="eastAsia" w:ascii="宋体" w:hAnsi="宋体" w:cs="宋体"/>
          <w:color w:val="000000"/>
          <w:kern w:val="0"/>
          <w:sz w:val="24"/>
        </w:rPr>
        <w:t>合同所必需的设备和专业技术能力，如中标，我方将按我方</w:t>
      </w:r>
      <w:r>
        <w:rPr>
          <w:rFonts w:hint="eastAsia" w:ascii="宋体" w:hAnsi="宋体" w:cs="宋体"/>
          <w:color w:val="000000"/>
          <w:kern w:val="0"/>
          <w:sz w:val="24"/>
          <w:lang w:eastAsia="zh-CN"/>
        </w:rPr>
        <w:t>磋商响应文件</w:t>
      </w:r>
      <w:r>
        <w:rPr>
          <w:rFonts w:hint="eastAsia" w:ascii="宋体" w:hAnsi="宋体" w:cs="宋体"/>
          <w:color w:val="000000"/>
          <w:kern w:val="0"/>
          <w:sz w:val="24"/>
        </w:rPr>
        <w:t>承诺，保证合同顺利履行。如有虚假或隐瞒，愿意承担一切后果。</w:t>
      </w:r>
    </w:p>
    <w:p>
      <w:pPr>
        <w:ind w:firstLine="480"/>
        <w:rPr>
          <w:rFonts w:hint="eastAsia" w:ascii="宋体" w:hAnsi="宋体" w:cs="宋体"/>
          <w:color w:val="000000"/>
          <w:kern w:val="0"/>
          <w:sz w:val="24"/>
        </w:rPr>
      </w:pPr>
    </w:p>
    <w:p>
      <w:pPr>
        <w:ind w:firstLine="480"/>
        <w:rPr>
          <w:rFonts w:hint="eastAsia" w:ascii="宋体" w:hAnsi="宋体" w:cs="宋体"/>
          <w:color w:val="000000"/>
          <w:kern w:val="0"/>
          <w:sz w:val="24"/>
        </w:rPr>
      </w:pPr>
      <w:r>
        <w:rPr>
          <w:rFonts w:hint="eastAsia" w:ascii="宋体" w:hAnsi="宋体" w:cs="宋体"/>
          <w:color w:val="000000"/>
          <w:kern w:val="0"/>
          <w:sz w:val="24"/>
        </w:rPr>
        <w:t>特此承诺！</w:t>
      </w:r>
    </w:p>
    <w:p>
      <w:pPr>
        <w:ind w:firstLine="560"/>
        <w:rPr>
          <w:rFonts w:ascii="仿宋" w:hAnsi="仿宋" w:eastAsia="仿宋" w:cs="Arial"/>
          <w:color w:val="000000"/>
          <w:kern w:val="0"/>
          <w:sz w:val="28"/>
          <w:szCs w:val="28"/>
        </w:rPr>
      </w:pPr>
    </w:p>
    <w:p>
      <w:pPr>
        <w:ind w:firstLine="560"/>
        <w:rPr>
          <w:rFonts w:ascii="仿宋" w:hAnsi="仿宋" w:eastAsia="仿宋" w:cs="Arial"/>
          <w:color w:val="000000"/>
          <w:kern w:val="0"/>
          <w:sz w:val="28"/>
          <w:szCs w:val="28"/>
        </w:rPr>
      </w:pPr>
    </w:p>
    <w:p>
      <w:pPr>
        <w:spacing w:line="360" w:lineRule="auto"/>
        <w:ind w:firstLine="560"/>
        <w:rPr>
          <w:rFonts w:ascii="仿宋" w:hAnsi="仿宋" w:eastAsia="仿宋" w:cs="Arial"/>
          <w:color w:val="000000"/>
          <w:kern w:val="0"/>
          <w:sz w:val="28"/>
          <w:szCs w:val="28"/>
        </w:rPr>
      </w:pPr>
    </w:p>
    <w:p>
      <w:pPr>
        <w:spacing w:line="360" w:lineRule="auto"/>
        <w:ind w:right="-21" w:rightChars="-10" w:firstLine="4800" w:firstLineChars="2000"/>
        <w:rPr>
          <w:rFonts w:ascii="宋体" w:hAnsi="宋体"/>
          <w:color w:val="000000"/>
          <w:sz w:val="24"/>
        </w:rPr>
      </w:pPr>
      <w:r>
        <w:rPr>
          <w:rFonts w:hint="eastAsia" w:ascii="宋体" w:hAnsi="宋体"/>
          <w:color w:val="000000"/>
          <w:sz w:val="24"/>
        </w:rPr>
        <w:t>投标人（盖章）：</w:t>
      </w:r>
    </w:p>
    <w:p>
      <w:pPr>
        <w:spacing w:line="360" w:lineRule="auto"/>
        <w:ind w:right="-21" w:rightChars="-10" w:firstLine="480"/>
        <w:jc w:val="center"/>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法定代表人或授权代表人签字（签字或</w:t>
      </w:r>
      <w:r>
        <w:rPr>
          <w:rFonts w:hint="eastAsia" w:ascii="宋体" w:hAnsi="宋体"/>
          <w:color w:val="000000"/>
          <w:sz w:val="24"/>
          <w:lang w:eastAsia="zh-CN"/>
        </w:rPr>
        <w:t>盖章</w:t>
      </w:r>
      <w:r>
        <w:rPr>
          <w:rFonts w:hint="eastAsia" w:ascii="宋体" w:hAnsi="宋体"/>
          <w:color w:val="000000"/>
          <w:sz w:val="24"/>
        </w:rPr>
        <w:t>）：</w:t>
      </w:r>
    </w:p>
    <w:p>
      <w:pPr>
        <w:spacing w:line="360" w:lineRule="auto"/>
        <w:ind w:firstLine="4800" w:firstLineChars="2000"/>
        <w:rPr>
          <w:rFonts w:hint="eastAsia"/>
          <w:kern w:val="0"/>
          <w:szCs w:val="21"/>
        </w:rPr>
      </w:pPr>
      <w:r>
        <w:rPr>
          <w:rFonts w:hint="eastAsia" w:ascii="宋体" w:hAnsi="宋体"/>
          <w:color w:val="000000"/>
          <w:sz w:val="24"/>
        </w:rPr>
        <w:t>日    期：</w:t>
      </w: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hint="eastAsia" w:ascii="宋体" w:hAnsi="宋体" w:cs="宋体"/>
          <w:b/>
          <w:bCs/>
          <w:sz w:val="28"/>
          <w:szCs w:val="28"/>
        </w:rPr>
      </w:pPr>
    </w:p>
    <w:p>
      <w:pPr>
        <w:rPr>
          <w:rFonts w:asci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5</w:t>
      </w:r>
      <w:r>
        <w:rPr>
          <w:rFonts w:hint="eastAsia" w:ascii="宋体" w:hAnsi="宋体" w:cs="宋体"/>
          <w:b/>
          <w:bCs/>
          <w:sz w:val="28"/>
          <w:szCs w:val="28"/>
        </w:rPr>
        <w:t xml:space="preserve">： </w:t>
      </w:r>
    </w:p>
    <w:p>
      <w:pPr>
        <w:pStyle w:val="541"/>
        <w:snapToGrid w:val="0"/>
        <w:ind w:right="0" w:firstLine="0" w:firstLineChars="0"/>
        <w:jc w:val="center"/>
        <w:rPr>
          <w:rFonts w:cs="宋体" w:asciiTheme="minorEastAsia" w:hAnsiTheme="minorEastAsia" w:eastAsiaTheme="minorEastAsia"/>
          <w:b/>
          <w:sz w:val="28"/>
          <w:szCs w:val="28"/>
          <w:lang w:val="en-GB"/>
        </w:rPr>
      </w:pPr>
      <w:r>
        <w:rPr>
          <w:rFonts w:hint="eastAsia" w:cs="宋体" w:asciiTheme="minorEastAsia" w:hAnsiTheme="minorEastAsia" w:eastAsiaTheme="minorEastAsia"/>
          <w:b/>
          <w:sz w:val="28"/>
          <w:szCs w:val="28"/>
          <w:lang w:val="en-GB"/>
        </w:rPr>
        <w:t>磋商响应方基本情况表</w:t>
      </w:r>
      <w:bookmarkEnd w:id="80"/>
      <w:bookmarkEnd w:id="81"/>
      <w:bookmarkEnd w:id="82"/>
      <w:bookmarkEnd w:id="83"/>
      <w:bookmarkEnd w:id="84"/>
    </w:p>
    <w:p>
      <w:pPr>
        <w:spacing w:line="560" w:lineRule="exact"/>
        <w:rPr>
          <w:rFonts w:ascii="宋体" w:hAnsi="宋体"/>
          <w:sz w:val="24"/>
          <w:szCs w:val="24"/>
        </w:rPr>
      </w:pPr>
      <w:r>
        <w:rPr>
          <w:rFonts w:hint="eastAsia" w:ascii="宋体" w:hAnsi="宋体" w:cs="宋体"/>
          <w:sz w:val="24"/>
          <w:szCs w:val="24"/>
        </w:rPr>
        <w:t>项目名称：</w:t>
      </w:r>
      <w:r>
        <w:rPr>
          <w:rFonts w:ascii="宋体" w:hAnsi="宋体" w:cs="宋体"/>
          <w:sz w:val="24"/>
          <w:szCs w:val="24"/>
        </w:rPr>
        <w:t xml:space="preserve">                                      </w:t>
      </w:r>
      <w:r>
        <w:rPr>
          <w:rFonts w:hint="eastAsia" w:ascii="宋体" w:hAnsi="宋体" w:cs="宋体"/>
          <w:sz w:val="24"/>
          <w:szCs w:val="24"/>
        </w:rPr>
        <w:t>项目编号：</w:t>
      </w:r>
    </w:p>
    <w:tbl>
      <w:tblPr>
        <w:tblStyle w:val="53"/>
        <w:tblW w:w="9517" w:type="dxa"/>
        <w:jc w:val="center"/>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PrEx>
        <w:trPr>
          <w:jc w:val="center"/>
        </w:trPr>
        <w:tc>
          <w:tcPr>
            <w:tcW w:w="9517" w:type="dxa"/>
            <w:gridSpan w:val="6"/>
            <w:tcBorders>
              <w:top w:val="thinThickSmallGap" w:color="auto" w:sz="12" w:space="0"/>
            </w:tcBorders>
            <w:vAlign w:val="center"/>
          </w:tcPr>
          <w:p>
            <w:pPr>
              <w:snapToGrid w:val="0"/>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b/>
                <w:sz w:val="24"/>
                <w:szCs w:val="24"/>
              </w:rPr>
              <w:t>磋商响应方</w:t>
            </w:r>
            <w:r>
              <w:rPr>
                <w:rFonts w:hint="eastAsia" w:asciiTheme="minorEastAsia" w:hAnsiTheme="minorEastAsia" w:eastAsiaTheme="minorEastAsia"/>
                <w:sz w:val="24"/>
                <w:szCs w:val="24"/>
              </w:rPr>
              <w:t>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2" w:type="dxa"/>
            <w:vAlign w:val="center"/>
          </w:tcPr>
          <w:p>
            <w:pPr>
              <w:snapToGrid w:val="0"/>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企业名称</w:t>
            </w:r>
          </w:p>
        </w:tc>
        <w:tc>
          <w:tcPr>
            <w:tcW w:w="7775" w:type="dxa"/>
            <w:gridSpan w:val="5"/>
            <w:vAlign w:val="center"/>
          </w:tcPr>
          <w:p>
            <w:pPr>
              <w:snapToGrid w:val="0"/>
              <w:spacing w:line="460" w:lineRule="exact"/>
              <w:rPr>
                <w:rFonts w:asciiTheme="minorEastAsia" w:hAnsiTheme="minorEastAsia" w:eastAsiaTheme="minorEastAsia"/>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2" w:type="dxa"/>
            <w:vAlign w:val="center"/>
          </w:tcPr>
          <w:p>
            <w:pPr>
              <w:snapToGrid w:val="0"/>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联合体投标</w:t>
            </w:r>
          </w:p>
        </w:tc>
        <w:tc>
          <w:tcPr>
            <w:tcW w:w="2358" w:type="dxa"/>
            <w:vAlign w:val="center"/>
          </w:tcPr>
          <w:p>
            <w:pPr>
              <w:snapToGrid w:val="0"/>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是□</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否□</w:t>
            </w:r>
          </w:p>
        </w:tc>
        <w:tc>
          <w:tcPr>
            <w:tcW w:w="1957" w:type="dxa"/>
            <w:gridSpan w:val="2"/>
            <w:vAlign w:val="center"/>
          </w:tcPr>
          <w:p>
            <w:pPr>
              <w:snapToGrid w:val="0"/>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联合体成员单位</w:t>
            </w:r>
          </w:p>
        </w:tc>
        <w:tc>
          <w:tcPr>
            <w:tcW w:w="3460" w:type="dxa"/>
            <w:gridSpan w:val="2"/>
            <w:vAlign w:val="center"/>
          </w:tcPr>
          <w:p>
            <w:pPr>
              <w:snapToGrid w:val="0"/>
              <w:spacing w:line="460" w:lineRule="exact"/>
              <w:rPr>
                <w:rFonts w:asciiTheme="minorEastAsia" w:hAnsiTheme="minorEastAsia" w:eastAsiaTheme="minorEastAsia"/>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2" w:type="dxa"/>
            <w:vAlign w:val="center"/>
          </w:tcPr>
          <w:p>
            <w:pPr>
              <w:snapToGrid w:val="0"/>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性质</w:t>
            </w:r>
          </w:p>
        </w:tc>
        <w:tc>
          <w:tcPr>
            <w:tcW w:w="7775" w:type="dxa"/>
            <w:gridSpan w:val="5"/>
            <w:vAlign w:val="center"/>
          </w:tcPr>
          <w:p>
            <w:pPr>
              <w:snapToGrid w:val="0"/>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国有□</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国有控股□</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私营□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事业单位□</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2" w:type="dxa"/>
            <w:vAlign w:val="center"/>
          </w:tcPr>
          <w:p>
            <w:pPr>
              <w:snapToGrid w:val="0"/>
              <w:spacing w:line="4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统一社会信用代码</w:t>
            </w:r>
          </w:p>
        </w:tc>
        <w:tc>
          <w:tcPr>
            <w:tcW w:w="3123" w:type="dxa"/>
            <w:gridSpan w:val="2"/>
            <w:vAlign w:val="center"/>
          </w:tcPr>
          <w:p>
            <w:pPr>
              <w:snapToGrid w:val="0"/>
              <w:spacing w:line="460" w:lineRule="exact"/>
              <w:rPr>
                <w:rFonts w:asciiTheme="minorEastAsia" w:hAnsiTheme="minorEastAsia" w:eastAsiaTheme="minorEastAsia"/>
                <w:sz w:val="24"/>
                <w:szCs w:val="24"/>
              </w:rPr>
            </w:pPr>
          </w:p>
        </w:tc>
        <w:tc>
          <w:tcPr>
            <w:tcW w:w="1735" w:type="dxa"/>
            <w:gridSpan w:val="2"/>
            <w:vAlign w:val="center"/>
          </w:tcPr>
          <w:p>
            <w:pPr>
              <w:snapToGrid w:val="0"/>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注册资本</w:t>
            </w:r>
          </w:p>
        </w:tc>
        <w:tc>
          <w:tcPr>
            <w:tcW w:w="2917" w:type="dxa"/>
            <w:vAlign w:val="center"/>
          </w:tcPr>
          <w:p>
            <w:pPr>
              <w:snapToGrid w:val="0"/>
              <w:spacing w:line="460" w:lineRule="exact"/>
              <w:rPr>
                <w:rFonts w:asciiTheme="minorEastAsia" w:hAnsiTheme="minorEastAsia" w:eastAsiaTheme="minorEastAsia"/>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2" w:type="dxa"/>
            <w:vAlign w:val="center"/>
          </w:tcPr>
          <w:p>
            <w:pPr>
              <w:snapToGrid w:val="0"/>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3123" w:type="dxa"/>
            <w:gridSpan w:val="2"/>
            <w:vAlign w:val="center"/>
          </w:tcPr>
          <w:p>
            <w:pPr>
              <w:snapToGrid w:val="0"/>
              <w:spacing w:line="460" w:lineRule="exact"/>
              <w:rPr>
                <w:rFonts w:asciiTheme="minorEastAsia" w:hAnsiTheme="minorEastAsia" w:eastAsiaTheme="minorEastAsia"/>
                <w:sz w:val="24"/>
                <w:szCs w:val="24"/>
              </w:rPr>
            </w:pPr>
          </w:p>
        </w:tc>
        <w:tc>
          <w:tcPr>
            <w:tcW w:w="1735" w:type="dxa"/>
            <w:gridSpan w:val="2"/>
            <w:vAlign w:val="center"/>
          </w:tcPr>
          <w:p>
            <w:pPr>
              <w:snapToGrid w:val="0"/>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2917" w:type="dxa"/>
            <w:vAlign w:val="center"/>
          </w:tcPr>
          <w:p>
            <w:pPr>
              <w:snapToGrid w:val="0"/>
              <w:spacing w:line="460" w:lineRule="exact"/>
              <w:rPr>
                <w:rFonts w:asciiTheme="minorEastAsia" w:hAnsiTheme="minorEastAsia" w:eastAsiaTheme="minorEastAsia"/>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2" w:type="dxa"/>
            <w:vAlign w:val="center"/>
          </w:tcPr>
          <w:p>
            <w:pPr>
              <w:snapToGrid w:val="0"/>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通信地址</w:t>
            </w:r>
          </w:p>
        </w:tc>
        <w:tc>
          <w:tcPr>
            <w:tcW w:w="3123" w:type="dxa"/>
            <w:gridSpan w:val="2"/>
            <w:vAlign w:val="center"/>
          </w:tcPr>
          <w:p>
            <w:pPr>
              <w:snapToGrid w:val="0"/>
              <w:spacing w:line="460" w:lineRule="exact"/>
              <w:rPr>
                <w:rFonts w:asciiTheme="minorEastAsia" w:hAnsiTheme="minorEastAsia" w:eastAsiaTheme="minorEastAsia"/>
                <w:sz w:val="24"/>
                <w:szCs w:val="24"/>
              </w:rPr>
            </w:pPr>
          </w:p>
        </w:tc>
        <w:tc>
          <w:tcPr>
            <w:tcW w:w="1735" w:type="dxa"/>
            <w:gridSpan w:val="2"/>
            <w:vAlign w:val="center"/>
          </w:tcPr>
          <w:p>
            <w:pPr>
              <w:snapToGrid w:val="0"/>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917" w:type="dxa"/>
            <w:vAlign w:val="center"/>
          </w:tcPr>
          <w:p>
            <w:pPr>
              <w:snapToGrid w:val="0"/>
              <w:spacing w:line="460" w:lineRule="exact"/>
              <w:rPr>
                <w:rFonts w:asciiTheme="minorEastAsia" w:hAnsiTheme="minorEastAsia" w:eastAsiaTheme="minorEastAsia"/>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2" w:type="dxa"/>
            <w:vAlign w:val="center"/>
          </w:tcPr>
          <w:p>
            <w:pPr>
              <w:snapToGrid w:val="0"/>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公司电话</w:t>
            </w:r>
          </w:p>
        </w:tc>
        <w:tc>
          <w:tcPr>
            <w:tcW w:w="3123" w:type="dxa"/>
            <w:gridSpan w:val="2"/>
            <w:vAlign w:val="center"/>
          </w:tcPr>
          <w:p>
            <w:pPr>
              <w:snapToGrid w:val="0"/>
              <w:spacing w:line="460" w:lineRule="exact"/>
              <w:rPr>
                <w:rFonts w:asciiTheme="minorEastAsia" w:hAnsiTheme="minorEastAsia" w:eastAsiaTheme="minorEastAsia"/>
                <w:sz w:val="24"/>
                <w:szCs w:val="24"/>
              </w:rPr>
            </w:pPr>
          </w:p>
        </w:tc>
        <w:tc>
          <w:tcPr>
            <w:tcW w:w="1735" w:type="dxa"/>
            <w:gridSpan w:val="2"/>
            <w:vAlign w:val="center"/>
          </w:tcPr>
          <w:p>
            <w:pPr>
              <w:snapToGrid w:val="0"/>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传真</w:t>
            </w:r>
          </w:p>
        </w:tc>
        <w:tc>
          <w:tcPr>
            <w:tcW w:w="2917" w:type="dxa"/>
            <w:vAlign w:val="center"/>
          </w:tcPr>
          <w:p>
            <w:pPr>
              <w:snapToGrid w:val="0"/>
              <w:spacing w:line="460" w:lineRule="exact"/>
              <w:rPr>
                <w:rFonts w:asciiTheme="minorEastAsia" w:hAnsiTheme="minorEastAsia" w:eastAsiaTheme="minorEastAsia"/>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2" w:type="dxa"/>
            <w:vAlign w:val="center"/>
          </w:tcPr>
          <w:p>
            <w:pPr>
              <w:snapToGrid w:val="0"/>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公司网址</w:t>
            </w:r>
          </w:p>
        </w:tc>
        <w:tc>
          <w:tcPr>
            <w:tcW w:w="3123" w:type="dxa"/>
            <w:gridSpan w:val="2"/>
            <w:vAlign w:val="center"/>
          </w:tcPr>
          <w:p>
            <w:pPr>
              <w:snapToGrid w:val="0"/>
              <w:spacing w:line="460" w:lineRule="exact"/>
              <w:rPr>
                <w:rFonts w:asciiTheme="minorEastAsia" w:hAnsiTheme="minorEastAsia" w:eastAsiaTheme="minorEastAsia"/>
                <w:sz w:val="24"/>
                <w:szCs w:val="24"/>
              </w:rPr>
            </w:pPr>
          </w:p>
        </w:tc>
        <w:tc>
          <w:tcPr>
            <w:tcW w:w="1735" w:type="dxa"/>
            <w:gridSpan w:val="2"/>
            <w:vAlign w:val="center"/>
          </w:tcPr>
          <w:p>
            <w:pPr>
              <w:snapToGrid w:val="0"/>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2917" w:type="dxa"/>
            <w:vAlign w:val="center"/>
          </w:tcPr>
          <w:p>
            <w:pPr>
              <w:snapToGrid w:val="0"/>
              <w:spacing w:line="460" w:lineRule="exact"/>
              <w:rPr>
                <w:rFonts w:asciiTheme="minorEastAsia" w:hAnsiTheme="minorEastAsia" w:eastAsiaTheme="minorEastAsia"/>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2" w:type="dxa"/>
            <w:vAlign w:val="center"/>
          </w:tcPr>
          <w:p>
            <w:pPr>
              <w:snapToGrid w:val="0"/>
              <w:spacing w:line="4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开户银行及账号</w:t>
            </w:r>
          </w:p>
        </w:tc>
        <w:tc>
          <w:tcPr>
            <w:tcW w:w="7775" w:type="dxa"/>
            <w:gridSpan w:val="5"/>
            <w:vAlign w:val="center"/>
          </w:tcPr>
          <w:p>
            <w:pPr>
              <w:snapToGrid w:val="0"/>
              <w:spacing w:line="460" w:lineRule="exact"/>
              <w:rPr>
                <w:rFonts w:asciiTheme="minorEastAsia" w:hAnsiTheme="minorEastAsia" w:eastAsiaTheme="minorEastAsia"/>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2" w:type="dxa"/>
            <w:vAlign w:val="center"/>
          </w:tcPr>
          <w:p>
            <w:pPr>
              <w:snapToGrid w:val="0"/>
              <w:spacing w:line="4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人员情况</w:t>
            </w:r>
          </w:p>
        </w:tc>
        <w:tc>
          <w:tcPr>
            <w:tcW w:w="7775" w:type="dxa"/>
            <w:gridSpan w:val="5"/>
            <w:vAlign w:val="center"/>
          </w:tcPr>
          <w:p>
            <w:pPr>
              <w:snapToGrid w:val="0"/>
              <w:spacing w:line="460" w:lineRule="exact"/>
              <w:rPr>
                <w:rFonts w:asciiTheme="minorEastAsia" w:hAnsiTheme="minorEastAsia" w:eastAsiaTheme="minorEastAsia"/>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2" w:type="dxa"/>
            <w:vAlign w:val="center"/>
          </w:tcPr>
          <w:p>
            <w:pPr>
              <w:snapToGrid w:val="0"/>
              <w:spacing w:line="4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企业资质</w:t>
            </w:r>
          </w:p>
        </w:tc>
        <w:tc>
          <w:tcPr>
            <w:tcW w:w="7775" w:type="dxa"/>
            <w:gridSpan w:val="5"/>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460" w:lineRule="exact"/>
              <w:jc w:val="left"/>
              <w:rPr>
                <w:rFonts w:cs="楷体" w:asciiTheme="minorEastAsia" w:hAnsiTheme="minorEastAsia" w:eastAsiaTheme="minorEastAsia"/>
                <w:b/>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2" w:type="dxa"/>
            <w:vAlign w:val="center"/>
          </w:tcPr>
          <w:p>
            <w:pPr>
              <w:snapToGrid w:val="0"/>
              <w:spacing w:line="4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企业认证</w:t>
            </w:r>
          </w:p>
        </w:tc>
        <w:tc>
          <w:tcPr>
            <w:tcW w:w="7775" w:type="dxa"/>
            <w:gridSpan w:val="5"/>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napToGrid w:val="0"/>
              <w:spacing w:line="460" w:lineRule="exact"/>
              <w:jc w:val="left"/>
              <w:rPr>
                <w:rFonts w:cs="楷体" w:asciiTheme="minorEastAsia" w:hAnsiTheme="minorEastAsia" w:eastAsiaTheme="minorEastAsia"/>
                <w:b/>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2" w:type="dxa"/>
            <w:vAlign w:val="center"/>
          </w:tcPr>
          <w:p>
            <w:pPr>
              <w:snapToGrid w:val="0"/>
              <w:spacing w:line="4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企业获奖（如有）</w:t>
            </w:r>
          </w:p>
        </w:tc>
        <w:tc>
          <w:tcPr>
            <w:tcW w:w="7775" w:type="dxa"/>
            <w:gridSpan w:val="5"/>
            <w:vAlign w:val="center"/>
          </w:tcPr>
          <w:p>
            <w:pPr>
              <w:snapToGrid w:val="0"/>
              <w:spacing w:line="460" w:lineRule="exact"/>
              <w:rPr>
                <w:rFonts w:asciiTheme="minorEastAsia" w:hAnsiTheme="minorEastAsia" w:eastAsiaTheme="minorEastAsia"/>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2" w:type="dxa"/>
            <w:vAlign w:val="center"/>
          </w:tcPr>
          <w:p>
            <w:pPr>
              <w:snapToGrid w:val="0"/>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775" w:type="dxa"/>
            <w:gridSpan w:val="5"/>
            <w:vAlign w:val="center"/>
          </w:tcPr>
          <w:p>
            <w:pPr>
              <w:snapToGrid w:val="0"/>
              <w:spacing w:line="460" w:lineRule="exact"/>
              <w:rPr>
                <w:rFonts w:asciiTheme="minorEastAsia" w:hAnsiTheme="minorEastAsia" w:eastAsiaTheme="minorEastAsia"/>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7" w:type="dxa"/>
            <w:gridSpan w:val="6"/>
            <w:vAlign w:val="center"/>
          </w:tcPr>
          <w:p>
            <w:pPr>
              <w:snapToGrid w:val="0"/>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b/>
                <w:sz w:val="24"/>
                <w:szCs w:val="24"/>
              </w:rPr>
              <w:t>磋商响应方</w:t>
            </w:r>
            <w:r>
              <w:rPr>
                <w:rFonts w:hint="eastAsia" w:asciiTheme="minorEastAsia" w:hAnsiTheme="minorEastAsia" w:eastAsiaTheme="minorEastAsia"/>
                <w:sz w:val="24"/>
                <w:szCs w:val="24"/>
              </w:rPr>
              <w:t>联系人信息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2" w:type="dxa"/>
            <w:vAlign w:val="center"/>
          </w:tcPr>
          <w:p>
            <w:pPr>
              <w:snapToGrid w:val="0"/>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3123" w:type="dxa"/>
            <w:gridSpan w:val="2"/>
            <w:vAlign w:val="center"/>
          </w:tcPr>
          <w:p>
            <w:pPr>
              <w:snapToGrid w:val="0"/>
              <w:spacing w:line="460" w:lineRule="exact"/>
              <w:rPr>
                <w:rFonts w:asciiTheme="minorEastAsia" w:hAnsiTheme="minorEastAsia" w:eastAsiaTheme="minorEastAsia"/>
                <w:sz w:val="24"/>
                <w:szCs w:val="24"/>
              </w:rPr>
            </w:pPr>
          </w:p>
        </w:tc>
        <w:tc>
          <w:tcPr>
            <w:tcW w:w="1735" w:type="dxa"/>
            <w:gridSpan w:val="2"/>
            <w:vAlign w:val="center"/>
          </w:tcPr>
          <w:p>
            <w:pPr>
              <w:snapToGrid w:val="0"/>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移动电话</w:t>
            </w:r>
          </w:p>
        </w:tc>
        <w:tc>
          <w:tcPr>
            <w:tcW w:w="2917" w:type="dxa"/>
            <w:vAlign w:val="center"/>
          </w:tcPr>
          <w:p>
            <w:pPr>
              <w:snapToGrid w:val="0"/>
              <w:spacing w:line="460" w:lineRule="exact"/>
              <w:rPr>
                <w:rFonts w:asciiTheme="minorEastAsia" w:hAnsiTheme="minorEastAsia" w:eastAsiaTheme="minorEastAsia"/>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2" w:type="dxa"/>
            <w:vAlign w:val="center"/>
          </w:tcPr>
          <w:p>
            <w:pPr>
              <w:snapToGrid w:val="0"/>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固定电话</w:t>
            </w:r>
          </w:p>
        </w:tc>
        <w:tc>
          <w:tcPr>
            <w:tcW w:w="3123" w:type="dxa"/>
            <w:gridSpan w:val="2"/>
            <w:vAlign w:val="center"/>
          </w:tcPr>
          <w:p>
            <w:pPr>
              <w:snapToGrid w:val="0"/>
              <w:spacing w:line="460" w:lineRule="exact"/>
              <w:rPr>
                <w:rFonts w:asciiTheme="minorEastAsia" w:hAnsiTheme="minorEastAsia" w:eastAsiaTheme="minorEastAsia"/>
                <w:sz w:val="24"/>
                <w:szCs w:val="24"/>
              </w:rPr>
            </w:pPr>
          </w:p>
        </w:tc>
        <w:tc>
          <w:tcPr>
            <w:tcW w:w="1735" w:type="dxa"/>
            <w:gridSpan w:val="2"/>
            <w:vAlign w:val="center"/>
          </w:tcPr>
          <w:p>
            <w:pPr>
              <w:snapToGrid w:val="0"/>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2917" w:type="dxa"/>
            <w:vAlign w:val="center"/>
          </w:tcPr>
          <w:p>
            <w:pPr>
              <w:snapToGrid w:val="0"/>
              <w:spacing w:line="460" w:lineRule="exact"/>
              <w:rPr>
                <w:rFonts w:asciiTheme="minorEastAsia" w:hAnsiTheme="minorEastAsia" w:eastAsiaTheme="minorEastAsia"/>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7" w:type="dxa"/>
            <w:gridSpan w:val="6"/>
            <w:tcBorders>
              <w:bottom w:val="thinThickSmallGap" w:color="auto" w:sz="12" w:space="0"/>
            </w:tcBorders>
            <w:vAlign w:val="center"/>
          </w:tcPr>
          <w:p>
            <w:pPr>
              <w:snapToGrid w:val="0"/>
              <w:spacing w:line="46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企业简介：（可另附页或企业对外宣传手册，如有附后）</w:t>
            </w:r>
          </w:p>
        </w:tc>
      </w:tr>
    </w:tbl>
    <w:p>
      <w:pPr>
        <w:adjustRightInd w:val="0"/>
        <w:snapToGrid w:val="0"/>
        <w:spacing w:line="360" w:lineRule="auto"/>
        <w:textAlignment w:val="baseline"/>
        <w:rPr>
          <w:rFonts w:asciiTheme="minorEastAsia" w:hAnsiTheme="minorEastAsia" w:eastAsiaTheme="minorEastAsia"/>
          <w:sz w:val="24"/>
          <w:szCs w:val="24"/>
        </w:rPr>
      </w:pPr>
      <w:r>
        <w:rPr>
          <w:rFonts w:hint="eastAsia" w:asciiTheme="minorEastAsia" w:hAnsiTheme="minorEastAsia" w:eastAsiaTheme="minorEastAsia"/>
          <w:b/>
          <w:bCs/>
          <w:sz w:val="24"/>
          <w:szCs w:val="24"/>
        </w:rPr>
        <w:t>（后附上与评标相关的磋商响应方证书荣誉等相关证书扫描件加盖CA签章）</w:t>
      </w:r>
    </w:p>
    <w:p>
      <w:pPr>
        <w:spacing w:line="360" w:lineRule="auto"/>
        <w:rPr>
          <w:rFonts w:ascii="宋体" w:hAnsi="宋体"/>
          <w:sz w:val="24"/>
          <w:szCs w:val="24"/>
        </w:rPr>
      </w:pPr>
      <w:r>
        <w:rPr>
          <w:rFonts w:hint="eastAsia" w:ascii="宋体" w:hAnsi="宋体"/>
          <w:sz w:val="24"/>
          <w:szCs w:val="24"/>
        </w:rPr>
        <w:t>磋商响应方全称（公章）：</w:t>
      </w:r>
    </w:p>
    <w:p>
      <w:pPr>
        <w:spacing w:line="360" w:lineRule="auto"/>
        <w:rPr>
          <w:rFonts w:ascii="宋体" w:hAnsi="宋体"/>
          <w:sz w:val="24"/>
          <w:szCs w:val="24"/>
        </w:rPr>
      </w:pPr>
      <w:r>
        <w:rPr>
          <w:rFonts w:hint="eastAsia" w:ascii="宋体" w:hAnsi="宋体"/>
          <w:sz w:val="24"/>
          <w:szCs w:val="24"/>
        </w:rPr>
        <w:t>法定代表或委托代理人（签字或盖章）：</w:t>
      </w:r>
    </w:p>
    <w:p>
      <w:pPr>
        <w:spacing w:line="360" w:lineRule="auto"/>
        <w:rPr>
          <w:rFonts w:ascii="宋体" w:hAnsi="宋体"/>
          <w:sz w:val="24"/>
          <w:szCs w:val="24"/>
        </w:rPr>
      </w:pPr>
      <w:r>
        <w:rPr>
          <w:rFonts w:hint="eastAsia" w:ascii="宋体" w:hAnsi="宋体"/>
          <w:sz w:val="24"/>
          <w:szCs w:val="24"/>
        </w:rPr>
        <w:t>日期：</w:t>
      </w:r>
    </w:p>
    <w:p>
      <w:pPr>
        <w:snapToGrid w:val="0"/>
        <w:spacing w:before="5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附件</w:t>
      </w:r>
      <w:r>
        <w:rPr>
          <w:rFonts w:hint="eastAsia" w:asciiTheme="minorEastAsia" w:hAnsiTheme="minorEastAsia" w:eastAsiaTheme="minorEastAsia"/>
          <w:b/>
          <w:sz w:val="28"/>
          <w:szCs w:val="28"/>
          <w:lang w:val="en-US" w:eastAsia="zh-CN"/>
        </w:rPr>
        <w:t>6</w:t>
      </w:r>
      <w:r>
        <w:rPr>
          <w:rFonts w:hint="eastAsia" w:asciiTheme="minorEastAsia" w:hAnsiTheme="minorEastAsia" w:eastAsiaTheme="minorEastAsia"/>
          <w:b/>
          <w:sz w:val="28"/>
          <w:szCs w:val="28"/>
        </w:rPr>
        <w:t>：</w:t>
      </w:r>
    </w:p>
    <w:p>
      <w:pPr>
        <w:spacing w:line="560" w:lineRule="exact"/>
        <w:jc w:val="center"/>
        <w:rPr>
          <w:rFonts w:ascii="宋体"/>
          <w:b/>
          <w:bCs/>
          <w:sz w:val="28"/>
          <w:szCs w:val="28"/>
        </w:rPr>
      </w:pPr>
      <w:r>
        <w:rPr>
          <w:rFonts w:hint="eastAsia" w:ascii="宋体" w:hAnsi="宋体" w:cs="宋体"/>
          <w:b/>
          <w:bCs/>
          <w:sz w:val="28"/>
          <w:szCs w:val="28"/>
        </w:rPr>
        <w:t>技术、商务偏离表</w:t>
      </w:r>
    </w:p>
    <w:p>
      <w:pPr>
        <w:spacing w:line="560" w:lineRule="exact"/>
        <w:rPr>
          <w:rFonts w:ascii="宋体" w:hAnsi="宋体"/>
          <w:sz w:val="24"/>
          <w:szCs w:val="24"/>
        </w:rPr>
      </w:pPr>
      <w:r>
        <w:rPr>
          <w:rFonts w:hint="eastAsia" w:ascii="宋体" w:hAnsi="宋体" w:cs="宋体"/>
          <w:sz w:val="24"/>
          <w:szCs w:val="24"/>
        </w:rPr>
        <w:t>项目名称：</w:t>
      </w:r>
      <w:r>
        <w:rPr>
          <w:rFonts w:ascii="宋体" w:hAnsi="宋体" w:cs="宋体"/>
          <w:sz w:val="24"/>
          <w:szCs w:val="24"/>
        </w:rPr>
        <w:t xml:space="preserve">                                      </w:t>
      </w:r>
      <w:r>
        <w:rPr>
          <w:rFonts w:hint="eastAsia" w:ascii="宋体" w:hAnsi="宋体" w:cs="宋体"/>
          <w:sz w:val="24"/>
          <w:szCs w:val="24"/>
        </w:rPr>
        <w:t>项目编号：</w:t>
      </w:r>
    </w:p>
    <w:tbl>
      <w:tblPr>
        <w:tblStyle w:val="53"/>
        <w:tblW w:w="984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362"/>
        <w:gridCol w:w="2096"/>
        <w:gridCol w:w="1991"/>
        <w:gridCol w:w="1865"/>
        <w:gridCol w:w="15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942" w:type="dxa"/>
            <w:tcBorders>
              <w:top w:val="single" w:color="auto" w:sz="12" w:space="0"/>
              <w:bottom w:val="single" w:color="auto" w:sz="12" w:space="0"/>
              <w:right w:val="single" w:color="auto" w:sz="12" w:space="0"/>
            </w:tcBorders>
          </w:tcPr>
          <w:p>
            <w:pPr>
              <w:spacing w:line="380" w:lineRule="exact"/>
              <w:jc w:val="center"/>
              <w:rPr>
                <w:rFonts w:ascii="宋体" w:hAnsi="宋体" w:cs="宋体"/>
                <w:sz w:val="24"/>
                <w:szCs w:val="24"/>
              </w:rPr>
            </w:pPr>
          </w:p>
        </w:tc>
        <w:tc>
          <w:tcPr>
            <w:tcW w:w="1362" w:type="dxa"/>
            <w:tcBorders>
              <w:top w:val="single" w:color="auto" w:sz="12" w:space="0"/>
              <w:left w:val="single" w:color="auto" w:sz="12" w:space="0"/>
              <w:bottom w:val="single" w:color="auto" w:sz="12" w:space="0"/>
            </w:tcBorders>
            <w:vAlign w:val="center"/>
          </w:tcPr>
          <w:p>
            <w:pPr>
              <w:spacing w:line="380" w:lineRule="exact"/>
              <w:jc w:val="center"/>
              <w:rPr>
                <w:rFonts w:ascii="宋体" w:hAnsi="宋体" w:cs="宋体"/>
                <w:sz w:val="24"/>
                <w:szCs w:val="24"/>
              </w:rPr>
            </w:pPr>
            <w:r>
              <w:rPr>
                <w:rFonts w:hint="eastAsia" w:ascii="宋体" w:hAnsi="宋体" w:cs="宋体"/>
                <w:sz w:val="24"/>
                <w:szCs w:val="24"/>
              </w:rPr>
              <w:t>序号</w:t>
            </w:r>
          </w:p>
        </w:tc>
        <w:tc>
          <w:tcPr>
            <w:tcW w:w="2096" w:type="dxa"/>
            <w:tcBorders>
              <w:top w:val="single" w:color="auto" w:sz="12" w:space="0"/>
              <w:bottom w:val="single" w:color="auto" w:sz="12" w:space="0"/>
            </w:tcBorders>
            <w:vAlign w:val="center"/>
          </w:tcPr>
          <w:p>
            <w:pPr>
              <w:spacing w:line="380" w:lineRule="exact"/>
              <w:jc w:val="center"/>
              <w:rPr>
                <w:rFonts w:ascii="宋体" w:hAnsi="宋体" w:cs="宋体"/>
                <w:sz w:val="24"/>
                <w:szCs w:val="24"/>
              </w:rPr>
            </w:pPr>
            <w:r>
              <w:rPr>
                <w:rFonts w:hint="eastAsia" w:ascii="宋体" w:hAnsi="宋体" w:cs="宋体"/>
                <w:sz w:val="24"/>
                <w:szCs w:val="24"/>
              </w:rPr>
              <w:t>磋商文件</w:t>
            </w:r>
          </w:p>
          <w:p>
            <w:pPr>
              <w:spacing w:line="380" w:lineRule="exact"/>
              <w:jc w:val="center"/>
              <w:rPr>
                <w:rFonts w:ascii="宋体" w:hAnsi="宋体" w:cs="宋体"/>
                <w:sz w:val="24"/>
                <w:szCs w:val="24"/>
              </w:rPr>
            </w:pPr>
            <w:r>
              <w:rPr>
                <w:rFonts w:hint="eastAsia" w:ascii="宋体" w:hAnsi="宋体" w:cs="宋体"/>
                <w:sz w:val="24"/>
                <w:szCs w:val="24"/>
              </w:rPr>
              <w:t>条目号</w:t>
            </w:r>
          </w:p>
        </w:tc>
        <w:tc>
          <w:tcPr>
            <w:tcW w:w="1991" w:type="dxa"/>
            <w:tcBorders>
              <w:top w:val="single" w:color="auto" w:sz="12" w:space="0"/>
              <w:bottom w:val="single" w:color="auto" w:sz="12" w:space="0"/>
            </w:tcBorders>
            <w:vAlign w:val="center"/>
          </w:tcPr>
          <w:p>
            <w:pPr>
              <w:spacing w:line="380" w:lineRule="exact"/>
              <w:jc w:val="center"/>
              <w:rPr>
                <w:rFonts w:ascii="宋体" w:hAnsi="宋体" w:cs="宋体"/>
                <w:sz w:val="24"/>
                <w:szCs w:val="24"/>
              </w:rPr>
            </w:pPr>
            <w:r>
              <w:rPr>
                <w:rFonts w:hint="eastAsia" w:ascii="宋体" w:hAnsi="宋体" w:cs="宋体"/>
                <w:sz w:val="24"/>
                <w:szCs w:val="24"/>
              </w:rPr>
              <w:t>磋商文件</w:t>
            </w:r>
          </w:p>
          <w:p>
            <w:pPr>
              <w:spacing w:line="380" w:lineRule="exact"/>
              <w:jc w:val="center"/>
              <w:rPr>
                <w:rFonts w:ascii="宋体" w:hAnsi="宋体" w:cs="宋体"/>
                <w:sz w:val="24"/>
                <w:szCs w:val="24"/>
              </w:rPr>
            </w:pPr>
            <w:r>
              <w:rPr>
                <w:rFonts w:hint="eastAsia" w:ascii="宋体" w:hAnsi="宋体" w:cs="宋体"/>
                <w:sz w:val="24"/>
                <w:szCs w:val="24"/>
              </w:rPr>
              <w:t>规范要求</w:t>
            </w:r>
          </w:p>
        </w:tc>
        <w:tc>
          <w:tcPr>
            <w:tcW w:w="1865" w:type="dxa"/>
            <w:tcBorders>
              <w:top w:val="single" w:color="auto" w:sz="12" w:space="0"/>
              <w:bottom w:val="single" w:color="auto" w:sz="12" w:space="0"/>
            </w:tcBorders>
            <w:vAlign w:val="center"/>
          </w:tcPr>
          <w:p>
            <w:pPr>
              <w:spacing w:line="380" w:lineRule="exact"/>
              <w:jc w:val="center"/>
              <w:rPr>
                <w:rFonts w:ascii="宋体" w:hAnsi="宋体" w:cs="宋体"/>
                <w:sz w:val="24"/>
                <w:szCs w:val="24"/>
              </w:rPr>
            </w:pPr>
            <w:r>
              <w:rPr>
                <w:rFonts w:hint="eastAsia" w:ascii="宋体" w:hAnsi="宋体" w:cs="宋体"/>
                <w:sz w:val="24"/>
                <w:szCs w:val="24"/>
              </w:rPr>
              <w:t>磋商响应文件</w:t>
            </w:r>
          </w:p>
          <w:p>
            <w:pPr>
              <w:spacing w:line="380" w:lineRule="exact"/>
              <w:jc w:val="center"/>
              <w:rPr>
                <w:rFonts w:ascii="宋体" w:hAnsi="宋体" w:cs="宋体"/>
                <w:sz w:val="24"/>
                <w:szCs w:val="24"/>
              </w:rPr>
            </w:pPr>
            <w:r>
              <w:rPr>
                <w:rFonts w:hint="eastAsia" w:ascii="宋体" w:hAnsi="宋体" w:cs="宋体"/>
                <w:sz w:val="24"/>
                <w:szCs w:val="24"/>
              </w:rPr>
              <w:t>对应规范</w:t>
            </w:r>
          </w:p>
        </w:tc>
        <w:tc>
          <w:tcPr>
            <w:tcW w:w="1593" w:type="dxa"/>
            <w:tcBorders>
              <w:top w:val="single" w:color="auto" w:sz="12" w:space="0"/>
              <w:bottom w:val="single" w:color="auto" w:sz="12" w:space="0"/>
            </w:tcBorders>
            <w:vAlign w:val="center"/>
          </w:tcPr>
          <w:p>
            <w:pPr>
              <w:spacing w:line="380" w:lineRule="exact"/>
              <w:jc w:val="center"/>
              <w:rPr>
                <w:rFonts w:ascii="宋体" w:hAnsi="宋体" w:cs="宋体"/>
                <w:sz w:val="24"/>
                <w:szCs w:val="24"/>
              </w:rPr>
            </w:pPr>
            <w:r>
              <w:rPr>
                <w:rFonts w:hint="eastAsia" w:ascii="宋体" w:hAnsi="宋体" w:cs="宋体"/>
                <w:sz w:val="24"/>
                <w:szCs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6" w:hRule="atLeast"/>
          <w:jc w:val="center"/>
        </w:trPr>
        <w:tc>
          <w:tcPr>
            <w:tcW w:w="942" w:type="dxa"/>
            <w:vMerge w:val="restart"/>
            <w:tcBorders>
              <w:top w:val="single" w:color="auto" w:sz="12" w:space="0"/>
              <w:bottom w:val="single" w:color="auto" w:sz="12" w:space="0"/>
              <w:right w:val="single" w:color="auto" w:sz="12" w:space="0"/>
            </w:tcBorders>
            <w:vAlign w:val="center"/>
          </w:tcPr>
          <w:p>
            <w:pPr>
              <w:spacing w:line="380" w:lineRule="exact"/>
              <w:jc w:val="center"/>
              <w:rPr>
                <w:rFonts w:ascii="宋体" w:hAnsi="宋体" w:cs="宋体"/>
                <w:sz w:val="24"/>
                <w:szCs w:val="24"/>
              </w:rPr>
            </w:pPr>
            <w:r>
              <w:rPr>
                <w:rFonts w:hint="eastAsia" w:ascii="宋体" w:hAnsi="宋体" w:cs="宋体"/>
                <w:sz w:val="24"/>
                <w:szCs w:val="24"/>
              </w:rPr>
              <w:t>技</w:t>
            </w:r>
          </w:p>
          <w:p>
            <w:pPr>
              <w:spacing w:line="380" w:lineRule="exact"/>
              <w:jc w:val="center"/>
              <w:rPr>
                <w:rFonts w:ascii="宋体" w:hAnsi="宋体" w:cs="宋体"/>
                <w:sz w:val="24"/>
                <w:szCs w:val="24"/>
              </w:rPr>
            </w:pPr>
            <w:r>
              <w:rPr>
                <w:rFonts w:hint="eastAsia" w:ascii="宋体" w:hAnsi="宋体" w:cs="宋体"/>
                <w:sz w:val="24"/>
                <w:szCs w:val="24"/>
              </w:rPr>
              <w:t>术</w:t>
            </w:r>
          </w:p>
          <w:p>
            <w:pPr>
              <w:spacing w:line="380" w:lineRule="exact"/>
              <w:jc w:val="center"/>
              <w:rPr>
                <w:rFonts w:ascii="宋体" w:hAnsi="宋体" w:cs="宋体"/>
                <w:sz w:val="24"/>
                <w:szCs w:val="24"/>
              </w:rPr>
            </w:pPr>
            <w:r>
              <w:rPr>
                <w:rFonts w:hint="eastAsia" w:ascii="宋体" w:hAnsi="宋体" w:cs="宋体"/>
                <w:sz w:val="24"/>
                <w:szCs w:val="24"/>
              </w:rPr>
              <w:t>规</w:t>
            </w:r>
          </w:p>
          <w:p>
            <w:pPr>
              <w:spacing w:line="380" w:lineRule="exact"/>
              <w:jc w:val="center"/>
              <w:rPr>
                <w:rFonts w:ascii="宋体" w:hAnsi="宋体" w:cs="宋体"/>
                <w:sz w:val="24"/>
                <w:szCs w:val="24"/>
              </w:rPr>
            </w:pPr>
            <w:r>
              <w:rPr>
                <w:rFonts w:hint="eastAsia" w:ascii="宋体" w:hAnsi="宋体" w:cs="宋体"/>
                <w:sz w:val="24"/>
                <w:szCs w:val="24"/>
              </w:rPr>
              <w:t>格</w:t>
            </w:r>
          </w:p>
        </w:tc>
        <w:tc>
          <w:tcPr>
            <w:tcW w:w="1362" w:type="dxa"/>
            <w:tcBorders>
              <w:top w:val="single" w:color="auto" w:sz="12" w:space="0"/>
              <w:left w:val="single" w:color="auto" w:sz="12" w:space="0"/>
            </w:tcBorders>
            <w:vAlign w:val="center"/>
          </w:tcPr>
          <w:p>
            <w:pPr>
              <w:spacing w:line="380" w:lineRule="exact"/>
              <w:ind w:firstLine="480" w:firstLineChars="200"/>
              <w:jc w:val="center"/>
              <w:rPr>
                <w:rFonts w:ascii="宋体" w:hAnsi="宋体" w:cs="宋体"/>
                <w:sz w:val="24"/>
                <w:szCs w:val="24"/>
              </w:rPr>
            </w:pPr>
          </w:p>
          <w:p>
            <w:pPr>
              <w:spacing w:line="380" w:lineRule="exact"/>
              <w:ind w:firstLine="240" w:firstLineChars="100"/>
              <w:rPr>
                <w:rFonts w:ascii="宋体" w:hAnsi="宋体" w:cs="宋体"/>
                <w:sz w:val="24"/>
                <w:szCs w:val="24"/>
              </w:rPr>
            </w:pPr>
          </w:p>
        </w:tc>
        <w:tc>
          <w:tcPr>
            <w:tcW w:w="2096" w:type="dxa"/>
            <w:tcBorders>
              <w:top w:val="single" w:color="auto" w:sz="12" w:space="0"/>
            </w:tcBorders>
            <w:vAlign w:val="center"/>
          </w:tcPr>
          <w:p>
            <w:pPr>
              <w:spacing w:line="380" w:lineRule="exact"/>
              <w:jc w:val="center"/>
              <w:rPr>
                <w:rFonts w:ascii="宋体" w:hAnsi="宋体" w:cs="宋体"/>
                <w:sz w:val="24"/>
                <w:szCs w:val="24"/>
              </w:rPr>
            </w:pPr>
          </w:p>
        </w:tc>
        <w:tc>
          <w:tcPr>
            <w:tcW w:w="1991" w:type="dxa"/>
            <w:tcBorders>
              <w:top w:val="single" w:color="auto" w:sz="12" w:space="0"/>
            </w:tcBorders>
            <w:vAlign w:val="center"/>
          </w:tcPr>
          <w:p>
            <w:pPr>
              <w:spacing w:line="380" w:lineRule="exact"/>
              <w:jc w:val="center"/>
              <w:rPr>
                <w:rFonts w:ascii="宋体" w:hAnsi="宋体" w:cs="宋体"/>
                <w:sz w:val="24"/>
                <w:szCs w:val="24"/>
              </w:rPr>
            </w:pPr>
          </w:p>
        </w:tc>
        <w:tc>
          <w:tcPr>
            <w:tcW w:w="1865" w:type="dxa"/>
            <w:tcBorders>
              <w:top w:val="single" w:color="auto" w:sz="12" w:space="0"/>
            </w:tcBorders>
            <w:vAlign w:val="center"/>
          </w:tcPr>
          <w:p>
            <w:pPr>
              <w:spacing w:line="380" w:lineRule="exact"/>
              <w:jc w:val="center"/>
              <w:rPr>
                <w:rFonts w:ascii="宋体" w:hAnsi="宋体" w:cs="宋体"/>
                <w:sz w:val="24"/>
                <w:szCs w:val="24"/>
              </w:rPr>
            </w:pPr>
          </w:p>
        </w:tc>
        <w:tc>
          <w:tcPr>
            <w:tcW w:w="1593" w:type="dxa"/>
            <w:tcBorders>
              <w:top w:val="single" w:color="auto" w:sz="12" w:space="0"/>
            </w:tcBorders>
            <w:vAlign w:val="center"/>
          </w:tcPr>
          <w:p>
            <w:pPr>
              <w:spacing w:line="380" w:lineRule="exact"/>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942" w:type="dxa"/>
            <w:vMerge w:val="continue"/>
            <w:tcBorders>
              <w:bottom w:val="single" w:color="auto" w:sz="12" w:space="0"/>
              <w:right w:val="single" w:color="auto" w:sz="12" w:space="0"/>
            </w:tcBorders>
          </w:tcPr>
          <w:p>
            <w:pPr>
              <w:spacing w:line="380" w:lineRule="exact"/>
              <w:ind w:firstLine="240" w:firstLineChars="100"/>
              <w:rPr>
                <w:rFonts w:ascii="宋体" w:hAnsi="宋体" w:cs="宋体"/>
                <w:sz w:val="24"/>
                <w:szCs w:val="24"/>
              </w:rPr>
            </w:pPr>
          </w:p>
        </w:tc>
        <w:tc>
          <w:tcPr>
            <w:tcW w:w="1362" w:type="dxa"/>
            <w:tcBorders>
              <w:left w:val="single" w:color="auto" w:sz="12" w:space="0"/>
            </w:tcBorders>
            <w:vAlign w:val="center"/>
          </w:tcPr>
          <w:p>
            <w:pPr>
              <w:spacing w:line="380" w:lineRule="exact"/>
              <w:ind w:firstLine="240" w:firstLineChars="100"/>
              <w:rPr>
                <w:rFonts w:ascii="宋体" w:hAnsi="宋体" w:cs="宋体"/>
                <w:sz w:val="24"/>
                <w:szCs w:val="24"/>
              </w:rPr>
            </w:pPr>
          </w:p>
        </w:tc>
        <w:tc>
          <w:tcPr>
            <w:tcW w:w="2096" w:type="dxa"/>
            <w:vAlign w:val="center"/>
          </w:tcPr>
          <w:p>
            <w:pPr>
              <w:spacing w:line="380" w:lineRule="exact"/>
              <w:jc w:val="center"/>
              <w:rPr>
                <w:rFonts w:ascii="宋体" w:hAnsi="宋体" w:cs="宋体"/>
                <w:sz w:val="24"/>
                <w:szCs w:val="24"/>
              </w:rPr>
            </w:pPr>
          </w:p>
        </w:tc>
        <w:tc>
          <w:tcPr>
            <w:tcW w:w="1991" w:type="dxa"/>
            <w:vAlign w:val="center"/>
          </w:tcPr>
          <w:p>
            <w:pPr>
              <w:spacing w:line="380" w:lineRule="exact"/>
              <w:jc w:val="center"/>
              <w:rPr>
                <w:rFonts w:ascii="宋体" w:hAnsi="宋体" w:cs="宋体"/>
                <w:sz w:val="24"/>
                <w:szCs w:val="24"/>
              </w:rPr>
            </w:pPr>
          </w:p>
        </w:tc>
        <w:tc>
          <w:tcPr>
            <w:tcW w:w="1865" w:type="dxa"/>
            <w:vAlign w:val="center"/>
          </w:tcPr>
          <w:p>
            <w:pPr>
              <w:spacing w:line="380" w:lineRule="exact"/>
              <w:jc w:val="center"/>
              <w:rPr>
                <w:rFonts w:ascii="宋体" w:hAnsi="宋体" w:cs="宋体"/>
                <w:sz w:val="24"/>
                <w:szCs w:val="24"/>
              </w:rPr>
            </w:pPr>
          </w:p>
        </w:tc>
        <w:tc>
          <w:tcPr>
            <w:tcW w:w="1593" w:type="dxa"/>
            <w:vAlign w:val="center"/>
          </w:tcPr>
          <w:p>
            <w:pPr>
              <w:spacing w:line="380" w:lineRule="exact"/>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942" w:type="dxa"/>
            <w:vMerge w:val="continue"/>
            <w:tcBorders>
              <w:bottom w:val="single" w:color="auto" w:sz="12" w:space="0"/>
              <w:right w:val="single" w:color="auto" w:sz="12" w:space="0"/>
            </w:tcBorders>
          </w:tcPr>
          <w:p>
            <w:pPr>
              <w:spacing w:line="380" w:lineRule="exact"/>
              <w:jc w:val="center"/>
              <w:rPr>
                <w:rFonts w:ascii="宋体" w:hAnsi="宋体" w:cs="宋体"/>
                <w:sz w:val="24"/>
                <w:szCs w:val="24"/>
              </w:rPr>
            </w:pPr>
          </w:p>
        </w:tc>
        <w:tc>
          <w:tcPr>
            <w:tcW w:w="1362" w:type="dxa"/>
            <w:tcBorders>
              <w:left w:val="single" w:color="auto" w:sz="12" w:space="0"/>
            </w:tcBorders>
            <w:vAlign w:val="center"/>
          </w:tcPr>
          <w:p>
            <w:pPr>
              <w:spacing w:line="380" w:lineRule="exact"/>
              <w:jc w:val="center"/>
              <w:rPr>
                <w:rFonts w:ascii="宋体" w:hAnsi="宋体" w:cs="宋体"/>
                <w:sz w:val="24"/>
                <w:szCs w:val="24"/>
              </w:rPr>
            </w:pPr>
          </w:p>
        </w:tc>
        <w:tc>
          <w:tcPr>
            <w:tcW w:w="2096" w:type="dxa"/>
            <w:vAlign w:val="center"/>
          </w:tcPr>
          <w:p>
            <w:pPr>
              <w:spacing w:line="380" w:lineRule="exact"/>
              <w:jc w:val="center"/>
              <w:rPr>
                <w:rFonts w:ascii="宋体" w:hAnsi="宋体" w:cs="宋体"/>
                <w:sz w:val="24"/>
                <w:szCs w:val="24"/>
              </w:rPr>
            </w:pPr>
          </w:p>
        </w:tc>
        <w:tc>
          <w:tcPr>
            <w:tcW w:w="1991" w:type="dxa"/>
            <w:vAlign w:val="center"/>
          </w:tcPr>
          <w:p>
            <w:pPr>
              <w:spacing w:line="380" w:lineRule="exact"/>
              <w:jc w:val="center"/>
              <w:rPr>
                <w:rFonts w:ascii="宋体" w:hAnsi="宋体" w:cs="宋体"/>
                <w:sz w:val="24"/>
                <w:szCs w:val="24"/>
              </w:rPr>
            </w:pPr>
          </w:p>
        </w:tc>
        <w:tc>
          <w:tcPr>
            <w:tcW w:w="1865" w:type="dxa"/>
            <w:vAlign w:val="center"/>
          </w:tcPr>
          <w:p>
            <w:pPr>
              <w:spacing w:line="380" w:lineRule="exact"/>
              <w:jc w:val="center"/>
              <w:rPr>
                <w:rFonts w:ascii="宋体" w:hAnsi="宋体" w:cs="宋体"/>
                <w:sz w:val="24"/>
                <w:szCs w:val="24"/>
              </w:rPr>
            </w:pPr>
          </w:p>
        </w:tc>
        <w:tc>
          <w:tcPr>
            <w:tcW w:w="1593" w:type="dxa"/>
            <w:vAlign w:val="center"/>
          </w:tcPr>
          <w:p>
            <w:pPr>
              <w:spacing w:line="380" w:lineRule="exact"/>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942" w:type="dxa"/>
            <w:vMerge w:val="continue"/>
            <w:tcBorders>
              <w:bottom w:val="single" w:color="auto" w:sz="12" w:space="0"/>
              <w:right w:val="single" w:color="auto" w:sz="12" w:space="0"/>
            </w:tcBorders>
          </w:tcPr>
          <w:p>
            <w:pPr>
              <w:spacing w:line="380" w:lineRule="exact"/>
              <w:jc w:val="center"/>
              <w:rPr>
                <w:rFonts w:ascii="宋体" w:hAnsi="宋体" w:cs="宋体"/>
                <w:sz w:val="24"/>
                <w:szCs w:val="24"/>
              </w:rPr>
            </w:pPr>
          </w:p>
        </w:tc>
        <w:tc>
          <w:tcPr>
            <w:tcW w:w="1362" w:type="dxa"/>
            <w:tcBorders>
              <w:left w:val="single" w:color="auto" w:sz="12" w:space="0"/>
            </w:tcBorders>
            <w:vAlign w:val="center"/>
          </w:tcPr>
          <w:p>
            <w:pPr>
              <w:spacing w:line="380" w:lineRule="exact"/>
              <w:jc w:val="center"/>
              <w:rPr>
                <w:rFonts w:ascii="宋体" w:hAnsi="宋体" w:cs="宋体"/>
                <w:sz w:val="24"/>
                <w:szCs w:val="24"/>
              </w:rPr>
            </w:pPr>
          </w:p>
        </w:tc>
        <w:tc>
          <w:tcPr>
            <w:tcW w:w="2096" w:type="dxa"/>
            <w:vAlign w:val="center"/>
          </w:tcPr>
          <w:p>
            <w:pPr>
              <w:spacing w:line="380" w:lineRule="exact"/>
              <w:jc w:val="center"/>
              <w:rPr>
                <w:rFonts w:ascii="宋体" w:hAnsi="宋体" w:cs="宋体"/>
                <w:sz w:val="24"/>
                <w:szCs w:val="24"/>
              </w:rPr>
            </w:pPr>
          </w:p>
        </w:tc>
        <w:tc>
          <w:tcPr>
            <w:tcW w:w="1991" w:type="dxa"/>
            <w:vAlign w:val="center"/>
          </w:tcPr>
          <w:p>
            <w:pPr>
              <w:spacing w:line="380" w:lineRule="exact"/>
              <w:jc w:val="center"/>
              <w:rPr>
                <w:rFonts w:ascii="宋体" w:hAnsi="宋体" w:cs="宋体"/>
                <w:sz w:val="24"/>
                <w:szCs w:val="24"/>
              </w:rPr>
            </w:pPr>
          </w:p>
        </w:tc>
        <w:tc>
          <w:tcPr>
            <w:tcW w:w="1865" w:type="dxa"/>
            <w:vAlign w:val="center"/>
          </w:tcPr>
          <w:p>
            <w:pPr>
              <w:spacing w:line="380" w:lineRule="exact"/>
              <w:jc w:val="center"/>
              <w:rPr>
                <w:rFonts w:ascii="宋体" w:hAnsi="宋体" w:cs="宋体"/>
                <w:sz w:val="24"/>
                <w:szCs w:val="24"/>
              </w:rPr>
            </w:pPr>
          </w:p>
        </w:tc>
        <w:tc>
          <w:tcPr>
            <w:tcW w:w="1593" w:type="dxa"/>
            <w:vAlign w:val="center"/>
          </w:tcPr>
          <w:p>
            <w:pPr>
              <w:spacing w:line="380" w:lineRule="exact"/>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942" w:type="dxa"/>
            <w:vMerge w:val="continue"/>
            <w:tcBorders>
              <w:bottom w:val="single" w:color="auto" w:sz="12" w:space="0"/>
              <w:right w:val="single" w:color="auto" w:sz="12" w:space="0"/>
            </w:tcBorders>
          </w:tcPr>
          <w:p>
            <w:pPr>
              <w:spacing w:line="380" w:lineRule="exact"/>
              <w:jc w:val="center"/>
              <w:rPr>
                <w:rFonts w:ascii="宋体" w:hAnsi="宋体" w:cs="宋体"/>
                <w:sz w:val="24"/>
                <w:szCs w:val="24"/>
              </w:rPr>
            </w:pPr>
          </w:p>
        </w:tc>
        <w:tc>
          <w:tcPr>
            <w:tcW w:w="1362" w:type="dxa"/>
            <w:tcBorders>
              <w:left w:val="single" w:color="auto" w:sz="12" w:space="0"/>
              <w:bottom w:val="single" w:color="auto" w:sz="12" w:space="0"/>
            </w:tcBorders>
            <w:vAlign w:val="center"/>
          </w:tcPr>
          <w:p>
            <w:pPr>
              <w:spacing w:line="380" w:lineRule="exact"/>
              <w:jc w:val="center"/>
              <w:rPr>
                <w:rFonts w:ascii="宋体" w:hAnsi="宋体" w:cs="宋体"/>
                <w:sz w:val="24"/>
                <w:szCs w:val="24"/>
              </w:rPr>
            </w:pPr>
          </w:p>
        </w:tc>
        <w:tc>
          <w:tcPr>
            <w:tcW w:w="2096" w:type="dxa"/>
            <w:tcBorders>
              <w:bottom w:val="single" w:color="auto" w:sz="12" w:space="0"/>
            </w:tcBorders>
            <w:vAlign w:val="center"/>
          </w:tcPr>
          <w:p>
            <w:pPr>
              <w:spacing w:line="380" w:lineRule="exact"/>
              <w:jc w:val="center"/>
              <w:rPr>
                <w:rFonts w:ascii="宋体" w:hAnsi="宋体" w:cs="宋体"/>
                <w:sz w:val="24"/>
                <w:szCs w:val="24"/>
              </w:rPr>
            </w:pPr>
          </w:p>
        </w:tc>
        <w:tc>
          <w:tcPr>
            <w:tcW w:w="1991" w:type="dxa"/>
            <w:tcBorders>
              <w:bottom w:val="single" w:color="auto" w:sz="12" w:space="0"/>
            </w:tcBorders>
            <w:vAlign w:val="center"/>
          </w:tcPr>
          <w:p>
            <w:pPr>
              <w:spacing w:line="380" w:lineRule="exact"/>
              <w:jc w:val="center"/>
              <w:rPr>
                <w:rFonts w:ascii="宋体" w:hAnsi="宋体" w:cs="宋体"/>
                <w:sz w:val="24"/>
                <w:szCs w:val="24"/>
              </w:rPr>
            </w:pPr>
          </w:p>
        </w:tc>
        <w:tc>
          <w:tcPr>
            <w:tcW w:w="1865" w:type="dxa"/>
            <w:tcBorders>
              <w:bottom w:val="single" w:color="auto" w:sz="12" w:space="0"/>
            </w:tcBorders>
            <w:vAlign w:val="center"/>
          </w:tcPr>
          <w:p>
            <w:pPr>
              <w:spacing w:line="380" w:lineRule="exact"/>
              <w:jc w:val="center"/>
              <w:rPr>
                <w:rFonts w:ascii="宋体" w:hAnsi="宋体" w:cs="宋体"/>
                <w:sz w:val="24"/>
                <w:szCs w:val="24"/>
              </w:rPr>
            </w:pPr>
          </w:p>
        </w:tc>
        <w:tc>
          <w:tcPr>
            <w:tcW w:w="1593" w:type="dxa"/>
            <w:tcBorders>
              <w:bottom w:val="single" w:color="auto" w:sz="12" w:space="0"/>
            </w:tcBorders>
            <w:vAlign w:val="center"/>
          </w:tcPr>
          <w:p>
            <w:pPr>
              <w:spacing w:line="380" w:lineRule="exact"/>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942" w:type="dxa"/>
            <w:vMerge w:val="restart"/>
            <w:tcBorders>
              <w:bottom w:val="single" w:color="auto" w:sz="12" w:space="0"/>
              <w:right w:val="single" w:color="auto" w:sz="12" w:space="0"/>
            </w:tcBorders>
            <w:vAlign w:val="center"/>
          </w:tcPr>
          <w:p>
            <w:pPr>
              <w:spacing w:line="380" w:lineRule="exact"/>
              <w:jc w:val="center"/>
              <w:rPr>
                <w:rFonts w:ascii="宋体" w:hAnsi="宋体" w:cs="宋体"/>
                <w:sz w:val="24"/>
                <w:szCs w:val="24"/>
              </w:rPr>
            </w:pPr>
            <w:r>
              <w:rPr>
                <w:rFonts w:hint="eastAsia" w:ascii="宋体" w:hAnsi="宋体" w:cs="宋体"/>
                <w:sz w:val="24"/>
                <w:szCs w:val="24"/>
              </w:rPr>
              <w:t>商</w:t>
            </w:r>
          </w:p>
          <w:p>
            <w:pPr>
              <w:spacing w:line="380" w:lineRule="exact"/>
              <w:jc w:val="center"/>
              <w:rPr>
                <w:rFonts w:ascii="宋体" w:hAnsi="宋体" w:cs="宋体"/>
                <w:sz w:val="24"/>
                <w:szCs w:val="24"/>
              </w:rPr>
            </w:pPr>
            <w:r>
              <w:rPr>
                <w:rFonts w:hint="eastAsia" w:ascii="宋体" w:hAnsi="宋体" w:cs="宋体"/>
                <w:sz w:val="24"/>
                <w:szCs w:val="24"/>
              </w:rPr>
              <w:t>务</w:t>
            </w:r>
          </w:p>
          <w:p>
            <w:pPr>
              <w:spacing w:line="380" w:lineRule="exact"/>
              <w:jc w:val="center"/>
              <w:rPr>
                <w:rFonts w:ascii="宋体" w:hAnsi="宋体" w:cs="宋体"/>
                <w:sz w:val="24"/>
                <w:szCs w:val="24"/>
              </w:rPr>
            </w:pPr>
            <w:r>
              <w:rPr>
                <w:rFonts w:hint="eastAsia" w:ascii="宋体" w:hAnsi="宋体" w:cs="宋体"/>
                <w:sz w:val="24"/>
                <w:szCs w:val="24"/>
              </w:rPr>
              <w:t>条</w:t>
            </w:r>
          </w:p>
          <w:p>
            <w:pPr>
              <w:spacing w:line="380" w:lineRule="exact"/>
              <w:jc w:val="center"/>
              <w:rPr>
                <w:rFonts w:ascii="宋体" w:hAnsi="宋体" w:cs="宋体"/>
                <w:sz w:val="24"/>
                <w:szCs w:val="24"/>
              </w:rPr>
            </w:pPr>
            <w:r>
              <w:rPr>
                <w:rFonts w:hint="eastAsia" w:ascii="宋体" w:hAnsi="宋体" w:cs="宋体"/>
                <w:sz w:val="24"/>
                <w:szCs w:val="24"/>
              </w:rPr>
              <w:t>款</w:t>
            </w:r>
          </w:p>
        </w:tc>
        <w:tc>
          <w:tcPr>
            <w:tcW w:w="1362" w:type="dxa"/>
            <w:tcBorders>
              <w:top w:val="single" w:color="auto" w:sz="12" w:space="0"/>
              <w:left w:val="single" w:color="auto" w:sz="12" w:space="0"/>
            </w:tcBorders>
            <w:vAlign w:val="center"/>
          </w:tcPr>
          <w:p>
            <w:pPr>
              <w:spacing w:line="380" w:lineRule="exact"/>
              <w:jc w:val="center"/>
              <w:rPr>
                <w:rFonts w:ascii="宋体" w:hAnsi="宋体" w:cs="宋体"/>
                <w:sz w:val="24"/>
                <w:szCs w:val="24"/>
              </w:rPr>
            </w:pPr>
          </w:p>
          <w:p>
            <w:pPr>
              <w:spacing w:line="380" w:lineRule="exact"/>
              <w:jc w:val="center"/>
              <w:rPr>
                <w:rFonts w:ascii="宋体" w:hAnsi="宋体" w:cs="宋体"/>
                <w:sz w:val="24"/>
                <w:szCs w:val="24"/>
              </w:rPr>
            </w:pPr>
          </w:p>
        </w:tc>
        <w:tc>
          <w:tcPr>
            <w:tcW w:w="2096" w:type="dxa"/>
            <w:tcBorders>
              <w:top w:val="single" w:color="auto" w:sz="12" w:space="0"/>
            </w:tcBorders>
            <w:vAlign w:val="center"/>
          </w:tcPr>
          <w:p>
            <w:pPr>
              <w:spacing w:line="380" w:lineRule="exact"/>
              <w:jc w:val="center"/>
              <w:rPr>
                <w:rFonts w:ascii="宋体" w:hAnsi="宋体" w:cs="宋体"/>
                <w:sz w:val="24"/>
                <w:szCs w:val="24"/>
              </w:rPr>
            </w:pPr>
          </w:p>
        </w:tc>
        <w:tc>
          <w:tcPr>
            <w:tcW w:w="1991" w:type="dxa"/>
            <w:tcBorders>
              <w:top w:val="single" w:color="auto" w:sz="12" w:space="0"/>
            </w:tcBorders>
            <w:vAlign w:val="center"/>
          </w:tcPr>
          <w:p>
            <w:pPr>
              <w:spacing w:line="380" w:lineRule="exact"/>
              <w:jc w:val="center"/>
              <w:rPr>
                <w:rFonts w:ascii="宋体" w:hAnsi="宋体" w:cs="宋体"/>
                <w:sz w:val="24"/>
                <w:szCs w:val="24"/>
              </w:rPr>
            </w:pPr>
          </w:p>
        </w:tc>
        <w:tc>
          <w:tcPr>
            <w:tcW w:w="1865" w:type="dxa"/>
            <w:tcBorders>
              <w:top w:val="single" w:color="auto" w:sz="12" w:space="0"/>
            </w:tcBorders>
            <w:vAlign w:val="center"/>
          </w:tcPr>
          <w:p>
            <w:pPr>
              <w:spacing w:line="380" w:lineRule="exact"/>
              <w:jc w:val="center"/>
              <w:rPr>
                <w:rFonts w:ascii="宋体" w:hAnsi="宋体" w:cs="宋体"/>
                <w:sz w:val="24"/>
                <w:szCs w:val="24"/>
              </w:rPr>
            </w:pPr>
          </w:p>
        </w:tc>
        <w:tc>
          <w:tcPr>
            <w:tcW w:w="1593" w:type="dxa"/>
            <w:tcBorders>
              <w:top w:val="single" w:color="auto" w:sz="12" w:space="0"/>
            </w:tcBorders>
            <w:vAlign w:val="center"/>
          </w:tcPr>
          <w:p>
            <w:pPr>
              <w:spacing w:line="380" w:lineRule="exact"/>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942" w:type="dxa"/>
            <w:vMerge w:val="continue"/>
            <w:tcBorders>
              <w:bottom w:val="single" w:color="auto" w:sz="12" w:space="0"/>
              <w:right w:val="single" w:color="auto" w:sz="12" w:space="0"/>
            </w:tcBorders>
          </w:tcPr>
          <w:p>
            <w:pPr>
              <w:spacing w:line="380" w:lineRule="exact"/>
              <w:jc w:val="center"/>
              <w:rPr>
                <w:rFonts w:ascii="宋体" w:hAnsi="宋体" w:cs="宋体"/>
                <w:sz w:val="24"/>
                <w:szCs w:val="24"/>
              </w:rPr>
            </w:pPr>
          </w:p>
        </w:tc>
        <w:tc>
          <w:tcPr>
            <w:tcW w:w="1362" w:type="dxa"/>
            <w:tcBorders>
              <w:left w:val="single" w:color="auto" w:sz="12" w:space="0"/>
            </w:tcBorders>
            <w:vAlign w:val="center"/>
          </w:tcPr>
          <w:p>
            <w:pPr>
              <w:spacing w:line="380" w:lineRule="exact"/>
              <w:jc w:val="center"/>
              <w:rPr>
                <w:rFonts w:ascii="宋体" w:hAnsi="宋体" w:cs="宋体"/>
                <w:sz w:val="24"/>
                <w:szCs w:val="24"/>
              </w:rPr>
            </w:pPr>
          </w:p>
        </w:tc>
        <w:tc>
          <w:tcPr>
            <w:tcW w:w="2096" w:type="dxa"/>
            <w:vAlign w:val="center"/>
          </w:tcPr>
          <w:p>
            <w:pPr>
              <w:spacing w:line="380" w:lineRule="exact"/>
              <w:jc w:val="center"/>
              <w:rPr>
                <w:rFonts w:ascii="宋体" w:hAnsi="宋体" w:cs="宋体"/>
                <w:sz w:val="24"/>
                <w:szCs w:val="24"/>
              </w:rPr>
            </w:pPr>
          </w:p>
        </w:tc>
        <w:tc>
          <w:tcPr>
            <w:tcW w:w="1991" w:type="dxa"/>
            <w:vAlign w:val="center"/>
          </w:tcPr>
          <w:p>
            <w:pPr>
              <w:spacing w:line="380" w:lineRule="exact"/>
              <w:jc w:val="center"/>
              <w:rPr>
                <w:rFonts w:ascii="宋体" w:hAnsi="宋体" w:cs="宋体"/>
                <w:sz w:val="24"/>
                <w:szCs w:val="24"/>
              </w:rPr>
            </w:pPr>
          </w:p>
        </w:tc>
        <w:tc>
          <w:tcPr>
            <w:tcW w:w="1865" w:type="dxa"/>
            <w:vAlign w:val="center"/>
          </w:tcPr>
          <w:p>
            <w:pPr>
              <w:spacing w:line="380" w:lineRule="exact"/>
              <w:jc w:val="center"/>
              <w:rPr>
                <w:rFonts w:ascii="宋体" w:hAnsi="宋体" w:cs="宋体"/>
                <w:sz w:val="24"/>
                <w:szCs w:val="24"/>
              </w:rPr>
            </w:pPr>
          </w:p>
        </w:tc>
        <w:tc>
          <w:tcPr>
            <w:tcW w:w="1593" w:type="dxa"/>
            <w:vAlign w:val="center"/>
          </w:tcPr>
          <w:p>
            <w:pPr>
              <w:spacing w:line="380" w:lineRule="exact"/>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942" w:type="dxa"/>
            <w:vMerge w:val="continue"/>
            <w:tcBorders>
              <w:bottom w:val="single" w:color="auto" w:sz="12" w:space="0"/>
              <w:right w:val="single" w:color="auto" w:sz="12" w:space="0"/>
            </w:tcBorders>
          </w:tcPr>
          <w:p>
            <w:pPr>
              <w:spacing w:line="380" w:lineRule="exact"/>
              <w:jc w:val="center"/>
              <w:rPr>
                <w:rFonts w:ascii="宋体" w:hAnsi="宋体" w:cs="宋体"/>
                <w:sz w:val="24"/>
                <w:szCs w:val="24"/>
              </w:rPr>
            </w:pPr>
          </w:p>
        </w:tc>
        <w:tc>
          <w:tcPr>
            <w:tcW w:w="1362" w:type="dxa"/>
            <w:tcBorders>
              <w:left w:val="single" w:color="auto" w:sz="12" w:space="0"/>
            </w:tcBorders>
            <w:vAlign w:val="center"/>
          </w:tcPr>
          <w:p>
            <w:pPr>
              <w:spacing w:line="380" w:lineRule="exact"/>
              <w:jc w:val="center"/>
              <w:rPr>
                <w:rFonts w:ascii="宋体" w:hAnsi="宋体" w:cs="宋体"/>
                <w:sz w:val="24"/>
                <w:szCs w:val="24"/>
              </w:rPr>
            </w:pPr>
          </w:p>
        </w:tc>
        <w:tc>
          <w:tcPr>
            <w:tcW w:w="2096" w:type="dxa"/>
            <w:vAlign w:val="center"/>
          </w:tcPr>
          <w:p>
            <w:pPr>
              <w:spacing w:line="380" w:lineRule="exact"/>
              <w:jc w:val="center"/>
              <w:rPr>
                <w:rFonts w:ascii="宋体" w:hAnsi="宋体" w:cs="宋体"/>
                <w:sz w:val="24"/>
                <w:szCs w:val="24"/>
              </w:rPr>
            </w:pPr>
          </w:p>
        </w:tc>
        <w:tc>
          <w:tcPr>
            <w:tcW w:w="1991" w:type="dxa"/>
            <w:vAlign w:val="center"/>
          </w:tcPr>
          <w:p>
            <w:pPr>
              <w:spacing w:line="380" w:lineRule="exact"/>
              <w:jc w:val="center"/>
              <w:rPr>
                <w:rFonts w:ascii="宋体" w:hAnsi="宋体" w:cs="宋体"/>
                <w:sz w:val="24"/>
                <w:szCs w:val="24"/>
              </w:rPr>
            </w:pPr>
          </w:p>
        </w:tc>
        <w:tc>
          <w:tcPr>
            <w:tcW w:w="1865" w:type="dxa"/>
            <w:vAlign w:val="center"/>
          </w:tcPr>
          <w:p>
            <w:pPr>
              <w:spacing w:line="380" w:lineRule="exact"/>
              <w:jc w:val="center"/>
              <w:rPr>
                <w:rFonts w:ascii="宋体" w:hAnsi="宋体" w:cs="宋体"/>
                <w:sz w:val="24"/>
                <w:szCs w:val="24"/>
              </w:rPr>
            </w:pPr>
          </w:p>
        </w:tc>
        <w:tc>
          <w:tcPr>
            <w:tcW w:w="1593" w:type="dxa"/>
            <w:vAlign w:val="center"/>
          </w:tcPr>
          <w:p>
            <w:pPr>
              <w:spacing w:line="380" w:lineRule="exact"/>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942" w:type="dxa"/>
            <w:vMerge w:val="continue"/>
            <w:tcBorders>
              <w:bottom w:val="single" w:color="auto" w:sz="12" w:space="0"/>
              <w:right w:val="single" w:color="auto" w:sz="12" w:space="0"/>
            </w:tcBorders>
          </w:tcPr>
          <w:p>
            <w:pPr>
              <w:spacing w:line="380" w:lineRule="exact"/>
              <w:jc w:val="center"/>
              <w:rPr>
                <w:rFonts w:ascii="宋体" w:hAnsi="宋体" w:cs="宋体"/>
                <w:sz w:val="24"/>
                <w:szCs w:val="24"/>
              </w:rPr>
            </w:pPr>
          </w:p>
        </w:tc>
        <w:tc>
          <w:tcPr>
            <w:tcW w:w="1362" w:type="dxa"/>
            <w:tcBorders>
              <w:left w:val="single" w:color="auto" w:sz="12" w:space="0"/>
            </w:tcBorders>
            <w:vAlign w:val="center"/>
          </w:tcPr>
          <w:p>
            <w:pPr>
              <w:spacing w:line="380" w:lineRule="exact"/>
              <w:jc w:val="center"/>
              <w:rPr>
                <w:rFonts w:ascii="宋体" w:hAnsi="宋体" w:cs="宋体"/>
                <w:sz w:val="24"/>
                <w:szCs w:val="24"/>
              </w:rPr>
            </w:pPr>
          </w:p>
        </w:tc>
        <w:tc>
          <w:tcPr>
            <w:tcW w:w="2096" w:type="dxa"/>
            <w:vAlign w:val="center"/>
          </w:tcPr>
          <w:p>
            <w:pPr>
              <w:spacing w:line="380" w:lineRule="exact"/>
              <w:jc w:val="center"/>
              <w:rPr>
                <w:rFonts w:ascii="宋体" w:hAnsi="宋体" w:cs="宋体"/>
                <w:sz w:val="24"/>
                <w:szCs w:val="24"/>
              </w:rPr>
            </w:pPr>
          </w:p>
        </w:tc>
        <w:tc>
          <w:tcPr>
            <w:tcW w:w="1991" w:type="dxa"/>
            <w:vAlign w:val="center"/>
          </w:tcPr>
          <w:p>
            <w:pPr>
              <w:spacing w:line="380" w:lineRule="exact"/>
              <w:jc w:val="center"/>
              <w:rPr>
                <w:rFonts w:ascii="宋体" w:hAnsi="宋体" w:cs="宋体"/>
                <w:sz w:val="24"/>
                <w:szCs w:val="24"/>
              </w:rPr>
            </w:pPr>
          </w:p>
        </w:tc>
        <w:tc>
          <w:tcPr>
            <w:tcW w:w="1865" w:type="dxa"/>
            <w:vAlign w:val="center"/>
          </w:tcPr>
          <w:p>
            <w:pPr>
              <w:spacing w:line="380" w:lineRule="exact"/>
              <w:jc w:val="center"/>
              <w:rPr>
                <w:rFonts w:ascii="宋体" w:hAnsi="宋体" w:cs="宋体"/>
                <w:sz w:val="24"/>
                <w:szCs w:val="24"/>
              </w:rPr>
            </w:pPr>
          </w:p>
        </w:tc>
        <w:tc>
          <w:tcPr>
            <w:tcW w:w="1593" w:type="dxa"/>
            <w:vAlign w:val="center"/>
          </w:tcPr>
          <w:p>
            <w:pPr>
              <w:spacing w:line="380" w:lineRule="exact"/>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942" w:type="dxa"/>
            <w:vMerge w:val="continue"/>
            <w:tcBorders>
              <w:bottom w:val="single" w:color="auto" w:sz="12" w:space="0"/>
              <w:right w:val="single" w:color="auto" w:sz="12" w:space="0"/>
            </w:tcBorders>
          </w:tcPr>
          <w:p>
            <w:pPr>
              <w:spacing w:line="380" w:lineRule="exact"/>
              <w:jc w:val="center"/>
              <w:rPr>
                <w:rFonts w:ascii="宋体" w:hAnsi="宋体" w:cs="宋体"/>
                <w:sz w:val="24"/>
                <w:szCs w:val="24"/>
              </w:rPr>
            </w:pPr>
          </w:p>
        </w:tc>
        <w:tc>
          <w:tcPr>
            <w:tcW w:w="1362" w:type="dxa"/>
            <w:tcBorders>
              <w:left w:val="single" w:color="auto" w:sz="12" w:space="0"/>
              <w:bottom w:val="single" w:color="auto" w:sz="12" w:space="0"/>
            </w:tcBorders>
            <w:vAlign w:val="center"/>
          </w:tcPr>
          <w:p>
            <w:pPr>
              <w:spacing w:line="380" w:lineRule="exact"/>
              <w:jc w:val="center"/>
              <w:rPr>
                <w:rFonts w:ascii="宋体" w:hAnsi="宋体" w:cs="宋体"/>
                <w:sz w:val="24"/>
                <w:szCs w:val="24"/>
              </w:rPr>
            </w:pPr>
          </w:p>
        </w:tc>
        <w:tc>
          <w:tcPr>
            <w:tcW w:w="2096" w:type="dxa"/>
            <w:tcBorders>
              <w:bottom w:val="single" w:color="auto" w:sz="12" w:space="0"/>
            </w:tcBorders>
            <w:vAlign w:val="center"/>
          </w:tcPr>
          <w:p>
            <w:pPr>
              <w:spacing w:line="380" w:lineRule="exact"/>
              <w:jc w:val="center"/>
              <w:rPr>
                <w:rFonts w:ascii="宋体" w:hAnsi="宋体" w:cs="宋体"/>
                <w:sz w:val="24"/>
                <w:szCs w:val="24"/>
              </w:rPr>
            </w:pPr>
          </w:p>
        </w:tc>
        <w:tc>
          <w:tcPr>
            <w:tcW w:w="1991" w:type="dxa"/>
            <w:tcBorders>
              <w:bottom w:val="single" w:color="auto" w:sz="12" w:space="0"/>
            </w:tcBorders>
            <w:vAlign w:val="center"/>
          </w:tcPr>
          <w:p>
            <w:pPr>
              <w:spacing w:line="380" w:lineRule="exact"/>
              <w:jc w:val="center"/>
              <w:rPr>
                <w:rFonts w:ascii="宋体" w:hAnsi="宋体" w:cs="宋体"/>
                <w:sz w:val="24"/>
                <w:szCs w:val="24"/>
              </w:rPr>
            </w:pPr>
          </w:p>
        </w:tc>
        <w:tc>
          <w:tcPr>
            <w:tcW w:w="1865" w:type="dxa"/>
            <w:tcBorders>
              <w:bottom w:val="single" w:color="auto" w:sz="12" w:space="0"/>
            </w:tcBorders>
            <w:vAlign w:val="center"/>
          </w:tcPr>
          <w:p>
            <w:pPr>
              <w:spacing w:line="380" w:lineRule="exact"/>
              <w:jc w:val="center"/>
              <w:rPr>
                <w:rFonts w:ascii="宋体" w:hAnsi="宋体" w:cs="宋体"/>
                <w:sz w:val="24"/>
                <w:szCs w:val="24"/>
              </w:rPr>
            </w:pPr>
          </w:p>
        </w:tc>
        <w:tc>
          <w:tcPr>
            <w:tcW w:w="1593" w:type="dxa"/>
            <w:tcBorders>
              <w:bottom w:val="single" w:color="auto" w:sz="12" w:space="0"/>
            </w:tcBorders>
            <w:vAlign w:val="center"/>
          </w:tcPr>
          <w:p>
            <w:pPr>
              <w:spacing w:line="380" w:lineRule="exact"/>
              <w:jc w:val="center"/>
              <w:rPr>
                <w:rFonts w:ascii="宋体" w:hAnsi="宋体" w:cs="宋体"/>
                <w:sz w:val="24"/>
                <w:szCs w:val="24"/>
              </w:rPr>
            </w:pPr>
          </w:p>
        </w:tc>
      </w:tr>
    </w:tbl>
    <w:p>
      <w:pPr>
        <w:ind w:left="360" w:hanging="360" w:hangingChars="150"/>
        <w:rPr>
          <w:rFonts w:ascii="宋体" w:hAnsi="宋体"/>
          <w:sz w:val="24"/>
          <w:szCs w:val="24"/>
        </w:rPr>
      </w:pPr>
    </w:p>
    <w:p>
      <w:pPr>
        <w:ind w:left="480" w:hanging="480" w:hangingChars="200"/>
        <w:rPr>
          <w:rFonts w:ascii="宋体" w:hAnsi="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若磋商响应方在磋商响应文件中对磋商文件规定的内容、要求、质量标准、付款方式及其他各项要求存在偏离（含正偏离或负偏离），须填写说明偏离内容，否则可能作出对磋商响应方不利的评定。</w:t>
      </w:r>
    </w:p>
    <w:p>
      <w:pPr>
        <w:ind w:firstLine="480" w:firstLineChars="200"/>
        <w:rPr>
          <w:rFonts w:ascii="宋体" w:hAnsi="宋体"/>
          <w:sz w:val="24"/>
          <w:szCs w:val="24"/>
        </w:rPr>
      </w:pPr>
      <w:r>
        <w:rPr>
          <w:rFonts w:ascii="宋体" w:hAnsi="宋体" w:cs="宋体"/>
          <w:sz w:val="24"/>
          <w:szCs w:val="24"/>
        </w:rPr>
        <w:t>2.</w:t>
      </w:r>
      <w:r>
        <w:rPr>
          <w:rFonts w:hint="eastAsia" w:ascii="宋体" w:hAnsi="宋体" w:cs="宋体"/>
          <w:sz w:val="24"/>
          <w:szCs w:val="24"/>
        </w:rPr>
        <w:t>磋商响应方如无偏离请在表中注明。</w:t>
      </w:r>
    </w:p>
    <w:p>
      <w:pPr>
        <w:ind w:firstLine="480" w:firstLineChars="200"/>
        <w:rPr>
          <w:rFonts w:ascii="宋体" w:hAnsi="宋体"/>
          <w:sz w:val="24"/>
          <w:szCs w:val="24"/>
        </w:rPr>
      </w:pPr>
      <w:r>
        <w:rPr>
          <w:rFonts w:ascii="宋体" w:hAnsi="宋体" w:cs="宋体"/>
          <w:sz w:val="24"/>
          <w:szCs w:val="24"/>
        </w:rPr>
        <w:t>3.</w:t>
      </w:r>
      <w:r>
        <w:rPr>
          <w:rFonts w:hint="eastAsia" w:ascii="宋体" w:hAnsi="宋体" w:cs="宋体"/>
          <w:sz w:val="24"/>
          <w:szCs w:val="24"/>
        </w:rPr>
        <w:t>不提供此表或注明“无偏离”均将视为磋商响应方完全响应及满足磋商文件要求。</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磋商响应方全称（公章）：</w:t>
      </w:r>
    </w:p>
    <w:p>
      <w:pPr>
        <w:spacing w:line="360" w:lineRule="auto"/>
        <w:rPr>
          <w:rFonts w:ascii="宋体" w:hAnsi="宋体"/>
          <w:sz w:val="24"/>
          <w:szCs w:val="24"/>
        </w:rPr>
      </w:pPr>
      <w:r>
        <w:rPr>
          <w:rFonts w:hint="eastAsia" w:ascii="宋体" w:hAnsi="宋体"/>
          <w:sz w:val="24"/>
          <w:szCs w:val="24"/>
        </w:rPr>
        <w:t>法定代表或委托代理人（签字或盖章）：</w:t>
      </w:r>
    </w:p>
    <w:p>
      <w:pPr>
        <w:spacing w:line="360" w:lineRule="auto"/>
        <w:rPr>
          <w:rFonts w:asciiTheme="minorEastAsia" w:hAnsiTheme="minorEastAsia" w:eastAsiaTheme="minorEastAsia"/>
          <w:sz w:val="24"/>
          <w:szCs w:val="24"/>
        </w:rPr>
      </w:pPr>
      <w:r>
        <w:rPr>
          <w:rFonts w:hint="eastAsia" w:ascii="宋体" w:hAnsi="宋体"/>
          <w:sz w:val="24"/>
          <w:szCs w:val="24"/>
        </w:rPr>
        <w:t>日期：</w:t>
      </w:r>
    </w:p>
    <w:p>
      <w:pPr>
        <w:snapToGrid w:val="0"/>
        <w:spacing w:before="50" w:after="50"/>
        <w:rPr>
          <w:rFonts w:asciiTheme="minorEastAsia" w:hAnsiTheme="minorEastAsia" w:eastAsiaTheme="minorEastAsia"/>
          <w:b/>
          <w:sz w:val="28"/>
          <w:szCs w:val="28"/>
        </w:rPr>
      </w:pPr>
      <w:r>
        <w:rPr>
          <w:rFonts w:hint="eastAsia" w:asciiTheme="minorEastAsia" w:hAnsiTheme="minorEastAsia" w:eastAsiaTheme="minorEastAsia"/>
          <w:b/>
          <w:sz w:val="28"/>
          <w:szCs w:val="28"/>
        </w:rPr>
        <w:t>附件</w:t>
      </w:r>
      <w:r>
        <w:rPr>
          <w:rFonts w:hint="eastAsia" w:asciiTheme="minorEastAsia" w:hAnsiTheme="minorEastAsia" w:eastAsiaTheme="minorEastAsia"/>
          <w:b/>
          <w:sz w:val="28"/>
          <w:szCs w:val="28"/>
          <w:lang w:val="en-US" w:eastAsia="zh-CN"/>
        </w:rPr>
        <w:t>7</w:t>
      </w:r>
      <w:r>
        <w:rPr>
          <w:rFonts w:hint="eastAsia" w:asciiTheme="minorEastAsia" w:hAnsiTheme="minorEastAsia" w:eastAsiaTheme="minorEastAsia"/>
          <w:b/>
          <w:sz w:val="28"/>
          <w:szCs w:val="28"/>
        </w:rPr>
        <w:t>：</w:t>
      </w:r>
    </w:p>
    <w:p>
      <w:pPr>
        <w:spacing w:line="360" w:lineRule="auto"/>
        <w:ind w:left="643" w:hanging="643"/>
        <w:jc w:val="center"/>
        <w:rPr>
          <w:rFonts w:ascii="宋体" w:hAnsi="宋体" w:cs="宋体"/>
          <w:b/>
          <w:sz w:val="28"/>
          <w:szCs w:val="28"/>
        </w:rPr>
      </w:pPr>
      <w:r>
        <w:rPr>
          <w:rFonts w:ascii="宋体" w:hAnsi="宋体" w:cs="宋体"/>
          <w:b/>
          <w:sz w:val="28"/>
          <w:szCs w:val="28"/>
        </w:rPr>
        <w:t>磋商响应方类似项目实施情况一览表</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                            项目编号：</w:t>
      </w:r>
    </w:p>
    <w:tbl>
      <w:tblPr>
        <w:tblStyle w:val="53"/>
        <w:tblW w:w="9582" w:type="dxa"/>
        <w:tblInd w:w="-72" w:type="dxa"/>
        <w:tblLayout w:type="fixed"/>
        <w:tblCellMar>
          <w:top w:w="0" w:type="dxa"/>
          <w:left w:w="108" w:type="dxa"/>
          <w:bottom w:w="0" w:type="dxa"/>
          <w:right w:w="108" w:type="dxa"/>
        </w:tblCellMar>
      </w:tblPr>
      <w:tblGrid>
        <w:gridCol w:w="1262"/>
        <w:gridCol w:w="1230"/>
        <w:gridCol w:w="831"/>
        <w:gridCol w:w="831"/>
        <w:gridCol w:w="1329"/>
        <w:gridCol w:w="949"/>
        <w:gridCol w:w="1050"/>
        <w:gridCol w:w="2100"/>
      </w:tblGrid>
      <w:tr>
        <w:tblPrEx>
          <w:tblLayout w:type="fixed"/>
          <w:tblCellMar>
            <w:top w:w="0" w:type="dxa"/>
            <w:left w:w="108" w:type="dxa"/>
            <w:bottom w:w="0" w:type="dxa"/>
            <w:right w:w="108" w:type="dxa"/>
          </w:tblCellMar>
        </w:tblPrEx>
        <w:trPr>
          <w:cantSplit/>
          <w:trHeight w:val="658" w:hRule="atLeast"/>
        </w:trPr>
        <w:tc>
          <w:tcPr>
            <w:tcW w:w="1262"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采购单位名称</w:t>
            </w:r>
          </w:p>
        </w:tc>
        <w:tc>
          <w:tcPr>
            <w:tcW w:w="123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项目名称</w:t>
            </w:r>
          </w:p>
        </w:tc>
        <w:tc>
          <w:tcPr>
            <w:tcW w:w="831"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采购</w:t>
            </w:r>
          </w:p>
          <w:p>
            <w:pPr>
              <w:spacing w:line="360" w:lineRule="auto"/>
              <w:jc w:val="center"/>
              <w:rPr>
                <w:rFonts w:ascii="宋体" w:hAnsi="宋体" w:cs="宋体"/>
                <w:sz w:val="24"/>
              </w:rPr>
            </w:pPr>
            <w:r>
              <w:rPr>
                <w:rFonts w:hint="eastAsia" w:ascii="宋体" w:hAnsi="宋体" w:cs="宋体"/>
                <w:sz w:val="24"/>
              </w:rPr>
              <w:t>数量</w:t>
            </w:r>
          </w:p>
        </w:tc>
        <w:tc>
          <w:tcPr>
            <w:tcW w:w="831"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单价</w:t>
            </w:r>
          </w:p>
        </w:tc>
        <w:tc>
          <w:tcPr>
            <w:tcW w:w="1329"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合同</w:t>
            </w:r>
          </w:p>
          <w:p>
            <w:pPr>
              <w:spacing w:line="360" w:lineRule="auto"/>
              <w:jc w:val="center"/>
              <w:rPr>
                <w:rFonts w:ascii="宋体" w:hAnsi="宋体" w:cs="宋体"/>
                <w:sz w:val="24"/>
              </w:rPr>
            </w:pPr>
            <w:r>
              <w:rPr>
                <w:rFonts w:hint="eastAsia" w:ascii="宋体" w:hAnsi="宋体" w:cs="宋体"/>
                <w:sz w:val="24"/>
              </w:rPr>
              <w:t>金额</w:t>
            </w:r>
          </w:p>
          <w:p>
            <w:pPr>
              <w:spacing w:line="360" w:lineRule="auto"/>
              <w:jc w:val="center"/>
              <w:rPr>
                <w:rFonts w:ascii="宋体" w:hAnsi="宋体" w:cs="宋体"/>
                <w:sz w:val="24"/>
              </w:rPr>
            </w:pPr>
            <w:r>
              <w:rPr>
                <w:rFonts w:hint="eastAsia" w:ascii="宋体" w:hAnsi="宋体" w:cs="宋体"/>
                <w:sz w:val="24"/>
              </w:rPr>
              <w:t>（万元）</w:t>
            </w:r>
          </w:p>
        </w:tc>
        <w:tc>
          <w:tcPr>
            <w:tcW w:w="199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附件页码</w:t>
            </w:r>
          </w:p>
        </w:tc>
        <w:tc>
          <w:tcPr>
            <w:tcW w:w="210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采购单位联系人及联系电话</w:t>
            </w:r>
          </w:p>
        </w:tc>
      </w:tr>
      <w:tr>
        <w:tblPrEx>
          <w:tblLayout w:type="fixed"/>
          <w:tblCellMar>
            <w:top w:w="0" w:type="dxa"/>
            <w:left w:w="108" w:type="dxa"/>
            <w:bottom w:w="0" w:type="dxa"/>
            <w:right w:w="108" w:type="dxa"/>
          </w:tblCellMar>
        </w:tblPrEx>
        <w:trPr>
          <w:cantSplit/>
          <w:trHeight w:val="1747" w:hRule="atLeas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c>
          <w:tcPr>
            <w:tcW w:w="83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c>
          <w:tcPr>
            <w:tcW w:w="83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c>
          <w:tcPr>
            <w:tcW w:w="132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c>
          <w:tcPr>
            <w:tcW w:w="9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合</w:t>
            </w:r>
          </w:p>
          <w:p>
            <w:pPr>
              <w:spacing w:line="360" w:lineRule="auto"/>
              <w:jc w:val="center"/>
              <w:rPr>
                <w:rFonts w:ascii="宋体" w:hAnsi="宋体" w:cs="宋体"/>
                <w:sz w:val="24"/>
              </w:rPr>
            </w:pPr>
            <w:r>
              <w:rPr>
                <w:rFonts w:hint="eastAsia" w:ascii="宋体" w:hAnsi="宋体" w:cs="宋体"/>
                <w:sz w:val="24"/>
              </w:rPr>
              <w:t>同</w:t>
            </w:r>
          </w:p>
        </w:tc>
        <w:tc>
          <w:tcPr>
            <w:tcW w:w="10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中标通知书</w:t>
            </w:r>
          </w:p>
        </w:tc>
        <w:tc>
          <w:tcPr>
            <w:tcW w:w="210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Layout w:type="fixed"/>
          <w:tblCellMar>
            <w:top w:w="0" w:type="dxa"/>
            <w:left w:w="108" w:type="dxa"/>
            <w:bottom w:w="0" w:type="dxa"/>
            <w:right w:w="108" w:type="dxa"/>
          </w:tblCellMar>
        </w:tblPrEx>
        <w:trPr>
          <w:trHeight w:val="611" w:hRule="atLeast"/>
        </w:trPr>
        <w:tc>
          <w:tcPr>
            <w:tcW w:w="1262"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831"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831"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1329"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949"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723" w:hRule="atLeast"/>
        </w:trPr>
        <w:tc>
          <w:tcPr>
            <w:tcW w:w="1262"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831"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831"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1329"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949"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611" w:hRule="atLeast"/>
        </w:trPr>
        <w:tc>
          <w:tcPr>
            <w:tcW w:w="1262"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831"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831"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1329"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949"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626" w:hRule="atLeast"/>
        </w:trPr>
        <w:tc>
          <w:tcPr>
            <w:tcW w:w="1262"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831"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831"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1329"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949"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611" w:hRule="atLeast"/>
        </w:trPr>
        <w:tc>
          <w:tcPr>
            <w:tcW w:w="1262"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831"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831"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1329"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949"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626" w:hRule="atLeast"/>
        </w:trPr>
        <w:tc>
          <w:tcPr>
            <w:tcW w:w="1262"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831"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831"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1329"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949"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626" w:hRule="atLeast"/>
        </w:trPr>
        <w:tc>
          <w:tcPr>
            <w:tcW w:w="1262"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831"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831"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1329"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949"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1050"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jc w:val="center"/>
              <w:rPr>
                <w:rFonts w:ascii="宋体" w:hAnsi="宋体" w:cs="宋体"/>
                <w:sz w:val="24"/>
              </w:rPr>
            </w:pPr>
          </w:p>
        </w:tc>
      </w:tr>
      <w:tr>
        <w:tblPrEx>
          <w:tblLayout w:type="fixed"/>
          <w:tblCellMar>
            <w:top w:w="0" w:type="dxa"/>
            <w:left w:w="108" w:type="dxa"/>
            <w:bottom w:w="0" w:type="dxa"/>
            <w:right w:w="108" w:type="dxa"/>
          </w:tblCellMar>
        </w:tblPrEx>
        <w:trPr>
          <w:trHeight w:val="504" w:hRule="atLeast"/>
        </w:trPr>
        <w:tc>
          <w:tcPr>
            <w:tcW w:w="1262" w:type="dxa"/>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rPr>
                <w:rFonts w:ascii="宋体" w:hAnsi="宋体" w:cs="宋体"/>
                <w:sz w:val="24"/>
              </w:rPr>
            </w:pPr>
            <w:r>
              <w:rPr>
                <w:rFonts w:hint="eastAsia" w:ascii="宋体" w:hAnsi="宋体" w:cs="宋体"/>
                <w:sz w:val="24"/>
              </w:rPr>
              <w:t>备注</w:t>
            </w:r>
          </w:p>
        </w:tc>
        <w:tc>
          <w:tcPr>
            <w:tcW w:w="8320" w:type="dxa"/>
            <w:gridSpan w:val="7"/>
            <w:tcBorders>
              <w:top w:val="single" w:color="000000" w:sz="4" w:space="0"/>
              <w:left w:val="single" w:color="000000" w:sz="4" w:space="0"/>
              <w:bottom w:val="single" w:color="000000" w:sz="4" w:space="0"/>
              <w:right w:val="single" w:color="000000" w:sz="4" w:space="0"/>
            </w:tcBorders>
            <w:vAlign w:val="center"/>
          </w:tcPr>
          <w:p>
            <w:pPr>
              <w:spacing w:before="50" w:after="120" w:line="360" w:lineRule="auto"/>
              <w:rPr>
                <w:rFonts w:ascii="宋体" w:hAnsi="宋体" w:cs="宋体"/>
                <w:sz w:val="24"/>
              </w:rPr>
            </w:pPr>
          </w:p>
        </w:tc>
      </w:tr>
    </w:tbl>
    <w:p>
      <w:pPr>
        <w:spacing w:before="152" w:after="160" w:line="360" w:lineRule="auto"/>
        <w:rPr>
          <w:rFonts w:ascii="宋体" w:hAnsi="宋体" w:cs="宋体"/>
          <w:szCs w:val="21"/>
        </w:rPr>
      </w:pPr>
    </w:p>
    <w:p>
      <w:pPr>
        <w:spacing w:line="360" w:lineRule="auto"/>
        <w:rPr>
          <w:rFonts w:ascii="宋体" w:hAnsi="宋体"/>
          <w:sz w:val="24"/>
          <w:szCs w:val="24"/>
        </w:rPr>
      </w:pPr>
      <w:r>
        <w:rPr>
          <w:rFonts w:hint="eastAsia" w:ascii="宋体" w:hAnsi="宋体"/>
          <w:sz w:val="24"/>
          <w:szCs w:val="24"/>
        </w:rPr>
        <w:t>磋商响应方全称（公章）：</w:t>
      </w:r>
    </w:p>
    <w:p>
      <w:pPr>
        <w:spacing w:line="360" w:lineRule="auto"/>
        <w:rPr>
          <w:rFonts w:ascii="宋体" w:hAnsi="宋体"/>
          <w:sz w:val="24"/>
          <w:szCs w:val="24"/>
        </w:rPr>
      </w:pPr>
      <w:r>
        <w:rPr>
          <w:rFonts w:hint="eastAsia" w:ascii="宋体" w:hAnsi="宋体"/>
          <w:sz w:val="24"/>
          <w:szCs w:val="24"/>
        </w:rPr>
        <w:t>法定代表或委托代理人（签字或盖章）：</w:t>
      </w:r>
    </w:p>
    <w:p>
      <w:pPr>
        <w:spacing w:line="360" w:lineRule="auto"/>
        <w:rPr>
          <w:rFonts w:ascii="宋体" w:hAnsi="宋体"/>
          <w:sz w:val="24"/>
          <w:szCs w:val="24"/>
        </w:rPr>
      </w:pPr>
      <w:r>
        <w:rPr>
          <w:rFonts w:hint="eastAsia" w:ascii="宋体" w:hAnsi="宋体"/>
          <w:sz w:val="24"/>
          <w:szCs w:val="24"/>
        </w:rPr>
        <w:t>日期：</w:t>
      </w:r>
    </w:p>
    <w:p>
      <w:pPr>
        <w:widowControl/>
        <w:jc w:val="left"/>
        <w:rPr>
          <w:rFonts w:asciiTheme="minorEastAsia" w:hAnsiTheme="minorEastAsia" w:eastAsiaTheme="minorEastAsia"/>
          <w:b/>
          <w:bCs/>
          <w:kern w:val="0"/>
          <w:sz w:val="28"/>
          <w:szCs w:val="28"/>
        </w:rPr>
      </w:pPr>
      <w:r>
        <w:rPr>
          <w:rFonts w:asciiTheme="minorEastAsia" w:hAnsiTheme="minorEastAsia" w:eastAsiaTheme="minorEastAsia"/>
          <w:sz w:val="28"/>
          <w:szCs w:val="28"/>
        </w:rPr>
        <w:br w:type="page"/>
      </w:r>
    </w:p>
    <w:p>
      <w:pPr>
        <w:snapToGrid w:val="0"/>
        <w:spacing w:before="50" w:after="120" w:afterLines="50"/>
        <w:jc w:val="left"/>
        <w:rPr>
          <w:rFonts w:asciiTheme="minorEastAsia" w:hAnsiTheme="minorEastAsia" w:eastAsiaTheme="minorEastAsia"/>
          <w:b/>
          <w:sz w:val="28"/>
          <w:szCs w:val="28"/>
        </w:rPr>
      </w:pPr>
      <w:bookmarkStart w:id="85" w:name="_Toc33695977"/>
      <w:r>
        <w:rPr>
          <w:rFonts w:hint="eastAsia" w:asciiTheme="minorEastAsia" w:hAnsiTheme="minorEastAsia" w:eastAsiaTheme="minorEastAsia"/>
          <w:b/>
          <w:sz w:val="28"/>
          <w:szCs w:val="28"/>
        </w:rPr>
        <w:t>附件</w:t>
      </w:r>
      <w:r>
        <w:rPr>
          <w:rFonts w:hint="eastAsia" w:asciiTheme="minorEastAsia" w:hAnsiTheme="minorEastAsia" w:eastAsiaTheme="minorEastAsia"/>
          <w:b/>
          <w:sz w:val="28"/>
          <w:szCs w:val="28"/>
          <w:lang w:val="en-US" w:eastAsia="zh-CN"/>
        </w:rPr>
        <w:t>8</w:t>
      </w:r>
      <w:r>
        <w:rPr>
          <w:rFonts w:hint="eastAsia" w:asciiTheme="minorEastAsia" w:hAnsiTheme="minorEastAsia" w:eastAsiaTheme="minorEastAsia"/>
          <w:b/>
          <w:sz w:val="28"/>
          <w:szCs w:val="28"/>
        </w:rPr>
        <w:t>：</w:t>
      </w:r>
      <w:bookmarkEnd w:id="85"/>
    </w:p>
    <w:p>
      <w:pPr>
        <w:snapToGrid w:val="0"/>
        <w:spacing w:before="50" w:after="120" w:afterLines="50"/>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磋商报价一览表</w:t>
      </w:r>
    </w:p>
    <w:p>
      <w:pPr>
        <w:snapToGrid w:val="0"/>
        <w:spacing w:before="50" w:after="120" w:afterLines="50" w:line="4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p>
      <w:pPr>
        <w:snapToGrid w:val="0"/>
        <w:spacing w:before="50" w:after="120" w:afterLines="50" w:line="4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p>
      <w:pPr>
        <w:snapToGrid w:val="0"/>
        <w:spacing w:before="50" w:after="120" w:afterLines="50" w:line="460" w:lineRule="exact"/>
        <w:jc w:val="right"/>
        <w:rPr>
          <w:rFonts w:eastAsiaTheme="minorEastAsia"/>
          <w:b/>
          <w:bCs/>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b/>
          <w:bCs/>
          <w:sz w:val="24"/>
          <w:szCs w:val="24"/>
        </w:rPr>
        <w:t xml:space="preserve"> </w:t>
      </w:r>
    </w:p>
    <w:tbl>
      <w:tblPr>
        <w:tblStyle w:val="54"/>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669"/>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snapToGrid w:val="0"/>
              <w:spacing w:before="50" w:after="120" w:afterLines="50"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3669" w:type="dxa"/>
            <w:vAlign w:val="center"/>
          </w:tcPr>
          <w:p>
            <w:pPr>
              <w:snapToGrid w:val="0"/>
              <w:spacing w:before="50" w:after="120" w:afterLines="50"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2568" w:type="dxa"/>
            <w:vAlign w:val="center"/>
          </w:tcPr>
          <w:p>
            <w:pPr>
              <w:snapToGrid w:val="0"/>
              <w:spacing w:before="50" w:after="120" w:afterLines="50"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磋商响应报价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2" w:hRule="atLeast"/>
        </w:trPr>
        <w:tc>
          <w:tcPr>
            <w:tcW w:w="1951" w:type="dxa"/>
            <w:vAlign w:val="center"/>
          </w:tcPr>
          <w:p>
            <w:pPr>
              <w:snapToGrid w:val="0"/>
              <w:spacing w:before="50" w:after="120" w:afterLines="50"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3669" w:type="dxa"/>
            <w:vAlign w:val="center"/>
          </w:tcPr>
          <w:p>
            <w:pPr>
              <w:snapToGrid w:val="0"/>
              <w:spacing w:before="50" w:after="120" w:afterLines="50" w:line="46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新昌县城东实验学校多媒体设备采购项目</w:t>
            </w:r>
          </w:p>
        </w:tc>
        <w:tc>
          <w:tcPr>
            <w:tcW w:w="2568" w:type="dxa"/>
            <w:vAlign w:val="center"/>
          </w:tcPr>
          <w:p>
            <w:pPr>
              <w:snapToGrid w:val="0"/>
              <w:spacing w:before="50" w:after="120" w:afterLines="50" w:line="4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6" w:hRule="atLeast"/>
        </w:trPr>
        <w:tc>
          <w:tcPr>
            <w:tcW w:w="1951" w:type="dxa"/>
            <w:vAlign w:val="center"/>
          </w:tcPr>
          <w:p>
            <w:pPr>
              <w:snapToGrid w:val="0"/>
              <w:spacing w:before="50" w:after="120" w:afterLines="50"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金额（大写）</w:t>
            </w:r>
          </w:p>
        </w:tc>
        <w:tc>
          <w:tcPr>
            <w:tcW w:w="6237" w:type="dxa"/>
            <w:gridSpan w:val="2"/>
            <w:vAlign w:val="center"/>
          </w:tcPr>
          <w:p>
            <w:pPr>
              <w:snapToGrid w:val="0"/>
              <w:spacing w:before="50" w:after="120" w:afterLines="50" w:line="460" w:lineRule="exact"/>
              <w:jc w:val="center"/>
              <w:rPr>
                <w:rFonts w:asciiTheme="minorEastAsia" w:hAnsiTheme="minorEastAsia" w:eastAsiaTheme="minorEastAsia"/>
                <w:sz w:val="24"/>
                <w:szCs w:val="24"/>
              </w:rPr>
            </w:pPr>
          </w:p>
        </w:tc>
      </w:tr>
    </w:tbl>
    <w:p>
      <w:pPr>
        <w:pStyle w:val="539"/>
        <w:tabs>
          <w:tab w:val="left" w:pos="454"/>
          <w:tab w:val="left" w:pos="900"/>
        </w:tabs>
        <w:spacing w:afterLines="0" w:line="400" w:lineRule="exact"/>
        <w:ind w:left="0" w:firstLine="480"/>
        <w:rPr>
          <w:rFonts w:hint="default"/>
          <w:szCs w:val="24"/>
        </w:rPr>
      </w:pPr>
      <w:r>
        <w:rPr>
          <w:rFonts w:asciiTheme="minorEastAsia" w:hAnsiTheme="minorEastAsia" w:eastAsiaTheme="minorEastAsia"/>
          <w:szCs w:val="24"/>
        </w:rPr>
        <w:t>注：</w:t>
      </w:r>
      <w:r>
        <w:rPr>
          <w:rFonts w:hint="eastAsia" w:asciiTheme="minorEastAsia" w:hAnsiTheme="minorEastAsia" w:eastAsiaTheme="minorEastAsia"/>
          <w:szCs w:val="24"/>
        </w:rPr>
        <w:t>磋商响应报价</w:t>
      </w:r>
      <w:r>
        <w:rPr>
          <w:rFonts w:hint="eastAsia" w:ascii="宋体" w:hAnsi="宋体"/>
          <w:color w:val="000000"/>
          <w:sz w:val="24"/>
          <w:szCs w:val="24"/>
        </w:rPr>
        <w:t>是履行合同的最终价格，</w:t>
      </w:r>
      <w:r>
        <w:rPr>
          <w:rFonts w:hint="eastAsia" w:ascii="宋体" w:hAnsi="宋体"/>
          <w:color w:val="000000"/>
          <w:sz w:val="24"/>
        </w:rPr>
        <w:t>即完成本项目服务内容和要求所产生的所有费用，包括所有的设备费、附加费（税金、运输、保险、包装、安装调试、服务、维护、代理服务费）等一切费用。</w:t>
      </w:r>
    </w:p>
    <w:p>
      <w:pPr>
        <w:snapToGrid w:val="0"/>
        <w:spacing w:before="50" w:after="120" w:afterLines="50" w:line="4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磋商响应方全称（公章）：</w:t>
      </w:r>
    </w:p>
    <w:p>
      <w:pPr>
        <w:snapToGrid w:val="0"/>
        <w:spacing w:before="50" w:after="120" w:afterLines="50" w:line="4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法定代表或委托代理人（签字或盖章）：</w:t>
      </w:r>
    </w:p>
    <w:p>
      <w:pPr>
        <w:snapToGrid w:val="0"/>
        <w:spacing w:before="50" w:after="120" w:afterLines="50" w:line="4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jc w:val="left"/>
        <w:rPr>
          <w:rFonts w:ascii="仿宋" w:hAnsi="仿宋" w:eastAsia="仿宋"/>
          <w:sz w:val="30"/>
          <w:szCs w:val="30"/>
        </w:rPr>
      </w:pPr>
      <w:r>
        <w:rPr>
          <w:rFonts w:ascii="仿宋" w:hAnsi="仿宋" w:eastAsia="仿宋"/>
          <w:sz w:val="30"/>
          <w:szCs w:val="30"/>
        </w:rPr>
        <w:br w:type="page"/>
      </w:r>
    </w:p>
    <w:p>
      <w:pPr>
        <w:snapToGrid w:val="0"/>
        <w:spacing w:before="50" w:after="120" w:afterLines="50" w:line="460" w:lineRule="exact"/>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附件</w:t>
      </w:r>
      <w:r>
        <w:rPr>
          <w:rFonts w:hint="eastAsia" w:asciiTheme="minorEastAsia" w:hAnsiTheme="minorEastAsia" w:eastAsiaTheme="minorEastAsia"/>
          <w:b/>
          <w:sz w:val="28"/>
          <w:szCs w:val="28"/>
          <w:lang w:val="en-US" w:eastAsia="zh-CN"/>
        </w:rPr>
        <w:t>9</w:t>
      </w:r>
      <w:r>
        <w:rPr>
          <w:rFonts w:hint="eastAsia" w:asciiTheme="minorEastAsia" w:hAnsiTheme="minorEastAsia" w:eastAsiaTheme="minorEastAsia"/>
          <w:b/>
          <w:sz w:val="28"/>
          <w:szCs w:val="28"/>
        </w:rPr>
        <w:t>：</w:t>
      </w:r>
    </w:p>
    <w:p>
      <w:pPr>
        <w:snapToGrid w:val="0"/>
        <w:spacing w:before="50" w:after="120" w:afterLines="50"/>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磋商分项报价明细表</w:t>
      </w:r>
    </w:p>
    <w:p>
      <w:pPr>
        <w:snapToGrid w:val="0"/>
        <w:spacing w:before="50" w:after="120" w:afterLines="50" w:line="4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p>
      <w:pPr>
        <w:snapToGrid w:val="0"/>
        <w:spacing w:before="50" w:after="120" w:afterLines="50" w:line="4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53"/>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trPr>
        <w:tc>
          <w:tcPr>
            <w:tcW w:w="9606"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b/>
                <w:sz w:val="24"/>
              </w:rPr>
            </w:pPr>
            <w:r>
              <w:rPr>
                <w:rFonts w:ascii="宋体" w:hAnsi="宋体"/>
                <w:b/>
                <w:sz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left"/>
              <w:rPr>
                <w:rFonts w:ascii="宋体" w:hAnsi="宋体"/>
                <w:b/>
                <w:sz w:val="24"/>
              </w:rPr>
            </w:pPr>
            <w:r>
              <w:rPr>
                <w:rFonts w:ascii="宋体" w:hAnsi="宋体"/>
                <w:b/>
                <w:sz w:val="24"/>
              </w:rPr>
              <w:t>货物</w:t>
            </w:r>
          </w:p>
          <w:p>
            <w:pPr>
              <w:snapToGrid w:val="0"/>
              <w:spacing w:line="400" w:lineRule="exact"/>
              <w:jc w:val="left"/>
              <w:rPr>
                <w:rFonts w:ascii="宋体" w:hAnsi="宋体"/>
                <w:b/>
                <w:sz w:val="24"/>
              </w:rPr>
            </w:pPr>
            <w:r>
              <w:rPr>
                <w:rFonts w:ascii="宋体" w:hAnsi="宋体"/>
                <w:b/>
                <w:sz w:val="24"/>
              </w:rPr>
              <w:t>名称</w:t>
            </w:r>
          </w:p>
        </w:tc>
        <w:tc>
          <w:tcPr>
            <w:tcW w:w="67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left"/>
              <w:rPr>
                <w:rFonts w:ascii="宋体" w:hAnsi="宋体"/>
                <w:b/>
                <w:sz w:val="24"/>
              </w:rPr>
            </w:pPr>
            <w:r>
              <w:rPr>
                <w:rFonts w:ascii="宋体" w:hAnsi="宋体"/>
                <w:b/>
                <w:sz w:val="24"/>
              </w:rPr>
              <w:t>品牌</w:t>
            </w:r>
          </w:p>
        </w:tc>
        <w:tc>
          <w:tcPr>
            <w:tcW w:w="85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left"/>
              <w:rPr>
                <w:rFonts w:ascii="宋体" w:hAnsi="宋体"/>
                <w:b/>
                <w:sz w:val="24"/>
              </w:rPr>
            </w:pPr>
            <w:r>
              <w:rPr>
                <w:rFonts w:ascii="宋体" w:hAnsi="宋体"/>
                <w:b/>
                <w:sz w:val="24"/>
              </w:rPr>
              <w:t>产地</w:t>
            </w:r>
          </w:p>
        </w:tc>
        <w:tc>
          <w:tcPr>
            <w:tcW w:w="1029"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left"/>
              <w:rPr>
                <w:rFonts w:ascii="宋体" w:hAnsi="宋体"/>
                <w:b/>
                <w:sz w:val="24"/>
              </w:rPr>
            </w:pPr>
            <w:r>
              <w:rPr>
                <w:rFonts w:ascii="宋体" w:hAnsi="宋体"/>
                <w:b/>
                <w:sz w:val="24"/>
              </w:rPr>
              <w:t>规格</w:t>
            </w:r>
          </w:p>
          <w:p>
            <w:pPr>
              <w:snapToGrid w:val="0"/>
              <w:spacing w:line="400" w:lineRule="exact"/>
              <w:jc w:val="left"/>
              <w:rPr>
                <w:rFonts w:ascii="宋体" w:hAnsi="宋体"/>
                <w:b/>
                <w:sz w:val="24"/>
              </w:rPr>
            </w:pPr>
            <w:r>
              <w:rPr>
                <w:rFonts w:ascii="宋体" w:hAnsi="宋体"/>
                <w:b/>
                <w:sz w:val="24"/>
              </w:rPr>
              <w:t>型号</w:t>
            </w:r>
          </w:p>
        </w:tc>
        <w:tc>
          <w:tcPr>
            <w:tcW w:w="957"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left"/>
              <w:rPr>
                <w:rFonts w:ascii="宋体" w:hAnsi="宋体"/>
                <w:b/>
                <w:sz w:val="24"/>
              </w:rPr>
            </w:pPr>
            <w:r>
              <w:rPr>
                <w:rFonts w:ascii="宋体" w:hAnsi="宋体"/>
                <w:b/>
                <w:sz w:val="24"/>
              </w:rPr>
              <w:t>数量</w:t>
            </w:r>
          </w:p>
        </w:tc>
        <w:tc>
          <w:tcPr>
            <w:tcW w:w="85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left"/>
              <w:rPr>
                <w:rFonts w:ascii="宋体" w:hAnsi="宋体"/>
                <w:b/>
                <w:sz w:val="24"/>
              </w:rPr>
            </w:pPr>
            <w:r>
              <w:rPr>
                <w:rFonts w:ascii="宋体" w:hAnsi="宋体"/>
                <w:b/>
                <w:sz w:val="24"/>
              </w:rPr>
              <w:t>单价</w:t>
            </w:r>
          </w:p>
          <w:p>
            <w:pPr>
              <w:snapToGrid w:val="0"/>
              <w:spacing w:line="400" w:lineRule="exact"/>
              <w:jc w:val="left"/>
              <w:rPr>
                <w:rFonts w:ascii="宋体" w:hAnsi="宋体"/>
                <w:b/>
                <w:sz w:val="24"/>
              </w:rPr>
            </w:pPr>
            <w:r>
              <w:rPr>
                <w:rFonts w:ascii="宋体" w:hAnsi="宋体"/>
                <w:b/>
                <w:sz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left"/>
              <w:rPr>
                <w:rFonts w:ascii="宋体" w:hAnsi="宋体"/>
                <w:b/>
                <w:sz w:val="24"/>
              </w:rPr>
            </w:pPr>
            <w:r>
              <w:rPr>
                <w:rFonts w:ascii="宋体" w:hAnsi="宋体"/>
                <w:b/>
                <w:sz w:val="24"/>
              </w:rPr>
              <w:t>总价（元）</w:t>
            </w:r>
          </w:p>
        </w:tc>
        <w:tc>
          <w:tcPr>
            <w:tcW w:w="325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b/>
                <w:sz w:val="24"/>
              </w:rPr>
            </w:pPr>
            <w:r>
              <w:rPr>
                <w:rFonts w:ascii="宋体" w:hAnsi="宋体"/>
                <w:b/>
                <w:sz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b/>
                <w:sz w:val="24"/>
              </w:rPr>
            </w:pPr>
          </w:p>
        </w:tc>
        <w:tc>
          <w:tcPr>
            <w:tcW w:w="67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b/>
                <w:sz w:val="24"/>
              </w:rPr>
            </w:pPr>
          </w:p>
        </w:tc>
        <w:tc>
          <w:tcPr>
            <w:tcW w:w="102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b/>
                <w:sz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b/>
                <w:sz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b/>
                <w:sz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b/>
                <w:sz w:val="24"/>
              </w:rPr>
            </w:pPr>
          </w:p>
        </w:tc>
        <w:tc>
          <w:tcPr>
            <w:tcW w:w="1277"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宋体" w:hAnsi="宋体"/>
                <w:b/>
                <w:sz w:val="24"/>
              </w:rPr>
            </w:pPr>
            <w:r>
              <w:rPr>
                <w:rFonts w:ascii="宋体" w:hAnsi="宋体"/>
                <w:b/>
                <w:sz w:val="24"/>
              </w:rPr>
              <w:t>是否小微企业</w:t>
            </w:r>
          </w:p>
        </w:tc>
        <w:tc>
          <w:tcPr>
            <w:tcW w:w="1980"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宋体" w:hAnsi="宋体"/>
                <w:b/>
                <w:sz w:val="24"/>
              </w:rPr>
            </w:pPr>
            <w:r>
              <w:rPr>
                <w:rFonts w:ascii="宋体" w:hAnsi="宋体"/>
                <w:b/>
                <w:sz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r>
              <w:rPr>
                <w:rFonts w:ascii="宋体" w:hAnsi="宋体"/>
                <w:b/>
                <w:sz w:val="24"/>
              </w:rPr>
              <w:t>…</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606"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left"/>
              <w:rPr>
                <w:rFonts w:ascii="宋体" w:hAnsi="宋体"/>
                <w:b/>
                <w:sz w:val="24"/>
              </w:rPr>
            </w:pPr>
            <w:r>
              <w:rPr>
                <w:rFonts w:ascii="宋体" w:hAnsi="宋体"/>
                <w:b/>
                <w:sz w:val="24"/>
              </w:rPr>
              <w:t>投标总价合计金额大写：                                小写： ￥</w:t>
            </w:r>
            <w:r>
              <w:rPr>
                <w:rFonts w:ascii="宋体" w:hAnsi="宋体"/>
                <w:b/>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 w:val="24"/>
              </w:rPr>
            </w:pPr>
            <w:r>
              <w:rPr>
                <w:rFonts w:ascii="宋体" w:hAnsi="宋体"/>
                <w:sz w:val="24"/>
              </w:rPr>
              <w:t>备注</w:t>
            </w:r>
          </w:p>
        </w:tc>
        <w:tc>
          <w:tcPr>
            <w:tcW w:w="9073"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 w:val="24"/>
              </w:rPr>
            </w:pPr>
            <w:r>
              <w:rPr>
                <w:rFonts w:ascii="宋体" w:hAnsi="宋体"/>
                <w:sz w:val="24"/>
              </w:rPr>
              <w:t>1.此表应按项目的明细情况列项填报,在填写时，如上表不适合本项目的实际情况，可在确保投标明细内容完整的情况下，根据上表格式自行划表填写。</w:t>
            </w:r>
          </w:p>
          <w:p>
            <w:pPr>
              <w:snapToGrid w:val="0"/>
              <w:spacing w:line="460" w:lineRule="exact"/>
              <w:jc w:val="left"/>
              <w:rPr>
                <w:rFonts w:ascii="宋体" w:hAnsi="宋体"/>
                <w:sz w:val="24"/>
              </w:rPr>
            </w:pPr>
            <w:r>
              <w:rPr>
                <w:rFonts w:ascii="宋体" w:hAnsi="宋体"/>
                <w:sz w:val="24"/>
              </w:rPr>
              <w:t>2.报价要求：</w:t>
            </w:r>
            <w:r>
              <w:rPr>
                <w:rFonts w:hint="eastAsia" w:ascii="宋体" w:hAnsi="宋体"/>
                <w:sz w:val="24"/>
              </w:rPr>
              <w:t>磋商响应报价是履行合同的最终价格，</w:t>
            </w:r>
            <w:r>
              <w:rPr>
                <w:rFonts w:hint="eastAsia" w:ascii="宋体" w:hAnsi="宋体"/>
                <w:color w:val="000000"/>
                <w:sz w:val="24"/>
              </w:rPr>
              <w:t>即完成本项目服务内容和要求所产生的所有费用，包括所有的设备费、附加费（税金、运输、保险、包装、安装调试、服务、维护、代理服务费）等一切费用。</w:t>
            </w:r>
          </w:p>
          <w:p>
            <w:pPr>
              <w:snapToGrid w:val="0"/>
              <w:jc w:val="left"/>
              <w:rPr>
                <w:rFonts w:ascii="宋体" w:hAnsi="宋体"/>
                <w:sz w:val="24"/>
              </w:rPr>
            </w:pPr>
            <w:r>
              <w:rPr>
                <w:rFonts w:ascii="宋体" w:hAnsi="宋体"/>
                <w:sz w:val="24"/>
              </w:rPr>
              <w:t>3.报价中不允许出现报价优惠等字样,投标总价合计金额应与明细报价汇总相等。</w:t>
            </w:r>
          </w:p>
        </w:tc>
      </w:tr>
    </w:tbl>
    <w:p>
      <w:pPr>
        <w:pStyle w:val="539"/>
        <w:tabs>
          <w:tab w:val="left" w:pos="454"/>
          <w:tab w:val="left" w:pos="900"/>
        </w:tabs>
        <w:spacing w:afterLines="0" w:line="400" w:lineRule="exact"/>
        <w:ind w:left="0" w:firstLine="480"/>
        <w:rPr>
          <w:rFonts w:hint="eastAsia" w:asciiTheme="minorEastAsia" w:hAnsiTheme="minorEastAsia" w:eastAsiaTheme="minorEastAsia"/>
          <w:sz w:val="24"/>
          <w:szCs w:val="24"/>
        </w:rPr>
      </w:pPr>
    </w:p>
    <w:p>
      <w:pPr>
        <w:pStyle w:val="539"/>
        <w:tabs>
          <w:tab w:val="left" w:pos="454"/>
          <w:tab w:val="left" w:pos="900"/>
        </w:tabs>
        <w:spacing w:afterLines="0" w:line="400" w:lineRule="exact"/>
        <w:ind w:left="0" w:firstLine="480"/>
        <w:rPr>
          <w:rFonts w:hint="default"/>
          <w:szCs w:val="24"/>
        </w:rPr>
      </w:pPr>
      <w:r>
        <w:rPr>
          <w:rFonts w:hint="eastAsia" w:asciiTheme="minorEastAsia" w:hAnsiTheme="minorEastAsia" w:eastAsiaTheme="minorEastAsia"/>
          <w:sz w:val="24"/>
          <w:szCs w:val="24"/>
        </w:rPr>
        <w:t>注：磋商响应报价</w:t>
      </w:r>
      <w:r>
        <w:rPr>
          <w:rFonts w:hint="eastAsia" w:ascii="宋体" w:hAnsi="宋体"/>
          <w:color w:val="000000"/>
          <w:sz w:val="24"/>
          <w:szCs w:val="24"/>
        </w:rPr>
        <w:t>是履行合同的最终价格，即完成本项目服务内容和要求所产生的所有费用，</w:t>
      </w:r>
      <w:r>
        <w:rPr>
          <w:rFonts w:ascii="宋体" w:hAnsi="宋体"/>
          <w:szCs w:val="24"/>
        </w:rPr>
        <w:t>包括提供服务所需的一切</w:t>
      </w:r>
      <w:r>
        <w:rPr>
          <w:rFonts w:hint="eastAsia" w:ascii="宋体" w:hAnsi="宋体"/>
          <w:szCs w:val="24"/>
          <w:lang w:val="en-US" w:eastAsia="zh-CN"/>
        </w:rPr>
        <w:t>人员工资、社会保险、</w:t>
      </w:r>
      <w:r>
        <w:rPr>
          <w:rFonts w:ascii="宋体" w:hAnsi="宋体"/>
          <w:szCs w:val="24"/>
        </w:rPr>
        <w:t>管理费、税费、利润、招标代理服务费、完成合同所需的一切本身和不可或缺的所有工作开支、政策性文件规定计合同包含的所有风险、责任等各项全部费用。</w:t>
      </w:r>
    </w:p>
    <w:p>
      <w:pPr>
        <w:snapToGrid w:val="0"/>
        <w:spacing w:before="50" w:after="120" w:afterLines="50" w:line="460" w:lineRule="exact"/>
        <w:ind w:firstLine="480" w:firstLineChars="200"/>
        <w:jc w:val="left"/>
        <w:rPr>
          <w:rFonts w:ascii="宋体" w:hAnsi="宋体"/>
          <w:sz w:val="24"/>
          <w:szCs w:val="24"/>
        </w:rPr>
      </w:pPr>
    </w:p>
    <w:p>
      <w:pPr>
        <w:snapToGrid w:val="0"/>
        <w:spacing w:before="50" w:after="120" w:afterLines="50" w:line="4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磋商响应方全称（公章）：</w:t>
      </w:r>
    </w:p>
    <w:p>
      <w:pPr>
        <w:snapToGrid w:val="0"/>
        <w:spacing w:before="50" w:after="120" w:afterLines="50" w:line="4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法定代表或委托代理人（签字或盖章）：</w:t>
      </w:r>
    </w:p>
    <w:p>
      <w:pPr>
        <w:snapToGrid w:val="0"/>
        <w:spacing w:before="50" w:after="120" w:afterLines="50" w:line="46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napToGrid w:val="0"/>
        <w:spacing w:before="50" w:after="120" w:afterLines="50" w:line="460" w:lineRule="exact"/>
        <w:jc w:val="left"/>
        <w:rPr>
          <w:rFonts w:ascii="仿宋" w:hAnsi="仿宋" w:eastAsia="仿宋"/>
          <w:sz w:val="30"/>
          <w:szCs w:val="30"/>
        </w:rPr>
      </w:pPr>
    </w:p>
    <w:p>
      <w:pPr>
        <w:pStyle w:val="28"/>
        <w:snapToGrid w:val="0"/>
        <w:spacing w:before="120" w:after="120" w:line="460" w:lineRule="exact"/>
        <w:rPr>
          <w:rFonts w:ascii="仿宋" w:hAnsi="仿宋" w:eastAsia="仿宋"/>
          <w:sz w:val="30"/>
          <w:szCs w:val="30"/>
        </w:rPr>
      </w:pPr>
      <w:r>
        <w:rPr>
          <w:rFonts w:hint="eastAsia" w:ascii="仿宋" w:hAnsi="仿宋" w:eastAsia="仿宋"/>
          <w:sz w:val="30"/>
          <w:szCs w:val="30"/>
        </w:rPr>
        <w:t xml:space="preserve"> </w:t>
      </w:r>
    </w:p>
    <w:p>
      <w:pPr>
        <w:snapToGrid w:val="0"/>
        <w:spacing w:before="50" w:after="50"/>
        <w:rPr>
          <w:rFonts w:asciiTheme="minorEastAsia" w:hAnsiTheme="minorEastAsia" w:eastAsiaTheme="minorEastAsia"/>
          <w:b/>
          <w:sz w:val="28"/>
          <w:szCs w:val="28"/>
        </w:rPr>
      </w:pPr>
      <w:r>
        <w:rPr>
          <w:rFonts w:hint="eastAsia" w:ascii="仿宋" w:hAnsi="仿宋" w:eastAsia="仿宋"/>
          <w:sz w:val="30"/>
          <w:szCs w:val="30"/>
        </w:rPr>
        <w:br w:type="page"/>
      </w:r>
      <w:r>
        <w:rPr>
          <w:rFonts w:hint="eastAsia" w:asciiTheme="minorEastAsia" w:hAnsiTheme="minorEastAsia" w:eastAsiaTheme="minorEastAsia"/>
          <w:b/>
          <w:sz w:val="28"/>
          <w:szCs w:val="28"/>
        </w:rPr>
        <w:t>附件</w:t>
      </w:r>
      <w:r>
        <w:rPr>
          <w:rFonts w:hint="eastAsia" w:asciiTheme="minorEastAsia" w:hAnsiTheme="minorEastAsia" w:eastAsiaTheme="minorEastAsia"/>
          <w:b/>
          <w:sz w:val="28"/>
          <w:szCs w:val="28"/>
          <w:lang w:val="en-US" w:eastAsia="zh-CN"/>
        </w:rPr>
        <w:t>10</w:t>
      </w:r>
      <w:r>
        <w:rPr>
          <w:rFonts w:hint="eastAsia" w:asciiTheme="minorEastAsia" w:hAnsiTheme="minorEastAsia" w:eastAsiaTheme="minorEastAsia"/>
          <w:b/>
          <w:sz w:val="28"/>
          <w:szCs w:val="28"/>
        </w:rPr>
        <w:t>：</w:t>
      </w:r>
      <w:r>
        <w:rPr>
          <w:rFonts w:asciiTheme="minorEastAsia" w:hAnsiTheme="minorEastAsia" w:eastAsiaTheme="minorEastAsia"/>
          <w:b/>
          <w:sz w:val="28"/>
          <w:szCs w:val="28"/>
        </w:rPr>
        <w:t xml:space="preserve"> </w:t>
      </w:r>
    </w:p>
    <w:p>
      <w:pPr>
        <w:snapToGrid w:val="0"/>
        <w:spacing w:before="50" w:after="120" w:afterLines="5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 </w:t>
      </w:r>
      <w:r>
        <w:rPr>
          <w:rFonts w:asciiTheme="minorEastAsia" w:hAnsiTheme="minorEastAsia" w:eastAsiaTheme="minorEastAsia"/>
          <w:b/>
          <w:bCs/>
          <w:sz w:val="28"/>
          <w:szCs w:val="28"/>
        </w:rPr>
        <w:t>小微企业声明函</w:t>
      </w:r>
    </w:p>
    <w:p>
      <w:pPr>
        <w:ind w:firstLine="560"/>
        <w:rPr>
          <w:rFonts w:ascii="宋体" w:hAnsi="宋体"/>
          <w:sz w:val="24"/>
          <w:szCs w:val="24"/>
        </w:rPr>
      </w:pPr>
      <w:r>
        <w:rPr>
          <w:rFonts w:ascii="宋体" w:hAnsi="宋体"/>
          <w:sz w:val="24"/>
          <w:szCs w:val="24"/>
        </w:rPr>
        <w:t>本公司郑重声明，根据《政府采购促进中小企业发展暂行办法》（财库〔2011〕181号）的规定，本公司为</w:t>
      </w:r>
      <w:r>
        <w:rPr>
          <w:rFonts w:ascii="宋体" w:hAnsi="宋体"/>
          <w:sz w:val="24"/>
          <w:szCs w:val="24"/>
          <w:u w:val="single"/>
        </w:rPr>
        <w:t xml:space="preserve">                  </w:t>
      </w:r>
      <w:r>
        <w:rPr>
          <w:rFonts w:ascii="宋体" w:hAnsi="宋体"/>
          <w:sz w:val="24"/>
          <w:szCs w:val="24"/>
        </w:rPr>
        <w:t>（请填写：小型、微型）企业。即，本公司同时满足以下条件：</w:t>
      </w:r>
    </w:p>
    <w:p>
      <w:pPr>
        <w:ind w:firstLine="560"/>
        <w:rPr>
          <w:rFonts w:ascii="宋体" w:hAnsi="宋体"/>
          <w:sz w:val="24"/>
          <w:szCs w:val="24"/>
        </w:rPr>
      </w:pPr>
      <w:r>
        <w:rPr>
          <w:rFonts w:ascii="宋体" w:hAnsi="宋体"/>
          <w:sz w:val="24"/>
          <w:szCs w:val="24"/>
        </w:rPr>
        <w:t>1.根据《工业和信息化部、国家统计局、国家发展和改革委员会、财政部关于印发中小企业划型标准规定的通知》（工信部联企业〔2011〕300号）规定的划分标准，本公司为</w:t>
      </w:r>
      <w:r>
        <w:rPr>
          <w:rFonts w:ascii="宋体" w:hAnsi="宋体"/>
          <w:sz w:val="24"/>
          <w:szCs w:val="24"/>
          <w:u w:val="single"/>
        </w:rPr>
        <w:t xml:space="preserve">               </w:t>
      </w:r>
      <w:r>
        <w:rPr>
          <w:rFonts w:ascii="宋体" w:hAnsi="宋体"/>
          <w:sz w:val="24"/>
          <w:szCs w:val="24"/>
        </w:rPr>
        <w:t>（请填写：小型、微型）企业。</w:t>
      </w:r>
    </w:p>
    <w:p>
      <w:pPr>
        <w:ind w:firstLine="560"/>
        <w:rPr>
          <w:rFonts w:ascii="宋体" w:hAnsi="宋体"/>
          <w:sz w:val="24"/>
          <w:szCs w:val="24"/>
        </w:rPr>
      </w:pPr>
      <w:r>
        <w:rPr>
          <w:rFonts w:ascii="宋体" w:hAnsi="宋体"/>
          <w:sz w:val="24"/>
          <w:szCs w:val="24"/>
        </w:rPr>
        <w:t>2.本公司参加</w:t>
      </w:r>
      <w:r>
        <w:rPr>
          <w:rFonts w:ascii="宋体" w:hAnsi="宋体"/>
          <w:sz w:val="24"/>
          <w:szCs w:val="24"/>
          <w:u w:val="single"/>
        </w:rPr>
        <w:t xml:space="preserve">             </w:t>
      </w:r>
      <w:r>
        <w:rPr>
          <w:rFonts w:ascii="宋体" w:hAnsi="宋体"/>
          <w:sz w:val="24"/>
          <w:szCs w:val="24"/>
        </w:rPr>
        <w:t>单位的</w:t>
      </w:r>
      <w:r>
        <w:rPr>
          <w:rFonts w:ascii="宋体" w:hAnsi="宋体"/>
          <w:sz w:val="24"/>
          <w:szCs w:val="24"/>
          <w:u w:val="single"/>
        </w:rPr>
        <w:t xml:space="preserve">           </w:t>
      </w:r>
      <w:r>
        <w:rPr>
          <w:rFonts w:ascii="宋体" w:hAnsi="宋体"/>
          <w:sz w:val="24"/>
          <w:szCs w:val="24"/>
        </w:rPr>
        <w:t>项目采购活动提供本企业制造的货物，由本企业承担工程、提供服务，或者提供其他</w:t>
      </w:r>
      <w:r>
        <w:rPr>
          <w:rFonts w:ascii="宋体" w:hAnsi="宋体"/>
          <w:sz w:val="24"/>
          <w:szCs w:val="24"/>
          <w:u w:val="single"/>
        </w:rPr>
        <w:t xml:space="preserve">                     </w:t>
      </w:r>
      <w:r>
        <w:rPr>
          <w:rFonts w:ascii="宋体" w:hAnsi="宋体"/>
          <w:sz w:val="24"/>
          <w:szCs w:val="24"/>
        </w:rPr>
        <w:t>（请填写：小型、微型）企业制造的货物。本条所称货物不包括使用大型企业注册商标的货物。</w:t>
      </w:r>
    </w:p>
    <w:p>
      <w:pPr>
        <w:ind w:firstLine="560"/>
        <w:rPr>
          <w:rFonts w:ascii="宋体" w:hAnsi="宋体"/>
          <w:sz w:val="24"/>
          <w:szCs w:val="24"/>
        </w:rPr>
      </w:pPr>
      <w:r>
        <w:rPr>
          <w:rFonts w:ascii="宋体" w:hAnsi="宋体"/>
          <w:sz w:val="24"/>
          <w:szCs w:val="24"/>
        </w:rPr>
        <w:t>本公司对上述声明的真实性负责。如有虚假，将依法承担相应责任。</w:t>
      </w:r>
    </w:p>
    <w:p>
      <w:pPr>
        <w:ind w:firstLine="560"/>
        <w:jc w:val="right"/>
        <w:rPr>
          <w:rFonts w:ascii="宋体" w:hAnsi="宋体"/>
          <w:sz w:val="24"/>
          <w:szCs w:val="24"/>
        </w:rPr>
      </w:pPr>
      <w:r>
        <w:rPr>
          <w:rFonts w:ascii="宋体" w:hAnsi="宋体"/>
          <w:sz w:val="24"/>
          <w:szCs w:val="24"/>
        </w:rPr>
        <w:t xml:space="preserve">                     </w:t>
      </w:r>
      <w:r>
        <w:rPr>
          <w:rFonts w:hint="eastAsia" w:ascii="宋体" w:hAnsi="宋体"/>
          <w:sz w:val="24"/>
          <w:szCs w:val="24"/>
        </w:rPr>
        <w:t>磋商响应方名称（盖章）：</w:t>
      </w:r>
    </w:p>
    <w:p>
      <w:pPr>
        <w:ind w:firstLine="560"/>
        <w:jc w:val="right"/>
        <w:rPr>
          <w:rFonts w:ascii="宋体" w:hAnsi="宋体"/>
          <w:sz w:val="24"/>
          <w:szCs w:val="24"/>
        </w:rPr>
      </w:pPr>
      <w:r>
        <w:rPr>
          <w:rFonts w:hint="eastAsia" w:ascii="宋体" w:hAnsi="宋体"/>
          <w:sz w:val="24"/>
          <w:szCs w:val="24"/>
        </w:rPr>
        <w:t>日期：   年  月  日</w:t>
      </w:r>
      <w:r>
        <w:rPr>
          <w:rFonts w:ascii="宋体" w:hAnsi="宋体"/>
          <w:sz w:val="24"/>
          <w:szCs w:val="24"/>
        </w:rPr>
        <w:t xml:space="preserve">      </w:t>
      </w:r>
    </w:p>
    <w:p>
      <w:pPr>
        <w:spacing w:line="440" w:lineRule="atLeast"/>
        <w:jc w:val="center"/>
        <w:rPr>
          <w:rFonts w:ascii="宋体" w:hAnsi="宋体"/>
          <w:b/>
          <w:kern w:val="1"/>
          <w:sz w:val="24"/>
          <w:szCs w:val="24"/>
        </w:rPr>
      </w:pPr>
      <w:r>
        <w:rPr>
          <w:rFonts w:ascii="宋体" w:hAnsi="宋体"/>
          <w:b/>
          <w:kern w:val="1"/>
          <w:sz w:val="24"/>
          <w:szCs w:val="24"/>
        </w:rPr>
        <w:t>国家企业信用信息公示系统---小微企业名录”页面查询结果参考格式</w:t>
      </w:r>
    </w:p>
    <w:p>
      <w:pPr>
        <w:spacing w:line="440" w:lineRule="atLeast"/>
        <w:rPr>
          <w:rFonts w:ascii="宋体" w:hAnsi="宋体"/>
          <w:b/>
          <w:kern w:val="1"/>
          <w:sz w:val="24"/>
          <w:szCs w:val="24"/>
        </w:rPr>
      </w:pPr>
      <w:r>
        <w:rPr>
          <w:rFonts w:ascii="宋体" w:hAnsi="宋体"/>
          <w:b/>
          <w:kern w:val="1"/>
          <w:sz w:val="24"/>
          <w:szCs w:val="24"/>
        </w:rPr>
        <w:drawing>
          <wp:inline distT="0" distB="0" distL="0" distR="0">
            <wp:extent cx="4667250" cy="2800350"/>
            <wp:effectExtent l="19050" t="0" r="0" b="0"/>
            <wp:docPr id="1" name="图片 2" descr="Y_~4UK_~Q3ZGT$~BOBAS6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Y_~4UK_~Q3ZGT$~BOBAS6GK"/>
                    <pic:cNvPicPr>
                      <a:picLocks noChangeAspect="1" noChangeArrowheads="1"/>
                    </pic:cNvPicPr>
                  </pic:nvPicPr>
                  <pic:blipFill>
                    <a:blip r:embed="rId18" cstate="print"/>
                    <a:srcRect/>
                    <a:stretch>
                      <a:fillRect/>
                    </a:stretch>
                  </pic:blipFill>
                  <pic:spPr>
                    <a:xfrm>
                      <a:off x="0" y="0"/>
                      <a:ext cx="4667250" cy="2800350"/>
                    </a:xfrm>
                    <a:prstGeom prst="rect">
                      <a:avLst/>
                    </a:prstGeom>
                    <a:noFill/>
                    <a:ln w="9525">
                      <a:noFill/>
                      <a:miter lim="800000"/>
                      <a:headEnd/>
                      <a:tailEnd/>
                    </a:ln>
                  </pic:spPr>
                </pic:pic>
              </a:graphicData>
            </a:graphic>
          </wp:inline>
        </w:drawing>
      </w:r>
    </w:p>
    <w:p>
      <w:pPr>
        <w:spacing w:line="312" w:lineRule="auto"/>
        <w:rPr>
          <w:rFonts w:ascii="宋体" w:hAnsi="宋体"/>
          <w:b/>
          <w:sz w:val="24"/>
          <w:szCs w:val="24"/>
        </w:rPr>
      </w:pPr>
      <w:r>
        <w:rPr>
          <w:rFonts w:ascii="宋体" w:hAnsi="宋体"/>
          <w:b/>
          <w:sz w:val="24"/>
          <w:szCs w:val="24"/>
        </w:rPr>
        <w:t>备注说明：</w:t>
      </w:r>
    </w:p>
    <w:p>
      <w:pPr>
        <w:spacing w:line="312" w:lineRule="auto"/>
        <w:ind w:firstLine="602" w:firstLineChars="250"/>
        <w:rPr>
          <w:rFonts w:ascii="宋体" w:hAnsi="宋体"/>
          <w:b/>
          <w:sz w:val="24"/>
          <w:szCs w:val="24"/>
        </w:rPr>
      </w:pPr>
      <w:r>
        <w:rPr>
          <w:rFonts w:ascii="宋体" w:hAnsi="宋体"/>
          <w:b/>
          <w:sz w:val="24"/>
          <w:szCs w:val="24"/>
        </w:rPr>
        <w:t>1.《中小企业声明函》中，须同时满足以上两个条件。如磋商响应方提供非本企业制造的货物，须提供制造商“国家企业信用信息公示系统——小微企业名录”页面查询结果（查询时间为投标前一周内，并加盖磋商响应方公章）；</w:t>
      </w:r>
    </w:p>
    <w:p>
      <w:pPr>
        <w:spacing w:line="312" w:lineRule="auto"/>
        <w:ind w:firstLine="602" w:firstLineChars="250"/>
        <w:rPr>
          <w:rFonts w:ascii="宋体" w:hAnsi="宋体"/>
          <w:b/>
          <w:sz w:val="24"/>
          <w:szCs w:val="24"/>
        </w:rPr>
      </w:pPr>
      <w:r>
        <w:rPr>
          <w:rFonts w:ascii="宋体" w:hAnsi="宋体"/>
          <w:b/>
          <w:sz w:val="24"/>
          <w:szCs w:val="24"/>
        </w:rPr>
        <w:br w:type="page"/>
      </w:r>
    </w:p>
    <w:p>
      <w:pPr>
        <w:snapToGrid w:val="0"/>
        <w:spacing w:line="440" w:lineRule="exact"/>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附件</w:t>
      </w:r>
      <w:r>
        <w:rPr>
          <w:rFonts w:hint="eastAsia" w:asciiTheme="minorEastAsia" w:hAnsiTheme="minorEastAsia" w:eastAsiaTheme="minorEastAsia"/>
          <w:b/>
          <w:sz w:val="28"/>
          <w:szCs w:val="28"/>
          <w:lang w:val="en-US" w:eastAsia="zh-CN"/>
        </w:rPr>
        <w:t>11</w:t>
      </w:r>
      <w:r>
        <w:rPr>
          <w:rFonts w:hint="eastAsia" w:asciiTheme="minorEastAsia" w:hAnsiTheme="minorEastAsia" w:eastAsiaTheme="minorEastAsia"/>
          <w:b/>
          <w:sz w:val="28"/>
          <w:szCs w:val="28"/>
        </w:rPr>
        <w:t>：</w:t>
      </w:r>
    </w:p>
    <w:p>
      <w:pPr>
        <w:pStyle w:val="2"/>
      </w:pPr>
    </w:p>
    <w:p>
      <w:pPr>
        <w:adjustRightInd w:val="0"/>
        <w:snapToGrid w:val="0"/>
        <w:jc w:val="center"/>
        <w:textAlignment w:val="baseline"/>
        <w:rPr>
          <w:rFonts w:ascii="宋体" w:cs="宋体"/>
          <w:b/>
          <w:bCs/>
          <w:sz w:val="28"/>
          <w:szCs w:val="28"/>
        </w:rPr>
      </w:pPr>
      <w:r>
        <w:rPr>
          <w:rFonts w:hint="eastAsia" w:ascii="宋体" w:hAnsi="宋体" w:cs="宋体"/>
          <w:b/>
          <w:bCs/>
          <w:sz w:val="28"/>
          <w:szCs w:val="28"/>
        </w:rPr>
        <w:t>监狱企业声明函及其相关的充分的证明材料监狱企业声明函</w:t>
      </w:r>
    </w:p>
    <w:p>
      <w:pPr>
        <w:spacing w:line="40" w:lineRule="exact"/>
        <w:ind w:firstLine="420"/>
        <w:rPr>
          <w:rFonts w:ascii="宋体" w:cs="宋体"/>
        </w:rPr>
      </w:pPr>
    </w:p>
    <w:p>
      <w:pPr>
        <w:jc w:val="center"/>
        <w:rPr>
          <w:rFonts w:ascii="宋体" w:cs="宋体"/>
        </w:rPr>
      </w:pPr>
    </w:p>
    <w:p>
      <w:pPr>
        <w:jc w:val="center"/>
        <w:rPr>
          <w:rFonts w:ascii="宋体" w:cs="宋体"/>
          <w:sz w:val="24"/>
          <w:szCs w:val="24"/>
        </w:rPr>
      </w:pPr>
      <w:r>
        <w:rPr>
          <w:rFonts w:hint="eastAsia" w:ascii="宋体" w:hAnsi="宋体" w:cs="宋体"/>
          <w:sz w:val="24"/>
          <w:szCs w:val="24"/>
        </w:rPr>
        <w:t>【不属于监狱企业的无需填写、递交】</w:t>
      </w:r>
    </w:p>
    <w:p>
      <w:pPr>
        <w:spacing w:line="480" w:lineRule="auto"/>
        <w:ind w:firstLine="480"/>
        <w:rPr>
          <w:rFonts w:ascii="宋体" w:cs="宋体"/>
          <w:sz w:val="24"/>
          <w:szCs w:val="24"/>
        </w:rPr>
      </w:pPr>
      <w:r>
        <w:rPr>
          <w:rFonts w:hint="eastAsia" w:ascii="宋体" w:hAnsi="宋体" w:cs="宋体"/>
          <w:sz w:val="24"/>
          <w:szCs w:val="24"/>
        </w:rPr>
        <w:t>本公司郑重声明，根据《关于政府采购支持监狱企业发展有关问题的通知》（财库</w:t>
      </w:r>
      <w:r>
        <w:rPr>
          <w:rFonts w:ascii="宋体" w:hAnsi="宋体" w:cs="宋体"/>
          <w:sz w:val="24"/>
          <w:szCs w:val="24"/>
        </w:rPr>
        <w:t xml:space="preserve">[2014]68 </w:t>
      </w:r>
      <w:r>
        <w:rPr>
          <w:rFonts w:hint="eastAsia" w:ascii="宋体" w:hAnsi="宋体" w:cs="宋体"/>
          <w:sz w:val="24"/>
          <w:szCs w:val="24"/>
        </w:rPr>
        <w:t>号）的规定，本公司为监狱企业。</w:t>
      </w:r>
    </w:p>
    <w:p>
      <w:pPr>
        <w:spacing w:line="480" w:lineRule="auto"/>
        <w:ind w:firstLine="480"/>
        <w:rPr>
          <w:rFonts w:ascii="宋体" w:cs="宋体"/>
          <w:sz w:val="24"/>
          <w:szCs w:val="24"/>
        </w:rPr>
      </w:pPr>
      <w:r>
        <w:rPr>
          <w:rFonts w:hint="eastAsia" w:ascii="宋体" w:hAnsi="宋体" w:cs="宋体"/>
          <w:sz w:val="24"/>
          <w:szCs w:val="24"/>
        </w:rPr>
        <w:t>根据上述标准，我公司属于监狱企业的理由为：本公司为参加</w:t>
      </w:r>
      <w:r>
        <w:rPr>
          <w:rFonts w:hint="eastAsia" w:ascii="宋体" w:hAnsi="宋体" w:cs="宋体"/>
          <w:sz w:val="24"/>
          <w:szCs w:val="24"/>
          <w:u w:val="single"/>
        </w:rPr>
        <w:t>（</w:t>
      </w:r>
      <w:r>
        <w:rPr>
          <w:rFonts w:hint="eastAsia" w:ascii="宋体" w:hAnsi="宋体" w:cs="宋体"/>
          <w:sz w:val="24"/>
          <w:szCs w:val="24"/>
        </w:rPr>
        <w:t>项目名称）</w:t>
      </w:r>
    </w:p>
    <w:p>
      <w:pPr>
        <w:spacing w:line="480" w:lineRule="auto"/>
        <w:ind w:firstLine="480"/>
        <w:rPr>
          <w:rFonts w:ascii="宋体" w:cs="宋体"/>
          <w:sz w:val="24"/>
          <w:szCs w:val="24"/>
        </w:rPr>
      </w:pPr>
      <w:r>
        <w:rPr>
          <w:rFonts w:hint="eastAsia" w:ascii="宋体" w:hAnsi="宋体" w:cs="宋体"/>
          <w:sz w:val="24"/>
          <w:szCs w:val="24"/>
        </w:rPr>
        <w:t>项目编号</w:t>
      </w:r>
      <w:r>
        <w:rPr>
          <w:rFonts w:hint="eastAsia" w:ascii="宋体" w:hAnsi="宋体" w:cs="宋体"/>
          <w:sz w:val="24"/>
          <w:szCs w:val="24"/>
          <w:u w:val="single"/>
        </w:rPr>
        <w:t>（）</w:t>
      </w:r>
      <w:r>
        <w:rPr>
          <w:rFonts w:hint="eastAsia" w:ascii="宋体" w:hAnsi="宋体" w:cs="宋体"/>
          <w:sz w:val="24"/>
          <w:szCs w:val="24"/>
        </w:rPr>
        <w:t>采购活动提供本企业提供服务</w:t>
      </w:r>
    </w:p>
    <w:p>
      <w:pPr>
        <w:spacing w:line="480" w:lineRule="auto"/>
        <w:ind w:firstLine="480"/>
        <w:rPr>
          <w:rFonts w:ascii="宋体" w:cs="宋体"/>
          <w:sz w:val="24"/>
          <w:szCs w:val="24"/>
        </w:rPr>
      </w:pPr>
      <w:r>
        <w:rPr>
          <w:rFonts w:hint="eastAsia" w:ascii="宋体" w:hAnsi="宋体" w:cs="宋体"/>
          <w:sz w:val="24"/>
          <w:szCs w:val="24"/>
        </w:rPr>
        <w:t>本公司对上述声明的真实性负责。如有虚假，将依法承担相应责任。</w:t>
      </w:r>
    </w:p>
    <w:p>
      <w:pPr>
        <w:spacing w:line="480" w:lineRule="auto"/>
        <w:ind w:firstLine="3840" w:firstLineChars="1600"/>
        <w:rPr>
          <w:rFonts w:ascii="宋体" w:cs="宋体"/>
          <w:sz w:val="24"/>
          <w:szCs w:val="24"/>
        </w:rPr>
      </w:pPr>
    </w:p>
    <w:p>
      <w:pPr>
        <w:spacing w:line="480" w:lineRule="auto"/>
        <w:ind w:firstLine="4800" w:firstLineChars="2000"/>
        <w:rPr>
          <w:rFonts w:ascii="宋体" w:cs="宋体"/>
          <w:sz w:val="24"/>
          <w:szCs w:val="24"/>
        </w:rPr>
      </w:pPr>
      <w:r>
        <w:rPr>
          <w:rFonts w:hint="eastAsia" w:ascii="宋体" w:hAnsi="宋体" w:cs="宋体"/>
          <w:sz w:val="24"/>
          <w:szCs w:val="24"/>
        </w:rPr>
        <w:t>磋商响应方名称（盖章）：</w:t>
      </w:r>
    </w:p>
    <w:p>
      <w:pPr>
        <w:spacing w:line="480" w:lineRule="auto"/>
        <w:ind w:firstLine="4800" w:firstLineChars="2000"/>
        <w:rPr>
          <w:rFonts w:ascii="宋体" w:hAnsi="宋体" w:cs="宋体"/>
          <w:sz w:val="24"/>
          <w:szCs w:val="24"/>
        </w:rPr>
      </w:pPr>
      <w:r>
        <w:rPr>
          <w:rFonts w:hint="eastAsia" w:ascii="宋体" w:hAnsi="宋体" w:cs="宋体"/>
          <w:sz w:val="24"/>
          <w:szCs w:val="24"/>
        </w:rPr>
        <w:t>日期：   年  月  日</w:t>
      </w:r>
    </w:p>
    <w:p>
      <w:pPr>
        <w:snapToGrid w:val="0"/>
        <w:spacing w:before="50" w:after="120" w:afterLines="50"/>
        <w:jc w:val="center"/>
        <w:rPr>
          <w:rFonts w:ascii="宋体" w:hAnsi="宋体" w:cs="宋体"/>
          <w:sz w:val="24"/>
          <w:szCs w:val="24"/>
        </w:rPr>
      </w:pPr>
      <w:r>
        <w:rPr>
          <w:rFonts w:ascii="宋体" w:hAnsi="宋体" w:cs="宋体"/>
          <w:sz w:val="24"/>
          <w:szCs w:val="24"/>
        </w:rPr>
        <w:br w:type="page"/>
      </w:r>
    </w:p>
    <w:p>
      <w:pPr>
        <w:snapToGrid w:val="0"/>
        <w:spacing w:before="50" w:after="120" w:afterLines="50"/>
        <w:jc w:val="left"/>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12</w:t>
      </w:r>
      <w:r>
        <w:rPr>
          <w:rFonts w:hint="eastAsia" w:ascii="宋体" w:hAnsi="宋体" w:cs="宋体"/>
          <w:b/>
          <w:bCs/>
          <w:sz w:val="28"/>
          <w:szCs w:val="28"/>
        </w:rPr>
        <w:t>：</w:t>
      </w:r>
    </w:p>
    <w:p>
      <w:pPr>
        <w:snapToGrid w:val="0"/>
        <w:spacing w:before="50" w:after="120" w:afterLines="50"/>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残疾人福利性单位声明函</w:t>
      </w:r>
    </w:p>
    <w:p>
      <w:pPr>
        <w:spacing w:line="588" w:lineRule="exact"/>
        <w:ind w:firstLine="631"/>
        <w:rPr>
          <w:rFonts w:ascii="宋体" w:hAnsi="宋体"/>
          <w:b/>
          <w:spacing w:val="6"/>
          <w:sz w:val="24"/>
          <w:szCs w:val="24"/>
        </w:rPr>
      </w:pPr>
    </w:p>
    <w:p>
      <w:pPr>
        <w:pStyle w:val="28"/>
        <w:snapToGrid w:val="0"/>
        <w:spacing w:before="120" w:after="120" w:line="640" w:lineRule="exact"/>
        <w:jc w:val="left"/>
        <w:rPr>
          <w:rFonts w:asciiTheme="minorEastAsia" w:hAnsiTheme="minorEastAsia" w:eastAsiaTheme="minorEastAsia"/>
        </w:rPr>
      </w:pPr>
      <w:r>
        <w:rPr>
          <w:rFonts w:hint="eastAsia" w:ascii="仿宋" w:hAnsi="仿宋" w:eastAsia="仿宋"/>
          <w:sz w:val="30"/>
          <w:szCs w:val="30"/>
        </w:rPr>
        <w:t xml:space="preserve">    </w:t>
      </w:r>
      <w:r>
        <w:rPr>
          <w:rFonts w:hint="eastAsia" w:asciiTheme="minorEastAsia" w:hAnsiTheme="minorEastAsia" w:eastAsiaTheme="minor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8"/>
        <w:snapToGrid w:val="0"/>
        <w:spacing w:before="120" w:after="120" w:line="640" w:lineRule="exact"/>
        <w:ind w:firstLine="480" w:firstLineChars="200"/>
        <w:jc w:val="left"/>
        <w:rPr>
          <w:rFonts w:asciiTheme="minorEastAsia" w:hAnsiTheme="minorEastAsia" w:eastAsiaTheme="minorEastAsia"/>
        </w:rPr>
      </w:pPr>
      <w:r>
        <w:rPr>
          <w:rFonts w:hint="eastAsia" w:asciiTheme="minorEastAsia" w:hAnsiTheme="minorEastAsia" w:eastAsiaTheme="minorEastAsia"/>
        </w:rPr>
        <w:t>本单位对上述声明的真实性负责。如有虚假，将依法承担相应责任。</w:t>
      </w:r>
    </w:p>
    <w:p>
      <w:pPr>
        <w:ind w:firstLine="560"/>
        <w:rPr>
          <w:rFonts w:asciiTheme="minorEastAsia" w:hAnsiTheme="minorEastAsia" w:eastAsiaTheme="minorEastAsia"/>
          <w:sz w:val="24"/>
          <w:szCs w:val="24"/>
        </w:rPr>
      </w:pPr>
    </w:p>
    <w:p>
      <w:pPr>
        <w:spacing w:line="588" w:lineRule="exact"/>
        <w:ind w:firstLine="624"/>
        <w:rPr>
          <w:rFonts w:asciiTheme="minorEastAsia" w:hAnsiTheme="minorEastAsia" w:eastAsiaTheme="minorEastAsia"/>
          <w:spacing w:val="6"/>
          <w:sz w:val="24"/>
          <w:szCs w:val="24"/>
        </w:rPr>
      </w:pPr>
    </w:p>
    <w:p>
      <w:pPr>
        <w:spacing w:line="480" w:lineRule="auto"/>
        <w:ind w:firstLine="4440" w:firstLineChars="2000"/>
        <w:jc w:val="right"/>
        <w:rPr>
          <w:rFonts w:ascii="宋体" w:cs="宋体"/>
          <w:sz w:val="24"/>
          <w:szCs w:val="24"/>
        </w:rPr>
      </w:pPr>
      <w:r>
        <w:rPr>
          <w:rFonts w:hint="eastAsia" w:asciiTheme="minorEastAsia" w:hAnsiTheme="minorEastAsia" w:eastAsiaTheme="minorEastAsia"/>
          <w:spacing w:val="6"/>
        </w:rPr>
        <w:t xml:space="preserve">         </w:t>
      </w:r>
      <w:r>
        <w:rPr>
          <w:rFonts w:hint="eastAsia" w:asciiTheme="minorEastAsia" w:hAnsiTheme="minorEastAsia" w:eastAsiaTheme="minorEastAsia"/>
        </w:rPr>
        <w:t xml:space="preserve">                            </w:t>
      </w:r>
      <w:r>
        <w:rPr>
          <w:rFonts w:hint="eastAsia" w:ascii="宋体" w:hAnsi="宋体" w:cs="宋体"/>
          <w:sz w:val="24"/>
          <w:szCs w:val="24"/>
        </w:rPr>
        <w:t>磋商响应方名称（盖章）：</w:t>
      </w:r>
    </w:p>
    <w:p>
      <w:pPr>
        <w:spacing w:line="480" w:lineRule="auto"/>
        <w:ind w:firstLine="4800" w:firstLineChars="2000"/>
        <w:jc w:val="right"/>
        <w:rPr>
          <w:rFonts w:ascii="宋体" w:hAnsi="宋体" w:cs="宋体"/>
          <w:sz w:val="24"/>
          <w:szCs w:val="24"/>
        </w:rPr>
      </w:pPr>
      <w:r>
        <w:rPr>
          <w:rFonts w:hint="eastAsia" w:ascii="宋体" w:hAnsi="宋体" w:cs="宋体"/>
          <w:sz w:val="24"/>
          <w:szCs w:val="24"/>
        </w:rPr>
        <w:t>日期：   年  月  日</w:t>
      </w:r>
    </w:p>
    <w:p>
      <w:pPr>
        <w:pStyle w:val="28"/>
        <w:snapToGrid w:val="0"/>
        <w:spacing w:before="120" w:after="120"/>
        <w:ind w:firstLine="680" w:firstLineChars="200"/>
        <w:jc w:val="left"/>
        <w:rPr>
          <w:rFonts w:ascii="仿宋" w:hAnsi="仿宋" w:eastAsia="仿宋"/>
          <w:spacing w:val="20"/>
          <w:sz w:val="30"/>
          <w:szCs w:val="30"/>
        </w:rPr>
      </w:pPr>
    </w:p>
    <w:p>
      <w:pPr>
        <w:pStyle w:val="2"/>
        <w:rPr>
          <w:rFonts w:ascii="仿宋" w:hAnsi="仿宋" w:eastAsia="仿宋"/>
          <w:spacing w:val="20"/>
          <w:sz w:val="30"/>
          <w:szCs w:val="30"/>
        </w:rPr>
      </w:pPr>
    </w:p>
    <w:p>
      <w:pPr>
        <w:rPr>
          <w:rFonts w:ascii="仿宋" w:hAnsi="仿宋" w:eastAsia="仿宋"/>
          <w:spacing w:val="20"/>
          <w:sz w:val="30"/>
          <w:szCs w:val="30"/>
        </w:rPr>
      </w:pPr>
    </w:p>
    <w:p>
      <w:pPr>
        <w:pStyle w:val="2"/>
        <w:rPr>
          <w:rFonts w:ascii="仿宋" w:hAnsi="仿宋" w:eastAsia="仿宋"/>
          <w:spacing w:val="20"/>
          <w:sz w:val="30"/>
          <w:szCs w:val="30"/>
        </w:rPr>
      </w:pPr>
    </w:p>
    <w:p>
      <w:pPr>
        <w:rPr>
          <w:rFonts w:ascii="仿宋" w:hAnsi="仿宋" w:eastAsia="仿宋"/>
          <w:spacing w:val="20"/>
          <w:sz w:val="30"/>
          <w:szCs w:val="30"/>
        </w:rPr>
      </w:pPr>
    </w:p>
    <w:p>
      <w:pPr>
        <w:pStyle w:val="2"/>
        <w:rPr>
          <w:rFonts w:ascii="仿宋" w:hAnsi="仿宋" w:eastAsia="仿宋"/>
          <w:spacing w:val="20"/>
          <w:sz w:val="30"/>
          <w:szCs w:val="30"/>
        </w:rPr>
      </w:pPr>
    </w:p>
    <w:p>
      <w:pPr>
        <w:rPr>
          <w:rFonts w:ascii="仿宋" w:hAnsi="仿宋" w:eastAsia="仿宋"/>
          <w:spacing w:val="20"/>
          <w:sz w:val="30"/>
          <w:szCs w:val="30"/>
        </w:rPr>
      </w:pPr>
    </w:p>
    <w:p>
      <w:pPr>
        <w:pStyle w:val="2"/>
        <w:rPr>
          <w:rFonts w:ascii="仿宋" w:hAnsi="仿宋" w:eastAsia="仿宋"/>
          <w:spacing w:val="20"/>
          <w:sz w:val="30"/>
          <w:szCs w:val="30"/>
        </w:rPr>
      </w:pPr>
    </w:p>
    <w:p>
      <w:pPr>
        <w:rPr>
          <w:rFonts w:ascii="仿宋" w:hAnsi="仿宋" w:eastAsia="仿宋"/>
          <w:spacing w:val="20"/>
          <w:sz w:val="30"/>
          <w:szCs w:val="30"/>
        </w:rPr>
      </w:pPr>
    </w:p>
    <w:p>
      <w:pPr>
        <w:pStyle w:val="2"/>
        <w:rPr>
          <w:rFonts w:ascii="仿宋" w:hAnsi="仿宋" w:eastAsia="仿宋"/>
          <w:spacing w:val="20"/>
          <w:sz w:val="30"/>
          <w:szCs w:val="30"/>
        </w:rPr>
      </w:pPr>
    </w:p>
    <w:p>
      <w:pPr>
        <w:rPr>
          <w:rFonts w:ascii="仿宋" w:hAnsi="仿宋" w:eastAsia="仿宋"/>
          <w:spacing w:val="20"/>
          <w:sz w:val="30"/>
          <w:szCs w:val="30"/>
        </w:rPr>
      </w:pPr>
    </w:p>
    <w:p>
      <w:pPr>
        <w:keepNext/>
        <w:tabs>
          <w:tab w:val="left" w:pos="840"/>
        </w:tabs>
        <w:spacing w:before="240" w:beforeLines="100" w:after="240" w:afterLines="100" w:line="400" w:lineRule="exact"/>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13</w:t>
      </w:r>
      <w:r>
        <w:rPr>
          <w:rFonts w:hint="eastAsia" w:ascii="宋体" w:hAnsi="宋体" w:cs="宋体"/>
          <w:b/>
          <w:bCs/>
          <w:sz w:val="28"/>
          <w:szCs w:val="28"/>
        </w:rPr>
        <w:t xml:space="preserve">：        </w:t>
      </w:r>
    </w:p>
    <w:p>
      <w:pPr>
        <w:keepNext/>
        <w:tabs>
          <w:tab w:val="left" w:pos="840"/>
        </w:tabs>
        <w:spacing w:before="240" w:beforeLines="100" w:after="240" w:afterLines="100" w:line="400" w:lineRule="exact"/>
        <w:jc w:val="center"/>
        <w:rPr>
          <w:rFonts w:ascii="宋体" w:cs="宋体"/>
          <w:b/>
          <w:bCs/>
          <w:sz w:val="28"/>
          <w:szCs w:val="28"/>
        </w:rPr>
      </w:pPr>
      <w:r>
        <w:rPr>
          <w:rFonts w:hint="eastAsia" w:ascii="宋体" w:hAnsi="宋体" w:cs="宋体"/>
          <w:b/>
          <w:bCs/>
          <w:sz w:val="28"/>
          <w:szCs w:val="28"/>
        </w:rPr>
        <w:t>政府采购扶持政策相关说明</w:t>
      </w:r>
    </w:p>
    <w:p>
      <w:pPr>
        <w:spacing w:line="360" w:lineRule="auto"/>
        <w:ind w:firstLine="482"/>
        <w:jc w:val="left"/>
        <w:rPr>
          <w:rFonts w:ascii="宋体" w:cs="宋体"/>
          <w:sz w:val="24"/>
          <w:szCs w:val="24"/>
        </w:rPr>
      </w:pPr>
      <w:r>
        <w:rPr>
          <w:rFonts w:hint="eastAsia" w:ascii="宋体" w:hAnsi="宋体" w:cs="宋体"/>
          <w:sz w:val="24"/>
          <w:szCs w:val="24"/>
        </w:rPr>
        <w:t>一、小、微企业（含监狱企业、残疾人福利性单位）扶持政策说明</w:t>
      </w:r>
    </w:p>
    <w:p>
      <w:pPr>
        <w:spacing w:line="360" w:lineRule="auto"/>
        <w:ind w:firstLine="482"/>
        <w:jc w:val="left"/>
        <w:rPr>
          <w:rFonts w:ascii="宋体" w:cs="宋体"/>
          <w:sz w:val="24"/>
          <w:szCs w:val="24"/>
        </w:rPr>
      </w:pPr>
      <w:r>
        <w:rPr>
          <w:rFonts w:ascii="宋体" w:hAnsi="宋体" w:cs="宋体"/>
          <w:sz w:val="24"/>
          <w:szCs w:val="24"/>
        </w:rPr>
        <w:t>1.</w:t>
      </w:r>
      <w:r>
        <w:rPr>
          <w:rFonts w:hint="eastAsia" w:ascii="宋体" w:hAnsi="宋体" w:cs="宋体"/>
          <w:sz w:val="24"/>
          <w:szCs w:val="24"/>
        </w:rPr>
        <w:t>文件依据</w:t>
      </w:r>
    </w:p>
    <w:p>
      <w:pPr>
        <w:spacing w:line="360" w:lineRule="auto"/>
        <w:ind w:firstLine="482"/>
        <w:jc w:val="left"/>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）关于印发《政府采购促进中小企业发展暂行办法》的通知（财库</w:t>
      </w:r>
      <w:r>
        <w:rPr>
          <w:rFonts w:ascii="宋体" w:hAnsi="宋体" w:cs="宋体"/>
          <w:sz w:val="24"/>
          <w:szCs w:val="24"/>
        </w:rPr>
        <w:t>[2011]181</w:t>
      </w:r>
      <w:r>
        <w:rPr>
          <w:rFonts w:hint="eastAsia" w:ascii="宋体" w:hAnsi="宋体" w:cs="宋体"/>
          <w:sz w:val="24"/>
          <w:szCs w:val="24"/>
        </w:rPr>
        <w:t>号）</w:t>
      </w:r>
    </w:p>
    <w:p>
      <w:pPr>
        <w:spacing w:line="360" w:lineRule="auto"/>
        <w:ind w:firstLine="482"/>
        <w:jc w:val="left"/>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）浙江省财政厅转发财政部工业和信息化部关于印发《政府采购促进中小企业发展暂行办法》的通知（浙财采监</w:t>
      </w:r>
      <w:r>
        <w:rPr>
          <w:rFonts w:ascii="宋体" w:hAnsi="宋体" w:cs="宋体"/>
          <w:sz w:val="24"/>
          <w:szCs w:val="24"/>
        </w:rPr>
        <w:t>[2012]11</w:t>
      </w:r>
      <w:r>
        <w:rPr>
          <w:rFonts w:hint="eastAsia" w:ascii="宋体" w:hAnsi="宋体" w:cs="宋体"/>
          <w:sz w:val="24"/>
          <w:szCs w:val="24"/>
        </w:rPr>
        <w:t>号）</w:t>
      </w:r>
    </w:p>
    <w:p>
      <w:pPr>
        <w:spacing w:line="360" w:lineRule="auto"/>
        <w:ind w:firstLine="482"/>
        <w:jc w:val="left"/>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）浙江省省财政厅《关于开展政府采购投标人网上注册登记和诚信管理工作的通知》（浙财采监〔</w:t>
      </w:r>
      <w:r>
        <w:rPr>
          <w:rFonts w:ascii="宋体" w:hAnsi="宋体" w:cs="宋体"/>
          <w:sz w:val="24"/>
          <w:szCs w:val="24"/>
        </w:rPr>
        <w:t>2010</w:t>
      </w: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号</w:t>
      </w:r>
      <w:r>
        <w:rPr>
          <w:rFonts w:ascii="宋体" w:hAnsi="宋体" w:cs="宋体"/>
          <w:sz w:val="24"/>
          <w:szCs w:val="24"/>
        </w:rPr>
        <w:t>)</w:t>
      </w:r>
    </w:p>
    <w:p>
      <w:pPr>
        <w:spacing w:line="360" w:lineRule="auto"/>
        <w:ind w:firstLine="482"/>
        <w:jc w:val="left"/>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）《工业和信息化部、国家统计局、国家发展和改革委员会、财政部关于印发中小企业划型标准规定的通知》（工信部联企业</w:t>
      </w:r>
      <w:r>
        <w:rPr>
          <w:rFonts w:ascii="宋体" w:hAnsi="宋体" w:cs="宋体"/>
          <w:sz w:val="24"/>
          <w:szCs w:val="24"/>
        </w:rPr>
        <w:t>[2011]300</w:t>
      </w:r>
      <w:r>
        <w:rPr>
          <w:rFonts w:hint="eastAsia" w:ascii="宋体" w:hAnsi="宋体" w:cs="宋体"/>
          <w:sz w:val="24"/>
          <w:szCs w:val="24"/>
        </w:rPr>
        <w:t>号）</w:t>
      </w:r>
    </w:p>
    <w:p>
      <w:pPr>
        <w:spacing w:line="360" w:lineRule="auto"/>
        <w:ind w:firstLine="482"/>
        <w:jc w:val="left"/>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）财政部、司法部《关于政府采购支持监狱企业发展有关问题的通知》（财库〔</w:t>
      </w:r>
      <w:r>
        <w:rPr>
          <w:rFonts w:ascii="宋体" w:hAnsi="宋体" w:cs="宋体"/>
          <w:sz w:val="24"/>
          <w:szCs w:val="24"/>
        </w:rPr>
        <w:t>2014</w:t>
      </w:r>
      <w:r>
        <w:rPr>
          <w:rFonts w:hint="eastAsia" w:ascii="宋体" w:hAnsi="宋体" w:cs="宋体"/>
          <w:sz w:val="24"/>
          <w:szCs w:val="24"/>
        </w:rPr>
        <w:t>〕</w:t>
      </w:r>
      <w:r>
        <w:rPr>
          <w:rFonts w:ascii="宋体" w:hAnsi="宋体" w:cs="宋体"/>
          <w:sz w:val="24"/>
          <w:szCs w:val="24"/>
        </w:rPr>
        <w:t>68</w:t>
      </w:r>
      <w:r>
        <w:rPr>
          <w:rFonts w:hint="eastAsia" w:ascii="宋体" w:hAnsi="宋体" w:cs="宋体"/>
          <w:sz w:val="24"/>
          <w:szCs w:val="24"/>
        </w:rPr>
        <w:t>号）</w:t>
      </w:r>
    </w:p>
    <w:p>
      <w:pPr>
        <w:spacing w:line="360" w:lineRule="auto"/>
        <w:ind w:firstLine="482"/>
        <w:jc w:val="left"/>
        <w:rPr>
          <w:rFonts w:ascii="宋体" w:cs="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）《财政部民政部中国残疾人联合会关于促进残疾人就业政府采购政策的通知》（财库〔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 141</w:t>
      </w:r>
      <w:r>
        <w:rPr>
          <w:rFonts w:hint="eastAsia" w:ascii="宋体" w:hAnsi="宋体" w:cs="宋体"/>
          <w:sz w:val="24"/>
          <w:szCs w:val="24"/>
        </w:rPr>
        <w:t>号）</w:t>
      </w:r>
    </w:p>
    <w:p>
      <w:pPr>
        <w:spacing w:line="360" w:lineRule="auto"/>
        <w:ind w:firstLine="482"/>
        <w:jc w:val="left"/>
        <w:rPr>
          <w:rFonts w:ascii="宋体" w:cs="宋体"/>
          <w:sz w:val="24"/>
          <w:szCs w:val="24"/>
        </w:rPr>
      </w:pPr>
      <w:r>
        <w:rPr>
          <w:rFonts w:ascii="宋体" w:hAnsi="宋体" w:cs="宋体"/>
          <w:sz w:val="24"/>
          <w:szCs w:val="24"/>
        </w:rPr>
        <w:t>2.</w:t>
      </w:r>
      <w:r>
        <w:rPr>
          <w:rFonts w:hint="eastAsia" w:ascii="宋体" w:hAnsi="宋体" w:cs="宋体"/>
          <w:sz w:val="24"/>
          <w:szCs w:val="24"/>
        </w:rPr>
        <w:t>享受小微企业价格折扣应具备的条件与价格折扣比例</w:t>
      </w:r>
    </w:p>
    <w:p>
      <w:pPr>
        <w:spacing w:line="360" w:lineRule="auto"/>
        <w:ind w:firstLine="482"/>
        <w:jc w:val="left"/>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）符合中小企业划分标准；</w:t>
      </w:r>
    </w:p>
    <w:p>
      <w:pPr>
        <w:spacing w:line="360" w:lineRule="auto"/>
        <w:ind w:firstLine="482"/>
        <w:jc w:val="left"/>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）提供本企业制造的货物、承担的工程或者服务，或者提供其他中小企业制造的货物。本项所称货物不包括使用大型企业注册商标的货物。</w:t>
      </w:r>
      <w:r>
        <w:rPr>
          <w:rFonts w:ascii="宋体" w:cs="宋体"/>
          <w:sz w:val="24"/>
          <w:szCs w:val="24"/>
        </w:rPr>
        <w:br w:type="textWrapping"/>
      </w:r>
      <w:r>
        <w:rPr>
          <w:rFonts w:hint="eastAsia" w:ascii="宋体" w:cs="宋体"/>
          <w:sz w:val="24"/>
          <w:szCs w:val="24"/>
        </w:rPr>
        <w:t xml:space="preserve">   </w:t>
      </w:r>
      <w:r>
        <w:rPr>
          <w:rFonts w:ascii="宋体" w:cs="宋体"/>
          <w:sz w:val="24"/>
          <w:szCs w:val="24"/>
        </w:rPr>
        <w:t> </w:t>
      </w:r>
      <w:r>
        <w:rPr>
          <w:rFonts w:hint="eastAsia" w:ascii="宋体" w:hAnsi="宋体" w:cs="宋体"/>
          <w:sz w:val="24"/>
          <w:szCs w:val="24"/>
        </w:rPr>
        <w:t>中小企业划分标准，是指国务院有关部门根据企业从业人员、营业收入、资产总额等指标制定的中小企业划型标准。</w:t>
      </w:r>
      <w:r>
        <w:rPr>
          <w:rFonts w:ascii="宋体" w:cs="宋体"/>
          <w:sz w:val="24"/>
          <w:szCs w:val="24"/>
        </w:rPr>
        <w:br w:type="textWrapping"/>
      </w:r>
      <w:r>
        <w:rPr>
          <w:rFonts w:ascii="宋体" w:cs="宋体"/>
          <w:sz w:val="24"/>
          <w:szCs w:val="24"/>
        </w:rPr>
        <w:t>  </w:t>
      </w:r>
      <w:r>
        <w:rPr>
          <w:rFonts w:hint="eastAsia" w:ascii="宋体" w:cs="宋体"/>
          <w:sz w:val="24"/>
          <w:szCs w:val="24"/>
        </w:rPr>
        <w:t xml:space="preserve">  </w:t>
      </w:r>
      <w:r>
        <w:rPr>
          <w:rFonts w:hint="eastAsia" w:ascii="宋体" w:hAnsi="宋体" w:cs="宋体"/>
          <w:sz w:val="24"/>
          <w:szCs w:val="24"/>
        </w:rPr>
        <w:t>小型、微型企业提供中型企业制造的货物的，视同为中型企业。</w:t>
      </w:r>
    </w:p>
    <w:p>
      <w:pPr>
        <w:spacing w:line="360" w:lineRule="auto"/>
        <w:ind w:firstLine="482"/>
        <w:jc w:val="left"/>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）本项目对小型和微型企业产品的价格给予</w:t>
      </w:r>
      <w:r>
        <w:rPr>
          <w:rFonts w:ascii="宋体" w:hAnsi="宋体" w:cs="宋体"/>
          <w:sz w:val="24"/>
          <w:szCs w:val="24"/>
        </w:rPr>
        <w:t>6%</w:t>
      </w:r>
      <w:r>
        <w:rPr>
          <w:rFonts w:hint="eastAsia" w:ascii="宋体" w:hAnsi="宋体" w:cs="宋体"/>
          <w:sz w:val="24"/>
          <w:szCs w:val="24"/>
        </w:rPr>
        <w:t>的扣除，用扣除后的价格参与评审。</w:t>
      </w:r>
    </w:p>
    <w:p>
      <w:pPr>
        <w:spacing w:line="360" w:lineRule="auto"/>
        <w:ind w:firstLine="482"/>
        <w:jc w:val="left"/>
        <w:rPr>
          <w:rFonts w:ascii="宋体" w:cs="宋体"/>
          <w:sz w:val="24"/>
          <w:szCs w:val="24"/>
        </w:rPr>
      </w:pPr>
      <w:r>
        <w:rPr>
          <w:rFonts w:ascii="宋体" w:hAnsi="宋体" w:cs="宋体"/>
          <w:sz w:val="24"/>
          <w:szCs w:val="24"/>
        </w:rPr>
        <w:t>3.</w:t>
      </w:r>
      <w:r>
        <w:rPr>
          <w:rFonts w:hint="eastAsia" w:ascii="宋体" w:hAnsi="宋体" w:cs="宋体"/>
          <w:sz w:val="24"/>
          <w:szCs w:val="24"/>
        </w:rPr>
        <w:t>享受小微企业价格折扣应提供以下证明材料（磋商响应文件中，缺一不可）：</w:t>
      </w:r>
    </w:p>
    <w:p>
      <w:pPr>
        <w:spacing w:line="360" w:lineRule="auto"/>
        <w:ind w:firstLine="482"/>
        <w:jc w:val="left"/>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）通过浙江政府采购网申请注册加入政府采购投标人库（不包括公示期内，提供浙江省政府采购网页面截图或其它入库证明材料，加盖投标人公章）</w:t>
      </w:r>
    </w:p>
    <w:p>
      <w:pPr>
        <w:spacing w:line="360" w:lineRule="auto"/>
        <w:ind w:firstLine="482"/>
        <w:jc w:val="left"/>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）《中小企业声明函》（原件，加盖投标人公章，格式见附件）</w:t>
      </w:r>
    </w:p>
    <w:p>
      <w:pPr>
        <w:spacing w:line="360" w:lineRule="auto"/>
        <w:ind w:firstLine="482"/>
        <w:jc w:val="left"/>
        <w:rPr>
          <w:rFonts w:ascii="宋体" w:cs="宋体"/>
          <w:sz w:val="24"/>
          <w:szCs w:val="24"/>
        </w:rPr>
      </w:pPr>
      <w:r>
        <w:rPr>
          <w:rFonts w:ascii="宋体" w:hAnsi="宋体" w:cs="宋体"/>
          <w:sz w:val="24"/>
          <w:szCs w:val="24"/>
        </w:rPr>
        <w:t>4.</w:t>
      </w:r>
      <w:r>
        <w:rPr>
          <w:rFonts w:hint="eastAsia" w:ascii="宋体" w:hAnsi="宋体" w:cs="宋体"/>
          <w:sz w:val="24"/>
          <w:szCs w:val="24"/>
        </w:rPr>
        <w:t>享受监狱企业价格折扣应提供以下证明材料（磋商响应文件中，不提供的不享受价格折扣）：</w:t>
      </w:r>
    </w:p>
    <w:p>
      <w:pPr>
        <w:spacing w:line="360" w:lineRule="auto"/>
        <w:ind w:firstLine="482"/>
        <w:jc w:val="left"/>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）监狱企业参加政府采购活动时，应当提供由省级以上监狱管理局、戒毒管理局</w:t>
      </w:r>
      <w:r>
        <w:rPr>
          <w:rFonts w:ascii="宋体" w:hAnsi="宋体" w:cs="宋体"/>
          <w:sz w:val="24"/>
          <w:szCs w:val="24"/>
        </w:rPr>
        <w:t>(</w:t>
      </w:r>
      <w:r>
        <w:rPr>
          <w:rFonts w:hint="eastAsia" w:ascii="宋体" w:hAnsi="宋体" w:cs="宋体"/>
          <w:sz w:val="24"/>
          <w:szCs w:val="24"/>
        </w:rPr>
        <w:t>含新疆生产建设兵团</w:t>
      </w:r>
      <w:r>
        <w:rPr>
          <w:rFonts w:ascii="宋体" w:hAnsi="宋体" w:cs="宋体"/>
          <w:sz w:val="24"/>
          <w:szCs w:val="24"/>
        </w:rPr>
        <w:t>)</w:t>
      </w:r>
      <w:r>
        <w:rPr>
          <w:rFonts w:hint="eastAsia" w:ascii="宋体" w:hAnsi="宋体" w:cs="宋体"/>
          <w:sz w:val="24"/>
          <w:szCs w:val="24"/>
        </w:rPr>
        <w:t>出具的属于监狱企业的证明文件（原件或复印件加盖公章）。在政府采购活动中，监狱企业视同小型、微型企业，享受评审中价格扣除政策。</w:t>
      </w:r>
    </w:p>
    <w:p>
      <w:pPr>
        <w:spacing w:line="360" w:lineRule="auto"/>
        <w:ind w:firstLine="482"/>
        <w:jc w:val="left"/>
        <w:rPr>
          <w:rFonts w:ascii="宋体" w:cs="宋体"/>
          <w:sz w:val="24"/>
          <w:szCs w:val="24"/>
        </w:rPr>
      </w:pPr>
      <w:r>
        <w:rPr>
          <w:rFonts w:ascii="宋体" w:hAnsi="宋体" w:cs="宋体"/>
          <w:sz w:val="24"/>
          <w:szCs w:val="24"/>
        </w:rPr>
        <w:t>5.</w:t>
      </w:r>
      <w:r>
        <w:rPr>
          <w:rFonts w:hint="eastAsia" w:ascii="宋体" w:hAnsi="宋体" w:cs="宋体"/>
          <w:sz w:val="24"/>
          <w:szCs w:val="24"/>
        </w:rPr>
        <w:t>享受残疾人福利性单位格折扣应提供以下证明材料（磋商响应文件中，不提供的不享受价格折扣）：</w:t>
      </w:r>
    </w:p>
    <w:p>
      <w:pPr>
        <w:spacing w:line="360" w:lineRule="auto"/>
        <w:ind w:firstLine="482"/>
        <w:jc w:val="left"/>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）残疾人福利性单位声明函；</w:t>
      </w:r>
    </w:p>
    <w:p>
      <w:pPr>
        <w:spacing w:line="360" w:lineRule="auto"/>
        <w:ind w:firstLine="482"/>
        <w:jc w:val="left"/>
        <w:rPr>
          <w:rFonts w:hint="eastAsia" w:ascii="宋体" w:hAnsi="宋体" w:cs="宋体"/>
          <w:sz w:val="24"/>
          <w:szCs w:val="24"/>
        </w:rPr>
      </w:pPr>
      <w:r>
        <w:rPr>
          <w:rFonts w:ascii="宋体" w:hAnsi="宋体" w:cs="宋体"/>
          <w:sz w:val="24"/>
          <w:szCs w:val="24"/>
        </w:rPr>
        <w:t>6.</w:t>
      </w:r>
      <w:r>
        <w:rPr>
          <w:rFonts w:hint="eastAsia" w:ascii="宋体" w:hAnsi="宋体" w:cs="宋体"/>
          <w:sz w:val="24"/>
          <w:szCs w:val="24"/>
        </w:rPr>
        <w:t>非单一产品采购，无法核实（按磋商响应文件资料）全部货物均为小微企业（含监狱企业、残疾人福利性单位）制造；或小微企业（含监狱企业、残疾人福利性单位）提供其他制造商制造的货物且无法核实（按磋商响应文件资料）制造商是否为小微企业（含监狱企业、残疾人福利性单位）的，不享受价格折扣。</w:t>
      </w:r>
    </w:p>
    <w:p>
      <w:pPr>
        <w:pStyle w:val="21"/>
        <w:rPr>
          <w:rFonts w:hint="eastAsia" w:ascii="宋体" w:hAnsi="宋体" w:cs="宋体"/>
          <w:sz w:val="24"/>
          <w:szCs w:val="24"/>
        </w:rPr>
      </w:pPr>
    </w:p>
    <w:p>
      <w:pPr>
        <w:rPr>
          <w:rFonts w:hint="eastAsia" w:ascii="宋体" w:hAnsi="宋体" w:cs="宋体"/>
          <w:sz w:val="24"/>
          <w:szCs w:val="24"/>
        </w:rPr>
      </w:pPr>
    </w:p>
    <w:p>
      <w:pPr>
        <w:pStyle w:val="21"/>
        <w:rPr>
          <w:rFonts w:hint="eastAsia" w:ascii="宋体" w:hAnsi="宋体" w:cs="宋体"/>
          <w:sz w:val="24"/>
          <w:szCs w:val="24"/>
        </w:rPr>
      </w:pPr>
    </w:p>
    <w:p>
      <w:pPr>
        <w:rPr>
          <w:rFonts w:hint="eastAsia" w:ascii="宋体" w:hAnsi="宋体" w:cs="宋体"/>
          <w:sz w:val="24"/>
          <w:szCs w:val="24"/>
        </w:rPr>
      </w:pPr>
    </w:p>
    <w:p>
      <w:pPr>
        <w:pStyle w:val="21"/>
        <w:rPr>
          <w:rFonts w:hint="eastAsia" w:ascii="宋体" w:hAnsi="宋体" w:cs="宋体"/>
          <w:sz w:val="24"/>
          <w:szCs w:val="24"/>
        </w:rPr>
      </w:pPr>
    </w:p>
    <w:p>
      <w:pPr>
        <w:rPr>
          <w:rFonts w:hint="eastAsia" w:ascii="宋体" w:hAnsi="宋体" w:cs="宋体"/>
          <w:sz w:val="24"/>
          <w:szCs w:val="24"/>
        </w:rPr>
      </w:pPr>
    </w:p>
    <w:p>
      <w:pPr>
        <w:pStyle w:val="21"/>
        <w:rPr>
          <w:rFonts w:hint="eastAsia" w:ascii="宋体" w:hAnsi="宋体" w:cs="宋体"/>
          <w:sz w:val="24"/>
          <w:szCs w:val="24"/>
        </w:rPr>
      </w:pPr>
    </w:p>
    <w:p>
      <w:pPr>
        <w:rPr>
          <w:rFonts w:hint="eastAsia" w:ascii="宋体" w:hAnsi="宋体" w:cs="宋体"/>
          <w:sz w:val="24"/>
          <w:szCs w:val="24"/>
        </w:rPr>
      </w:pPr>
    </w:p>
    <w:p>
      <w:pPr>
        <w:pStyle w:val="21"/>
        <w:rPr>
          <w:rFonts w:hint="eastAsia" w:ascii="宋体" w:hAnsi="宋体" w:cs="宋体"/>
          <w:sz w:val="24"/>
          <w:szCs w:val="24"/>
        </w:rPr>
      </w:pPr>
    </w:p>
    <w:p>
      <w:pPr>
        <w:rPr>
          <w:rFonts w:hint="eastAsia" w:ascii="宋体" w:hAnsi="宋体" w:cs="宋体"/>
          <w:sz w:val="24"/>
          <w:szCs w:val="24"/>
        </w:rPr>
      </w:pPr>
    </w:p>
    <w:p>
      <w:pPr>
        <w:pStyle w:val="21"/>
        <w:rPr>
          <w:rFonts w:hint="eastAsia" w:ascii="宋体" w:hAnsi="宋体" w:cs="宋体"/>
          <w:sz w:val="24"/>
          <w:szCs w:val="24"/>
        </w:rPr>
      </w:pPr>
    </w:p>
    <w:p>
      <w:pPr>
        <w:rPr>
          <w:rFonts w:hint="eastAsia" w:ascii="宋体" w:hAnsi="宋体" w:cs="宋体"/>
          <w:sz w:val="24"/>
          <w:szCs w:val="24"/>
        </w:rPr>
      </w:pPr>
    </w:p>
    <w:p>
      <w:pPr>
        <w:pStyle w:val="21"/>
        <w:rPr>
          <w:rFonts w:hint="eastAsia" w:ascii="宋体" w:hAnsi="宋体" w:cs="宋体"/>
          <w:sz w:val="24"/>
          <w:szCs w:val="24"/>
        </w:rPr>
      </w:pPr>
    </w:p>
    <w:p>
      <w:pPr>
        <w:rPr>
          <w:rFonts w:hint="eastAsia" w:ascii="宋体" w:hAnsi="宋体" w:cs="宋体"/>
          <w:sz w:val="24"/>
          <w:szCs w:val="24"/>
        </w:rPr>
      </w:pPr>
    </w:p>
    <w:p>
      <w:pPr>
        <w:pStyle w:val="21"/>
        <w:rPr>
          <w:rFonts w:hint="eastAsia" w:ascii="宋体" w:hAnsi="宋体" w:cs="宋体"/>
          <w:sz w:val="24"/>
          <w:szCs w:val="24"/>
        </w:rPr>
      </w:pPr>
    </w:p>
    <w:p>
      <w:pPr>
        <w:rPr>
          <w:rFonts w:hint="eastAsia" w:ascii="宋体" w:hAnsi="宋体" w:cs="宋体"/>
          <w:sz w:val="24"/>
          <w:szCs w:val="24"/>
        </w:rPr>
      </w:pPr>
    </w:p>
    <w:p>
      <w:pPr>
        <w:pStyle w:val="21"/>
        <w:rPr>
          <w:rFonts w:hint="eastAsia" w:ascii="宋体" w:hAnsi="宋体" w:cs="宋体"/>
          <w:sz w:val="24"/>
          <w:szCs w:val="24"/>
        </w:rPr>
      </w:pPr>
    </w:p>
    <w:p>
      <w:pPr>
        <w:rPr>
          <w:rFonts w:hint="eastAsia" w:ascii="宋体" w:hAnsi="宋体" w:cs="宋体"/>
          <w:sz w:val="24"/>
          <w:szCs w:val="24"/>
        </w:rPr>
      </w:pPr>
    </w:p>
    <w:p>
      <w:pPr>
        <w:pStyle w:val="21"/>
        <w:rPr>
          <w:rFonts w:hint="eastAsia" w:ascii="宋体" w:hAnsi="宋体" w:cs="宋体"/>
          <w:sz w:val="24"/>
          <w:szCs w:val="24"/>
        </w:rPr>
      </w:pPr>
    </w:p>
    <w:p>
      <w:pPr>
        <w:rPr>
          <w:rFonts w:hint="eastAsia" w:ascii="宋体" w:hAnsi="宋体" w:cs="宋体"/>
          <w:sz w:val="24"/>
          <w:szCs w:val="24"/>
        </w:rPr>
      </w:pPr>
    </w:p>
    <w:p>
      <w:pPr>
        <w:snapToGrid w:val="0"/>
        <w:jc w:val="left"/>
        <w:rPr>
          <w:rFonts w:hint="eastAsia"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14</w:t>
      </w:r>
      <w:r>
        <w:rPr>
          <w:rFonts w:hint="eastAsia" w:ascii="宋体" w:hAnsi="宋体" w:cs="宋体"/>
          <w:b/>
          <w:bCs/>
          <w:sz w:val="28"/>
          <w:szCs w:val="28"/>
        </w:rPr>
        <w:t>：</w:t>
      </w:r>
    </w:p>
    <w:p>
      <w:pPr>
        <w:pStyle w:val="544"/>
        <w:widowControl w:val="0"/>
        <w:snapToGrid w:val="0"/>
        <w:spacing w:line="500" w:lineRule="exact"/>
        <w:jc w:val="center"/>
        <w:rPr>
          <w:rFonts w:hint="eastAsia" w:hAnsi="宋体"/>
          <w:b/>
          <w:bCs/>
          <w:kern w:val="0"/>
          <w:sz w:val="28"/>
          <w:szCs w:val="28"/>
        </w:rPr>
      </w:pPr>
      <w:r>
        <w:rPr>
          <w:rFonts w:hint="eastAsia" w:hAnsi="宋体"/>
          <w:b/>
          <w:bCs/>
          <w:sz w:val="28"/>
          <w:szCs w:val="28"/>
        </w:rPr>
        <w:t>政府采购活动现场确认声明书</w:t>
      </w:r>
    </w:p>
    <w:p>
      <w:pPr>
        <w:pStyle w:val="544"/>
        <w:widowControl w:val="0"/>
        <w:snapToGrid w:val="0"/>
        <w:spacing w:line="440" w:lineRule="exact"/>
        <w:jc w:val="both"/>
        <w:rPr>
          <w:rFonts w:hAnsi="宋体" w:cs="Times New Roman"/>
          <w:b/>
          <w:bCs/>
          <w:sz w:val="24"/>
          <w:szCs w:val="24"/>
        </w:rPr>
      </w:pPr>
      <w:r>
        <w:rPr>
          <w:rFonts w:hAnsi="宋体" w:cs="Times New Roman"/>
          <w:kern w:val="0"/>
          <w:sz w:val="24"/>
          <w:szCs w:val="24"/>
          <w:u w:val="single"/>
        </w:rPr>
        <w:t>绍兴平准招标代理有限公司</w:t>
      </w:r>
      <w:r>
        <w:rPr>
          <w:rFonts w:hAnsi="宋体" w:cs="Times New Roman"/>
          <w:kern w:val="0"/>
          <w:sz w:val="24"/>
          <w:szCs w:val="24"/>
        </w:rPr>
        <w:t>（采购组织机构名称）：</w:t>
      </w:r>
    </w:p>
    <w:p>
      <w:pPr>
        <w:pStyle w:val="544"/>
        <w:wordWrap w:val="0"/>
        <w:ind w:firstLine="504"/>
        <w:rPr>
          <w:rFonts w:hAnsi="宋体"/>
          <w:b/>
          <w:bCs/>
          <w:spacing w:val="6"/>
          <w:sz w:val="24"/>
          <w:szCs w:val="24"/>
          <w:u w:val="single"/>
        </w:rPr>
      </w:pPr>
      <w:r>
        <w:rPr>
          <w:rFonts w:hAnsi="宋体" w:cs="Times New Roman"/>
          <w:spacing w:val="6"/>
          <w:sz w:val="24"/>
          <w:szCs w:val="24"/>
        </w:rPr>
        <w:t>本人经由</w:t>
      </w:r>
      <w:r>
        <w:rPr>
          <w:rFonts w:hAnsi="宋体" w:cs="Times New Roman"/>
          <w:spacing w:val="6"/>
          <w:sz w:val="24"/>
          <w:szCs w:val="24"/>
          <w:u w:val="single"/>
        </w:rPr>
        <w:t xml:space="preserve">         </w:t>
      </w:r>
      <w:r>
        <w:rPr>
          <w:rFonts w:hint="eastAsia" w:hAnsi="宋体" w:cs="Times New Roman"/>
          <w:spacing w:val="6"/>
          <w:sz w:val="24"/>
          <w:szCs w:val="24"/>
          <w:u w:val="single"/>
        </w:rPr>
        <w:t xml:space="preserve">       </w:t>
      </w:r>
      <w:r>
        <w:rPr>
          <w:rFonts w:hAnsi="宋体" w:cs="Times New Roman"/>
          <w:spacing w:val="6"/>
          <w:sz w:val="24"/>
          <w:szCs w:val="24"/>
          <w:u w:val="single"/>
        </w:rPr>
        <w:t xml:space="preserve">    </w:t>
      </w:r>
      <w:r>
        <w:rPr>
          <w:rFonts w:hint="eastAsia" w:hAnsi="宋体" w:cs="Times New Roman"/>
          <w:spacing w:val="6"/>
          <w:sz w:val="24"/>
          <w:szCs w:val="24"/>
          <w:u w:val="single"/>
        </w:rPr>
        <w:t xml:space="preserve">   </w:t>
      </w:r>
      <w:r>
        <w:rPr>
          <w:rFonts w:hAnsi="宋体" w:cs="Times New Roman"/>
          <w:spacing w:val="6"/>
          <w:sz w:val="24"/>
          <w:szCs w:val="24"/>
          <w:u w:val="single"/>
        </w:rPr>
        <w:t xml:space="preserve">    （单位）</w:t>
      </w:r>
      <w:r>
        <w:rPr>
          <w:rFonts w:hAnsi="宋体" w:cs="Times New Roman"/>
          <w:spacing w:val="6"/>
          <w:sz w:val="24"/>
          <w:szCs w:val="24"/>
        </w:rPr>
        <w:t>负责人</w:t>
      </w:r>
      <w:r>
        <w:rPr>
          <w:rFonts w:hAnsi="宋体" w:cs="Times New Roman"/>
          <w:spacing w:val="6"/>
          <w:sz w:val="24"/>
          <w:szCs w:val="24"/>
          <w:u w:val="single"/>
        </w:rPr>
        <w:t xml:space="preserve">      </w:t>
      </w:r>
      <w:r>
        <w:rPr>
          <w:rFonts w:hint="eastAsia" w:hAnsi="宋体" w:cs="Times New Roman"/>
          <w:spacing w:val="6"/>
          <w:sz w:val="24"/>
          <w:szCs w:val="24"/>
          <w:u w:val="single"/>
        </w:rPr>
        <w:t xml:space="preserve"> </w:t>
      </w:r>
      <w:r>
        <w:rPr>
          <w:rFonts w:hAnsi="宋体" w:cs="Times New Roman"/>
          <w:spacing w:val="6"/>
          <w:sz w:val="24"/>
          <w:szCs w:val="24"/>
          <w:u w:val="single"/>
        </w:rPr>
        <w:t xml:space="preserve">  （姓名）</w:t>
      </w:r>
      <w:r>
        <w:rPr>
          <w:rFonts w:hAnsi="宋体" w:cs="Times New Roman"/>
          <w:spacing w:val="6"/>
          <w:sz w:val="24"/>
          <w:szCs w:val="24"/>
        </w:rPr>
        <w:t>合法授权参加</w:t>
      </w:r>
      <w:r>
        <w:rPr>
          <w:rFonts w:hint="eastAsia" w:hAnsi="宋体"/>
          <w:sz w:val="24"/>
          <w:szCs w:val="24"/>
          <w:u w:val="single"/>
          <w:lang w:eastAsia="zh-CN"/>
        </w:rPr>
        <w:t>新昌县城东实验学校多媒体设备采购项目</w:t>
      </w:r>
      <w:r>
        <w:rPr>
          <w:rFonts w:hAnsi="宋体" w:cs="Times New Roman"/>
          <w:spacing w:val="6"/>
          <w:sz w:val="24"/>
          <w:szCs w:val="24"/>
        </w:rPr>
        <w:t>（</w:t>
      </w:r>
      <w:r>
        <w:rPr>
          <w:rFonts w:hint="eastAsia" w:hAnsi="宋体" w:cs="Times New Roman"/>
          <w:spacing w:val="6"/>
          <w:sz w:val="24"/>
          <w:szCs w:val="24"/>
        </w:rPr>
        <w:t>编</w:t>
      </w:r>
      <w:r>
        <w:rPr>
          <w:rFonts w:hAnsi="宋体" w:cs="Times New Roman"/>
          <w:spacing w:val="6"/>
          <w:sz w:val="24"/>
          <w:szCs w:val="24"/>
        </w:rPr>
        <w:t>号</w:t>
      </w:r>
      <w:r>
        <w:rPr>
          <w:rFonts w:hint="eastAsia" w:hAnsi="宋体" w:cs="Times New Roman"/>
          <w:spacing w:val="6"/>
          <w:sz w:val="24"/>
          <w:szCs w:val="24"/>
        </w:rPr>
        <w:t>:</w:t>
      </w:r>
      <w:r>
        <w:rPr>
          <w:rFonts w:hint="eastAsia" w:hAnsi="宋体" w:cs="Times New Roman"/>
          <w:spacing w:val="6"/>
          <w:sz w:val="24"/>
          <w:szCs w:val="24"/>
          <w:lang w:eastAsia="zh-CN"/>
        </w:rPr>
        <w:t>SXPZ-H20200812ZXX</w:t>
      </w:r>
      <w:r>
        <w:rPr>
          <w:rFonts w:hAnsi="宋体" w:cs="Times New Roman"/>
          <w:spacing w:val="6"/>
          <w:sz w:val="24"/>
          <w:szCs w:val="24"/>
        </w:rPr>
        <w:t xml:space="preserve">）政府采购活动，经与本单位法人代表（负责人）联系确认，现就有关公平竞争事项郑重声明如下： </w:t>
      </w:r>
    </w:p>
    <w:p>
      <w:pPr>
        <w:pStyle w:val="545"/>
        <w:widowControl/>
        <w:snapToGrid w:val="0"/>
        <w:spacing w:line="440" w:lineRule="exact"/>
        <w:ind w:firstLine="480"/>
        <w:rPr>
          <w:rFonts w:cs="Times New Roman"/>
          <w:kern w:val="0"/>
          <w:sz w:val="24"/>
          <w:szCs w:val="24"/>
        </w:rPr>
      </w:pPr>
      <w:r>
        <w:rPr>
          <w:rFonts w:cs="Times New Roman"/>
          <w:kern w:val="0"/>
          <w:sz w:val="24"/>
          <w:szCs w:val="24"/>
        </w:rPr>
        <w:t xml:space="preserve">一、本单位与采购人之间 </w:t>
      </w:r>
      <w:r>
        <w:rPr>
          <w:rFonts w:cs="Times New Roman"/>
          <w:sz w:val="24"/>
          <w:szCs w:val="24"/>
        </w:rPr>
        <w:t>□</w:t>
      </w:r>
      <w:r>
        <w:rPr>
          <w:rFonts w:cs="Times New Roman"/>
          <w:kern w:val="0"/>
          <w:sz w:val="24"/>
          <w:szCs w:val="24"/>
        </w:rPr>
        <w:t xml:space="preserve">不存在利害关系 </w:t>
      </w:r>
      <w:r>
        <w:rPr>
          <w:rFonts w:cs="Times New Roman"/>
          <w:sz w:val="24"/>
          <w:szCs w:val="24"/>
        </w:rPr>
        <w:sym w:font="Wingdings 2" w:char="00A3"/>
      </w:r>
      <w:r>
        <w:rPr>
          <w:rFonts w:cs="Times New Roman"/>
          <w:kern w:val="0"/>
          <w:sz w:val="24"/>
          <w:szCs w:val="24"/>
        </w:rPr>
        <w:t>存在下列利害关系</w:t>
      </w:r>
      <w:r>
        <w:rPr>
          <w:rFonts w:cs="Times New Roman"/>
          <w:kern w:val="0"/>
          <w:sz w:val="24"/>
          <w:szCs w:val="24"/>
          <w:u w:val="single"/>
        </w:rPr>
        <w:t xml:space="preserve">           </w:t>
      </w:r>
      <w:r>
        <w:rPr>
          <w:rFonts w:cs="Times New Roman"/>
          <w:kern w:val="0"/>
          <w:sz w:val="24"/>
          <w:szCs w:val="24"/>
        </w:rPr>
        <w:t>：</w:t>
      </w:r>
    </w:p>
    <w:p>
      <w:pPr>
        <w:pStyle w:val="545"/>
        <w:widowControl/>
        <w:snapToGrid w:val="0"/>
        <w:spacing w:line="440" w:lineRule="exact"/>
        <w:ind w:firstLine="480"/>
        <w:rPr>
          <w:rFonts w:cs="Times New Roman"/>
          <w:kern w:val="0"/>
          <w:sz w:val="24"/>
          <w:szCs w:val="24"/>
        </w:rPr>
      </w:pPr>
      <w:r>
        <w:rPr>
          <w:rFonts w:cs="Times New Roman"/>
          <w:kern w:val="0"/>
          <w:sz w:val="24"/>
          <w:szCs w:val="24"/>
        </w:rPr>
        <w:t>A.投资关系    B.行政隶属关系    C.业务指导关系</w:t>
      </w:r>
    </w:p>
    <w:p>
      <w:pPr>
        <w:pStyle w:val="545"/>
        <w:widowControl/>
        <w:snapToGrid w:val="0"/>
        <w:spacing w:line="440" w:lineRule="exact"/>
        <w:ind w:firstLine="480"/>
        <w:jc w:val="left"/>
        <w:rPr>
          <w:rFonts w:cs="Times New Roman"/>
          <w:kern w:val="0"/>
          <w:sz w:val="24"/>
          <w:szCs w:val="24"/>
        </w:rPr>
      </w:pPr>
      <w:r>
        <w:rPr>
          <w:rFonts w:cs="Times New Roman"/>
          <w:kern w:val="0"/>
          <w:sz w:val="24"/>
          <w:szCs w:val="24"/>
        </w:rPr>
        <w:t>D.其他可能</w:t>
      </w:r>
      <w:r>
        <w:rPr>
          <w:rFonts w:cs="Times New Roman"/>
          <w:sz w:val="24"/>
          <w:szCs w:val="24"/>
        </w:rPr>
        <w:t>影响采购公正的</w:t>
      </w:r>
      <w:r>
        <w:rPr>
          <w:rFonts w:cs="Times New Roman"/>
          <w:kern w:val="0"/>
          <w:sz w:val="24"/>
          <w:szCs w:val="24"/>
        </w:rPr>
        <w:t>利害关系</w:t>
      </w:r>
      <w:r>
        <w:rPr>
          <w:rFonts w:cs="Times New Roman"/>
          <w:kern w:val="0"/>
          <w:sz w:val="24"/>
          <w:szCs w:val="24"/>
          <w:u w:val="single"/>
        </w:rPr>
        <w:t xml:space="preserve">（如有，请如实说明）               </w:t>
      </w:r>
      <w:r>
        <w:rPr>
          <w:rFonts w:cs="Times New Roman"/>
          <w:kern w:val="0"/>
          <w:sz w:val="24"/>
          <w:szCs w:val="24"/>
        </w:rPr>
        <w:t>。</w:t>
      </w:r>
    </w:p>
    <w:p>
      <w:pPr>
        <w:pStyle w:val="545"/>
        <w:widowControl/>
        <w:snapToGrid w:val="0"/>
        <w:spacing w:line="440" w:lineRule="exact"/>
        <w:ind w:firstLine="504"/>
        <w:rPr>
          <w:rFonts w:cs="Times New Roman"/>
          <w:kern w:val="0"/>
          <w:sz w:val="24"/>
          <w:szCs w:val="24"/>
        </w:rPr>
      </w:pPr>
      <w:r>
        <w:rPr>
          <w:rFonts w:cs="Times New Roman"/>
          <w:spacing w:val="6"/>
          <w:sz w:val="24"/>
          <w:szCs w:val="24"/>
        </w:rPr>
        <w:t>二、</w:t>
      </w:r>
      <w:r>
        <w:rPr>
          <w:rFonts w:cs="Times New Roman"/>
          <w:kern w:val="0"/>
          <w:sz w:val="24"/>
          <w:szCs w:val="24"/>
        </w:rPr>
        <w:t xml:space="preserve">现已清楚知道参加本项目采购活动的其他所有供应商名称，本单位 </w:t>
      </w:r>
      <w:r>
        <w:rPr>
          <w:rFonts w:cs="Times New Roman"/>
          <w:sz w:val="24"/>
          <w:szCs w:val="24"/>
        </w:rPr>
        <w:t>□</w:t>
      </w:r>
      <w:r>
        <w:rPr>
          <w:rFonts w:cs="Times New Roman"/>
          <w:kern w:val="0"/>
          <w:sz w:val="24"/>
          <w:szCs w:val="24"/>
        </w:rPr>
        <w:t xml:space="preserve">与其他所有供应商之间均不存在利害关系 </w:t>
      </w:r>
      <w:r>
        <w:rPr>
          <w:rFonts w:cs="Times New Roman"/>
          <w:sz w:val="24"/>
          <w:szCs w:val="24"/>
        </w:rPr>
        <w:sym w:font="Wingdings 2" w:char="00A3"/>
      </w:r>
      <w:r>
        <w:rPr>
          <w:rFonts w:cs="Times New Roman"/>
          <w:kern w:val="0"/>
          <w:sz w:val="24"/>
          <w:szCs w:val="24"/>
        </w:rPr>
        <w:t>与</w:t>
      </w:r>
      <w:r>
        <w:rPr>
          <w:rFonts w:cs="Times New Roman"/>
          <w:kern w:val="0"/>
          <w:sz w:val="24"/>
          <w:szCs w:val="24"/>
          <w:u w:val="single"/>
        </w:rPr>
        <w:t xml:space="preserve">           （供应商名称）</w:t>
      </w:r>
      <w:r>
        <w:rPr>
          <w:rFonts w:cs="Times New Roman"/>
          <w:kern w:val="0"/>
          <w:sz w:val="24"/>
          <w:szCs w:val="24"/>
        </w:rPr>
        <w:t>之间存在下列利害关系</w:t>
      </w:r>
      <w:r>
        <w:rPr>
          <w:rFonts w:cs="Times New Roman"/>
          <w:kern w:val="0"/>
          <w:sz w:val="24"/>
          <w:szCs w:val="24"/>
          <w:u w:val="single"/>
        </w:rPr>
        <w:t xml:space="preserve">          </w:t>
      </w:r>
      <w:r>
        <w:rPr>
          <w:rFonts w:cs="Times New Roman"/>
          <w:kern w:val="0"/>
          <w:sz w:val="24"/>
          <w:szCs w:val="24"/>
        </w:rPr>
        <w:t>：</w:t>
      </w:r>
    </w:p>
    <w:p>
      <w:pPr>
        <w:pStyle w:val="544"/>
        <w:widowControl w:val="0"/>
        <w:snapToGrid w:val="0"/>
        <w:spacing w:line="440" w:lineRule="exact"/>
        <w:ind w:firstLine="480"/>
        <w:jc w:val="both"/>
        <w:rPr>
          <w:rFonts w:hAnsi="宋体" w:cs="Times New Roman"/>
          <w:kern w:val="0"/>
          <w:sz w:val="24"/>
          <w:szCs w:val="24"/>
        </w:rPr>
      </w:pPr>
      <w:r>
        <w:rPr>
          <w:rFonts w:hAnsi="宋体" w:cs="Times New Roman"/>
          <w:kern w:val="0"/>
          <w:sz w:val="24"/>
          <w:szCs w:val="24"/>
        </w:rPr>
        <w:t xml:space="preserve"> A.法定代表人或负责人或实际控制人是同一人</w:t>
      </w:r>
    </w:p>
    <w:p>
      <w:pPr>
        <w:pStyle w:val="544"/>
        <w:widowControl w:val="0"/>
        <w:snapToGrid w:val="0"/>
        <w:spacing w:line="440" w:lineRule="exact"/>
        <w:ind w:firstLine="480"/>
        <w:jc w:val="both"/>
        <w:rPr>
          <w:rFonts w:hAnsi="宋体" w:cs="Times New Roman"/>
          <w:spacing w:val="6"/>
          <w:sz w:val="24"/>
          <w:szCs w:val="24"/>
        </w:rPr>
      </w:pPr>
      <w:r>
        <w:rPr>
          <w:rFonts w:hAnsi="宋体" w:cs="Times New Roman"/>
          <w:kern w:val="0"/>
          <w:sz w:val="24"/>
          <w:szCs w:val="24"/>
        </w:rPr>
        <w:t xml:space="preserve"> B.法定代表人或负责人或实际控制人是夫妻关系</w:t>
      </w:r>
    </w:p>
    <w:p>
      <w:pPr>
        <w:pStyle w:val="544"/>
        <w:widowControl w:val="0"/>
        <w:snapToGrid w:val="0"/>
        <w:spacing w:line="440" w:lineRule="exact"/>
        <w:ind w:firstLine="480"/>
        <w:jc w:val="both"/>
        <w:rPr>
          <w:rFonts w:hAnsi="宋体" w:cs="Times New Roman"/>
          <w:spacing w:val="6"/>
          <w:sz w:val="24"/>
          <w:szCs w:val="24"/>
        </w:rPr>
      </w:pPr>
      <w:r>
        <w:rPr>
          <w:rFonts w:hAnsi="宋体" w:cs="Times New Roman"/>
          <w:kern w:val="0"/>
          <w:sz w:val="24"/>
          <w:szCs w:val="24"/>
        </w:rPr>
        <w:t xml:space="preserve"> C.法定代表人或负责人或实际控制人是直系血亲关系</w:t>
      </w:r>
    </w:p>
    <w:p>
      <w:pPr>
        <w:pStyle w:val="544"/>
        <w:widowControl w:val="0"/>
        <w:snapToGrid w:val="0"/>
        <w:spacing w:line="440" w:lineRule="exact"/>
        <w:ind w:firstLine="480"/>
        <w:jc w:val="both"/>
        <w:rPr>
          <w:rFonts w:hAnsi="宋体" w:cs="Times New Roman"/>
          <w:spacing w:val="6"/>
          <w:sz w:val="24"/>
          <w:szCs w:val="24"/>
        </w:rPr>
      </w:pPr>
      <w:r>
        <w:rPr>
          <w:rFonts w:hAnsi="宋体" w:cs="Times New Roman"/>
          <w:kern w:val="0"/>
          <w:sz w:val="24"/>
          <w:szCs w:val="24"/>
        </w:rPr>
        <w:t xml:space="preserve"> D.法定代表人或负责人或实际控制人存在三代以内旁系血亲关系</w:t>
      </w:r>
    </w:p>
    <w:p>
      <w:pPr>
        <w:pStyle w:val="544"/>
        <w:widowControl w:val="0"/>
        <w:snapToGrid w:val="0"/>
        <w:spacing w:line="440" w:lineRule="exact"/>
        <w:ind w:firstLine="480"/>
        <w:jc w:val="both"/>
        <w:rPr>
          <w:rFonts w:hAnsi="宋体" w:cs="Times New Roman"/>
          <w:kern w:val="0"/>
          <w:sz w:val="24"/>
          <w:szCs w:val="24"/>
        </w:rPr>
      </w:pPr>
      <w:r>
        <w:rPr>
          <w:rFonts w:hAnsi="宋体" w:cs="Times New Roman"/>
          <w:kern w:val="0"/>
          <w:sz w:val="24"/>
          <w:szCs w:val="24"/>
        </w:rPr>
        <w:t xml:space="preserve"> E.法定代表人或负责人或实际控制人存在近姻亲关系</w:t>
      </w:r>
    </w:p>
    <w:p>
      <w:pPr>
        <w:pStyle w:val="544"/>
        <w:widowControl w:val="0"/>
        <w:snapToGrid w:val="0"/>
        <w:spacing w:line="440" w:lineRule="exact"/>
        <w:ind w:firstLine="480"/>
        <w:jc w:val="both"/>
        <w:rPr>
          <w:rFonts w:hAnsi="宋体" w:cs="Times New Roman"/>
          <w:kern w:val="0"/>
          <w:sz w:val="24"/>
          <w:szCs w:val="24"/>
        </w:rPr>
      </w:pPr>
      <w:r>
        <w:rPr>
          <w:rFonts w:hAnsi="宋体" w:cs="Times New Roman"/>
          <w:kern w:val="0"/>
          <w:sz w:val="24"/>
          <w:szCs w:val="24"/>
        </w:rPr>
        <w:t xml:space="preserve"> F.法定代表人或负责人或实际控制人存在股份控制或实际控制关系</w:t>
      </w:r>
    </w:p>
    <w:p>
      <w:pPr>
        <w:pStyle w:val="544"/>
        <w:widowControl w:val="0"/>
        <w:snapToGrid w:val="0"/>
        <w:spacing w:line="440" w:lineRule="exact"/>
        <w:ind w:firstLine="480"/>
        <w:jc w:val="both"/>
        <w:outlineLvl w:val="0"/>
        <w:rPr>
          <w:rFonts w:hAnsi="宋体" w:cs="Times New Roman"/>
          <w:kern w:val="0"/>
          <w:sz w:val="24"/>
          <w:szCs w:val="24"/>
        </w:rPr>
      </w:pPr>
      <w:r>
        <w:rPr>
          <w:rFonts w:hAnsi="宋体" w:cs="Times New Roman"/>
          <w:kern w:val="0"/>
          <w:sz w:val="24"/>
          <w:szCs w:val="24"/>
        </w:rPr>
        <w:t xml:space="preserve"> G.存在共同直接或间接投资设立子公司、联营企业和合营企业情况</w:t>
      </w:r>
    </w:p>
    <w:p>
      <w:pPr>
        <w:pStyle w:val="544"/>
        <w:widowControl w:val="0"/>
        <w:snapToGrid w:val="0"/>
        <w:spacing w:line="440" w:lineRule="exact"/>
        <w:ind w:firstLine="480"/>
        <w:jc w:val="both"/>
        <w:rPr>
          <w:rFonts w:hAnsi="宋体" w:cs="Times New Roman"/>
          <w:sz w:val="24"/>
          <w:szCs w:val="24"/>
        </w:rPr>
      </w:pPr>
      <w:r>
        <w:rPr>
          <w:rFonts w:hAnsi="宋体" w:cs="Times New Roman"/>
          <w:kern w:val="0"/>
          <w:sz w:val="24"/>
          <w:szCs w:val="24"/>
        </w:rPr>
        <w:t xml:space="preserve"> H.存在分级代理或代销关系、同一生产制造商关系、</w:t>
      </w:r>
      <w:r>
        <w:rPr>
          <w:rFonts w:hAnsi="宋体" w:cs="Times New Roman"/>
          <w:sz w:val="24"/>
          <w:szCs w:val="24"/>
        </w:rPr>
        <w:t>管理关系、重要业务（占主营业务收入50%以上）或重要财务往来关系（如融资）等其他实质性控制关系</w:t>
      </w:r>
    </w:p>
    <w:p>
      <w:pPr>
        <w:pStyle w:val="544"/>
        <w:widowControl w:val="0"/>
        <w:tabs>
          <w:tab w:val="left" w:pos="426"/>
        </w:tabs>
        <w:snapToGrid w:val="0"/>
        <w:spacing w:line="440" w:lineRule="exact"/>
        <w:ind w:firstLine="480"/>
        <w:jc w:val="both"/>
        <w:rPr>
          <w:rFonts w:hAnsi="宋体" w:cs="Times New Roman"/>
          <w:spacing w:val="6"/>
          <w:sz w:val="24"/>
          <w:szCs w:val="24"/>
        </w:rPr>
      </w:pPr>
      <w:r>
        <w:rPr>
          <w:rFonts w:hAnsi="宋体" w:cs="Times New Roman"/>
          <w:sz w:val="24"/>
          <w:szCs w:val="24"/>
        </w:rPr>
        <w:t>I</w:t>
      </w:r>
      <w:r>
        <w:rPr>
          <w:rFonts w:hAnsi="宋体" w:cs="Times New Roman"/>
          <w:kern w:val="0"/>
          <w:sz w:val="24"/>
          <w:szCs w:val="24"/>
        </w:rPr>
        <w:t>.</w:t>
      </w:r>
      <w:r>
        <w:rPr>
          <w:rFonts w:hAnsi="宋体" w:cs="Times New Roman"/>
          <w:sz w:val="24"/>
          <w:szCs w:val="24"/>
        </w:rPr>
        <w:t>其他利害关系情况</w:t>
      </w:r>
      <w:r>
        <w:rPr>
          <w:rFonts w:hAnsi="宋体" w:cs="Times New Roman"/>
          <w:sz w:val="24"/>
          <w:szCs w:val="24"/>
          <w:u w:val="single"/>
        </w:rPr>
        <w:t xml:space="preserve">                              </w:t>
      </w:r>
      <w:r>
        <w:rPr>
          <w:rFonts w:hAnsi="宋体" w:cs="Times New Roman"/>
          <w:kern w:val="0"/>
          <w:sz w:val="24"/>
          <w:szCs w:val="24"/>
        </w:rPr>
        <w:t>。</w:t>
      </w:r>
    </w:p>
    <w:p>
      <w:pPr>
        <w:pStyle w:val="545"/>
        <w:widowControl/>
        <w:numPr>
          <w:ilvl w:val="0"/>
          <w:numId w:val="20"/>
        </w:numPr>
        <w:snapToGrid w:val="0"/>
        <w:spacing w:line="440" w:lineRule="exact"/>
        <w:ind w:firstLine="480"/>
        <w:rPr>
          <w:rFonts w:cs="Times New Roman"/>
          <w:kern w:val="0"/>
          <w:sz w:val="24"/>
          <w:szCs w:val="24"/>
        </w:rPr>
      </w:pPr>
      <w:r>
        <w:rPr>
          <w:rFonts w:cs="Times New Roman"/>
          <w:sz w:val="24"/>
          <w:szCs w:val="24"/>
        </w:rPr>
        <w:t>现已清楚知道并</w:t>
      </w:r>
      <w:r>
        <w:rPr>
          <w:rFonts w:cs="Times New Roman"/>
          <w:kern w:val="0"/>
          <w:sz w:val="24"/>
          <w:szCs w:val="24"/>
        </w:rPr>
        <w:t>严格遵守政府采购法律法规和现场纪律。</w:t>
      </w:r>
    </w:p>
    <w:p>
      <w:pPr>
        <w:pStyle w:val="545"/>
        <w:widowControl/>
        <w:numPr>
          <w:ilvl w:val="0"/>
          <w:numId w:val="20"/>
        </w:numPr>
        <w:snapToGrid w:val="0"/>
        <w:spacing w:line="440" w:lineRule="exact"/>
        <w:ind w:firstLine="480"/>
        <w:rPr>
          <w:rFonts w:cs="Times New Roman"/>
          <w:sz w:val="24"/>
          <w:szCs w:val="24"/>
        </w:rPr>
      </w:pPr>
      <w:r>
        <w:rPr>
          <w:rFonts w:cs="Times New Roman"/>
          <w:kern w:val="0"/>
          <w:sz w:val="24"/>
          <w:szCs w:val="24"/>
        </w:rPr>
        <w:t>我发现</w:t>
      </w:r>
      <w:r>
        <w:rPr>
          <w:rFonts w:cs="Times New Roman"/>
          <w:kern w:val="0"/>
          <w:sz w:val="24"/>
          <w:szCs w:val="24"/>
          <w:u w:val="single"/>
        </w:rPr>
        <w:t xml:space="preserve">                             </w:t>
      </w:r>
      <w:r>
        <w:rPr>
          <w:rFonts w:cs="Times New Roman"/>
          <w:kern w:val="0"/>
          <w:sz w:val="24"/>
          <w:szCs w:val="24"/>
        </w:rPr>
        <w:t>供应商之间存在或可能存在上述第二条第</w:t>
      </w:r>
      <w:r>
        <w:rPr>
          <w:rFonts w:cs="Times New Roman"/>
          <w:kern w:val="0"/>
          <w:sz w:val="24"/>
          <w:szCs w:val="24"/>
          <w:u w:val="single"/>
        </w:rPr>
        <w:t xml:space="preserve">        </w:t>
      </w:r>
      <w:r>
        <w:rPr>
          <w:rFonts w:cs="Times New Roman"/>
          <w:kern w:val="0"/>
          <w:sz w:val="24"/>
          <w:szCs w:val="24"/>
        </w:rPr>
        <w:t>项利害关系。</w:t>
      </w:r>
    </w:p>
    <w:p>
      <w:pPr>
        <w:pStyle w:val="544"/>
        <w:widowControl w:val="0"/>
        <w:snapToGrid w:val="0"/>
        <w:spacing w:line="440" w:lineRule="exact"/>
        <w:ind w:firstLine="480"/>
        <w:jc w:val="both"/>
        <w:rPr>
          <w:rFonts w:hAnsi="宋体" w:cs="Times New Roman"/>
          <w:sz w:val="24"/>
          <w:szCs w:val="24"/>
        </w:rPr>
      </w:pPr>
      <w:r>
        <w:rPr>
          <w:rFonts w:hAnsi="宋体" w:cs="Times New Roman"/>
          <w:sz w:val="24"/>
          <w:szCs w:val="24"/>
        </w:rPr>
        <w:t xml:space="preserve">                           </w:t>
      </w:r>
      <w:r>
        <w:rPr>
          <w:rFonts w:hint="eastAsia" w:hAnsi="宋体" w:cs="Times New Roman"/>
          <w:sz w:val="24"/>
          <w:szCs w:val="24"/>
        </w:rPr>
        <w:t xml:space="preserve">          </w:t>
      </w:r>
      <w:r>
        <w:rPr>
          <w:rFonts w:hAnsi="宋体" w:cs="Times New Roman"/>
          <w:sz w:val="24"/>
          <w:szCs w:val="24"/>
        </w:rPr>
        <w:t xml:space="preserve">   （供应商代表签名）</w:t>
      </w:r>
    </w:p>
    <w:p>
      <w:pPr>
        <w:pStyle w:val="544"/>
        <w:widowControl w:val="0"/>
        <w:snapToGrid w:val="0"/>
        <w:spacing w:line="440" w:lineRule="exact"/>
        <w:ind w:firstLine="480"/>
        <w:jc w:val="both"/>
      </w:pPr>
      <w:r>
        <w:rPr>
          <w:rFonts w:hAnsi="宋体" w:cs="Times New Roman"/>
          <w:sz w:val="24"/>
          <w:szCs w:val="24"/>
        </w:rPr>
        <w:t xml:space="preserve">                                </w:t>
      </w:r>
      <w:r>
        <w:rPr>
          <w:rFonts w:hint="eastAsia" w:hAnsi="宋体" w:cs="Times New Roman"/>
          <w:sz w:val="24"/>
          <w:szCs w:val="24"/>
        </w:rPr>
        <w:t xml:space="preserve">         2020</w:t>
      </w:r>
      <w:r>
        <w:rPr>
          <w:rFonts w:hAnsi="宋体" w:cs="Times New Roman"/>
          <w:sz w:val="24"/>
          <w:szCs w:val="24"/>
        </w:rPr>
        <w:t>年</w:t>
      </w:r>
      <w:r>
        <w:rPr>
          <w:rFonts w:hint="eastAsia" w:hAnsi="宋体" w:cs="Times New Roman"/>
          <w:sz w:val="24"/>
          <w:szCs w:val="24"/>
        </w:rPr>
        <w:t xml:space="preserve">  月    日</w:t>
      </w:r>
    </w:p>
    <w:p>
      <w:pPr>
        <w:pStyle w:val="544"/>
        <w:widowControl w:val="0"/>
        <w:snapToGrid w:val="0"/>
        <w:spacing w:line="440" w:lineRule="exact"/>
        <w:ind w:firstLine="480"/>
        <w:jc w:val="both"/>
      </w:pPr>
    </w:p>
    <w:p>
      <w:pPr>
        <w:pStyle w:val="21"/>
      </w:pPr>
    </w:p>
    <w:p>
      <w:pPr>
        <w:pStyle w:val="21"/>
        <w:rPr>
          <w:rFonts w:hint="default"/>
          <w:lang w:val="en-US"/>
        </w:rPr>
      </w:pPr>
    </w:p>
    <w:sectPr>
      <w:headerReference r:id="rId11" w:type="first"/>
      <w:footerReference r:id="rId14" w:type="first"/>
      <w:headerReference r:id="rId9" w:type="default"/>
      <w:footerReference r:id="rId12" w:type="default"/>
      <w:headerReference r:id="rId10" w:type="even"/>
      <w:footerReference r:id="rId13" w:type="even"/>
      <w:pgSz w:w="11906" w:h="16838"/>
      <w:pgMar w:top="1474" w:right="1797" w:bottom="1247" w:left="1797"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Noto Sans Mono CJK JP Regular">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left" w:pos="4049"/>
        <w:tab w:val="clear" w:pos="4153"/>
      </w:tabs>
      <w:ind w:firstLine="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left" w:pos="4049"/>
        <w:tab w:val="clear" w:pos="4153"/>
      </w:tabs>
      <w:ind w:firstLine="360"/>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left" w:pos="4049"/>
        <w:tab w:val="clear" w:pos="4153"/>
      </w:tabs>
      <w:ind w:firstLine="360"/>
    </w:pPr>
    <w: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5"/>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S8l6LbIB&#10;AABZAwAADgAAAAAAAAABACAAAAAeAQAAZHJzL2Uyb0RvYy54bWxQSwUGAAAAAAYABgBZAQAAQgUA&#10;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22</w:t>
                    </w:r>
                    <w: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 PAGE   \* MERGEFORMAT </w:instrText>
    </w:r>
    <w:r>
      <w:fldChar w:fldCharType="separate"/>
    </w:r>
    <w:r>
      <w:rPr>
        <w:lang w:val="zh-CN"/>
      </w:rPr>
      <w:t>46</w:t>
    </w:r>
    <w:r>
      <w:rPr>
        <w:lang w:val="zh-CN"/>
      </w:rPr>
      <w:fldChar w:fldCharType="end"/>
    </w:r>
  </w:p>
  <w:p>
    <w:pPr>
      <w:pStyle w:val="35"/>
      <w:ind w:right="720" w:firstLine="180" w:firstLineChars="10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outside" w:y="1"/>
      <w:rPr>
        <w:rStyle w:val="57"/>
      </w:rPr>
    </w:pPr>
    <w:r>
      <w:fldChar w:fldCharType="begin"/>
    </w:r>
    <w:r>
      <w:rPr>
        <w:rStyle w:val="57"/>
      </w:rPr>
      <w:instrText xml:space="preserve">PAGE  </w:instrText>
    </w:r>
    <w:r>
      <w:fldChar w:fldCharType="separate"/>
    </w:r>
    <w:r>
      <w:rPr>
        <w:rStyle w:val="57"/>
      </w:rPr>
      <w:t>19</w:t>
    </w:r>
    <w:r>
      <w:fldChar w:fldCharType="end"/>
    </w:r>
  </w:p>
  <w:p>
    <w:pPr>
      <w:pStyle w:val="3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pict>
        <v:shape id="PowerPlusWaterMarkObject1406298551" o:spid="_x0000_s4098" o:spt="136" type="#_x0000_t136" style="position:absolute;left:0pt;height:48.45pt;width:581.7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绍兴平准招标代理有限公司"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pict>
        <v:shape id="PowerPlusWaterMarkObject1406298550" o:spid="_x0000_s4099" o:spt="136" type="#_x0000_t136" style="position:absolute;left:0pt;height:48.45pt;width:581.7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绍兴平准招标代理有限公司"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pict>
        <v:shape id="PowerPlusWaterMarkObject1406298549" o:spid="_x0000_s4097" o:spt="136" type="#_x0000_t136" style="position:absolute;left:0pt;height:48.45pt;width:581.7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绍兴平准招标代理有限公司"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406298554" o:spid="_x0000_s4101" o:spt="136" type="#_x0000_t136" style="position:absolute;left:0pt;height:48.45pt;width:581.75pt;mso-position-horizontal:center;mso-position-horizontal-relative:margin;mso-position-vertical:center;mso-position-vertical-relative:margin;rotation:20643840f;z-index:-251639808;mso-width-relative:page;mso-height-relative:page;" fillcolor="#C0C0C0" filled="t" stroked="f" coordsize="21600,21600" o:allowincell="f">
          <v:path/>
          <v:fill on="t" opacity="32768f" focussize="0,0"/>
          <v:stroke on="f"/>
          <v:imagedata o:title=""/>
          <o:lock v:ext="edit"/>
          <v:textpath on="t" fitshape="t" fitpath="t" trim="f" xscale="f" string="绍兴平准招标代理有限公司"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pict>
        <v:shape id="PowerPlusWaterMarkObject1406298553" o:spid="_x0000_s4102" o:spt="136" type="#_x0000_t136" style="position:absolute;left:0pt;height:48.45pt;width:581.75pt;mso-position-horizontal:center;mso-position-horizontal-relative:margin;mso-position-vertical:center;mso-position-vertical-relative:margin;rotation:20643840f;z-index:-251641856;mso-width-relative:page;mso-height-relative:page;" fillcolor="#C0C0C0" filled="t" stroked="f" coordsize="21600,21600" o:allowincell="f">
          <v:path/>
          <v:fill on="t" opacity="32768f" focussize="0,0"/>
          <v:stroke on="f"/>
          <v:imagedata o:title=""/>
          <o:lock v:ext="edit"/>
          <v:textpath on="t" fitshape="t" fitpath="t" trim="f" xscale="f" string="绍兴平准招标代理有限公司"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406298552" o:spid="_x0000_s4100" o:spt="136" type="#_x0000_t136" style="position:absolute;left:0pt;height:48.45pt;width:581.75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绍兴平准招标代理有限公司"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9B6D4D"/>
    <w:multiLevelType w:val="multilevel"/>
    <w:tmpl w:val="009B6D4D"/>
    <w:lvl w:ilvl="0" w:tentative="0">
      <w:start w:val="1"/>
      <w:numFmt w:val="bullet"/>
      <w:pStyle w:val="23"/>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3"/>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3"/>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1EE354D"/>
    <w:multiLevelType w:val="multilevel"/>
    <w:tmpl w:val="01EE354D"/>
    <w:lvl w:ilvl="0" w:tentative="0">
      <w:start w:val="1"/>
      <w:numFmt w:val="decimal"/>
      <w:pStyle w:val="446"/>
      <w:lvlText w:val="%1."/>
      <w:lvlJc w:val="left"/>
      <w:pPr>
        <w:ind w:left="420" w:hanging="420"/>
      </w:pPr>
      <w:rPr>
        <w:rFonts w:hint="eastAsia"/>
      </w:rPr>
    </w:lvl>
    <w:lvl w:ilvl="1" w:tentative="0">
      <w:start w:val="1"/>
      <w:numFmt w:val="lowerLetter"/>
      <w:pStyle w:val="44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110CA138"/>
    <w:multiLevelType w:val="singleLevel"/>
    <w:tmpl w:val="110CA138"/>
    <w:lvl w:ilvl="0" w:tentative="0">
      <w:start w:val="2"/>
      <w:numFmt w:val="chineseCounting"/>
      <w:suff w:val="nothing"/>
      <w:lvlText w:val="%1、"/>
      <w:lvlJc w:val="left"/>
      <w:rPr>
        <w:rFonts w:hint="eastAsia"/>
      </w:rPr>
    </w:lvl>
  </w:abstractNum>
  <w:abstractNum w:abstractNumId="5">
    <w:nsid w:val="18A777E8"/>
    <w:multiLevelType w:val="multilevel"/>
    <w:tmpl w:val="18A777E8"/>
    <w:lvl w:ilvl="0" w:tentative="0">
      <w:start w:val="1"/>
      <w:numFmt w:val="decimal"/>
      <w:pStyle w:val="33"/>
      <w:suff w:val="nothing"/>
      <w:lvlText w:val="%1."/>
      <w:lvlJc w:val="left"/>
      <w:pPr>
        <w:ind w:left="0" w:firstLine="0"/>
      </w:pPr>
      <w:rPr>
        <w:rFonts w:hint="eastAsia"/>
        <w:b/>
        <w:i w:val="0"/>
        <w:sz w:val="32"/>
        <w:szCs w:val="32"/>
      </w:rPr>
    </w:lvl>
    <w:lvl w:ilvl="1" w:tentative="0">
      <w:start w:val="0"/>
      <w:numFmt w:val="decimal"/>
      <w:pStyle w:val="509"/>
      <w:suff w:val="nothing"/>
      <w:lvlText w:val="%1.%2."/>
      <w:lvlJc w:val="left"/>
      <w:pPr>
        <w:ind w:left="380" w:hanging="380"/>
      </w:pPr>
      <w:rPr>
        <w:rFonts w:hint="eastAsia"/>
        <w:b/>
        <w:i w:val="0"/>
        <w:sz w:val="28"/>
        <w:szCs w:val="28"/>
      </w:rPr>
    </w:lvl>
    <w:lvl w:ilvl="2" w:tentative="0">
      <w:start w:val="1"/>
      <w:numFmt w:val="decimal"/>
      <w:pStyle w:val="347"/>
      <w:suff w:val="nothing"/>
      <w:lvlText w:val="%1.%2.%3."/>
      <w:lvlJc w:val="left"/>
      <w:pPr>
        <w:ind w:left="0" w:firstLine="0"/>
      </w:pPr>
      <w:rPr>
        <w:rFonts w:hint="eastAsia"/>
        <w:b/>
        <w:i w:val="0"/>
        <w:sz w:val="24"/>
        <w:szCs w:val="24"/>
      </w:rPr>
    </w:lvl>
    <w:lvl w:ilvl="3" w:tentative="0">
      <w:start w:val="1"/>
      <w:numFmt w:val="decimal"/>
      <w:pStyle w:val="30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6">
    <w:nsid w:val="1B9E447F"/>
    <w:multiLevelType w:val="multilevel"/>
    <w:tmpl w:val="1B9E447F"/>
    <w:lvl w:ilvl="0" w:tentative="0">
      <w:start w:val="1"/>
      <w:numFmt w:val="bullet"/>
      <w:pStyle w:val="318"/>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5"/>
      <w:isLgl/>
      <w:lvlText w:val="%1.%2"/>
      <w:lvlJc w:val="left"/>
      <w:pPr>
        <w:tabs>
          <w:tab w:val="left" w:pos="851"/>
        </w:tabs>
        <w:ind w:left="0" w:firstLine="0"/>
      </w:pPr>
    </w:lvl>
    <w:lvl w:ilvl="2" w:tentative="0">
      <w:start w:val="1"/>
      <w:numFmt w:val="decimal"/>
      <w:pStyle w:val="39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9">
    <w:nsid w:val="35B05358"/>
    <w:multiLevelType w:val="multilevel"/>
    <w:tmpl w:val="35B05358"/>
    <w:lvl w:ilvl="0" w:tentative="0">
      <w:start w:val="1"/>
      <w:numFmt w:val="bullet"/>
      <w:pStyle w:val="20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6E406B1"/>
    <w:multiLevelType w:val="multilevel"/>
    <w:tmpl w:val="36E406B1"/>
    <w:lvl w:ilvl="0" w:tentative="0">
      <w:start w:val="1"/>
      <w:numFmt w:val="bullet"/>
      <w:pStyle w:val="42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CFD7D5B"/>
    <w:multiLevelType w:val="multilevel"/>
    <w:tmpl w:val="3CFD7D5B"/>
    <w:lvl w:ilvl="0" w:tentative="0">
      <w:start w:val="1"/>
      <w:numFmt w:val="chineseCountingThousand"/>
      <w:pStyle w:val="178"/>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2">
    <w:nsid w:val="4AF31D51"/>
    <w:multiLevelType w:val="multilevel"/>
    <w:tmpl w:val="4AF31D51"/>
    <w:lvl w:ilvl="0" w:tentative="0">
      <w:start w:val="1"/>
      <w:numFmt w:val="bullet"/>
      <w:pStyle w:val="4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3">
    <w:nsid w:val="4B9D13A2"/>
    <w:multiLevelType w:val="multilevel"/>
    <w:tmpl w:val="4B9D13A2"/>
    <w:lvl w:ilvl="0" w:tentative="0">
      <w:start w:val="1"/>
      <w:numFmt w:val="bullet"/>
      <w:pStyle w:val="3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4E7107F0"/>
    <w:multiLevelType w:val="multilevel"/>
    <w:tmpl w:val="4E7107F0"/>
    <w:lvl w:ilvl="0" w:tentative="0">
      <w:start w:val="1"/>
      <w:numFmt w:val="bullet"/>
      <w:pStyle w:val="13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5">
    <w:nsid w:val="54267737"/>
    <w:multiLevelType w:val="multilevel"/>
    <w:tmpl w:val="54267737"/>
    <w:lvl w:ilvl="0" w:tentative="0">
      <w:start w:val="1"/>
      <w:numFmt w:val="bullet"/>
      <w:pStyle w:val="51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6">
    <w:nsid w:val="5575A8CA"/>
    <w:multiLevelType w:val="singleLevel"/>
    <w:tmpl w:val="5575A8CA"/>
    <w:lvl w:ilvl="0" w:tentative="0">
      <w:start w:val="1"/>
      <w:numFmt w:val="decimal"/>
      <w:suff w:val="nothing"/>
      <w:lvlText w:val="%1）"/>
      <w:lvlJc w:val="left"/>
      <w:pPr>
        <w:ind w:left="120" w:leftChars="0" w:firstLine="0" w:firstLineChars="0"/>
      </w:pPr>
    </w:lvl>
  </w:abstractNum>
  <w:abstractNum w:abstractNumId="17">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0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8">
    <w:nsid w:val="58E8074C"/>
    <w:multiLevelType w:val="multilevel"/>
    <w:tmpl w:val="58E8074C"/>
    <w:lvl w:ilvl="0" w:tentative="0">
      <w:start w:val="1"/>
      <w:numFmt w:val="decimal"/>
      <w:pStyle w:val="4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67403E98"/>
    <w:multiLevelType w:val="singleLevel"/>
    <w:tmpl w:val="67403E98"/>
    <w:lvl w:ilvl="0" w:tentative="0">
      <w:start w:val="1"/>
      <w:numFmt w:val="bullet"/>
      <w:pStyle w:val="497"/>
      <w:lvlText w:val=""/>
      <w:lvlJc w:val="left"/>
      <w:pPr>
        <w:tabs>
          <w:tab w:val="left" w:pos="360"/>
        </w:tabs>
        <w:ind w:left="360" w:hanging="360"/>
      </w:pPr>
      <w:rPr>
        <w:rFonts w:hint="default" w:ascii="Symbol" w:hAnsi="Symbol"/>
      </w:rPr>
    </w:lvl>
  </w:abstractNum>
  <w:num w:numId="1">
    <w:abstractNumId w:val="1"/>
  </w:num>
  <w:num w:numId="2">
    <w:abstractNumId w:val="5"/>
  </w:num>
  <w:num w:numId="3">
    <w:abstractNumId w:val="14"/>
  </w:num>
  <w:num w:numId="4">
    <w:abstractNumId w:val="11"/>
  </w:num>
  <w:num w:numId="5">
    <w:abstractNumId w:val="9"/>
  </w:num>
  <w:num w:numId="6">
    <w:abstractNumId w:val="13"/>
  </w:num>
  <w:num w:numId="7">
    <w:abstractNumId w:val="17"/>
  </w:num>
  <w:num w:numId="8">
    <w:abstractNumId w:val="6"/>
  </w:num>
  <w:num w:numId="9">
    <w:abstractNumId w:val="7"/>
  </w:num>
  <w:num w:numId="10">
    <w:abstractNumId w:val="8"/>
  </w:num>
  <w:num w:numId="11">
    <w:abstractNumId w:val="10"/>
  </w:num>
  <w:num w:numId="12">
    <w:abstractNumId w:val="12"/>
  </w:num>
  <w:num w:numId="13">
    <w:abstractNumId w:val="2"/>
  </w:num>
  <w:num w:numId="14">
    <w:abstractNumId w:val="3"/>
  </w:num>
  <w:num w:numId="15">
    <w:abstractNumId w:val="18"/>
  </w:num>
  <w:num w:numId="16">
    <w:abstractNumId w:val="19"/>
  </w:num>
  <w:num w:numId="17">
    <w:abstractNumId w:val="15"/>
  </w:num>
  <w:num w:numId="18">
    <w:abstractNumId w:val="4"/>
  </w:num>
  <w:num w:numId="19">
    <w:abstractNumId w:val="16"/>
  </w:num>
  <w:num w:numId="20">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8F85F340000D7A6" w:val=" "/>
    <w:docVar w:name="590C20C30000B15A" w:val=" "/>
    <w:docVar w:name="59191045000008A8" w:val=" "/>
    <w:docVar w:name="591912F900009B43" w:val=" "/>
    <w:docVar w:name="5919143F00009290" w:val=" "/>
  </w:docVars>
  <w:rsids>
    <w:rsidRoot w:val="00561877"/>
    <w:rsid w:val="000005CC"/>
    <w:rsid w:val="000033FA"/>
    <w:rsid w:val="0000424E"/>
    <w:rsid w:val="00004979"/>
    <w:rsid w:val="00005A13"/>
    <w:rsid w:val="000068E2"/>
    <w:rsid w:val="000078A7"/>
    <w:rsid w:val="000119C1"/>
    <w:rsid w:val="00013896"/>
    <w:rsid w:val="00013DDD"/>
    <w:rsid w:val="00013E2B"/>
    <w:rsid w:val="000157D6"/>
    <w:rsid w:val="00015829"/>
    <w:rsid w:val="00023784"/>
    <w:rsid w:val="000258D1"/>
    <w:rsid w:val="000264CD"/>
    <w:rsid w:val="00036732"/>
    <w:rsid w:val="0003787A"/>
    <w:rsid w:val="0004755F"/>
    <w:rsid w:val="000535A3"/>
    <w:rsid w:val="00053EA6"/>
    <w:rsid w:val="00056A23"/>
    <w:rsid w:val="00061217"/>
    <w:rsid w:val="00066B18"/>
    <w:rsid w:val="000678AC"/>
    <w:rsid w:val="0007254D"/>
    <w:rsid w:val="00072637"/>
    <w:rsid w:val="00073DBC"/>
    <w:rsid w:val="00076D03"/>
    <w:rsid w:val="00083369"/>
    <w:rsid w:val="00083A63"/>
    <w:rsid w:val="00083BB4"/>
    <w:rsid w:val="00094260"/>
    <w:rsid w:val="000952F8"/>
    <w:rsid w:val="00096E00"/>
    <w:rsid w:val="000A1437"/>
    <w:rsid w:val="000A5205"/>
    <w:rsid w:val="000A58FA"/>
    <w:rsid w:val="000B21AF"/>
    <w:rsid w:val="000B3278"/>
    <w:rsid w:val="000B3850"/>
    <w:rsid w:val="000B403A"/>
    <w:rsid w:val="000B7204"/>
    <w:rsid w:val="000B78B3"/>
    <w:rsid w:val="000C1D57"/>
    <w:rsid w:val="000C4066"/>
    <w:rsid w:val="000C4356"/>
    <w:rsid w:val="000C6AF8"/>
    <w:rsid w:val="000C758D"/>
    <w:rsid w:val="000D0597"/>
    <w:rsid w:val="000D42CE"/>
    <w:rsid w:val="000D4348"/>
    <w:rsid w:val="000D67C9"/>
    <w:rsid w:val="000E4797"/>
    <w:rsid w:val="000E7251"/>
    <w:rsid w:val="000F2A8F"/>
    <w:rsid w:val="000F2DCA"/>
    <w:rsid w:val="000F2EC4"/>
    <w:rsid w:val="000F4491"/>
    <w:rsid w:val="000F71E1"/>
    <w:rsid w:val="00105970"/>
    <w:rsid w:val="001100D4"/>
    <w:rsid w:val="00111820"/>
    <w:rsid w:val="0011297B"/>
    <w:rsid w:val="00113F5D"/>
    <w:rsid w:val="001146B3"/>
    <w:rsid w:val="001156C1"/>
    <w:rsid w:val="00122D2D"/>
    <w:rsid w:val="001235ED"/>
    <w:rsid w:val="001274DF"/>
    <w:rsid w:val="00130CC2"/>
    <w:rsid w:val="00136275"/>
    <w:rsid w:val="00136CBB"/>
    <w:rsid w:val="0014299D"/>
    <w:rsid w:val="0014510A"/>
    <w:rsid w:val="001462D9"/>
    <w:rsid w:val="00152390"/>
    <w:rsid w:val="001524BF"/>
    <w:rsid w:val="0015258F"/>
    <w:rsid w:val="001551E2"/>
    <w:rsid w:val="00155CC9"/>
    <w:rsid w:val="001560D3"/>
    <w:rsid w:val="001573DB"/>
    <w:rsid w:val="00157A02"/>
    <w:rsid w:val="00173665"/>
    <w:rsid w:val="001742AE"/>
    <w:rsid w:val="00184CB3"/>
    <w:rsid w:val="00185821"/>
    <w:rsid w:val="00185E28"/>
    <w:rsid w:val="00186992"/>
    <w:rsid w:val="00193B88"/>
    <w:rsid w:val="00195E24"/>
    <w:rsid w:val="00196A3F"/>
    <w:rsid w:val="001A29E8"/>
    <w:rsid w:val="001A3858"/>
    <w:rsid w:val="001A5ACC"/>
    <w:rsid w:val="001B1CB3"/>
    <w:rsid w:val="001B2370"/>
    <w:rsid w:val="001B415D"/>
    <w:rsid w:val="001B459A"/>
    <w:rsid w:val="001B49FF"/>
    <w:rsid w:val="001C37FE"/>
    <w:rsid w:val="001C4E80"/>
    <w:rsid w:val="001D044D"/>
    <w:rsid w:val="001D4769"/>
    <w:rsid w:val="001D547C"/>
    <w:rsid w:val="001D7CCF"/>
    <w:rsid w:val="001E4F60"/>
    <w:rsid w:val="001E5EF9"/>
    <w:rsid w:val="001F0B36"/>
    <w:rsid w:val="001F2948"/>
    <w:rsid w:val="001F374D"/>
    <w:rsid w:val="001F7F18"/>
    <w:rsid w:val="00203238"/>
    <w:rsid w:val="00205962"/>
    <w:rsid w:val="00207D0A"/>
    <w:rsid w:val="0021353F"/>
    <w:rsid w:val="00213795"/>
    <w:rsid w:val="00214F0C"/>
    <w:rsid w:val="00232DD5"/>
    <w:rsid w:val="00234C03"/>
    <w:rsid w:val="002375D8"/>
    <w:rsid w:val="002401E5"/>
    <w:rsid w:val="00242DA3"/>
    <w:rsid w:val="002456E1"/>
    <w:rsid w:val="0024611F"/>
    <w:rsid w:val="0024624B"/>
    <w:rsid w:val="00246552"/>
    <w:rsid w:val="0024670E"/>
    <w:rsid w:val="00253B0A"/>
    <w:rsid w:val="00262237"/>
    <w:rsid w:val="002747B5"/>
    <w:rsid w:val="00277673"/>
    <w:rsid w:val="00281F77"/>
    <w:rsid w:val="00284781"/>
    <w:rsid w:val="00286658"/>
    <w:rsid w:val="002928B0"/>
    <w:rsid w:val="00292F05"/>
    <w:rsid w:val="0029503E"/>
    <w:rsid w:val="002A17F0"/>
    <w:rsid w:val="002A4A6E"/>
    <w:rsid w:val="002A6D6B"/>
    <w:rsid w:val="002B04F0"/>
    <w:rsid w:val="002B5619"/>
    <w:rsid w:val="002B62B7"/>
    <w:rsid w:val="002B6CAE"/>
    <w:rsid w:val="002C7ED1"/>
    <w:rsid w:val="002D2389"/>
    <w:rsid w:val="002D4572"/>
    <w:rsid w:val="002D720F"/>
    <w:rsid w:val="002E3D07"/>
    <w:rsid w:val="002E3FC8"/>
    <w:rsid w:val="002F00F5"/>
    <w:rsid w:val="002F218B"/>
    <w:rsid w:val="002F5394"/>
    <w:rsid w:val="00303F80"/>
    <w:rsid w:val="00304389"/>
    <w:rsid w:val="0030734D"/>
    <w:rsid w:val="003108BC"/>
    <w:rsid w:val="00311DFA"/>
    <w:rsid w:val="00317862"/>
    <w:rsid w:val="0032154C"/>
    <w:rsid w:val="00325974"/>
    <w:rsid w:val="00327403"/>
    <w:rsid w:val="0033287A"/>
    <w:rsid w:val="00335E6B"/>
    <w:rsid w:val="00340B20"/>
    <w:rsid w:val="003456A2"/>
    <w:rsid w:val="0035049A"/>
    <w:rsid w:val="003506E9"/>
    <w:rsid w:val="0035281A"/>
    <w:rsid w:val="003555D5"/>
    <w:rsid w:val="0035649C"/>
    <w:rsid w:val="003607D3"/>
    <w:rsid w:val="00361357"/>
    <w:rsid w:val="0036136A"/>
    <w:rsid w:val="00361F32"/>
    <w:rsid w:val="0037158B"/>
    <w:rsid w:val="0037173A"/>
    <w:rsid w:val="00375882"/>
    <w:rsid w:val="00377114"/>
    <w:rsid w:val="00386275"/>
    <w:rsid w:val="0038661C"/>
    <w:rsid w:val="00386864"/>
    <w:rsid w:val="0039277C"/>
    <w:rsid w:val="00393345"/>
    <w:rsid w:val="00394461"/>
    <w:rsid w:val="0039592D"/>
    <w:rsid w:val="003973C8"/>
    <w:rsid w:val="003A1B4E"/>
    <w:rsid w:val="003A518E"/>
    <w:rsid w:val="003A6561"/>
    <w:rsid w:val="003B46BB"/>
    <w:rsid w:val="003B4A5E"/>
    <w:rsid w:val="003B5D65"/>
    <w:rsid w:val="003C1C53"/>
    <w:rsid w:val="003C2353"/>
    <w:rsid w:val="003C23AA"/>
    <w:rsid w:val="003D2EB9"/>
    <w:rsid w:val="003D5471"/>
    <w:rsid w:val="003E1186"/>
    <w:rsid w:val="003E141E"/>
    <w:rsid w:val="003E3A70"/>
    <w:rsid w:val="003F061B"/>
    <w:rsid w:val="003F0FA6"/>
    <w:rsid w:val="003F236A"/>
    <w:rsid w:val="003F30EA"/>
    <w:rsid w:val="003F40C4"/>
    <w:rsid w:val="003F59E6"/>
    <w:rsid w:val="003F5F68"/>
    <w:rsid w:val="003F6027"/>
    <w:rsid w:val="00401FC5"/>
    <w:rsid w:val="00412032"/>
    <w:rsid w:val="00412A56"/>
    <w:rsid w:val="0042157C"/>
    <w:rsid w:val="00422802"/>
    <w:rsid w:val="0042431D"/>
    <w:rsid w:val="00424B04"/>
    <w:rsid w:val="00424ECB"/>
    <w:rsid w:val="00430786"/>
    <w:rsid w:val="00436944"/>
    <w:rsid w:val="004371E9"/>
    <w:rsid w:val="00437B56"/>
    <w:rsid w:val="00443469"/>
    <w:rsid w:val="00444D87"/>
    <w:rsid w:val="00445EEA"/>
    <w:rsid w:val="004477C3"/>
    <w:rsid w:val="00450AE7"/>
    <w:rsid w:val="00451339"/>
    <w:rsid w:val="00452E3D"/>
    <w:rsid w:val="004547B0"/>
    <w:rsid w:val="004569D0"/>
    <w:rsid w:val="00457231"/>
    <w:rsid w:val="00460C5E"/>
    <w:rsid w:val="004724BE"/>
    <w:rsid w:val="00475770"/>
    <w:rsid w:val="00483CA6"/>
    <w:rsid w:val="004859CD"/>
    <w:rsid w:val="004957A6"/>
    <w:rsid w:val="004A097A"/>
    <w:rsid w:val="004A0B57"/>
    <w:rsid w:val="004A0B7E"/>
    <w:rsid w:val="004A13B1"/>
    <w:rsid w:val="004A2F1F"/>
    <w:rsid w:val="004A6567"/>
    <w:rsid w:val="004B2370"/>
    <w:rsid w:val="004B4B68"/>
    <w:rsid w:val="004B5706"/>
    <w:rsid w:val="004C4A69"/>
    <w:rsid w:val="004C5B73"/>
    <w:rsid w:val="004C66AD"/>
    <w:rsid w:val="004C7CCE"/>
    <w:rsid w:val="004D2207"/>
    <w:rsid w:val="004D657C"/>
    <w:rsid w:val="004D7488"/>
    <w:rsid w:val="004E0B14"/>
    <w:rsid w:val="004E13F1"/>
    <w:rsid w:val="004E36DB"/>
    <w:rsid w:val="004E4077"/>
    <w:rsid w:val="004E5A70"/>
    <w:rsid w:val="004F469F"/>
    <w:rsid w:val="00500E54"/>
    <w:rsid w:val="005019D4"/>
    <w:rsid w:val="005061AD"/>
    <w:rsid w:val="005078F4"/>
    <w:rsid w:val="00507EB7"/>
    <w:rsid w:val="00515D74"/>
    <w:rsid w:val="00521325"/>
    <w:rsid w:val="00523D0C"/>
    <w:rsid w:val="00524368"/>
    <w:rsid w:val="00526AED"/>
    <w:rsid w:val="005277E3"/>
    <w:rsid w:val="00530187"/>
    <w:rsid w:val="005366C9"/>
    <w:rsid w:val="0053717F"/>
    <w:rsid w:val="00540A30"/>
    <w:rsid w:val="00543279"/>
    <w:rsid w:val="0054573C"/>
    <w:rsid w:val="00546767"/>
    <w:rsid w:val="005553D1"/>
    <w:rsid w:val="00556744"/>
    <w:rsid w:val="0055747C"/>
    <w:rsid w:val="00561877"/>
    <w:rsid w:val="00563018"/>
    <w:rsid w:val="0056408E"/>
    <w:rsid w:val="00571028"/>
    <w:rsid w:val="00574EED"/>
    <w:rsid w:val="00581C67"/>
    <w:rsid w:val="005901D9"/>
    <w:rsid w:val="00593FE3"/>
    <w:rsid w:val="005A2F2B"/>
    <w:rsid w:val="005A30A6"/>
    <w:rsid w:val="005A3A62"/>
    <w:rsid w:val="005A6FA0"/>
    <w:rsid w:val="005A7A81"/>
    <w:rsid w:val="005B537B"/>
    <w:rsid w:val="005C24CE"/>
    <w:rsid w:val="005C3D21"/>
    <w:rsid w:val="005C6982"/>
    <w:rsid w:val="005E53E2"/>
    <w:rsid w:val="005E6A44"/>
    <w:rsid w:val="005F7D38"/>
    <w:rsid w:val="006053F7"/>
    <w:rsid w:val="00605414"/>
    <w:rsid w:val="0061033A"/>
    <w:rsid w:val="00611BEF"/>
    <w:rsid w:val="00611D45"/>
    <w:rsid w:val="006122FE"/>
    <w:rsid w:val="006150A2"/>
    <w:rsid w:val="006258A0"/>
    <w:rsid w:val="0063483C"/>
    <w:rsid w:val="006371DA"/>
    <w:rsid w:val="00640E6E"/>
    <w:rsid w:val="00641BB2"/>
    <w:rsid w:val="00657694"/>
    <w:rsid w:val="00657D2C"/>
    <w:rsid w:val="006608BE"/>
    <w:rsid w:val="00661958"/>
    <w:rsid w:val="00666869"/>
    <w:rsid w:val="00670EE0"/>
    <w:rsid w:val="00676AA2"/>
    <w:rsid w:val="0067783C"/>
    <w:rsid w:val="006816AD"/>
    <w:rsid w:val="006837FA"/>
    <w:rsid w:val="00686D72"/>
    <w:rsid w:val="00691CB7"/>
    <w:rsid w:val="006931FA"/>
    <w:rsid w:val="00693792"/>
    <w:rsid w:val="006A1323"/>
    <w:rsid w:val="006A4C73"/>
    <w:rsid w:val="006B1EB9"/>
    <w:rsid w:val="006B1F6D"/>
    <w:rsid w:val="006B298A"/>
    <w:rsid w:val="006B6ADE"/>
    <w:rsid w:val="006B7BCE"/>
    <w:rsid w:val="006C30C4"/>
    <w:rsid w:val="006D7134"/>
    <w:rsid w:val="006E18A3"/>
    <w:rsid w:val="006E3966"/>
    <w:rsid w:val="006E5EDF"/>
    <w:rsid w:val="006F44D3"/>
    <w:rsid w:val="007006C6"/>
    <w:rsid w:val="00704588"/>
    <w:rsid w:val="00715002"/>
    <w:rsid w:val="00716EFA"/>
    <w:rsid w:val="007207F2"/>
    <w:rsid w:val="007234C1"/>
    <w:rsid w:val="00723A4B"/>
    <w:rsid w:val="00733200"/>
    <w:rsid w:val="00733421"/>
    <w:rsid w:val="0073431A"/>
    <w:rsid w:val="007343BE"/>
    <w:rsid w:val="00736CAD"/>
    <w:rsid w:val="00737404"/>
    <w:rsid w:val="00740DF5"/>
    <w:rsid w:val="00744B8B"/>
    <w:rsid w:val="00746DBF"/>
    <w:rsid w:val="00752626"/>
    <w:rsid w:val="00756336"/>
    <w:rsid w:val="00756D57"/>
    <w:rsid w:val="0076462E"/>
    <w:rsid w:val="0077572C"/>
    <w:rsid w:val="00776408"/>
    <w:rsid w:val="00776E4A"/>
    <w:rsid w:val="007770E8"/>
    <w:rsid w:val="007823C2"/>
    <w:rsid w:val="00784700"/>
    <w:rsid w:val="007857D7"/>
    <w:rsid w:val="00790D78"/>
    <w:rsid w:val="007A06CF"/>
    <w:rsid w:val="007A6217"/>
    <w:rsid w:val="007B440B"/>
    <w:rsid w:val="007B564A"/>
    <w:rsid w:val="007C0D97"/>
    <w:rsid w:val="007C3877"/>
    <w:rsid w:val="007C6B62"/>
    <w:rsid w:val="007D1874"/>
    <w:rsid w:val="007D3DE0"/>
    <w:rsid w:val="007D5B50"/>
    <w:rsid w:val="007D5CDF"/>
    <w:rsid w:val="007E3D1B"/>
    <w:rsid w:val="007E4744"/>
    <w:rsid w:val="007F5E34"/>
    <w:rsid w:val="00802001"/>
    <w:rsid w:val="00806390"/>
    <w:rsid w:val="0081221C"/>
    <w:rsid w:val="00817509"/>
    <w:rsid w:val="008177CF"/>
    <w:rsid w:val="00817C4A"/>
    <w:rsid w:val="00821684"/>
    <w:rsid w:val="00823D59"/>
    <w:rsid w:val="00831DE5"/>
    <w:rsid w:val="0084513D"/>
    <w:rsid w:val="0086317C"/>
    <w:rsid w:val="00863A72"/>
    <w:rsid w:val="00863E3B"/>
    <w:rsid w:val="00867F1C"/>
    <w:rsid w:val="00873122"/>
    <w:rsid w:val="0087377B"/>
    <w:rsid w:val="00875887"/>
    <w:rsid w:val="0087645B"/>
    <w:rsid w:val="00891542"/>
    <w:rsid w:val="008919EF"/>
    <w:rsid w:val="00894226"/>
    <w:rsid w:val="00895800"/>
    <w:rsid w:val="00897D01"/>
    <w:rsid w:val="008A3AA2"/>
    <w:rsid w:val="008B0E7D"/>
    <w:rsid w:val="008B393A"/>
    <w:rsid w:val="008B4D12"/>
    <w:rsid w:val="008C01F9"/>
    <w:rsid w:val="008C1CAF"/>
    <w:rsid w:val="008C5739"/>
    <w:rsid w:val="008C5AF8"/>
    <w:rsid w:val="008D0E9D"/>
    <w:rsid w:val="008D34A6"/>
    <w:rsid w:val="008D373F"/>
    <w:rsid w:val="008D42EC"/>
    <w:rsid w:val="008D665A"/>
    <w:rsid w:val="008E2451"/>
    <w:rsid w:val="008E25DF"/>
    <w:rsid w:val="008E79CF"/>
    <w:rsid w:val="009000A6"/>
    <w:rsid w:val="0090219F"/>
    <w:rsid w:val="009045D3"/>
    <w:rsid w:val="00905E34"/>
    <w:rsid w:val="0090605E"/>
    <w:rsid w:val="009073C7"/>
    <w:rsid w:val="00910CA6"/>
    <w:rsid w:val="009112BF"/>
    <w:rsid w:val="00912ADC"/>
    <w:rsid w:val="00922D2A"/>
    <w:rsid w:val="009241A4"/>
    <w:rsid w:val="00926EB2"/>
    <w:rsid w:val="00926F03"/>
    <w:rsid w:val="00931D37"/>
    <w:rsid w:val="0094091A"/>
    <w:rsid w:val="0094256C"/>
    <w:rsid w:val="0094469F"/>
    <w:rsid w:val="0095505B"/>
    <w:rsid w:val="00956E0A"/>
    <w:rsid w:val="00960310"/>
    <w:rsid w:val="0096242C"/>
    <w:rsid w:val="00971488"/>
    <w:rsid w:val="009738F1"/>
    <w:rsid w:val="00977E48"/>
    <w:rsid w:val="00981422"/>
    <w:rsid w:val="0098181D"/>
    <w:rsid w:val="009850D3"/>
    <w:rsid w:val="0099085F"/>
    <w:rsid w:val="00993921"/>
    <w:rsid w:val="009950CB"/>
    <w:rsid w:val="00997FEE"/>
    <w:rsid w:val="009A2415"/>
    <w:rsid w:val="009A332D"/>
    <w:rsid w:val="009A5ABC"/>
    <w:rsid w:val="009B1B02"/>
    <w:rsid w:val="009B259B"/>
    <w:rsid w:val="009B296E"/>
    <w:rsid w:val="009B405E"/>
    <w:rsid w:val="009C0EDD"/>
    <w:rsid w:val="009C275A"/>
    <w:rsid w:val="009C4404"/>
    <w:rsid w:val="009C76DE"/>
    <w:rsid w:val="009D0204"/>
    <w:rsid w:val="009D1AFE"/>
    <w:rsid w:val="009D2CF2"/>
    <w:rsid w:val="009D32A9"/>
    <w:rsid w:val="009D4CD5"/>
    <w:rsid w:val="009E21C0"/>
    <w:rsid w:val="009E3E58"/>
    <w:rsid w:val="009E6DDD"/>
    <w:rsid w:val="009F12B2"/>
    <w:rsid w:val="009F1C15"/>
    <w:rsid w:val="009F2560"/>
    <w:rsid w:val="009F3F73"/>
    <w:rsid w:val="009F519D"/>
    <w:rsid w:val="009F5827"/>
    <w:rsid w:val="00A034D8"/>
    <w:rsid w:val="00A071DB"/>
    <w:rsid w:val="00A11BD2"/>
    <w:rsid w:val="00A11E7C"/>
    <w:rsid w:val="00A355A6"/>
    <w:rsid w:val="00A36A2C"/>
    <w:rsid w:val="00A37864"/>
    <w:rsid w:val="00A41947"/>
    <w:rsid w:val="00A4271C"/>
    <w:rsid w:val="00A43B14"/>
    <w:rsid w:val="00A473CD"/>
    <w:rsid w:val="00A509B6"/>
    <w:rsid w:val="00A512ED"/>
    <w:rsid w:val="00A5397D"/>
    <w:rsid w:val="00A54FE7"/>
    <w:rsid w:val="00A57930"/>
    <w:rsid w:val="00A57FD8"/>
    <w:rsid w:val="00A63E1F"/>
    <w:rsid w:val="00A65F42"/>
    <w:rsid w:val="00A66131"/>
    <w:rsid w:val="00A70987"/>
    <w:rsid w:val="00A8069A"/>
    <w:rsid w:val="00A844B0"/>
    <w:rsid w:val="00A86980"/>
    <w:rsid w:val="00A9208F"/>
    <w:rsid w:val="00A97132"/>
    <w:rsid w:val="00AA2507"/>
    <w:rsid w:val="00AA2B60"/>
    <w:rsid w:val="00AA2B9D"/>
    <w:rsid w:val="00AA52F8"/>
    <w:rsid w:val="00AB2015"/>
    <w:rsid w:val="00AC2312"/>
    <w:rsid w:val="00AC4DDB"/>
    <w:rsid w:val="00AC5990"/>
    <w:rsid w:val="00AC7E91"/>
    <w:rsid w:val="00AD3F78"/>
    <w:rsid w:val="00AE1834"/>
    <w:rsid w:val="00AE51BC"/>
    <w:rsid w:val="00AE76F8"/>
    <w:rsid w:val="00AF67E4"/>
    <w:rsid w:val="00AF72AE"/>
    <w:rsid w:val="00AF7630"/>
    <w:rsid w:val="00B00C10"/>
    <w:rsid w:val="00B01814"/>
    <w:rsid w:val="00B03158"/>
    <w:rsid w:val="00B04A33"/>
    <w:rsid w:val="00B04BA5"/>
    <w:rsid w:val="00B04CB4"/>
    <w:rsid w:val="00B160BB"/>
    <w:rsid w:val="00B165A3"/>
    <w:rsid w:val="00B21018"/>
    <w:rsid w:val="00B212ED"/>
    <w:rsid w:val="00B243C7"/>
    <w:rsid w:val="00B270BB"/>
    <w:rsid w:val="00B27224"/>
    <w:rsid w:val="00B33CF8"/>
    <w:rsid w:val="00B3473F"/>
    <w:rsid w:val="00B35851"/>
    <w:rsid w:val="00B37FB4"/>
    <w:rsid w:val="00B411BB"/>
    <w:rsid w:val="00B4272F"/>
    <w:rsid w:val="00B44390"/>
    <w:rsid w:val="00B44F21"/>
    <w:rsid w:val="00B462D3"/>
    <w:rsid w:val="00B46D14"/>
    <w:rsid w:val="00B5265F"/>
    <w:rsid w:val="00B55DD7"/>
    <w:rsid w:val="00B564FF"/>
    <w:rsid w:val="00B61CF3"/>
    <w:rsid w:val="00B62605"/>
    <w:rsid w:val="00B660B3"/>
    <w:rsid w:val="00B7126F"/>
    <w:rsid w:val="00B71F8E"/>
    <w:rsid w:val="00B747F1"/>
    <w:rsid w:val="00B82A88"/>
    <w:rsid w:val="00B94329"/>
    <w:rsid w:val="00B971D4"/>
    <w:rsid w:val="00BA1916"/>
    <w:rsid w:val="00BB39A2"/>
    <w:rsid w:val="00BC1567"/>
    <w:rsid w:val="00BC3FF5"/>
    <w:rsid w:val="00BC4522"/>
    <w:rsid w:val="00BC5649"/>
    <w:rsid w:val="00BC58E9"/>
    <w:rsid w:val="00BD28EB"/>
    <w:rsid w:val="00BD2B86"/>
    <w:rsid w:val="00BD363A"/>
    <w:rsid w:val="00BD6025"/>
    <w:rsid w:val="00BD6161"/>
    <w:rsid w:val="00BE029A"/>
    <w:rsid w:val="00BE3CE2"/>
    <w:rsid w:val="00BE65F2"/>
    <w:rsid w:val="00C00A7C"/>
    <w:rsid w:val="00C00AA8"/>
    <w:rsid w:val="00C06AB6"/>
    <w:rsid w:val="00C10A90"/>
    <w:rsid w:val="00C131E3"/>
    <w:rsid w:val="00C16C43"/>
    <w:rsid w:val="00C17FD2"/>
    <w:rsid w:val="00C21D63"/>
    <w:rsid w:val="00C24F3C"/>
    <w:rsid w:val="00C31CD9"/>
    <w:rsid w:val="00C40B95"/>
    <w:rsid w:val="00C51742"/>
    <w:rsid w:val="00C541F1"/>
    <w:rsid w:val="00C5584D"/>
    <w:rsid w:val="00C57A58"/>
    <w:rsid w:val="00C60F3C"/>
    <w:rsid w:val="00C65790"/>
    <w:rsid w:val="00C71C7B"/>
    <w:rsid w:val="00C722B1"/>
    <w:rsid w:val="00C74BC4"/>
    <w:rsid w:val="00C81101"/>
    <w:rsid w:val="00C870AB"/>
    <w:rsid w:val="00C8786D"/>
    <w:rsid w:val="00C93FAF"/>
    <w:rsid w:val="00C94249"/>
    <w:rsid w:val="00C9455B"/>
    <w:rsid w:val="00C961E0"/>
    <w:rsid w:val="00C96DB8"/>
    <w:rsid w:val="00C97347"/>
    <w:rsid w:val="00C97860"/>
    <w:rsid w:val="00CA10E6"/>
    <w:rsid w:val="00CA2C55"/>
    <w:rsid w:val="00CA3F85"/>
    <w:rsid w:val="00CA6404"/>
    <w:rsid w:val="00CA652D"/>
    <w:rsid w:val="00CA79D1"/>
    <w:rsid w:val="00CB0808"/>
    <w:rsid w:val="00CB1EF1"/>
    <w:rsid w:val="00CB74E2"/>
    <w:rsid w:val="00CC25AD"/>
    <w:rsid w:val="00CC65F3"/>
    <w:rsid w:val="00CD10D1"/>
    <w:rsid w:val="00CD3DE1"/>
    <w:rsid w:val="00CD445E"/>
    <w:rsid w:val="00CD5367"/>
    <w:rsid w:val="00CD5B2F"/>
    <w:rsid w:val="00CE1ADB"/>
    <w:rsid w:val="00CE46F1"/>
    <w:rsid w:val="00CE54DB"/>
    <w:rsid w:val="00CE6905"/>
    <w:rsid w:val="00CE6B59"/>
    <w:rsid w:val="00CE7720"/>
    <w:rsid w:val="00D017D3"/>
    <w:rsid w:val="00D0216D"/>
    <w:rsid w:val="00D10ACE"/>
    <w:rsid w:val="00D1498C"/>
    <w:rsid w:val="00D14B27"/>
    <w:rsid w:val="00D1664C"/>
    <w:rsid w:val="00D17EB8"/>
    <w:rsid w:val="00D23245"/>
    <w:rsid w:val="00D279E9"/>
    <w:rsid w:val="00D300B3"/>
    <w:rsid w:val="00D32356"/>
    <w:rsid w:val="00D34D6B"/>
    <w:rsid w:val="00D358BB"/>
    <w:rsid w:val="00D359D5"/>
    <w:rsid w:val="00D36941"/>
    <w:rsid w:val="00D41046"/>
    <w:rsid w:val="00D43685"/>
    <w:rsid w:val="00D439E9"/>
    <w:rsid w:val="00D50784"/>
    <w:rsid w:val="00D55E6C"/>
    <w:rsid w:val="00D62EB8"/>
    <w:rsid w:val="00D652E2"/>
    <w:rsid w:val="00D65CAA"/>
    <w:rsid w:val="00D7130E"/>
    <w:rsid w:val="00D7312C"/>
    <w:rsid w:val="00D75EF6"/>
    <w:rsid w:val="00D81178"/>
    <w:rsid w:val="00D81F31"/>
    <w:rsid w:val="00D86607"/>
    <w:rsid w:val="00D90B89"/>
    <w:rsid w:val="00D956BD"/>
    <w:rsid w:val="00DA1034"/>
    <w:rsid w:val="00DA3BCD"/>
    <w:rsid w:val="00DA5D62"/>
    <w:rsid w:val="00DA733B"/>
    <w:rsid w:val="00DA7697"/>
    <w:rsid w:val="00DA7F4A"/>
    <w:rsid w:val="00DB0AA3"/>
    <w:rsid w:val="00DB1B35"/>
    <w:rsid w:val="00DB3F8D"/>
    <w:rsid w:val="00DB42B5"/>
    <w:rsid w:val="00DB5C74"/>
    <w:rsid w:val="00DB5E13"/>
    <w:rsid w:val="00DB6740"/>
    <w:rsid w:val="00DB686B"/>
    <w:rsid w:val="00DC2DE3"/>
    <w:rsid w:val="00DC7050"/>
    <w:rsid w:val="00DC7B53"/>
    <w:rsid w:val="00DD053D"/>
    <w:rsid w:val="00DD2488"/>
    <w:rsid w:val="00DD6692"/>
    <w:rsid w:val="00DE0677"/>
    <w:rsid w:val="00DE3353"/>
    <w:rsid w:val="00DE37C6"/>
    <w:rsid w:val="00DE41BA"/>
    <w:rsid w:val="00DF704B"/>
    <w:rsid w:val="00DF713E"/>
    <w:rsid w:val="00E04037"/>
    <w:rsid w:val="00E04A83"/>
    <w:rsid w:val="00E102C3"/>
    <w:rsid w:val="00E26260"/>
    <w:rsid w:val="00E26F21"/>
    <w:rsid w:val="00E32E08"/>
    <w:rsid w:val="00E33866"/>
    <w:rsid w:val="00E34140"/>
    <w:rsid w:val="00E36888"/>
    <w:rsid w:val="00E44A98"/>
    <w:rsid w:val="00E53048"/>
    <w:rsid w:val="00E55536"/>
    <w:rsid w:val="00E56024"/>
    <w:rsid w:val="00E6104F"/>
    <w:rsid w:val="00E61B4E"/>
    <w:rsid w:val="00E64D65"/>
    <w:rsid w:val="00E65ED3"/>
    <w:rsid w:val="00E70FDE"/>
    <w:rsid w:val="00E7392B"/>
    <w:rsid w:val="00E81385"/>
    <w:rsid w:val="00E82BF4"/>
    <w:rsid w:val="00E84B6E"/>
    <w:rsid w:val="00E9494A"/>
    <w:rsid w:val="00E94B0D"/>
    <w:rsid w:val="00E9716A"/>
    <w:rsid w:val="00E97C7B"/>
    <w:rsid w:val="00EA34CA"/>
    <w:rsid w:val="00EA6FF1"/>
    <w:rsid w:val="00EB3806"/>
    <w:rsid w:val="00EB3BEC"/>
    <w:rsid w:val="00EB4723"/>
    <w:rsid w:val="00EB7CA1"/>
    <w:rsid w:val="00EC4F43"/>
    <w:rsid w:val="00EC5BE2"/>
    <w:rsid w:val="00EC7049"/>
    <w:rsid w:val="00EC7B16"/>
    <w:rsid w:val="00ED1451"/>
    <w:rsid w:val="00ED4AF9"/>
    <w:rsid w:val="00ED7888"/>
    <w:rsid w:val="00EE3D39"/>
    <w:rsid w:val="00EE658A"/>
    <w:rsid w:val="00EE7818"/>
    <w:rsid w:val="00EF5A3A"/>
    <w:rsid w:val="00EF5C19"/>
    <w:rsid w:val="00EF6BFF"/>
    <w:rsid w:val="00F015DA"/>
    <w:rsid w:val="00F05BA3"/>
    <w:rsid w:val="00F10D2B"/>
    <w:rsid w:val="00F12423"/>
    <w:rsid w:val="00F16329"/>
    <w:rsid w:val="00F22129"/>
    <w:rsid w:val="00F23242"/>
    <w:rsid w:val="00F27E76"/>
    <w:rsid w:val="00F32518"/>
    <w:rsid w:val="00F3397D"/>
    <w:rsid w:val="00F36B24"/>
    <w:rsid w:val="00F43C0E"/>
    <w:rsid w:val="00F507B0"/>
    <w:rsid w:val="00F50CDF"/>
    <w:rsid w:val="00F510B1"/>
    <w:rsid w:val="00F53639"/>
    <w:rsid w:val="00F53B36"/>
    <w:rsid w:val="00F54C0E"/>
    <w:rsid w:val="00F601DE"/>
    <w:rsid w:val="00F609E1"/>
    <w:rsid w:val="00F6113C"/>
    <w:rsid w:val="00F6122B"/>
    <w:rsid w:val="00F66DE4"/>
    <w:rsid w:val="00F75522"/>
    <w:rsid w:val="00F77BFC"/>
    <w:rsid w:val="00F820B8"/>
    <w:rsid w:val="00F87670"/>
    <w:rsid w:val="00F9373F"/>
    <w:rsid w:val="00FA0061"/>
    <w:rsid w:val="00FA1AFF"/>
    <w:rsid w:val="00FA3483"/>
    <w:rsid w:val="00FA41B6"/>
    <w:rsid w:val="00FA47BB"/>
    <w:rsid w:val="00FA61D7"/>
    <w:rsid w:val="00FA6B8F"/>
    <w:rsid w:val="00FB1868"/>
    <w:rsid w:val="00FB378E"/>
    <w:rsid w:val="00FB3C3D"/>
    <w:rsid w:val="00FB57F5"/>
    <w:rsid w:val="00FB6155"/>
    <w:rsid w:val="00FB6AF5"/>
    <w:rsid w:val="00FC123D"/>
    <w:rsid w:val="00FC25DD"/>
    <w:rsid w:val="00FC32BA"/>
    <w:rsid w:val="00FC6EDC"/>
    <w:rsid w:val="00FD1332"/>
    <w:rsid w:val="00FD158F"/>
    <w:rsid w:val="00FD6673"/>
    <w:rsid w:val="00FE1DC8"/>
    <w:rsid w:val="00FE6FB4"/>
    <w:rsid w:val="00FF6BE8"/>
    <w:rsid w:val="01241472"/>
    <w:rsid w:val="01AE594C"/>
    <w:rsid w:val="01C3301F"/>
    <w:rsid w:val="0224109F"/>
    <w:rsid w:val="023B7497"/>
    <w:rsid w:val="02725D74"/>
    <w:rsid w:val="02E92054"/>
    <w:rsid w:val="044A32F9"/>
    <w:rsid w:val="048C0506"/>
    <w:rsid w:val="04B94763"/>
    <w:rsid w:val="05C32BF2"/>
    <w:rsid w:val="069B0266"/>
    <w:rsid w:val="06AA047C"/>
    <w:rsid w:val="06C873E7"/>
    <w:rsid w:val="07910ED0"/>
    <w:rsid w:val="08CD1C72"/>
    <w:rsid w:val="08D71D8F"/>
    <w:rsid w:val="09AA7B69"/>
    <w:rsid w:val="0A276566"/>
    <w:rsid w:val="0ADC6FE0"/>
    <w:rsid w:val="0B4D4E16"/>
    <w:rsid w:val="0B726E12"/>
    <w:rsid w:val="0CD64B05"/>
    <w:rsid w:val="0CEB6D41"/>
    <w:rsid w:val="0DEE4716"/>
    <w:rsid w:val="0EC07BC1"/>
    <w:rsid w:val="0F1D2692"/>
    <w:rsid w:val="0F5F1FE1"/>
    <w:rsid w:val="0FD92DF3"/>
    <w:rsid w:val="10E27828"/>
    <w:rsid w:val="1194267F"/>
    <w:rsid w:val="11B94024"/>
    <w:rsid w:val="11DF3A5F"/>
    <w:rsid w:val="11E22816"/>
    <w:rsid w:val="11FC5225"/>
    <w:rsid w:val="120324D2"/>
    <w:rsid w:val="123A6E81"/>
    <w:rsid w:val="12F61715"/>
    <w:rsid w:val="13403EA3"/>
    <w:rsid w:val="155667EA"/>
    <w:rsid w:val="156173A0"/>
    <w:rsid w:val="158562DB"/>
    <w:rsid w:val="15D051BC"/>
    <w:rsid w:val="16065EC7"/>
    <w:rsid w:val="162E53C6"/>
    <w:rsid w:val="16494458"/>
    <w:rsid w:val="16924610"/>
    <w:rsid w:val="17697AFD"/>
    <w:rsid w:val="177A6199"/>
    <w:rsid w:val="17865D75"/>
    <w:rsid w:val="179518BE"/>
    <w:rsid w:val="17A203D6"/>
    <w:rsid w:val="17BC0E41"/>
    <w:rsid w:val="185D720C"/>
    <w:rsid w:val="18607FA0"/>
    <w:rsid w:val="196E409F"/>
    <w:rsid w:val="1A0B5B68"/>
    <w:rsid w:val="1A6814BC"/>
    <w:rsid w:val="1AF27DC8"/>
    <w:rsid w:val="1B610CFA"/>
    <w:rsid w:val="1B905946"/>
    <w:rsid w:val="1C08328D"/>
    <w:rsid w:val="1CAD7FF0"/>
    <w:rsid w:val="1D9F56A6"/>
    <w:rsid w:val="1DB06C45"/>
    <w:rsid w:val="1E3F360D"/>
    <w:rsid w:val="1FD653AD"/>
    <w:rsid w:val="20967902"/>
    <w:rsid w:val="227C5E2D"/>
    <w:rsid w:val="23046B45"/>
    <w:rsid w:val="23112215"/>
    <w:rsid w:val="23B96013"/>
    <w:rsid w:val="23CD5C07"/>
    <w:rsid w:val="24211A19"/>
    <w:rsid w:val="2442676C"/>
    <w:rsid w:val="244F0F0A"/>
    <w:rsid w:val="246A0786"/>
    <w:rsid w:val="246B230C"/>
    <w:rsid w:val="24FC2DFE"/>
    <w:rsid w:val="26023BEC"/>
    <w:rsid w:val="26BF25A3"/>
    <w:rsid w:val="26D062C4"/>
    <w:rsid w:val="26E30026"/>
    <w:rsid w:val="27C27B9D"/>
    <w:rsid w:val="28E463FD"/>
    <w:rsid w:val="2970130A"/>
    <w:rsid w:val="2A2655B6"/>
    <w:rsid w:val="2A270C6A"/>
    <w:rsid w:val="2A5063FA"/>
    <w:rsid w:val="2AB54922"/>
    <w:rsid w:val="2AE41E4A"/>
    <w:rsid w:val="2B001F65"/>
    <w:rsid w:val="2C165F9D"/>
    <w:rsid w:val="2C1B1611"/>
    <w:rsid w:val="2C1E78EF"/>
    <w:rsid w:val="2C33167F"/>
    <w:rsid w:val="2C463031"/>
    <w:rsid w:val="2D9D70A8"/>
    <w:rsid w:val="2E7867C9"/>
    <w:rsid w:val="301607F4"/>
    <w:rsid w:val="30483763"/>
    <w:rsid w:val="31851A68"/>
    <w:rsid w:val="31FA1C8E"/>
    <w:rsid w:val="32EC610B"/>
    <w:rsid w:val="3354778B"/>
    <w:rsid w:val="33571BCB"/>
    <w:rsid w:val="33AC6000"/>
    <w:rsid w:val="33BA63EC"/>
    <w:rsid w:val="340C7D1E"/>
    <w:rsid w:val="34597E82"/>
    <w:rsid w:val="34BC626A"/>
    <w:rsid w:val="34EB257F"/>
    <w:rsid w:val="350F0F1C"/>
    <w:rsid w:val="35135555"/>
    <w:rsid w:val="35B23FA8"/>
    <w:rsid w:val="35D15757"/>
    <w:rsid w:val="36007C49"/>
    <w:rsid w:val="36660F1C"/>
    <w:rsid w:val="373B1EFA"/>
    <w:rsid w:val="37537E51"/>
    <w:rsid w:val="375C294E"/>
    <w:rsid w:val="37C273C8"/>
    <w:rsid w:val="39651263"/>
    <w:rsid w:val="39991476"/>
    <w:rsid w:val="3A14789A"/>
    <w:rsid w:val="3AEF23D0"/>
    <w:rsid w:val="3B0911E6"/>
    <w:rsid w:val="3BF82CEA"/>
    <w:rsid w:val="3C146221"/>
    <w:rsid w:val="3CD12704"/>
    <w:rsid w:val="3D30577F"/>
    <w:rsid w:val="3D49121D"/>
    <w:rsid w:val="3D715FBB"/>
    <w:rsid w:val="3DE265B1"/>
    <w:rsid w:val="3DF55FC8"/>
    <w:rsid w:val="3F0D52EB"/>
    <w:rsid w:val="3F0F1BB3"/>
    <w:rsid w:val="3F2B2B30"/>
    <w:rsid w:val="3F5C36FF"/>
    <w:rsid w:val="3F6F0575"/>
    <w:rsid w:val="407441CC"/>
    <w:rsid w:val="4218001F"/>
    <w:rsid w:val="421D4E1D"/>
    <w:rsid w:val="42424AA7"/>
    <w:rsid w:val="42C30DBF"/>
    <w:rsid w:val="42EA7273"/>
    <w:rsid w:val="44B71CCD"/>
    <w:rsid w:val="44F75E85"/>
    <w:rsid w:val="452B6409"/>
    <w:rsid w:val="46540556"/>
    <w:rsid w:val="467C182A"/>
    <w:rsid w:val="46B93E6F"/>
    <w:rsid w:val="46CC199F"/>
    <w:rsid w:val="47F20AC4"/>
    <w:rsid w:val="48257898"/>
    <w:rsid w:val="48395DA0"/>
    <w:rsid w:val="491A1D6F"/>
    <w:rsid w:val="496E0687"/>
    <w:rsid w:val="4A347BA5"/>
    <w:rsid w:val="4A3F4391"/>
    <w:rsid w:val="4ACB3CA9"/>
    <w:rsid w:val="4B714B2F"/>
    <w:rsid w:val="4C043D25"/>
    <w:rsid w:val="4C2B7286"/>
    <w:rsid w:val="4E4C0585"/>
    <w:rsid w:val="4EBB3331"/>
    <w:rsid w:val="4F8D5F89"/>
    <w:rsid w:val="50854739"/>
    <w:rsid w:val="510F6492"/>
    <w:rsid w:val="51591101"/>
    <w:rsid w:val="51E51FEA"/>
    <w:rsid w:val="52232203"/>
    <w:rsid w:val="526F66CB"/>
    <w:rsid w:val="52D856E3"/>
    <w:rsid w:val="52DF67BC"/>
    <w:rsid w:val="52ED6F99"/>
    <w:rsid w:val="530C4F97"/>
    <w:rsid w:val="53A84581"/>
    <w:rsid w:val="53D63AED"/>
    <w:rsid w:val="540E244D"/>
    <w:rsid w:val="547D09A9"/>
    <w:rsid w:val="54A1430D"/>
    <w:rsid w:val="54FB4AFB"/>
    <w:rsid w:val="560E625F"/>
    <w:rsid w:val="56720AA4"/>
    <w:rsid w:val="56B10E2B"/>
    <w:rsid w:val="56BE21DD"/>
    <w:rsid w:val="573A24CF"/>
    <w:rsid w:val="57727F70"/>
    <w:rsid w:val="57935038"/>
    <w:rsid w:val="58BE7724"/>
    <w:rsid w:val="593F3127"/>
    <w:rsid w:val="59632C1D"/>
    <w:rsid w:val="5B5B3870"/>
    <w:rsid w:val="5D223F1C"/>
    <w:rsid w:val="5DB55E34"/>
    <w:rsid w:val="5DC85205"/>
    <w:rsid w:val="5E0C3B6E"/>
    <w:rsid w:val="5E361A1F"/>
    <w:rsid w:val="5E6F79AD"/>
    <w:rsid w:val="5EEB0A6C"/>
    <w:rsid w:val="5EEE7630"/>
    <w:rsid w:val="5EFD13BA"/>
    <w:rsid w:val="5F162E16"/>
    <w:rsid w:val="60E6502A"/>
    <w:rsid w:val="612B4AF6"/>
    <w:rsid w:val="61724770"/>
    <w:rsid w:val="61DE18A1"/>
    <w:rsid w:val="61E65AAF"/>
    <w:rsid w:val="62414600"/>
    <w:rsid w:val="62BB12BE"/>
    <w:rsid w:val="63CD1906"/>
    <w:rsid w:val="63D619DB"/>
    <w:rsid w:val="647E4AE2"/>
    <w:rsid w:val="64911A6F"/>
    <w:rsid w:val="64CA7F76"/>
    <w:rsid w:val="64F459A1"/>
    <w:rsid w:val="650514F3"/>
    <w:rsid w:val="6519434E"/>
    <w:rsid w:val="65942C36"/>
    <w:rsid w:val="65EA472D"/>
    <w:rsid w:val="665B1692"/>
    <w:rsid w:val="67567A94"/>
    <w:rsid w:val="675B48BC"/>
    <w:rsid w:val="68600ACD"/>
    <w:rsid w:val="689C116A"/>
    <w:rsid w:val="68A63F78"/>
    <w:rsid w:val="69023BD7"/>
    <w:rsid w:val="694F4FBE"/>
    <w:rsid w:val="69DF06E5"/>
    <w:rsid w:val="69E47ED2"/>
    <w:rsid w:val="6A1E54E2"/>
    <w:rsid w:val="6A4071F4"/>
    <w:rsid w:val="6AD92158"/>
    <w:rsid w:val="6AEE44AE"/>
    <w:rsid w:val="6BF13368"/>
    <w:rsid w:val="6C9E0D7F"/>
    <w:rsid w:val="6CE83AE4"/>
    <w:rsid w:val="6CF0352F"/>
    <w:rsid w:val="6D1C776F"/>
    <w:rsid w:val="6D2714C0"/>
    <w:rsid w:val="6D7C5FAF"/>
    <w:rsid w:val="6DC555AF"/>
    <w:rsid w:val="6E716143"/>
    <w:rsid w:val="705A1860"/>
    <w:rsid w:val="70B11B6A"/>
    <w:rsid w:val="71B46619"/>
    <w:rsid w:val="724F4F9D"/>
    <w:rsid w:val="74245119"/>
    <w:rsid w:val="74C776A8"/>
    <w:rsid w:val="7538333D"/>
    <w:rsid w:val="762336E7"/>
    <w:rsid w:val="76303EF4"/>
    <w:rsid w:val="765424E8"/>
    <w:rsid w:val="76EA61BA"/>
    <w:rsid w:val="76F913BE"/>
    <w:rsid w:val="77405ED5"/>
    <w:rsid w:val="779010CB"/>
    <w:rsid w:val="77DB7443"/>
    <w:rsid w:val="794D1872"/>
    <w:rsid w:val="79672EE5"/>
    <w:rsid w:val="7A2F3F09"/>
    <w:rsid w:val="7A987D54"/>
    <w:rsid w:val="7B5D15F3"/>
    <w:rsid w:val="7C3073CD"/>
    <w:rsid w:val="7C7122A3"/>
    <w:rsid w:val="7DB30808"/>
    <w:rsid w:val="7E004E1A"/>
    <w:rsid w:val="7E36681D"/>
    <w:rsid w:val="7E494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0" w:semiHidden="0" w:name="toc 4"/>
    <w:lsdException w:qFormat="1" w:unhideWhenUsed="0" w:uiPriority="0" w:semiHidden="0" w:name="toc 5"/>
    <w:lsdException w:uiPriority="0" w:name="toc 6"/>
    <w:lsdException w:uiPriority="0" w:name="toc 7"/>
    <w:lsdException w:qFormat="1" w:unhideWhenUsed="0" w:uiPriority="0" w:semiHidden="0" w:name="toc 8"/>
    <w:lsdException w:uiPriority="0" w:name="toc 9"/>
    <w:lsdException w:qFormat="1" w:unhideWhenUsed="0" w:uiPriority="0" w:semiHidden="0" w:name="Normal Indent"/>
    <w:lsdException w:qFormat="1" w:uiPriority="99" w:semiHidden="0" w:name="footnote text"/>
    <w:lsdException w:qFormat="1" w:unhideWhenUsed="0" w:uiPriority="0" w:name="annotation text"/>
    <w:lsdException w:qFormat="1" w:uiPriority="0" w:semiHidden="0" w:name="header"/>
    <w:lsdException w:qFormat="1" w:uiPriority="99" w:semiHidden="0" w:name="footer"/>
    <w:lsdException w:uiPriority="0" w:name="index heading"/>
    <w:lsdException w:qFormat="1" w:unhideWhenUsed="0" w:uiPriority="99" w:semiHidden="0" w:name="caption"/>
    <w:lsdException w:qFormat="1" w:unhideWhenUsed="0" w:uiPriority="0" w:semiHidden="0" w:name="table of figures"/>
    <w:lsdException w:uiPriority="0" w:name="envelope address"/>
    <w:lsdException w:uiPriority="0" w:name="envelope return"/>
    <w:lsdException w:qFormat="1" w:uiPriority="99" w:semiHidden="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9"/>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124"/>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257"/>
    <w:qFormat/>
    <w:uiPriority w:val="99"/>
    <w:pPr>
      <w:keepNext/>
      <w:keepLines/>
      <w:spacing w:before="260" w:after="260" w:line="416" w:lineRule="auto"/>
      <w:outlineLvl w:val="2"/>
    </w:pPr>
    <w:rPr>
      <w:rFonts w:ascii="Calibri" w:hAnsi="Calibri"/>
      <w:b/>
      <w:bCs/>
      <w:sz w:val="32"/>
      <w:szCs w:val="32"/>
    </w:rPr>
  </w:style>
  <w:style w:type="paragraph" w:styleId="6">
    <w:name w:val="heading 4"/>
    <w:basedOn w:val="1"/>
    <w:next w:val="1"/>
    <w:link w:val="14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224"/>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233"/>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41"/>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75"/>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03"/>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next w:val="1"/>
    <w:link w:val="121"/>
    <w:qFormat/>
    <w:uiPriority w:val="0"/>
    <w:pPr>
      <w:ind w:firstLine="420"/>
    </w:pPr>
    <w:rPr>
      <w:szCs w:val="20"/>
    </w:rPr>
  </w:style>
  <w:style w:type="paragraph" w:styleId="12">
    <w:name w:val="List 3"/>
    <w:basedOn w:val="1"/>
    <w:qFormat/>
    <w:uiPriority w:val="0"/>
    <w:pPr>
      <w:ind w:left="100" w:leftChars="400" w:hanging="200" w:hangingChars="200"/>
    </w:pPr>
    <w:rPr>
      <w:szCs w:val="20"/>
    </w:rPr>
  </w:style>
  <w:style w:type="paragraph" w:styleId="13">
    <w:name w:val="List Bullet 4"/>
    <w:basedOn w:val="1"/>
    <w:qFormat/>
    <w:uiPriority w:val="0"/>
    <w:pPr>
      <w:tabs>
        <w:tab w:val="left" w:pos="780"/>
      </w:tabs>
      <w:ind w:left="780" w:hanging="420"/>
    </w:pPr>
    <w:rPr>
      <w:szCs w:val="24"/>
    </w:rPr>
  </w:style>
  <w:style w:type="paragraph" w:styleId="14">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5">
    <w:name w:val="caption"/>
    <w:basedOn w:val="1"/>
    <w:next w:val="1"/>
    <w:qFormat/>
    <w:uiPriority w:val="99"/>
    <w:pPr>
      <w:spacing w:before="152" w:after="160"/>
    </w:pPr>
    <w:rPr>
      <w:rFonts w:ascii="Arial" w:hAnsi="Arial" w:eastAsia="黑体" w:cs="Arial"/>
      <w:sz w:val="20"/>
      <w:szCs w:val="20"/>
    </w:rPr>
  </w:style>
  <w:style w:type="paragraph" w:styleId="16">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7">
    <w:name w:val="Document Map"/>
    <w:basedOn w:val="1"/>
    <w:link w:val="202"/>
    <w:qFormat/>
    <w:uiPriority w:val="0"/>
    <w:rPr>
      <w:rFonts w:ascii="宋体"/>
      <w:sz w:val="18"/>
      <w:szCs w:val="18"/>
    </w:rPr>
  </w:style>
  <w:style w:type="paragraph" w:styleId="18">
    <w:name w:val="annotation text"/>
    <w:basedOn w:val="1"/>
    <w:link w:val="67"/>
    <w:semiHidden/>
    <w:qFormat/>
    <w:uiPriority w:val="0"/>
    <w:pPr>
      <w:jc w:val="left"/>
    </w:pPr>
  </w:style>
  <w:style w:type="paragraph" w:styleId="19">
    <w:name w:val="Salutation"/>
    <w:basedOn w:val="1"/>
    <w:next w:val="1"/>
    <w:link w:val="252"/>
    <w:qFormat/>
    <w:uiPriority w:val="0"/>
    <w:rPr>
      <w:rFonts w:ascii="宋体"/>
      <w:b/>
      <w:sz w:val="28"/>
      <w:szCs w:val="20"/>
    </w:rPr>
  </w:style>
  <w:style w:type="paragraph" w:styleId="20">
    <w:name w:val="Body Text 3"/>
    <w:basedOn w:val="1"/>
    <w:link w:val="248"/>
    <w:qFormat/>
    <w:uiPriority w:val="99"/>
    <w:pPr>
      <w:snapToGrid w:val="0"/>
      <w:spacing w:before="50" w:after="50"/>
    </w:pPr>
    <w:rPr>
      <w:rFonts w:hAnsi="宋体" w:eastAsia="仿宋_GB2312"/>
      <w:b/>
      <w:bCs/>
      <w:sz w:val="24"/>
      <w:szCs w:val="20"/>
    </w:rPr>
  </w:style>
  <w:style w:type="paragraph" w:styleId="21">
    <w:name w:val="Body Text"/>
    <w:basedOn w:val="1"/>
    <w:next w:val="1"/>
    <w:link w:val="82"/>
    <w:qFormat/>
    <w:uiPriority w:val="0"/>
    <w:pPr>
      <w:spacing w:after="120"/>
    </w:pPr>
    <w:rPr>
      <w:sz w:val="28"/>
      <w:szCs w:val="24"/>
    </w:rPr>
  </w:style>
  <w:style w:type="paragraph" w:styleId="22">
    <w:name w:val="Body Text Indent"/>
    <w:basedOn w:val="1"/>
    <w:link w:val="188"/>
    <w:qFormat/>
    <w:uiPriority w:val="0"/>
    <w:pPr>
      <w:spacing w:line="200" w:lineRule="exact"/>
      <w:ind w:firstLine="301"/>
    </w:pPr>
    <w:rPr>
      <w:rFonts w:ascii="宋体" w:hAnsi="Courier New"/>
      <w:spacing w:val="-4"/>
      <w:sz w:val="18"/>
      <w:szCs w:val="20"/>
    </w:rPr>
  </w:style>
  <w:style w:type="paragraph" w:styleId="23">
    <w:name w:val="List Number 3"/>
    <w:basedOn w:val="1"/>
    <w:qFormat/>
    <w:uiPriority w:val="0"/>
    <w:pPr>
      <w:numPr>
        <w:ilvl w:val="0"/>
        <w:numId w:val="1"/>
      </w:numPr>
    </w:pPr>
    <w:rPr>
      <w:szCs w:val="24"/>
    </w:rPr>
  </w:style>
  <w:style w:type="paragraph" w:styleId="24">
    <w:name w:val="List 2"/>
    <w:basedOn w:val="1"/>
    <w:qFormat/>
    <w:uiPriority w:val="99"/>
    <w:pPr>
      <w:ind w:left="100" w:leftChars="200" w:hanging="200" w:hangingChars="200"/>
    </w:pPr>
    <w:rPr>
      <w:sz w:val="28"/>
      <w:szCs w:val="24"/>
    </w:rPr>
  </w:style>
  <w:style w:type="paragraph" w:styleId="25">
    <w:name w:val="List Bullet 2"/>
    <w:basedOn w:val="1"/>
    <w:qFormat/>
    <w:uiPriority w:val="0"/>
    <w:pPr>
      <w:tabs>
        <w:tab w:val="left" w:pos="780"/>
      </w:tabs>
      <w:ind w:left="780" w:leftChars="200" w:hanging="360" w:hangingChars="200"/>
    </w:pPr>
    <w:rPr>
      <w:szCs w:val="24"/>
    </w:rPr>
  </w:style>
  <w:style w:type="paragraph" w:styleId="26">
    <w:name w:val="toc 5"/>
    <w:basedOn w:val="1"/>
    <w:next w:val="1"/>
    <w:qFormat/>
    <w:uiPriority w:val="0"/>
    <w:pPr>
      <w:spacing w:afterLines="50"/>
      <w:ind w:left="840"/>
      <w:jc w:val="left"/>
    </w:pPr>
    <w:rPr>
      <w:snapToGrid w:val="0"/>
      <w:kern w:val="0"/>
      <w:sz w:val="18"/>
      <w:szCs w:val="18"/>
    </w:rPr>
  </w:style>
  <w:style w:type="paragraph" w:styleId="27">
    <w:name w:val="toc 3"/>
    <w:basedOn w:val="1"/>
    <w:next w:val="1"/>
    <w:unhideWhenUsed/>
    <w:qFormat/>
    <w:uiPriority w:val="39"/>
    <w:pPr>
      <w:ind w:left="840" w:leftChars="400"/>
    </w:pPr>
  </w:style>
  <w:style w:type="paragraph" w:styleId="28">
    <w:name w:val="Plain Text"/>
    <w:basedOn w:val="1"/>
    <w:next w:val="1"/>
    <w:link w:val="270"/>
    <w:qFormat/>
    <w:uiPriority w:val="99"/>
    <w:pPr>
      <w:spacing w:beforeLines="50" w:afterLines="50" w:line="400" w:lineRule="exact"/>
    </w:pPr>
    <w:rPr>
      <w:rFonts w:ascii="宋体" w:hAnsi="Courier New"/>
      <w:sz w:val="24"/>
      <w:szCs w:val="24"/>
    </w:rPr>
  </w:style>
  <w:style w:type="paragraph" w:styleId="29">
    <w:name w:val="List Bullet 5"/>
    <w:basedOn w:val="1"/>
    <w:qFormat/>
    <w:uiPriority w:val="0"/>
    <w:pPr>
      <w:tabs>
        <w:tab w:val="left" w:pos="780"/>
      </w:tabs>
      <w:ind w:left="780" w:hanging="420"/>
    </w:pPr>
    <w:rPr>
      <w:szCs w:val="24"/>
    </w:rPr>
  </w:style>
  <w:style w:type="paragraph" w:styleId="30">
    <w:name w:val="toc 8"/>
    <w:basedOn w:val="1"/>
    <w:next w:val="1"/>
    <w:qFormat/>
    <w:uiPriority w:val="0"/>
    <w:pPr>
      <w:spacing w:afterLines="50"/>
      <w:ind w:left="1470"/>
      <w:jc w:val="left"/>
    </w:pPr>
    <w:rPr>
      <w:snapToGrid w:val="0"/>
      <w:kern w:val="0"/>
      <w:sz w:val="18"/>
      <w:szCs w:val="18"/>
    </w:rPr>
  </w:style>
  <w:style w:type="paragraph" w:styleId="31">
    <w:name w:val="Date"/>
    <w:basedOn w:val="1"/>
    <w:next w:val="1"/>
    <w:link w:val="207"/>
    <w:qFormat/>
    <w:uiPriority w:val="99"/>
    <w:pPr>
      <w:ind w:left="2500" w:leftChars="2500"/>
    </w:pPr>
    <w:rPr>
      <w:rFonts w:eastAsia="楷体_GB2312"/>
      <w:sz w:val="32"/>
      <w:szCs w:val="20"/>
    </w:rPr>
  </w:style>
  <w:style w:type="paragraph" w:styleId="32">
    <w:name w:val="Body Text Indent 2"/>
    <w:basedOn w:val="1"/>
    <w:link w:val="220"/>
    <w:qFormat/>
    <w:uiPriority w:val="0"/>
    <w:pPr>
      <w:snapToGrid w:val="0"/>
      <w:ind w:firstLine="542" w:firstLineChars="225"/>
    </w:pPr>
    <w:rPr>
      <w:rFonts w:ascii="仿宋_GB2312" w:hAnsi="宋体"/>
      <w:b/>
      <w:bCs/>
      <w:color w:val="000000"/>
      <w:sz w:val="24"/>
      <w:szCs w:val="24"/>
    </w:rPr>
  </w:style>
  <w:style w:type="paragraph" w:styleId="33">
    <w:name w:val="endnote text"/>
    <w:basedOn w:val="1"/>
    <w:link w:val="165"/>
    <w:qFormat/>
    <w:uiPriority w:val="0"/>
    <w:pPr>
      <w:numPr>
        <w:ilvl w:val="0"/>
        <w:numId w:val="2"/>
      </w:numPr>
      <w:snapToGrid w:val="0"/>
      <w:spacing w:afterLines="50"/>
      <w:jc w:val="left"/>
    </w:pPr>
    <w:rPr>
      <w:rFonts w:ascii="宋体"/>
      <w:snapToGrid w:val="0"/>
      <w:kern w:val="0"/>
      <w:szCs w:val="20"/>
    </w:rPr>
  </w:style>
  <w:style w:type="paragraph" w:styleId="34">
    <w:name w:val="Balloon Text"/>
    <w:basedOn w:val="1"/>
    <w:link w:val="110"/>
    <w:semiHidden/>
    <w:qFormat/>
    <w:uiPriority w:val="99"/>
    <w:rPr>
      <w:sz w:val="18"/>
      <w:szCs w:val="18"/>
    </w:rPr>
  </w:style>
  <w:style w:type="paragraph" w:styleId="35">
    <w:name w:val="footer"/>
    <w:basedOn w:val="1"/>
    <w:link w:val="123"/>
    <w:unhideWhenUsed/>
    <w:qFormat/>
    <w:uiPriority w:val="99"/>
    <w:pPr>
      <w:tabs>
        <w:tab w:val="center" w:pos="4153"/>
        <w:tab w:val="right" w:pos="8306"/>
      </w:tabs>
      <w:snapToGrid w:val="0"/>
      <w:jc w:val="left"/>
    </w:pPr>
    <w:rPr>
      <w:sz w:val="18"/>
      <w:szCs w:val="18"/>
    </w:rPr>
  </w:style>
  <w:style w:type="paragraph" w:styleId="36">
    <w:name w:val="header"/>
    <w:basedOn w:val="1"/>
    <w:link w:val="209"/>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rPr>
      <w:szCs w:val="24"/>
    </w:rPr>
  </w:style>
  <w:style w:type="paragraph" w:styleId="38">
    <w:name w:val="toc 4"/>
    <w:basedOn w:val="1"/>
    <w:next w:val="1"/>
    <w:unhideWhenUsed/>
    <w:qFormat/>
    <w:uiPriority w:val="0"/>
    <w:pPr>
      <w:ind w:left="1260" w:leftChars="600"/>
    </w:pPr>
  </w:style>
  <w:style w:type="paragraph" w:styleId="39">
    <w:name w:val="Subtitle"/>
    <w:basedOn w:val="1"/>
    <w:link w:val="231"/>
    <w:qFormat/>
    <w:uiPriority w:val="0"/>
    <w:pPr>
      <w:spacing w:afterLines="50"/>
      <w:jc w:val="center"/>
    </w:pPr>
    <w:rPr>
      <w:rFonts w:eastAsia="Times New Roman"/>
      <w:sz w:val="18"/>
      <w:szCs w:val="18"/>
    </w:rPr>
  </w:style>
  <w:style w:type="paragraph" w:styleId="40">
    <w:name w:val="List"/>
    <w:basedOn w:val="1"/>
    <w:qFormat/>
    <w:uiPriority w:val="0"/>
    <w:pPr>
      <w:ind w:left="200" w:hanging="200" w:hangingChars="200"/>
    </w:pPr>
    <w:rPr>
      <w:sz w:val="28"/>
      <w:szCs w:val="24"/>
    </w:rPr>
  </w:style>
  <w:style w:type="paragraph" w:styleId="41">
    <w:name w:val="footnote text"/>
    <w:basedOn w:val="1"/>
    <w:link w:val="168"/>
    <w:unhideWhenUsed/>
    <w:qFormat/>
    <w:uiPriority w:val="99"/>
    <w:pPr>
      <w:snapToGrid w:val="0"/>
      <w:jc w:val="left"/>
    </w:pPr>
    <w:rPr>
      <w:sz w:val="18"/>
      <w:szCs w:val="18"/>
    </w:rPr>
  </w:style>
  <w:style w:type="paragraph" w:styleId="42">
    <w:name w:val="Body Text Indent 3"/>
    <w:basedOn w:val="1"/>
    <w:link w:val="140"/>
    <w:qFormat/>
    <w:uiPriority w:val="0"/>
    <w:pPr>
      <w:snapToGrid w:val="0"/>
      <w:ind w:firstLine="480" w:firstLineChars="200"/>
      <w:jc w:val="left"/>
    </w:pPr>
    <w:rPr>
      <w:rFonts w:ascii="仿宋_GB2312" w:hAnsi="宋体" w:eastAsia="仿宋_GB2312"/>
      <w:color w:val="000000"/>
      <w:sz w:val="24"/>
      <w:szCs w:val="24"/>
    </w:rPr>
  </w:style>
  <w:style w:type="paragraph" w:styleId="43">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4">
    <w:name w:val="toc 2"/>
    <w:basedOn w:val="1"/>
    <w:next w:val="1"/>
    <w:qFormat/>
    <w:uiPriority w:val="39"/>
    <w:pPr>
      <w:widowControl/>
      <w:tabs>
        <w:tab w:val="right" w:leader="dot" w:pos="8302"/>
      </w:tabs>
      <w:spacing w:line="240" w:lineRule="atLeast"/>
      <w:ind w:left="420" w:leftChars="68" w:hanging="277" w:hangingChars="115"/>
      <w:jc w:val="left"/>
    </w:pPr>
    <w:rPr>
      <w:szCs w:val="24"/>
    </w:rPr>
  </w:style>
  <w:style w:type="paragraph" w:styleId="45">
    <w:name w:val="Body Text 2"/>
    <w:basedOn w:val="1"/>
    <w:link w:val="210"/>
    <w:qFormat/>
    <w:uiPriority w:val="0"/>
    <w:pPr>
      <w:widowControl/>
      <w:snapToGrid w:val="0"/>
      <w:spacing w:before="50" w:afterLines="50" w:line="400" w:lineRule="exact"/>
      <w:jc w:val="left"/>
    </w:pPr>
    <w:rPr>
      <w:rFonts w:ascii="宋体" w:hAnsi="宋体"/>
      <w:color w:val="000000"/>
      <w:sz w:val="24"/>
      <w:szCs w:val="24"/>
    </w:rPr>
  </w:style>
  <w:style w:type="paragraph" w:styleId="46">
    <w:name w:val="HTML Preformatted"/>
    <w:basedOn w:val="1"/>
    <w:link w:val="247"/>
    <w:qFormat/>
    <w:uiPriority w:val="0"/>
    <w:rPr>
      <w:rFonts w:ascii="Courier New" w:hAnsi="Courier New"/>
      <w:sz w:val="20"/>
      <w:szCs w:val="20"/>
    </w:rPr>
  </w:style>
  <w:style w:type="paragraph" w:styleId="4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qFormat/>
    <w:uiPriority w:val="0"/>
    <w:rPr>
      <w:szCs w:val="20"/>
    </w:rPr>
  </w:style>
  <w:style w:type="paragraph" w:styleId="49">
    <w:name w:val="Title"/>
    <w:basedOn w:val="1"/>
    <w:next w:val="1"/>
    <w:link w:val="73"/>
    <w:qFormat/>
    <w:uiPriority w:val="99"/>
    <w:pPr>
      <w:spacing w:before="240" w:after="60"/>
      <w:jc w:val="center"/>
      <w:outlineLvl w:val="0"/>
    </w:pPr>
    <w:rPr>
      <w:rFonts w:ascii="Arial" w:hAnsi="Arial"/>
      <w:b/>
      <w:bCs/>
      <w:sz w:val="32"/>
      <w:szCs w:val="32"/>
    </w:rPr>
  </w:style>
  <w:style w:type="paragraph" w:styleId="50">
    <w:name w:val="annotation subject"/>
    <w:basedOn w:val="18"/>
    <w:next w:val="18"/>
    <w:semiHidden/>
    <w:qFormat/>
    <w:uiPriority w:val="0"/>
    <w:rPr>
      <w:b/>
      <w:bCs/>
    </w:rPr>
  </w:style>
  <w:style w:type="paragraph" w:styleId="51">
    <w:name w:val="Body Text First Indent"/>
    <w:basedOn w:val="21"/>
    <w:link w:val="193"/>
    <w:qFormat/>
    <w:uiPriority w:val="0"/>
    <w:pPr>
      <w:ind w:firstLine="420" w:firstLineChars="100"/>
    </w:pPr>
    <w:rPr>
      <w:rFonts w:ascii="Calibri" w:hAnsi="Calibri"/>
      <w:sz w:val="21"/>
      <w:szCs w:val="22"/>
    </w:rPr>
  </w:style>
  <w:style w:type="paragraph" w:styleId="52">
    <w:name w:val="Body Text First Indent 2"/>
    <w:basedOn w:val="22"/>
    <w:qFormat/>
    <w:uiPriority w:val="0"/>
    <w:pPr>
      <w:spacing w:after="120" w:line="240" w:lineRule="auto"/>
      <w:ind w:left="420" w:leftChars="200" w:firstLine="420" w:firstLineChars="200"/>
    </w:pPr>
    <w:rPr>
      <w:rFonts w:ascii="Times New Roman" w:hAnsi="Times New Roman"/>
      <w:spacing w:val="0"/>
      <w:sz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99"/>
    <w:rPr>
      <w:color w:val="800080"/>
      <w:u w:val="single"/>
    </w:rPr>
  </w:style>
  <w:style w:type="character" w:styleId="59">
    <w:name w:val="Emphasis"/>
    <w:qFormat/>
    <w:uiPriority w:val="0"/>
    <w:rPr>
      <w:color w:val="CC0033"/>
    </w:rPr>
  </w:style>
  <w:style w:type="character" w:styleId="60">
    <w:name w:val="Hyperlink"/>
    <w:qFormat/>
    <w:uiPriority w:val="99"/>
    <w:rPr>
      <w:color w:val="0000FF"/>
      <w:u w:val="single"/>
    </w:rPr>
  </w:style>
  <w:style w:type="character" w:styleId="61">
    <w:name w:val="annotation reference"/>
    <w:semiHidden/>
    <w:qFormat/>
    <w:uiPriority w:val="0"/>
    <w:rPr>
      <w:sz w:val="21"/>
      <w:szCs w:val="21"/>
    </w:rPr>
  </w:style>
  <w:style w:type="character" w:styleId="62">
    <w:name w:val="footnote reference"/>
    <w:unhideWhenUsed/>
    <w:qFormat/>
    <w:uiPriority w:val="99"/>
    <w:rPr>
      <w:vertAlign w:val="superscript"/>
    </w:rPr>
  </w:style>
  <w:style w:type="character" w:customStyle="1" w:styleId="63">
    <w:name w:val="正文 首行缩进:  2 字符 Char"/>
    <w:link w:val="64"/>
    <w:qFormat/>
    <w:uiPriority w:val="0"/>
    <w:rPr>
      <w:rFonts w:cs="宋体"/>
      <w:sz w:val="24"/>
    </w:rPr>
  </w:style>
  <w:style w:type="paragraph" w:customStyle="1" w:styleId="64">
    <w:name w:val="正文 首行缩进:  2 字符"/>
    <w:basedOn w:val="1"/>
    <w:next w:val="1"/>
    <w:link w:val="63"/>
    <w:qFormat/>
    <w:uiPriority w:val="0"/>
    <w:pPr>
      <w:spacing w:line="360" w:lineRule="auto"/>
      <w:ind w:firstLine="480" w:firstLineChars="200"/>
      <w:jc w:val="left"/>
    </w:pPr>
    <w:rPr>
      <w:kern w:val="0"/>
      <w:sz w:val="24"/>
      <w:szCs w:val="20"/>
    </w:rPr>
  </w:style>
  <w:style w:type="character" w:customStyle="1" w:styleId="65">
    <w:name w:val="正文（首行缩进2字符） Char Char"/>
    <w:link w:val="66"/>
    <w:qFormat/>
    <w:uiPriority w:val="0"/>
    <w:rPr>
      <w:szCs w:val="21"/>
    </w:rPr>
  </w:style>
  <w:style w:type="paragraph" w:customStyle="1" w:styleId="66">
    <w:name w:val="正文（首行缩进2字符）"/>
    <w:basedOn w:val="1"/>
    <w:link w:val="65"/>
    <w:qFormat/>
    <w:uiPriority w:val="0"/>
    <w:pPr>
      <w:spacing w:line="360" w:lineRule="auto"/>
      <w:ind w:firstLine="420" w:firstLineChars="200"/>
    </w:pPr>
    <w:rPr>
      <w:kern w:val="0"/>
      <w:sz w:val="20"/>
      <w:szCs w:val="21"/>
    </w:rPr>
  </w:style>
  <w:style w:type="character" w:customStyle="1" w:styleId="67">
    <w:name w:val="批注文字 字符"/>
    <w:link w:val="18"/>
    <w:qFormat/>
    <w:uiPriority w:val="0"/>
    <w:rPr>
      <w:kern w:val="2"/>
      <w:sz w:val="21"/>
      <w:szCs w:val="22"/>
    </w:rPr>
  </w:style>
  <w:style w:type="character" w:customStyle="1" w:styleId="68">
    <w:name w:val="正文标准样式ty Char2"/>
    <w:link w:val="69"/>
    <w:qFormat/>
    <w:uiPriority w:val="0"/>
    <w:rPr>
      <w:rFonts w:eastAsia="宋体" w:cs="宋体"/>
      <w:kern w:val="2"/>
      <w:sz w:val="24"/>
      <w:lang w:val="en-US" w:eastAsia="zh-CN" w:bidi="ar-SA"/>
    </w:rPr>
  </w:style>
  <w:style w:type="paragraph" w:customStyle="1" w:styleId="69">
    <w:name w:val="正文标准样式ty"/>
    <w:basedOn w:val="1"/>
    <w:link w:val="68"/>
    <w:qFormat/>
    <w:uiPriority w:val="0"/>
    <w:pPr>
      <w:spacing w:line="360" w:lineRule="auto"/>
      <w:ind w:firstLine="480" w:firstLineChars="200"/>
    </w:pPr>
    <w:rPr>
      <w:rFonts w:cs="宋体"/>
      <w:sz w:val="24"/>
      <w:szCs w:val="20"/>
    </w:rPr>
  </w:style>
  <w:style w:type="character" w:customStyle="1" w:styleId="70">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71">
    <w:name w:val="彩色列表 - 强调文字颜色 1 Char"/>
    <w:link w:val="72"/>
    <w:qFormat/>
    <w:uiPriority w:val="0"/>
    <w:rPr>
      <w:kern w:val="2"/>
      <w:sz w:val="21"/>
      <w:szCs w:val="22"/>
    </w:rPr>
  </w:style>
  <w:style w:type="paragraph" w:customStyle="1" w:styleId="72">
    <w:name w:val="彩色列表 - 强调文字颜色 11"/>
    <w:basedOn w:val="1"/>
    <w:link w:val="71"/>
    <w:qFormat/>
    <w:uiPriority w:val="0"/>
    <w:pPr>
      <w:ind w:firstLine="420" w:firstLineChars="200"/>
    </w:pPr>
  </w:style>
  <w:style w:type="character" w:customStyle="1" w:styleId="73">
    <w:name w:val="标题 字符"/>
    <w:link w:val="49"/>
    <w:qFormat/>
    <w:uiPriority w:val="99"/>
    <w:rPr>
      <w:rFonts w:ascii="Arial" w:hAnsi="Arial" w:cs="Arial"/>
      <w:b/>
      <w:bCs/>
      <w:kern w:val="2"/>
      <w:sz w:val="32"/>
      <w:szCs w:val="32"/>
    </w:rPr>
  </w:style>
  <w:style w:type="character" w:customStyle="1" w:styleId="74">
    <w:name w:val="glossaryitem"/>
    <w:qFormat/>
    <w:uiPriority w:val="0"/>
    <w:rPr>
      <w:u w:val="none"/>
    </w:rPr>
  </w:style>
  <w:style w:type="character" w:customStyle="1" w:styleId="75">
    <w:name w:val="标题 8 字符"/>
    <w:link w:val="10"/>
    <w:qFormat/>
    <w:uiPriority w:val="0"/>
    <w:rPr>
      <w:rFonts w:ascii="Cambria" w:hAnsi="Cambria" w:eastAsia="宋体"/>
      <w:kern w:val="2"/>
      <w:sz w:val="24"/>
      <w:szCs w:val="24"/>
      <w:lang w:val="en-US" w:eastAsia="zh-CN" w:bidi="ar-SA"/>
    </w:rPr>
  </w:style>
  <w:style w:type="character" w:customStyle="1" w:styleId="76">
    <w:name w:val="Char Char14"/>
    <w:qFormat/>
    <w:uiPriority w:val="0"/>
    <w:rPr>
      <w:rFonts w:ascii="Calibri" w:hAnsi="Calibri" w:eastAsia="宋体" w:cs="Times New Roman"/>
      <w:b/>
      <w:bCs/>
      <w:sz w:val="28"/>
      <w:szCs w:val="28"/>
    </w:rPr>
  </w:style>
  <w:style w:type="character" w:customStyle="1" w:styleId="77">
    <w:name w:val="b11_01b Char"/>
    <w:link w:val="78"/>
    <w:qFormat/>
    <w:uiPriority w:val="0"/>
    <w:rPr>
      <w:rFonts w:ascii="Verdana" w:hAnsi="Verdana" w:eastAsia="宋体"/>
      <w:b/>
      <w:bCs/>
      <w:color w:val="4A82CA"/>
      <w:sz w:val="17"/>
      <w:szCs w:val="17"/>
      <w:lang w:val="en-US" w:eastAsia="zh-CN" w:bidi="ar-SA"/>
    </w:rPr>
  </w:style>
  <w:style w:type="paragraph" w:customStyle="1" w:styleId="78">
    <w:name w:val="b11_01b"/>
    <w:basedOn w:val="1"/>
    <w:next w:val="1"/>
    <w:link w:val="77"/>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79">
    <w:name w:val="标题 1 字符"/>
    <w:link w:val="2"/>
    <w:qFormat/>
    <w:uiPriority w:val="0"/>
    <w:rPr>
      <w:rFonts w:eastAsia="隶书"/>
      <w:b/>
      <w:bCs/>
      <w:sz w:val="36"/>
      <w:szCs w:val="36"/>
      <w:lang w:val="en-US" w:eastAsia="zh-CN" w:bidi="ar-SA"/>
    </w:rPr>
  </w:style>
  <w:style w:type="character" w:customStyle="1" w:styleId="80">
    <w:name w:val="font3"/>
    <w:basedOn w:val="55"/>
    <w:qFormat/>
    <w:uiPriority w:val="0"/>
  </w:style>
  <w:style w:type="character" w:customStyle="1" w:styleId="81">
    <w:name w:val="ca-16"/>
    <w:basedOn w:val="55"/>
    <w:qFormat/>
    <w:uiPriority w:val="0"/>
  </w:style>
  <w:style w:type="character" w:customStyle="1" w:styleId="82">
    <w:name w:val="正文文本 字符"/>
    <w:link w:val="21"/>
    <w:qFormat/>
    <w:uiPriority w:val="0"/>
    <w:rPr>
      <w:rFonts w:eastAsia="宋体"/>
      <w:kern w:val="2"/>
      <w:sz w:val="28"/>
      <w:szCs w:val="24"/>
      <w:lang w:val="en-US" w:eastAsia="zh-CN" w:bidi="ar-SA"/>
    </w:rPr>
  </w:style>
  <w:style w:type="character" w:customStyle="1" w:styleId="83">
    <w:name w:val="Normal Indent Char Char"/>
    <w:qFormat/>
    <w:uiPriority w:val="0"/>
    <w:rPr>
      <w:rFonts w:eastAsia="宋体"/>
      <w:kern w:val="2"/>
      <w:sz w:val="21"/>
      <w:szCs w:val="24"/>
      <w:lang w:val="en-US" w:eastAsia="zh-CN" w:bidi="ar-SA"/>
    </w:rPr>
  </w:style>
  <w:style w:type="character" w:customStyle="1" w:styleId="84">
    <w:name w:val="p21"/>
    <w:qFormat/>
    <w:uiPriority w:val="0"/>
    <w:rPr>
      <w:rFonts w:hint="default" w:ascii="Arial" w:hAnsi="Arial"/>
      <w:color w:val="333333"/>
      <w:sz w:val="18"/>
      <w:u w:val="none"/>
    </w:rPr>
  </w:style>
  <w:style w:type="character" w:customStyle="1" w:styleId="85">
    <w:name w:val="样式 样式 正文首行缩进 + 首行缩进:  2 字符 + 首行缩进:  2 字符 Char"/>
    <w:link w:val="86"/>
    <w:qFormat/>
    <w:uiPriority w:val="0"/>
    <w:rPr>
      <w:rFonts w:cs="宋体"/>
      <w:kern w:val="2"/>
      <w:sz w:val="24"/>
    </w:rPr>
  </w:style>
  <w:style w:type="paragraph" w:customStyle="1" w:styleId="86">
    <w:name w:val="样式 样式 正文首行缩进 + 首行缩进:  2 字符 + 首行缩进:  2 字符"/>
    <w:basedOn w:val="1"/>
    <w:link w:val="85"/>
    <w:qFormat/>
    <w:uiPriority w:val="0"/>
    <w:pPr>
      <w:spacing w:line="440" w:lineRule="exact"/>
      <w:ind w:firstLine="200" w:firstLineChars="200"/>
    </w:pPr>
    <w:rPr>
      <w:sz w:val="24"/>
      <w:szCs w:val="20"/>
    </w:rPr>
  </w:style>
  <w:style w:type="character" w:customStyle="1" w:styleId="87">
    <w:name w:val="point_normal1"/>
    <w:qFormat/>
    <w:uiPriority w:val="0"/>
    <w:rPr>
      <w:rFonts w:hint="default" w:ascii="Arial" w:hAnsi="Arial" w:cs="Arial"/>
      <w:sz w:val="18"/>
      <w:szCs w:val="18"/>
    </w:rPr>
  </w:style>
  <w:style w:type="character" w:customStyle="1" w:styleId="88">
    <w:name w:val="style31"/>
    <w:qFormat/>
    <w:uiPriority w:val="0"/>
    <w:rPr>
      <w:color w:val="666666"/>
    </w:rPr>
  </w:style>
  <w:style w:type="character" w:customStyle="1" w:styleId="89">
    <w:name w:val="标题4-dyf Char"/>
    <w:link w:val="90"/>
    <w:qFormat/>
    <w:uiPriority w:val="0"/>
    <w:rPr>
      <w:rFonts w:ascii="Cambria" w:hAnsi="Cambria" w:eastAsia="宋体"/>
      <w:b/>
      <w:bCs/>
      <w:color w:val="000000"/>
      <w:kern w:val="2"/>
      <w:sz w:val="21"/>
      <w:szCs w:val="21"/>
      <w:lang w:val="en-US" w:eastAsia="zh-CN" w:bidi="ar-SA"/>
    </w:rPr>
  </w:style>
  <w:style w:type="paragraph" w:customStyle="1" w:styleId="90">
    <w:name w:val="标题4-dyf"/>
    <w:basedOn w:val="6"/>
    <w:link w:val="89"/>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91">
    <w:name w:val="H2 Char3"/>
    <w:qFormat/>
    <w:uiPriority w:val="0"/>
    <w:rPr>
      <w:rFonts w:ascii="Arial" w:hAnsi="Arial" w:eastAsia="黑体"/>
      <w:b/>
      <w:bCs/>
      <w:kern w:val="2"/>
      <w:sz w:val="32"/>
      <w:szCs w:val="32"/>
      <w:lang w:val="en-US" w:eastAsia="zh-CN" w:bidi="ar-SA"/>
    </w:rPr>
  </w:style>
  <w:style w:type="character" w:customStyle="1" w:styleId="92">
    <w:name w:val="标题 1 Char1"/>
    <w:qFormat/>
    <w:uiPriority w:val="0"/>
    <w:rPr>
      <w:rFonts w:cs="Times New Roman"/>
      <w:b/>
      <w:bCs/>
      <w:kern w:val="44"/>
      <w:sz w:val="44"/>
      <w:szCs w:val="44"/>
    </w:rPr>
  </w:style>
  <w:style w:type="character" w:customStyle="1" w:styleId="93">
    <w:name w:val="无间隔 Char"/>
    <w:link w:val="94"/>
    <w:qFormat/>
    <w:uiPriority w:val="0"/>
    <w:rPr>
      <w:rFonts w:eastAsia="Times New Roman"/>
      <w:sz w:val="22"/>
      <w:lang w:val="en-US" w:eastAsia="zh-CN" w:bidi="ar-SA"/>
    </w:rPr>
  </w:style>
  <w:style w:type="paragraph" w:customStyle="1" w:styleId="94">
    <w:name w:val="无间隔1"/>
    <w:link w:val="93"/>
    <w:qFormat/>
    <w:uiPriority w:val="0"/>
    <w:rPr>
      <w:rFonts w:ascii="Times New Roman" w:hAnsi="Times New Roman" w:eastAsia="Times New Roman" w:cs="Times New Roman"/>
      <w:sz w:val="22"/>
      <w:lang w:val="en-US" w:eastAsia="zh-CN" w:bidi="ar-SA"/>
    </w:rPr>
  </w:style>
  <w:style w:type="character" w:customStyle="1" w:styleId="95">
    <w:name w:val="Char Char8"/>
    <w:qFormat/>
    <w:uiPriority w:val="0"/>
    <w:rPr>
      <w:rFonts w:ascii="Arial" w:hAnsi="Arial" w:eastAsia="黑体"/>
      <w:b/>
      <w:bCs/>
      <w:kern w:val="2"/>
      <w:sz w:val="32"/>
      <w:szCs w:val="32"/>
      <w:lang w:val="en-US" w:eastAsia="zh-CN" w:bidi="ar-SA"/>
    </w:rPr>
  </w:style>
  <w:style w:type="character" w:customStyle="1" w:styleId="96">
    <w:name w:val="unnamed11"/>
    <w:qFormat/>
    <w:uiPriority w:val="0"/>
    <w:rPr>
      <w:color w:val="000000"/>
      <w:sz w:val="20"/>
      <w:szCs w:val="20"/>
    </w:rPr>
  </w:style>
  <w:style w:type="character" w:customStyle="1" w:styleId="97">
    <w:name w:val="大汉方案正文 Char Char Char"/>
    <w:link w:val="98"/>
    <w:qFormat/>
    <w:uiPriority w:val="0"/>
    <w:rPr>
      <w:rFonts w:ascii="Arial" w:hAnsi="Arial" w:eastAsia="宋体"/>
      <w:sz w:val="24"/>
      <w:szCs w:val="24"/>
      <w:lang w:bidi="ar-SA"/>
    </w:rPr>
  </w:style>
  <w:style w:type="paragraph" w:customStyle="1" w:styleId="98">
    <w:name w:val="大汉方案正文 Char"/>
    <w:basedOn w:val="1"/>
    <w:link w:val="97"/>
    <w:qFormat/>
    <w:uiPriority w:val="0"/>
    <w:pPr>
      <w:spacing w:line="360" w:lineRule="auto"/>
      <w:ind w:firstLine="200" w:firstLineChars="200"/>
    </w:pPr>
    <w:rPr>
      <w:rFonts w:ascii="Arial" w:hAnsi="Arial"/>
      <w:kern w:val="0"/>
      <w:sz w:val="24"/>
      <w:szCs w:val="24"/>
    </w:rPr>
  </w:style>
  <w:style w:type="character" w:customStyle="1" w:styleId="99">
    <w:name w:val="Char Char3"/>
    <w:qFormat/>
    <w:uiPriority w:val="0"/>
    <w:rPr>
      <w:rFonts w:ascii="Arial" w:hAnsi="Arial" w:eastAsia="黑体"/>
      <w:b/>
      <w:kern w:val="2"/>
      <w:sz w:val="32"/>
      <w:lang w:val="en-US" w:eastAsia="zh-CN" w:bidi="ar-SA"/>
    </w:rPr>
  </w:style>
  <w:style w:type="character" w:customStyle="1" w:styleId="100">
    <w:name w:val="unnamed1"/>
    <w:basedOn w:val="55"/>
    <w:qFormat/>
    <w:uiPriority w:val="0"/>
  </w:style>
  <w:style w:type="character" w:customStyle="1" w:styleId="101">
    <w:name w:val="Char Char2"/>
    <w:qFormat/>
    <w:uiPriority w:val="0"/>
    <w:rPr>
      <w:rFonts w:ascii="宋体" w:hAnsi="Courier New" w:eastAsia="宋体"/>
      <w:sz w:val="21"/>
      <w:lang w:val="en-US" w:eastAsia="zh-CN" w:bidi="ar-SA"/>
    </w:rPr>
  </w:style>
  <w:style w:type="character" w:customStyle="1" w:styleId="102">
    <w:name w:val="Char Char7"/>
    <w:qFormat/>
    <w:uiPriority w:val="0"/>
    <w:rPr>
      <w:rFonts w:eastAsia="宋体"/>
      <w:b/>
      <w:kern w:val="2"/>
      <w:sz w:val="32"/>
      <w:lang w:bidi="ar-SA"/>
    </w:rPr>
  </w:style>
  <w:style w:type="character" w:customStyle="1" w:styleId="103">
    <w:name w:val="标题 9 字符"/>
    <w:link w:val="11"/>
    <w:qFormat/>
    <w:uiPriority w:val="0"/>
    <w:rPr>
      <w:rFonts w:ascii="Cambria" w:hAnsi="Cambria" w:eastAsia="宋体"/>
      <w:kern w:val="2"/>
      <w:sz w:val="21"/>
      <w:szCs w:val="21"/>
      <w:lang w:val="en-US" w:eastAsia="zh-CN" w:bidi="ar-SA"/>
    </w:rPr>
  </w:style>
  <w:style w:type="character" w:customStyle="1" w:styleId="104">
    <w:name w:val="tw4winExternal"/>
    <w:qFormat/>
    <w:uiPriority w:val="0"/>
    <w:rPr>
      <w:rFonts w:ascii="Courier New" w:hAnsi="Courier New"/>
      <w:color w:val="808080"/>
    </w:rPr>
  </w:style>
  <w:style w:type="character" w:customStyle="1" w:styleId="105">
    <w:name w:val="样式 正文缩进 + 首行缩进:  2 字符 Char"/>
    <w:link w:val="106"/>
    <w:qFormat/>
    <w:uiPriority w:val="0"/>
    <w:rPr>
      <w:rFonts w:ascii="Times New Roman" w:hAnsi="Times New Roman"/>
      <w:kern w:val="2"/>
      <w:sz w:val="24"/>
    </w:rPr>
  </w:style>
  <w:style w:type="paragraph" w:customStyle="1" w:styleId="106">
    <w:name w:val="样式 正文缩进 + 首行缩进:  2 字符"/>
    <w:basedOn w:val="5"/>
    <w:link w:val="105"/>
    <w:qFormat/>
    <w:uiPriority w:val="0"/>
    <w:pPr>
      <w:spacing w:line="360" w:lineRule="auto"/>
      <w:ind w:firstLine="200" w:firstLineChars="200"/>
    </w:pPr>
    <w:rPr>
      <w:sz w:val="24"/>
    </w:rPr>
  </w:style>
  <w:style w:type="character" w:customStyle="1" w:styleId="107">
    <w:name w:val="Char Char6"/>
    <w:qFormat/>
    <w:uiPriority w:val="0"/>
    <w:rPr>
      <w:rFonts w:ascii="Calibri" w:hAnsi="Calibri" w:eastAsia="宋体"/>
      <w:b/>
      <w:bCs/>
      <w:kern w:val="2"/>
      <w:sz w:val="28"/>
      <w:szCs w:val="28"/>
      <w:lang w:bidi="ar-SA"/>
    </w:rPr>
  </w:style>
  <w:style w:type="character" w:customStyle="1" w:styleId="108">
    <w:name w:val="正文（缩进） Char"/>
    <w:link w:val="109"/>
    <w:qFormat/>
    <w:uiPriority w:val="0"/>
    <w:rPr>
      <w:kern w:val="2"/>
      <w:sz w:val="24"/>
      <w:szCs w:val="24"/>
    </w:rPr>
  </w:style>
  <w:style w:type="paragraph" w:customStyle="1" w:styleId="109">
    <w:name w:val="正文（缩进）"/>
    <w:basedOn w:val="1"/>
    <w:link w:val="108"/>
    <w:qFormat/>
    <w:uiPriority w:val="0"/>
    <w:pPr>
      <w:spacing w:beforeLines="50" w:afterLines="50" w:line="360" w:lineRule="auto"/>
      <w:ind w:firstLine="480" w:firstLineChars="200"/>
    </w:pPr>
    <w:rPr>
      <w:sz w:val="24"/>
      <w:szCs w:val="24"/>
    </w:rPr>
  </w:style>
  <w:style w:type="character" w:customStyle="1" w:styleId="110">
    <w:name w:val="批注框文本 字符"/>
    <w:link w:val="34"/>
    <w:semiHidden/>
    <w:qFormat/>
    <w:uiPriority w:val="99"/>
    <w:rPr>
      <w:kern w:val="2"/>
      <w:sz w:val="18"/>
      <w:szCs w:val="18"/>
    </w:rPr>
  </w:style>
  <w:style w:type="character" w:customStyle="1" w:styleId="111">
    <w:name w:val="Char Char61"/>
    <w:qFormat/>
    <w:uiPriority w:val="0"/>
    <w:rPr>
      <w:rFonts w:ascii="Calibri" w:hAnsi="Calibri" w:eastAsia="宋体"/>
      <w:b/>
      <w:bCs/>
      <w:kern w:val="2"/>
      <w:sz w:val="28"/>
      <w:szCs w:val="28"/>
      <w:lang w:bidi="ar-SA"/>
    </w:rPr>
  </w:style>
  <w:style w:type="character" w:customStyle="1" w:styleId="112">
    <w:name w:val="title_sub_blue1"/>
    <w:qFormat/>
    <w:uiPriority w:val="0"/>
    <w:rPr>
      <w:rFonts w:hint="default" w:ascii="Arial" w:hAnsi="Arial"/>
      <w:b/>
      <w:color w:val="16344F"/>
      <w:spacing w:val="15"/>
      <w:sz w:val="18"/>
      <w:u w:val="none"/>
    </w:rPr>
  </w:style>
  <w:style w:type="character" w:customStyle="1" w:styleId="113">
    <w:name w:val="Char Char9"/>
    <w:qFormat/>
    <w:uiPriority w:val="0"/>
    <w:rPr>
      <w:rFonts w:eastAsia="宋体"/>
      <w:b/>
      <w:kern w:val="44"/>
      <w:sz w:val="44"/>
      <w:lang w:bidi="ar-SA"/>
    </w:rPr>
  </w:style>
  <w:style w:type="character" w:customStyle="1" w:styleId="114">
    <w:name w:val="14_black1"/>
    <w:qFormat/>
    <w:uiPriority w:val="0"/>
    <w:rPr>
      <w:color w:val="000000"/>
      <w:sz w:val="21"/>
    </w:rPr>
  </w:style>
  <w:style w:type="character" w:customStyle="1" w:styleId="115">
    <w:name w:val="浅色网格 - 强调文字颜色 3 Char1"/>
    <w:link w:val="116"/>
    <w:qFormat/>
    <w:uiPriority w:val="0"/>
    <w:rPr>
      <w:rFonts w:eastAsia="宋体"/>
      <w:kern w:val="2"/>
      <w:sz w:val="21"/>
      <w:szCs w:val="24"/>
      <w:lang w:val="en-US" w:eastAsia="zh-CN" w:bidi="ar-SA"/>
    </w:rPr>
  </w:style>
  <w:style w:type="paragraph" w:customStyle="1" w:styleId="116">
    <w:name w:val="浅色网格 - 强调文字颜色 31"/>
    <w:basedOn w:val="1"/>
    <w:link w:val="115"/>
    <w:qFormat/>
    <w:uiPriority w:val="0"/>
    <w:pPr>
      <w:ind w:firstLine="420" w:firstLineChars="200"/>
    </w:pPr>
    <w:rPr>
      <w:szCs w:val="24"/>
    </w:rPr>
  </w:style>
  <w:style w:type="character" w:customStyle="1" w:styleId="117">
    <w:name w:val="公司一级标题"/>
    <w:qFormat/>
    <w:uiPriority w:val="0"/>
    <w:rPr>
      <w:rFonts w:ascii="黑体" w:hAnsi="黑体" w:eastAsia="黑体"/>
      <w:color w:val="333300"/>
      <w:sz w:val="30"/>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tw4winMark"/>
    <w:qFormat/>
    <w:uiPriority w:val="0"/>
    <w:rPr>
      <w:rFonts w:ascii="Courier New" w:hAnsi="Courier New"/>
      <w:vanish/>
      <w:color w:val="800080"/>
      <w:vertAlign w:val="subscript"/>
    </w:rPr>
  </w:style>
  <w:style w:type="character" w:customStyle="1" w:styleId="120">
    <w:name w:val="paramname2"/>
    <w:basedOn w:val="55"/>
    <w:qFormat/>
    <w:uiPriority w:val="0"/>
  </w:style>
  <w:style w:type="character" w:customStyle="1" w:styleId="121">
    <w:name w:val="正文缩进 字符"/>
    <w:link w:val="5"/>
    <w:qFormat/>
    <w:uiPriority w:val="0"/>
    <w:rPr>
      <w:rFonts w:eastAsia="宋体"/>
      <w:kern w:val="2"/>
      <w:sz w:val="21"/>
      <w:lang w:val="en-US" w:eastAsia="zh-CN" w:bidi="ar-SA"/>
    </w:rPr>
  </w:style>
  <w:style w:type="character" w:customStyle="1" w:styleId="122">
    <w:name w:val="标题 4 Char1"/>
    <w:qFormat/>
    <w:uiPriority w:val="0"/>
    <w:rPr>
      <w:rFonts w:ascii="Cambria" w:hAnsi="Cambria" w:eastAsia="宋体" w:cs="Times New Roman"/>
      <w:b/>
      <w:bCs/>
      <w:kern w:val="2"/>
      <w:sz w:val="28"/>
      <w:szCs w:val="28"/>
    </w:rPr>
  </w:style>
  <w:style w:type="character" w:customStyle="1" w:styleId="123">
    <w:name w:val="页脚 字符"/>
    <w:link w:val="35"/>
    <w:qFormat/>
    <w:uiPriority w:val="99"/>
    <w:rPr>
      <w:kern w:val="2"/>
      <w:sz w:val="18"/>
      <w:szCs w:val="18"/>
    </w:rPr>
  </w:style>
  <w:style w:type="character" w:customStyle="1" w:styleId="124">
    <w:name w:val="标题 2 字符"/>
    <w:link w:val="3"/>
    <w:qFormat/>
    <w:uiPriority w:val="0"/>
    <w:rPr>
      <w:rFonts w:ascii="Arial" w:hAnsi="Arial" w:eastAsia="黑体"/>
      <w:b/>
      <w:bCs/>
      <w:kern w:val="2"/>
      <w:sz w:val="32"/>
      <w:szCs w:val="32"/>
      <w:lang w:val="en-US" w:eastAsia="zh-CN" w:bidi="ar-SA"/>
    </w:rPr>
  </w:style>
  <w:style w:type="character" w:customStyle="1" w:styleId="125">
    <w:name w:val="A C"/>
    <w:qFormat/>
    <w:uiPriority w:val="0"/>
    <w:rPr>
      <w:rFonts w:ascii="仿宋_GB2312"/>
      <w:bCs/>
      <w:iCs/>
      <w:sz w:val="24"/>
    </w:rPr>
  </w:style>
  <w:style w:type="character" w:customStyle="1" w:styleId="126">
    <w:name w:val="浅色网格 - 强调文字颜色 3 Char"/>
    <w:qFormat/>
    <w:locked/>
    <w:uiPriority w:val="0"/>
    <w:rPr>
      <w:rFonts w:ascii="Calibri" w:hAnsi="Calibri" w:eastAsia="宋体" w:cs="Times New Roman"/>
    </w:rPr>
  </w:style>
  <w:style w:type="character" w:customStyle="1" w:styleId="127">
    <w:name w:val="文档正文1 Char"/>
    <w:link w:val="128"/>
    <w:qFormat/>
    <w:uiPriority w:val="0"/>
    <w:rPr>
      <w:rFonts w:ascii="仿宋_GB2312" w:hAnsi="仿宋" w:eastAsia="仿宋_GB2312"/>
      <w:kern w:val="2"/>
      <w:sz w:val="30"/>
      <w:szCs w:val="30"/>
      <w:lang w:bidi="ar-SA"/>
    </w:rPr>
  </w:style>
  <w:style w:type="paragraph" w:customStyle="1" w:styleId="128">
    <w:name w:val="文档正文1"/>
    <w:basedOn w:val="1"/>
    <w:link w:val="127"/>
    <w:qFormat/>
    <w:uiPriority w:val="0"/>
    <w:pPr>
      <w:spacing w:line="360" w:lineRule="auto"/>
      <w:ind w:firstLine="600"/>
    </w:pPr>
    <w:rPr>
      <w:rFonts w:ascii="仿宋_GB2312" w:hAnsi="仿宋" w:eastAsia="仿宋_GB2312"/>
      <w:sz w:val="30"/>
      <w:szCs w:val="30"/>
    </w:rPr>
  </w:style>
  <w:style w:type="character" w:customStyle="1" w:styleId="129">
    <w:name w:val="标题 1 Char Char"/>
    <w:qFormat/>
    <w:uiPriority w:val="0"/>
    <w:rPr>
      <w:rFonts w:eastAsia="宋体"/>
      <w:b/>
      <w:spacing w:val="-2"/>
      <w:sz w:val="24"/>
      <w:lang w:val="en-US" w:eastAsia="zh-CN" w:bidi="ar-SA"/>
    </w:rPr>
  </w:style>
  <w:style w:type="character" w:customStyle="1" w:styleId="130">
    <w:name w:val="z-窗体顶端 Char"/>
    <w:link w:val="131"/>
    <w:qFormat/>
    <w:uiPriority w:val="0"/>
    <w:rPr>
      <w:rFonts w:ascii="Arial" w:hAnsi="Arial" w:cs="Arial"/>
      <w:vanish/>
      <w:sz w:val="16"/>
      <w:szCs w:val="16"/>
    </w:rPr>
  </w:style>
  <w:style w:type="paragraph" w:customStyle="1" w:styleId="131">
    <w:name w:val="z-窗体顶端1"/>
    <w:basedOn w:val="1"/>
    <w:next w:val="1"/>
    <w:link w:val="130"/>
    <w:qFormat/>
    <w:uiPriority w:val="0"/>
    <w:pPr>
      <w:widowControl/>
      <w:pBdr>
        <w:bottom w:val="single" w:color="auto" w:sz="6" w:space="1"/>
      </w:pBdr>
      <w:jc w:val="center"/>
    </w:pPr>
    <w:rPr>
      <w:rFonts w:ascii="Arial" w:hAnsi="Arial"/>
      <w:vanish/>
      <w:kern w:val="0"/>
      <w:sz w:val="16"/>
      <w:szCs w:val="16"/>
    </w:rPr>
  </w:style>
  <w:style w:type="character" w:customStyle="1" w:styleId="132">
    <w:name w:val="Char2 Char"/>
    <w:qFormat/>
    <w:uiPriority w:val="0"/>
    <w:rPr>
      <w:rFonts w:ascii="Verdana" w:hAnsi="宋体" w:eastAsia="宋体" w:cs="Times New Roman"/>
      <w:sz w:val="28"/>
      <w:szCs w:val="28"/>
    </w:rPr>
  </w:style>
  <w:style w:type="character" w:customStyle="1" w:styleId="133">
    <w:name w:val="Char Char21"/>
    <w:qFormat/>
    <w:uiPriority w:val="0"/>
    <w:rPr>
      <w:rFonts w:ascii="宋体" w:hAnsi="Courier New" w:eastAsia="宋体"/>
      <w:sz w:val="21"/>
      <w:lang w:val="en-US" w:eastAsia="zh-CN" w:bidi="ar-SA"/>
    </w:rPr>
  </w:style>
  <w:style w:type="character" w:customStyle="1" w:styleId="134">
    <w:name w:val="公文正文 Char"/>
    <w:link w:val="135"/>
    <w:qFormat/>
    <w:uiPriority w:val="0"/>
    <w:rPr>
      <w:rFonts w:ascii="仿宋_GB2312" w:eastAsia="仿宋_GB2312"/>
      <w:kern w:val="2"/>
      <w:sz w:val="24"/>
      <w:szCs w:val="24"/>
      <w:lang w:val="en-US" w:eastAsia="zh-CN" w:bidi="ar-SA"/>
    </w:rPr>
  </w:style>
  <w:style w:type="paragraph" w:customStyle="1" w:styleId="135">
    <w:name w:val="公文正文"/>
    <w:basedOn w:val="1"/>
    <w:link w:val="134"/>
    <w:qFormat/>
    <w:uiPriority w:val="0"/>
    <w:pPr>
      <w:spacing w:before="156" w:line="360" w:lineRule="auto"/>
      <w:ind w:firstLine="360" w:firstLineChars="200"/>
    </w:pPr>
    <w:rPr>
      <w:rFonts w:ascii="仿宋_GB2312" w:eastAsia="仿宋_GB2312"/>
      <w:sz w:val="24"/>
      <w:szCs w:val="24"/>
    </w:rPr>
  </w:style>
  <w:style w:type="character" w:customStyle="1" w:styleId="136">
    <w:name w:val="正文4 Char"/>
    <w:link w:val="137"/>
    <w:qFormat/>
    <w:uiPriority w:val="0"/>
    <w:rPr>
      <w:kern w:val="2"/>
      <w:sz w:val="24"/>
      <w:szCs w:val="24"/>
    </w:rPr>
  </w:style>
  <w:style w:type="paragraph" w:customStyle="1" w:styleId="137">
    <w:name w:val="正文4"/>
    <w:basedOn w:val="1"/>
    <w:link w:val="136"/>
    <w:qFormat/>
    <w:uiPriority w:val="0"/>
    <w:pPr>
      <w:numPr>
        <w:ilvl w:val="0"/>
        <w:numId w:val="3"/>
      </w:numPr>
      <w:spacing w:before="60" w:after="60" w:line="360" w:lineRule="auto"/>
      <w:ind w:firstLine="0"/>
    </w:pPr>
    <w:rPr>
      <w:sz w:val="24"/>
      <w:szCs w:val="24"/>
    </w:rPr>
  </w:style>
  <w:style w:type="character" w:customStyle="1" w:styleId="138">
    <w:name w:val="tw4winError"/>
    <w:qFormat/>
    <w:uiPriority w:val="0"/>
    <w:rPr>
      <w:rFonts w:ascii="Courier New" w:hAnsi="Courier New"/>
      <w:color w:val="00FF00"/>
      <w:sz w:val="40"/>
    </w:rPr>
  </w:style>
  <w:style w:type="character" w:customStyle="1" w:styleId="139">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140">
    <w:name w:val="正文文本缩进 3 字符"/>
    <w:link w:val="42"/>
    <w:qFormat/>
    <w:uiPriority w:val="0"/>
    <w:rPr>
      <w:rFonts w:ascii="仿宋_GB2312" w:hAnsi="宋体" w:eastAsia="仿宋_GB2312"/>
      <w:color w:val="000000"/>
      <w:kern w:val="2"/>
      <w:sz w:val="24"/>
      <w:szCs w:val="24"/>
    </w:rPr>
  </w:style>
  <w:style w:type="character" w:customStyle="1" w:styleId="141">
    <w:name w:val="标题 7 字符"/>
    <w:link w:val="9"/>
    <w:qFormat/>
    <w:uiPriority w:val="0"/>
    <w:rPr>
      <w:rFonts w:eastAsia="宋体"/>
      <w:b/>
      <w:bCs/>
      <w:kern w:val="2"/>
      <w:sz w:val="24"/>
      <w:szCs w:val="24"/>
      <w:lang w:val="en-US" w:eastAsia="zh-CN" w:bidi="ar-SA"/>
    </w:rPr>
  </w:style>
  <w:style w:type="character" w:customStyle="1" w:styleId="142">
    <w:name w:val="文档结构图 Char1"/>
    <w:qFormat/>
    <w:uiPriority w:val="0"/>
    <w:rPr>
      <w:rFonts w:ascii="宋体" w:hAnsi="Courier New" w:eastAsia="宋体"/>
      <w:sz w:val="21"/>
      <w:lang w:val="en-US" w:eastAsia="zh-CN" w:bidi="ar-SA"/>
    </w:rPr>
  </w:style>
  <w:style w:type="character" w:customStyle="1" w:styleId="143">
    <w:name w:val="para"/>
    <w:basedOn w:val="55"/>
    <w:qFormat/>
    <w:uiPriority w:val="0"/>
  </w:style>
  <w:style w:type="character" w:customStyle="1" w:styleId="144">
    <w:name w:val="7.表小四 Char"/>
    <w:link w:val="145"/>
    <w:qFormat/>
    <w:uiPriority w:val="0"/>
    <w:rPr>
      <w:rFonts w:ascii="宋体" w:hAnsi="宋体" w:eastAsia="宋体"/>
      <w:kern w:val="2"/>
      <w:sz w:val="24"/>
      <w:szCs w:val="24"/>
      <w:lang w:val="en-US" w:eastAsia="zh-CN" w:bidi="ar-SA"/>
    </w:rPr>
  </w:style>
  <w:style w:type="paragraph" w:customStyle="1" w:styleId="145">
    <w:name w:val="7.表小四"/>
    <w:basedOn w:val="1"/>
    <w:link w:val="144"/>
    <w:qFormat/>
    <w:uiPriority w:val="0"/>
    <w:pPr>
      <w:spacing w:beforeLines="50" w:afterLines="50"/>
    </w:pPr>
    <w:rPr>
      <w:rFonts w:ascii="宋体" w:hAnsi="宋体"/>
      <w:sz w:val="24"/>
      <w:szCs w:val="24"/>
    </w:rPr>
  </w:style>
  <w:style w:type="character" w:customStyle="1" w:styleId="146">
    <w:name w:val="标题 4 字符"/>
    <w:link w:val="6"/>
    <w:qFormat/>
    <w:uiPriority w:val="0"/>
    <w:rPr>
      <w:rFonts w:ascii="Arial" w:hAnsi="Arial" w:eastAsia="黑体"/>
      <w:b/>
      <w:bCs/>
      <w:kern w:val="2"/>
      <w:sz w:val="28"/>
      <w:szCs w:val="28"/>
      <w:lang w:val="en-US" w:eastAsia="zh-CN" w:bidi="ar-SA"/>
    </w:rPr>
  </w:style>
  <w:style w:type="character" w:customStyle="1" w:styleId="147">
    <w:name w:val="Char Char5"/>
    <w:qFormat/>
    <w:uiPriority w:val="0"/>
    <w:rPr>
      <w:rFonts w:ascii="Calibri" w:hAnsi="Calibri" w:eastAsia="宋体"/>
      <w:sz w:val="18"/>
      <w:szCs w:val="18"/>
      <w:lang w:bidi="ar-SA"/>
    </w:rPr>
  </w:style>
  <w:style w:type="character" w:customStyle="1" w:styleId="148">
    <w:name w:val="Char Char71"/>
    <w:qFormat/>
    <w:uiPriority w:val="0"/>
    <w:rPr>
      <w:rFonts w:eastAsia="宋体"/>
      <w:b/>
      <w:kern w:val="2"/>
      <w:sz w:val="32"/>
      <w:lang w:bidi="ar-SA"/>
    </w:rPr>
  </w:style>
  <w:style w:type="character" w:customStyle="1" w:styleId="149">
    <w:name w:val="表正文 Char1"/>
    <w:qFormat/>
    <w:uiPriority w:val="0"/>
    <w:rPr>
      <w:rFonts w:eastAsia="宋体"/>
      <w:kern w:val="2"/>
      <w:sz w:val="24"/>
      <w:lang w:val="en-US" w:eastAsia="zh-CN"/>
    </w:rPr>
  </w:style>
  <w:style w:type="character" w:customStyle="1" w:styleId="150">
    <w:name w:val="Char Char1"/>
    <w:qFormat/>
    <w:uiPriority w:val="0"/>
    <w:rPr>
      <w:kern w:val="2"/>
      <w:sz w:val="18"/>
      <w:szCs w:val="18"/>
    </w:rPr>
  </w:style>
  <w:style w:type="character" w:customStyle="1" w:styleId="151">
    <w:name w:val="paramname3"/>
    <w:qFormat/>
    <w:uiPriority w:val="0"/>
    <w:rPr>
      <w:color w:val="999999"/>
    </w:rPr>
  </w:style>
  <w:style w:type="character" w:customStyle="1" w:styleId="152">
    <w:name w:val="headline-content2"/>
    <w:basedOn w:val="55"/>
    <w:qFormat/>
    <w:uiPriority w:val="0"/>
  </w:style>
  <w:style w:type="character" w:customStyle="1" w:styleId="153">
    <w:name w:val="Char Char81"/>
    <w:qFormat/>
    <w:uiPriority w:val="0"/>
    <w:rPr>
      <w:rFonts w:ascii="Arial" w:hAnsi="Arial" w:eastAsia="黑体"/>
      <w:b/>
      <w:bCs/>
      <w:kern w:val="2"/>
      <w:sz w:val="32"/>
      <w:szCs w:val="32"/>
      <w:lang w:val="en-US" w:eastAsia="zh-CN" w:bidi="ar-SA"/>
    </w:rPr>
  </w:style>
  <w:style w:type="character" w:customStyle="1" w:styleId="154">
    <w:name w:val="正文首行缩进 2 Char"/>
    <w:link w:val="155"/>
    <w:qFormat/>
    <w:uiPriority w:val="0"/>
    <w:rPr>
      <w:rFonts w:eastAsia="仿宋"/>
      <w:sz w:val="24"/>
      <w:szCs w:val="24"/>
    </w:rPr>
  </w:style>
  <w:style w:type="paragraph" w:customStyle="1" w:styleId="155">
    <w:name w:val="正文首行缩进 21"/>
    <w:basedOn w:val="156"/>
    <w:link w:val="154"/>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0"/>
    <w:pPr>
      <w:spacing w:after="120"/>
      <w:ind w:left="420" w:leftChars="200"/>
    </w:pPr>
    <w:rPr>
      <w:rFonts w:cs="黑体"/>
    </w:rPr>
  </w:style>
  <w:style w:type="character" w:customStyle="1" w:styleId="157">
    <w:name w:val="h4 Char2"/>
    <w:qFormat/>
    <w:uiPriority w:val="0"/>
    <w:rPr>
      <w:rFonts w:ascii="Arial" w:hAnsi="Arial" w:eastAsia="黑体"/>
      <w:b/>
      <w:bCs/>
      <w:kern w:val="2"/>
      <w:sz w:val="28"/>
      <w:szCs w:val="28"/>
      <w:lang w:val="en-US" w:eastAsia="zh-CN" w:bidi="ar-SA"/>
    </w:rPr>
  </w:style>
  <w:style w:type="character" w:customStyle="1" w:styleId="158">
    <w:name w:val="h3 Char"/>
    <w:qFormat/>
    <w:uiPriority w:val="0"/>
    <w:rPr>
      <w:rFonts w:ascii="Times New Roman" w:hAnsi="Times New Roman"/>
      <w:b/>
      <w:bCs/>
      <w:kern w:val="2"/>
      <w:sz w:val="32"/>
      <w:szCs w:val="32"/>
    </w:rPr>
  </w:style>
  <w:style w:type="character" w:customStyle="1" w:styleId="159">
    <w:name w:val="样式 首行缩进:  0.85 厘米 Char"/>
    <w:link w:val="160"/>
    <w:qFormat/>
    <w:uiPriority w:val="0"/>
    <w:rPr>
      <w:rFonts w:eastAsia="宋体" w:cs="宋体"/>
      <w:kern w:val="2"/>
      <w:sz w:val="24"/>
      <w:lang w:val="en-US" w:eastAsia="zh-CN" w:bidi="ar-SA"/>
    </w:rPr>
  </w:style>
  <w:style w:type="paragraph" w:customStyle="1" w:styleId="160">
    <w:name w:val="样式 首行缩进:  0.85 厘米"/>
    <w:basedOn w:val="1"/>
    <w:link w:val="159"/>
    <w:qFormat/>
    <w:uiPriority w:val="0"/>
    <w:pPr>
      <w:spacing w:line="360" w:lineRule="auto"/>
      <w:ind w:firstLine="480"/>
    </w:pPr>
    <w:rPr>
      <w:rFonts w:cs="宋体"/>
      <w:sz w:val="24"/>
      <w:szCs w:val="20"/>
    </w:rPr>
  </w:style>
  <w:style w:type="character" w:customStyle="1" w:styleId="161">
    <w:name w:val="样式4 Char"/>
    <w:link w:val="162"/>
    <w:qFormat/>
    <w:uiPriority w:val="0"/>
    <w:rPr>
      <w:rFonts w:ascii="Calibri" w:hAnsi="Calibri" w:eastAsia="宋体"/>
      <w:kern w:val="2"/>
      <w:sz w:val="24"/>
      <w:szCs w:val="22"/>
      <w:lang w:val="en-US" w:eastAsia="zh-CN" w:bidi="ar-SA"/>
    </w:rPr>
  </w:style>
  <w:style w:type="paragraph" w:customStyle="1" w:styleId="162">
    <w:name w:val="样式4"/>
    <w:basedOn w:val="1"/>
    <w:link w:val="161"/>
    <w:qFormat/>
    <w:uiPriority w:val="0"/>
    <w:pPr>
      <w:spacing w:line="360" w:lineRule="auto"/>
    </w:pPr>
    <w:rPr>
      <w:rFonts w:ascii="Calibri" w:hAnsi="Calibri"/>
      <w:sz w:val="24"/>
    </w:rPr>
  </w:style>
  <w:style w:type="character" w:customStyle="1" w:styleId="163">
    <w:name w:val="列表1 Char Char"/>
    <w:link w:val="164"/>
    <w:qFormat/>
    <w:uiPriority w:val="0"/>
    <w:rPr>
      <w:rFonts w:ascii="Century" w:hAnsi="Century"/>
      <w:kern w:val="2"/>
      <w:sz w:val="21"/>
      <w:szCs w:val="21"/>
    </w:rPr>
  </w:style>
  <w:style w:type="paragraph" w:customStyle="1" w:styleId="164">
    <w:name w:val="列表1"/>
    <w:basedOn w:val="1"/>
    <w:link w:val="163"/>
    <w:qFormat/>
    <w:uiPriority w:val="0"/>
    <w:pPr>
      <w:tabs>
        <w:tab w:val="left" w:pos="840"/>
      </w:tabs>
      <w:spacing w:line="360" w:lineRule="auto"/>
      <w:ind w:left="840" w:hanging="420"/>
      <w:jc w:val="left"/>
    </w:pPr>
    <w:rPr>
      <w:rFonts w:ascii="Century" w:hAnsi="Century"/>
      <w:szCs w:val="21"/>
    </w:rPr>
  </w:style>
  <w:style w:type="character" w:customStyle="1" w:styleId="165">
    <w:name w:val="尾注文本 字符"/>
    <w:link w:val="33"/>
    <w:qFormat/>
    <w:uiPriority w:val="0"/>
    <w:rPr>
      <w:rFonts w:ascii="宋体" w:hAnsi="Times New Roman"/>
      <w:snapToGrid w:val="0"/>
      <w:sz w:val="21"/>
    </w:rPr>
  </w:style>
  <w:style w:type="character" w:customStyle="1" w:styleId="166">
    <w:name w:val="标准文本 Char"/>
    <w:link w:val="167"/>
    <w:qFormat/>
    <w:locked/>
    <w:uiPriority w:val="0"/>
    <w:rPr>
      <w:kern w:val="2"/>
      <w:sz w:val="24"/>
      <w:szCs w:val="24"/>
    </w:rPr>
  </w:style>
  <w:style w:type="paragraph" w:customStyle="1" w:styleId="167">
    <w:name w:val="标准文本"/>
    <w:basedOn w:val="1"/>
    <w:link w:val="166"/>
    <w:qFormat/>
    <w:uiPriority w:val="0"/>
    <w:pPr>
      <w:spacing w:line="360" w:lineRule="auto"/>
      <w:ind w:firstLine="480" w:firstLineChars="200"/>
    </w:pPr>
    <w:rPr>
      <w:sz w:val="24"/>
      <w:szCs w:val="24"/>
    </w:rPr>
  </w:style>
  <w:style w:type="character" w:customStyle="1" w:styleId="168">
    <w:name w:val="脚注文本 字符"/>
    <w:link w:val="41"/>
    <w:qFormat/>
    <w:uiPriority w:val="99"/>
    <w:rPr>
      <w:kern w:val="2"/>
      <w:sz w:val="18"/>
      <w:szCs w:val="18"/>
    </w:rPr>
  </w:style>
  <w:style w:type="character" w:customStyle="1" w:styleId="169">
    <w:name w:val="grame"/>
    <w:basedOn w:val="55"/>
    <w:qFormat/>
    <w:uiPriority w:val="0"/>
  </w:style>
  <w:style w:type="character" w:customStyle="1" w:styleId="170">
    <w:name w:val="一级标题 Char Char"/>
    <w:qFormat/>
    <w:uiPriority w:val="0"/>
    <w:rPr>
      <w:rFonts w:eastAsia="仿宋"/>
      <w:b/>
      <w:kern w:val="44"/>
      <w:sz w:val="28"/>
      <w:lang w:val="en-US" w:eastAsia="zh-CN" w:bidi="ar-SA"/>
    </w:rPr>
  </w:style>
  <w:style w:type="character" w:customStyle="1" w:styleId="171">
    <w:name w:val="加重文字 Char"/>
    <w:link w:val="172"/>
    <w:qFormat/>
    <w:locked/>
    <w:uiPriority w:val="0"/>
    <w:rPr>
      <w:b/>
      <w:bCs/>
      <w:kern w:val="2"/>
      <w:sz w:val="24"/>
      <w:szCs w:val="24"/>
      <w:u w:val="thick"/>
    </w:rPr>
  </w:style>
  <w:style w:type="paragraph" w:customStyle="1" w:styleId="172">
    <w:name w:val="加重文字"/>
    <w:basedOn w:val="167"/>
    <w:link w:val="171"/>
    <w:qFormat/>
    <w:uiPriority w:val="0"/>
    <w:pPr>
      <w:ind w:firstLine="0" w:firstLineChars="0"/>
    </w:pPr>
    <w:rPr>
      <w:b/>
      <w:bCs/>
      <w:u w:val="thick"/>
    </w:rPr>
  </w:style>
  <w:style w:type="character" w:customStyle="1" w:styleId="173">
    <w:name w:val="列表1、 Char"/>
    <w:link w:val="174"/>
    <w:qFormat/>
    <w:locked/>
    <w:uiPriority w:val="0"/>
    <w:rPr>
      <w:rFonts w:ascii="仿宋" w:hAnsi="仿宋" w:eastAsia="仿宋"/>
      <w:kern w:val="2"/>
      <w:sz w:val="28"/>
      <w:szCs w:val="21"/>
    </w:rPr>
  </w:style>
  <w:style w:type="paragraph" w:customStyle="1" w:styleId="174">
    <w:name w:val="列表1、"/>
    <w:basedOn w:val="116"/>
    <w:link w:val="173"/>
    <w:qFormat/>
    <w:uiPriority w:val="0"/>
    <w:pPr>
      <w:tabs>
        <w:tab w:val="left" w:pos="1276"/>
      </w:tabs>
      <w:spacing w:line="360" w:lineRule="auto"/>
      <w:ind w:left="987" w:firstLine="0" w:firstLineChars="0"/>
      <w:jc w:val="left"/>
    </w:pPr>
    <w:rPr>
      <w:rFonts w:ascii="仿宋" w:hAnsi="仿宋" w:eastAsia="仿宋"/>
      <w:sz w:val="28"/>
      <w:szCs w:val="21"/>
    </w:rPr>
  </w:style>
  <w:style w:type="character" w:customStyle="1" w:styleId="175">
    <w:name w:val="paragraph1 Char"/>
    <w:link w:val="176"/>
    <w:qFormat/>
    <w:uiPriority w:val="0"/>
    <w:rPr>
      <w:rFonts w:eastAsia="楷体_GB2312"/>
      <w:kern w:val="2"/>
      <w:sz w:val="24"/>
      <w:lang w:val="en-US" w:eastAsia="zh-CN" w:bidi="ar-SA"/>
    </w:rPr>
  </w:style>
  <w:style w:type="paragraph" w:customStyle="1" w:styleId="176">
    <w:name w:val="paragraph1"/>
    <w:basedOn w:val="1"/>
    <w:link w:val="175"/>
    <w:qFormat/>
    <w:uiPriority w:val="0"/>
    <w:pPr>
      <w:spacing w:afterLines="30" w:line="360" w:lineRule="auto"/>
      <w:ind w:firstLine="420" w:firstLineChars="200"/>
    </w:pPr>
    <w:rPr>
      <w:rFonts w:eastAsia="楷体_GB2312"/>
      <w:sz w:val="24"/>
      <w:szCs w:val="20"/>
    </w:rPr>
  </w:style>
  <w:style w:type="character" w:customStyle="1" w:styleId="177">
    <w:name w:val="样式(-) Char"/>
    <w:link w:val="178"/>
    <w:qFormat/>
    <w:locked/>
    <w:uiPriority w:val="0"/>
    <w:rPr>
      <w:rFonts w:eastAsia="仿宋"/>
      <w:b/>
      <w:kern w:val="2"/>
      <w:sz w:val="28"/>
      <w:szCs w:val="21"/>
    </w:rPr>
  </w:style>
  <w:style w:type="paragraph" w:customStyle="1" w:styleId="178">
    <w:name w:val="样式(-)"/>
    <w:basedOn w:val="116"/>
    <w:link w:val="177"/>
    <w:qFormat/>
    <w:uiPriority w:val="0"/>
    <w:pPr>
      <w:numPr>
        <w:ilvl w:val="0"/>
        <w:numId w:val="4"/>
      </w:numPr>
      <w:spacing w:line="360" w:lineRule="auto"/>
      <w:ind w:firstLine="0" w:firstLineChars="0"/>
      <w:jc w:val="left"/>
    </w:pPr>
    <w:rPr>
      <w:rFonts w:eastAsia="仿宋"/>
      <w:b/>
      <w:sz w:val="28"/>
      <w:szCs w:val="21"/>
    </w:rPr>
  </w:style>
  <w:style w:type="character" w:customStyle="1" w:styleId="179">
    <w:name w:val="我的正文 Char"/>
    <w:link w:val="180"/>
    <w:qFormat/>
    <w:uiPriority w:val="0"/>
    <w:rPr>
      <w:rFonts w:eastAsia="仿宋_GB2312" w:cs="宋体"/>
      <w:kern w:val="2"/>
      <w:sz w:val="24"/>
    </w:rPr>
  </w:style>
  <w:style w:type="paragraph" w:customStyle="1" w:styleId="180">
    <w:name w:val="我的正文"/>
    <w:basedOn w:val="1"/>
    <w:link w:val="179"/>
    <w:qFormat/>
    <w:uiPriority w:val="0"/>
    <w:pPr>
      <w:spacing w:afterLines="100" w:line="360" w:lineRule="auto"/>
      <w:ind w:firstLine="480" w:firstLineChars="200"/>
    </w:pPr>
    <w:rPr>
      <w:rFonts w:eastAsia="仿宋_GB2312"/>
      <w:sz w:val="24"/>
      <w:szCs w:val="20"/>
    </w:rPr>
  </w:style>
  <w:style w:type="character" w:customStyle="1" w:styleId="181">
    <w:name w:val="apple-converted-space"/>
    <w:qFormat/>
    <w:uiPriority w:val="0"/>
  </w:style>
  <w:style w:type="character" w:customStyle="1" w:styleId="182">
    <w:name w:val="Char Char141"/>
    <w:qFormat/>
    <w:locked/>
    <w:uiPriority w:val="0"/>
    <w:rPr>
      <w:rFonts w:ascii="楷体_GB2312" w:eastAsia="楷体_GB2312"/>
      <w:kern w:val="2"/>
      <w:sz w:val="32"/>
      <w:lang w:val="en-US" w:eastAsia="zh-CN" w:bidi="ar-SA"/>
    </w:rPr>
  </w:style>
  <w:style w:type="character" w:customStyle="1" w:styleId="183">
    <w:name w:val="华电 正文 Char"/>
    <w:link w:val="184"/>
    <w:qFormat/>
    <w:uiPriority w:val="0"/>
    <w:rPr>
      <w:rFonts w:ascii="宋体" w:hAnsi="宋体" w:eastAsia="宋体"/>
      <w:sz w:val="22"/>
      <w:lang w:bidi="ar-SA"/>
    </w:rPr>
  </w:style>
  <w:style w:type="paragraph" w:customStyle="1" w:styleId="184">
    <w:name w:val="华电 正文"/>
    <w:basedOn w:val="1"/>
    <w:link w:val="183"/>
    <w:qFormat/>
    <w:uiPriority w:val="0"/>
    <w:pPr>
      <w:widowControl/>
      <w:spacing w:line="360" w:lineRule="auto"/>
      <w:ind w:firstLine="440" w:firstLineChars="200"/>
      <w:jc w:val="left"/>
    </w:pPr>
    <w:rPr>
      <w:rFonts w:ascii="宋体" w:hAnsi="宋体"/>
      <w:kern w:val="0"/>
      <w:sz w:val="22"/>
      <w:szCs w:val="20"/>
    </w:rPr>
  </w:style>
  <w:style w:type="character" w:customStyle="1" w:styleId="185">
    <w:name w:val="标题 3 Char1"/>
    <w:qFormat/>
    <w:uiPriority w:val="0"/>
    <w:rPr>
      <w:rFonts w:ascii="Calibri" w:hAnsi="Calibri" w:eastAsia="宋体"/>
      <w:b/>
      <w:bCs/>
      <w:kern w:val="2"/>
      <w:sz w:val="32"/>
      <w:szCs w:val="32"/>
      <w:lang w:val="en-US" w:eastAsia="zh-CN" w:bidi="ar-SA"/>
    </w:rPr>
  </w:style>
  <w:style w:type="character" w:customStyle="1" w:styleId="186">
    <w:name w:val="mark"/>
    <w:qFormat/>
    <w:uiPriority w:val="0"/>
    <w:rPr>
      <w:rFonts w:cs="Times New Roman"/>
    </w:rPr>
  </w:style>
  <w:style w:type="character" w:customStyle="1" w:styleId="187">
    <w:name w:val="页脚 Char"/>
    <w:qFormat/>
    <w:uiPriority w:val="99"/>
    <w:rPr>
      <w:kern w:val="2"/>
      <w:sz w:val="18"/>
      <w:szCs w:val="18"/>
      <w:lang w:bidi="ar-SA"/>
    </w:rPr>
  </w:style>
  <w:style w:type="character" w:customStyle="1" w:styleId="188">
    <w:name w:val="正文文本缩进 字符"/>
    <w:link w:val="22"/>
    <w:qFormat/>
    <w:uiPriority w:val="0"/>
    <w:rPr>
      <w:rFonts w:ascii="宋体" w:hAnsi="Courier New" w:eastAsia="宋体"/>
      <w:spacing w:val="-4"/>
      <w:kern w:val="2"/>
      <w:sz w:val="18"/>
      <w:lang w:val="en-US" w:eastAsia="zh-CN" w:bidi="ar-SA"/>
    </w:rPr>
  </w:style>
  <w:style w:type="character" w:customStyle="1" w:styleId="189">
    <w:name w:val="Char Char51"/>
    <w:qFormat/>
    <w:uiPriority w:val="0"/>
    <w:rPr>
      <w:rFonts w:ascii="Calibri" w:hAnsi="Calibri" w:eastAsia="宋体"/>
      <w:sz w:val="18"/>
      <w:szCs w:val="18"/>
      <w:lang w:bidi="ar-SA"/>
    </w:rPr>
  </w:style>
  <w:style w:type="character" w:customStyle="1" w:styleId="190">
    <w:name w:val="表格文字 Char"/>
    <w:link w:val="191"/>
    <w:qFormat/>
    <w:uiPriority w:val="0"/>
    <w:rPr>
      <w:rFonts w:ascii="Times New Roman" w:hAnsi="Times New Roman"/>
      <w:kern w:val="2"/>
      <w:sz w:val="18"/>
      <w:szCs w:val="24"/>
    </w:rPr>
  </w:style>
  <w:style w:type="paragraph" w:customStyle="1" w:styleId="191">
    <w:name w:val="表格文字"/>
    <w:basedOn w:val="1"/>
    <w:link w:val="190"/>
    <w:qFormat/>
    <w:uiPriority w:val="0"/>
    <w:pPr>
      <w:jc w:val="left"/>
      <w:textAlignment w:val="top"/>
    </w:pPr>
    <w:rPr>
      <w:sz w:val="18"/>
      <w:szCs w:val="24"/>
    </w:rPr>
  </w:style>
  <w:style w:type="character" w:customStyle="1" w:styleId="192">
    <w:name w:val="Char Char12"/>
    <w:qFormat/>
    <w:uiPriority w:val="0"/>
    <w:rPr>
      <w:rFonts w:ascii="宋体" w:hAnsi="Courier New" w:eastAsia="宋体" w:cs="Times New Roman"/>
      <w:spacing w:val="-4"/>
      <w:sz w:val="18"/>
      <w:szCs w:val="20"/>
    </w:rPr>
  </w:style>
  <w:style w:type="character" w:customStyle="1" w:styleId="193">
    <w:name w:val="正文文本首行缩进 字符"/>
    <w:link w:val="51"/>
    <w:qFormat/>
    <w:uiPriority w:val="0"/>
    <w:rPr>
      <w:rFonts w:ascii="Calibri" w:hAnsi="Calibri" w:eastAsia="宋体"/>
      <w:kern w:val="2"/>
      <w:sz w:val="21"/>
      <w:szCs w:val="22"/>
      <w:lang w:val="en-US" w:eastAsia="zh-CN" w:bidi="ar-SA"/>
    </w:rPr>
  </w:style>
  <w:style w:type="character" w:customStyle="1" w:styleId="194">
    <w:name w:val="maywed421"/>
    <w:qFormat/>
    <w:uiPriority w:val="0"/>
    <w:rPr>
      <w:color w:val="366FB6"/>
      <w:u w:val="none"/>
    </w:rPr>
  </w:style>
  <w:style w:type="character" w:customStyle="1" w:styleId="195">
    <w:name w:val="正文2 Char Char"/>
    <w:link w:val="196"/>
    <w:qFormat/>
    <w:uiPriority w:val="0"/>
    <w:rPr>
      <w:rFonts w:ascii="Times New Roman" w:hAnsi="Times New Roman"/>
      <w:kern w:val="2"/>
      <w:sz w:val="24"/>
    </w:rPr>
  </w:style>
  <w:style w:type="paragraph" w:customStyle="1" w:styleId="196">
    <w:name w:val="正文2"/>
    <w:basedOn w:val="1"/>
    <w:link w:val="195"/>
    <w:qFormat/>
    <w:uiPriority w:val="0"/>
    <w:pPr>
      <w:spacing w:before="156" w:line="360" w:lineRule="auto"/>
      <w:ind w:firstLine="510" w:firstLineChars="200"/>
    </w:pPr>
    <w:rPr>
      <w:sz w:val="24"/>
      <w:szCs w:val="20"/>
    </w:rPr>
  </w:style>
  <w:style w:type="character" w:customStyle="1" w:styleId="197">
    <w:name w:val="样式 小四"/>
    <w:qFormat/>
    <w:uiPriority w:val="0"/>
    <w:rPr>
      <w:sz w:val="21"/>
    </w:rPr>
  </w:style>
  <w:style w:type="character" w:customStyle="1" w:styleId="198">
    <w:name w:val="List Paragraph Char"/>
    <w:link w:val="199"/>
    <w:qFormat/>
    <w:locked/>
    <w:uiPriority w:val="0"/>
    <w:rPr>
      <w:rFonts w:ascii="Times New Roman" w:hAnsi="Times New Roman"/>
      <w:kern w:val="2"/>
      <w:sz w:val="21"/>
      <w:szCs w:val="24"/>
    </w:rPr>
  </w:style>
  <w:style w:type="paragraph" w:customStyle="1" w:styleId="199">
    <w:name w:val="列出段落1"/>
    <w:basedOn w:val="1"/>
    <w:link w:val="198"/>
    <w:qFormat/>
    <w:uiPriority w:val="34"/>
    <w:pPr>
      <w:ind w:firstLine="420" w:firstLineChars="200"/>
    </w:pPr>
    <w:rPr>
      <w:szCs w:val="24"/>
    </w:rPr>
  </w:style>
  <w:style w:type="character" w:customStyle="1" w:styleId="200">
    <w:name w:val="fontdz1"/>
    <w:qFormat/>
    <w:uiPriority w:val="0"/>
    <w:rPr>
      <w:sz w:val="18"/>
      <w:szCs w:val="18"/>
    </w:rPr>
  </w:style>
  <w:style w:type="character" w:customStyle="1" w:styleId="201">
    <w:name w:val="H1 Char2"/>
    <w:qFormat/>
    <w:uiPriority w:val="0"/>
    <w:rPr>
      <w:rFonts w:eastAsia="隶书"/>
      <w:b/>
      <w:bCs/>
      <w:sz w:val="36"/>
      <w:szCs w:val="36"/>
      <w:lang w:val="en-US" w:eastAsia="zh-CN" w:bidi="ar-SA"/>
    </w:rPr>
  </w:style>
  <w:style w:type="character" w:customStyle="1" w:styleId="202">
    <w:name w:val="文档结构图 字符"/>
    <w:link w:val="17"/>
    <w:qFormat/>
    <w:uiPriority w:val="0"/>
    <w:rPr>
      <w:rFonts w:ascii="宋体"/>
      <w:kern w:val="2"/>
      <w:sz w:val="18"/>
      <w:szCs w:val="18"/>
    </w:rPr>
  </w:style>
  <w:style w:type="character" w:customStyle="1" w:styleId="203">
    <w:name w:val="black10"/>
    <w:basedOn w:val="55"/>
    <w:qFormat/>
    <w:uiPriority w:val="0"/>
  </w:style>
  <w:style w:type="character" w:customStyle="1" w:styleId="204">
    <w:name w:val="样式 首行缩进:  2 字符 Char"/>
    <w:link w:val="205"/>
    <w:qFormat/>
    <w:uiPriority w:val="0"/>
    <w:rPr>
      <w:rFonts w:ascii="宋体" w:hAnsi="宋体" w:cs="宋体"/>
      <w:bCs/>
      <w:color w:val="000000"/>
      <w:sz w:val="24"/>
      <w:szCs w:val="24"/>
    </w:rPr>
  </w:style>
  <w:style w:type="paragraph" w:customStyle="1" w:styleId="205">
    <w:name w:val="样式 首行缩进:  2 字符"/>
    <w:basedOn w:val="1"/>
    <w:link w:val="204"/>
    <w:qFormat/>
    <w:uiPriority w:val="0"/>
    <w:pPr>
      <w:widowControl/>
      <w:numPr>
        <w:ilvl w:val="0"/>
        <w:numId w:val="5"/>
      </w:numPr>
    </w:pPr>
    <w:rPr>
      <w:rFonts w:ascii="宋体" w:hAnsi="宋体"/>
      <w:bCs/>
      <w:color w:val="000000"/>
      <w:kern w:val="0"/>
      <w:sz w:val="24"/>
      <w:szCs w:val="24"/>
    </w:rPr>
  </w:style>
  <w:style w:type="character" w:customStyle="1" w:styleId="206">
    <w:name w:val="正文文字 Char"/>
    <w:qFormat/>
    <w:uiPriority w:val="0"/>
    <w:rPr>
      <w:rFonts w:ascii="Arial" w:hAnsi="Arial" w:eastAsia="宋体"/>
      <w:kern w:val="2"/>
      <w:sz w:val="24"/>
      <w:lang w:val="en-US" w:eastAsia="zh-CN"/>
    </w:rPr>
  </w:style>
  <w:style w:type="character" w:customStyle="1" w:styleId="207">
    <w:name w:val="日期 字符"/>
    <w:link w:val="31"/>
    <w:qFormat/>
    <w:uiPriority w:val="99"/>
    <w:rPr>
      <w:rFonts w:eastAsia="楷体_GB2312"/>
      <w:kern w:val="2"/>
      <w:sz w:val="32"/>
      <w:lang w:val="en-US" w:eastAsia="zh-CN" w:bidi="ar-SA"/>
    </w:rPr>
  </w:style>
  <w:style w:type="character" w:customStyle="1" w:styleId="208">
    <w:name w:val="mark8"/>
    <w:qFormat/>
    <w:uiPriority w:val="0"/>
    <w:rPr>
      <w:b/>
      <w:bCs/>
      <w:sz w:val="21"/>
      <w:szCs w:val="21"/>
    </w:rPr>
  </w:style>
  <w:style w:type="character" w:customStyle="1" w:styleId="209">
    <w:name w:val="页眉 字符"/>
    <w:link w:val="36"/>
    <w:qFormat/>
    <w:uiPriority w:val="0"/>
    <w:rPr>
      <w:kern w:val="2"/>
      <w:sz w:val="18"/>
      <w:szCs w:val="18"/>
    </w:rPr>
  </w:style>
  <w:style w:type="character" w:customStyle="1" w:styleId="210">
    <w:name w:val="正文文本 2 字符"/>
    <w:link w:val="45"/>
    <w:qFormat/>
    <w:uiPriority w:val="0"/>
    <w:rPr>
      <w:rFonts w:ascii="宋体" w:hAnsi="宋体" w:eastAsia="宋体"/>
      <w:color w:val="000000"/>
      <w:kern w:val="2"/>
      <w:sz w:val="24"/>
      <w:szCs w:val="24"/>
      <w:lang w:val="en-US" w:eastAsia="zh-CN" w:bidi="ar-SA"/>
    </w:rPr>
  </w:style>
  <w:style w:type="character" w:customStyle="1" w:styleId="211">
    <w:name w:val="批注主题 Char"/>
    <w:link w:val="212"/>
    <w:qFormat/>
    <w:uiPriority w:val="0"/>
    <w:rPr>
      <w:b/>
      <w:bCs/>
    </w:rPr>
  </w:style>
  <w:style w:type="paragraph" w:customStyle="1" w:styleId="212">
    <w:name w:val="批注主题2"/>
    <w:basedOn w:val="18"/>
    <w:next w:val="18"/>
    <w:link w:val="211"/>
    <w:qFormat/>
    <w:uiPriority w:val="0"/>
    <w:rPr>
      <w:b/>
      <w:bCs/>
      <w:kern w:val="0"/>
      <w:sz w:val="20"/>
      <w:szCs w:val="20"/>
    </w:rPr>
  </w:style>
  <w:style w:type="character" w:customStyle="1" w:styleId="213">
    <w:name w:val="Char Char91"/>
    <w:qFormat/>
    <w:uiPriority w:val="0"/>
    <w:rPr>
      <w:rFonts w:eastAsia="宋体"/>
      <w:b/>
      <w:kern w:val="44"/>
      <w:sz w:val="44"/>
      <w:lang w:bidi="ar-SA"/>
    </w:rPr>
  </w:style>
  <w:style w:type="character" w:customStyle="1" w:styleId="214">
    <w:name w:val="二级标题 Char Char"/>
    <w:qFormat/>
    <w:uiPriority w:val="0"/>
    <w:rPr>
      <w:rFonts w:eastAsia="仿宋"/>
      <w:b/>
      <w:sz w:val="28"/>
      <w:lang w:val="en-US" w:eastAsia="zh-CN" w:bidi="ar-SA"/>
    </w:rPr>
  </w:style>
  <w:style w:type="character" w:customStyle="1" w:styleId="215">
    <w:name w:val="font9_black_line14"/>
    <w:basedOn w:val="55"/>
    <w:qFormat/>
    <w:uiPriority w:val="0"/>
  </w:style>
  <w:style w:type="character" w:customStyle="1" w:styleId="216">
    <w:name w:val="Char Char4"/>
    <w:qFormat/>
    <w:uiPriority w:val="0"/>
    <w:rPr>
      <w:rFonts w:ascii="Calibri" w:hAnsi="Calibri" w:eastAsia="宋体"/>
      <w:sz w:val="18"/>
      <w:szCs w:val="18"/>
      <w:lang w:bidi="ar-SA"/>
    </w:rPr>
  </w:style>
  <w:style w:type="character" w:customStyle="1" w:styleId="217">
    <w:name w:val="中等深浅网格 11"/>
    <w:semiHidden/>
    <w:qFormat/>
    <w:uiPriority w:val="0"/>
    <w:rPr>
      <w:color w:val="808080"/>
    </w:rPr>
  </w:style>
  <w:style w:type="character" w:customStyle="1" w:styleId="218">
    <w:name w:val="tw4winJump"/>
    <w:qFormat/>
    <w:uiPriority w:val="0"/>
    <w:rPr>
      <w:rFonts w:ascii="Courier New" w:hAnsi="Courier New"/>
      <w:color w:val="008080"/>
    </w:rPr>
  </w:style>
  <w:style w:type="character" w:customStyle="1" w:styleId="219">
    <w:name w:val="flname7"/>
    <w:basedOn w:val="55"/>
    <w:qFormat/>
    <w:uiPriority w:val="0"/>
  </w:style>
  <w:style w:type="character" w:customStyle="1" w:styleId="220">
    <w:name w:val="正文文本缩进 2 字符"/>
    <w:link w:val="32"/>
    <w:qFormat/>
    <w:uiPriority w:val="0"/>
    <w:rPr>
      <w:rFonts w:ascii="仿宋_GB2312" w:hAnsi="宋体" w:cs="Arial"/>
      <w:b/>
      <w:bCs/>
      <w:color w:val="000000"/>
      <w:kern w:val="2"/>
      <w:sz w:val="24"/>
      <w:szCs w:val="24"/>
    </w:rPr>
  </w:style>
  <w:style w:type="character" w:customStyle="1" w:styleId="221">
    <w:name w:val="header odd Char Char1"/>
    <w:qFormat/>
    <w:uiPriority w:val="0"/>
    <w:rPr>
      <w:rFonts w:eastAsia="宋体"/>
      <w:kern w:val="2"/>
      <w:sz w:val="18"/>
      <w:szCs w:val="18"/>
      <w:lang w:val="en-US" w:eastAsia="zh-CN" w:bidi="ar-SA"/>
    </w:rPr>
  </w:style>
  <w:style w:type="character" w:customStyle="1" w:styleId="222">
    <w:name w:val="封面日期 Char Char1"/>
    <w:qFormat/>
    <w:uiPriority w:val="0"/>
    <w:rPr>
      <w:rFonts w:ascii="Calibri" w:hAnsi="Calibri" w:eastAsia="楷体_GB2312"/>
      <w:kern w:val="2"/>
      <w:sz w:val="32"/>
      <w:lang w:val="en-US" w:eastAsia="zh-CN" w:bidi="ar-SA"/>
    </w:rPr>
  </w:style>
  <w:style w:type="character" w:customStyle="1" w:styleId="223">
    <w:name w:val="css21"/>
    <w:qFormat/>
    <w:uiPriority w:val="0"/>
    <w:rPr>
      <w:sz w:val="18"/>
    </w:rPr>
  </w:style>
  <w:style w:type="character" w:customStyle="1" w:styleId="224">
    <w:name w:val="标题 5 字符"/>
    <w:link w:val="7"/>
    <w:qFormat/>
    <w:uiPriority w:val="0"/>
    <w:rPr>
      <w:rFonts w:eastAsia="宋体"/>
      <w:b/>
      <w:bCs/>
      <w:kern w:val="2"/>
      <w:sz w:val="28"/>
      <w:szCs w:val="28"/>
      <w:lang w:bidi="ar-SA"/>
    </w:rPr>
  </w:style>
  <w:style w:type="character" w:customStyle="1" w:styleId="225">
    <w:name w:val="huide001"/>
    <w:qFormat/>
    <w:uiPriority w:val="0"/>
    <w:rPr>
      <w:rFonts w:hint="default" w:ascii="Arial" w:hAnsi="Arial" w:cs="Arial"/>
      <w:color w:val="666666"/>
      <w:sz w:val="18"/>
      <w:szCs w:val="18"/>
    </w:rPr>
  </w:style>
  <w:style w:type="character" w:customStyle="1" w:styleId="226">
    <w:name w:val="title_emph1"/>
    <w:qFormat/>
    <w:uiPriority w:val="0"/>
    <w:rPr>
      <w:rFonts w:hint="default" w:ascii="Arial" w:hAnsi="Arial" w:cs="Arial"/>
      <w:b/>
      <w:bCs/>
      <w:sz w:val="18"/>
      <w:szCs w:val="18"/>
    </w:rPr>
  </w:style>
  <w:style w:type="character" w:customStyle="1" w:styleId="227">
    <w:name w:val="tw4winPopup"/>
    <w:qFormat/>
    <w:uiPriority w:val="0"/>
    <w:rPr>
      <w:rFonts w:ascii="Courier New" w:hAnsi="Courier New"/>
      <w:color w:val="008000"/>
    </w:rPr>
  </w:style>
  <w:style w:type="character" w:customStyle="1" w:styleId="228">
    <w:name w:val="数据小节格式"/>
    <w:qFormat/>
    <w:uiPriority w:val="0"/>
    <w:rPr>
      <w:rFonts w:ascii="新宋体" w:hAnsi="新宋体" w:eastAsia="华文中宋"/>
      <w:b/>
      <w:bCs/>
      <w:sz w:val="27"/>
      <w:szCs w:val="26"/>
      <w:shd w:val="clear" w:color="auto" w:fill="auto"/>
    </w:rPr>
  </w:style>
  <w:style w:type="character" w:customStyle="1" w:styleId="229">
    <w:name w:val="Indent Normal Char"/>
    <w:link w:val="230"/>
    <w:qFormat/>
    <w:uiPriority w:val="0"/>
    <w:rPr>
      <w:kern w:val="2"/>
      <w:sz w:val="21"/>
      <w:lang w:bidi="ar-SA"/>
    </w:rPr>
  </w:style>
  <w:style w:type="paragraph" w:customStyle="1" w:styleId="230">
    <w:name w:val="Indent Normal"/>
    <w:basedOn w:val="1"/>
    <w:link w:val="229"/>
    <w:qFormat/>
    <w:uiPriority w:val="0"/>
    <w:pPr>
      <w:ind w:firstLine="420"/>
    </w:pPr>
    <w:rPr>
      <w:szCs w:val="20"/>
    </w:rPr>
  </w:style>
  <w:style w:type="character" w:customStyle="1" w:styleId="231">
    <w:name w:val="副标题 字符"/>
    <w:link w:val="39"/>
    <w:qFormat/>
    <w:uiPriority w:val="0"/>
    <w:rPr>
      <w:rFonts w:ascii="Times New Roman" w:hAnsi="Times New Roman" w:eastAsia="Times New Roman"/>
      <w:kern w:val="2"/>
      <w:sz w:val="18"/>
      <w:szCs w:val="18"/>
      <w:lang w:val="en-US" w:eastAsia="zh-CN"/>
    </w:rPr>
  </w:style>
  <w:style w:type="character" w:customStyle="1" w:styleId="232">
    <w:name w:val="标题 2 Char"/>
    <w:qFormat/>
    <w:uiPriority w:val="99"/>
    <w:rPr>
      <w:rFonts w:ascii="Arial" w:hAnsi="Arial" w:eastAsia="黑体"/>
      <w:b/>
      <w:kern w:val="2"/>
      <w:sz w:val="32"/>
      <w:lang w:val="en-US" w:eastAsia="zh-CN"/>
    </w:rPr>
  </w:style>
  <w:style w:type="character" w:customStyle="1" w:styleId="233">
    <w:name w:val="标题 6 字符"/>
    <w:link w:val="8"/>
    <w:qFormat/>
    <w:uiPriority w:val="0"/>
    <w:rPr>
      <w:rFonts w:ascii="Arial" w:hAnsi="Arial" w:eastAsia="黑体"/>
      <w:b/>
      <w:bCs/>
      <w:kern w:val="2"/>
      <w:sz w:val="24"/>
      <w:szCs w:val="24"/>
      <w:lang w:val="en-US" w:eastAsia="zh-CN" w:bidi="ar-SA"/>
    </w:rPr>
  </w:style>
  <w:style w:type="character" w:customStyle="1" w:styleId="234">
    <w:name w:val="Char Char121"/>
    <w:qFormat/>
    <w:uiPriority w:val="0"/>
    <w:rPr>
      <w:rFonts w:ascii="宋体" w:hAnsi="Courier New" w:eastAsia="宋体" w:cs="Times New Roman"/>
      <w:spacing w:val="-4"/>
      <w:sz w:val="18"/>
      <w:szCs w:val="20"/>
    </w:rPr>
  </w:style>
  <w:style w:type="character" w:customStyle="1" w:styleId="235">
    <w:name w:val="标准正文格式 Char"/>
    <w:link w:val="236"/>
    <w:qFormat/>
    <w:uiPriority w:val="0"/>
    <w:rPr>
      <w:rFonts w:ascii="宋体" w:eastAsia="仿宋_GB2312" w:cs="宋体"/>
      <w:color w:val="000000"/>
      <w:sz w:val="24"/>
      <w:lang w:val="en-US" w:eastAsia="zh-CN" w:bidi="ar-SA"/>
    </w:rPr>
  </w:style>
  <w:style w:type="paragraph" w:customStyle="1" w:styleId="236">
    <w:name w:val="标准正文格式"/>
    <w:basedOn w:val="1"/>
    <w:link w:val="235"/>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7">
    <w:name w:val="H1 Char3"/>
    <w:qFormat/>
    <w:uiPriority w:val="0"/>
    <w:rPr>
      <w:rFonts w:eastAsia="隶书"/>
      <w:b/>
      <w:bCs/>
      <w:sz w:val="36"/>
      <w:szCs w:val="36"/>
      <w:lang w:val="en-US" w:eastAsia="zh-CN" w:bidi="ar-SA"/>
    </w:rPr>
  </w:style>
  <w:style w:type="character" w:customStyle="1" w:styleId="238">
    <w:name w:val="大标题 Char"/>
    <w:link w:val="239"/>
    <w:qFormat/>
    <w:uiPriority w:val="0"/>
    <w:rPr>
      <w:b/>
      <w:sz w:val="28"/>
      <w:lang w:val="en-US" w:eastAsia="zh-CN" w:bidi="ar-SA"/>
    </w:rPr>
  </w:style>
  <w:style w:type="paragraph" w:customStyle="1" w:styleId="239">
    <w:name w:val="大标题"/>
    <w:next w:val="1"/>
    <w:link w:val="238"/>
    <w:qFormat/>
    <w:uiPriority w:val="0"/>
    <w:pPr>
      <w:spacing w:before="120" w:after="120" w:line="360" w:lineRule="auto"/>
    </w:pPr>
    <w:rPr>
      <w:rFonts w:ascii="Times New Roman" w:hAnsi="Times New Roman" w:eastAsia="宋体" w:cs="Times New Roman"/>
      <w:b/>
      <w:sz w:val="28"/>
      <w:lang w:val="en-US" w:eastAsia="zh-CN" w:bidi="ar-SA"/>
    </w:rPr>
  </w:style>
  <w:style w:type="character" w:customStyle="1" w:styleId="240">
    <w:name w:val="apple-style-span"/>
    <w:basedOn w:val="55"/>
    <w:qFormat/>
    <w:uiPriority w:val="0"/>
  </w:style>
  <w:style w:type="character" w:customStyle="1" w:styleId="241">
    <w:name w:val="h Char"/>
    <w:qFormat/>
    <w:uiPriority w:val="0"/>
    <w:rPr>
      <w:rFonts w:ascii="Calibri" w:hAnsi="Calibri" w:eastAsia="宋体" w:cs="Times New Roman"/>
      <w:sz w:val="18"/>
      <w:szCs w:val="18"/>
    </w:rPr>
  </w:style>
  <w:style w:type="character" w:customStyle="1" w:styleId="242">
    <w:name w:val="样式 小四1"/>
    <w:qFormat/>
    <w:uiPriority w:val="0"/>
    <w:rPr>
      <w:rFonts w:ascii="Tahoma" w:hAnsi="Tahoma" w:eastAsia="仿宋_GB2312"/>
      <w:kern w:val="2"/>
      <w:sz w:val="24"/>
      <w:lang w:val="en-US" w:eastAsia="zh-CN" w:bidi="ar-SA"/>
    </w:rPr>
  </w:style>
  <w:style w:type="character" w:customStyle="1" w:styleId="243">
    <w:name w:val="表格中文字 Char"/>
    <w:link w:val="244"/>
    <w:qFormat/>
    <w:uiPriority w:val="0"/>
    <w:rPr>
      <w:rFonts w:ascii="新宋体" w:hAnsi="新宋体" w:eastAsia="新宋体"/>
      <w:sz w:val="24"/>
      <w:szCs w:val="24"/>
      <w:lang w:bidi="ar-SA"/>
    </w:rPr>
  </w:style>
  <w:style w:type="paragraph" w:customStyle="1" w:styleId="244">
    <w:name w:val="表格中文字"/>
    <w:basedOn w:val="1"/>
    <w:link w:val="243"/>
    <w:qFormat/>
    <w:uiPriority w:val="0"/>
    <w:pPr>
      <w:spacing w:line="288" w:lineRule="auto"/>
    </w:pPr>
    <w:rPr>
      <w:rFonts w:ascii="新宋体" w:hAnsi="新宋体" w:eastAsia="新宋体"/>
      <w:kern w:val="0"/>
      <w:sz w:val="24"/>
      <w:szCs w:val="24"/>
    </w:rPr>
  </w:style>
  <w:style w:type="character" w:customStyle="1" w:styleId="245">
    <w:name w:val="普通文字 Char Char2"/>
    <w:qFormat/>
    <w:uiPriority w:val="0"/>
    <w:rPr>
      <w:rFonts w:ascii="宋体" w:hAnsi="Courier New" w:eastAsia="宋体"/>
      <w:sz w:val="21"/>
      <w:lang w:val="en-US" w:eastAsia="zh-CN" w:bidi="ar-SA"/>
    </w:rPr>
  </w:style>
  <w:style w:type="character" w:customStyle="1" w:styleId="246">
    <w:name w:val="Char Char31"/>
    <w:qFormat/>
    <w:uiPriority w:val="0"/>
    <w:rPr>
      <w:rFonts w:ascii="Arial" w:hAnsi="Arial" w:eastAsia="黑体"/>
      <w:b/>
      <w:kern w:val="2"/>
      <w:sz w:val="32"/>
      <w:lang w:val="en-US" w:eastAsia="zh-CN" w:bidi="ar-SA"/>
    </w:rPr>
  </w:style>
  <w:style w:type="character" w:customStyle="1" w:styleId="247">
    <w:name w:val="HTML 预设格式 字符"/>
    <w:link w:val="46"/>
    <w:qFormat/>
    <w:uiPriority w:val="0"/>
    <w:rPr>
      <w:rFonts w:ascii="Courier New" w:hAnsi="Courier New" w:cs="Courier New"/>
      <w:kern w:val="2"/>
    </w:rPr>
  </w:style>
  <w:style w:type="character" w:customStyle="1" w:styleId="248">
    <w:name w:val="正文文本 3 字符"/>
    <w:link w:val="20"/>
    <w:qFormat/>
    <w:uiPriority w:val="99"/>
    <w:rPr>
      <w:rFonts w:ascii="Times New Roman" w:hAnsi="宋体" w:eastAsia="仿宋_GB2312"/>
      <w:b/>
      <w:bCs/>
      <w:kern w:val="2"/>
      <w:sz w:val="24"/>
    </w:rPr>
  </w:style>
  <w:style w:type="character" w:customStyle="1" w:styleId="249">
    <w:name w:val="title14"/>
    <w:basedOn w:val="55"/>
    <w:qFormat/>
    <w:uiPriority w:val="0"/>
  </w:style>
  <w:style w:type="character" w:customStyle="1" w:styleId="250">
    <w:name w:val="z-窗体底端 Char"/>
    <w:link w:val="251"/>
    <w:qFormat/>
    <w:uiPriority w:val="0"/>
    <w:rPr>
      <w:rFonts w:ascii="Arial" w:hAnsi="Arial" w:cs="Arial"/>
      <w:vanish/>
      <w:sz w:val="16"/>
      <w:szCs w:val="16"/>
    </w:rPr>
  </w:style>
  <w:style w:type="paragraph" w:customStyle="1" w:styleId="251">
    <w:name w:val="z-窗体底端1"/>
    <w:basedOn w:val="1"/>
    <w:next w:val="1"/>
    <w:link w:val="250"/>
    <w:qFormat/>
    <w:uiPriority w:val="0"/>
    <w:pPr>
      <w:widowControl/>
      <w:pBdr>
        <w:top w:val="single" w:color="auto" w:sz="6" w:space="1"/>
      </w:pBdr>
      <w:jc w:val="center"/>
    </w:pPr>
    <w:rPr>
      <w:rFonts w:ascii="Arial" w:hAnsi="Arial"/>
      <w:vanish/>
      <w:kern w:val="0"/>
      <w:sz w:val="16"/>
      <w:szCs w:val="16"/>
    </w:rPr>
  </w:style>
  <w:style w:type="character" w:customStyle="1" w:styleId="252">
    <w:name w:val="称呼 字符"/>
    <w:link w:val="19"/>
    <w:qFormat/>
    <w:uiPriority w:val="0"/>
    <w:rPr>
      <w:rFonts w:ascii="宋体" w:hAnsi="Times New Roman"/>
      <w:b/>
      <w:kern w:val="2"/>
      <w:sz w:val="28"/>
    </w:rPr>
  </w:style>
  <w:style w:type="character" w:customStyle="1" w:styleId="253">
    <w:name w:val="Char Char13"/>
    <w:qFormat/>
    <w:uiPriority w:val="0"/>
    <w:rPr>
      <w:rFonts w:ascii="Calibri" w:hAnsi="Calibri" w:eastAsia="宋体" w:cs="Times New Roman"/>
      <w:sz w:val="18"/>
      <w:szCs w:val="18"/>
    </w:rPr>
  </w:style>
  <w:style w:type="character" w:customStyle="1" w:styleId="254">
    <w:name w:val="a Char"/>
    <w:link w:val="255"/>
    <w:qFormat/>
    <w:uiPriority w:val="0"/>
    <w:rPr>
      <w:rFonts w:ascii="宋体" w:hAnsi="宋体" w:eastAsia="仿宋_GB2312"/>
      <w:sz w:val="24"/>
      <w:lang w:val="en-US" w:eastAsia="zh-CN" w:bidi="ar-SA"/>
    </w:rPr>
  </w:style>
  <w:style w:type="paragraph" w:customStyle="1" w:styleId="255">
    <w:name w:val="a"/>
    <w:basedOn w:val="1"/>
    <w:link w:val="254"/>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56">
    <w:name w:val="tw4winTerm"/>
    <w:qFormat/>
    <w:uiPriority w:val="0"/>
    <w:rPr>
      <w:color w:val="0000FF"/>
    </w:rPr>
  </w:style>
  <w:style w:type="character" w:customStyle="1" w:styleId="257">
    <w:name w:val="标题 3 字符"/>
    <w:link w:val="4"/>
    <w:qFormat/>
    <w:uiPriority w:val="99"/>
    <w:rPr>
      <w:rFonts w:ascii="Calibri" w:hAnsi="Calibri" w:eastAsia="宋体"/>
      <w:b/>
      <w:bCs/>
      <w:kern w:val="2"/>
      <w:sz w:val="32"/>
      <w:szCs w:val="32"/>
      <w:lang w:val="en-US" w:eastAsia="zh-CN" w:bidi="ar-SA"/>
    </w:rPr>
  </w:style>
  <w:style w:type="character" w:customStyle="1" w:styleId="258">
    <w:name w:val="ca-7"/>
    <w:basedOn w:val="55"/>
    <w:qFormat/>
    <w:uiPriority w:val="0"/>
  </w:style>
  <w:style w:type="character" w:customStyle="1" w:styleId="259">
    <w:name w:val="b titlename wangputoptitle"/>
    <w:basedOn w:val="55"/>
    <w:qFormat/>
    <w:uiPriority w:val="0"/>
  </w:style>
  <w:style w:type="character" w:customStyle="1" w:styleId="260">
    <w:name w:val="表正文 Char2"/>
    <w:qFormat/>
    <w:uiPriority w:val="0"/>
    <w:rPr>
      <w:rFonts w:eastAsia="宋体"/>
      <w:kern w:val="2"/>
      <w:sz w:val="21"/>
      <w:lang w:val="en-US" w:eastAsia="zh-CN" w:bidi="ar-SA"/>
    </w:rPr>
  </w:style>
  <w:style w:type="character" w:customStyle="1" w:styleId="261">
    <w:name w:val="ca-8"/>
    <w:basedOn w:val="55"/>
    <w:qFormat/>
    <w:uiPriority w:val="0"/>
  </w:style>
  <w:style w:type="character" w:customStyle="1" w:styleId="262">
    <w:name w:val="line1"/>
    <w:qFormat/>
    <w:uiPriority w:val="0"/>
    <w:rPr>
      <w:spacing w:val="360"/>
      <w:u w:val="none"/>
    </w:rPr>
  </w:style>
  <w:style w:type="character" w:customStyle="1" w:styleId="263">
    <w:name w:val="自定义正文 Char"/>
    <w:link w:val="264"/>
    <w:qFormat/>
    <w:uiPriority w:val="0"/>
    <w:rPr>
      <w:rFonts w:ascii="仿宋_GB2312" w:eastAsia="仿宋_GB2312"/>
      <w:kern w:val="2"/>
      <w:sz w:val="28"/>
      <w:szCs w:val="24"/>
    </w:rPr>
  </w:style>
  <w:style w:type="paragraph" w:customStyle="1" w:styleId="264">
    <w:name w:val="自定义正文"/>
    <w:basedOn w:val="1"/>
    <w:link w:val="263"/>
    <w:qFormat/>
    <w:uiPriority w:val="0"/>
    <w:pPr>
      <w:spacing w:before="120" w:after="120" w:line="480" w:lineRule="exact"/>
      <w:ind w:firstLine="200" w:firstLineChars="200"/>
      <w:jc w:val="left"/>
    </w:pPr>
    <w:rPr>
      <w:rFonts w:ascii="仿宋_GB2312" w:eastAsia="仿宋_GB2312"/>
      <w:sz w:val="28"/>
      <w:szCs w:val="24"/>
    </w:rPr>
  </w:style>
  <w:style w:type="character" w:customStyle="1" w:styleId="265">
    <w:name w:val="text_show1"/>
    <w:qFormat/>
    <w:uiPriority w:val="0"/>
    <w:rPr>
      <w:color w:val="000000"/>
      <w:sz w:val="21"/>
      <w:szCs w:val="21"/>
      <w:u w:val="none"/>
    </w:rPr>
  </w:style>
  <w:style w:type="character" w:customStyle="1" w:styleId="266">
    <w:name w:val="inf1"/>
    <w:qFormat/>
    <w:uiPriority w:val="0"/>
    <w:rPr>
      <w:rFonts w:hint="eastAsia" w:ascii="宋体" w:hAnsi="宋体" w:eastAsia="宋体"/>
      <w:color w:val="000000"/>
      <w:sz w:val="20"/>
      <w:szCs w:val="20"/>
    </w:rPr>
  </w:style>
  <w:style w:type="character" w:customStyle="1" w:styleId="267">
    <w:name w:val="Char Char131"/>
    <w:qFormat/>
    <w:uiPriority w:val="0"/>
    <w:rPr>
      <w:rFonts w:ascii="Calibri" w:hAnsi="Calibri" w:eastAsia="宋体" w:cs="Times New Roman"/>
      <w:sz w:val="18"/>
      <w:szCs w:val="18"/>
    </w:rPr>
  </w:style>
  <w:style w:type="character" w:customStyle="1" w:styleId="268">
    <w:name w:val="info4"/>
    <w:basedOn w:val="55"/>
    <w:qFormat/>
    <w:uiPriority w:val="0"/>
  </w:style>
  <w:style w:type="character" w:customStyle="1" w:styleId="269">
    <w:name w:val="页眉 Char"/>
    <w:qFormat/>
    <w:uiPriority w:val="0"/>
    <w:rPr>
      <w:kern w:val="2"/>
      <w:sz w:val="18"/>
      <w:szCs w:val="18"/>
      <w:lang w:bidi="ar-SA"/>
    </w:rPr>
  </w:style>
  <w:style w:type="character" w:customStyle="1" w:styleId="270">
    <w:name w:val="纯文本 字符"/>
    <w:link w:val="28"/>
    <w:qFormat/>
    <w:uiPriority w:val="99"/>
    <w:rPr>
      <w:rFonts w:ascii="宋体" w:hAnsi="Courier New"/>
      <w:kern w:val="2"/>
      <w:sz w:val="24"/>
      <w:szCs w:val="24"/>
    </w:rPr>
  </w:style>
  <w:style w:type="character" w:customStyle="1" w:styleId="271">
    <w:name w:val="Char Char41"/>
    <w:qFormat/>
    <w:uiPriority w:val="0"/>
    <w:rPr>
      <w:rFonts w:ascii="Calibri" w:hAnsi="Calibri" w:eastAsia="宋体"/>
      <w:sz w:val="18"/>
      <w:szCs w:val="18"/>
      <w:lang w:bidi="ar-SA"/>
    </w:rPr>
  </w:style>
  <w:style w:type="character" w:customStyle="1" w:styleId="272">
    <w:name w:val="大汉方案正文 Char1"/>
    <w:link w:val="273"/>
    <w:qFormat/>
    <w:uiPriority w:val="0"/>
    <w:rPr>
      <w:rFonts w:ascii="Arial" w:hAnsi="Arial" w:eastAsia="宋体"/>
      <w:sz w:val="24"/>
      <w:szCs w:val="24"/>
      <w:lang w:bidi="ar-SA"/>
    </w:rPr>
  </w:style>
  <w:style w:type="paragraph" w:customStyle="1" w:styleId="273">
    <w:name w:val="大汉方案正文"/>
    <w:basedOn w:val="1"/>
    <w:link w:val="272"/>
    <w:qFormat/>
    <w:uiPriority w:val="0"/>
    <w:pPr>
      <w:spacing w:line="360" w:lineRule="auto"/>
      <w:ind w:firstLine="200" w:firstLineChars="200"/>
    </w:pPr>
    <w:rPr>
      <w:rFonts w:ascii="Arial" w:hAnsi="Arial"/>
      <w:kern w:val="0"/>
      <w:sz w:val="24"/>
      <w:szCs w:val="24"/>
    </w:rPr>
  </w:style>
  <w:style w:type="character" w:customStyle="1" w:styleId="274">
    <w:name w:val="tw4winInternal"/>
    <w:qFormat/>
    <w:uiPriority w:val="0"/>
    <w:rPr>
      <w:rFonts w:ascii="Courier New" w:hAnsi="Courier New"/>
      <w:color w:val="FF0000"/>
    </w:rPr>
  </w:style>
  <w:style w:type="character" w:customStyle="1" w:styleId="275">
    <w:name w:val="封面日期 Char Char"/>
    <w:qFormat/>
    <w:uiPriority w:val="0"/>
    <w:rPr>
      <w:rFonts w:eastAsia="楷体_GB2312"/>
      <w:kern w:val="2"/>
      <w:sz w:val="32"/>
      <w:lang w:val="en-US" w:eastAsia="zh-CN" w:bidi="ar-SA"/>
    </w:rPr>
  </w:style>
  <w:style w:type="character" w:customStyle="1" w:styleId="276">
    <w:name w:val="p71"/>
    <w:qFormat/>
    <w:uiPriority w:val="0"/>
    <w:rPr>
      <w:sz w:val="21"/>
    </w:rPr>
  </w:style>
  <w:style w:type="character" w:customStyle="1" w:styleId="277">
    <w:name w:val="批注文字 Char"/>
    <w:semiHidden/>
    <w:qFormat/>
    <w:uiPriority w:val="0"/>
    <w:rPr>
      <w:kern w:val="2"/>
      <w:sz w:val="21"/>
      <w:szCs w:val="24"/>
      <w:lang w:bidi="ar-SA"/>
    </w:rPr>
  </w:style>
  <w:style w:type="character" w:customStyle="1" w:styleId="278">
    <w:name w:val="普通文字 Char Char1"/>
    <w:qFormat/>
    <w:uiPriority w:val="0"/>
    <w:rPr>
      <w:rFonts w:ascii="宋体" w:hAnsi="Courier New" w:eastAsia="宋体" w:cs="Times New Roman"/>
      <w:szCs w:val="20"/>
    </w:rPr>
  </w:style>
  <w:style w:type="character" w:customStyle="1" w:styleId="279">
    <w:name w:val="标题1 Char"/>
    <w:link w:val="280"/>
    <w:qFormat/>
    <w:uiPriority w:val="0"/>
    <w:rPr>
      <w:rFonts w:ascii="宋体" w:hAnsi="Courier New" w:eastAsia="宋体"/>
      <w:b/>
      <w:kern w:val="2"/>
      <w:sz w:val="30"/>
      <w:lang w:val="en-US" w:eastAsia="zh-CN" w:bidi="ar-SA"/>
    </w:rPr>
  </w:style>
  <w:style w:type="paragraph" w:customStyle="1" w:styleId="280">
    <w:name w:val="标题1"/>
    <w:basedOn w:val="28"/>
    <w:link w:val="279"/>
    <w:qFormat/>
    <w:uiPriority w:val="0"/>
    <w:pPr>
      <w:spacing w:beforeLines="0" w:afterLines="0" w:line="360" w:lineRule="auto"/>
    </w:pPr>
    <w:rPr>
      <w:b/>
      <w:sz w:val="30"/>
      <w:szCs w:val="20"/>
    </w:rPr>
  </w:style>
  <w:style w:type="character" w:customStyle="1" w:styleId="281">
    <w:name w:val="标题3 Char"/>
    <w:link w:val="282"/>
    <w:qFormat/>
    <w:uiPriority w:val="0"/>
    <w:rPr>
      <w:rFonts w:eastAsia="方正仿宋"/>
      <w:kern w:val="2"/>
      <w:sz w:val="32"/>
      <w:szCs w:val="32"/>
      <w:lang w:val="en-US" w:eastAsia="zh-CN" w:bidi="ar-SA"/>
    </w:rPr>
  </w:style>
  <w:style w:type="paragraph" w:customStyle="1" w:styleId="282">
    <w:name w:val="标题3"/>
    <w:basedOn w:val="1"/>
    <w:link w:val="281"/>
    <w:qFormat/>
    <w:uiPriority w:val="0"/>
    <w:pPr>
      <w:ind w:firstLine="200" w:firstLineChars="200"/>
      <w:outlineLvl w:val="2"/>
    </w:pPr>
    <w:rPr>
      <w:rFonts w:eastAsia="方正仿宋"/>
      <w:sz w:val="32"/>
      <w:szCs w:val="32"/>
    </w:rPr>
  </w:style>
  <w:style w:type="character" w:customStyle="1" w:styleId="283">
    <w:name w:val="标题2 Char"/>
    <w:link w:val="284"/>
    <w:qFormat/>
    <w:uiPriority w:val="0"/>
    <w:rPr>
      <w:rFonts w:eastAsia="方正楷体"/>
      <w:kern w:val="2"/>
      <w:sz w:val="32"/>
      <w:szCs w:val="32"/>
      <w:lang w:val="en-US" w:eastAsia="zh-CN" w:bidi="ar-SA"/>
    </w:rPr>
  </w:style>
  <w:style w:type="paragraph" w:customStyle="1" w:styleId="284">
    <w:name w:val="标题2"/>
    <w:basedOn w:val="1"/>
    <w:link w:val="283"/>
    <w:qFormat/>
    <w:uiPriority w:val="0"/>
    <w:pPr>
      <w:ind w:firstLine="200" w:firstLineChars="200"/>
      <w:outlineLvl w:val="1"/>
    </w:pPr>
    <w:rPr>
      <w:rFonts w:eastAsia="方正楷体"/>
      <w:sz w:val="32"/>
      <w:szCs w:val="32"/>
    </w:rPr>
  </w:style>
  <w:style w:type="character" w:customStyle="1" w:styleId="285">
    <w:name w:val="标题正文 Char"/>
    <w:link w:val="286"/>
    <w:qFormat/>
    <w:uiPriority w:val="0"/>
    <w:rPr>
      <w:rFonts w:eastAsia="方正仿宋"/>
      <w:kern w:val="2"/>
      <w:sz w:val="32"/>
      <w:szCs w:val="30"/>
      <w:lang w:val="en-US" w:eastAsia="zh-CN" w:bidi="ar-SA"/>
    </w:rPr>
  </w:style>
  <w:style w:type="paragraph" w:customStyle="1" w:styleId="286">
    <w:name w:val="标题正文"/>
    <w:basedOn w:val="1"/>
    <w:link w:val="285"/>
    <w:qFormat/>
    <w:uiPriority w:val="0"/>
    <w:pPr>
      <w:ind w:firstLine="200" w:firstLineChars="200"/>
    </w:pPr>
    <w:rPr>
      <w:rFonts w:eastAsia="方正仿宋"/>
      <w:sz w:val="32"/>
      <w:szCs w:val="30"/>
    </w:rPr>
  </w:style>
  <w:style w:type="character" w:customStyle="1" w:styleId="287">
    <w:name w:val="Footer-Even Char1"/>
    <w:qFormat/>
    <w:uiPriority w:val="0"/>
    <w:rPr>
      <w:kern w:val="2"/>
      <w:sz w:val="18"/>
      <w:szCs w:val="18"/>
    </w:rPr>
  </w:style>
  <w:style w:type="character" w:customStyle="1" w:styleId="288">
    <w:name w:val="_正文段落 Char"/>
    <w:link w:val="289"/>
    <w:qFormat/>
    <w:uiPriority w:val="0"/>
    <w:rPr>
      <w:rFonts w:ascii="Calibri" w:hAnsi="Calibri" w:eastAsia="宋体"/>
      <w:kern w:val="2"/>
      <w:sz w:val="21"/>
      <w:szCs w:val="24"/>
      <w:lang w:bidi="ar-SA"/>
    </w:rPr>
  </w:style>
  <w:style w:type="paragraph" w:customStyle="1" w:styleId="289">
    <w:name w:val="_正文段落"/>
    <w:basedOn w:val="1"/>
    <w:link w:val="288"/>
    <w:qFormat/>
    <w:uiPriority w:val="0"/>
    <w:pPr>
      <w:spacing w:beforeLines="15" w:afterLines="15" w:line="360" w:lineRule="auto"/>
      <w:ind w:firstLine="200" w:firstLineChars="200"/>
    </w:pPr>
    <w:rPr>
      <w:rFonts w:ascii="Calibri" w:hAnsi="Calibri"/>
      <w:szCs w:val="24"/>
    </w:rPr>
  </w:style>
  <w:style w:type="character" w:customStyle="1" w:styleId="290">
    <w:name w:val="正文首行缩进2字符 Char"/>
    <w:link w:val="291"/>
    <w:qFormat/>
    <w:locked/>
    <w:uiPriority w:val="0"/>
    <w:rPr>
      <w:rFonts w:eastAsia="宋体"/>
      <w:kern w:val="2"/>
      <w:sz w:val="24"/>
      <w:lang w:val="en-US" w:eastAsia="zh-CN" w:bidi="ar-SA"/>
    </w:rPr>
  </w:style>
  <w:style w:type="paragraph" w:customStyle="1" w:styleId="291">
    <w:name w:val="正文首行缩进2字符"/>
    <w:basedOn w:val="1"/>
    <w:link w:val="290"/>
    <w:qFormat/>
    <w:uiPriority w:val="0"/>
    <w:pPr>
      <w:spacing w:line="360" w:lineRule="auto"/>
      <w:ind w:firstLine="482"/>
    </w:pPr>
    <w:rPr>
      <w:sz w:val="24"/>
      <w:szCs w:val="20"/>
    </w:rPr>
  </w:style>
  <w:style w:type="paragraph" w:customStyle="1" w:styleId="292">
    <w:name w:val="样式 样式 标题 3Chapter X.X.X. + 段后: 0.5 行 + 段后: 0.5 行"/>
    <w:basedOn w:val="293"/>
    <w:qFormat/>
    <w:uiPriority w:val="0"/>
  </w:style>
  <w:style w:type="paragraph" w:customStyle="1" w:styleId="293">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294">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295">
    <w:name w:val="P1"/>
    <w:basedOn w:val="1"/>
    <w:qFormat/>
    <w:uiPriority w:val="0"/>
    <w:pPr>
      <w:widowControl/>
      <w:spacing w:before="240" w:line="240" w:lineRule="atLeast"/>
      <w:jc w:val="left"/>
    </w:pPr>
    <w:rPr>
      <w:b/>
      <w:kern w:val="0"/>
      <w:szCs w:val="21"/>
      <w:lang w:val="en-AU" w:eastAsia="en-US"/>
    </w:rPr>
  </w:style>
  <w:style w:type="paragraph" w:customStyle="1" w:styleId="29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97">
    <w:name w:val="正文首行缩进两字"/>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8">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9">
    <w:name w:val="mod_selection1"/>
    <w:basedOn w:val="1"/>
    <w:qFormat/>
    <w:uiPriority w:val="0"/>
    <w:pPr>
      <w:widowControl/>
      <w:ind w:left="75"/>
      <w:jc w:val="left"/>
    </w:pPr>
    <w:rPr>
      <w:rFonts w:ascii="Arial" w:hAnsi="Arial" w:cs="Arial"/>
      <w:b/>
      <w:bCs/>
      <w:kern w:val="0"/>
      <w:sz w:val="20"/>
      <w:szCs w:val="20"/>
    </w:rPr>
  </w:style>
  <w:style w:type="paragraph" w:customStyle="1" w:styleId="300">
    <w:name w:val="样式 标题 2 + 五号"/>
    <w:basedOn w:val="3"/>
    <w:qFormat/>
    <w:uiPriority w:val="0"/>
    <w:pPr>
      <w:spacing w:before="0" w:after="0" w:line="240" w:lineRule="auto"/>
    </w:pPr>
    <w:rPr>
      <w:rFonts w:ascii="宋体" w:hAnsi="宋体" w:eastAsia="宋体"/>
      <w:sz w:val="21"/>
    </w:rPr>
  </w:style>
  <w:style w:type="paragraph" w:customStyle="1" w:styleId="301">
    <w:name w:val="Bullet2"/>
    <w:basedOn w:val="1"/>
    <w:qFormat/>
    <w:uiPriority w:val="0"/>
    <w:pPr>
      <w:spacing w:afterLines="50"/>
      <w:ind w:left="1440" w:hanging="360"/>
      <w:jc w:val="left"/>
    </w:pPr>
    <w:rPr>
      <w:rFonts w:ascii="宋体"/>
      <w:snapToGrid w:val="0"/>
      <w:color w:val="000080"/>
      <w:kern w:val="0"/>
      <w:szCs w:val="20"/>
    </w:rPr>
  </w:style>
  <w:style w:type="paragraph" w:customStyle="1" w:styleId="302">
    <w:name w:val="正文段落"/>
    <w:basedOn w:val="1"/>
    <w:qFormat/>
    <w:uiPriority w:val="0"/>
    <w:pPr>
      <w:spacing w:line="300" w:lineRule="auto"/>
      <w:ind w:firstLine="510"/>
    </w:pPr>
    <w:rPr>
      <w:sz w:val="24"/>
      <w:szCs w:val="20"/>
    </w:rPr>
  </w:style>
  <w:style w:type="paragraph" w:customStyle="1" w:styleId="30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304">
    <w:name w:val="样式 标题 4Chapter X.X.X. + 段后: 0.5 行1 + 段后: 0.5 行"/>
    <w:basedOn w:val="305"/>
    <w:qFormat/>
    <w:uiPriority w:val="0"/>
    <w:pPr>
      <w:numPr>
        <w:numId w:val="0"/>
      </w:numPr>
      <w:tabs>
        <w:tab w:val="left" w:pos="864"/>
      </w:tabs>
      <w:ind w:left="425" w:hanging="425"/>
    </w:pPr>
    <w:rPr>
      <w:szCs w:val="21"/>
    </w:rPr>
  </w:style>
  <w:style w:type="paragraph" w:customStyle="1" w:styleId="305">
    <w:name w:val="样式 标题 4Chapter X.X.X. + 段后: 0.5 行1"/>
    <w:basedOn w:val="6"/>
    <w:next w:val="6"/>
    <w:qFormat/>
    <w:uiPriority w:val="0"/>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6">
    <w:name w:val="列表内容"/>
    <w:basedOn w:val="1"/>
    <w:next w:val="1"/>
    <w:qFormat/>
    <w:uiPriority w:val="0"/>
    <w:pPr>
      <w:widowControl/>
      <w:numPr>
        <w:ilvl w:val="0"/>
        <w:numId w:val="6"/>
      </w:numPr>
      <w:jc w:val="left"/>
    </w:pPr>
    <w:rPr>
      <w:kern w:val="0"/>
      <w:sz w:val="18"/>
      <w:szCs w:val="24"/>
    </w:rPr>
  </w:style>
  <w:style w:type="paragraph" w:customStyle="1" w:styleId="307">
    <w:name w:val="Style-正文"/>
    <w:basedOn w:val="1"/>
    <w:qFormat/>
    <w:uiPriority w:val="0"/>
    <w:pPr>
      <w:spacing w:line="360" w:lineRule="auto"/>
      <w:ind w:firstLine="420"/>
    </w:pPr>
    <w:rPr>
      <w:rFonts w:ascii="宋体" w:hAnsi="宋体"/>
      <w:sz w:val="24"/>
      <w:szCs w:val="24"/>
    </w:rPr>
  </w:style>
  <w:style w:type="paragraph" w:customStyle="1" w:styleId="308">
    <w:name w:val="标准标题2"/>
    <w:basedOn w:val="3"/>
    <w:qFormat/>
    <w:uiPriority w:val="0"/>
    <w:pPr>
      <w:spacing w:line="360" w:lineRule="auto"/>
    </w:pPr>
    <w:rPr>
      <w:rFonts w:eastAsia="仿宋_GB2312"/>
      <w:bCs w:val="0"/>
      <w:sz w:val="28"/>
    </w:rPr>
  </w:style>
  <w:style w:type="paragraph" w:customStyle="1" w:styleId="309">
    <w:name w:val="5级"/>
    <w:basedOn w:val="1"/>
    <w:next w:val="5"/>
    <w:qFormat/>
    <w:uiPriority w:val="0"/>
    <w:pPr>
      <w:numPr>
        <w:ilvl w:val="4"/>
        <w:numId w:val="7"/>
      </w:numPr>
    </w:pPr>
    <w:rPr>
      <w:rFonts w:eastAsia="黑体"/>
      <w:kern w:val="0"/>
      <w:sz w:val="24"/>
      <w:szCs w:val="20"/>
    </w:rPr>
  </w:style>
  <w:style w:type="paragraph" w:customStyle="1" w:styleId="310">
    <w:name w:val="Paragraph1"/>
    <w:basedOn w:val="1"/>
    <w:qFormat/>
    <w:uiPriority w:val="0"/>
    <w:pPr>
      <w:spacing w:before="80" w:afterLines="50"/>
    </w:pPr>
    <w:rPr>
      <w:rFonts w:ascii="宋体"/>
      <w:snapToGrid w:val="0"/>
      <w:kern w:val="0"/>
      <w:szCs w:val="20"/>
    </w:rPr>
  </w:style>
  <w:style w:type="paragraph" w:customStyle="1" w:styleId="311">
    <w:name w:val="招标文件－紧缩表格用正文"/>
    <w:basedOn w:val="1"/>
    <w:next w:val="1"/>
    <w:qFormat/>
    <w:uiPriority w:val="0"/>
    <w:pPr>
      <w:spacing w:beforeLines="30" w:afterLines="30"/>
      <w:jc w:val="center"/>
    </w:pPr>
    <w:rPr>
      <w:kern w:val="0"/>
      <w:sz w:val="24"/>
      <w:szCs w:val="20"/>
    </w:rPr>
  </w:style>
  <w:style w:type="paragraph" w:customStyle="1" w:styleId="312">
    <w:name w:val="S4-I-L15-U"/>
    <w:basedOn w:val="1"/>
    <w:qFormat/>
    <w:uiPriority w:val="0"/>
    <w:pPr>
      <w:spacing w:line="360" w:lineRule="auto"/>
    </w:pPr>
    <w:rPr>
      <w:b/>
      <w:i/>
      <w:sz w:val="24"/>
      <w:szCs w:val="24"/>
      <w:u w:val="single"/>
    </w:rPr>
  </w:style>
  <w:style w:type="paragraph" w:customStyle="1" w:styleId="313">
    <w:name w:val="大表 mt"/>
    <w:basedOn w:val="1"/>
    <w:qFormat/>
    <w:uiPriority w:val="0"/>
    <w:pPr>
      <w:widowControl/>
      <w:jc w:val="left"/>
    </w:pPr>
    <w:rPr>
      <w:rFonts w:ascii="宋体" w:hAnsi="宋体" w:cs="宋体"/>
      <w:kern w:val="0"/>
      <w:szCs w:val="21"/>
    </w:rPr>
  </w:style>
  <w:style w:type="paragraph" w:customStyle="1" w:styleId="314">
    <w:name w:val="左对齐的表内文字"/>
    <w:basedOn w:val="1"/>
    <w:qFormat/>
    <w:uiPriority w:val="0"/>
    <w:rPr>
      <w:rFonts w:eastAsia="仿宋_GB2312" w:cs="宋体"/>
      <w:szCs w:val="20"/>
    </w:rPr>
  </w:style>
  <w:style w:type="paragraph" w:customStyle="1" w:styleId="315">
    <w:name w:val="Paragraph2"/>
    <w:basedOn w:val="1"/>
    <w:qFormat/>
    <w:uiPriority w:val="0"/>
    <w:pPr>
      <w:spacing w:before="80" w:afterLines="50"/>
      <w:ind w:left="720"/>
    </w:pPr>
    <w:rPr>
      <w:rFonts w:ascii="宋体"/>
      <w:snapToGrid w:val="0"/>
      <w:color w:val="000000"/>
      <w:kern w:val="0"/>
      <w:szCs w:val="20"/>
      <w:lang w:val="en-AU"/>
    </w:rPr>
  </w:style>
  <w:style w:type="paragraph" w:customStyle="1" w:styleId="316">
    <w:name w:val="样式2"/>
    <w:basedOn w:val="3"/>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317">
    <w:name w:val="Body"/>
    <w:basedOn w:val="1"/>
    <w:qFormat/>
    <w:uiPriority w:val="0"/>
    <w:pPr>
      <w:widowControl/>
      <w:spacing w:before="120" w:afterLines="50"/>
    </w:pPr>
    <w:rPr>
      <w:rFonts w:ascii="宋体"/>
      <w:snapToGrid w:val="0"/>
      <w:kern w:val="0"/>
      <w:szCs w:val="20"/>
    </w:rPr>
  </w:style>
  <w:style w:type="paragraph" w:customStyle="1" w:styleId="318">
    <w:name w:val="一级项目符号"/>
    <w:basedOn w:val="1"/>
    <w:qFormat/>
    <w:uiPriority w:val="0"/>
    <w:pPr>
      <w:widowControl/>
      <w:numPr>
        <w:ilvl w:val="0"/>
        <w:numId w:val="8"/>
      </w:numPr>
      <w:spacing w:line="360" w:lineRule="auto"/>
    </w:pPr>
    <w:rPr>
      <w:kern w:val="0"/>
      <w:sz w:val="24"/>
      <w:szCs w:val="20"/>
    </w:rPr>
  </w:style>
  <w:style w:type="paragraph" w:customStyle="1" w:styleId="319">
    <w:name w:val="pa-30"/>
    <w:basedOn w:val="1"/>
    <w:qFormat/>
    <w:uiPriority w:val="0"/>
    <w:pPr>
      <w:widowControl/>
      <w:spacing w:before="150" w:after="150"/>
      <w:jc w:val="left"/>
    </w:pPr>
    <w:rPr>
      <w:rFonts w:ascii="宋体" w:hAnsi="宋体" w:cs="宋体"/>
      <w:kern w:val="0"/>
      <w:sz w:val="24"/>
      <w:szCs w:val="24"/>
    </w:rPr>
  </w:style>
  <w:style w:type="paragraph" w:customStyle="1" w:styleId="320">
    <w:name w:val="彩色列表 - 强调文字颜色 111"/>
    <w:basedOn w:val="1"/>
    <w:qFormat/>
    <w:uiPriority w:val="34"/>
    <w:pPr>
      <w:ind w:firstLine="420" w:firstLineChars="200"/>
    </w:pPr>
  </w:style>
  <w:style w:type="paragraph" w:customStyle="1" w:styleId="321">
    <w:name w:val="Paragraph4"/>
    <w:basedOn w:val="1"/>
    <w:qFormat/>
    <w:uiPriority w:val="0"/>
    <w:pPr>
      <w:spacing w:before="80" w:afterLines="50"/>
      <w:ind w:left="2250"/>
    </w:pPr>
    <w:rPr>
      <w:rFonts w:ascii="宋体"/>
      <w:snapToGrid w:val="0"/>
      <w:kern w:val="0"/>
      <w:szCs w:val="20"/>
    </w:rPr>
  </w:style>
  <w:style w:type="paragraph" w:customStyle="1" w:styleId="322">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样式 标题 4 + 段后: 0.5 行"/>
    <w:basedOn w:val="6"/>
    <w:qFormat/>
    <w:uiPriority w:val="0"/>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4">
    <w:name w:val="Char Char Char Char Char Char Char Char Char Char"/>
    <w:basedOn w:val="1"/>
    <w:qFormat/>
    <w:uiPriority w:val="0"/>
    <w:pPr>
      <w:tabs>
        <w:tab w:val="left" w:pos="360"/>
      </w:tabs>
      <w:ind w:left="480" w:hanging="480" w:hangingChars="200"/>
    </w:pPr>
    <w:rPr>
      <w:rFonts w:ascii="仿宋_GB2312" w:eastAsia="仿宋_GB2312"/>
      <w:b/>
      <w:sz w:val="24"/>
      <w:szCs w:val="24"/>
    </w:rPr>
  </w:style>
  <w:style w:type="paragraph" w:customStyle="1" w:styleId="325">
    <w:name w:val="_Style 164"/>
    <w:basedOn w:val="1"/>
    <w:qFormat/>
    <w:uiPriority w:val="0"/>
    <w:rPr>
      <w:szCs w:val="20"/>
    </w:rPr>
  </w:style>
  <w:style w:type="paragraph" w:customStyle="1" w:styleId="32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27">
    <w:name w:val="a8"/>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8">
    <w:name w:val="MM Title"/>
    <w:basedOn w:val="49"/>
    <w:qFormat/>
    <w:uiPriority w:val="0"/>
    <w:rPr>
      <w:rFonts w:ascii="Calibri" w:hAnsi="Calibri" w:cs="Arial"/>
      <w:b w:val="0"/>
      <w:sz w:val="18"/>
    </w:rPr>
  </w:style>
  <w:style w:type="paragraph" w:customStyle="1" w:styleId="329">
    <w:name w:val="默认段落字体 Para Char Char Char"/>
    <w:basedOn w:val="1"/>
    <w:qFormat/>
    <w:uiPriority w:val="0"/>
    <w:rPr>
      <w:szCs w:val="24"/>
    </w:rPr>
  </w:style>
  <w:style w:type="paragraph" w:customStyle="1" w:styleId="330">
    <w:name w:val="文档结构图1"/>
    <w:basedOn w:val="1"/>
    <w:qFormat/>
    <w:uiPriority w:val="0"/>
    <w:rPr>
      <w:rFonts w:ascii="宋体"/>
      <w:kern w:val="0"/>
      <w:sz w:val="18"/>
      <w:szCs w:val="18"/>
    </w:rPr>
  </w:style>
  <w:style w:type="paragraph" w:customStyle="1" w:styleId="331">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2">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333">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334">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335">
    <w:name w:val="Char Char1 Char Char Char Char Char Char"/>
    <w:basedOn w:val="1"/>
    <w:qFormat/>
    <w:uiPriority w:val="0"/>
    <w:rPr>
      <w:sz w:val="36"/>
      <w:szCs w:val="24"/>
    </w:rPr>
  </w:style>
  <w:style w:type="paragraph" w:customStyle="1" w:styleId="336">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37">
    <w:name w:val="A正文小四"/>
    <w:basedOn w:val="1"/>
    <w:qFormat/>
    <w:uiPriority w:val="0"/>
    <w:pPr>
      <w:spacing w:line="360" w:lineRule="auto"/>
      <w:ind w:firstLine="200" w:firstLineChars="200"/>
    </w:pPr>
    <w:rPr>
      <w:sz w:val="24"/>
      <w:szCs w:val="24"/>
    </w:rPr>
  </w:style>
  <w:style w:type="paragraph" w:customStyle="1" w:styleId="338">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339">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340">
    <w:name w:val="标准标题1"/>
    <w:basedOn w:val="2"/>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1">
    <w:name w:val="msolistparagraph"/>
    <w:basedOn w:val="1"/>
    <w:qFormat/>
    <w:uiPriority w:val="0"/>
    <w:pPr>
      <w:ind w:firstLine="420" w:firstLineChars="200"/>
    </w:pPr>
  </w:style>
  <w:style w:type="paragraph" w:customStyle="1" w:styleId="342">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4">
    <w:name w:val="样式 标题 4Chapter X.X.X.X. + 段后: 0.5 行1"/>
    <w:basedOn w:val="323"/>
    <w:qFormat/>
    <w:uiPriority w:val="0"/>
    <w:pPr>
      <w:numPr>
        <w:numId w:val="0"/>
      </w:numPr>
      <w:tabs>
        <w:tab w:val="left" w:pos="864"/>
      </w:tabs>
      <w:ind w:left="864" w:hanging="864"/>
    </w:pPr>
  </w:style>
  <w:style w:type="paragraph" w:customStyle="1" w:styleId="345">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346">
    <w:name w:val="样式 标题 4"/>
    <w:basedOn w:val="344"/>
    <w:next w:val="347"/>
    <w:qFormat/>
    <w:uiPriority w:val="0"/>
    <w:pPr>
      <w:numPr>
        <w:ilvl w:val="0"/>
      </w:numPr>
      <w:tabs>
        <w:tab w:val="left" w:pos="2100"/>
        <w:tab w:val="clear" w:pos="864"/>
      </w:tabs>
      <w:ind w:left="2100" w:hanging="420"/>
    </w:pPr>
  </w:style>
  <w:style w:type="paragraph" w:customStyle="1" w:styleId="347">
    <w:name w:val="样式 正文"/>
    <w:basedOn w:val="1"/>
    <w:next w:val="1"/>
    <w:qFormat/>
    <w:uiPriority w:val="0"/>
    <w:pPr>
      <w:numPr>
        <w:ilvl w:val="2"/>
        <w:numId w:val="2"/>
      </w:numPr>
      <w:spacing w:afterLines="50"/>
      <w:jc w:val="left"/>
    </w:pPr>
    <w:rPr>
      <w:rFonts w:ascii="宋体" w:cs="宋体"/>
      <w:snapToGrid w:val="0"/>
      <w:kern w:val="0"/>
      <w:szCs w:val="20"/>
    </w:rPr>
  </w:style>
  <w:style w:type="paragraph" w:customStyle="1" w:styleId="348">
    <w:name w:val="最新标题4"/>
    <w:basedOn w:val="346"/>
    <w:next w:val="1"/>
    <w:qFormat/>
    <w:uiPriority w:val="0"/>
    <w:pPr>
      <w:tabs>
        <w:tab w:val="clear" w:pos="2100"/>
      </w:tabs>
      <w:ind w:left="0" w:firstLine="0"/>
    </w:pPr>
  </w:style>
  <w:style w:type="paragraph" w:customStyle="1" w:styleId="349">
    <w:name w:val="CM12"/>
    <w:basedOn w:val="350"/>
    <w:next w:val="350"/>
    <w:qFormat/>
    <w:uiPriority w:val="0"/>
    <w:pPr>
      <w:spacing w:line="468" w:lineRule="atLeast"/>
    </w:pPr>
    <w:rPr>
      <w:rFonts w:ascii="宋体" w:eastAsia="宋体" w:cs="Times New Roman"/>
      <w:color w:val="auto"/>
    </w:rPr>
  </w:style>
  <w:style w:type="paragraph" w:customStyle="1" w:styleId="350">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1">
    <w:name w:val="样式 样式 样式 标题 3Chapter X.X.X. + 段后: 0.5 行 + 段后: 0.5 行 + 段后: 0.5 行"/>
    <w:basedOn w:val="292"/>
    <w:qFormat/>
    <w:uiPriority w:val="0"/>
    <w:pPr>
      <w:spacing w:afterLines="0"/>
    </w:pPr>
  </w:style>
  <w:style w:type="paragraph" w:customStyle="1" w:styleId="352">
    <w:name w:val="默认段落字体 Para Char Char Char Char Char Char Char Char Char1 Char Char Char Char"/>
    <w:basedOn w:val="1"/>
    <w:qFormat/>
    <w:uiPriority w:val="0"/>
    <w:rPr>
      <w:rFonts w:ascii="Tahoma" w:hAnsi="Tahoma"/>
      <w:sz w:val="24"/>
      <w:szCs w:val="20"/>
    </w:rPr>
  </w:style>
  <w:style w:type="paragraph" w:customStyle="1" w:styleId="353">
    <w:name w:val="样式 标题 2Chapter X.X. Statementh22Header 2l2Level 2 Headhea...1"/>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354">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5">
    <w:name w:val="Char1 Char Char Char"/>
    <w:basedOn w:val="1"/>
    <w:qFormat/>
    <w:uiPriority w:val="0"/>
    <w:rPr>
      <w:rFonts w:ascii="Tahoma" w:hAnsi="Tahoma"/>
      <w:sz w:val="24"/>
      <w:szCs w:val="20"/>
    </w:rPr>
  </w:style>
  <w:style w:type="paragraph" w:customStyle="1" w:styleId="356">
    <w:name w:val="缺省文本"/>
    <w:basedOn w:val="1"/>
    <w:qFormat/>
    <w:uiPriority w:val="0"/>
    <w:pPr>
      <w:autoSpaceDE w:val="0"/>
      <w:autoSpaceDN w:val="0"/>
      <w:adjustRightInd w:val="0"/>
      <w:jc w:val="left"/>
    </w:pPr>
    <w:rPr>
      <w:kern w:val="0"/>
      <w:sz w:val="24"/>
      <w:szCs w:val="20"/>
    </w:rPr>
  </w:style>
  <w:style w:type="paragraph" w:customStyle="1" w:styleId="357">
    <w:name w:val="Char1"/>
    <w:basedOn w:val="1"/>
    <w:qFormat/>
    <w:uiPriority w:val="0"/>
    <w:pPr>
      <w:spacing w:beforeLines="20" w:afterLines="20"/>
    </w:pPr>
    <w:rPr>
      <w:rFonts w:ascii="楷体_GB2312" w:hAnsi="宋体" w:eastAsia="楷体_GB2312" w:cs="Arial"/>
      <w:kern w:val="0"/>
      <w:sz w:val="24"/>
      <w:szCs w:val="24"/>
    </w:rPr>
  </w:style>
  <w:style w:type="paragraph" w:customStyle="1" w:styleId="358">
    <w:name w:val="正文文本 New New"/>
    <w:basedOn w:val="359"/>
    <w:qFormat/>
    <w:uiPriority w:val="0"/>
    <w:pPr>
      <w:spacing w:after="120"/>
    </w:pPr>
    <w:rPr>
      <w:sz w:val="28"/>
      <w:szCs w:val="24"/>
    </w:rPr>
  </w:style>
  <w:style w:type="paragraph" w:customStyle="1" w:styleId="359">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0">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361">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362">
    <w:name w:val="aa"/>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3">
    <w:name w:val="标题6"/>
    <w:basedOn w:val="1"/>
    <w:next w:val="2"/>
    <w:qFormat/>
    <w:uiPriority w:val="0"/>
    <w:pPr>
      <w:widowControl/>
      <w:snapToGrid w:val="0"/>
      <w:spacing w:beforeLines="50" w:afterLines="50" w:line="520" w:lineRule="atLeast"/>
      <w:ind w:firstLine="200" w:firstLineChars="200"/>
    </w:pPr>
    <w:rPr>
      <w:rFonts w:cs="Arial"/>
      <w:b/>
      <w:sz w:val="24"/>
      <w:szCs w:val="24"/>
    </w:rPr>
  </w:style>
  <w:style w:type="paragraph" w:customStyle="1" w:styleId="364">
    <w:name w:val="正文段"/>
    <w:basedOn w:val="1"/>
    <w:qFormat/>
    <w:uiPriority w:val="0"/>
    <w:pPr>
      <w:widowControl/>
      <w:snapToGrid w:val="0"/>
      <w:spacing w:afterLines="50"/>
      <w:ind w:firstLine="200" w:firstLineChars="200"/>
    </w:pPr>
    <w:rPr>
      <w:kern w:val="0"/>
      <w:sz w:val="24"/>
      <w:szCs w:val="20"/>
    </w:rPr>
  </w:style>
  <w:style w:type="paragraph" w:customStyle="1" w:styleId="365">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7">
    <w:name w:val="Char"/>
    <w:basedOn w:val="1"/>
    <w:qFormat/>
    <w:uiPriority w:val="0"/>
    <w:rPr>
      <w:rFonts w:ascii="仿宋_GB2312" w:eastAsia="仿宋_GB2312"/>
      <w:b/>
      <w:sz w:val="32"/>
      <w:szCs w:val="32"/>
    </w:rPr>
  </w:style>
  <w:style w:type="paragraph" w:customStyle="1" w:styleId="368">
    <w:name w:val="flType"/>
    <w:basedOn w:val="1"/>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369">
    <w:name w:val="小四正文"/>
    <w:basedOn w:val="1"/>
    <w:qFormat/>
    <w:uiPriority w:val="0"/>
    <w:pPr>
      <w:spacing w:line="360" w:lineRule="auto"/>
      <w:ind w:firstLine="200" w:firstLineChars="200"/>
    </w:pPr>
    <w:rPr>
      <w:rFonts w:eastAsia="仿宋_GB2312" w:cs="宋体"/>
      <w:sz w:val="24"/>
      <w:szCs w:val="24"/>
    </w:rPr>
  </w:style>
  <w:style w:type="paragraph" w:customStyle="1" w:styleId="370">
    <w:name w:val="Char Char1 Char"/>
    <w:basedOn w:val="1"/>
    <w:qFormat/>
    <w:uiPriority w:val="0"/>
    <w:rPr>
      <w:rFonts w:ascii="仿宋_GB2312" w:eastAsia="仿宋_GB2312"/>
      <w:b/>
      <w:sz w:val="32"/>
      <w:szCs w:val="32"/>
    </w:rPr>
  </w:style>
  <w:style w:type="paragraph" w:customStyle="1" w:styleId="371">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72">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373">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4">
    <w:name w:val="标题 3 （加黑）"/>
    <w:basedOn w:val="4"/>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375">
    <w:name w:val="样式 标题 3"/>
    <w:basedOn w:val="4"/>
    <w:next w:val="348"/>
    <w:qFormat/>
    <w:uiPriority w:val="0"/>
    <w:pPr>
      <w:keepLines w:val="0"/>
      <w:spacing w:before="120" w:afterLines="50" w:line="240" w:lineRule="auto"/>
      <w:jc w:val="left"/>
    </w:pPr>
    <w:rPr>
      <w:rFonts w:ascii="宋体" w:cs="宋体"/>
      <w:snapToGrid w:val="0"/>
      <w:kern w:val="0"/>
      <w:sz w:val="24"/>
      <w:szCs w:val="20"/>
    </w:rPr>
  </w:style>
  <w:style w:type="paragraph" w:customStyle="1" w:styleId="376">
    <w:name w:val="Bullet"/>
    <w:basedOn w:val="1"/>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377">
    <w:name w:val="文档正文 Char"/>
    <w:basedOn w:val="1"/>
    <w:qFormat/>
    <w:uiPriority w:val="0"/>
    <w:pPr>
      <w:adjustRightInd w:val="0"/>
      <w:spacing w:line="500" w:lineRule="atLeast"/>
      <w:ind w:firstLine="567"/>
    </w:pPr>
    <w:rPr>
      <w:rFonts w:hint="eastAsia" w:ascii="仿宋_GB2312" w:eastAsia="仿宋_GB2312"/>
      <w:sz w:val="28"/>
      <w:szCs w:val="24"/>
    </w:rPr>
  </w:style>
  <w:style w:type="paragraph" w:customStyle="1" w:styleId="378">
    <w:name w:val="Char Char1 Char Char Char Char Char Char Char Char Char Char Char Char Char Char"/>
    <w:basedOn w:val="1"/>
    <w:qFormat/>
    <w:uiPriority w:val="0"/>
    <w:pPr>
      <w:widowControl/>
      <w:spacing w:after="160" w:line="240" w:lineRule="exact"/>
      <w:jc w:val="left"/>
    </w:pPr>
    <w:rPr>
      <w:szCs w:val="20"/>
    </w:rPr>
  </w:style>
  <w:style w:type="paragraph" w:customStyle="1" w:styleId="379">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38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381">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382">
    <w:name w:val="S4-L15-C"/>
    <w:basedOn w:val="1"/>
    <w:qFormat/>
    <w:uiPriority w:val="0"/>
    <w:pPr>
      <w:spacing w:after="120" w:line="360" w:lineRule="auto"/>
      <w:jc w:val="center"/>
    </w:pPr>
    <w:rPr>
      <w:szCs w:val="21"/>
    </w:rPr>
  </w:style>
  <w:style w:type="paragraph" w:customStyle="1" w:styleId="383">
    <w:name w:val="正文1"/>
    <w:basedOn w:val="17"/>
    <w:next w:val="1"/>
    <w:qFormat/>
    <w:uiPriority w:val="0"/>
    <w:pPr>
      <w:shd w:val="clear" w:color="auto" w:fill="000080"/>
    </w:pPr>
    <w:rPr>
      <w:rFonts w:ascii="Tahoma" w:hAnsi="Tahoma" w:cs="Tahoma"/>
      <w:kern w:val="0"/>
      <w:szCs w:val="24"/>
    </w:rPr>
  </w:style>
  <w:style w:type="paragraph" w:customStyle="1" w:styleId="384">
    <w:name w:val="Figure Description"/>
    <w:next w:val="1"/>
    <w:qFormat/>
    <w:uiPriority w:val="0"/>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5">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6">
    <w:name w:val="正文缩进1"/>
    <w:basedOn w:val="1"/>
    <w:next w:val="22"/>
    <w:qFormat/>
    <w:uiPriority w:val="0"/>
    <w:pPr>
      <w:autoSpaceDE w:val="0"/>
      <w:autoSpaceDN w:val="0"/>
      <w:adjustRightInd w:val="0"/>
      <w:spacing w:after="180" w:line="310" w:lineRule="auto"/>
      <w:ind w:firstLine="420"/>
      <w:jc w:val="left"/>
    </w:pPr>
    <w:rPr>
      <w:kern w:val="0"/>
      <w:sz w:val="20"/>
      <w:szCs w:val="20"/>
    </w:rPr>
  </w:style>
  <w:style w:type="paragraph" w:customStyle="1" w:styleId="387">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8">
    <w:name w:val="段落文字"/>
    <w:basedOn w:val="51"/>
    <w:qFormat/>
    <w:uiPriority w:val="0"/>
    <w:pPr>
      <w:spacing w:after="60"/>
      <w:ind w:left="420" w:firstLine="200" w:firstLineChars="200"/>
    </w:pPr>
    <w:rPr>
      <w:rFonts w:ascii="Times New Roman" w:hAnsi="Times New Roman"/>
      <w:szCs w:val="24"/>
    </w:rPr>
  </w:style>
  <w:style w:type="paragraph" w:customStyle="1" w:styleId="389">
    <w:name w:val="S4-B-L15"/>
    <w:basedOn w:val="1"/>
    <w:qFormat/>
    <w:uiPriority w:val="0"/>
    <w:pPr>
      <w:spacing w:line="360" w:lineRule="auto"/>
    </w:pPr>
    <w:rPr>
      <w:b/>
      <w:bCs/>
      <w:sz w:val="24"/>
      <w:szCs w:val="24"/>
    </w:rPr>
  </w:style>
  <w:style w:type="paragraph" w:customStyle="1" w:styleId="390">
    <w:name w:val="批注主题1"/>
    <w:basedOn w:val="18"/>
    <w:next w:val="18"/>
    <w:qFormat/>
    <w:uiPriority w:val="0"/>
    <w:rPr>
      <w:b/>
      <w:bCs/>
      <w:kern w:val="0"/>
      <w:sz w:val="20"/>
      <w:szCs w:val="20"/>
    </w:rPr>
  </w:style>
  <w:style w:type="paragraph" w:customStyle="1" w:styleId="391">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392">
    <w:name w:val="样式 标题1"/>
    <w:basedOn w:val="393"/>
    <w:next w:val="394"/>
    <w:qFormat/>
    <w:uiPriority w:val="0"/>
    <w:pPr>
      <w:tabs>
        <w:tab w:val="left" w:pos="1140"/>
      </w:tabs>
      <w:ind w:left="1140" w:hanging="720"/>
    </w:pPr>
    <w:rPr>
      <w:bCs w:val="0"/>
      <w:sz w:val="32"/>
    </w:rPr>
  </w:style>
  <w:style w:type="paragraph" w:customStyle="1" w:styleId="393">
    <w:name w:val="样式 标题 1 + 段后: 0.5 行"/>
    <w:basedOn w:val="2"/>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4">
    <w:name w:val="最新标题2"/>
    <w:basedOn w:val="395"/>
    <w:next w:val="396"/>
    <w:qFormat/>
    <w:uiPriority w:val="0"/>
  </w:style>
  <w:style w:type="paragraph" w:customStyle="1" w:styleId="395">
    <w:name w:val="样式 标题 2"/>
    <w:basedOn w:val="3"/>
    <w:next w:val="396"/>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6">
    <w:name w:val="最新标题3"/>
    <w:basedOn w:val="375"/>
    <w:next w:val="348"/>
    <w:qFormat/>
    <w:uiPriority w:val="0"/>
  </w:style>
  <w:style w:type="paragraph" w:customStyle="1" w:styleId="397">
    <w:name w:val="Char3"/>
    <w:basedOn w:val="1"/>
    <w:qFormat/>
    <w:uiPriority w:val="0"/>
    <w:rPr>
      <w:rFonts w:ascii="仿宋_GB2312" w:eastAsia="仿宋_GB2312"/>
      <w:b/>
      <w:sz w:val="32"/>
      <w:szCs w:val="20"/>
    </w:rPr>
  </w:style>
  <w:style w:type="paragraph" w:customStyle="1" w:styleId="398">
    <w:name w:val="Char Char Char Char Char Char Char"/>
    <w:basedOn w:val="1"/>
    <w:qFormat/>
    <w:uiPriority w:val="0"/>
    <w:pPr>
      <w:tabs>
        <w:tab w:val="left" w:pos="432"/>
      </w:tabs>
      <w:ind w:left="432" w:hanging="432"/>
    </w:pPr>
    <w:rPr>
      <w:rFonts w:ascii="Tahoma" w:hAnsi="Tahoma"/>
      <w:sz w:val="24"/>
      <w:szCs w:val="20"/>
    </w:rPr>
  </w:style>
  <w:style w:type="paragraph" w:customStyle="1" w:styleId="399">
    <w:name w:val="正文 1.1.1"/>
    <w:basedOn w:val="1"/>
    <w:next w:val="1"/>
    <w:qFormat/>
    <w:uiPriority w:val="0"/>
    <w:pPr>
      <w:numPr>
        <w:ilvl w:val="2"/>
        <w:numId w:val="10"/>
      </w:numPr>
      <w:outlineLvl w:val="2"/>
    </w:pPr>
    <w:rPr>
      <w:rFonts w:hAnsi="宋体"/>
      <w:color w:val="FF0000"/>
    </w:rPr>
  </w:style>
  <w:style w:type="paragraph" w:customStyle="1" w:styleId="400">
    <w:name w:val="样式 正文文本缩进 + 仿宋_GB2312 小四 首行缩进:  0 厘米 行距: 1.5 倍行距"/>
    <w:basedOn w:val="22"/>
    <w:qFormat/>
    <w:uiPriority w:val="0"/>
    <w:pPr>
      <w:spacing w:line="360" w:lineRule="auto"/>
      <w:ind w:firstLine="0"/>
    </w:pPr>
    <w:rPr>
      <w:rFonts w:ascii="仿宋_GB2312" w:hAnsi="Times New Roman" w:eastAsia="新宋体"/>
      <w:spacing w:val="0"/>
      <w:sz w:val="24"/>
    </w:rPr>
  </w:style>
  <w:style w:type="paragraph" w:customStyle="1" w:styleId="401">
    <w:name w:val="样式 标题 2Chapter X.X. Statementh22Header 2l2Level 2 Headhea..."/>
    <w:basedOn w:val="3"/>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2">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04">
    <w:name w:val="IBM 正文"/>
    <w:basedOn w:val="1"/>
    <w:qFormat/>
    <w:uiPriority w:val="0"/>
    <w:pPr>
      <w:spacing w:line="360" w:lineRule="atLeast"/>
    </w:pPr>
    <w:rPr>
      <w:sz w:val="24"/>
      <w:szCs w:val="20"/>
    </w:rPr>
  </w:style>
  <w:style w:type="paragraph" w:customStyle="1" w:styleId="405">
    <w:name w:val="正文 1.1"/>
    <w:basedOn w:val="1"/>
    <w:next w:val="399"/>
    <w:qFormat/>
    <w:uiPriority w:val="0"/>
    <w:pPr>
      <w:numPr>
        <w:ilvl w:val="1"/>
        <w:numId w:val="10"/>
      </w:numPr>
      <w:tabs>
        <w:tab w:val="clear" w:pos="851"/>
      </w:tabs>
      <w:ind w:left="980" w:hanging="980" w:hangingChars="350"/>
      <w:outlineLvl w:val="1"/>
    </w:pPr>
    <w:rPr>
      <w:rFonts w:ascii="仿宋" w:hAnsi="仿宋"/>
      <w:b/>
    </w:rPr>
  </w:style>
  <w:style w:type="paragraph" w:customStyle="1" w:styleId="40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07">
    <w:name w:val="表格内文"/>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8">
    <w:name w:val="表格内容"/>
    <w:basedOn w:val="21"/>
    <w:qFormat/>
    <w:uiPriority w:val="0"/>
    <w:pPr>
      <w:suppressLineNumbers/>
      <w:suppressAutoHyphens/>
    </w:pPr>
    <w:rPr>
      <w:kern w:val="1"/>
      <w:sz w:val="21"/>
      <w:lang w:eastAsia="ar-SA"/>
    </w:rPr>
  </w:style>
  <w:style w:type="paragraph" w:customStyle="1" w:styleId="409">
    <w:name w:val="浅色列表 - 强调文字颜色 31"/>
    <w:qFormat/>
    <w:uiPriority w:val="71"/>
    <w:rPr>
      <w:rFonts w:ascii="Times New Roman" w:hAnsi="Times New Roman" w:eastAsia="宋体" w:cs="Times New Roman"/>
      <w:kern w:val="2"/>
      <w:sz w:val="21"/>
      <w:szCs w:val="22"/>
      <w:lang w:val="en-US" w:eastAsia="zh-CN" w:bidi="ar-SA"/>
    </w:rPr>
  </w:style>
  <w:style w:type="paragraph" w:customStyle="1" w:styleId="410">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11">
    <w:name w:val="Char11"/>
    <w:basedOn w:val="1"/>
    <w:qFormat/>
    <w:uiPriority w:val="0"/>
    <w:rPr>
      <w:rFonts w:ascii="仿宋_GB2312" w:eastAsia="仿宋_GB2312"/>
      <w:b/>
      <w:sz w:val="32"/>
      <w:szCs w:val="32"/>
    </w:rPr>
  </w:style>
  <w:style w:type="paragraph" w:customStyle="1" w:styleId="412">
    <w:name w:val="pbulletcmt"/>
    <w:basedOn w:val="1"/>
    <w:qFormat/>
    <w:uiPriority w:val="0"/>
    <w:pPr>
      <w:widowControl/>
      <w:spacing w:before="100" w:beforeAutospacing="1" w:after="100" w:afterAutospacing="1"/>
      <w:jc w:val="left"/>
    </w:pPr>
    <w:rPr>
      <w:rFonts w:eastAsia="Times New Roman"/>
      <w:kern w:val="0"/>
      <w:sz w:val="24"/>
      <w:szCs w:val="24"/>
    </w:rPr>
  </w:style>
  <w:style w:type="paragraph" w:customStyle="1" w:styleId="413">
    <w:name w:val="aff5"/>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4">
    <w:name w:val="注意事项"/>
    <w:basedOn w:val="1"/>
    <w:qFormat/>
    <w:uiPriority w:val="0"/>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6">
    <w:name w:val="Blockquote"/>
    <w:basedOn w:val="1"/>
    <w:qFormat/>
    <w:uiPriority w:val="0"/>
    <w:pPr>
      <w:widowControl/>
      <w:spacing w:before="100" w:afterLines="50"/>
      <w:ind w:left="360" w:right="360"/>
      <w:jc w:val="left"/>
    </w:pPr>
    <w:rPr>
      <w:rFonts w:ascii="宋体"/>
      <w:snapToGrid w:val="0"/>
      <w:kern w:val="0"/>
      <w:sz w:val="24"/>
      <w:szCs w:val="20"/>
      <w:lang w:val="en-CA"/>
    </w:rPr>
  </w:style>
  <w:style w:type="paragraph" w:customStyle="1" w:styleId="41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18">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19">
    <w:name w:val="正文样式 首行缩进:  0.74 厘米"/>
    <w:basedOn w:val="1"/>
    <w:qFormat/>
    <w:uiPriority w:val="0"/>
    <w:pPr>
      <w:widowControl/>
      <w:tabs>
        <w:tab w:val="right" w:pos="8640"/>
      </w:tabs>
      <w:spacing w:beforeLines="50" w:line="360" w:lineRule="auto"/>
      <w:ind w:firstLine="420"/>
    </w:pPr>
    <w:rPr>
      <w:kern w:val="0"/>
      <w:sz w:val="24"/>
      <w:szCs w:val="20"/>
      <w:lang w:bidi="he-IL"/>
    </w:rPr>
  </w:style>
  <w:style w:type="paragraph" w:customStyle="1" w:styleId="420">
    <w:name w:val="Char Char1 Char1"/>
    <w:basedOn w:val="1"/>
    <w:qFormat/>
    <w:uiPriority w:val="0"/>
    <w:rPr>
      <w:rFonts w:ascii="仿宋_GB2312" w:eastAsia="仿宋_GB2312"/>
      <w:b/>
      <w:sz w:val="32"/>
      <w:szCs w:val="32"/>
    </w:rPr>
  </w:style>
  <w:style w:type="paragraph" w:customStyle="1" w:styleId="421">
    <w:name w:val="红日标题"/>
    <w:basedOn w:val="49"/>
    <w:next w:val="1"/>
    <w:qFormat/>
    <w:uiPriority w:val="0"/>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2">
    <w:name w:val="pa-17"/>
    <w:basedOn w:val="1"/>
    <w:qFormat/>
    <w:uiPriority w:val="0"/>
    <w:pPr>
      <w:widowControl/>
      <w:spacing w:before="150" w:after="150"/>
      <w:jc w:val="left"/>
    </w:pPr>
    <w:rPr>
      <w:rFonts w:ascii="宋体" w:hAnsi="宋体" w:cs="宋体"/>
      <w:kern w:val="0"/>
      <w:sz w:val="24"/>
      <w:szCs w:val="24"/>
    </w:rPr>
  </w:style>
  <w:style w:type="paragraph" w:customStyle="1" w:styleId="423">
    <w:name w:val="文本框内文字"/>
    <w:basedOn w:val="1"/>
    <w:qFormat/>
    <w:uiPriority w:val="0"/>
    <w:pPr>
      <w:spacing w:line="0" w:lineRule="atLeast"/>
    </w:pPr>
    <w:rPr>
      <w:rFonts w:eastAsia="仿宋_GB2312"/>
      <w:sz w:val="22"/>
      <w:szCs w:val="24"/>
    </w:rPr>
  </w:style>
  <w:style w:type="paragraph" w:customStyle="1" w:styleId="424">
    <w:name w:val="psubhead2cmt"/>
    <w:basedOn w:val="1"/>
    <w:qFormat/>
    <w:uiPriority w:val="0"/>
    <w:pPr>
      <w:widowControl/>
      <w:spacing w:before="100" w:beforeAutospacing="1" w:after="100" w:afterAutospacing="1"/>
      <w:jc w:val="left"/>
    </w:pPr>
    <w:rPr>
      <w:rFonts w:eastAsia="Times New Roman"/>
      <w:kern w:val="0"/>
      <w:sz w:val="24"/>
      <w:szCs w:val="24"/>
    </w:rPr>
  </w:style>
  <w:style w:type="paragraph" w:customStyle="1" w:styleId="425">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6">
    <w:name w:val="正文居中"/>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7">
    <w:name w:val="要点2"/>
    <w:basedOn w:val="1"/>
    <w:qFormat/>
    <w:uiPriority w:val="0"/>
    <w:pPr>
      <w:spacing w:line="360" w:lineRule="auto"/>
      <w:ind w:left="420" w:hanging="420"/>
    </w:pPr>
    <w:rPr>
      <w:b/>
      <w:szCs w:val="21"/>
      <w:shd w:val="pct10" w:color="auto" w:fill="FFFFFF"/>
    </w:rPr>
  </w:style>
  <w:style w:type="paragraph" w:customStyle="1" w:styleId="428">
    <w:name w:val="标准标题3"/>
    <w:basedOn w:val="4"/>
    <w:qFormat/>
    <w:uiPriority w:val="0"/>
    <w:pPr>
      <w:tabs>
        <w:tab w:val="left" w:pos="1050"/>
      </w:tabs>
      <w:spacing w:line="240" w:lineRule="auto"/>
      <w:ind w:left="-258" w:leftChars="-258"/>
    </w:pPr>
    <w:rPr>
      <w:rFonts w:eastAsia="仿宋_GB2312"/>
      <w:sz w:val="28"/>
    </w:rPr>
  </w:style>
  <w:style w:type="paragraph" w:customStyle="1" w:styleId="429">
    <w:name w:val="正文居中标题1"/>
    <w:basedOn w:val="1"/>
    <w:qFormat/>
    <w:uiPriority w:val="0"/>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0">
    <w:name w:val="默认段落字体 Para Char Char Char Char"/>
    <w:basedOn w:val="1"/>
    <w:qFormat/>
    <w:uiPriority w:val="0"/>
    <w:pPr>
      <w:adjustRightInd w:val="0"/>
      <w:spacing w:line="360" w:lineRule="auto"/>
    </w:pPr>
    <w:rPr>
      <w:kern w:val="0"/>
      <w:sz w:val="24"/>
      <w:szCs w:val="20"/>
    </w:rPr>
  </w:style>
  <w:style w:type="paragraph" w:customStyle="1" w:styleId="431">
    <w:name w:val="大汉正文"/>
    <w:basedOn w:val="1"/>
    <w:qFormat/>
    <w:uiPriority w:val="0"/>
    <w:pPr>
      <w:spacing w:line="360" w:lineRule="auto"/>
      <w:ind w:firstLine="200" w:firstLineChars="200"/>
      <w:jc w:val="left"/>
    </w:pPr>
    <w:rPr>
      <w:rFonts w:ascii="宋体"/>
      <w:kern w:val="0"/>
      <w:sz w:val="24"/>
      <w:szCs w:val="24"/>
    </w:rPr>
  </w:style>
  <w:style w:type="paragraph" w:customStyle="1" w:styleId="432">
    <w:name w:val="List Paragraph1"/>
    <w:basedOn w:val="1"/>
    <w:qFormat/>
    <w:uiPriority w:val="0"/>
    <w:pPr>
      <w:ind w:firstLine="420" w:firstLineChars="200"/>
    </w:pPr>
    <w:rPr>
      <w:szCs w:val="24"/>
    </w:rPr>
  </w:style>
  <w:style w:type="paragraph" w:customStyle="1" w:styleId="433">
    <w:name w:val="Bullet1"/>
    <w:basedOn w:val="1"/>
    <w:qFormat/>
    <w:uiPriority w:val="0"/>
    <w:pPr>
      <w:spacing w:afterLines="50"/>
      <w:ind w:left="720" w:hanging="432"/>
      <w:jc w:val="left"/>
    </w:pPr>
    <w:rPr>
      <w:rFonts w:ascii="宋体"/>
      <w:snapToGrid w:val="0"/>
      <w:kern w:val="0"/>
      <w:szCs w:val="20"/>
    </w:rPr>
  </w:style>
  <w:style w:type="paragraph" w:customStyle="1" w:styleId="43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5">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436">
    <w:name w:val="正文首行缩进 211"/>
    <w:basedOn w:val="437"/>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37">
    <w:name w:val="正文文本缩进11"/>
    <w:basedOn w:val="1"/>
    <w:qFormat/>
    <w:uiPriority w:val="0"/>
    <w:pPr>
      <w:spacing w:after="120"/>
      <w:ind w:left="420" w:leftChars="200"/>
    </w:pPr>
    <w:rPr>
      <w:rFonts w:cs="黑体"/>
    </w:rPr>
  </w:style>
  <w:style w:type="paragraph" w:customStyle="1" w:styleId="438">
    <w:name w:val="文档结构图11"/>
    <w:basedOn w:val="1"/>
    <w:qFormat/>
    <w:uiPriority w:val="0"/>
    <w:rPr>
      <w:rFonts w:ascii="宋体"/>
      <w:kern w:val="0"/>
      <w:sz w:val="18"/>
      <w:szCs w:val="18"/>
    </w:rPr>
  </w:style>
  <w:style w:type="paragraph" w:customStyle="1" w:styleId="439">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440">
    <w:name w:val="pa-7"/>
    <w:basedOn w:val="1"/>
    <w:qFormat/>
    <w:uiPriority w:val="0"/>
    <w:pPr>
      <w:widowControl/>
      <w:spacing w:before="150" w:after="150"/>
      <w:jc w:val="left"/>
    </w:pPr>
    <w:rPr>
      <w:rFonts w:ascii="宋体" w:hAnsi="宋体" w:cs="宋体"/>
      <w:kern w:val="0"/>
      <w:sz w:val="24"/>
      <w:szCs w:val="24"/>
    </w:rPr>
  </w:style>
  <w:style w:type="paragraph" w:customStyle="1" w:styleId="441">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442">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443">
    <w:name w:val="S4-I-U-L15-No-dot"/>
    <w:basedOn w:val="1"/>
    <w:qFormat/>
    <w:uiPriority w:val="0"/>
    <w:pPr>
      <w:numPr>
        <w:ilvl w:val="1"/>
        <w:numId w:val="13"/>
      </w:numPr>
      <w:tabs>
        <w:tab w:val="left" w:pos="1112"/>
        <w:tab w:val="clear" w:pos="1680"/>
      </w:tabs>
      <w:spacing w:after="120" w:line="360" w:lineRule="auto"/>
      <w:ind w:left="1112"/>
    </w:pPr>
    <w:rPr>
      <w:i/>
      <w:sz w:val="24"/>
      <w:szCs w:val="24"/>
      <w:u w:val="single"/>
    </w:rPr>
  </w:style>
  <w:style w:type="paragraph" w:customStyle="1" w:styleId="444">
    <w:name w:val="正文样式"/>
    <w:basedOn w:val="1"/>
    <w:qFormat/>
    <w:uiPriority w:val="0"/>
    <w:pPr>
      <w:spacing w:line="360" w:lineRule="auto"/>
      <w:ind w:firstLine="200" w:firstLineChars="200"/>
    </w:pPr>
    <w:rPr>
      <w:rFonts w:ascii="宋体"/>
      <w:sz w:val="24"/>
      <w:szCs w:val="24"/>
    </w:rPr>
  </w:style>
  <w:style w:type="paragraph" w:customStyle="1" w:styleId="445">
    <w:name w:val="列表（编号二级）（绿盟科技）"/>
    <w:basedOn w:val="446"/>
    <w:qFormat/>
    <w:uiPriority w:val="0"/>
    <w:pPr>
      <w:numPr>
        <w:ilvl w:val="1"/>
      </w:numPr>
      <w:spacing w:beforeLines="0"/>
      <w:ind w:left="1260"/>
    </w:pPr>
  </w:style>
  <w:style w:type="paragraph" w:customStyle="1" w:styleId="446">
    <w:name w:val="列表（编号一级）（绿盟科技）"/>
    <w:basedOn w:val="1"/>
    <w:qFormat/>
    <w:uiPriority w:val="0"/>
    <w:pPr>
      <w:widowControl/>
      <w:numPr>
        <w:ilvl w:val="0"/>
        <w:numId w:val="14"/>
      </w:numPr>
      <w:spacing w:beforeLines="25" w:line="300" w:lineRule="auto"/>
      <w:jc w:val="left"/>
    </w:pPr>
    <w:rPr>
      <w:rFonts w:ascii="Arial" w:hAnsi="Arial"/>
      <w:kern w:val="0"/>
      <w:szCs w:val="21"/>
    </w:rPr>
  </w:style>
  <w:style w:type="paragraph" w:customStyle="1" w:styleId="447">
    <w:name w:val="目录标题"/>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8">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49">
    <w:name w:val="样式　标题4"/>
    <w:basedOn w:val="305"/>
    <w:next w:val="1"/>
    <w:qFormat/>
    <w:uiPriority w:val="0"/>
    <w:pPr>
      <w:numPr>
        <w:numId w:val="0"/>
      </w:numPr>
      <w:ind w:left="425" w:hanging="425"/>
    </w:pPr>
  </w:style>
  <w:style w:type="paragraph" w:customStyle="1" w:styleId="450">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451">
    <w:name w:val="样式 样式 正文文本缩进 + 仿宋_GB2312 小四 首行缩进:  0 厘米 行距: 1.5 倍行距 + (中文) 仿宋_GB..."/>
    <w:basedOn w:val="400"/>
    <w:qFormat/>
    <w:uiPriority w:val="0"/>
    <w:pPr>
      <w:ind w:firstLine="480" w:firstLineChars="200"/>
    </w:pPr>
  </w:style>
  <w:style w:type="paragraph" w:customStyle="1" w:styleId="452">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453">
    <w:name w:val="aff"/>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4">
    <w:name w:val="Char Char Char Char Char Char Char1"/>
    <w:basedOn w:val="1"/>
    <w:qFormat/>
    <w:uiPriority w:val="0"/>
    <w:pPr>
      <w:tabs>
        <w:tab w:val="left" w:pos="432"/>
      </w:tabs>
      <w:ind w:left="432" w:hanging="432"/>
    </w:pPr>
    <w:rPr>
      <w:rFonts w:ascii="Tahoma" w:hAnsi="Tahoma"/>
      <w:sz w:val="24"/>
      <w:szCs w:val="20"/>
    </w:rPr>
  </w:style>
  <w:style w:type="paragraph" w:customStyle="1" w:styleId="455">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456">
    <w:name w:val="贷方"/>
    <w:basedOn w:val="1"/>
    <w:qFormat/>
    <w:uiPriority w:val="0"/>
    <w:pPr>
      <w:ind w:left="1890" w:leftChars="900"/>
    </w:pPr>
    <w:rPr>
      <w:sz w:val="24"/>
      <w:szCs w:val="24"/>
    </w:rPr>
  </w:style>
  <w:style w:type="paragraph" w:customStyle="1" w:styleId="457">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458">
    <w:name w:val="表格中序号"/>
    <w:basedOn w:val="1"/>
    <w:qFormat/>
    <w:uiPriority w:val="0"/>
    <w:pPr>
      <w:spacing w:line="288" w:lineRule="auto"/>
      <w:jc w:val="center"/>
    </w:pPr>
    <w:rPr>
      <w:rFonts w:ascii="新宋体" w:eastAsia="新宋体"/>
      <w:sz w:val="24"/>
      <w:szCs w:val="24"/>
    </w:rPr>
  </w:style>
  <w:style w:type="paragraph" w:customStyle="1" w:styleId="459">
    <w:name w:val="linyang-正文"/>
    <w:basedOn w:val="1"/>
    <w:qFormat/>
    <w:uiPriority w:val="0"/>
    <w:pPr>
      <w:spacing w:before="120" w:after="120" w:line="400" w:lineRule="exact"/>
      <w:ind w:firstLine="200" w:firstLineChars="200"/>
    </w:pPr>
    <w:rPr>
      <w:sz w:val="24"/>
      <w:szCs w:val="24"/>
    </w:rPr>
  </w:style>
  <w:style w:type="paragraph" w:customStyle="1" w:styleId="460">
    <w:name w:val="_Style 13"/>
    <w:basedOn w:val="1"/>
    <w:qFormat/>
    <w:uiPriority w:val="0"/>
    <w:pPr>
      <w:tabs>
        <w:tab w:val="left" w:pos="360"/>
      </w:tabs>
      <w:ind w:firstLine="420" w:firstLineChars="150"/>
    </w:pPr>
    <w:rPr>
      <w:szCs w:val="20"/>
    </w:rPr>
  </w:style>
  <w:style w:type="paragraph" w:customStyle="1" w:styleId="461">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462">
    <w:name w:val="FA正文+标号"/>
    <w:basedOn w:val="1"/>
    <w:qFormat/>
    <w:uiPriority w:val="0"/>
    <w:pPr>
      <w:tabs>
        <w:tab w:val="left" w:pos="3375"/>
      </w:tabs>
      <w:spacing w:line="400" w:lineRule="exact"/>
    </w:pPr>
    <w:rPr>
      <w:rFonts w:ascii="仿宋_GB2312" w:hAnsi="宋体" w:eastAsia="仿宋_GB2312"/>
      <w:sz w:val="24"/>
      <w:szCs w:val="24"/>
    </w:rPr>
  </w:style>
  <w:style w:type="paragraph" w:customStyle="1" w:styleId="463">
    <w:name w:val="Char Char1 Char Char Char Char Char Char Char Char Char Char Char Char Char Char1"/>
    <w:basedOn w:val="1"/>
    <w:qFormat/>
    <w:uiPriority w:val="0"/>
    <w:pPr>
      <w:widowControl/>
      <w:spacing w:after="160" w:line="240" w:lineRule="exact"/>
      <w:jc w:val="left"/>
    </w:pPr>
    <w:rPr>
      <w:szCs w:val="20"/>
    </w:rPr>
  </w:style>
  <w:style w:type="paragraph" w:customStyle="1" w:styleId="464">
    <w:name w:val="Char1 Char Char Char1"/>
    <w:basedOn w:val="1"/>
    <w:qFormat/>
    <w:uiPriority w:val="0"/>
    <w:rPr>
      <w:rFonts w:ascii="Tahoma" w:hAnsi="Tahoma"/>
      <w:sz w:val="24"/>
      <w:szCs w:val="20"/>
    </w:rPr>
  </w:style>
  <w:style w:type="paragraph" w:customStyle="1" w:styleId="465">
    <w:name w:val="标题 3Chapter X.X.X. + 段后: 0.5 行 + 段后: 0.5 行 + 段后: 0.5 行1"/>
    <w:basedOn w:val="292"/>
    <w:qFormat/>
    <w:uiPriority w:val="0"/>
  </w:style>
  <w:style w:type="paragraph" w:customStyle="1" w:styleId="466">
    <w:name w:val="样式 纯文本 + 首行缩进:  2 字符 Char Char Char Char Char Char Char Char Char Char Char Char Char Char Char Char Char Char Char Char Char Char Char Char"/>
    <w:basedOn w:val="28"/>
    <w:qFormat/>
    <w:uiPriority w:val="0"/>
    <w:pPr>
      <w:spacing w:beforeLines="0" w:afterLines="0" w:line="360" w:lineRule="auto"/>
      <w:jc w:val="left"/>
    </w:pPr>
    <w:rPr>
      <w:rFonts w:eastAsia="仿宋_GB2312" w:cs="Arial"/>
      <w:sz w:val="28"/>
      <w:szCs w:val="20"/>
    </w:rPr>
  </w:style>
  <w:style w:type="paragraph" w:customStyle="1" w:styleId="467">
    <w:name w:val="样式 标题 1 + 左侧:  0 厘米 首行缩进:  0 厘米"/>
    <w:basedOn w:val="2"/>
    <w:qFormat/>
    <w:uiPriority w:val="0"/>
    <w:pPr>
      <w:keepNext/>
      <w:keepLines/>
      <w:autoSpaceDE/>
      <w:autoSpaceDN/>
      <w:adjustRightInd/>
      <w:spacing w:after="120"/>
      <w:jc w:val="both"/>
    </w:pPr>
    <w:rPr>
      <w:rFonts w:ascii="黑体" w:eastAsia="黑体" w:cs="宋体"/>
      <w:kern w:val="44"/>
    </w:rPr>
  </w:style>
  <w:style w:type="paragraph" w:customStyle="1" w:styleId="468">
    <w:name w:val="样式 标题 5 + 五号 居中 段前: 1.5 磅 段后: 1.5 磅 行距: 多倍行距 1.57 字行"/>
    <w:basedOn w:val="7"/>
    <w:qFormat/>
    <w:uiPriority w:val="0"/>
    <w:pPr>
      <w:tabs>
        <w:tab w:val="clear" w:pos="992"/>
      </w:tabs>
      <w:spacing w:before="30" w:after="30" w:line="377" w:lineRule="auto"/>
      <w:ind w:left="0" w:firstLine="0"/>
      <w:jc w:val="center"/>
    </w:pPr>
    <w:rPr>
      <w:rFonts w:cs="宋体"/>
      <w:sz w:val="21"/>
      <w:szCs w:val="20"/>
    </w:rPr>
  </w:style>
  <w:style w:type="paragraph" w:customStyle="1" w:styleId="469">
    <w:name w:val="Normal0"/>
    <w:qFormat/>
    <w:uiPriority w:val="0"/>
    <w:rPr>
      <w:rFonts w:ascii="Times New Roman" w:hAnsi="Times New Roman" w:eastAsia="宋体" w:cs="Times New Roman"/>
      <w:lang w:val="en-US" w:eastAsia="en-US" w:bidi="ar-SA"/>
    </w:rPr>
  </w:style>
  <w:style w:type="paragraph" w:customStyle="1" w:styleId="470">
    <w:name w:val="InfoBlue"/>
    <w:basedOn w:val="1"/>
    <w:next w:val="21"/>
    <w:qFormat/>
    <w:uiPriority w:val="0"/>
    <w:pPr>
      <w:spacing w:afterLines="50"/>
      <w:ind w:left="720"/>
      <w:jc w:val="left"/>
    </w:pPr>
    <w:rPr>
      <w:rFonts w:ascii="宋体"/>
      <w:i/>
      <w:snapToGrid w:val="0"/>
      <w:color w:val="0000FF"/>
      <w:kern w:val="0"/>
      <w:szCs w:val="20"/>
    </w:rPr>
  </w:style>
  <w:style w:type="paragraph" w:customStyle="1" w:styleId="471">
    <w:name w:val="二级标题"/>
    <w:basedOn w:val="3"/>
    <w:qFormat/>
    <w:uiPriority w:val="0"/>
    <w:pPr>
      <w:tabs>
        <w:tab w:val="left" w:pos="1116"/>
      </w:tabs>
      <w:ind w:left="1116" w:hanging="576"/>
    </w:pPr>
    <w:rPr>
      <w:rFonts w:ascii="黑体" w:hAnsi="Cambria"/>
      <w:kern w:val="0"/>
    </w:rPr>
  </w:style>
  <w:style w:type="paragraph" w:customStyle="1" w:styleId="472">
    <w:name w:val="正文空4格  1）"/>
    <w:basedOn w:val="1"/>
    <w:qFormat/>
    <w:uiPriority w:val="0"/>
    <w:pPr>
      <w:ind w:firstLine="1120" w:firstLineChars="400"/>
    </w:pPr>
    <w:rPr>
      <w:rFonts w:cs="宋体"/>
      <w:szCs w:val="20"/>
    </w:rPr>
  </w:style>
  <w:style w:type="paragraph" w:customStyle="1" w:styleId="473">
    <w:name w:val="S4-L15"/>
    <w:basedOn w:val="1"/>
    <w:qFormat/>
    <w:uiPriority w:val="0"/>
    <w:pPr>
      <w:spacing w:after="120" w:line="360" w:lineRule="auto"/>
      <w:ind w:left="720" w:firstLine="392"/>
    </w:pPr>
    <w:rPr>
      <w:szCs w:val="21"/>
      <w:lang w:val="fr-FR"/>
    </w:rPr>
  </w:style>
  <w:style w:type="paragraph" w:customStyle="1" w:styleId="474">
    <w:name w:val="样式 标题 1 + 五号"/>
    <w:basedOn w:val="2"/>
    <w:qFormat/>
    <w:uiPriority w:val="0"/>
    <w:pPr>
      <w:keepNext/>
      <w:keepLines/>
      <w:autoSpaceDE/>
      <w:autoSpaceDN/>
      <w:adjustRightInd/>
      <w:spacing w:line="240" w:lineRule="auto"/>
    </w:pPr>
    <w:rPr>
      <w:rFonts w:eastAsia="宋体"/>
      <w:kern w:val="44"/>
      <w:sz w:val="32"/>
      <w:szCs w:val="32"/>
    </w:rPr>
  </w:style>
  <w:style w:type="paragraph" w:customStyle="1" w:styleId="475">
    <w:name w:val="正文-带编号1)"/>
    <w:basedOn w:val="1"/>
    <w:qFormat/>
    <w:uiPriority w:val="0"/>
    <w:pPr>
      <w:numPr>
        <w:ilvl w:val="0"/>
        <w:numId w:val="15"/>
      </w:numPr>
      <w:spacing w:line="400" w:lineRule="exact"/>
    </w:pPr>
    <w:rPr>
      <w:rFonts w:ascii="Arial" w:hAnsi="Arial"/>
      <w:szCs w:val="24"/>
    </w:rPr>
  </w:style>
  <w:style w:type="paragraph" w:customStyle="1" w:styleId="47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77">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8">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479">
    <w:name w:val="图样式"/>
    <w:basedOn w:val="1"/>
    <w:qFormat/>
    <w:uiPriority w:val="0"/>
    <w:pPr>
      <w:keepNext/>
      <w:widowControl/>
      <w:spacing w:before="80" w:after="80"/>
      <w:jc w:val="center"/>
    </w:pPr>
    <w:rPr>
      <w:szCs w:val="20"/>
    </w:rPr>
  </w:style>
  <w:style w:type="paragraph" w:customStyle="1" w:styleId="480">
    <w:name w:val="沈标题四"/>
    <w:basedOn w:val="6"/>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1">
    <w:name w:val="Char Char Char"/>
    <w:basedOn w:val="1"/>
    <w:qFormat/>
    <w:uiPriority w:val="0"/>
  </w:style>
  <w:style w:type="paragraph" w:customStyle="1" w:styleId="482">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3">
    <w:name w:val="Char Char Char Char Char Char Char Char Char Char1"/>
    <w:basedOn w:val="1"/>
    <w:qFormat/>
    <w:uiPriority w:val="0"/>
    <w:pPr>
      <w:tabs>
        <w:tab w:val="left" w:pos="360"/>
      </w:tabs>
      <w:ind w:left="480" w:hanging="480" w:hangingChars="200"/>
    </w:pPr>
    <w:rPr>
      <w:rFonts w:ascii="仿宋_GB2312" w:eastAsia="仿宋_GB2312"/>
      <w:b/>
      <w:sz w:val="24"/>
      <w:szCs w:val="24"/>
    </w:rPr>
  </w:style>
  <w:style w:type="paragraph" w:customStyle="1" w:styleId="484">
    <w:name w:val="P3"/>
    <w:basedOn w:val="1"/>
    <w:qFormat/>
    <w:uiPriority w:val="0"/>
    <w:pPr>
      <w:widowControl/>
      <w:spacing w:before="240" w:line="240" w:lineRule="atLeast"/>
      <w:ind w:left="1152"/>
      <w:jc w:val="left"/>
    </w:pPr>
    <w:rPr>
      <w:b/>
      <w:kern w:val="0"/>
      <w:szCs w:val="21"/>
      <w:lang w:val="en-AU" w:eastAsia="en-US"/>
    </w:rPr>
  </w:style>
  <w:style w:type="paragraph" w:customStyle="1" w:styleId="48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486">
    <w:name w:val="此正文"/>
    <w:basedOn w:val="1"/>
    <w:qFormat/>
    <w:uiPriority w:val="0"/>
    <w:pPr>
      <w:spacing w:line="360" w:lineRule="auto"/>
      <w:ind w:firstLine="200" w:firstLineChars="200"/>
    </w:pPr>
    <w:rPr>
      <w:sz w:val="24"/>
      <w:szCs w:val="24"/>
    </w:rPr>
  </w:style>
  <w:style w:type="paragraph" w:customStyle="1" w:styleId="487">
    <w:name w:val="列出段落11"/>
    <w:basedOn w:val="1"/>
    <w:qFormat/>
    <w:uiPriority w:val="0"/>
    <w:pPr>
      <w:ind w:firstLine="420" w:firstLineChars="200"/>
    </w:pPr>
  </w:style>
  <w:style w:type="paragraph" w:customStyle="1" w:styleId="488">
    <w:name w:val="正文文本 New"/>
    <w:basedOn w:val="1"/>
    <w:qFormat/>
    <w:uiPriority w:val="0"/>
    <w:pPr>
      <w:spacing w:after="120"/>
    </w:pPr>
    <w:rPr>
      <w:sz w:val="28"/>
      <w:szCs w:val="24"/>
    </w:rPr>
  </w:style>
  <w:style w:type="paragraph" w:customStyle="1" w:styleId="489">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0">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491">
    <w:name w:val="[Normal]"/>
    <w:qFormat/>
    <w:uiPriority w:val="0"/>
    <w:rPr>
      <w:rFonts w:ascii="宋体" w:hAnsi="宋体" w:eastAsia="宋体" w:cs="Times New Roman"/>
      <w:sz w:val="24"/>
      <w:lang w:val="zh-CN" w:eastAsia="zh-CN" w:bidi="ar-SA"/>
    </w:rPr>
  </w:style>
  <w:style w:type="paragraph" w:customStyle="1" w:styleId="492">
    <w:name w:val="样式 标题 3Chapter X.X.X"/>
    <w:basedOn w:val="465"/>
    <w:qFormat/>
    <w:uiPriority w:val="0"/>
    <w:pPr>
      <w:spacing w:afterLines="0"/>
    </w:pPr>
  </w:style>
  <w:style w:type="paragraph" w:customStyle="1" w:styleId="493">
    <w:name w:val="15"/>
    <w:basedOn w:val="1"/>
    <w:qFormat/>
    <w:uiPriority w:val="0"/>
    <w:pPr>
      <w:widowControl/>
      <w:spacing w:line="312" w:lineRule="auto"/>
      <w:ind w:firstLine="202"/>
    </w:pPr>
    <w:rPr>
      <w:kern w:val="0"/>
      <w:sz w:val="24"/>
      <w:szCs w:val="24"/>
    </w:rPr>
  </w:style>
  <w:style w:type="paragraph" w:customStyle="1" w:styleId="494">
    <w:name w:val="二级项目符号"/>
    <w:basedOn w:val="1"/>
    <w:qFormat/>
    <w:uiPriority w:val="0"/>
    <w:pPr>
      <w:widowControl/>
      <w:tabs>
        <w:tab w:val="left" w:pos="964"/>
      </w:tabs>
      <w:spacing w:line="360" w:lineRule="auto"/>
      <w:ind w:left="964" w:hanging="482"/>
    </w:pPr>
    <w:rPr>
      <w:kern w:val="0"/>
      <w:sz w:val="24"/>
      <w:szCs w:val="20"/>
    </w:rPr>
  </w:style>
  <w:style w:type="paragraph" w:customStyle="1" w:styleId="495">
    <w:name w:val="标准有序列表（L1）"/>
    <w:basedOn w:val="5"/>
    <w:qFormat/>
    <w:uiPriority w:val="0"/>
    <w:pPr>
      <w:tabs>
        <w:tab w:val="left" w:pos="0"/>
      </w:tabs>
      <w:spacing w:line="360" w:lineRule="auto"/>
      <w:ind w:firstLine="0"/>
    </w:pPr>
    <w:rPr>
      <w:rFonts w:ascii="黑体" w:eastAsia="黑体"/>
      <w:color w:val="000000"/>
      <w:sz w:val="24"/>
    </w:rPr>
  </w:style>
  <w:style w:type="paragraph" w:customStyle="1" w:styleId="496">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7">
    <w:name w:val="表格标题"/>
    <w:basedOn w:val="408"/>
    <w:qFormat/>
    <w:uiPriority w:val="0"/>
    <w:pPr>
      <w:numPr>
        <w:ilvl w:val="0"/>
        <w:numId w:val="16"/>
      </w:numPr>
      <w:tabs>
        <w:tab w:val="clear" w:pos="360"/>
      </w:tabs>
      <w:ind w:left="0" w:firstLine="0"/>
      <w:jc w:val="center"/>
    </w:pPr>
    <w:rPr>
      <w:b/>
      <w:bCs/>
      <w:i/>
      <w:iCs/>
    </w:rPr>
  </w:style>
  <w:style w:type="paragraph" w:customStyle="1" w:styleId="498">
    <w:name w:val="内文正文"/>
    <w:basedOn w:val="1"/>
    <w:qFormat/>
    <w:uiPriority w:val="0"/>
    <w:pPr>
      <w:adjustRightInd w:val="0"/>
      <w:snapToGrid w:val="0"/>
      <w:spacing w:line="400" w:lineRule="atLeast"/>
      <w:ind w:firstLine="200" w:firstLineChars="200"/>
    </w:pPr>
    <w:rPr>
      <w:rFonts w:ascii="宋体"/>
      <w:szCs w:val="24"/>
    </w:rPr>
  </w:style>
  <w:style w:type="paragraph" w:customStyle="1" w:styleId="499">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0">
    <w:name w:val="金保标题2"/>
    <w:basedOn w:val="3"/>
    <w:next w:val="1"/>
    <w:qFormat/>
    <w:uiPriority w:val="0"/>
    <w:pPr>
      <w:tabs>
        <w:tab w:val="left" w:pos="709"/>
      </w:tabs>
      <w:spacing w:line="360" w:lineRule="auto"/>
    </w:pPr>
    <w:rPr>
      <w:rFonts w:ascii="Times New Roman" w:hAnsi="Times New Roman"/>
      <w:kern w:val="0"/>
      <w:sz w:val="28"/>
      <w:szCs w:val="28"/>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a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3">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04">
    <w:name w:val="样式 正文（首行缩进两字） + 首行缩进:  2 字符 段后: 0.5 行 行距: 1.5 倍行距"/>
    <w:basedOn w:val="5"/>
    <w:qFormat/>
    <w:uiPriority w:val="0"/>
    <w:pPr>
      <w:spacing w:line="360" w:lineRule="auto"/>
    </w:pPr>
    <w:rPr>
      <w:sz w:val="24"/>
      <w:szCs w:val="24"/>
    </w:rPr>
  </w:style>
  <w:style w:type="paragraph" w:customStyle="1" w:styleId="505">
    <w:name w:val="正文缩进2"/>
    <w:basedOn w:val="1"/>
    <w:qFormat/>
    <w:uiPriority w:val="0"/>
    <w:pPr>
      <w:autoSpaceDE w:val="0"/>
      <w:autoSpaceDN w:val="0"/>
      <w:adjustRightInd w:val="0"/>
      <w:spacing w:after="180" w:line="310" w:lineRule="auto"/>
      <w:ind w:firstLine="420"/>
      <w:jc w:val="left"/>
    </w:pPr>
    <w:rPr>
      <w:kern w:val="0"/>
      <w:sz w:val="20"/>
      <w:szCs w:val="20"/>
    </w:rPr>
  </w:style>
  <w:style w:type="paragraph" w:customStyle="1" w:styleId="506">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7">
    <w:name w:val="S4-L15-No"/>
    <w:basedOn w:val="473"/>
    <w:qFormat/>
    <w:uiPriority w:val="0"/>
    <w:pPr>
      <w:tabs>
        <w:tab w:val="left" w:pos="720"/>
      </w:tabs>
      <w:ind w:hanging="720"/>
    </w:pPr>
  </w:style>
  <w:style w:type="paragraph" w:customStyle="1" w:styleId="508">
    <w:name w:val="Char3 Char Char Char1"/>
    <w:basedOn w:val="1"/>
    <w:qFormat/>
    <w:uiPriority w:val="0"/>
    <w:pPr>
      <w:widowControl/>
      <w:spacing w:after="160" w:line="240" w:lineRule="exact"/>
      <w:jc w:val="left"/>
    </w:pPr>
    <w:rPr>
      <w:szCs w:val="20"/>
    </w:rPr>
  </w:style>
  <w:style w:type="paragraph" w:customStyle="1" w:styleId="509">
    <w:name w:val="样式 样式 标题 4 + 段后: 0.5 行1"/>
    <w:basedOn w:val="323"/>
    <w:next w:val="33"/>
    <w:qFormat/>
    <w:uiPriority w:val="0"/>
    <w:pPr>
      <w:numPr>
        <w:ilvl w:val="1"/>
        <w:numId w:val="2"/>
      </w:numPr>
      <w:ind w:left="0" w:firstLine="0"/>
    </w:pPr>
  </w:style>
  <w:style w:type="paragraph" w:customStyle="1" w:styleId="510">
    <w:name w:val="Paragraph3"/>
    <w:basedOn w:val="1"/>
    <w:qFormat/>
    <w:uiPriority w:val="0"/>
    <w:pPr>
      <w:spacing w:before="80" w:afterLines="50"/>
      <w:ind w:left="1530"/>
    </w:pPr>
    <w:rPr>
      <w:rFonts w:ascii="宋体"/>
      <w:snapToGrid w:val="0"/>
      <w:kern w:val="0"/>
      <w:szCs w:val="20"/>
    </w:rPr>
  </w:style>
  <w:style w:type="paragraph" w:customStyle="1" w:styleId="511">
    <w:name w:val="样式 标题 3(A-3)sect1.2.3h3H3level_3PIM 3Level 3 HeadHeading..."/>
    <w:basedOn w:val="4"/>
    <w:qFormat/>
    <w:uiPriority w:val="0"/>
    <w:rPr>
      <w:rFonts w:ascii="Arial" w:hAnsi="Arial"/>
      <w:sz w:val="30"/>
    </w:rPr>
  </w:style>
  <w:style w:type="paragraph" w:customStyle="1" w:styleId="512">
    <w:name w:val="Bullet 2"/>
    <w:basedOn w:val="21"/>
    <w:qFormat/>
    <w:uiPriority w:val="0"/>
    <w:pPr>
      <w:numPr>
        <w:ilvl w:val="0"/>
        <w:numId w:val="17"/>
      </w:numPr>
      <w:spacing w:beforeLines="10" w:afterLines="10" w:line="264" w:lineRule="auto"/>
    </w:pPr>
    <w:rPr>
      <w:rFonts w:ascii="Arial" w:hAnsi="Arial"/>
      <w:sz w:val="21"/>
      <w:szCs w:val="21"/>
    </w:rPr>
  </w:style>
  <w:style w:type="paragraph" w:customStyle="1" w:styleId="513">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514">
    <w:name w:val="样式 模板描述"/>
    <w:basedOn w:val="1"/>
    <w:next w:val="347"/>
    <w:qFormat/>
    <w:uiPriority w:val="0"/>
    <w:pPr>
      <w:spacing w:afterLines="50"/>
      <w:jc w:val="left"/>
    </w:pPr>
    <w:rPr>
      <w:rFonts w:ascii="宋体" w:cs="宋体"/>
      <w:i/>
      <w:iCs/>
      <w:snapToGrid w:val="0"/>
      <w:color w:val="0000FF"/>
      <w:kern w:val="0"/>
      <w:szCs w:val="21"/>
    </w:rPr>
  </w:style>
  <w:style w:type="paragraph" w:customStyle="1" w:styleId="515">
    <w:name w:val="P2"/>
    <w:basedOn w:val="1"/>
    <w:qFormat/>
    <w:uiPriority w:val="0"/>
    <w:pPr>
      <w:widowControl/>
      <w:spacing w:before="240" w:line="240" w:lineRule="atLeast"/>
      <w:ind w:left="578"/>
      <w:jc w:val="left"/>
    </w:pPr>
    <w:rPr>
      <w:b/>
      <w:kern w:val="0"/>
      <w:szCs w:val="21"/>
      <w:lang w:val="en-AU" w:eastAsia="en-US"/>
    </w:rPr>
  </w:style>
  <w:style w:type="paragraph" w:customStyle="1" w:styleId="516">
    <w:name w:val="标书_正文"/>
    <w:basedOn w:val="1"/>
    <w:qFormat/>
    <w:uiPriority w:val="0"/>
    <w:pPr>
      <w:spacing w:line="360" w:lineRule="auto"/>
    </w:pPr>
    <w:rPr>
      <w:rFonts w:ascii="宋体"/>
      <w:b/>
      <w:kern w:val="0"/>
      <w:sz w:val="32"/>
      <w:szCs w:val="32"/>
    </w:rPr>
  </w:style>
  <w:style w:type="paragraph" w:customStyle="1" w:styleId="517">
    <w:name w:val="样式 样式 正文文本缩进 + 仿宋_GB2312 小四 首行缩进:  0 厘米 行距: 1.5 倍行距 + (中文) 仿宋_GB... Char Char"/>
    <w:basedOn w:val="400"/>
    <w:qFormat/>
    <w:uiPriority w:val="0"/>
    <w:pPr>
      <w:ind w:firstLine="480" w:firstLineChars="200"/>
    </w:pPr>
  </w:style>
  <w:style w:type="paragraph" w:customStyle="1" w:styleId="518">
    <w:name w:val="正文空2格  1."/>
    <w:basedOn w:val="1"/>
    <w:qFormat/>
    <w:uiPriority w:val="0"/>
    <w:pPr>
      <w:ind w:firstLine="480" w:firstLineChars="200"/>
    </w:pPr>
    <w:rPr>
      <w:rFonts w:cs="宋体"/>
      <w:sz w:val="28"/>
      <w:szCs w:val="20"/>
    </w:rPr>
  </w:style>
  <w:style w:type="paragraph" w:customStyle="1" w:styleId="519">
    <w:name w:val="Table - Text"/>
    <w:basedOn w:val="1"/>
    <w:qFormat/>
    <w:uiPriority w:val="0"/>
    <w:pPr>
      <w:widowControl/>
      <w:spacing w:before="60" w:afterLines="50"/>
      <w:jc w:val="left"/>
    </w:pPr>
    <w:rPr>
      <w:kern w:val="0"/>
      <w:szCs w:val="20"/>
      <w:lang w:eastAsia="en-US"/>
    </w:rPr>
  </w:style>
  <w:style w:type="paragraph" w:customStyle="1" w:styleId="52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522">
    <w:name w:val="小标题"/>
    <w:basedOn w:val="21"/>
    <w:qFormat/>
    <w:uiPriority w:val="0"/>
    <w:pPr>
      <w:tabs>
        <w:tab w:val="left" w:pos="840"/>
      </w:tabs>
      <w:spacing w:before="60" w:after="60" w:line="360" w:lineRule="auto"/>
      <w:ind w:left="840" w:hanging="420"/>
    </w:pPr>
    <w:rPr>
      <w:rFonts w:eastAsia="黑体"/>
      <w:sz w:val="24"/>
      <w:szCs w:val="20"/>
    </w:rPr>
  </w:style>
  <w:style w:type="paragraph" w:customStyle="1" w:styleId="523">
    <w:name w:val="首行缩进"/>
    <w:basedOn w:val="1"/>
    <w:qFormat/>
    <w:uiPriority w:val="0"/>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4">
    <w:name w:val="样式 样式 标题 4 + 段后: 0.5 行 + 段后: 0.5 行"/>
    <w:basedOn w:val="323"/>
    <w:qFormat/>
    <w:uiPriority w:val="0"/>
    <w:pPr>
      <w:numPr>
        <w:numId w:val="0"/>
      </w:numPr>
      <w:tabs>
        <w:tab w:val="left" w:pos="864"/>
      </w:tabs>
      <w:ind w:left="864" w:hanging="864"/>
    </w:pPr>
  </w:style>
  <w:style w:type="paragraph" w:customStyle="1" w:styleId="525">
    <w:name w:val="4"/>
    <w:basedOn w:val="1"/>
    <w:qFormat/>
    <w:uiPriority w:val="0"/>
  </w:style>
  <w:style w:type="paragraph" w:customStyle="1" w:styleId="526">
    <w:name w:val="样式 四号 行距: 1.5 倍行距"/>
    <w:basedOn w:val="1"/>
    <w:qFormat/>
    <w:uiPriority w:val="0"/>
    <w:pPr>
      <w:spacing w:line="312" w:lineRule="auto"/>
      <w:ind w:firstLine="202" w:firstLineChars="202"/>
    </w:pPr>
    <w:rPr>
      <w:rFonts w:cs="宋体"/>
      <w:sz w:val="24"/>
      <w:szCs w:val="20"/>
    </w:rPr>
  </w:style>
  <w:style w:type="paragraph" w:customStyle="1" w:styleId="527">
    <w:name w:val="最新标题1"/>
    <w:basedOn w:val="392"/>
    <w:next w:val="394"/>
    <w:qFormat/>
    <w:uiPriority w:val="0"/>
    <w:rPr>
      <w:bCs/>
    </w:rPr>
  </w:style>
  <w:style w:type="paragraph" w:customStyle="1" w:styleId="528">
    <w:name w:val="Main Title"/>
    <w:basedOn w:val="1"/>
    <w:qFormat/>
    <w:uiPriority w:val="0"/>
    <w:pPr>
      <w:spacing w:before="480" w:afterLines="50"/>
      <w:jc w:val="center"/>
    </w:pPr>
    <w:rPr>
      <w:rFonts w:ascii="宋体"/>
      <w:b/>
      <w:snapToGrid w:val="0"/>
      <w:kern w:val="28"/>
      <w:sz w:val="32"/>
      <w:szCs w:val="20"/>
    </w:rPr>
  </w:style>
  <w:style w:type="paragraph" w:customStyle="1" w:styleId="529">
    <w:name w:val="_Style 118"/>
    <w:basedOn w:val="1"/>
    <w:qFormat/>
    <w:uiPriority w:val="0"/>
  </w:style>
  <w:style w:type="paragraph" w:customStyle="1" w:styleId="530">
    <w:name w:val="Tabletext"/>
    <w:basedOn w:val="1"/>
    <w:qFormat/>
    <w:uiPriority w:val="0"/>
    <w:pPr>
      <w:keepLines/>
      <w:spacing w:afterLines="50"/>
      <w:jc w:val="left"/>
    </w:pPr>
    <w:rPr>
      <w:rFonts w:ascii="宋体"/>
      <w:snapToGrid w:val="0"/>
      <w:kern w:val="0"/>
      <w:szCs w:val="20"/>
    </w:rPr>
  </w:style>
  <w:style w:type="table" w:customStyle="1" w:styleId="531">
    <w:name w:val="网格型1"/>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32">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3">
    <w:name w:val="纯文本1"/>
    <w:basedOn w:val="532"/>
    <w:qFormat/>
    <w:uiPriority w:val="0"/>
    <w:pPr>
      <w:widowControl/>
      <w:jc w:val="left"/>
    </w:pPr>
    <w:rPr>
      <w:rFonts w:ascii="宋体" w:hAnsi="Courier New"/>
    </w:rPr>
  </w:style>
  <w:style w:type="paragraph" w:customStyle="1" w:styleId="534">
    <w:name w:val="一级标题"/>
    <w:qFormat/>
    <w:uiPriority w:val="0"/>
    <w:pPr>
      <w:widowControl w:val="0"/>
      <w:spacing w:beforeLines="50" w:afterLines="50" w:line="360" w:lineRule="auto"/>
      <w:jc w:val="center"/>
    </w:pPr>
    <w:rPr>
      <w:rFonts w:ascii="宋体" w:hAnsi="宋体" w:eastAsia="宋体" w:cs="宋体"/>
      <w:b/>
      <w:bCs/>
      <w:kern w:val="2"/>
      <w:sz w:val="36"/>
      <w:szCs w:val="36"/>
      <w:lang w:val="en-US" w:eastAsia="zh-CN" w:bidi="ar-SA"/>
    </w:rPr>
  </w:style>
  <w:style w:type="character" w:customStyle="1" w:styleId="535">
    <w:name w:val="10"/>
    <w:basedOn w:val="55"/>
    <w:qFormat/>
    <w:uiPriority w:val="0"/>
    <w:rPr>
      <w:rFonts w:hint="eastAsia" w:ascii="楷体_GB2312" w:eastAsia="楷体_GB2312"/>
    </w:rPr>
  </w:style>
  <w:style w:type="character" w:customStyle="1" w:styleId="536">
    <w:name w:val="font41"/>
    <w:qFormat/>
    <w:uiPriority w:val="0"/>
    <w:rPr>
      <w:rFonts w:hint="default" w:ascii="Wingdings" w:hAnsi="Wingdings" w:cs="Wingdings"/>
      <w:color w:val="000000"/>
      <w:sz w:val="22"/>
      <w:szCs w:val="22"/>
      <w:u w:val="none"/>
    </w:rPr>
  </w:style>
  <w:style w:type="character" w:customStyle="1" w:styleId="537">
    <w:name w:val="font01"/>
    <w:basedOn w:val="55"/>
    <w:qFormat/>
    <w:uiPriority w:val="0"/>
    <w:rPr>
      <w:rFonts w:hint="eastAsia" w:ascii="宋体" w:hAnsi="宋体" w:eastAsia="宋体" w:cs="宋体"/>
      <w:color w:val="000000"/>
      <w:sz w:val="22"/>
      <w:szCs w:val="22"/>
      <w:u w:val="none"/>
    </w:rPr>
  </w:style>
  <w:style w:type="paragraph" w:customStyle="1" w:styleId="538">
    <w:name w:val="_Style 5"/>
    <w:basedOn w:val="1"/>
    <w:qFormat/>
    <w:uiPriority w:val="0"/>
    <w:pPr>
      <w:widowControl/>
      <w:spacing w:after="160" w:line="259" w:lineRule="auto"/>
      <w:ind w:firstLine="420" w:firstLineChars="200"/>
      <w:jc w:val="left"/>
    </w:pPr>
    <w:rPr>
      <w:rFonts w:ascii="Calibri" w:hAnsi="Calibri" w:eastAsiaTheme="minorEastAsia" w:cstheme="minorBidi"/>
      <w:kern w:val="0"/>
      <w:sz w:val="22"/>
    </w:rPr>
  </w:style>
  <w:style w:type="paragraph" w:customStyle="1" w:styleId="539">
    <w:name w:val="样式 列表编号 + 段后: 0.5 行"/>
    <w:basedOn w:val="14"/>
    <w:qFormat/>
    <w:uiPriority w:val="0"/>
    <w:pPr>
      <w:tabs>
        <w:tab w:val="clear" w:pos="454"/>
      </w:tabs>
      <w:spacing w:after="156" w:line="360" w:lineRule="auto"/>
      <w:ind w:left="720" w:hanging="720"/>
    </w:pPr>
    <w:rPr>
      <w:rFonts w:hint="eastAsia"/>
    </w:rPr>
  </w:style>
  <w:style w:type="paragraph" w:customStyle="1" w:styleId="540">
    <w:name w:val="正文 + 宋体"/>
    <w:basedOn w:val="1"/>
    <w:qFormat/>
    <w:uiPriority w:val="0"/>
    <w:pPr>
      <w:spacing w:beforeLines="10" w:line="400" w:lineRule="atLeast"/>
      <w:ind w:firstLine="420"/>
    </w:pPr>
    <w:rPr>
      <w:rFonts w:ascii="宋体" w:hAnsi="宋体"/>
      <w:szCs w:val="20"/>
    </w:rPr>
  </w:style>
  <w:style w:type="paragraph" w:customStyle="1" w:styleId="541">
    <w:name w:val="DG正文"/>
    <w:basedOn w:val="1"/>
    <w:qFormat/>
    <w:uiPriority w:val="99"/>
    <w:pPr>
      <w:widowControl/>
      <w:spacing w:line="360" w:lineRule="auto"/>
      <w:ind w:right="142" w:firstLine="640" w:firstLineChars="200"/>
      <w:jc w:val="left"/>
    </w:pPr>
    <w:rPr>
      <w:rFonts w:ascii="Calibri" w:hAnsi="Calibri" w:cs="Calibri"/>
      <w:sz w:val="24"/>
      <w:szCs w:val="24"/>
    </w:rPr>
  </w:style>
  <w:style w:type="character" w:customStyle="1" w:styleId="542">
    <w:name w:val="case31"/>
    <w:basedOn w:val="55"/>
    <w:qFormat/>
    <w:uiPriority w:val="0"/>
    <w:rPr>
      <w:rFonts w:hint="default" w:ascii="_x000B__x000C_" w:hAnsi="_x000B__x000C_"/>
      <w:sz w:val="21"/>
      <w:szCs w:val="21"/>
    </w:rPr>
  </w:style>
  <w:style w:type="character" w:customStyle="1" w:styleId="543">
    <w:name w:val="font31"/>
    <w:basedOn w:val="55"/>
    <w:qFormat/>
    <w:uiPriority w:val="0"/>
    <w:rPr>
      <w:rFonts w:hint="eastAsia" w:ascii="等线" w:hAnsi="等线" w:eastAsia="等线" w:cs="等线"/>
      <w:color w:val="000000"/>
      <w:sz w:val="22"/>
      <w:szCs w:val="22"/>
      <w:u w:val="none"/>
    </w:rPr>
  </w:style>
  <w:style w:type="paragraph" w:customStyle="1" w:styleId="544">
    <w:name w:val="Plain Text"/>
    <w:basedOn w:val="545"/>
    <w:qFormat/>
    <w:uiPriority w:val="0"/>
    <w:pPr>
      <w:widowControl/>
      <w:jc w:val="left"/>
    </w:pPr>
    <w:rPr>
      <w:rFonts w:ascii="Times New Roman" w:hAnsi="Courier New" w:eastAsia="宋体" w:cs="Times New Roman"/>
    </w:rPr>
  </w:style>
  <w:style w:type="paragraph" w:customStyle="1" w:styleId="545">
    <w:name w:val="Normal"/>
    <w:basedOn w:val="1"/>
    <w:qFormat/>
    <w:uiPriority w:val="0"/>
    <w:rPr>
      <w:rFonts w:ascii="宋体" w:hAnsi="宋体" w:eastAsia="宋体" w:cs="宋体"/>
      <w:szCs w:val="21"/>
    </w:rPr>
  </w:style>
  <w:style w:type="character" w:customStyle="1" w:styleId="546">
    <w:name w:val="font51"/>
    <w:basedOn w:val="55"/>
    <w:qFormat/>
    <w:uiPriority w:val="0"/>
    <w:rPr>
      <w:rFonts w:hint="eastAsia" w:ascii="等线" w:hAnsi="等线" w:eastAsia="等线" w:cs="等线"/>
      <w:color w:val="000000"/>
      <w:sz w:val="22"/>
      <w:szCs w:val="22"/>
      <w:u w:val="none"/>
    </w:rPr>
  </w:style>
  <w:style w:type="character" w:customStyle="1" w:styleId="547">
    <w:name w:val="font21"/>
    <w:basedOn w:val="55"/>
    <w:qFormat/>
    <w:uiPriority w:val="0"/>
    <w:rPr>
      <w:rFonts w:hint="eastAsia" w:ascii="等线" w:hAnsi="等线" w:eastAsia="等线" w:cs="等线"/>
      <w:color w:val="000000"/>
      <w:sz w:val="22"/>
      <w:szCs w:val="22"/>
      <w:u w:val="none"/>
    </w:rPr>
  </w:style>
  <w:style w:type="character" w:customStyle="1" w:styleId="548">
    <w:name w:val="font11"/>
    <w:basedOn w:val="55"/>
    <w:qFormat/>
    <w:uiPriority w:val="0"/>
    <w:rPr>
      <w:rFonts w:hint="eastAsia" w:ascii="宋体" w:hAnsi="宋体" w:eastAsia="宋体" w:cs="宋体"/>
      <w:color w:val="000000"/>
      <w:sz w:val="22"/>
      <w:szCs w:val="22"/>
      <w:u w:val="none"/>
    </w:rPr>
  </w:style>
  <w:style w:type="paragraph" w:customStyle="1" w:styleId="549">
    <w:name w:val="列出段落"/>
    <w:basedOn w:val="1"/>
    <w:qFormat/>
    <w:uiPriority w:val="0"/>
    <w:pPr>
      <w:widowControl/>
      <w:ind w:left="720" w:firstLine="360"/>
      <w:contextualSpacing/>
      <w:jc w:val="left"/>
    </w:pPr>
    <w:rPr>
      <w:rFonts w:ascii="Calibri" w:hAnsi="Calibri"/>
      <w:kern w:val="0"/>
      <w:sz w:val="22"/>
      <w:lang w:eastAsia="en-US" w:bidi="en-US"/>
    </w:rPr>
  </w:style>
  <w:style w:type="character" w:customStyle="1" w:styleId="550">
    <w:name w:val="font101"/>
    <w:basedOn w:val="55"/>
    <w:qFormat/>
    <w:uiPriority w:val="0"/>
    <w:rPr>
      <w:rFonts w:hint="eastAsia" w:ascii="等线" w:hAnsi="等线" w:eastAsia="等线" w:cs="等线"/>
      <w:color w:val="000000"/>
      <w:sz w:val="22"/>
      <w:szCs w:val="22"/>
      <w:u w:val="none"/>
    </w:rPr>
  </w:style>
  <w:style w:type="character" w:customStyle="1" w:styleId="551">
    <w:name w:val="font91"/>
    <w:basedOn w:val="55"/>
    <w:qFormat/>
    <w:uiPriority w:val="0"/>
    <w:rPr>
      <w:rFonts w:hint="eastAsia" w:ascii="等线" w:hAnsi="等线" w:eastAsia="等线" w:cs="等线"/>
      <w:color w:val="000000"/>
      <w:sz w:val="22"/>
      <w:szCs w:val="22"/>
      <w:u w:val="none"/>
    </w:rPr>
  </w:style>
  <w:style w:type="character" w:customStyle="1" w:styleId="552">
    <w:name w:val="font141"/>
    <w:basedOn w:val="55"/>
    <w:qFormat/>
    <w:uiPriority w:val="0"/>
    <w:rPr>
      <w:rFonts w:hint="eastAsia" w:ascii="宋体" w:hAnsi="宋体" w:eastAsia="宋体" w:cs="宋体"/>
      <w:color w:val="000000"/>
      <w:sz w:val="22"/>
      <w:szCs w:val="22"/>
      <w:u w:val="none"/>
    </w:rPr>
  </w:style>
  <w:style w:type="character" w:customStyle="1" w:styleId="553">
    <w:name w:val="font71"/>
    <w:basedOn w:val="55"/>
    <w:qFormat/>
    <w:uiPriority w:val="0"/>
    <w:rPr>
      <w:rFonts w:hint="eastAsia" w:ascii="宋体" w:hAnsi="宋体" w:eastAsia="宋体" w:cs="宋体"/>
      <w:color w:val="000000"/>
      <w:sz w:val="24"/>
      <w:szCs w:val="24"/>
      <w:u w:val="none"/>
    </w:rPr>
  </w:style>
  <w:style w:type="character" w:customStyle="1" w:styleId="554">
    <w:name w:val="font121"/>
    <w:basedOn w:val="55"/>
    <w:qFormat/>
    <w:uiPriority w:val="0"/>
    <w:rPr>
      <w:rFonts w:hint="eastAsia" w:ascii="等线" w:hAnsi="等线" w:eastAsia="等线" w:cs="等线"/>
      <w:color w:val="000000"/>
      <w:sz w:val="24"/>
      <w:szCs w:val="24"/>
      <w:u w:val="none"/>
    </w:rPr>
  </w:style>
  <w:style w:type="character" w:customStyle="1" w:styleId="555">
    <w:name w:val="font111"/>
    <w:basedOn w:val="55"/>
    <w:qFormat/>
    <w:uiPriority w:val="0"/>
    <w:rPr>
      <w:rFonts w:hint="eastAsia" w:ascii="宋体" w:hAnsi="宋体" w:eastAsia="宋体" w:cs="宋体"/>
      <w:color w:val="333333"/>
      <w:sz w:val="20"/>
      <w:szCs w:val="20"/>
      <w:u w:val="none"/>
    </w:rPr>
  </w:style>
  <w:style w:type="character" w:customStyle="1" w:styleId="556">
    <w:name w:val="font61"/>
    <w:basedOn w:val="55"/>
    <w:qFormat/>
    <w:uiPriority w:val="0"/>
    <w:rPr>
      <w:rFonts w:ascii="Noto Sans Mono CJK JP Regular" w:hAnsi="Noto Sans Mono CJK JP Regular" w:eastAsia="Noto Sans Mono CJK JP Regular" w:cs="Noto Sans Mono CJK JP Regular"/>
      <w:color w:val="000000"/>
      <w:sz w:val="20"/>
      <w:szCs w:val="20"/>
      <w:u w:val="none"/>
    </w:rPr>
  </w:style>
  <w:style w:type="character" w:customStyle="1" w:styleId="557">
    <w:name w:val="font112"/>
    <w:basedOn w:val="55"/>
    <w:qFormat/>
    <w:uiPriority w:val="0"/>
    <w:rPr>
      <w:rFonts w:hint="eastAsia" w:ascii="宋体" w:hAnsi="宋体" w:eastAsia="宋体" w:cs="宋体"/>
      <w:color w:val="333333"/>
      <w:sz w:val="20"/>
      <w:szCs w:val="20"/>
      <w:u w:val="none"/>
    </w:rPr>
  </w:style>
  <w:style w:type="character" w:customStyle="1" w:styleId="558">
    <w:name w:val="font81"/>
    <w:basedOn w:val="55"/>
    <w:qFormat/>
    <w:uiPriority w:val="0"/>
    <w:rPr>
      <w:rFonts w:hint="eastAsia" w:ascii="宋体" w:hAnsi="宋体" w:eastAsia="宋体" w:cs="宋体"/>
      <w:color w:val="333333"/>
      <w:sz w:val="22"/>
      <w:szCs w:val="22"/>
      <w:u w:val="none"/>
    </w:rPr>
  </w:style>
  <w:style w:type="paragraph" w:customStyle="1" w:styleId="559">
    <w:name w:val="正文 New New New New"/>
    <w:qFormat/>
    <w:uiPriority w:val="99"/>
    <w:pPr>
      <w:widowControl w:val="0"/>
      <w:jc w:val="both"/>
    </w:pPr>
    <w:rPr>
      <w:rFonts w:ascii="Times New Roman" w:hAnsi="Times New Roman" w:eastAsia="宋体" w:cs="Times New Roman"/>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1026"/>
    <customShpInfo spid="_x0000_s4101"/>
    <customShpInfo spid="_x0000_s4102"/>
    <customShpInfo spid="_x0000_s410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17C54D-4DD8-478B-B050-374E8C750378}">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46</Pages>
  <Words>4376</Words>
  <Characters>24948</Characters>
  <Lines>207</Lines>
  <Paragraphs>58</Paragraphs>
  <TotalTime>21</TotalTime>
  <ScaleCrop>false</ScaleCrop>
  <LinksUpToDate>false</LinksUpToDate>
  <CharactersWithSpaces>29266</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2020-02-25T08:48:00Z</dcterms:created>
  <dc:creator>zhangjing</dc:creator>
  <cp:lastModifiedBy>水不乖</cp:lastModifiedBy>
  <cp:lastPrinted>2020-07-30T07:17:00Z</cp:lastPrinted>
  <dcterms:modified xsi:type="dcterms:W3CDTF">2020-08-14T09:45:28Z</dcterms:modified>
  <dc:title>浙江省政府采购中心关于浙江省</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