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嵊州市</w:t>
      </w:r>
      <w:r>
        <w:rPr>
          <w:rFonts w:hint="eastAsia" w:ascii="隶书" w:hAnsi="Arial" w:eastAsia="隶书" w:cs="Arial"/>
          <w:b/>
          <w:color w:val="auto"/>
          <w:sz w:val="72"/>
          <w:szCs w:val="72"/>
          <w:lang w:eastAsia="zh-CN"/>
        </w:rPr>
        <w:t>公安局公务用车</w:t>
      </w:r>
      <w:r>
        <w:rPr>
          <w:rFonts w:hint="eastAsia" w:ascii="隶书" w:hAnsi="Arial" w:eastAsia="隶书" w:cs="Arial"/>
          <w:b/>
          <w:color w:val="auto"/>
          <w:sz w:val="72"/>
          <w:szCs w:val="72"/>
        </w:rPr>
        <w:t>采购项目</w:t>
      </w:r>
    </w:p>
    <w:p>
      <w:pPr>
        <w:spacing w:before="120" w:after="120"/>
        <w:jc w:val="center"/>
        <w:rPr>
          <w:rFonts w:hint="default" w:ascii="隶书" w:eastAsia="隶书"/>
          <w:color w:val="auto"/>
          <w:sz w:val="44"/>
          <w:lang w:val="en-US"/>
        </w:rPr>
      </w:pPr>
      <w:r>
        <w:rPr>
          <w:rFonts w:hint="eastAsia" w:ascii="宋体" w:hAnsi="宋体" w:cs="宋体"/>
          <w:color w:val="auto"/>
          <w:kern w:val="0"/>
          <w:sz w:val="24"/>
          <w:lang w:eastAsia="zh-CN"/>
        </w:rPr>
        <w:t>项目</w:t>
      </w:r>
      <w:r>
        <w:rPr>
          <w:rFonts w:hint="eastAsia" w:ascii="宋体" w:hAnsi="宋体" w:cs="宋体"/>
          <w:color w:val="auto"/>
          <w:kern w:val="0"/>
          <w:sz w:val="24"/>
        </w:rPr>
        <w:t>编号:</w:t>
      </w:r>
      <w:r>
        <w:rPr>
          <w:rFonts w:hint="eastAsia" w:ascii="宋体" w:hAnsi="宋体" w:cs="宋体"/>
          <w:color w:val="auto"/>
          <w:kern w:val="0"/>
          <w:sz w:val="24"/>
          <w:lang w:eastAsia="zh-CN"/>
        </w:rPr>
        <w:t>2023-</w:t>
      </w:r>
      <w:r>
        <w:rPr>
          <w:rFonts w:hint="eastAsia" w:ascii="宋体" w:hAnsi="宋体" w:cs="宋体"/>
          <w:color w:val="auto"/>
          <w:kern w:val="0"/>
          <w:sz w:val="24"/>
          <w:lang w:val="en-US" w:eastAsia="zh-CN"/>
        </w:rPr>
        <w:t>14</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ascii="隶书" w:eastAsia="隶书"/>
          <w:color w:val="auto"/>
          <w:sz w:val="44"/>
        </w:rPr>
      </w:pPr>
    </w:p>
    <w:p>
      <w:pPr>
        <w:spacing w:before="120" w:after="120"/>
        <w:jc w:val="center"/>
        <w:rPr>
          <w:rFonts w:hint="default" w:ascii="宋体" w:hAnsi="宋体" w:eastAsia="宋体" w:cs="宋体"/>
          <w:color w:val="auto"/>
          <w:kern w:val="0"/>
          <w:sz w:val="24"/>
          <w:lang w:val="en-US" w:eastAsia="zh-CN"/>
        </w:rPr>
      </w:pPr>
      <w:r>
        <w:rPr>
          <w:rFonts w:hint="eastAsia" w:ascii="宋体" w:hAnsi="宋体" w:cs="宋体"/>
          <w:color w:val="auto"/>
          <w:kern w:val="0"/>
          <w:sz w:val="24"/>
        </w:rPr>
        <w:t>采购单位：嵊州市</w:t>
      </w:r>
      <w:r>
        <w:rPr>
          <w:rFonts w:hint="eastAsia" w:ascii="宋体" w:hAnsi="宋体" w:cs="宋体"/>
          <w:color w:val="auto"/>
          <w:kern w:val="0"/>
          <w:sz w:val="24"/>
          <w:lang w:eastAsia="zh-CN"/>
        </w:rPr>
        <w:t>公安局（本级）</w:t>
      </w:r>
      <w:r>
        <w:rPr>
          <w:rFonts w:hint="eastAsia" w:ascii="宋体" w:hAnsi="宋体" w:cs="宋体"/>
          <w:color w:val="auto"/>
          <w:kern w:val="0"/>
          <w:sz w:val="24"/>
          <w:lang w:val="en-US" w:eastAsia="zh-CN"/>
        </w:rPr>
        <w:t>/嵊州市公安局交通警察大队</w:t>
      </w:r>
    </w:p>
    <w:p>
      <w:pPr>
        <w:spacing w:before="120" w:after="120"/>
        <w:jc w:val="center"/>
        <w:rPr>
          <w:rFonts w:ascii="宋体" w:hAnsi="宋体" w:cs="宋体"/>
          <w:b/>
          <w:bCs/>
          <w:color w:val="auto"/>
          <w:sz w:val="24"/>
        </w:rPr>
      </w:pPr>
      <w:r>
        <w:rPr>
          <w:rFonts w:hint="eastAsia" w:ascii="宋体" w:hAnsi="宋体" w:cs="宋体"/>
          <w:color w:val="auto"/>
          <w:kern w:val="0"/>
          <w:sz w:val="24"/>
        </w:rPr>
        <w:t>采购代理机构：嵊州市公共资源交易中心</w:t>
      </w:r>
    </w:p>
    <w:p>
      <w:pPr>
        <w:jc w:val="center"/>
        <w:rPr>
          <w:rFonts w:ascii="隶书" w:eastAsia="隶书"/>
          <w:b/>
          <w:color w:val="auto"/>
          <w:sz w:val="44"/>
          <w:szCs w:val="44"/>
        </w:rPr>
      </w:pPr>
      <w:bookmarkStart w:id="0" w:name="用户单位名称"/>
      <w:bookmarkEnd w:id="0"/>
      <w:r>
        <w:rPr>
          <w:rFonts w:hint="eastAsia" w:ascii="宋体" w:hAnsi="宋体" w:cs="宋体"/>
          <w:color w:val="auto"/>
          <w:sz w:val="24"/>
        </w:rPr>
        <w:t>202</w:t>
      </w:r>
      <w:r>
        <w:rPr>
          <w:rFonts w:hint="eastAsia" w:ascii="宋体" w:hAnsi="宋体" w:cs="宋体"/>
          <w:color w:val="auto"/>
          <w:sz w:val="24"/>
          <w:lang w:val="en-US" w:eastAsia="zh-CN"/>
        </w:rPr>
        <w:t>3</w:t>
      </w:r>
      <w:r>
        <w:rPr>
          <w:rFonts w:hint="eastAsia" w:ascii="宋体" w:hAnsi="宋体" w:cs="宋体"/>
          <w:color w:val="auto"/>
          <w:sz w:val="24"/>
        </w:rPr>
        <w:t>年</w:t>
      </w:r>
      <w:r>
        <w:rPr>
          <w:rFonts w:hint="eastAsia" w:ascii="宋体" w:hAnsi="宋体" w:cs="宋体"/>
          <w:color w:val="auto"/>
          <w:sz w:val="24"/>
          <w:lang w:val="en-US" w:eastAsia="zh-CN"/>
        </w:rPr>
        <w:t>6</w:t>
      </w:r>
      <w:r>
        <w:rPr>
          <w:rFonts w:hint="eastAsia" w:ascii="宋体" w:hAnsi="宋体" w:cs="宋体"/>
          <w:color w:val="auto"/>
          <w:sz w:val="24"/>
        </w:rPr>
        <w:t>月</w:t>
      </w:r>
    </w:p>
    <w:p>
      <w:pPr>
        <w:jc w:val="center"/>
        <w:rPr>
          <w:rFonts w:hint="eastAsia" w:ascii="仿宋_GB2312" w:eastAsia="仿宋_GB2312"/>
          <w:b/>
          <w:color w:val="auto"/>
          <w:sz w:val="44"/>
          <w:szCs w:val="44"/>
        </w:rPr>
      </w:pPr>
    </w:p>
    <w:p>
      <w:pPr>
        <w:jc w:val="center"/>
        <w:rPr>
          <w:rFonts w:hint="eastAsia" w:ascii="仿宋_GB2312" w:eastAsia="仿宋_GB2312"/>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47"/>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auto"/>
              </w:rPr>
            </w:pPr>
            <w:r>
              <w:rPr>
                <w:rFonts w:ascii="仿宋_GB2312" w:hAnsi="新宋体" w:eastAsia="仿宋_GB2312"/>
                <w:color w:val="auto"/>
              </w:rPr>
              <w:br w:type="page"/>
            </w:r>
          </w:p>
          <w:tbl>
            <w:tblPr>
              <w:tblStyle w:val="47"/>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嵊州市</w:t>
                  </w:r>
                  <w:r>
                    <w:rPr>
                      <w:rFonts w:hint="eastAsia" w:ascii="仿宋_GB2312" w:hAnsi="新宋体" w:eastAsia="仿宋_GB2312"/>
                      <w:color w:val="auto"/>
                      <w:szCs w:val="24"/>
                      <w:lang w:eastAsia="zh-CN"/>
                    </w:rPr>
                    <w:t>公安局公务用车</w:t>
                  </w:r>
                  <w:r>
                    <w:rPr>
                      <w:rFonts w:hint="eastAsia" w:ascii="仿宋_GB2312" w:hAnsi="新宋体" w:eastAsia="仿宋_GB2312"/>
                      <w:color w:val="auto"/>
                      <w:szCs w:val="24"/>
                    </w:rPr>
                    <w:t>采购项目的潜在投标人应在</w:t>
                  </w:r>
                  <w:r>
                    <w:rPr>
                      <w:rStyle w:val="280"/>
                      <w:rFonts w:ascii="仿宋" w:hAnsi="仿宋"/>
                      <w:color w:val="auto"/>
                      <w:sz w:val="27"/>
                      <w:szCs w:val="27"/>
                    </w:rPr>
                    <w:t>https://www.zcygov.cn</w:t>
                  </w:r>
                  <w:r>
                    <w:rPr>
                      <w:rFonts w:hint="eastAsia" w:ascii="仿宋_GB2312" w:hAnsi="新宋体" w:eastAsia="仿宋_GB2312"/>
                      <w:color w:val="auto"/>
                      <w:szCs w:val="24"/>
                    </w:rPr>
                    <w:t>获取（下载）招标文件，并于202</w:t>
                  </w:r>
                  <w:r>
                    <w:rPr>
                      <w:rFonts w:hint="eastAsia" w:ascii="仿宋_GB2312" w:hAnsi="新宋体" w:eastAsia="仿宋_GB2312"/>
                      <w:color w:val="auto"/>
                      <w:szCs w:val="24"/>
                      <w:lang w:val="en-US" w:eastAsia="zh-CN"/>
                    </w:rPr>
                    <w:t>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7</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11</w:t>
                  </w:r>
                  <w:r>
                    <w:rPr>
                      <w:rFonts w:hint="eastAsia" w:ascii="仿宋_GB2312" w:hAnsi="新宋体" w:eastAsia="仿宋_GB2312"/>
                      <w:color w:val="auto"/>
                      <w:szCs w:val="24"/>
                    </w:rPr>
                    <w:t>日 09:30（北京时间）前递交（上传）投标文件。</w:t>
                  </w:r>
                </w:p>
              </w:tc>
            </w:tr>
          </w:tbl>
          <w:p>
            <w:pPr>
              <w:pStyle w:val="73"/>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一、项目基本情况</w:t>
            </w:r>
          </w:p>
          <w:p>
            <w:pPr>
              <w:pStyle w:val="73"/>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项目编号：</w:t>
            </w:r>
            <w:r>
              <w:rPr>
                <w:rFonts w:hint="eastAsia" w:ascii="仿宋_GB2312" w:hAnsi="新宋体" w:eastAsia="仿宋_GB2312"/>
                <w:color w:val="auto"/>
                <w:szCs w:val="24"/>
                <w:lang w:eastAsia="zh-CN"/>
              </w:rPr>
              <w:t>2023-</w:t>
            </w:r>
            <w:r>
              <w:rPr>
                <w:rFonts w:hint="eastAsia" w:ascii="仿宋_GB2312" w:hAnsi="新宋体" w:eastAsia="仿宋_GB2312"/>
                <w:color w:val="auto"/>
                <w:szCs w:val="24"/>
                <w:lang w:val="en-US" w:eastAsia="zh-CN"/>
              </w:rPr>
              <w:t>14</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项目名称：嵊州市</w:t>
            </w:r>
            <w:r>
              <w:rPr>
                <w:rFonts w:hint="eastAsia" w:ascii="仿宋_GB2312" w:hAnsi="新宋体" w:eastAsia="仿宋_GB2312"/>
                <w:color w:val="auto"/>
                <w:szCs w:val="24"/>
                <w:lang w:eastAsia="zh-CN"/>
              </w:rPr>
              <w:t>公安局公务用车</w:t>
            </w:r>
            <w:r>
              <w:rPr>
                <w:rFonts w:hint="eastAsia" w:ascii="仿宋_GB2312" w:hAnsi="新宋体" w:eastAsia="仿宋_GB2312"/>
                <w:color w:val="auto"/>
                <w:szCs w:val="24"/>
              </w:rPr>
              <w:t>采购项目</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采购方式：公开招标</w:t>
            </w:r>
          </w:p>
          <w:p>
            <w:pPr>
              <w:pStyle w:val="73"/>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预算金额（元）：</w:t>
            </w:r>
            <w:r>
              <w:rPr>
                <w:rFonts w:hint="eastAsia" w:ascii="仿宋_GB2312" w:hAnsi="新宋体" w:eastAsia="仿宋_GB2312"/>
                <w:color w:val="auto"/>
                <w:szCs w:val="24"/>
                <w:lang w:val="en-US" w:eastAsia="zh-CN"/>
              </w:rPr>
              <w:t>1980000</w:t>
            </w:r>
          </w:p>
          <w:p>
            <w:pPr>
              <w:pStyle w:val="73"/>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最高限价（元）：</w:t>
            </w:r>
            <w:r>
              <w:rPr>
                <w:rFonts w:hint="eastAsia" w:ascii="仿宋_GB2312" w:hAnsi="新宋体" w:eastAsia="仿宋_GB2312"/>
                <w:color w:val="auto"/>
                <w:szCs w:val="24"/>
                <w:lang w:val="en-US" w:eastAsia="zh-CN"/>
              </w:rPr>
              <w:t>720000（标一）,456000（标二）,720000（标三）</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标项一:</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 xml:space="preserve">标项名称: </w:t>
            </w:r>
            <w:r>
              <w:rPr>
                <w:rFonts w:hint="eastAsia" w:ascii="仿宋_GB2312" w:hAnsi="新宋体" w:eastAsia="仿宋_GB2312"/>
                <w:color w:val="auto"/>
                <w:szCs w:val="24"/>
                <w:lang w:val="en-US" w:eastAsia="zh-CN"/>
              </w:rPr>
              <w:t>轿车</w:t>
            </w:r>
          </w:p>
          <w:p>
            <w:pPr>
              <w:pStyle w:val="73"/>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数量:</w:t>
            </w:r>
            <w:r>
              <w:rPr>
                <w:rFonts w:hint="eastAsia" w:ascii="仿宋_GB2312" w:hAnsi="新宋体" w:eastAsia="仿宋_GB2312"/>
                <w:color w:val="auto"/>
                <w:szCs w:val="24"/>
                <w:lang w:val="en-US" w:eastAsia="zh-CN"/>
              </w:rPr>
              <w:t>6</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预算金额（元）:</w:t>
            </w:r>
            <w:r>
              <w:rPr>
                <w:rFonts w:hint="eastAsia" w:ascii="仿宋_GB2312" w:hAnsi="新宋体" w:eastAsia="仿宋_GB2312"/>
                <w:color w:val="auto"/>
                <w:szCs w:val="24"/>
                <w:lang w:val="en-US" w:eastAsia="zh-CN"/>
              </w:rPr>
              <w:t>720000</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简要规格描述或项目基本概况介绍、用途：详见</w:t>
            </w:r>
            <w:r>
              <w:rPr>
                <w:rFonts w:hint="eastAsia" w:ascii="仿宋_GB2312" w:hAnsi="新宋体" w:eastAsia="仿宋_GB2312"/>
                <w:color w:val="auto"/>
                <w:szCs w:val="24"/>
                <w:lang w:eastAsia="zh-CN"/>
              </w:rPr>
              <w:t>招标</w:t>
            </w:r>
            <w:r>
              <w:rPr>
                <w:rFonts w:hint="eastAsia" w:ascii="仿宋_GB2312" w:hAnsi="新宋体" w:eastAsia="仿宋_GB2312"/>
                <w:color w:val="auto"/>
                <w:szCs w:val="24"/>
              </w:rPr>
              <w:t>文件</w:t>
            </w:r>
            <w:r>
              <w:rPr>
                <w:rFonts w:ascii="仿宋_GB2312" w:hAnsi="新宋体" w:eastAsia="仿宋_GB2312"/>
                <w:color w:val="auto"/>
                <w:szCs w:val="24"/>
              </w:rPr>
              <w:t> </w:t>
            </w:r>
          </w:p>
          <w:p>
            <w:pPr>
              <w:pStyle w:val="73"/>
              <w:spacing w:afterLines="0" w:line="440" w:lineRule="exact"/>
              <w:ind w:firstLine="480"/>
              <w:rPr>
                <w:rFonts w:hint="default" w:ascii="仿宋_GB2312" w:hAnsi="新宋体" w:eastAsia="仿宋_GB2312"/>
                <w:color w:val="auto"/>
                <w:szCs w:val="24"/>
                <w:lang w:val="en-US" w:eastAsia="zh-CN"/>
              </w:rPr>
            </w:pPr>
            <w:r>
              <w:rPr>
                <w:rFonts w:ascii="仿宋_GB2312" w:hAnsi="新宋体" w:eastAsia="仿宋_GB2312"/>
                <w:color w:val="auto"/>
                <w:szCs w:val="24"/>
              </w:rPr>
              <w:t>  </w:t>
            </w:r>
            <w:r>
              <w:rPr>
                <w:rFonts w:hint="eastAsia" w:ascii="仿宋_GB2312" w:hAnsi="新宋体" w:eastAsia="仿宋_GB2312"/>
                <w:color w:val="auto"/>
                <w:szCs w:val="24"/>
              </w:rPr>
              <w:t>备注：</w:t>
            </w:r>
            <w:r>
              <w:rPr>
                <w:rFonts w:hint="eastAsia" w:ascii="仿宋_GB2312" w:hAnsi="新宋体" w:eastAsia="仿宋_GB2312"/>
                <w:color w:val="auto"/>
                <w:szCs w:val="24"/>
                <w:lang w:eastAsia="zh-CN"/>
              </w:rPr>
              <w:t>其中公安局（本级）</w:t>
            </w:r>
            <w:r>
              <w:rPr>
                <w:rFonts w:hint="eastAsia" w:ascii="仿宋_GB2312" w:hAnsi="新宋体" w:eastAsia="仿宋_GB2312"/>
                <w:color w:val="auto"/>
                <w:szCs w:val="24"/>
                <w:lang w:val="en-US" w:eastAsia="zh-CN"/>
              </w:rPr>
              <w:t>5辆，交警队1辆</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w:t>
            </w:r>
            <w:r>
              <w:rPr>
                <w:rFonts w:hint="eastAsia" w:ascii="仿宋_GB2312" w:hAnsi="新宋体" w:eastAsia="仿宋_GB2312"/>
                <w:color w:val="auto"/>
                <w:szCs w:val="24"/>
                <w:lang w:eastAsia="zh-CN"/>
              </w:rPr>
              <w:t>二</w:t>
            </w:r>
            <w:r>
              <w:rPr>
                <w:rFonts w:hint="eastAsia" w:ascii="仿宋_GB2312" w:hAnsi="新宋体" w:eastAsia="仿宋_GB2312"/>
                <w:color w:val="auto"/>
                <w:szCs w:val="24"/>
              </w:rPr>
              <w:t>:</w:t>
            </w:r>
          </w:p>
          <w:p>
            <w:pPr>
              <w:pStyle w:val="73"/>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 xml:space="preserve">标项名称: </w:t>
            </w:r>
            <w:r>
              <w:rPr>
                <w:rFonts w:hint="eastAsia" w:ascii="仿宋_GB2312" w:hAnsi="新宋体" w:eastAsia="仿宋_GB2312"/>
                <w:color w:val="auto"/>
                <w:szCs w:val="24"/>
                <w:lang w:eastAsia="zh-CN"/>
              </w:rPr>
              <w:t>商务用车</w:t>
            </w:r>
          </w:p>
          <w:p>
            <w:pPr>
              <w:pStyle w:val="73"/>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数量:</w:t>
            </w:r>
            <w:r>
              <w:rPr>
                <w:rFonts w:hint="eastAsia" w:ascii="仿宋_GB2312" w:hAnsi="新宋体" w:eastAsia="仿宋_GB2312"/>
                <w:color w:val="auto"/>
                <w:szCs w:val="24"/>
                <w:lang w:val="en-US" w:eastAsia="zh-CN"/>
              </w:rPr>
              <w:t>3</w:t>
            </w:r>
          </w:p>
          <w:p>
            <w:pPr>
              <w:pStyle w:val="73"/>
              <w:spacing w:afterLines="0" w:line="440" w:lineRule="exact"/>
              <w:ind w:firstLine="480"/>
              <w:rPr>
                <w:rFonts w:hint="default" w:ascii="仿宋_GB2312" w:hAnsi="新宋体" w:eastAsia="仿宋_GB2312"/>
                <w:color w:val="auto"/>
                <w:szCs w:val="24"/>
                <w:lang w:val="en-US" w:eastAsia="zh-CN"/>
              </w:rPr>
            </w:pPr>
            <w:r>
              <w:rPr>
                <w:rFonts w:ascii="仿宋_GB2312" w:hAnsi="新宋体" w:eastAsia="仿宋_GB2312"/>
                <w:color w:val="auto"/>
                <w:szCs w:val="24"/>
              </w:rPr>
              <w:t>  </w:t>
            </w:r>
            <w:r>
              <w:rPr>
                <w:rFonts w:hint="eastAsia" w:ascii="仿宋_GB2312" w:hAnsi="新宋体" w:eastAsia="仿宋_GB2312"/>
                <w:color w:val="auto"/>
                <w:szCs w:val="24"/>
              </w:rPr>
              <w:t>预算金额（元）:</w:t>
            </w:r>
            <w:r>
              <w:rPr>
                <w:rFonts w:hint="eastAsia" w:ascii="仿宋_GB2312" w:hAnsi="新宋体" w:eastAsia="仿宋_GB2312"/>
                <w:color w:val="auto"/>
                <w:szCs w:val="24"/>
                <w:lang w:val="en-US" w:eastAsia="zh-CN"/>
              </w:rPr>
              <w:t>456000</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简要规格描述或项目基本概况介绍、用途：详见</w:t>
            </w:r>
            <w:r>
              <w:rPr>
                <w:rFonts w:hint="eastAsia" w:ascii="仿宋_GB2312" w:hAnsi="新宋体" w:eastAsia="仿宋_GB2312"/>
                <w:color w:val="auto"/>
                <w:szCs w:val="24"/>
                <w:lang w:eastAsia="zh-CN"/>
              </w:rPr>
              <w:t>招标</w:t>
            </w:r>
            <w:r>
              <w:rPr>
                <w:rFonts w:hint="eastAsia" w:ascii="仿宋_GB2312" w:hAnsi="新宋体" w:eastAsia="仿宋_GB2312"/>
                <w:color w:val="auto"/>
                <w:szCs w:val="24"/>
              </w:rPr>
              <w:t>文件</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备注：</w:t>
            </w:r>
            <w:r>
              <w:rPr>
                <w:rFonts w:hint="eastAsia" w:ascii="仿宋_GB2312" w:hAnsi="新宋体" w:eastAsia="仿宋_GB2312"/>
                <w:color w:val="auto"/>
                <w:szCs w:val="24"/>
                <w:lang w:eastAsia="zh-CN"/>
              </w:rPr>
              <w:t>其中公安局（本级）</w:t>
            </w:r>
            <w:r>
              <w:rPr>
                <w:rFonts w:hint="eastAsia" w:ascii="仿宋_GB2312" w:hAnsi="新宋体" w:eastAsia="仿宋_GB2312"/>
                <w:color w:val="auto"/>
                <w:szCs w:val="24"/>
                <w:lang w:val="en-US" w:eastAsia="zh-CN"/>
              </w:rPr>
              <w:t>2辆，交警队1辆</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w:t>
            </w:r>
            <w:r>
              <w:rPr>
                <w:rFonts w:hint="eastAsia" w:ascii="仿宋_GB2312" w:hAnsi="新宋体" w:eastAsia="仿宋_GB2312"/>
                <w:color w:val="auto"/>
                <w:szCs w:val="24"/>
                <w:lang w:eastAsia="zh-CN"/>
              </w:rPr>
              <w:t>三</w:t>
            </w:r>
            <w:r>
              <w:rPr>
                <w:rFonts w:hint="eastAsia" w:ascii="仿宋_GB2312" w:hAnsi="新宋体" w:eastAsia="仿宋_GB2312"/>
                <w:color w:val="auto"/>
                <w:szCs w:val="24"/>
              </w:rPr>
              <w:t>:</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 xml:space="preserve">标项名称: </w:t>
            </w:r>
            <w:r>
              <w:rPr>
                <w:rFonts w:hint="eastAsia" w:ascii="仿宋_GB2312" w:hAnsi="新宋体" w:eastAsia="仿宋_GB2312"/>
                <w:color w:val="auto"/>
                <w:szCs w:val="24"/>
                <w:lang w:val="en-US" w:eastAsia="zh-CN"/>
              </w:rPr>
              <w:t>多用途乘用车</w:t>
            </w:r>
          </w:p>
          <w:p>
            <w:pPr>
              <w:pStyle w:val="73"/>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数量:</w:t>
            </w:r>
            <w:r>
              <w:rPr>
                <w:rFonts w:hint="eastAsia" w:ascii="仿宋_GB2312" w:hAnsi="新宋体" w:eastAsia="仿宋_GB2312"/>
                <w:color w:val="auto"/>
                <w:szCs w:val="24"/>
                <w:lang w:val="en-US" w:eastAsia="zh-CN"/>
              </w:rPr>
              <w:t>6</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预算金额（元）:</w:t>
            </w:r>
            <w:r>
              <w:rPr>
                <w:rFonts w:hint="eastAsia" w:ascii="仿宋_GB2312" w:hAnsi="新宋体" w:eastAsia="仿宋_GB2312"/>
                <w:color w:val="auto"/>
                <w:szCs w:val="24"/>
                <w:lang w:val="en-US" w:eastAsia="zh-CN"/>
              </w:rPr>
              <w:t>720000</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简要规格描述或项目基本概况介绍、用途：详见</w:t>
            </w:r>
            <w:r>
              <w:rPr>
                <w:rFonts w:hint="eastAsia" w:ascii="仿宋_GB2312" w:hAnsi="新宋体" w:eastAsia="仿宋_GB2312"/>
                <w:color w:val="auto"/>
                <w:szCs w:val="24"/>
                <w:lang w:eastAsia="zh-CN"/>
              </w:rPr>
              <w:t>招标</w:t>
            </w:r>
            <w:r>
              <w:rPr>
                <w:rFonts w:hint="eastAsia" w:ascii="仿宋_GB2312" w:hAnsi="新宋体" w:eastAsia="仿宋_GB2312"/>
                <w:color w:val="auto"/>
                <w:szCs w:val="24"/>
              </w:rPr>
              <w:t>文件</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备注：</w:t>
            </w:r>
            <w:r>
              <w:rPr>
                <w:rFonts w:hint="eastAsia" w:ascii="仿宋_GB2312" w:hAnsi="新宋体" w:eastAsia="仿宋_GB2312"/>
                <w:color w:val="auto"/>
                <w:szCs w:val="24"/>
                <w:lang w:eastAsia="zh-CN"/>
              </w:rPr>
              <w:t>其中公安局（本级）</w:t>
            </w:r>
            <w:r>
              <w:rPr>
                <w:rFonts w:hint="eastAsia" w:ascii="仿宋_GB2312" w:hAnsi="新宋体" w:eastAsia="仿宋_GB2312"/>
                <w:color w:val="auto"/>
                <w:szCs w:val="24"/>
                <w:lang w:val="en-US" w:eastAsia="zh-CN"/>
              </w:rPr>
              <w:t>4辆，交警队2辆</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合同履约期限：按双方合同约定条款执行。</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本项目（否）接受联合体投标。</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二、申请人的资格要求：</w:t>
            </w:r>
          </w:p>
          <w:p>
            <w:pPr>
              <w:pStyle w:val="73"/>
              <w:spacing w:after="156"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3"/>
              <w:spacing w:afterLines="0" w:line="440" w:lineRule="exact"/>
              <w:ind w:left="420" w:leftChars="200" w:firstLine="0" w:firstLineChars="0"/>
              <w:rPr>
                <w:rFonts w:ascii="仿宋_GB2312" w:hAnsi="新宋体" w:eastAsia="仿宋_GB2312"/>
                <w:color w:val="auto"/>
                <w:szCs w:val="24"/>
              </w:rPr>
            </w:pPr>
            <w:r>
              <w:rPr>
                <w:rFonts w:hint="eastAsia" w:ascii="仿宋_GB2312" w:hAnsi="新宋体" w:eastAsia="仿宋_GB2312"/>
                <w:color w:val="auto"/>
                <w:szCs w:val="24"/>
              </w:rPr>
              <w:t>2.落实政府采购政策需满足的资格要求：</w:t>
            </w:r>
            <w:r>
              <w:rPr>
                <w:rFonts w:hint="eastAsia" w:ascii="仿宋" w:hAnsi="仿宋" w:eastAsia="仿宋"/>
                <w:color w:val="auto"/>
                <w:szCs w:val="24"/>
                <w:lang w:eastAsia="zh-CN"/>
              </w:rPr>
              <w:t>供应商面向中小企业。</w:t>
            </w:r>
            <w:bookmarkStart w:id="44" w:name="_GoBack"/>
            <w:bookmarkEnd w:id="44"/>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3.本项目的特定资格要求：无</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三、获取招标文件</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时间：/至202</w:t>
            </w:r>
            <w:r>
              <w:rPr>
                <w:rFonts w:hint="eastAsia" w:ascii="仿宋_GB2312" w:hAnsi="新宋体" w:eastAsia="仿宋_GB2312"/>
                <w:color w:val="auto"/>
                <w:szCs w:val="24"/>
                <w:lang w:val="en-US" w:eastAsia="zh-CN"/>
              </w:rPr>
              <w:t>3</w:t>
            </w:r>
            <w:r>
              <w:rPr>
                <w:rFonts w:hint="eastAsia" w:ascii="仿宋_GB2312" w:hAnsi="新宋体" w:eastAsia="仿宋_GB2312"/>
                <w:color w:val="auto"/>
                <w:szCs w:val="24"/>
              </w:rPr>
              <w:t xml:space="preserve">年 </w:t>
            </w:r>
            <w:r>
              <w:rPr>
                <w:rFonts w:hint="eastAsia" w:ascii="仿宋_GB2312" w:hAnsi="新宋体" w:eastAsia="仿宋_GB2312"/>
                <w:color w:val="auto"/>
                <w:szCs w:val="24"/>
                <w:lang w:val="en-US" w:eastAsia="zh-CN"/>
              </w:rPr>
              <w:t>7</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11</w:t>
            </w:r>
            <w:r>
              <w:rPr>
                <w:rFonts w:hint="eastAsia" w:ascii="仿宋_GB2312" w:hAnsi="新宋体" w:eastAsia="仿宋_GB2312"/>
                <w:color w:val="auto"/>
                <w:szCs w:val="24"/>
              </w:rPr>
              <w:t>日，每天上午00:00至12:00</w:t>
            </w:r>
            <w:r>
              <w:rPr>
                <w:rFonts w:ascii="仿宋_GB2312" w:hAnsi="新宋体" w:eastAsia="仿宋_GB2312"/>
                <w:color w:val="auto"/>
                <w:szCs w:val="24"/>
              </w:rPr>
              <w:t> </w:t>
            </w:r>
            <w:r>
              <w:rPr>
                <w:rFonts w:hint="eastAsia" w:ascii="仿宋_GB2312" w:hAnsi="新宋体" w:eastAsia="仿宋_GB2312"/>
                <w:color w:val="auto"/>
                <w:szCs w:val="24"/>
              </w:rPr>
              <w:t>，下午12:00至23:59（北京时间，线上获取法定节假日均可，线下获取文件法定节假日除外）</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地点（网址）：</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方式：</w:t>
            </w:r>
            <w:r>
              <w:rPr>
                <w:rFonts w:hint="eastAsia" w:ascii="仿宋_GB2312" w:hAnsi="新宋体" w:eastAsia="仿宋_GB2312" w:cs="Arial"/>
                <w:bCs/>
                <w:color w:val="auto"/>
              </w:rPr>
              <w:t>供应商登陆政采云平台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s="Arial"/>
                <w:bCs/>
                <w:color w:val="auto"/>
              </w:rPr>
              <w:t>，在线申请获取采购文件（进入“项目采购”应用，在获取采购文件菜单中选择项目，申请获取采购文件）</w:t>
            </w:r>
            <w:r>
              <w:rPr>
                <w:rFonts w:ascii="仿宋_GB2312" w:hAnsi="新宋体" w:eastAsia="仿宋_GB2312" w:cs="Arial"/>
                <w:bCs/>
                <w:color w:val="auto"/>
              </w:rPr>
              <w:t>。</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售价（元）：0</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四、提交投标文件截止时间、开标时间和地点</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提交投标文件截止时间：202</w:t>
            </w:r>
            <w:r>
              <w:rPr>
                <w:rFonts w:hint="eastAsia" w:ascii="仿宋_GB2312" w:hAnsi="新宋体" w:eastAsia="仿宋_GB2312"/>
                <w:color w:val="auto"/>
                <w:szCs w:val="24"/>
                <w:lang w:val="en-US" w:eastAsia="zh-CN"/>
              </w:rPr>
              <w:t>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7</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11</w:t>
            </w:r>
            <w:r>
              <w:rPr>
                <w:rFonts w:hint="eastAsia" w:ascii="仿宋_GB2312" w:hAnsi="新宋体" w:eastAsia="仿宋_GB2312"/>
                <w:color w:val="auto"/>
                <w:szCs w:val="24"/>
              </w:rPr>
              <w:t>日 09:30（北京时间）</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投标地点（网址）：</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开标时间：202</w:t>
            </w:r>
            <w:r>
              <w:rPr>
                <w:rFonts w:hint="eastAsia" w:ascii="仿宋_GB2312" w:hAnsi="新宋体" w:eastAsia="仿宋_GB2312"/>
                <w:color w:val="auto"/>
                <w:szCs w:val="24"/>
                <w:lang w:val="en-US" w:eastAsia="zh-CN"/>
              </w:rPr>
              <w:t>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7</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11</w:t>
            </w:r>
            <w:r>
              <w:rPr>
                <w:rFonts w:hint="eastAsia" w:ascii="仿宋_GB2312" w:hAnsi="新宋体" w:eastAsia="仿宋_GB2312"/>
                <w:color w:val="auto"/>
                <w:szCs w:val="24"/>
              </w:rPr>
              <w:t>日 09:30</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开标地点（网址）：嵊州市公共资源交易中心(官河南路699号国际会展中心北楼三楼)，在政府采购云平台（www.zcygov.cn）上开启响应文件。</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五、公告期限</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六、其他补充事宜</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2.其他事项：无</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七、对本次采购提出询问、质疑、投诉，请按以下方式联系</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1.采购人信息</w:t>
            </w:r>
          </w:p>
          <w:p>
            <w:pPr>
              <w:pStyle w:val="73"/>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名称：嵊州市</w:t>
            </w:r>
            <w:r>
              <w:rPr>
                <w:rFonts w:hint="eastAsia" w:ascii="仿宋_GB2312" w:hAnsi="新宋体" w:eastAsia="仿宋_GB2312"/>
                <w:color w:val="auto"/>
                <w:szCs w:val="24"/>
                <w:lang w:eastAsia="zh-CN"/>
              </w:rPr>
              <w:t>公安局（本级）（</w:t>
            </w:r>
            <w:r>
              <w:rPr>
                <w:rFonts w:hint="eastAsia" w:ascii="仿宋_GB2312" w:hAnsi="新宋体" w:eastAsia="仿宋_GB2312"/>
                <w:color w:val="auto"/>
                <w:szCs w:val="24"/>
                <w:lang w:val="en-US" w:eastAsia="zh-CN"/>
              </w:rPr>
              <w:t>1</w:t>
            </w:r>
            <w:r>
              <w:rPr>
                <w:rFonts w:hint="eastAsia" w:ascii="仿宋_GB2312" w:hAnsi="新宋体" w:eastAsia="仿宋_GB2312"/>
                <w:color w:val="auto"/>
                <w:szCs w:val="24"/>
                <w:lang w:eastAsia="zh-CN"/>
              </w:rPr>
              <w:t>），嵊州市公安局交通警察大队（</w:t>
            </w:r>
            <w:r>
              <w:rPr>
                <w:rFonts w:hint="eastAsia" w:ascii="仿宋_GB2312" w:hAnsi="新宋体" w:eastAsia="仿宋_GB2312"/>
                <w:color w:val="auto"/>
                <w:szCs w:val="24"/>
                <w:lang w:val="en-US" w:eastAsia="zh-CN"/>
              </w:rPr>
              <w:t>2）</w:t>
            </w:r>
          </w:p>
          <w:p>
            <w:pPr>
              <w:pStyle w:val="73"/>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地址：</w:t>
            </w:r>
            <w:r>
              <w:rPr>
                <w:rFonts w:hint="eastAsia" w:eastAsia="仿宋_GB2312" w:asciiTheme="minorHAnsi" w:hAnsiTheme="minorHAnsi"/>
                <w:color w:val="auto"/>
                <w:szCs w:val="24"/>
              </w:rPr>
              <w:t>嵊州市官河横路</w:t>
            </w:r>
            <w:r>
              <w:rPr>
                <w:rFonts w:hint="eastAsia" w:eastAsia="仿宋_GB2312" w:asciiTheme="minorHAnsi" w:hAnsiTheme="minorHAnsi"/>
                <w:color w:val="auto"/>
                <w:szCs w:val="24"/>
                <w:lang w:val="en-US" w:eastAsia="zh-CN"/>
              </w:rPr>
              <w:t>258</w:t>
            </w:r>
            <w:r>
              <w:rPr>
                <w:rFonts w:hint="eastAsia" w:eastAsia="仿宋_GB2312" w:asciiTheme="minorHAnsi" w:hAnsiTheme="minorHAnsi"/>
                <w:color w:val="auto"/>
                <w:szCs w:val="24"/>
              </w:rPr>
              <w:t>号</w:t>
            </w:r>
            <w:r>
              <w:rPr>
                <w:rFonts w:hint="eastAsia" w:eastAsia="仿宋_GB2312" w:asciiTheme="minorHAnsi" w:hAnsiTheme="minorHAnsi"/>
                <w:color w:val="auto"/>
                <w:szCs w:val="24"/>
                <w:lang w:eastAsia="zh-CN"/>
              </w:rPr>
              <w:t>（</w:t>
            </w:r>
            <w:r>
              <w:rPr>
                <w:rFonts w:hint="eastAsia" w:eastAsia="仿宋_GB2312" w:asciiTheme="minorHAnsi" w:hAnsiTheme="minorHAnsi"/>
                <w:color w:val="auto"/>
                <w:szCs w:val="24"/>
                <w:lang w:val="en-US" w:eastAsia="zh-CN"/>
              </w:rPr>
              <w:t>1），嵊州市环区东路99号（2）</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p>
          <w:p>
            <w:pPr>
              <w:pStyle w:val="73"/>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项目联系人（询问）：</w:t>
            </w:r>
            <w:r>
              <w:rPr>
                <w:rFonts w:hint="eastAsia" w:ascii="仿宋_GB2312" w:hAnsi="新宋体" w:eastAsia="仿宋_GB2312"/>
                <w:color w:val="auto"/>
                <w:szCs w:val="24"/>
                <w:lang w:eastAsia="zh-CN"/>
              </w:rPr>
              <w:t>刘健宁</w:t>
            </w:r>
          </w:p>
          <w:p>
            <w:pPr>
              <w:pStyle w:val="73"/>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项目联系方式（询问）：</w:t>
            </w:r>
            <w:r>
              <w:rPr>
                <w:rFonts w:hint="eastAsia" w:ascii="仿宋_GB2312" w:hAnsi="新宋体" w:eastAsia="仿宋_GB2312"/>
                <w:color w:val="auto"/>
                <w:szCs w:val="24"/>
                <w:lang w:val="en-US" w:eastAsia="zh-CN"/>
              </w:rPr>
              <w:t>0575-83135265</w:t>
            </w:r>
          </w:p>
          <w:p>
            <w:pPr>
              <w:pStyle w:val="73"/>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质疑联系人：</w:t>
            </w:r>
            <w:r>
              <w:rPr>
                <w:rFonts w:hint="eastAsia" w:ascii="仿宋_GB2312" w:hAnsi="新宋体" w:eastAsia="仿宋_GB2312"/>
                <w:color w:val="auto"/>
                <w:szCs w:val="24"/>
                <w:lang w:eastAsia="zh-CN"/>
              </w:rPr>
              <w:t>罗友江</w:t>
            </w:r>
          </w:p>
          <w:p>
            <w:pPr>
              <w:pStyle w:val="73"/>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质疑联系方式：</w:t>
            </w:r>
            <w:r>
              <w:rPr>
                <w:rFonts w:hint="eastAsia" w:ascii="仿宋_GB2312" w:hAnsi="新宋体" w:eastAsia="仿宋_GB2312"/>
                <w:color w:val="auto"/>
                <w:szCs w:val="24"/>
                <w:lang w:val="en-US" w:eastAsia="zh-CN"/>
              </w:rPr>
              <w:t>0575-83135268</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2.采购代理机构信息 </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名称：嵊州市公共资源交易中心</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地址：嵊州市官河南路699号国际会展中心北楼三楼</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传真：0575-83360392 </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项目联系人（询问）：倪</w:t>
            </w:r>
            <w:r>
              <w:rPr>
                <w:rFonts w:hint="eastAsia" w:ascii="仿宋_GB2312" w:hAnsi="新宋体" w:eastAsia="仿宋_GB2312"/>
                <w:color w:val="auto"/>
                <w:szCs w:val="24"/>
                <w:lang w:eastAsia="zh-CN"/>
              </w:rPr>
              <w:t>老师</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项目联系方式（询问）：0575-83360392</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w:t>
            </w:r>
            <w:r>
              <w:rPr>
                <w:rFonts w:hint="eastAsia" w:ascii="仿宋_GB2312" w:hAnsi="新宋体" w:eastAsia="仿宋_GB2312"/>
                <w:color w:val="auto"/>
                <w:szCs w:val="24"/>
                <w:lang w:eastAsia="zh-CN"/>
              </w:rPr>
              <w:t>潘</w:t>
            </w:r>
            <w:r>
              <w:rPr>
                <w:rFonts w:hint="eastAsia" w:ascii="仿宋_GB2312" w:hAnsi="新宋体" w:eastAsia="仿宋_GB2312"/>
                <w:color w:val="auto"/>
                <w:szCs w:val="24"/>
              </w:rPr>
              <w:t>老师</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质疑联系方式：0575-83360392</w:t>
            </w:r>
            <w:r>
              <w:rPr>
                <w:rFonts w:ascii="仿宋_GB2312" w:hAnsi="新宋体" w:eastAsia="仿宋_GB2312"/>
                <w:color w:val="auto"/>
                <w:szCs w:val="24"/>
              </w:rPr>
              <w:t> </w:t>
            </w:r>
            <w:r>
              <w:rPr>
                <w:rFonts w:hint="eastAsia" w:ascii="仿宋_GB2312" w:hAnsi="新宋体" w:eastAsia="仿宋_GB2312"/>
                <w:color w:val="auto"/>
                <w:szCs w:val="24"/>
              </w:rPr>
              <w:t>　　　　　　</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3.同级政府采购监督管理部门 </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名称：嵊州市财政局</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地址：嵊州市三江街道国资大楼1004室</w:t>
            </w:r>
            <w:r>
              <w:rPr>
                <w:rFonts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联系人 ：</w:t>
            </w:r>
            <w:r>
              <w:rPr>
                <w:rFonts w:hint="eastAsia" w:ascii="仿宋_GB2312" w:hAnsi="新宋体" w:eastAsia="仿宋_GB2312"/>
                <w:color w:val="auto"/>
                <w:szCs w:val="24"/>
                <w:lang w:eastAsia="zh-CN"/>
              </w:rPr>
              <w:t>郑老师</w:t>
            </w:r>
            <w:r>
              <w:rPr>
                <w:rFonts w:hint="eastAsia" w:ascii="仿宋_GB2312" w:hAnsi="新宋体" w:eastAsia="仿宋_GB2312"/>
                <w:color w:val="auto"/>
                <w:szCs w:val="24"/>
              </w:rPr>
              <w:t>          </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监督投诉电话：0575-83032507</w:t>
            </w:r>
            <w:r>
              <w:rPr>
                <w:rFonts w:ascii="仿宋_GB2312" w:hAnsi="新宋体" w:eastAsia="仿宋_GB2312"/>
                <w:color w:val="auto"/>
                <w:szCs w:val="24"/>
              </w:rPr>
              <w:t>   </w:t>
            </w:r>
          </w:p>
          <w:p>
            <w:pPr>
              <w:pStyle w:val="73"/>
              <w:spacing w:afterLines="0" w:line="440" w:lineRule="exact"/>
              <w:ind w:firstLine="480"/>
              <w:jc w:val="left"/>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w:t>
            </w:r>
            <w:r>
              <w:rPr>
                <w:rFonts w:hint="eastAsia" w:ascii="仿宋_GB2312" w:hAnsi="新宋体" w:eastAsia="仿宋_GB2312"/>
                <w:color w:val="auto"/>
                <w:szCs w:val="24"/>
                <w:lang w:val="en-US" w:eastAsia="zh-CN"/>
              </w:rPr>
              <w:t>95763</w:t>
            </w:r>
            <w:r>
              <w:rPr>
                <w:rFonts w:hint="eastAsia" w:ascii="仿宋_GB2312" w:hAnsi="新宋体" w:eastAsia="仿宋_GB2312"/>
                <w:color w:val="auto"/>
                <w:szCs w:val="24"/>
              </w:rPr>
              <w:t>获取热线服务帮助。</w:t>
            </w:r>
          </w:p>
          <w:p>
            <w:pPr>
              <w:pStyle w:val="73"/>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bl>
    <w:p>
      <w:pPr>
        <w:widowControl/>
        <w:jc w:val="left"/>
        <w:rPr>
          <w:rFonts w:ascii="仿宋_GB2312" w:hAnsi="新宋体" w:eastAsia="仿宋_GB2312"/>
          <w:color w:val="auto"/>
          <w:kern w:val="0"/>
          <w:sz w:val="24"/>
        </w:rPr>
      </w:pPr>
    </w:p>
    <w:p>
      <w:pPr>
        <w:widowControl/>
        <w:jc w:val="left"/>
        <w:rPr>
          <w:rFonts w:ascii="仿宋_GB2312" w:hAnsi="新宋体" w:eastAsia="仿宋_GB2312"/>
          <w:color w:val="auto"/>
          <w:kern w:val="0"/>
          <w:sz w:val="24"/>
        </w:rPr>
      </w:pPr>
      <w:r>
        <w:rPr>
          <w:rFonts w:ascii="仿宋_GB2312" w:hAnsi="新宋体" w:eastAsia="仿宋_GB2312"/>
          <w:color w:val="auto"/>
        </w:rPr>
        <w:br w:type="page"/>
      </w: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1" w:name="_Hlk47616320"/>
      <w:r>
        <w:rPr>
          <w:rFonts w:hint="eastAsia" w:ascii="仿宋_GB2312" w:hAnsi="宋体" w:eastAsia="仿宋_GB2312"/>
          <w:b/>
          <w:color w:val="auto"/>
          <w:sz w:val="30"/>
          <w:szCs w:val="36"/>
        </w:rPr>
        <w:t>前附表</w:t>
      </w:r>
    </w:p>
    <w:tbl>
      <w:tblPr>
        <w:tblStyle w:val="47"/>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1" w:type="dxa"/>
            <w:gridSpan w:val="2"/>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1" w:type="dxa"/>
            <w:gridSpan w:val="2"/>
            <w:vAlign w:val="center"/>
          </w:tcPr>
          <w:p>
            <w:pPr>
              <w:snapToGrid w:val="0"/>
              <w:spacing w:line="440" w:lineRule="exact"/>
              <w:rPr>
                <w:rFonts w:ascii="仿宋_GB2312" w:hAnsi="仿宋_GB2312" w:eastAsia="仿宋_GB2312" w:cs="仿宋_GB2312"/>
                <w:color w:val="auto"/>
                <w:sz w:val="24"/>
              </w:rPr>
            </w:pPr>
            <w:r>
              <w:rPr>
                <w:rFonts w:hint="eastAsia" w:ascii="仿宋_GB2312" w:hAnsi="仿宋_GB2312" w:eastAsia="仿宋_GB2312" w:cs="仿宋_GB2312"/>
                <w:b/>
                <w:color w:val="auto"/>
                <w:sz w:val="24"/>
              </w:rPr>
              <w:t>投标人应当提交的资格、资信证明文件</w:t>
            </w:r>
            <w:r>
              <w:rPr>
                <w:rFonts w:hint="eastAsia" w:ascii="仿宋_GB2312" w:hAnsi="仿宋_GB2312" w:eastAsia="仿宋_GB2312" w:cs="仿宋_GB2312"/>
                <w:color w:val="auto"/>
                <w:sz w:val="24"/>
              </w:rPr>
              <w:t>：</w:t>
            </w:r>
          </w:p>
          <w:p>
            <w:pPr>
              <w:snapToGrid w:val="0"/>
              <w:spacing w:line="440" w:lineRule="exact"/>
              <w:rPr>
                <w:rFonts w:ascii="仿宋_GB2312" w:hAnsi="仿宋_GB2312" w:eastAsia="仿宋_GB2312" w:cs="仿宋_GB2312"/>
                <w:color w:val="auto"/>
                <w:sz w:val="24"/>
              </w:rPr>
            </w:pPr>
            <w:r>
              <w:rPr>
                <w:rFonts w:hint="eastAsia" w:ascii="仿宋_GB2312" w:hAnsi="仿宋_GB2312" w:eastAsia="仿宋_GB2312" w:cs="仿宋_GB2312"/>
                <w:b/>
                <w:color w:val="auto"/>
                <w:sz w:val="24"/>
              </w:rPr>
              <w:t>（1）相关证明文件：</w:t>
            </w:r>
            <w:r>
              <w:rPr>
                <w:rFonts w:hint="eastAsia" w:ascii="仿宋_GB2312" w:hAnsi="仿宋_GB2312" w:eastAsia="仿宋_GB2312" w:cs="仿宋_GB2312"/>
                <w:color w:val="auto"/>
                <w:sz w:val="24"/>
              </w:rPr>
              <w:t>营业执照</w:t>
            </w:r>
            <w:r>
              <w:rPr>
                <w:rFonts w:hint="eastAsia" w:ascii="仿宋_GB2312" w:hAnsi="仿宋_GB2312" w:eastAsia="仿宋_GB2312" w:cs="仿宋_GB2312"/>
                <w:color w:val="auto"/>
                <w:sz w:val="24"/>
                <w:lang w:eastAsia="zh-CN"/>
              </w:rPr>
              <w:t>（含电子营业执照）</w:t>
            </w:r>
            <w:r>
              <w:rPr>
                <w:rFonts w:hint="eastAsia" w:ascii="仿宋_GB2312" w:hAnsi="仿宋_GB2312" w:eastAsia="仿宋_GB2312" w:cs="仿宋_GB2312"/>
                <w:color w:val="auto"/>
                <w:sz w:val="24"/>
              </w:rPr>
              <w:t>复印件、202</w:t>
            </w:r>
            <w:r>
              <w:rPr>
                <w:rFonts w:hint="eastAsia" w:ascii="仿宋_GB2312" w:hAnsi="仿宋_GB2312" w:eastAsia="仿宋_GB2312" w:cs="仿宋_GB2312"/>
                <w:color w:val="auto"/>
                <w:sz w:val="24"/>
                <w:lang w:val="en-US" w:eastAsia="zh-CN"/>
              </w:rPr>
              <w:t>2</w:t>
            </w:r>
            <w:r>
              <w:rPr>
                <w:rFonts w:hint="eastAsia" w:ascii="仿宋_GB2312" w:hAnsi="仿宋_GB2312" w:eastAsia="仿宋_GB2312" w:cs="仿宋_GB2312"/>
                <w:color w:val="auto"/>
                <w:sz w:val="24"/>
              </w:rPr>
              <w:t>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auto"/>
                <w:sz w:val="24"/>
              </w:rPr>
            </w:pPr>
            <w:r>
              <w:rPr>
                <w:rFonts w:hint="eastAsia" w:ascii="仿宋_GB2312" w:hAnsi="仿宋_GB2312" w:eastAsia="仿宋_GB2312" w:cs="仿宋_GB2312"/>
                <w:b/>
                <w:color w:val="auto"/>
                <w:sz w:val="24"/>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（3）特许资格、资信证明文件（如果有）：</w:t>
            </w:r>
          </w:p>
          <w:p>
            <w:pPr>
              <w:spacing w:line="44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1"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1" w:type="dxa"/>
            <w:gridSpan w:val="2"/>
            <w:vAlign w:val="center"/>
          </w:tcPr>
          <w:p>
            <w:pPr>
              <w:autoSpaceDE w:val="0"/>
              <w:autoSpaceDN w:val="0"/>
              <w:spacing w:line="44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1" w:type="dxa"/>
            <w:gridSpan w:val="2"/>
            <w:vAlign w:val="center"/>
          </w:tcPr>
          <w:p>
            <w:pPr>
              <w:spacing w:line="440" w:lineRule="exact"/>
              <w:rPr>
                <w:rFonts w:ascii="仿宋_GB2312" w:hAnsi="宋体" w:eastAsia="仿宋_GB2312"/>
                <w:color w:val="auto"/>
                <w:sz w:val="24"/>
              </w:rPr>
            </w:pPr>
            <w:r>
              <w:rPr>
                <w:rFonts w:hint="eastAsia" w:ascii="仿宋_GB2312" w:hAnsi="仿宋" w:eastAsia="仿宋_GB2312" w:cs="仿宋_GB2312"/>
                <w:b/>
                <w:color w:val="auto"/>
                <w:sz w:val="24"/>
              </w:rPr>
              <w:t>分包或转包：</w:t>
            </w:r>
            <w:r>
              <w:rPr>
                <w:rFonts w:hint="eastAsia" w:ascii="仿宋_GB2312" w:hAnsi="仿宋" w:eastAsia="仿宋_GB2312" w:cs="仿宋_GB2312"/>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1" w:type="dxa"/>
            <w:gridSpan w:val="2"/>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本项目实行网上投标，供应商于“政采云”上提供电子投标文件。供应商须在收到中标通知书5个工作日内提供</w:t>
            </w:r>
            <w:r>
              <w:rPr>
                <w:rFonts w:hint="eastAsia" w:ascii="仿宋_GB2312" w:hAnsi="宋体" w:eastAsia="仿宋_GB2312"/>
                <w:color w:val="auto"/>
                <w:sz w:val="24"/>
                <w:lang w:eastAsia="zh-CN"/>
              </w:rPr>
              <w:t>二</w:t>
            </w:r>
            <w:r>
              <w:rPr>
                <w:rFonts w:hint="eastAsia" w:ascii="仿宋_GB2312" w:hAnsi="宋体" w:eastAsia="仿宋_GB2312"/>
                <w:color w:val="auto"/>
                <w:sz w:val="24"/>
              </w:rPr>
              <w:t>份与电子投标文件一致的纸质投标文件，并邮寄到嵊州市公共资源交易中心（嵊州市官河南路699号国际会展中心北楼三楼302室）。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1" w:type="dxa"/>
            <w:gridSpan w:val="2"/>
            <w:vAlign w:val="center"/>
          </w:tcPr>
          <w:p>
            <w:pPr>
              <w:autoSpaceDE w:val="0"/>
              <w:autoSpaceDN w:val="0"/>
              <w:spacing w:line="44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r>
              <w:rPr>
                <w:rFonts w:hint="eastAsia" w:ascii="仿宋" w:hAnsi="仿宋" w:eastAsia="仿宋" w:cs="仿宋_GB2312"/>
                <w:b/>
                <w:color w:val="auto"/>
                <w:sz w:val="24"/>
                <w:lang w:eastAsia="zh-CN"/>
              </w:rPr>
              <w:t>无</w:t>
            </w:r>
            <w:r>
              <w:rPr>
                <w:rFonts w:hint="eastAsia" w:ascii="仿宋" w:hAnsi="仿宋" w:eastAsia="仿宋" w:cs="仿宋_GB2312"/>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1" w:type="dxa"/>
            <w:gridSpan w:val="2"/>
            <w:vAlign w:val="center"/>
          </w:tcPr>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样品提供：</w:t>
            </w:r>
            <w:r>
              <w:rPr>
                <w:rFonts w:hint="eastAsia" w:ascii="仿宋_GB2312" w:hAnsi="仿宋_GB2312" w:eastAsia="仿宋_GB2312" w:cs="仿宋_GB2312"/>
                <w:color w:val="auto"/>
                <w:sz w:val="24"/>
                <w:lang w:val="en-US" w:eastAsia="zh-CN"/>
              </w:rPr>
              <w:t>无</w:t>
            </w: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1" w:type="dxa"/>
            <w:gridSpan w:val="2"/>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演示(讲解)：</w:t>
            </w:r>
            <w:r>
              <w:rPr>
                <w:rFonts w:hint="eastAsia" w:ascii="仿宋_GB2312" w:hAnsi="宋体" w:eastAsia="仿宋_GB2312"/>
                <w:b/>
                <w:color w:val="auto"/>
                <w:sz w:val="24"/>
                <w:lang w:eastAsia="zh-CN"/>
              </w:rPr>
              <w:t>无</w:t>
            </w:r>
            <w:r>
              <w:rPr>
                <w:rFonts w:hint="eastAsia" w:ascii="仿宋_GB2312" w:hAnsi="宋体" w:eastAsia="仿宋_GB2312"/>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1"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所属行业：</w:t>
            </w:r>
            <w:r>
              <w:rPr>
                <w:rFonts w:hint="eastAsia" w:ascii="仿宋_GB2312" w:hAnsi="仿宋_GB2312" w:eastAsia="仿宋_GB2312" w:cs="仿宋_GB2312"/>
                <w:b/>
                <w:color w:val="auto"/>
                <w:sz w:val="24"/>
                <w:lang w:eastAsia="zh-CN"/>
              </w:rPr>
              <w:t>工</w:t>
            </w:r>
            <w:r>
              <w:rPr>
                <w:rFonts w:hint="eastAsia" w:ascii="仿宋_GB2312" w:hAnsi="仿宋_GB2312" w:eastAsia="仿宋_GB2312" w:cs="仿宋_GB2312"/>
                <w:b/>
                <w:color w:val="auto"/>
                <w:sz w:val="24"/>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 品</w:t>
            </w:r>
          </w:p>
        </w:tc>
        <w:tc>
          <w:tcPr>
            <w:tcW w:w="7516"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color w:val="auto"/>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restart"/>
            <w:vAlign w:val="center"/>
          </w:tcPr>
          <w:p>
            <w:pPr>
              <w:spacing w:line="440" w:lineRule="exact"/>
              <w:jc w:val="center"/>
              <w:rPr>
                <w:rFonts w:ascii="仿宋_GB2312" w:hAnsi="宋体" w:eastAsia="仿宋_GB2312"/>
                <w:color w:val="auto"/>
                <w:sz w:val="24"/>
              </w:rPr>
            </w:pPr>
            <w:r>
              <w:rPr>
                <w:rFonts w:ascii="仿宋_GB2312" w:hAnsi="宋体" w:eastAsia="仿宋_GB2312"/>
                <w:color w:val="auto"/>
                <w:sz w:val="24"/>
              </w:rPr>
              <w:t>1</w:t>
            </w:r>
            <w:r>
              <w:rPr>
                <w:rFonts w:hint="eastAsia" w:ascii="仿宋_GB2312" w:hAnsi="宋体" w:eastAsia="仿宋_GB2312"/>
                <w:color w:val="auto"/>
                <w:sz w:val="24"/>
              </w:rPr>
              <w:t>1</w:t>
            </w:r>
          </w:p>
        </w:tc>
        <w:tc>
          <w:tcPr>
            <w:tcW w:w="855" w:type="dxa"/>
            <w:vMerge w:val="restart"/>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6"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信用信息查询渠道及截止时间：</w:t>
            </w:r>
            <w:r>
              <w:rPr>
                <w:rFonts w:hint="eastAsia" w:ascii="仿宋_GB2312" w:hAnsi="宋体" w:eastAsia="仿宋_GB2312"/>
                <w:color w:val="auto"/>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rPr>
              <w:t>开标当天</w:t>
            </w:r>
            <w:r>
              <w:rPr>
                <w:rFonts w:hint="eastAsia" w:ascii="仿宋_GB2312" w:hAnsi="宋体" w:eastAsia="仿宋_GB2312"/>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6"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信用信息查询记录和证据留存的具体方式：</w:t>
            </w:r>
            <w:r>
              <w:rPr>
                <w:rFonts w:hint="eastAsia" w:ascii="仿宋_GB2312" w:hAnsi="宋体" w:eastAsia="仿宋_GB2312"/>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6"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信用信息的使用规则：</w:t>
            </w:r>
            <w:r>
              <w:rPr>
                <w:rFonts w:hint="eastAsia" w:ascii="仿宋_GB2312" w:hAnsi="宋体" w:eastAsia="仿宋_GB2312"/>
                <w:color w:val="auto"/>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371"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扰乱公共资源交易市场秩序行为：</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不诚信参加公共资源交易活动，扰乱市场秩序，被</w:t>
            </w:r>
            <w:r>
              <w:rPr>
                <w:rFonts w:hint="eastAsia" w:ascii="仿宋_GB2312" w:hAnsi="宋体" w:eastAsia="仿宋_GB2312"/>
                <w:color w:val="auto"/>
                <w:sz w:val="24"/>
              </w:rPr>
              <w:t>嵊州市公共资源交易中心</w:t>
            </w:r>
            <w:r>
              <w:rPr>
                <w:rFonts w:hint="eastAsia" w:ascii="仿宋_GB2312" w:hAnsi="仿宋" w:eastAsia="仿宋_GB2312"/>
                <w:color w:val="auto"/>
                <w:sz w:val="24"/>
              </w:rPr>
              <w:t>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13</w:t>
            </w:r>
          </w:p>
        </w:tc>
        <w:tc>
          <w:tcPr>
            <w:tcW w:w="8371"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1"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1"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1.本项目实行网上投标，采用电子投标文件。若供应商参与投标，自行承担投标一切费用。</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_GB2312" w:hAnsi="仿宋" w:eastAsia="仿宋_GB2312"/>
                <w:color w:val="auto"/>
                <w:sz w:val="24"/>
              </w:rPr>
            </w:pPr>
            <w:r>
              <w:rPr>
                <w:rFonts w:hint="eastAsia" w:ascii="仿宋_GB2312" w:hAnsi="仿宋" w:eastAsia="仿宋_GB2312"/>
                <w:color w:val="auto"/>
                <w:sz w:val="24"/>
              </w:rPr>
              <w:t>《CA申领操作指南》：https://help.zcygov.cn/web/site_2/2018/11-29/2452.html</w:t>
            </w:r>
          </w:p>
          <w:p>
            <w:pPr>
              <w:snapToGrid w:val="0"/>
              <w:spacing w:line="440" w:lineRule="exact"/>
              <w:jc w:val="left"/>
              <w:rPr>
                <w:rFonts w:ascii="仿宋_GB2312" w:hAnsi="仿宋" w:eastAsia="仿宋_GB2312"/>
                <w:color w:val="auto"/>
                <w:sz w:val="24"/>
              </w:rPr>
            </w:pPr>
            <w:r>
              <w:rPr>
                <w:rFonts w:hint="eastAsia" w:ascii="仿宋_GB2312" w:hAnsi="仿宋" w:eastAsia="仿宋_GB2312"/>
                <w:color w:val="auto"/>
                <w:sz w:val="24"/>
              </w:rPr>
              <w:t>《CA管理操作指南》：https://help.zcygov.cn/web/site_2/2019/08-20/3405.html</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《CA驱动和申领流程》:</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http://zfcg.czt.zj.gov.cn//bidClientTemplate/2019-05-27/12945.html</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3.投标文件制作、递交、解密：</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color w:val="auto"/>
                <w:sz w:val="24"/>
              </w:rPr>
            </w:pPr>
            <w:r>
              <w:rPr>
                <w:rFonts w:hint="eastAsia" w:ascii="仿宋_GB2312" w:hAnsi="仿宋" w:eastAsia="仿宋_GB2312"/>
                <w:color w:val="auto"/>
                <w:sz w:val="24"/>
              </w:rPr>
              <w:t>3.2投标人通过“政采云”平台制作电子投标文件，投标文件制作详见“供应商-政府采购项目电子交易操作指南：</w:t>
            </w:r>
            <w:r>
              <w:rPr>
                <w:color w:val="auto"/>
              </w:rPr>
              <w:fldChar w:fldCharType="begin"/>
            </w:r>
            <w:r>
              <w:rPr>
                <w:color w:val="auto"/>
              </w:rPr>
              <w:instrText xml:space="preserve"> HYPERLINK "https://help.zcygov.cn/web/site_2/2018/12-28/2573.html" </w:instrText>
            </w:r>
            <w:r>
              <w:rPr>
                <w:color w:val="auto"/>
              </w:rPr>
              <w:fldChar w:fldCharType="separate"/>
            </w:r>
            <w:r>
              <w:rPr>
                <w:rStyle w:val="54"/>
                <w:rFonts w:hint="eastAsia" w:ascii="仿宋_GB2312" w:hAnsi="仿宋" w:eastAsia="仿宋_GB2312"/>
                <w:color w:val="auto"/>
                <w:sz w:val="24"/>
              </w:rPr>
              <w:t>https://help.zcygov.cn/web/site_2/2018/12-28/2573.html</w:t>
            </w:r>
            <w:r>
              <w:rPr>
                <w:rStyle w:val="54"/>
                <w:rFonts w:hint="eastAsia" w:ascii="仿宋_GB2312" w:hAnsi="仿宋" w:eastAsia="仿宋_GB2312"/>
                <w:color w:val="auto"/>
                <w:sz w:val="24"/>
              </w:rPr>
              <w:fldChar w:fldCharType="end"/>
            </w:r>
            <w:r>
              <w:rPr>
                <w:rFonts w:hint="eastAsia" w:ascii="仿宋_GB2312" w:hAnsi="仿宋" w:eastAsia="仿宋_GB2312"/>
                <w:color w:val="auto"/>
                <w:sz w:val="24"/>
              </w:rPr>
              <w:t>”。</w:t>
            </w:r>
          </w:p>
          <w:p>
            <w:pPr>
              <w:snapToGrid w:val="0"/>
              <w:spacing w:line="440" w:lineRule="exact"/>
              <w:rPr>
                <w:rFonts w:ascii="仿宋" w:hAnsi="仿宋" w:eastAsia="仿宋"/>
                <w:color w:val="auto"/>
                <w:sz w:val="24"/>
              </w:rPr>
            </w:pPr>
            <w:r>
              <w:rPr>
                <w:rFonts w:hint="eastAsia" w:ascii="仿宋_GB2312" w:hAnsi="仿宋" w:eastAsia="仿宋_GB2312"/>
                <w:color w:val="auto"/>
                <w:sz w:val="24"/>
              </w:rPr>
              <w:t>3.3</w:t>
            </w:r>
            <w:r>
              <w:rPr>
                <w:rFonts w:hint="eastAsia" w:ascii="仿宋_GB2312" w:hAnsi="新宋体" w:eastAsia="仿宋_GB2312" w:cs="Arial"/>
                <w:color w:val="auto"/>
                <w:sz w:val="24"/>
              </w:rPr>
              <w:t>开标时间后3</w:t>
            </w:r>
            <w:r>
              <w:rPr>
                <w:rFonts w:ascii="仿宋_GB2312" w:hAnsi="新宋体" w:eastAsia="仿宋_GB2312" w:cs="Arial"/>
                <w:color w:val="auto"/>
                <w:sz w:val="24"/>
              </w:rPr>
              <w:t>0</w:t>
            </w:r>
            <w:r>
              <w:rPr>
                <w:rFonts w:hint="eastAsia" w:ascii="仿宋_GB2312" w:hAnsi="新宋体" w:eastAsia="仿宋_GB2312" w:cs="Arial"/>
                <w:color w:val="auto"/>
                <w:sz w:val="24"/>
              </w:rPr>
              <w:t>分钟内供应商可以登录“政采云”平台，用“项目采购-开标评标”功能进行解密投标文件。若供应商</w:t>
            </w:r>
            <w:r>
              <w:rPr>
                <w:rFonts w:hint="eastAsia" w:ascii="仿宋_GB2312" w:hAnsi="宋体" w:eastAsia="仿宋_GB2312"/>
                <w:b/>
                <w:color w:val="auto"/>
                <w:sz w:val="24"/>
                <w:u w:val="single"/>
              </w:rPr>
              <w:t>未按时解密的</w:t>
            </w:r>
            <w:r>
              <w:rPr>
                <w:rFonts w:hint="eastAsia" w:ascii="仿宋_GB2312" w:hAnsi="新宋体" w:eastAsia="仿宋_GB2312" w:cs="Arial"/>
                <w:color w:val="auto"/>
                <w:sz w:val="24"/>
              </w:rPr>
              <w:t>，</w:t>
            </w:r>
            <w:r>
              <w:rPr>
                <w:rFonts w:hint="eastAsia" w:ascii="仿宋_GB2312" w:hAnsi="宋体" w:eastAsia="仿宋_GB2312"/>
                <w:b/>
                <w:color w:val="auto"/>
                <w:sz w:val="24"/>
                <w:u w:val="single"/>
              </w:rPr>
              <w:t>视为投标文件撤回</w:t>
            </w:r>
            <w:r>
              <w:rPr>
                <w:rFonts w:hint="eastAsia" w:ascii="仿宋_GB2312" w:hAnsi="新宋体" w:eastAsia="仿宋_GB2312"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解释：凡涉及本招标文件的解释权属于采购人和本中心。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_GB2312" w:hAnsi="宋体" w:eastAsia="仿宋_GB2312"/>
          <w:b/>
          <w:color w:val="auto"/>
          <w:sz w:val="36"/>
          <w:szCs w:val="36"/>
        </w:rPr>
      </w:pPr>
      <w:r>
        <w:rPr>
          <w:rFonts w:hint="eastAsia" w:ascii="仿宋_GB2312" w:hAnsi="宋体" w:eastAsia="仿宋_GB2312"/>
          <w:b/>
          <w:color w:val="auto"/>
          <w:sz w:val="36"/>
          <w:szCs w:val="36"/>
        </w:rPr>
        <w:t>一、总则</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 项目说明</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1.1本招标文件</w:t>
      </w:r>
      <w:r>
        <w:rPr>
          <w:rFonts w:hint="eastAsia" w:ascii="仿宋" w:hAnsi="仿宋" w:eastAsia="仿宋"/>
          <w:color w:val="auto"/>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定义</w:t>
      </w:r>
    </w:p>
    <w:p>
      <w:pPr>
        <w:snapToGrid w:val="0"/>
        <w:spacing w:line="440" w:lineRule="exact"/>
        <w:jc w:val="left"/>
        <w:rPr>
          <w:rFonts w:ascii="仿宋_GB2312" w:hAnsi="宋体" w:eastAsia="仿宋_GB2312"/>
          <w:color w:val="auto"/>
          <w:sz w:val="24"/>
        </w:rPr>
      </w:pPr>
      <w:r>
        <w:rPr>
          <w:rFonts w:hint="eastAsia" w:ascii="仿宋_GB2312" w:hAnsi="仿宋_GB2312" w:eastAsia="仿宋_GB2312" w:cs="仿宋_GB2312"/>
          <w:color w:val="auto"/>
          <w:sz w:val="24"/>
        </w:rPr>
        <w:t>2.1政府采购当事人及监管部门：嵊州市</w:t>
      </w:r>
      <w:r>
        <w:rPr>
          <w:rFonts w:hint="eastAsia" w:ascii="仿宋_GB2312" w:hAnsi="仿宋_GB2312" w:eastAsia="仿宋_GB2312" w:cs="仿宋_GB2312"/>
          <w:color w:val="auto"/>
          <w:sz w:val="24"/>
          <w:lang w:eastAsia="zh-CN"/>
        </w:rPr>
        <w:t>公安局</w:t>
      </w:r>
      <w:r>
        <w:rPr>
          <w:rFonts w:hint="eastAsia" w:ascii="仿宋_GB2312" w:hAnsi="仿宋_GB2312" w:eastAsia="仿宋_GB2312" w:cs="仿宋_GB2312"/>
          <w:color w:val="auto"/>
          <w:sz w:val="24"/>
        </w:rPr>
        <w:t>为本项目的采购人（合同中的甲方），嵊州市公共资源交易中心为集中采购机构，响应招标、参加投标竞争的法人、其他组织或者自然人为投标人，经评审产生并经批准的投标人为中标候选人，经公告无异议，并签订合同后的中标人为供应商（合同中的乙方），嵊州市财政局为政府采购监督管理部门。</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2.4“项目”系指投标人按招标文件规定向采购人提供的产品和服务。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2.5“授权代表”系指法定代表人的被授权委托人。</w:t>
      </w:r>
    </w:p>
    <w:p>
      <w:pPr>
        <w:snapToGrid w:val="0"/>
        <w:spacing w:line="440" w:lineRule="exact"/>
        <w:jc w:val="left"/>
        <w:rPr>
          <w:rFonts w:ascii="仿宋_GB2312" w:hAnsi="宋体" w:eastAsia="仿宋_GB2312"/>
          <w:color w:val="FF0000"/>
          <w:sz w:val="24"/>
        </w:rPr>
      </w:pPr>
      <w:r>
        <w:rPr>
          <w:rFonts w:hint="eastAsia" w:ascii="仿宋_GB2312" w:hAnsi="宋体" w:eastAsia="仿宋_GB2312"/>
          <w:color w:val="auto"/>
          <w:sz w:val="24"/>
        </w:rPr>
        <w:t>2.6 “</w:t>
      </w:r>
      <w:r>
        <w:rPr>
          <w:rFonts w:hint="eastAsia" w:ascii="仿宋_GB2312" w:hAnsi="宋体" w:eastAsia="仿宋_GB2312"/>
          <w:sz w:val="24"/>
        </w:rPr>
        <w:t>★”系指实质性指标要求条款，如任意一条打“★”的指标出现负偏离视为实质性不响应招标文件要求，作无效投标处理。</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hint="eastAsia" w:ascii="仿宋_GB2312" w:hAnsi="仿宋" w:eastAsia="仿宋_GB2312"/>
          <w:color w:val="auto"/>
          <w:sz w:val="24"/>
        </w:rPr>
        <w:t>3.2 节能环保要求</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单位、采购代理机构应当对符合规定的小微企业报价按优惠幅度（货物和服务项目为10%、工程项目为5%）给予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单位、采购代理机构应当对联合体或者大中型企业的报价按优惠幅度（货物和服务项目为</w:t>
      </w:r>
      <w:r>
        <w:rPr>
          <w:rFonts w:hint="eastAsia" w:ascii="仿宋_GB2312" w:hAnsi="仿宋" w:eastAsia="仿宋_GB2312"/>
          <w:color w:val="auto"/>
          <w:sz w:val="24"/>
          <w:lang w:val="en-US" w:eastAsia="zh-CN"/>
        </w:rPr>
        <w:t>4</w:t>
      </w:r>
      <w:r>
        <w:rPr>
          <w:rFonts w:hint="eastAsia" w:ascii="仿宋_GB2312" w:hAnsi="仿宋" w:eastAsia="仿宋_GB2312"/>
          <w:color w:val="auto"/>
          <w:sz w:val="24"/>
        </w:rPr>
        <w:t>%、工程项目为2%）给予扣除，用扣除后的价格参加评审。组成联合体或者接受分包的小微企业与联合体内其他企业、分包企业之间存在直接控股、管理关系的，不享受价格扣除优惠政策。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ascii="仿宋_GB2312" w:hAnsi="宋体" w:eastAsia="仿宋_GB2312"/>
          <w:color w:val="auto"/>
          <w:sz w:val="24"/>
        </w:rPr>
      </w:pPr>
      <w:r>
        <w:rPr>
          <w:rFonts w:hint="eastAsia" w:ascii="仿宋_GB2312" w:hAnsi="宋体" w:eastAsia="仿宋_GB2312"/>
          <w:b/>
          <w:color w:val="auto"/>
          <w:sz w:val="36"/>
          <w:szCs w:val="36"/>
        </w:rPr>
        <w:t>二、招标文件</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1．招标方式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 本次招标采用</w:t>
      </w:r>
      <w:r>
        <w:rPr>
          <w:rFonts w:hint="eastAsia" w:ascii="仿宋_GB2312" w:hAnsi="宋体" w:eastAsia="仿宋_GB2312"/>
          <w:b/>
          <w:color w:val="auto"/>
          <w:kern w:val="0"/>
          <w:sz w:val="24"/>
        </w:rPr>
        <w:t>公开招标</w:t>
      </w:r>
      <w:r>
        <w:rPr>
          <w:rFonts w:hint="eastAsia" w:ascii="仿宋_GB2312" w:hAnsi="宋体" w:eastAsia="仿宋_GB2312"/>
          <w:color w:val="auto"/>
          <w:sz w:val="24"/>
        </w:rPr>
        <w:t>方式进行。</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本次招标设定限价，即招标公告中公布的各标项预算金额或最高限价（各标项之间的预算金额不能互相调整）。</w:t>
      </w:r>
    </w:p>
    <w:p>
      <w:pPr>
        <w:pStyle w:val="22"/>
        <w:snapToGrid w:val="0"/>
        <w:spacing w:after="0" w:line="440" w:lineRule="exact"/>
        <w:ind w:left="0" w:leftChars="0"/>
        <w:jc w:val="left"/>
        <w:rPr>
          <w:rFonts w:ascii="仿宋_GB2312" w:hAnsi="宋体" w:eastAsia="仿宋_GB2312"/>
          <w:b/>
          <w:color w:val="auto"/>
          <w:sz w:val="24"/>
        </w:rPr>
      </w:pPr>
      <w:r>
        <w:rPr>
          <w:rFonts w:hint="eastAsia" w:ascii="仿宋_GB2312" w:hAnsi="宋体" w:eastAsia="仿宋_GB2312"/>
          <w:b/>
          <w:color w:val="auto"/>
          <w:sz w:val="24"/>
        </w:rPr>
        <w:t>2.授权委托</w:t>
      </w:r>
    </w:p>
    <w:p>
      <w:pPr>
        <w:pStyle w:val="16"/>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投标费用</w:t>
      </w:r>
    </w:p>
    <w:p>
      <w:pPr>
        <w:pStyle w:val="16"/>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4.1 </w:t>
      </w:r>
      <w:r>
        <w:rPr>
          <w:rFonts w:hint="eastAsia" w:ascii="仿宋_GB2312" w:hAnsi="宋体" w:eastAsia="仿宋_GB2312"/>
          <w:bCs/>
          <w:color w:val="auto"/>
          <w:sz w:val="24"/>
        </w:rPr>
        <w:t>招标文件包括本招标文件及所有的招标答疑记录（澄清、修改）和发出的补充通知</w:t>
      </w:r>
      <w:r>
        <w:rPr>
          <w:rFonts w:hint="eastAsia" w:ascii="仿宋_GB2312" w:hAnsi="宋体" w:eastAsia="仿宋_GB2312"/>
          <w:color w:val="auto"/>
          <w:sz w:val="24"/>
        </w:rPr>
        <w:t>。</w:t>
      </w:r>
    </w:p>
    <w:p>
      <w:pPr>
        <w:pStyle w:val="16"/>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 xml:space="preserve">4.2招标文件的澄清 </w:t>
      </w:r>
    </w:p>
    <w:p>
      <w:pPr>
        <w:pStyle w:val="16"/>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6"/>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4.3招标文件的修改</w:t>
      </w:r>
    </w:p>
    <w:p>
      <w:pPr>
        <w:pStyle w:val="16"/>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5.参考品牌</w:t>
      </w:r>
    </w:p>
    <w:p>
      <w:pPr>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三、投标文件</w:t>
      </w:r>
    </w:p>
    <w:p>
      <w:pPr>
        <w:numPr>
          <w:ilvl w:val="0"/>
          <w:numId w:val="6"/>
        </w:num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投标文件的语言、计量单位、形式及效力</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1.4不按招标文件的要求提供的投标文件可能导致被拒绝。</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1.5投标文件的形式和效力</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1.5.2投标文件的效力：</w:t>
      </w:r>
    </w:p>
    <w:p>
      <w:pPr>
        <w:snapToGrid w:val="0"/>
        <w:spacing w:line="440" w:lineRule="exact"/>
        <w:ind w:firstLine="472" w:firstLineChars="196"/>
        <w:jc w:val="left"/>
        <w:rPr>
          <w:rFonts w:ascii="仿宋_GB2312" w:hAnsi="宋体" w:eastAsia="仿宋_GB2312"/>
          <w:b/>
          <w:color w:val="auto"/>
          <w:sz w:val="24"/>
          <w:u w:val="single"/>
        </w:rPr>
      </w:pPr>
      <w:r>
        <w:rPr>
          <w:rFonts w:hint="eastAsia" w:ascii="仿宋_GB2312" w:hAnsi="宋体" w:eastAsia="仿宋_GB2312"/>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投标文件的组成</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投标文件由“报价文件资料”、“商务技术（资信）文件资料”两部分组成，</w:t>
      </w:r>
      <w:r>
        <w:rPr>
          <w:rFonts w:hint="eastAsia" w:ascii="仿宋" w:hAnsi="仿宋" w:eastAsia="仿宋"/>
          <w:color w:val="auto"/>
          <w:sz w:val="24"/>
        </w:rPr>
        <w:t>其中</w:t>
      </w:r>
      <w:r>
        <w:rPr>
          <w:rFonts w:hint="eastAsia" w:ascii="仿宋" w:hAnsi="仿宋" w:eastAsia="仿宋"/>
          <w:b/>
          <w:color w:val="auto"/>
          <w:sz w:val="24"/>
        </w:rPr>
        <w:t>电子投标文件中所须加盖公章部分均应采用电子签章。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2.1.1投标响应函（格式见第六部分附件）； </w:t>
      </w:r>
    </w:p>
    <w:p>
      <w:pPr>
        <w:snapToGrid w:val="0"/>
        <w:spacing w:line="440" w:lineRule="exact"/>
        <w:jc w:val="left"/>
        <w:rPr>
          <w:rFonts w:hint="eastAsia" w:ascii="仿宋_GB2312" w:hAnsi="宋体" w:eastAsia="仿宋_GB2312"/>
          <w:color w:val="auto"/>
          <w:sz w:val="24"/>
        </w:rPr>
      </w:pPr>
      <w:r>
        <w:rPr>
          <w:rFonts w:hint="eastAsia" w:ascii="仿宋_GB2312" w:hAnsi="宋体" w:eastAsia="仿宋_GB2312"/>
          <w:color w:val="auto"/>
          <w:sz w:val="24"/>
        </w:rPr>
        <w:t>2.1.2开标一览表（格式见第六部分附件）；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lang w:val="en-US" w:eastAsia="zh-CN"/>
        </w:rPr>
        <w:t>2.1.3报价明细表</w:t>
      </w:r>
      <w:r>
        <w:rPr>
          <w:rFonts w:hint="eastAsia" w:ascii="仿宋_GB2312" w:hAnsi="宋体" w:eastAsia="仿宋_GB2312"/>
          <w:color w:val="auto"/>
          <w:sz w:val="24"/>
        </w:rPr>
        <w:t>（</w:t>
      </w:r>
      <w:r>
        <w:rPr>
          <w:rFonts w:hint="eastAsia" w:ascii="仿宋" w:hAnsi="仿宋" w:eastAsia="仿宋" w:cs="仿宋"/>
          <w:sz w:val="24"/>
        </w:rPr>
        <w:t>格式见第六部分附件）</w:t>
      </w:r>
    </w:p>
    <w:p>
      <w:pPr>
        <w:pStyle w:val="28"/>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w:t>
      </w:r>
      <w:r>
        <w:rPr>
          <w:rFonts w:hint="eastAsia" w:ascii="仿宋_GB2312" w:hAnsi="宋体" w:eastAsia="仿宋_GB2312"/>
          <w:b w:val="0"/>
          <w:color w:val="auto"/>
          <w:sz w:val="24"/>
          <w:lang w:val="en-US" w:eastAsia="zh-CN"/>
        </w:rPr>
        <w:t>4</w:t>
      </w:r>
      <w:r>
        <w:rPr>
          <w:rFonts w:hint="eastAsia" w:ascii="仿宋_GB2312" w:hAnsi="宋体" w:eastAsia="仿宋_GB2312"/>
          <w:b w:val="0"/>
          <w:color w:val="auto"/>
          <w:sz w:val="24"/>
        </w:rPr>
        <w:t>中小企业声明函（如有，格式见第六部分附件）；</w:t>
      </w:r>
    </w:p>
    <w:p>
      <w:pPr>
        <w:pStyle w:val="28"/>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w:t>
      </w:r>
      <w:r>
        <w:rPr>
          <w:rFonts w:hint="eastAsia" w:ascii="仿宋_GB2312" w:hAnsi="宋体" w:eastAsia="仿宋_GB2312"/>
          <w:b w:val="0"/>
          <w:color w:val="auto"/>
          <w:sz w:val="24"/>
          <w:lang w:val="en-US" w:eastAsia="zh-CN"/>
        </w:rPr>
        <w:t>5</w:t>
      </w:r>
      <w:r>
        <w:rPr>
          <w:rFonts w:hint="eastAsia" w:ascii="仿宋_GB2312" w:hAnsi="宋体" w:eastAsia="仿宋_GB2312"/>
          <w:b w:val="0"/>
          <w:color w:val="auto"/>
          <w:sz w:val="24"/>
        </w:rPr>
        <w:t>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 “商务技术（资信）文件资料”应包括以下内容（正本用原件）：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2.2.1法定代表人授权委托书(格式见第六部分附件)；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2.2.2授权代表社保证明（格式见第六部分附件）；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2.2.3法定代表人身份证明书（格式见第六部分附件）；</w:t>
      </w:r>
    </w:p>
    <w:p>
      <w:pPr>
        <w:snapToGrid w:val="0"/>
        <w:spacing w:line="440" w:lineRule="exact"/>
        <w:rPr>
          <w:rFonts w:ascii="仿宋_GB2312" w:hAnsi="Arial" w:eastAsia="仿宋_GB2312" w:cs="Arial"/>
          <w:color w:val="auto"/>
          <w:kern w:val="0"/>
          <w:sz w:val="24"/>
        </w:rPr>
      </w:pPr>
      <w:r>
        <w:rPr>
          <w:rFonts w:hint="eastAsia" w:ascii="仿宋_GB2312" w:hAnsi="宋体" w:eastAsia="仿宋_GB2312"/>
          <w:color w:val="auto"/>
          <w:sz w:val="24"/>
        </w:rPr>
        <w:t>2.2.4相关资质证明或文件复印件</w:t>
      </w:r>
      <w:r>
        <w:rPr>
          <w:rFonts w:hint="eastAsia" w:ascii="仿宋_GB2312" w:hAnsi="仿宋_GB2312" w:eastAsia="仿宋_GB2312" w:cs="仿宋_GB2312"/>
          <w:color w:val="auto"/>
          <w:sz w:val="24"/>
        </w:rPr>
        <w:t>（均需加盖公章）：</w:t>
      </w:r>
      <w:r>
        <w:rPr>
          <w:rFonts w:hint="eastAsia" w:ascii="仿宋_GB2312" w:hAnsi="仿宋_GB2312" w:eastAsia="仿宋_GB2312" w:cs="仿宋_GB2312"/>
          <w:color w:val="auto"/>
          <w:kern w:val="0"/>
          <w:sz w:val="24"/>
        </w:rPr>
        <w:t>证明其符合《中华人民共和国政府采购法》</w:t>
      </w:r>
      <w:r>
        <w:rPr>
          <w:rFonts w:hint="eastAsia" w:ascii="仿宋_GB2312" w:hAnsi="Arial" w:eastAsia="仿宋_GB2312" w:cs="Arial"/>
          <w:color w:val="auto"/>
          <w:kern w:val="0"/>
          <w:sz w:val="24"/>
        </w:rPr>
        <w:t>规定的供应商基本条件和采购项目对供应商的特定要求</w:t>
      </w:r>
      <w:r>
        <w:rPr>
          <w:rFonts w:hint="eastAsia" w:ascii="仿宋_GB2312" w:hAnsi="仿宋_GB2312" w:eastAsia="仿宋_GB2312" w:cs="仿宋_GB2312"/>
          <w:color w:val="auto"/>
          <w:sz w:val="24"/>
        </w:rPr>
        <w:t>（如果项目要求）</w:t>
      </w:r>
      <w:r>
        <w:rPr>
          <w:rFonts w:hint="eastAsia" w:ascii="仿宋_GB2312" w:hAnsi="仿宋_GB2312" w:eastAsia="仿宋_GB2312" w:cs="仿宋_GB2312"/>
          <w:color w:val="auto"/>
          <w:kern w:val="0"/>
          <w:sz w:val="24"/>
        </w:rPr>
        <w:t>的有关资格证明文件。</w:t>
      </w:r>
    </w:p>
    <w:p>
      <w:pPr>
        <w:pStyle w:val="4"/>
        <w:spacing w:line="440" w:lineRule="exact"/>
        <w:ind w:firstLine="480" w:firstLineChars="200"/>
        <w:rPr>
          <w:rFonts w:ascii="仿宋_GB2312" w:hAnsi="仿宋" w:eastAsia="仿宋_GB2312"/>
          <w:color w:val="auto"/>
          <w:sz w:val="24"/>
        </w:rPr>
      </w:pPr>
      <w:bookmarkStart w:id="2" w:name="_Hlt68073093"/>
      <w:bookmarkEnd w:id="2"/>
      <w:bookmarkStart w:id="3" w:name="_Hlt68072998"/>
      <w:bookmarkEnd w:id="3"/>
      <w:bookmarkStart w:id="4" w:name="_Hlt68403820"/>
      <w:bookmarkEnd w:id="4"/>
      <w:r>
        <w:rPr>
          <w:rFonts w:hint="eastAsia" w:ascii="仿宋_GB2312" w:hAnsi="仿宋" w:eastAsia="仿宋_GB2312"/>
          <w:color w:val="auto"/>
          <w:sz w:val="24"/>
        </w:rPr>
        <w:t>（1）营业执照(</w:t>
      </w:r>
      <w:r>
        <w:rPr>
          <w:rFonts w:hint="eastAsia" w:ascii="仿宋_GB2312" w:hAnsi="仿宋" w:eastAsia="仿宋_GB2312"/>
          <w:color w:val="auto"/>
          <w:sz w:val="24"/>
          <w:lang w:eastAsia="zh-CN"/>
        </w:rPr>
        <w:t>含电子营业执照</w:t>
      </w:r>
      <w:r>
        <w:rPr>
          <w:rFonts w:hint="eastAsia" w:ascii="仿宋_GB2312" w:hAnsi="仿宋" w:eastAsia="仿宋_GB2312"/>
          <w:color w:val="auto"/>
          <w:sz w:val="24"/>
        </w:rPr>
        <w:t>或事业法人登记证或其他工商等登记证明材料)复印件，实施“五证合一、一照一码”登记制度改革的，只需提供改革后取得的营业执照</w:t>
      </w:r>
      <w:r>
        <w:rPr>
          <w:rFonts w:hint="eastAsia" w:ascii="仿宋_GB2312" w:hAnsi="仿宋" w:eastAsia="仿宋_GB2312"/>
          <w:color w:val="auto"/>
          <w:sz w:val="24"/>
          <w:lang w:eastAsia="zh-CN"/>
        </w:rPr>
        <w:t>（含电子营业执照）</w:t>
      </w:r>
      <w:r>
        <w:rPr>
          <w:rFonts w:hint="eastAsia" w:ascii="仿宋_GB2312" w:hAnsi="仿宋" w:eastAsia="仿宋_GB2312"/>
          <w:color w:val="auto"/>
          <w:sz w:val="24"/>
        </w:rPr>
        <w:t>复印件 ；</w:t>
      </w:r>
    </w:p>
    <w:p>
      <w:pPr>
        <w:pStyle w:val="4"/>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（2）202</w:t>
      </w: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color w:val="auto"/>
          <w:sz w:val="24"/>
        </w:rPr>
        <w:t>年度资产负债表等财务报表资料文件(新成立的公司提供情况证明)；</w:t>
      </w:r>
    </w:p>
    <w:p>
      <w:pPr>
        <w:pStyle w:val="4"/>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（3）具有履行合同所必需的设备和专业技术能力的承诺函；</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sz w:val="24"/>
        </w:rPr>
        <w:t>（4）参加本次政府采购活动前三年内，在经营活动中没有重大违法记录的声明（</w:t>
      </w:r>
      <w:r>
        <w:rPr>
          <w:rFonts w:hint="eastAsia" w:ascii="仿宋_GB2312" w:hAnsi="仿宋_GB2312" w:eastAsia="仿宋_GB2312" w:cs="仿宋_GB2312"/>
          <w:color w:val="auto"/>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rPr>
        <w:t>(6</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kern w:val="0"/>
          <w:sz w:val="24"/>
        </w:rPr>
        <w:t>(7</w:t>
      </w:r>
      <w:r>
        <w:rPr>
          <w:rFonts w:hint="eastAsia" w:ascii="仿宋_GB2312" w:hAnsi="仿宋_GB2312" w:eastAsia="仿宋_GB2312" w:cs="仿宋_GB2312"/>
          <w:color w:val="auto"/>
          <w:sz w:val="24"/>
        </w:rPr>
        <w:t>)符合特定资格条件（如果项目要求）的有关证明材料（复印件）；</w:t>
      </w:r>
    </w:p>
    <w:p>
      <w:pPr>
        <w:pStyle w:val="4"/>
        <w:snapToGrid w:val="0"/>
        <w:spacing w:line="440" w:lineRule="exact"/>
        <w:rPr>
          <w:rFonts w:ascii="仿宋_GB2312" w:hAnsi="仿宋_GB2312" w:eastAsia="仿宋_GB2312" w:cs="仿宋_GB2312"/>
          <w:color w:val="auto"/>
          <w:sz w:val="24"/>
          <w:lang w:val="zh-CN"/>
        </w:rPr>
      </w:pPr>
      <w:r>
        <w:rPr>
          <w:rFonts w:hint="eastAsia" w:ascii="仿宋_GB2312" w:hAnsi="宋体" w:eastAsia="仿宋_GB2312"/>
          <w:color w:val="auto"/>
          <w:sz w:val="24"/>
        </w:rPr>
        <w:t>2.2.5</w:t>
      </w:r>
      <w:r>
        <w:rPr>
          <w:rFonts w:hint="eastAsia" w:ascii="仿宋_GB2312" w:hAnsi="仿宋_GB2312" w:eastAsia="仿宋_GB2312" w:cs="仿宋_GB2312"/>
          <w:color w:val="auto"/>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rPr>
      </w:pPr>
      <w:r>
        <w:rPr>
          <w:rFonts w:hint="eastAsia" w:ascii="仿宋_GB2312" w:hAnsi="仿宋_GB2312" w:eastAsia="仿宋_GB2312" w:cs="仿宋_GB2312"/>
          <w:b/>
          <w:color w:val="auto"/>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rPr>
        <w:t>，</w:t>
      </w:r>
      <w:r>
        <w:rPr>
          <w:rFonts w:hint="eastAsia" w:ascii="仿宋_GB2312" w:hAnsi="仿宋_GB2312" w:eastAsia="仿宋_GB2312" w:cs="仿宋_GB2312"/>
          <w:b/>
          <w:color w:val="auto"/>
          <w:sz w:val="24"/>
        </w:rPr>
        <w:t>提供主要投标产品的技术参数证明材料（如原厂技术说明、官网截图、产品彩页等），</w:t>
      </w:r>
      <w:r>
        <w:rPr>
          <w:rFonts w:hint="eastAsia" w:ascii="仿宋_GB2312" w:hAnsi="仿宋_GB2312" w:eastAsia="仿宋_GB2312" w:cs="仿宋_GB2312"/>
          <w:color w:val="auto"/>
          <w:sz w:val="24"/>
        </w:rPr>
        <w:t>明确表示该项指标所涉及的软硬件是标准配置还是选择配置</w:t>
      </w:r>
      <w:r>
        <w:rPr>
          <w:rFonts w:hint="eastAsia" w:ascii="仿宋_GB2312" w:hAnsi="仿宋_GB2312" w:eastAsia="仿宋_GB2312" w:cs="仿宋_GB2312"/>
          <w:b/>
          <w:color w:val="auto"/>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lang w:val="zh-CN"/>
        </w:rPr>
        <w:t>任何含糊不清的</w:t>
      </w:r>
      <w:r>
        <w:rPr>
          <w:rFonts w:hint="eastAsia" w:ascii="仿宋_GB2312" w:hAnsi="仿宋_GB2312" w:eastAsia="仿宋_GB2312" w:cs="仿宋_GB2312"/>
          <w:b/>
          <w:color w:val="auto"/>
          <w:sz w:val="24"/>
        </w:rPr>
        <w:t>表述导致</w:t>
      </w:r>
      <w:r>
        <w:rPr>
          <w:rFonts w:hint="eastAsia" w:ascii="仿宋_GB2312" w:hAnsi="仿宋_GB2312" w:eastAsia="仿宋_GB2312" w:cs="仿宋_GB2312"/>
          <w:b/>
          <w:color w:val="auto"/>
          <w:kern w:val="0"/>
          <w:sz w:val="24"/>
          <w:lang w:val="zh-CN"/>
        </w:rPr>
        <w:t>评标委员会技术扣分直至认定为投标无效都将是投标人的责任）</w:t>
      </w:r>
      <w:r>
        <w:rPr>
          <w:rFonts w:hint="eastAsia" w:ascii="仿宋_GB2312" w:hAnsi="仿宋_GB2312" w:eastAsia="仿宋_GB2312" w:cs="仿宋_GB2312"/>
          <w:color w:val="auto"/>
          <w:sz w:val="24"/>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 w:hAnsi="仿宋" w:eastAsia="仿宋" w:cs="仿宋_GB2312"/>
          <w:color w:val="auto"/>
          <w:sz w:val="24"/>
        </w:rPr>
        <w:t>本项目如需采购政府强制采购的节能产品的或</w:t>
      </w:r>
      <w:r>
        <w:rPr>
          <w:rFonts w:hint="eastAsia" w:ascii="仿宋" w:hAnsi="仿宋" w:eastAsia="仿宋"/>
          <w:color w:val="auto"/>
          <w:sz w:val="24"/>
        </w:rPr>
        <w:t>投标人提供的产品是环境标志产品，</w:t>
      </w:r>
      <w:r>
        <w:rPr>
          <w:rFonts w:hint="eastAsia" w:ascii="仿宋" w:hAnsi="仿宋" w:eastAsia="仿宋" w:cs="仿宋_GB2312"/>
          <w:color w:val="auto"/>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2.2.8</w:t>
      </w:r>
      <w:r>
        <w:rPr>
          <w:rFonts w:hint="eastAsia" w:ascii="仿宋_GB2312" w:hAnsi="仿宋_GB2312" w:eastAsia="仿宋_GB2312" w:cs="仿宋_GB2312"/>
          <w:color w:val="auto"/>
          <w:sz w:val="24"/>
        </w:rPr>
        <w:t>投标人在投标文件技术偏离说明表中，</w:t>
      </w:r>
      <w:r>
        <w:rPr>
          <w:rFonts w:hint="eastAsia" w:ascii="仿宋_GB2312" w:hAnsi="仿宋_GB2312" w:eastAsia="仿宋_GB2312" w:cs="仿宋_GB2312"/>
          <w:color w:val="auto"/>
          <w:kern w:val="0"/>
          <w:sz w:val="24"/>
          <w:lang w:val="zh-CN"/>
        </w:rPr>
        <w:t>应对</w:t>
      </w:r>
      <w:r>
        <w:rPr>
          <w:rFonts w:hint="eastAsia" w:ascii="仿宋_GB2312" w:hAnsi="仿宋_GB2312" w:eastAsia="仿宋_GB2312" w:cs="仿宋_GB2312"/>
          <w:color w:val="auto"/>
          <w:sz w:val="24"/>
        </w:rPr>
        <w:t>项目技术规范和服务要求</w:t>
      </w:r>
      <w:r>
        <w:rPr>
          <w:rFonts w:hint="eastAsia" w:ascii="仿宋_GB2312" w:hAnsi="仿宋_GB2312" w:eastAsia="仿宋_GB2312" w:cs="仿宋_GB2312"/>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2.2.10项目验收之前、验收之后的维护方案；针对本项目的维护方案，包括本地(嵊州)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备品备件清单、培训计划；验收方案。</w:t>
      </w:r>
    </w:p>
    <w:p>
      <w:pPr>
        <w:snapToGrid w:val="0"/>
        <w:spacing w:line="440" w:lineRule="exact"/>
        <w:rPr>
          <w:rFonts w:ascii="仿宋_GB2312" w:hAnsi="仿宋_GB2312" w:eastAsia="仿宋_GB2312" w:cs="仿宋_GB2312"/>
          <w:color w:val="auto"/>
          <w:sz w:val="24"/>
          <w:lang w:val="zh-CN"/>
        </w:rPr>
      </w:pPr>
      <w:r>
        <w:rPr>
          <w:rFonts w:hint="eastAsia" w:ascii="仿宋_GB2312" w:hAnsi="仿宋_GB2312" w:eastAsia="仿宋_GB2312" w:cs="仿宋_GB2312"/>
          <w:color w:val="auto"/>
          <w:kern w:val="0"/>
          <w:sz w:val="24"/>
        </w:rPr>
        <w:t>2.2.11</w:t>
      </w:r>
      <w:r>
        <w:rPr>
          <w:rFonts w:hint="eastAsia" w:ascii="仿宋_GB2312" w:hAnsi="仿宋_GB2312" w:eastAsia="仿宋_GB2312" w:cs="仿宋_GB2312"/>
          <w:snapToGrid w:val="0"/>
          <w:color w:val="auto"/>
          <w:sz w:val="24"/>
        </w:rPr>
        <w:t>非本地投标人售后服务机构证明材料。非本地投标人</w:t>
      </w:r>
      <w:r>
        <w:rPr>
          <w:rFonts w:hint="eastAsia" w:ascii="仿宋_GB2312" w:hAnsi="仿宋_GB2312" w:eastAsia="仿宋_GB2312" w:cs="仿宋_GB2312"/>
          <w:color w:val="auto"/>
          <w:sz w:val="24"/>
          <w:lang w:val="zh-CN"/>
        </w:rPr>
        <w:t>在嵊州的分公司</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sz w:val="24"/>
          <w:lang w:val="zh-CN"/>
        </w:rPr>
        <w:t>需提供本地工商注册</w:t>
      </w:r>
      <w:r>
        <w:rPr>
          <w:rFonts w:hint="eastAsia" w:ascii="仿宋_GB2312" w:hAnsi="仿宋_GB2312" w:eastAsia="仿宋_GB2312" w:cs="仿宋_GB2312"/>
          <w:color w:val="auto"/>
          <w:sz w:val="24"/>
        </w:rPr>
        <w:t>登记</w:t>
      </w:r>
      <w:r>
        <w:rPr>
          <w:rFonts w:hint="eastAsia" w:ascii="仿宋_GB2312" w:hAnsi="仿宋_GB2312" w:eastAsia="仿宋_GB2312" w:cs="仿宋_GB2312"/>
          <w:color w:val="auto"/>
          <w:sz w:val="24"/>
          <w:lang w:val="zh-CN"/>
        </w:rPr>
        <w:t>资料）或办事处</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sz w:val="24"/>
          <w:lang w:val="zh-CN"/>
        </w:rPr>
        <w:t>需提供本地国内经济合作办注册资料</w:t>
      </w:r>
      <w:r>
        <w:rPr>
          <w:rFonts w:hint="eastAsia" w:ascii="仿宋_GB2312" w:hAnsi="仿宋_GB2312" w:eastAsia="仿宋_GB2312" w:cs="仿宋_GB2312"/>
          <w:color w:val="auto"/>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color w:val="auto"/>
          <w:sz w:val="24"/>
          <w:lang w:val="zh-CN"/>
        </w:rPr>
        <w:t>为常驻服务和技术支持机构；</w:t>
      </w:r>
    </w:p>
    <w:p>
      <w:pPr>
        <w:snapToGrid w:val="0"/>
        <w:spacing w:line="440" w:lineRule="exact"/>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lang w:val="zh-CN"/>
        </w:rPr>
        <w:t>2.2.1</w:t>
      </w: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lang w:val="zh-CN"/>
        </w:rPr>
        <w:t>廉政承诺书</w:t>
      </w:r>
      <w:r>
        <w:rPr>
          <w:rFonts w:hint="eastAsia" w:ascii="仿宋_GB2312" w:hAnsi="宋体" w:eastAsia="仿宋_GB2312"/>
          <w:color w:val="auto"/>
          <w:sz w:val="24"/>
        </w:rPr>
        <w:t>（格式见第六部分附件）；</w:t>
      </w:r>
    </w:p>
    <w:p>
      <w:pPr>
        <w:snapToGrid w:val="0"/>
        <w:spacing w:line="440" w:lineRule="exact"/>
        <w:jc w:val="left"/>
        <w:rPr>
          <w:rFonts w:ascii="仿宋_GB2312" w:hAnsi="宋体" w:eastAsia="仿宋_GB2312"/>
          <w:b/>
          <w:bCs/>
          <w:color w:val="auto"/>
          <w:sz w:val="24"/>
        </w:rPr>
      </w:pPr>
      <w:r>
        <w:rPr>
          <w:rFonts w:hint="eastAsia" w:ascii="仿宋_GB2312" w:hAnsi="宋体" w:eastAsia="仿宋_GB2312"/>
          <w:b/>
          <w:bCs/>
          <w:color w:val="auto"/>
          <w:sz w:val="24"/>
        </w:rPr>
        <w:t>2.2.13</w:t>
      </w:r>
      <w:r>
        <w:rPr>
          <w:rFonts w:hint="eastAsia" w:ascii="仿宋_GB2312" w:hAnsi="宋体" w:eastAsia="仿宋_GB2312"/>
          <w:b/>
          <w:bCs/>
          <w:color w:val="auto"/>
          <w:sz w:val="24"/>
          <w:u w:val="wave"/>
        </w:rPr>
        <w:t>未尽事宜请各投标单位按评分细则和相对应标项相关要求制作(重要)</w:t>
      </w:r>
      <w:r>
        <w:rPr>
          <w:rFonts w:hint="eastAsia" w:ascii="仿宋_GB2312" w:hAnsi="宋体" w:eastAsia="仿宋_GB2312"/>
          <w:b/>
          <w:bCs/>
          <w:color w:val="auto"/>
          <w:sz w:val="24"/>
        </w:rPr>
        <w:t>；</w:t>
      </w:r>
    </w:p>
    <w:p>
      <w:pPr>
        <w:pStyle w:val="23"/>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2.2.14投标人需要说明的其他文件和说明（格式自拟）。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以上文件组成“商务技术（资信）文件资料”。投标人在“商务技术（资信）文件资料”中应对招标文件作实质性响应，该项内容将作为评标重要指标。</w:t>
      </w:r>
    </w:p>
    <w:p>
      <w:pPr>
        <w:pStyle w:val="23"/>
        <w:tabs>
          <w:tab w:val="left" w:pos="1854"/>
          <w:tab w:val="clear" w:pos="482"/>
        </w:tabs>
        <w:spacing w:afterLines="0" w:line="440" w:lineRule="exact"/>
        <w:ind w:left="0" w:right="-78" w:rightChars="-37" w:firstLine="480" w:firstLineChars="200"/>
        <w:rPr>
          <w:rFonts w:ascii="仿宋_GB2312" w:hAnsi="宋体" w:eastAsia="仿宋_GB2312"/>
          <w:b/>
          <w:color w:val="auto"/>
        </w:rPr>
      </w:pPr>
      <w:r>
        <w:rPr>
          <w:rFonts w:hint="eastAsia" w:ascii="仿宋_GB2312" w:hAnsi="宋体" w:eastAsia="仿宋_GB2312"/>
          <w:color w:val="auto"/>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投标报价</w:t>
      </w:r>
    </w:p>
    <w:p>
      <w:pPr>
        <w:pStyle w:val="4"/>
        <w:spacing w:line="440" w:lineRule="exact"/>
        <w:jc w:val="left"/>
        <w:rPr>
          <w:rFonts w:ascii="仿宋_GB2312" w:hAnsi="宋体" w:eastAsia="仿宋_GB2312"/>
          <w:color w:val="auto"/>
          <w:sz w:val="24"/>
        </w:rPr>
      </w:pPr>
      <w:r>
        <w:rPr>
          <w:rFonts w:hint="eastAsia" w:ascii="仿宋_GB2312" w:hAnsi="宋体" w:eastAsia="仿宋_GB2312"/>
          <w:color w:val="auto"/>
          <w:sz w:val="24"/>
        </w:rPr>
        <w:t>3.1投标人应按招标文件中《开标一览表》等附表要求填写。</w:t>
      </w:r>
    </w:p>
    <w:p>
      <w:pPr>
        <w:pStyle w:val="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3.2报价为采购人可以合格使用产品的价格，包括货款、包装、运输、保险、货到就位以及安装、调试、培训、保修及产品知识产权等一切费用。</w:t>
      </w:r>
    </w:p>
    <w:p>
      <w:pPr>
        <w:pStyle w:val="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pPr>
        <w:tabs>
          <w:tab w:val="left" w:pos="525"/>
        </w:tabs>
        <w:spacing w:line="440" w:lineRule="exact"/>
        <w:jc w:val="left"/>
        <w:rPr>
          <w:rFonts w:ascii="仿宋_GB2312" w:hAnsi="宋体" w:eastAsia="仿宋_GB2312"/>
          <w:b/>
          <w:color w:val="auto"/>
          <w:kern w:val="0"/>
          <w:sz w:val="24"/>
        </w:rPr>
      </w:pPr>
      <w:r>
        <w:rPr>
          <w:rFonts w:hint="eastAsia" w:ascii="仿宋_GB2312" w:hAnsi="宋体" w:eastAsia="仿宋_GB2312"/>
          <w:color w:val="auto"/>
          <w:sz w:val="24"/>
        </w:rPr>
        <w:t>3.4</w:t>
      </w:r>
      <w:r>
        <w:rPr>
          <w:rFonts w:hint="eastAsia" w:ascii="仿宋_GB2312" w:hAnsi="宋体" w:eastAsia="仿宋_GB2312"/>
          <w:b/>
          <w:color w:val="auto"/>
          <w:kern w:val="0"/>
          <w:sz w:val="24"/>
        </w:rPr>
        <w:t>投标报价只允许有一个报价，有选择的报价将不予接受（除指定外）。</w:t>
      </w:r>
    </w:p>
    <w:p>
      <w:pPr>
        <w:pStyle w:val="16"/>
        <w:tabs>
          <w:tab w:val="clear" w:pos="454"/>
        </w:tabs>
        <w:spacing w:afterLines="0" w:line="440" w:lineRule="atLeast"/>
        <w:ind w:left="0" w:firstLine="0"/>
        <w:rPr>
          <w:rFonts w:ascii="仿宋_GB2312" w:hAnsi="宋体" w:eastAsia="仿宋_GB2312"/>
          <w:b/>
          <w:color w:val="auto"/>
          <w:szCs w:val="24"/>
        </w:rPr>
      </w:pPr>
      <w:r>
        <w:rPr>
          <w:rFonts w:hint="eastAsia" w:ascii="仿宋_GB2312" w:hAnsi="宋体" w:eastAsia="仿宋_GB2312"/>
          <w:b/>
          <w:color w:val="auto"/>
          <w:szCs w:val="24"/>
        </w:rPr>
        <w:t>4.投标文件的有效期</w:t>
      </w:r>
    </w:p>
    <w:p>
      <w:pPr>
        <w:pStyle w:val="16"/>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4.1</w:t>
      </w:r>
      <w:r>
        <w:rPr>
          <w:rFonts w:hint="eastAsia" w:ascii="仿宋" w:hAnsi="仿宋" w:eastAsia="仿宋" w:cs="仿宋_GB2312"/>
          <w:color w:val="auto"/>
        </w:rPr>
        <w:t>投标有效期为从提交投标文件的截止之日起90天。</w:t>
      </w:r>
      <w:r>
        <w:rPr>
          <w:rFonts w:hint="eastAsia" w:ascii="仿宋" w:hAnsi="仿宋" w:eastAsia="仿宋" w:cs="仿宋_GB2312"/>
          <w:b/>
          <w:color w:val="auto"/>
        </w:rPr>
        <w:t>投标人的投标文件中承</w:t>
      </w:r>
      <w:r>
        <w:rPr>
          <w:rFonts w:hint="eastAsia" w:ascii="仿宋" w:hAnsi="仿宋" w:eastAsia="仿宋" w:cs="仿宋_GB2312"/>
          <w:b/>
          <w:color w:val="auto"/>
          <w:szCs w:val="21"/>
        </w:rPr>
        <w:t>诺的投标有效期少于招标文件中载明的投标有效期的，投标无效。</w:t>
      </w:r>
    </w:p>
    <w:p>
      <w:pPr>
        <w:pStyle w:val="16"/>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4.2在特殊情况下，招标人可与投标人协商延长投标书的有效期，这种要求和答复均以书面形式进行。</w:t>
      </w:r>
    </w:p>
    <w:p>
      <w:pPr>
        <w:pStyle w:val="16"/>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5.投标文件的规定</w:t>
      </w:r>
    </w:p>
    <w:p>
      <w:pPr>
        <w:pStyle w:val="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5.1投标文件由“商务技术（资信）文件资料”、“报价文件资料”两部分文件组成，应按统一格式填写。</w:t>
      </w:r>
    </w:p>
    <w:p>
      <w:pPr>
        <w:pStyle w:val="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5.2投标文件须按附件格式要求进行电子签章，投标人应写全称。</w:t>
      </w:r>
    </w:p>
    <w:p>
      <w:pPr>
        <w:pStyle w:val="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5.4投标文件因字迹潦草或表达不清所引起的后果由投标人负责。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auto"/>
          <w:sz w:val="24"/>
        </w:rPr>
      </w:pPr>
      <w:r>
        <w:rPr>
          <w:rFonts w:hint="eastAsia" w:ascii="仿宋_GB2312" w:hAnsi="宋体" w:eastAsia="仿宋_GB2312"/>
          <w:b/>
          <w:color w:val="auto"/>
          <w:sz w:val="24"/>
        </w:rPr>
        <w:t>6</w:t>
      </w:r>
      <w:r>
        <w:rPr>
          <w:rFonts w:hint="eastAsia" w:ascii="仿宋_GB2312" w:hAnsi="仿宋" w:eastAsia="仿宋_GB2312" w:cs="仿宋_GB2312"/>
          <w:b/>
          <w:color w:val="auto"/>
          <w:sz w:val="24"/>
        </w:rPr>
        <w:t>.投标文件的提交</w:t>
      </w:r>
    </w:p>
    <w:p>
      <w:pPr>
        <w:snapToGrid w:val="0"/>
        <w:spacing w:line="440" w:lineRule="exact"/>
        <w:ind w:firstLine="480" w:firstLineChars="200"/>
        <w:rPr>
          <w:rFonts w:ascii="仿宋_GB2312" w:eastAsia="仿宋_GB2312"/>
          <w:b/>
          <w:color w:val="auto"/>
          <w:sz w:val="24"/>
        </w:rPr>
      </w:pPr>
      <w:r>
        <w:rPr>
          <w:rFonts w:hint="eastAsia" w:ascii="仿宋_GB2312" w:eastAsia="仿宋_GB2312"/>
          <w:color w:val="auto"/>
          <w:sz w:val="24"/>
        </w:rPr>
        <w:t>投标人应按“招标公告”规定的时间、方式将投标文件提交给采购机构，</w:t>
      </w:r>
      <w:r>
        <w:rPr>
          <w:rFonts w:hint="eastAsia" w:ascii="仿宋_GB2312" w:eastAsia="仿宋_GB2312"/>
          <w:b/>
          <w:color w:val="auto"/>
          <w:sz w:val="24"/>
        </w:rPr>
        <w:t>采购机构将拒绝接受逾期提交的投标文件。</w:t>
      </w:r>
    </w:p>
    <w:p>
      <w:pPr>
        <w:widowControl/>
        <w:snapToGrid w:val="0"/>
        <w:spacing w:line="440" w:lineRule="exact"/>
        <w:rPr>
          <w:rFonts w:ascii="仿宋_GB2312" w:hAnsi="宋体" w:eastAsia="仿宋_GB2312"/>
          <w:b/>
          <w:color w:val="auto"/>
          <w:kern w:val="0"/>
          <w:sz w:val="24"/>
        </w:rPr>
      </w:pPr>
      <w:r>
        <w:rPr>
          <w:rFonts w:hint="eastAsia" w:ascii="仿宋_GB2312" w:hAnsi="宋体" w:eastAsia="仿宋_GB2312"/>
          <w:b/>
          <w:color w:val="auto"/>
          <w:sz w:val="24"/>
        </w:rPr>
        <w:t>7．</w:t>
      </w:r>
      <w:r>
        <w:rPr>
          <w:rFonts w:hint="eastAsia" w:ascii="仿宋_GB2312" w:hAnsi="宋体" w:eastAsia="仿宋_GB2312"/>
          <w:b/>
          <w:color w:val="auto"/>
          <w:kern w:val="0"/>
          <w:sz w:val="24"/>
        </w:rPr>
        <w:t>投标文件的补充和修改</w:t>
      </w:r>
    </w:p>
    <w:p>
      <w:pPr>
        <w:spacing w:line="440" w:lineRule="exact"/>
        <w:ind w:firstLine="480" w:firstLineChars="200"/>
        <w:jc w:val="left"/>
        <w:rPr>
          <w:rFonts w:ascii="仿宋_GB2312" w:hAnsi="宋体" w:eastAsia="仿宋_GB2312"/>
          <w:color w:val="auto"/>
          <w:kern w:val="0"/>
          <w:sz w:val="24"/>
        </w:rPr>
      </w:pPr>
      <w:r>
        <w:rPr>
          <w:rFonts w:hint="eastAsia" w:ascii="仿宋_GB2312" w:hAnsi="宋体" w:eastAsia="仿宋_GB2312"/>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auto"/>
          <w:sz w:val="32"/>
          <w:szCs w:val="32"/>
        </w:rPr>
      </w:pPr>
      <w:r>
        <w:rPr>
          <w:rFonts w:hint="eastAsia" w:ascii="仿宋_GB2312" w:eastAsia="仿宋_GB2312"/>
          <w:b/>
          <w:color w:val="auto"/>
          <w:sz w:val="32"/>
          <w:szCs w:val="32"/>
        </w:rPr>
        <w:t>四、开标和评标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1．电子招投标开标及评审程序</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1.1投标截止时间后，开标开始。</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1.2投标人登录政采云平台，用“项目采购-开标评标”功能对电子投标文件进行在线解密。在线解密电子投标文件时间为开标时间起3</w:t>
      </w:r>
      <w:r>
        <w:rPr>
          <w:rFonts w:ascii="仿宋_GB2312" w:hAnsi="宋体" w:eastAsia="仿宋_GB2312"/>
          <w:color w:val="auto"/>
          <w:sz w:val="24"/>
        </w:rPr>
        <w:t>0</w:t>
      </w:r>
      <w:r>
        <w:rPr>
          <w:rFonts w:hint="eastAsia" w:ascii="仿宋_GB2312" w:hAnsi="宋体" w:eastAsia="仿宋_GB2312"/>
          <w:color w:val="auto"/>
          <w:sz w:val="24"/>
        </w:rPr>
        <w:t>分钟内。</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1.3评标委员会对资格和商务技术响应文件进行评审；</w:t>
      </w:r>
    </w:p>
    <w:p>
      <w:pPr>
        <w:snapToGrid w:val="0"/>
        <w:spacing w:line="480" w:lineRule="exact"/>
        <w:jc w:val="left"/>
        <w:rPr>
          <w:rFonts w:ascii="仿宋_GB2312" w:eastAsia="仿宋_GB2312"/>
          <w:color w:val="auto"/>
          <w:sz w:val="24"/>
        </w:rPr>
      </w:pPr>
      <w:r>
        <w:rPr>
          <w:rFonts w:hint="eastAsia" w:ascii="仿宋_GB2312" w:hAnsi="宋体" w:eastAsia="仿宋_GB2312"/>
          <w:color w:val="auto"/>
          <w:sz w:val="24"/>
        </w:rPr>
        <w:t>1.4</w:t>
      </w:r>
      <w:r>
        <w:rPr>
          <w:rFonts w:hint="eastAsia" w:ascii="仿宋_GB2312" w:hAnsi="宋体" w:eastAsia="仿宋_GB2312"/>
          <w:color w:val="auto"/>
          <w:sz w:val="24"/>
          <w:lang w:eastAsia="zh-CN"/>
        </w:rPr>
        <w:t>公布</w:t>
      </w:r>
      <w:r>
        <w:rPr>
          <w:rFonts w:hint="eastAsia" w:ascii="仿宋_GB2312" w:hAnsi="宋体" w:eastAsia="仿宋_GB2312"/>
          <w:color w:val="auto"/>
          <w:sz w:val="24"/>
        </w:rPr>
        <w:t>布商务技术得分及</w:t>
      </w:r>
      <w:r>
        <w:rPr>
          <w:rFonts w:hint="eastAsia" w:ascii="仿宋_GB2312" w:eastAsia="仿宋_GB2312"/>
          <w:color w:val="auto"/>
          <w:sz w:val="24"/>
        </w:rPr>
        <w:t>无效（废）投标情形</w:t>
      </w:r>
      <w:r>
        <w:rPr>
          <w:rFonts w:hint="eastAsia" w:ascii="仿宋_GB2312" w:hAnsi="宋体" w:eastAsia="仿宋_GB2312"/>
          <w:color w:val="auto"/>
          <w:sz w:val="24"/>
        </w:rPr>
        <w:t>（如有），</w:t>
      </w:r>
      <w:r>
        <w:rPr>
          <w:rFonts w:hint="eastAsia" w:ascii="仿宋_GB2312" w:hAnsi="Arial" w:eastAsia="仿宋_GB2312" w:cs="Arial"/>
          <w:color w:val="auto"/>
          <w:sz w:val="24"/>
        </w:rPr>
        <w:t>公布经商务技术（资信）评审符合招标文件要求的投标人名单及其商务技术得分。</w:t>
      </w:r>
    </w:p>
    <w:p>
      <w:pPr>
        <w:snapToGrid w:val="0"/>
        <w:spacing w:line="480" w:lineRule="exact"/>
        <w:jc w:val="left"/>
        <w:rPr>
          <w:rFonts w:ascii="仿宋_GB2312" w:hAnsi="宋体" w:eastAsia="仿宋_GB2312"/>
          <w:color w:val="auto"/>
          <w:sz w:val="24"/>
        </w:rPr>
      </w:pPr>
      <w:r>
        <w:rPr>
          <w:rFonts w:hint="eastAsia" w:ascii="仿宋_GB2312" w:eastAsia="仿宋_GB2312"/>
          <w:color w:val="auto"/>
          <w:sz w:val="24"/>
        </w:rPr>
        <w:t>1.5</w:t>
      </w:r>
      <w:r>
        <w:rPr>
          <w:rFonts w:hint="eastAsia" w:ascii="仿宋_GB2312" w:eastAsia="仿宋_GB2312"/>
          <w:color w:val="auto"/>
          <w:sz w:val="24"/>
          <w:lang w:eastAsia="zh-CN"/>
        </w:rPr>
        <w:t>开</w:t>
      </w:r>
      <w:r>
        <w:rPr>
          <w:rFonts w:hint="eastAsia" w:ascii="仿宋_GB2312" w:hAnsi="宋体" w:eastAsia="仿宋_GB2312"/>
          <w:color w:val="auto"/>
          <w:sz w:val="24"/>
        </w:rPr>
        <w:t>启</w:t>
      </w:r>
      <w:r>
        <w:rPr>
          <w:rFonts w:hint="eastAsia" w:ascii="仿宋_GB2312" w:hAnsi="Arial" w:eastAsia="仿宋_GB2312" w:cs="Arial"/>
          <w:color w:val="auto"/>
          <w:sz w:val="24"/>
        </w:rPr>
        <w:t>报价文件资料</w:t>
      </w:r>
      <w:r>
        <w:rPr>
          <w:rFonts w:hint="eastAsia" w:ascii="仿宋_GB2312" w:hAnsi="宋体" w:eastAsia="仿宋_GB2312"/>
          <w:color w:val="auto"/>
          <w:sz w:val="24"/>
        </w:rPr>
        <w:t>，</w:t>
      </w:r>
      <w:r>
        <w:rPr>
          <w:rFonts w:hint="eastAsia" w:ascii="仿宋_GB2312" w:hAnsi="宋体" w:eastAsia="仿宋_GB2312"/>
          <w:color w:val="auto"/>
          <w:sz w:val="24"/>
          <w:lang w:eastAsia="zh-CN"/>
        </w:rPr>
        <w:t>公布</w:t>
      </w:r>
      <w:r>
        <w:rPr>
          <w:rFonts w:hint="eastAsia" w:ascii="仿宋_GB2312" w:hAnsi="宋体" w:eastAsia="仿宋_GB2312"/>
          <w:color w:val="auto"/>
          <w:sz w:val="24"/>
        </w:rPr>
        <w:t>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1.6评标委员会对投标文件</w:t>
      </w:r>
      <w:r>
        <w:rPr>
          <w:rFonts w:hint="eastAsia" w:ascii="仿宋_GB2312" w:hAnsi="Arial" w:eastAsia="仿宋_GB2312" w:cs="Arial"/>
          <w:color w:val="auto"/>
          <w:sz w:val="24"/>
        </w:rPr>
        <w:t>报价文件资料</w:t>
      </w:r>
      <w:r>
        <w:rPr>
          <w:rFonts w:hint="eastAsia" w:ascii="仿宋_GB2312" w:hAnsi="宋体" w:eastAsia="仿宋_GB2312"/>
          <w:color w:val="auto"/>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1.7公布评标结果。</w:t>
      </w:r>
    </w:p>
    <w:p>
      <w:pPr>
        <w:snapToGrid w:val="0"/>
        <w:spacing w:line="480" w:lineRule="exact"/>
        <w:jc w:val="left"/>
        <w:rPr>
          <w:rFonts w:ascii="仿宋_GB2312" w:hAnsi="宋体" w:eastAsia="仿宋_GB2312"/>
          <w:b/>
          <w:color w:val="auto"/>
          <w:sz w:val="24"/>
        </w:rPr>
      </w:pPr>
      <w:r>
        <w:rPr>
          <w:rFonts w:hint="eastAsia" w:ascii="仿宋_GB2312" w:hAnsi="宋体" w:eastAsia="仿宋_GB2312"/>
          <w:b/>
          <w:color w:val="auto"/>
          <w:sz w:val="24"/>
        </w:rPr>
        <w:t>特别说明：政采云公司如对电子化开标及评审程序有调整的，按调整后的程序操作。</w:t>
      </w:r>
    </w:p>
    <w:p>
      <w:pPr>
        <w:snapToGrid w:val="0"/>
        <w:spacing w:line="480" w:lineRule="exact"/>
        <w:jc w:val="left"/>
        <w:rPr>
          <w:rFonts w:ascii="仿宋_GB2312" w:hAnsi="宋体" w:eastAsia="仿宋_GB2312"/>
          <w:b/>
          <w:color w:val="auto"/>
          <w:sz w:val="24"/>
        </w:rPr>
      </w:pPr>
      <w:r>
        <w:rPr>
          <w:rFonts w:hint="eastAsia" w:ascii="仿宋_GB2312" w:hAnsi="宋体" w:eastAsia="仿宋_GB2312"/>
          <w:b/>
          <w:color w:val="auto"/>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 xml:space="preserve">2.1电子交易平台发生故障而无法登录访问的； </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2.2电子交易平台应用或数据库出现错误，不能进行正常操作的；</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2.3电子交易平台发现严重安全漏洞，有潜在泄密危险的；</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 xml:space="preserve">2.4病毒发作导致不能进行正常操作的； </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2.5其他无法保证电子交易的公平、公正和安全的情况。</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3．评标</w:t>
      </w:r>
    </w:p>
    <w:p>
      <w:pPr>
        <w:spacing w:line="480" w:lineRule="exact"/>
        <w:jc w:val="left"/>
        <w:rPr>
          <w:rFonts w:ascii="仿宋_GB2312" w:hAnsi="宋体" w:eastAsia="仿宋_GB2312" w:cs="宋体"/>
          <w:color w:val="auto"/>
          <w:sz w:val="24"/>
        </w:rPr>
      </w:pPr>
      <w:r>
        <w:rPr>
          <w:rFonts w:hint="eastAsia" w:ascii="仿宋_GB2312" w:hAnsi="宋体" w:eastAsia="仿宋_GB2312"/>
          <w:color w:val="auto"/>
          <w:sz w:val="24"/>
        </w:rPr>
        <w:t>3.1</w:t>
      </w:r>
      <w:r>
        <w:rPr>
          <w:rFonts w:hint="eastAsia" w:ascii="仿宋_GB2312" w:hAnsi="宋体" w:eastAsia="仿宋_GB2312" w:cs="宋体"/>
          <w:color w:val="auto"/>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3.2评标委员会由采购人代表和有关方面的专家组成，成员人数为五人以上单数。</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3.3评标委员会负责对投标人资格的最终审定。</w:t>
      </w:r>
    </w:p>
    <w:p>
      <w:pPr>
        <w:spacing w:line="480" w:lineRule="exact"/>
        <w:jc w:val="left"/>
        <w:rPr>
          <w:rFonts w:ascii="仿宋_GB2312" w:hAnsi="宋体" w:eastAsia="仿宋_GB2312"/>
          <w:color w:val="auto"/>
          <w:sz w:val="24"/>
        </w:rPr>
      </w:pPr>
      <w:r>
        <w:rPr>
          <w:rFonts w:hint="eastAsia" w:ascii="仿宋_GB2312" w:hAnsi="宋体" w:eastAsia="仿宋_GB2312"/>
          <w:color w:val="auto"/>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供应商通过政采云平台交换的数据电文必须进行电子签章。</w:t>
      </w:r>
    </w:p>
    <w:p>
      <w:pPr>
        <w:widowControl/>
        <w:snapToGrid w:val="0"/>
        <w:spacing w:line="480" w:lineRule="exact"/>
        <w:rPr>
          <w:rFonts w:ascii="仿宋_GB2312" w:hAnsi="宋体" w:eastAsia="仿宋_GB2312"/>
          <w:color w:val="auto"/>
          <w:kern w:val="0"/>
          <w:sz w:val="24"/>
        </w:rPr>
      </w:pPr>
      <w:r>
        <w:rPr>
          <w:rFonts w:hint="eastAsia" w:ascii="仿宋_GB2312" w:hAnsi="宋体" w:eastAsia="仿宋_GB2312"/>
          <w:color w:val="auto"/>
          <w:kern w:val="0"/>
          <w:sz w:val="24"/>
        </w:rPr>
        <w:t>3.5</w:t>
      </w:r>
      <w:r>
        <w:rPr>
          <w:rFonts w:hint="eastAsia" w:ascii="仿宋_GB2312" w:hAnsi="宋体" w:eastAsia="仿宋_GB2312"/>
          <w:color w:val="auto"/>
          <w:sz w:val="24"/>
        </w:rPr>
        <w:t>评标委员会</w:t>
      </w:r>
      <w:r>
        <w:rPr>
          <w:rFonts w:hint="eastAsia" w:ascii="仿宋_GB2312" w:hAnsi="宋体" w:eastAsia="仿宋_GB2312"/>
          <w:color w:val="auto"/>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rPr>
      </w:pPr>
      <w:r>
        <w:rPr>
          <w:rFonts w:hint="eastAsia" w:ascii="仿宋_GB2312" w:hAnsi="宋体" w:eastAsia="仿宋_GB2312" w:cs="宋体"/>
          <w:color w:val="auto"/>
          <w:sz w:val="24"/>
        </w:rPr>
        <w:t>3.6评标委员会不向落标方解释落标的原因。</w:t>
      </w:r>
    </w:p>
    <w:p>
      <w:pPr>
        <w:snapToGrid w:val="0"/>
        <w:spacing w:line="480" w:lineRule="exact"/>
        <w:jc w:val="left"/>
        <w:rPr>
          <w:rFonts w:ascii="仿宋_GB2312" w:hAnsi="宋体" w:eastAsia="仿宋_GB2312"/>
          <w:b/>
          <w:color w:val="auto"/>
          <w:sz w:val="24"/>
        </w:rPr>
      </w:pPr>
      <w:r>
        <w:rPr>
          <w:rFonts w:hint="eastAsia" w:ascii="仿宋_GB2312" w:hAnsi="宋体" w:eastAsia="仿宋_GB2312"/>
          <w:b/>
          <w:color w:val="auto"/>
          <w:sz w:val="24"/>
        </w:rPr>
        <w:t>4．投标文件的初审鉴定</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4.1资格性审查</w:t>
      </w:r>
    </w:p>
    <w:p>
      <w:pPr>
        <w:snapToGrid w:val="0"/>
        <w:spacing w:line="480" w:lineRule="exact"/>
        <w:jc w:val="left"/>
        <w:rPr>
          <w:rFonts w:ascii="仿宋_GB2312" w:hAnsi="宋体" w:eastAsia="仿宋_GB2312"/>
          <w:color w:val="auto"/>
          <w:sz w:val="24"/>
        </w:rPr>
      </w:pPr>
      <w:r>
        <w:rPr>
          <w:rFonts w:hint="eastAsia" w:ascii="仿宋_GB2312" w:hAnsi="宋体" w:eastAsia="仿宋_GB2312"/>
          <w:color w:val="auto"/>
          <w:sz w:val="24"/>
        </w:rP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4.2符合性审查</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auto"/>
          <w:sz w:val="24"/>
        </w:rPr>
      </w:pPr>
      <w:r>
        <w:rPr>
          <w:rFonts w:hint="eastAsia" w:ascii="仿宋_GB2312" w:hAnsi="宋体" w:eastAsia="仿宋_GB2312"/>
          <w:b/>
          <w:color w:val="auto"/>
          <w:kern w:val="0"/>
          <w:sz w:val="24"/>
        </w:rPr>
        <w:t xml:space="preserve">5. </w:t>
      </w:r>
      <w:r>
        <w:rPr>
          <w:rFonts w:hint="eastAsia" w:ascii="仿宋_GB2312" w:hAnsi="宋体" w:eastAsia="仿宋_GB2312" w:cs="宋体"/>
          <w:b/>
          <w:color w:val="auto"/>
          <w:sz w:val="24"/>
        </w:rPr>
        <w:t>投标文件报价出现前后不一致的，按照下列规定修正：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5.2大写金额和小写金额不一致的，以大写金额为准；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rPr>
      </w:pPr>
      <w:r>
        <w:rPr>
          <w:rFonts w:hint="eastAsia" w:ascii="仿宋_GB2312" w:hAnsi="宋体" w:eastAsia="仿宋_GB2312" w:cs="宋体"/>
          <w:color w:val="auto"/>
          <w:sz w:val="24"/>
        </w:rPr>
        <w:t>同时出现两种以上不一致的，按照前款规定的顺序修正。</w:t>
      </w:r>
      <w:r>
        <w:rPr>
          <w:rFonts w:hint="eastAsia" w:ascii="仿宋_GB2312" w:hAnsi="仿宋_GB2312" w:eastAsia="仿宋_GB2312" w:cs="仿宋_GB2312"/>
          <w:bCs/>
          <w:color w:val="auto"/>
          <w:sz w:val="24"/>
        </w:rPr>
        <w:t>修正后的报价按照财政部公布第87号令 《政府采购货物和服务招标投标管理办法》</w:t>
      </w:r>
      <w:r>
        <w:rPr>
          <w:rFonts w:hint="eastAsia" w:ascii="仿宋_GB2312" w:hAnsi="宋体" w:eastAsia="仿宋_GB2312" w:cs="宋体"/>
          <w:color w:val="auto"/>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rPr>
      </w:pPr>
      <w:r>
        <w:rPr>
          <w:rFonts w:hint="eastAsia" w:ascii="仿宋_GB2312" w:hAnsi="宋体" w:eastAsia="仿宋_GB2312" w:cs="宋体"/>
          <w:b/>
          <w:color w:val="auto"/>
          <w:sz w:val="24"/>
        </w:rPr>
        <w:t>6.投标文件的评审、比较和否决</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6.1评标委员会将对在实质上响应招标文件要求的投标文件进行评估和比较。</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rPr>
        <w:t>不得超过投标文件的范围或者改变投标文件的实质性内容。</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6.5</w:t>
      </w:r>
      <w:r>
        <w:rPr>
          <w:rFonts w:ascii="仿宋_GB2312" w:hAnsi="宋体" w:eastAsia="仿宋_GB2312" w:cs="宋体"/>
          <w:color w:val="auto"/>
          <w:sz w:val="24"/>
        </w:rPr>
        <w:t>比较与评价</w:t>
      </w:r>
      <w:r>
        <w:rPr>
          <w:rFonts w:hint="eastAsia" w:ascii="仿宋_GB2312" w:hAnsi="宋体" w:eastAsia="仿宋_GB2312" w:cs="宋体"/>
          <w:color w:val="auto"/>
          <w:sz w:val="24"/>
        </w:rPr>
        <w:t>。评</w:t>
      </w:r>
      <w:r>
        <w:rPr>
          <w:rFonts w:ascii="仿宋_GB2312" w:hAnsi="宋体" w:eastAsia="仿宋_GB2312" w:cs="宋体"/>
          <w:color w:val="auto"/>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6.6</w:t>
      </w:r>
      <w:r>
        <w:rPr>
          <w:rFonts w:ascii="仿宋_GB2312" w:hAnsi="宋体" w:eastAsia="仿宋_GB2312" w:cs="宋体"/>
          <w:color w:val="auto"/>
          <w:sz w:val="24"/>
        </w:rPr>
        <w:t>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评标委员会各成员应当独立对每个投标人的</w:t>
      </w:r>
      <w:r>
        <w:rPr>
          <w:rFonts w:hint="eastAsia" w:ascii="仿宋_GB2312" w:hAnsi="宋体" w:eastAsia="仿宋_GB2312" w:cs="宋体"/>
          <w:color w:val="auto"/>
          <w:sz w:val="24"/>
        </w:rPr>
        <w:t>商务技术（资信）文件</w:t>
      </w:r>
      <w:r>
        <w:rPr>
          <w:rFonts w:ascii="仿宋_GB2312" w:hAnsi="宋体" w:eastAsia="仿宋_GB2312" w:cs="宋体"/>
          <w:color w:val="auto"/>
          <w:sz w:val="24"/>
        </w:rPr>
        <w:t>进行评价，并汇总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6.7.2根据财政部发布的《政府采购促进中小企业发展管理办法》规定，对于非专门面向中小企业的项目，对小型和微型企业产品的价格给予一定的扣除，用扣除后的价格参与评审。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6.7.3如需投标价格修正，按财政部87号令第五十九条的规定对投标价格进行修正。</w:t>
      </w:r>
    </w:p>
    <w:p>
      <w:pPr>
        <w:spacing w:line="480" w:lineRule="exact"/>
        <w:jc w:val="left"/>
        <w:rPr>
          <w:rFonts w:ascii="仿宋_GB2312" w:hAnsi="宋体" w:eastAsia="仿宋_GB2312" w:cs="宋体"/>
          <w:color w:val="auto"/>
          <w:sz w:val="24"/>
        </w:rPr>
      </w:pPr>
      <w:r>
        <w:rPr>
          <w:rFonts w:hint="eastAsia" w:ascii="仿宋_GB2312" w:hAnsi="宋体" w:eastAsia="仿宋_GB2312" w:cs="宋体"/>
          <w:color w:val="auto"/>
          <w:sz w:val="24"/>
        </w:rPr>
        <w:t>6.8评标委员会依据招标文件规定的评标标准和方法，对投标文件进行评审和比较后，向本中心提供书面评标报告，并按得分高低排序推荐中标候选供应商。</w:t>
      </w:r>
    </w:p>
    <w:p>
      <w:pPr>
        <w:pStyle w:val="16"/>
        <w:widowControl w:val="0"/>
        <w:tabs>
          <w:tab w:val="clear" w:pos="454"/>
        </w:tabs>
        <w:spacing w:afterLines="0" w:line="440" w:lineRule="exact"/>
        <w:ind w:left="0" w:firstLine="0"/>
        <w:rPr>
          <w:rFonts w:ascii="仿宋_GB2312" w:hAnsi="宋体" w:eastAsia="仿宋_GB2312"/>
          <w:b/>
          <w:color w:val="auto"/>
        </w:rPr>
      </w:pPr>
      <w:r>
        <w:rPr>
          <w:rFonts w:hint="eastAsia" w:ascii="仿宋_GB2312" w:hAnsi="宋体" w:eastAsia="仿宋_GB2312"/>
          <w:b/>
          <w:color w:val="auto"/>
        </w:rPr>
        <w:t>7.投标文件的澄清</w:t>
      </w:r>
    </w:p>
    <w:p>
      <w:pPr>
        <w:pStyle w:val="16"/>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投标文件有下列情形之一的作无效投标处理：</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8.1未按照招标文件规定要求电子签章、签字或盖章的；</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8.7授权代表非投标单位正式职工的（以</w:t>
      </w:r>
      <w:r>
        <w:rPr>
          <w:rFonts w:ascii="仿宋_GB2312" w:hAnsi="宋体" w:eastAsia="仿宋_GB2312"/>
          <w:b/>
          <w:color w:val="auto"/>
          <w:kern w:val="0"/>
          <w:sz w:val="24"/>
        </w:rPr>
        <w:t>社保证明</w:t>
      </w:r>
      <w:r>
        <w:rPr>
          <w:rFonts w:hint="eastAsia" w:ascii="仿宋_GB2312" w:hAnsi="宋体" w:eastAsia="仿宋_GB2312"/>
          <w:b/>
          <w:color w:val="auto"/>
          <w:kern w:val="0"/>
          <w:sz w:val="24"/>
        </w:rPr>
        <w:t>为准，如授权代表为</w:t>
      </w:r>
      <w:r>
        <w:rPr>
          <w:rFonts w:ascii="仿宋_GB2312" w:hAnsi="宋体" w:eastAsia="仿宋_GB2312"/>
          <w:b/>
          <w:color w:val="auto"/>
          <w:kern w:val="0"/>
          <w:sz w:val="24"/>
        </w:rPr>
        <w:t>离退休返聘人员的，</w:t>
      </w:r>
      <w:r>
        <w:rPr>
          <w:rFonts w:hint="eastAsia" w:ascii="仿宋_GB2312" w:hAnsi="宋体" w:eastAsia="仿宋_GB2312"/>
          <w:b/>
          <w:color w:val="auto"/>
          <w:kern w:val="0"/>
          <w:sz w:val="24"/>
        </w:rPr>
        <w:t>需提供</w:t>
      </w:r>
      <w:r>
        <w:rPr>
          <w:rFonts w:ascii="仿宋_GB2312" w:hAnsi="宋体" w:eastAsia="仿宋_GB2312"/>
          <w:b/>
          <w:color w:val="auto"/>
          <w:kern w:val="0"/>
          <w:sz w:val="24"/>
        </w:rPr>
        <w:t>退休证明及单位聘用证明</w:t>
      </w:r>
      <w:r>
        <w:rPr>
          <w:rFonts w:hint="eastAsia" w:ascii="仿宋_GB2312" w:hAnsi="宋体" w:eastAsia="仿宋_GB2312"/>
          <w:b/>
          <w:color w:val="auto"/>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8.9报</w:t>
      </w:r>
      <w:r>
        <w:rPr>
          <w:rFonts w:hint="eastAsia" w:ascii="仿宋_GB2312" w:hAnsi="宋体" w:eastAsia="仿宋_GB2312"/>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8.10</w:t>
      </w:r>
      <w:r>
        <w:rPr>
          <w:rFonts w:hint="eastAsia" w:ascii="仿宋_GB2312" w:hAnsi="宋体" w:eastAsia="仿宋_GB2312"/>
          <w:b/>
          <w:color w:val="auto"/>
          <w:sz w:val="24"/>
        </w:rPr>
        <w:t>未按招标文件规定的格式填写，或</w:t>
      </w:r>
      <w:r>
        <w:rPr>
          <w:rFonts w:hint="eastAsia" w:ascii="仿宋_GB2312" w:hAnsi="宋体" w:eastAsia="仿宋_GB2312"/>
          <w:b/>
          <w:color w:val="auto"/>
          <w:sz w:val="24"/>
          <w:szCs w:val="20"/>
        </w:rPr>
        <w:t>对招标</w:t>
      </w:r>
      <w:r>
        <w:rPr>
          <w:rFonts w:hint="eastAsia" w:ascii="仿宋_GB2312" w:hAnsi="宋体" w:eastAsia="仿宋_GB2312"/>
          <w:b/>
          <w:color w:val="auto"/>
          <w:sz w:val="24"/>
        </w:rPr>
        <w:t>服务或技术或产品等要求</w:t>
      </w:r>
      <w:r>
        <w:rPr>
          <w:rFonts w:hint="eastAsia" w:ascii="仿宋_GB2312" w:hAnsi="宋体" w:eastAsia="仿宋_GB2312"/>
          <w:b/>
          <w:color w:val="auto"/>
          <w:sz w:val="24"/>
          <w:szCs w:val="20"/>
        </w:rPr>
        <w:t>未详细应答或应答</w:t>
      </w:r>
      <w:r>
        <w:rPr>
          <w:rFonts w:hint="eastAsia" w:ascii="仿宋_GB2312" w:hAnsi="宋体" w:eastAsia="仿宋_GB2312"/>
          <w:b/>
          <w:color w:val="auto"/>
          <w:sz w:val="24"/>
        </w:rPr>
        <w:t>内容不全、有缺失的,经评标委员会认定为无法评审的；</w:t>
      </w:r>
    </w:p>
    <w:p>
      <w:pPr>
        <w:pStyle w:val="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8.11出现同一标的物或本次招标产品(服务)内的主要产品(重要组成部分)出现</w:t>
      </w:r>
      <w:r>
        <w:rPr>
          <w:rFonts w:hint="eastAsia" w:ascii="仿宋_GB2312" w:hAnsi="宋体" w:eastAsia="仿宋_GB2312"/>
          <w:b/>
          <w:color w:val="auto"/>
          <w:sz w:val="24"/>
        </w:rPr>
        <w:t>商务技术（资信）文件资料</w:t>
      </w:r>
      <w:r>
        <w:rPr>
          <w:rFonts w:hint="eastAsia" w:ascii="仿宋_GB2312" w:hAnsi="宋体" w:eastAsia="仿宋_GB2312"/>
          <w:b/>
          <w:color w:val="auto"/>
          <w:sz w:val="24"/>
          <w:szCs w:val="24"/>
        </w:rPr>
        <w:t>、</w:t>
      </w:r>
      <w:r>
        <w:rPr>
          <w:rFonts w:hint="eastAsia" w:ascii="仿宋_GB2312" w:hAnsi="宋体" w:eastAsia="仿宋_GB2312"/>
          <w:b/>
          <w:color w:val="auto"/>
          <w:sz w:val="24"/>
        </w:rPr>
        <w:t>报价文件资料</w:t>
      </w:r>
      <w:r>
        <w:rPr>
          <w:rFonts w:hint="eastAsia" w:ascii="仿宋_GB2312" w:hAnsi="宋体" w:eastAsia="仿宋_GB2312"/>
          <w:b/>
          <w:color w:val="auto"/>
          <w:sz w:val="24"/>
          <w:szCs w:val="24"/>
        </w:rPr>
        <w:t>描述不一致或前后描述不一致，经评标委员会认定后为无法评审的；</w:t>
      </w:r>
    </w:p>
    <w:p>
      <w:pPr>
        <w:pStyle w:val="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8.12《技</w:t>
      </w:r>
      <w:r>
        <w:rPr>
          <w:rFonts w:hint="eastAsia" w:ascii="仿宋_GB2312" w:hAnsi="宋体" w:eastAsia="仿宋_GB2312"/>
          <w:b/>
          <w:color w:val="auto"/>
          <w:sz w:val="24"/>
        </w:rPr>
        <w:t>术偏离说明表</w:t>
      </w:r>
      <w:r>
        <w:rPr>
          <w:rFonts w:hint="eastAsia" w:ascii="仿宋_GB2312" w:hAnsi="宋体" w:eastAsia="仿宋_GB2312"/>
          <w:b/>
          <w:color w:val="auto"/>
          <w:sz w:val="24"/>
          <w:szCs w:val="24"/>
        </w:rPr>
        <w:t>》</w:t>
      </w:r>
      <w:r>
        <w:rPr>
          <w:rFonts w:hint="eastAsia" w:ascii="仿宋_GB2312" w:hAnsi="宋体" w:eastAsia="仿宋_GB2312"/>
          <w:b/>
          <w:color w:val="auto"/>
          <w:sz w:val="24"/>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sz w:val="24"/>
        </w:rPr>
        <w:t>8.13投</w:t>
      </w:r>
      <w:r>
        <w:rPr>
          <w:rFonts w:hint="eastAsia" w:ascii="仿宋_GB2312" w:hAnsi="宋体" w:eastAsia="仿宋_GB2312"/>
          <w:b/>
          <w:color w:val="auto"/>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8.14评</w:t>
      </w:r>
      <w:r>
        <w:rPr>
          <w:rFonts w:hint="eastAsia" w:ascii="仿宋_GB2312" w:hAnsi="宋体" w:eastAsia="仿宋_GB2312"/>
          <w:b/>
          <w:color w:val="auto"/>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auto"/>
          <w:sz w:val="24"/>
        </w:rPr>
      </w:pPr>
      <w:r>
        <w:rPr>
          <w:rFonts w:hint="eastAsia" w:ascii="仿宋_GB2312" w:hAnsi="宋体" w:eastAsia="仿宋_GB2312"/>
          <w:b/>
          <w:color w:val="auto"/>
          <w:sz w:val="24"/>
        </w:rPr>
        <w:t>8.15报</w:t>
      </w:r>
      <w:r>
        <w:rPr>
          <w:rFonts w:hint="eastAsia" w:ascii="仿宋_GB2312" w:eastAsia="仿宋_GB2312"/>
          <w:b/>
          <w:color w:val="auto"/>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auto"/>
          <w:sz w:val="24"/>
          <w:szCs w:val="21"/>
        </w:rPr>
      </w:pPr>
      <w:r>
        <w:rPr>
          <w:rFonts w:hint="eastAsia" w:ascii="仿宋_GB2312" w:hAnsi="仿宋" w:eastAsia="仿宋_GB2312" w:cs="仿宋_GB2312"/>
          <w:b/>
          <w:color w:val="auto"/>
          <w:sz w:val="24"/>
          <w:szCs w:val="21"/>
        </w:rPr>
        <w:t>8.17采</w:t>
      </w:r>
      <w:r>
        <w:rPr>
          <w:rFonts w:ascii="仿宋" w:hAnsi="仿宋" w:eastAsia="仿宋" w:cs="仿宋_GB2312"/>
          <w:b/>
          <w:color w:val="auto"/>
          <w:sz w:val="24"/>
          <w:szCs w:val="21"/>
        </w:rPr>
        <w:t>购人拟采购的产品属于</w:t>
      </w:r>
      <w:r>
        <w:rPr>
          <w:rFonts w:hint="eastAsia" w:ascii="仿宋" w:hAnsi="仿宋" w:eastAsia="仿宋" w:cs="仿宋_GB2312"/>
          <w:b/>
          <w:color w:val="auto"/>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8.20.1使用伪造、变造的许可证件；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rPr>
      </w:pPr>
      <w:r>
        <w:rPr>
          <w:rFonts w:hint="eastAsia" w:ascii="仿宋_GB2312" w:hAnsi="宋体" w:eastAsia="仿宋_GB2312"/>
          <w:color w:val="auto"/>
          <w:sz w:val="24"/>
        </w:rPr>
        <w:t>8.20.5其他弄虚作假的行为。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8.22有下列情形之一的，属于恶意串通，其投标无效：</w:t>
      </w:r>
    </w:p>
    <w:p>
      <w:pPr>
        <w:spacing w:line="360" w:lineRule="auto"/>
        <w:ind w:firstLine="480" w:firstLineChars="200"/>
        <w:rPr>
          <w:rFonts w:ascii="仿宋_GB2312" w:hAnsi="仿宋" w:eastAsia="仿宋_GB2312" w:cs="仿宋_GB2312"/>
          <w:color w:val="auto"/>
          <w:sz w:val="24"/>
        </w:rPr>
      </w:pPr>
      <w:r>
        <w:rPr>
          <w:rFonts w:hint="eastAsia" w:ascii="仿宋_GB2312" w:hAnsi="仿宋" w:eastAsia="仿宋_GB2312"/>
          <w:color w:val="auto"/>
          <w:sz w:val="24"/>
        </w:rPr>
        <w:t>8.22.1</w:t>
      </w:r>
      <w:r>
        <w:rPr>
          <w:rFonts w:hint="eastAsia" w:ascii="仿宋_GB2312" w:hAnsi="仿宋" w:eastAsia="仿宋_GB2312" w:cs="仿宋_GB2312"/>
          <w:color w:val="auto"/>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8.22.5供应商之间事先约定由某一特定供应商中标、成交；</w:t>
      </w:r>
    </w:p>
    <w:p>
      <w:pPr>
        <w:spacing w:line="360" w:lineRule="auto"/>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仿宋_GB2312" w:eastAsia="仿宋_GB2312" w:cs="仿宋_GB2312"/>
          <w:b/>
          <w:color w:val="auto"/>
          <w:sz w:val="24"/>
          <w:szCs w:val="21"/>
        </w:rPr>
        <w:t>8.23</w:t>
      </w:r>
      <w:r>
        <w:rPr>
          <w:rFonts w:hint="eastAsia" w:ascii="仿宋_GB2312" w:hAnsi="宋体" w:eastAsia="仿宋_GB2312"/>
          <w:b/>
          <w:color w:val="auto"/>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8.24报价文件中出现2个(含)以上的报价或方案的；</w:t>
      </w:r>
    </w:p>
    <w:p>
      <w:pPr>
        <w:spacing w:line="440" w:lineRule="exact"/>
        <w:rPr>
          <w:color w:val="auto"/>
        </w:rPr>
      </w:pPr>
      <w:r>
        <w:rPr>
          <w:rFonts w:hint="eastAsia" w:ascii="仿宋_GB2312" w:eastAsia="仿宋_GB2312"/>
          <w:b/>
          <w:color w:val="auto"/>
          <w:sz w:val="24"/>
        </w:rPr>
        <w:t>8.25</w:t>
      </w:r>
      <w:r>
        <w:rPr>
          <w:rFonts w:hint="eastAsia" w:ascii="仿宋_GB2312" w:hAnsi="宋体" w:eastAsia="仿宋_GB2312"/>
          <w:b/>
          <w:color w:val="auto"/>
          <w:sz w:val="24"/>
        </w:rPr>
        <w:t>其他违反法律、法规的情形。</w:t>
      </w:r>
    </w:p>
    <w:p>
      <w:pPr>
        <w:snapToGrid w:val="0"/>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9. 评标过程保密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9.1</w:t>
      </w:r>
      <w:r>
        <w:rPr>
          <w:rFonts w:hint="eastAsia" w:ascii="仿宋_GB2312" w:hAnsi="仿宋"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9.2 在评标期间，投标人企图影响招标人或</w:t>
      </w:r>
      <w:r>
        <w:rPr>
          <w:rFonts w:hint="eastAsia" w:ascii="仿宋_GB2312" w:hAnsi="宋体" w:eastAsia="仿宋_GB2312"/>
          <w:color w:val="auto"/>
          <w:sz w:val="24"/>
        </w:rPr>
        <w:t>评标委员会</w:t>
      </w:r>
      <w:r>
        <w:rPr>
          <w:rFonts w:hint="eastAsia" w:ascii="仿宋_GB2312" w:hAnsi="宋体" w:eastAsia="仿宋_GB2312"/>
          <w:color w:val="auto"/>
          <w:kern w:val="0"/>
          <w:sz w:val="24"/>
        </w:rPr>
        <w:t>的任何活动，都将导致投标被拒绝，并由其承担相应的法律责任。</w:t>
      </w:r>
    </w:p>
    <w:p>
      <w:pPr>
        <w:pStyle w:val="4"/>
        <w:spacing w:line="800" w:lineRule="exact"/>
        <w:ind w:firstLine="726"/>
        <w:jc w:val="center"/>
        <w:rPr>
          <w:rFonts w:ascii="仿宋_GB2312" w:hAnsi="宋体" w:eastAsia="仿宋_GB2312"/>
          <w:b/>
          <w:color w:val="auto"/>
          <w:sz w:val="36"/>
          <w:szCs w:val="36"/>
        </w:rPr>
      </w:pPr>
      <w:bookmarkStart w:id="5" w:name="_Toc81372776"/>
      <w:bookmarkStart w:id="6" w:name="_Toc81372953"/>
      <w:bookmarkStart w:id="7" w:name="_Toc84325929"/>
      <w:r>
        <w:rPr>
          <w:rFonts w:hint="eastAsia" w:ascii="仿宋_GB2312" w:hAnsi="宋体" w:eastAsia="仿宋_GB2312"/>
          <w:b/>
          <w:color w:val="auto"/>
          <w:sz w:val="36"/>
          <w:szCs w:val="36"/>
        </w:rPr>
        <w:t>五、授予合同</w:t>
      </w:r>
    </w:p>
    <w:p>
      <w:pPr>
        <w:pStyle w:val="16"/>
        <w:tabs>
          <w:tab w:val="clear" w:pos="454"/>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1.中标条件</w:t>
      </w:r>
    </w:p>
    <w:p>
      <w:pPr>
        <w:pStyle w:val="16"/>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1.1投标文件基本符合招标文件要求；</w:t>
      </w:r>
    </w:p>
    <w:p>
      <w:pPr>
        <w:pStyle w:val="16"/>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1.2投标人有很好的执行合同的能力；</w:t>
      </w:r>
    </w:p>
    <w:p>
      <w:pPr>
        <w:pStyle w:val="16"/>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1.3实施方案最合理并对招标人最为有利，最大限度满足招标文件的要求；</w:t>
      </w:r>
    </w:p>
    <w:p>
      <w:pPr>
        <w:pStyle w:val="16"/>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1.4投标人能够提供质量技术、商务经济占综合优势的系统及服务。</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1.5招标人将把中标通知书授予最佳投标者，但最低价不是中标的绝对保证。</w:t>
      </w:r>
    </w:p>
    <w:bookmarkEnd w:id="5"/>
    <w:bookmarkEnd w:id="6"/>
    <w:bookmarkEnd w:id="7"/>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2.中标确认</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2.3采购人应在确认中标人前再次对资格条件和相关证件材料进一步查验核实。</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3．中标通知</w:t>
      </w:r>
    </w:p>
    <w:p>
      <w:pPr>
        <w:pStyle w:val="156"/>
        <w:tabs>
          <w:tab w:val="left" w:pos="0"/>
        </w:tabs>
        <w:spacing w:before="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3.1</w:t>
      </w:r>
      <w:r>
        <w:rPr>
          <w:rFonts w:hint="eastAsia" w:ascii="仿宋_GB2312" w:hAnsi="Helvetica" w:eastAsia="仿宋_GB2312" w:cs="Helvetica"/>
          <w:color w:val="auto"/>
          <w:kern w:val="0"/>
        </w:rPr>
        <w:t>采购代理机构</w:t>
      </w:r>
      <w:r>
        <w:rPr>
          <w:rFonts w:hint="eastAsia" w:ascii="仿宋_GB2312" w:hAnsi="宋体" w:eastAsia="仿宋_GB2312"/>
          <w:color w:val="auto"/>
        </w:rPr>
        <w:t>对中标结果在指定媒体</w:t>
      </w:r>
      <w:r>
        <w:rPr>
          <w:rFonts w:hint="eastAsia" w:ascii="仿宋_GB2312" w:hAnsi="Helvetica" w:eastAsia="仿宋_GB2312" w:cs="Helvetica"/>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54"/>
          <w:rFonts w:hint="eastAsia" w:ascii="仿宋_GB2312" w:hAnsi="Helvetica" w:eastAsia="仿宋_GB2312" w:cs="Helvetica"/>
          <w:color w:val="auto"/>
          <w:kern w:val="0"/>
        </w:rPr>
        <w:t>http://zfcg.czt.zj.gov.cn/</w:t>
      </w:r>
      <w:r>
        <w:rPr>
          <w:rStyle w:val="54"/>
          <w:rFonts w:hint="eastAsia" w:ascii="仿宋_GB2312" w:hAnsi="Helvetica" w:eastAsia="仿宋_GB2312" w:cs="Helvetica"/>
          <w:color w:val="auto"/>
          <w:kern w:val="0"/>
        </w:rPr>
        <w:fldChar w:fldCharType="end"/>
      </w:r>
      <w:r>
        <w:rPr>
          <w:rFonts w:hint="eastAsia" w:ascii="仿宋_GB2312" w:hAnsi="Helvetica" w:eastAsia="仿宋_GB2312" w:cs="Helvetica"/>
          <w:color w:val="auto"/>
          <w:kern w:val="0"/>
        </w:rPr>
        <w:t>）发布中标公告，中标公告期限为1个工作日。</w:t>
      </w:r>
    </w:p>
    <w:p>
      <w:pPr>
        <w:tabs>
          <w:tab w:val="left" w:pos="0"/>
        </w:tabs>
        <w:spacing w:line="440" w:lineRule="exact"/>
        <w:rPr>
          <w:rFonts w:ascii="仿宋_GB2312" w:eastAsia="仿宋_GB2312" w:cs="仿宋_GB2312"/>
          <w:color w:val="auto"/>
          <w:kern w:val="0"/>
          <w:sz w:val="24"/>
          <w:lang w:val="zh-CN"/>
        </w:rPr>
      </w:pPr>
      <w:r>
        <w:rPr>
          <w:rFonts w:hint="eastAsia" w:ascii="仿宋_GB2312" w:hAnsi="宋体" w:eastAsia="仿宋_GB2312"/>
          <w:color w:val="auto"/>
          <w:sz w:val="24"/>
        </w:rPr>
        <w:t>3.2在</w:t>
      </w:r>
      <w:r>
        <w:rPr>
          <w:rFonts w:hint="eastAsia" w:ascii="仿宋_GB2312" w:eastAsia="仿宋_GB2312"/>
          <w:color w:val="auto"/>
          <w:sz w:val="24"/>
        </w:rPr>
        <w:t>采购代理机构</w:t>
      </w:r>
      <w:r>
        <w:rPr>
          <w:rFonts w:hint="eastAsia" w:ascii="仿宋_GB2312" w:hAnsi="宋体" w:eastAsia="仿宋_GB2312"/>
          <w:color w:val="auto"/>
          <w:sz w:val="24"/>
        </w:rPr>
        <w:t>发出中标通知书前，中标供应商如有违反有关法律法规和本项目要求行为的，则取消该投标人的中标资格</w:t>
      </w:r>
      <w:r>
        <w:rPr>
          <w:rFonts w:hint="eastAsia" w:ascii="仿宋_GB2312" w:eastAsia="仿宋_GB2312" w:cs="仿宋_GB2312"/>
          <w:color w:val="auto"/>
          <w:kern w:val="0"/>
          <w:sz w:val="24"/>
          <w:lang w:val="zh-CN"/>
        </w:rPr>
        <w:t>。</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3.3采购代理机构对中标结果不作任何说明和解释，也不回答任何提问。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4．履约保证金</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鼓励采购单位根据项目特点、供应商诚信等因素免收履约保证金或降低缴纳比例。政府采购货物和服务项目收取履约保证金的，最高缴纳比例不超过合同金额的</w:t>
      </w:r>
      <w:r>
        <w:rPr>
          <w:rFonts w:hint="eastAsia" w:ascii="仿宋_GB2312" w:hAnsi="宋体" w:eastAsia="仿宋_GB2312"/>
          <w:color w:val="auto"/>
          <w:sz w:val="24"/>
          <w:lang w:val="en-US" w:eastAsia="zh-CN"/>
        </w:rPr>
        <w:t>1</w:t>
      </w:r>
      <w:r>
        <w:rPr>
          <w:rFonts w:hint="eastAsia" w:ascii="仿宋_GB2312" w:hAnsi="宋体" w:eastAsia="仿宋_GB2312"/>
          <w:color w:val="auto"/>
          <w:sz w:val="24"/>
        </w:rPr>
        <w:t>%，项目验收结束后应及时退还。供应商以银行、保险公司出具保函形式提交履约保证金的，采购单位不得拒收。</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5．合同备案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5.1中标人应当在中标通知书发出之日起5天内与采购人签订合同，自采购合同签订之日起</w:t>
      </w:r>
      <w:r>
        <w:rPr>
          <w:rFonts w:hint="eastAsia" w:ascii="仿宋_GB2312" w:hAnsi="宋体" w:eastAsia="仿宋_GB2312"/>
          <w:b/>
          <w:color w:val="auto"/>
          <w:sz w:val="24"/>
        </w:rPr>
        <w:t>3个工作日内</w:t>
      </w:r>
      <w:r>
        <w:rPr>
          <w:rFonts w:hint="eastAsia" w:ascii="仿宋_GB2312" w:hAnsi="宋体" w:eastAsia="仿宋_GB2312"/>
          <w:color w:val="auto"/>
          <w:sz w:val="24"/>
        </w:rPr>
        <w:t>，将</w:t>
      </w:r>
      <w:r>
        <w:rPr>
          <w:rFonts w:hint="eastAsia" w:ascii="仿宋_GB2312" w:hAnsi="宋体" w:eastAsia="仿宋_GB2312"/>
          <w:b/>
          <w:color w:val="auto"/>
          <w:sz w:val="24"/>
        </w:rPr>
        <w:t>采购合同原件</w:t>
      </w:r>
      <w:r>
        <w:rPr>
          <w:rFonts w:hint="eastAsia" w:ascii="仿宋_GB2312" w:hAnsi="宋体" w:eastAsia="仿宋_GB2312"/>
          <w:color w:val="auto"/>
          <w:sz w:val="24"/>
        </w:rPr>
        <w:t>报嵊州市公共资源交易中心备案。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5.2未领取中标通知书，采购双方自行签订的合同不予备案。</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6.验收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售后服务考核</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六、质疑与投诉</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1.供应商询问</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2.供应商质疑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（2）对采购过程提出质疑的，质疑期限为各采购程序环节结束之日起计算。</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（3）对采购结果提出质疑的，质疑期限自采购结果公告（包括公示、预公告、结果变更公告等）期限届满之日起计算。</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（4）供应商应在法定质疑期内一次性提出针对同一采购程序环节的质疑。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3.供应商提交提出质疑应当提交质疑书和必要的证明材料，质疑书需一式三份，质疑书至少应包括下列主要内容：</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（1）质疑人的名称、地址、邮政编码、联系人、联系电话，以及被质疑人名称及联系方式；</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（2）被质疑采购项目名称、编号及采购内容；</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（3）具体、明确的质疑事项和与质疑事项相关的请求</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（4）事实依据；</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（5）必要的法律依据；</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（6）认为自己合法权益受到损害或可能受到损害的相关证据材料；</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（7）提出质疑的日期。</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（8） 质疑书应当署名。质疑人为自然人的，应当由本人签字并附有效身份证明；质疑人为法人或其他组织的，应当由法定代表人或主要负责人签字（或盖章）并加盖单位公章。</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（9） 质疑人因故不能自行办理质疑事项的，可以委托代理人办理质疑事宜，但应当向被质疑人提交授权委托书，并载明委托代理的具体权限和事项。</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（10）质疑人提供的相关材料中有外文资料的，应当将与质疑相关的外文资料完整、客观、真实地翻译为中文，并注明翻译人员姓名、工作单位、联系方式等信息。</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w:t>
      </w:r>
      <w:r>
        <w:rPr>
          <w:rFonts w:hint="eastAsia" w:ascii="仿宋_GB2312" w:hAnsi="仿宋" w:eastAsia="仿宋_GB2312"/>
          <w:color w:val="auto"/>
          <w:sz w:val="24"/>
        </w:rPr>
        <w:tab/>
      </w:r>
      <w:r>
        <w:rPr>
          <w:rFonts w:hint="eastAsia" w:ascii="仿宋_GB2312" w:hAnsi="仿宋" w:eastAsia="仿宋_GB2312"/>
          <w:color w:val="auto"/>
          <w:sz w:val="24"/>
        </w:rPr>
        <w:t>原则上由采购人回复的质疑：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（1）对采购文件中特定资格条件、采购需求、评分办法提出的质疑；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（2）对采购过程中有关现场考察或开标前答疑会事项提出的质疑。</w:t>
      </w:r>
    </w:p>
    <w:p>
      <w:pPr>
        <w:pStyle w:val="4"/>
        <w:spacing w:line="360" w:lineRule="auto"/>
        <w:ind w:firstLine="720" w:firstLineChars="300"/>
        <w:rPr>
          <w:rFonts w:ascii="仿宋_GB2312" w:hAnsi="仿宋" w:eastAsia="仿宋_GB2312"/>
          <w:color w:val="auto"/>
          <w:sz w:val="24"/>
        </w:rPr>
      </w:pPr>
      <w:r>
        <w:rPr>
          <w:rFonts w:hint="eastAsia" w:ascii="仿宋_GB2312" w:hAnsi="仿宋" w:eastAsia="仿宋_GB2312"/>
          <w:color w:val="auto"/>
          <w:sz w:val="24"/>
        </w:rPr>
        <w:t>原则上由采购代理机构回复的质疑：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（1）除特定资格条件、采购需求、评分办法外，对采购文件中其他内容提出的质疑；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（2）除有关现场考察或开标前答疑会事项外，对采购过程中其它事项提出的质疑；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（3）对采购结果提出的质疑。</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6.询问或者质疑事项可能影响采购结果的，采购人应当暂停签订合同，已经签订合同的，应当中止履行合同。</w:t>
      </w:r>
    </w:p>
    <w:p>
      <w:pPr>
        <w:pStyle w:val="4"/>
        <w:spacing w:line="360" w:lineRule="auto"/>
        <w:ind w:firstLine="480" w:firstLineChars="200"/>
        <w:rPr>
          <w:rFonts w:ascii="仿宋_GB2312" w:hAnsi="仿宋" w:eastAsia="仿宋_GB2312"/>
          <w:color w:val="auto"/>
          <w:sz w:val="24"/>
        </w:rPr>
      </w:pPr>
      <w:r>
        <w:rPr>
          <w:rFonts w:hint="eastAsia" w:ascii="仿宋_GB2312" w:hAnsi="宋体" w:eastAsia="仿宋_GB2312" w:cs="宋体"/>
          <w:color w:val="auto"/>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800" w:lineRule="exact"/>
        <w:rPr>
          <w:rFonts w:ascii="仿宋_GB2312" w:hAnsi="宋体" w:eastAsia="仿宋_GB2312"/>
          <w:b/>
          <w:color w:val="auto"/>
          <w:sz w:val="24"/>
        </w:rPr>
      </w:pPr>
      <w:r>
        <w:rPr>
          <w:rFonts w:hint="eastAsia" w:ascii="仿宋_GB2312" w:hAnsi="宋体" w:eastAsia="仿宋_GB2312"/>
          <w:b/>
          <w:color w:val="auto"/>
          <w:sz w:val="24"/>
          <w:u w:val="wave"/>
        </w:rPr>
        <w:t>相关声明</w:t>
      </w:r>
      <w:r>
        <w:rPr>
          <w:rFonts w:hint="eastAsia" w:ascii="仿宋_GB2312" w:hAnsi="宋体" w:eastAsia="仿宋_GB2312"/>
          <w:b/>
          <w:color w:val="auto"/>
          <w:sz w:val="24"/>
        </w:rPr>
        <w:t>：</w:t>
      </w:r>
      <w:r>
        <w:rPr>
          <w:rFonts w:hint="eastAsia" w:ascii="仿宋_GB2312" w:hAnsi="宋体" w:eastAsia="仿宋_GB2312"/>
          <w:b/>
          <w:color w:val="auto"/>
          <w:sz w:val="24"/>
          <w:u w:val="wave"/>
        </w:rPr>
        <w:t>以下1-7条款如标段内另有说明的</w:t>
      </w:r>
      <w:r>
        <w:rPr>
          <w:rFonts w:hint="eastAsia" w:ascii="仿宋_GB2312" w:hAnsi="宋体" w:eastAsia="仿宋_GB2312"/>
          <w:b/>
          <w:color w:val="auto"/>
          <w:sz w:val="24"/>
        </w:rPr>
        <w:t>，</w:t>
      </w:r>
      <w:r>
        <w:rPr>
          <w:rFonts w:hint="eastAsia" w:ascii="仿宋_GB2312" w:hAnsi="宋体" w:eastAsia="仿宋_GB2312"/>
          <w:b/>
          <w:color w:val="auto"/>
          <w:sz w:val="24"/>
          <w:u w:val="wave"/>
        </w:rPr>
        <w:t>则按标内要求执行</w:t>
      </w:r>
      <w:r>
        <w:rPr>
          <w:rFonts w:hint="eastAsia" w:ascii="仿宋_GB2312" w:hAnsi="宋体" w:eastAsia="仿宋_GB2312"/>
          <w:b/>
          <w:color w:val="auto"/>
          <w:sz w:val="24"/>
        </w:rPr>
        <w:t>。</w:t>
      </w:r>
    </w:p>
    <w:p>
      <w:pPr>
        <w:pStyle w:val="73"/>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1.设备（材料）要求</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1.1投标人投标提供的货物必须是厂商原装的、全新的，型号、性能及指标符合国家及招标文件提出的有关技术、质量、安全标准。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1.2所有货物在开箱检验时必须完好，无破损，配置与装箱单相符。数量、质量及性能不低于本需求书中提出的要求。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1.3货物外观清洁，标记编号显示等字体清晰，明确。铭牌、使用指示、警告指示应以中文或英文及易懂的通用符号来表示；应准确无误地表明办公家具之型号、规格、制造厂及生产或出厂日期。</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1.4对于影响货物正常工作的必要组成部分，无论在技术规范中指出与否，投标人都应提供并在投标文件中明确列出。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1.6所有货物到现场安装使用前，招标人将进行抽样检验或试验。</w:t>
      </w:r>
    </w:p>
    <w:p>
      <w:pPr>
        <w:pStyle w:val="73"/>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2.数量调整</w:t>
      </w:r>
    </w:p>
    <w:p>
      <w:pPr>
        <w:pStyle w:val="73"/>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招标人保留在签约时调整部分方案及定购</w:t>
      </w:r>
      <w:r>
        <w:rPr>
          <w:rFonts w:hint="eastAsia" w:ascii="仿宋_GB2312" w:hAnsi="宋体" w:eastAsia="仿宋_GB2312"/>
          <w:color w:val="auto"/>
        </w:rPr>
        <w:t>货物</w:t>
      </w:r>
      <w:r>
        <w:rPr>
          <w:rFonts w:hint="eastAsia" w:ascii="仿宋_GB2312" w:hAnsi="宋体" w:eastAsia="仿宋_GB2312"/>
          <w:color w:val="auto"/>
          <w:szCs w:val="24"/>
        </w:rPr>
        <w:t>数量和服务的权力，投标人应对系统方案中</w:t>
      </w:r>
      <w:r>
        <w:rPr>
          <w:rFonts w:hint="eastAsia" w:ascii="仿宋_GB2312" w:hAnsi="宋体" w:eastAsia="仿宋_GB2312"/>
          <w:color w:val="auto"/>
        </w:rPr>
        <w:t>货物</w:t>
      </w:r>
      <w:r>
        <w:rPr>
          <w:rFonts w:hint="eastAsia" w:ascii="仿宋_GB2312" w:hAnsi="宋体" w:eastAsia="仿宋_GB2312"/>
          <w:color w:val="auto"/>
          <w:szCs w:val="24"/>
        </w:rPr>
        <w:t>和服务明细报价，按投标单价不变的前提下进行调整，双方不得拒绝。</w:t>
      </w:r>
    </w:p>
    <w:p>
      <w:pPr>
        <w:pStyle w:val="73"/>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如遇本次招标没有涉及的</w:t>
      </w:r>
      <w:r>
        <w:rPr>
          <w:rFonts w:hint="eastAsia" w:ascii="仿宋_GB2312" w:hAnsi="宋体" w:eastAsia="仿宋_GB2312"/>
          <w:color w:val="auto"/>
        </w:rPr>
        <w:t>货物</w:t>
      </w:r>
      <w:r>
        <w:rPr>
          <w:rFonts w:hint="eastAsia" w:ascii="仿宋_GB2312" w:hAnsi="宋体" w:eastAsia="仿宋_GB2312"/>
          <w:color w:val="auto"/>
          <w:szCs w:val="24"/>
        </w:rPr>
        <w:t>或服务时，由中标人提供申请，招标人确认后实施。</w:t>
      </w:r>
    </w:p>
    <w:p>
      <w:pPr>
        <w:pStyle w:val="73"/>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3.安装及调试、验收</w:t>
      </w:r>
    </w:p>
    <w:p>
      <w:pPr>
        <w:pStyle w:val="73"/>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中标人应派经招标人认可的有经验和能力、具有相应资质的技术人员，负责系统</w:t>
      </w:r>
      <w:r>
        <w:rPr>
          <w:rFonts w:hint="eastAsia" w:ascii="仿宋_GB2312" w:hAnsi="宋体" w:eastAsia="仿宋_GB2312"/>
          <w:color w:val="auto"/>
        </w:rPr>
        <w:t>货物</w:t>
      </w:r>
      <w:r>
        <w:rPr>
          <w:rFonts w:hint="eastAsia" w:ascii="仿宋_GB2312" w:hAnsi="宋体" w:eastAsia="仿宋_GB2312"/>
          <w:color w:val="auto"/>
          <w:szCs w:val="24"/>
        </w:rPr>
        <w:t>安装工作，在</w:t>
      </w:r>
      <w:r>
        <w:rPr>
          <w:rFonts w:hint="eastAsia" w:ascii="仿宋_GB2312" w:hAnsi="宋体" w:eastAsia="仿宋_GB2312"/>
          <w:color w:val="auto"/>
        </w:rPr>
        <w:t>货物</w:t>
      </w:r>
      <w:r>
        <w:rPr>
          <w:rFonts w:hint="eastAsia" w:ascii="仿宋_GB2312" w:hAnsi="宋体" w:eastAsia="仿宋_GB2312"/>
          <w:color w:val="auto"/>
          <w:szCs w:val="24"/>
        </w:rPr>
        <w:t>安装期间应充分了解</w:t>
      </w:r>
      <w:r>
        <w:rPr>
          <w:rFonts w:hint="eastAsia" w:ascii="仿宋_GB2312" w:hAnsi="宋体" w:eastAsia="仿宋_GB2312"/>
          <w:color w:val="auto"/>
        </w:rPr>
        <w:t>货物</w:t>
      </w:r>
      <w:r>
        <w:rPr>
          <w:rFonts w:hint="eastAsia" w:ascii="仿宋_GB2312" w:hAnsi="宋体" w:eastAsia="仿宋_GB2312"/>
          <w:color w:val="auto"/>
          <w:szCs w:val="24"/>
        </w:rPr>
        <w:t>安装进度要求，解决安装中出现的技术问题。</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3.1中标人负责货物的安装、调试。</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3.4货物的拆箱、调试等各项工作由中标人负责，但必须在招标人指定人员的参与下进行。在实际实施前必须先经招标人同意方可进行。调试的原始记录须经各方签字后作为验收的文件之一。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3.5所有的招标货物应按照国家有关技术标准在制造厂检查和试验合格，以表明其运行性能、安全性能以及货物材料和结构的完整性。</w:t>
      </w:r>
    </w:p>
    <w:p>
      <w:pPr>
        <w:pStyle w:val="73"/>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4.技术培训</w:t>
      </w:r>
    </w:p>
    <w:p>
      <w:pPr>
        <w:spacing w:line="440" w:lineRule="exact"/>
        <w:rPr>
          <w:rFonts w:ascii="仿宋_GB2312" w:hAnsi="宋体" w:eastAsia="仿宋_GB2312"/>
          <w:color w:val="auto"/>
          <w:sz w:val="24"/>
        </w:rPr>
      </w:pPr>
      <w:r>
        <w:rPr>
          <w:rFonts w:hint="eastAsia" w:ascii="仿宋_GB2312" w:hAnsi="宋体" w:eastAsia="仿宋_GB2312"/>
          <w:color w:val="auto"/>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rPr>
      </w:pPr>
      <w:r>
        <w:rPr>
          <w:rFonts w:hint="eastAsia" w:ascii="仿宋_GB2312" w:hAnsi="宋体" w:eastAsia="仿宋_GB2312"/>
          <w:color w:val="auto"/>
          <w:sz w:val="24"/>
        </w:rPr>
        <w:t>4.2中标人提供的负责培训的人员应具备同类设备五年以上的经验。</w:t>
      </w:r>
    </w:p>
    <w:p>
      <w:pPr>
        <w:spacing w:line="440" w:lineRule="exact"/>
        <w:rPr>
          <w:rFonts w:ascii="仿宋_GB2312" w:hAnsi="宋体" w:eastAsia="仿宋_GB2312"/>
          <w:color w:val="auto"/>
          <w:sz w:val="24"/>
        </w:rPr>
      </w:pPr>
      <w:r>
        <w:rPr>
          <w:rFonts w:hint="eastAsia" w:ascii="仿宋_GB2312" w:hAnsi="宋体" w:eastAsia="仿宋_GB2312"/>
          <w:color w:val="auto"/>
          <w:sz w:val="24"/>
        </w:rPr>
        <w:t xml:space="preserve">4.3技术培训费用应包含在投标总价中。    </w:t>
      </w:r>
    </w:p>
    <w:p>
      <w:pPr>
        <w:spacing w:line="440" w:lineRule="exact"/>
        <w:rPr>
          <w:rFonts w:ascii="仿宋_GB2312" w:hAnsi="宋体" w:eastAsia="仿宋_GB2312"/>
          <w:color w:val="auto"/>
          <w:sz w:val="24"/>
        </w:rPr>
      </w:pPr>
      <w:r>
        <w:rPr>
          <w:rFonts w:hint="eastAsia" w:ascii="仿宋_GB2312" w:hAnsi="宋体" w:eastAsia="仿宋_GB2312"/>
          <w:color w:val="auto"/>
          <w:sz w:val="24"/>
        </w:rPr>
        <w:t>4.4技术培训至少应包括下列内容：</w:t>
      </w:r>
    </w:p>
    <w:p>
      <w:pPr>
        <w:pStyle w:val="23"/>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4.4.1原理、构成和功能的描述。</w:t>
      </w:r>
    </w:p>
    <w:p>
      <w:pPr>
        <w:pStyle w:val="23"/>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4.4.2常见故障的处理或排除。</w:t>
      </w:r>
    </w:p>
    <w:p>
      <w:pPr>
        <w:pStyle w:val="23"/>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4.4.3各系统部件（设备）的检查、调整和维护。</w:t>
      </w:r>
    </w:p>
    <w:p>
      <w:pPr>
        <w:pStyle w:val="23"/>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4.4.4对使用者关于设备基本操作技能的培训。</w:t>
      </w:r>
    </w:p>
    <w:p>
      <w:pPr>
        <w:pStyle w:val="23"/>
        <w:widowControl w:val="0"/>
        <w:tabs>
          <w:tab w:val="clear" w:pos="482"/>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5.售后服务</w:t>
      </w:r>
    </w:p>
    <w:p>
      <w:pPr>
        <w:pStyle w:val="6"/>
        <w:spacing w:line="440" w:lineRule="exact"/>
        <w:ind w:firstLine="0" w:firstLineChars="0"/>
        <w:rPr>
          <w:rFonts w:ascii="仿宋_GB2312" w:hAnsi="仿宋" w:eastAsia="仿宋_GB2312" w:cs="仿宋"/>
          <w:color w:val="auto"/>
          <w:sz w:val="24"/>
        </w:rPr>
      </w:pPr>
      <w:r>
        <w:rPr>
          <w:rFonts w:hint="eastAsia" w:ascii="仿宋_GB2312" w:hAnsi="宋体" w:eastAsia="仿宋_GB2312"/>
          <w:color w:val="auto"/>
          <w:sz w:val="24"/>
        </w:rPr>
        <w:t>（1）</w:t>
      </w:r>
      <w:r>
        <w:rPr>
          <w:rFonts w:hint="eastAsia" w:ascii="仿宋_GB2312" w:hAnsi="仿宋" w:eastAsia="仿宋_GB2312" w:cs="仿宋"/>
          <w:color w:val="auto"/>
          <w:sz w:val="24"/>
        </w:rPr>
        <w:t>验收合格之日起在质保期内，乙方免费保修或更换。免费是指免材料费、人工费等与上门保修服务有关的一切费用。当用户提交报修信息后必须在2小时内到达现场，48小时内并解决问题，修理或直接免费更换，如不能当场修复的，须使用备品作暂时替换，以满足甲方的正常使用要求。</w:t>
      </w:r>
    </w:p>
    <w:p>
      <w:pPr>
        <w:spacing w:line="360" w:lineRule="auto"/>
        <w:rPr>
          <w:rFonts w:ascii="仿宋_GB2312" w:hAnsi="仿宋" w:eastAsia="仿宋_GB2312" w:cs="仿宋"/>
          <w:color w:val="auto"/>
          <w:sz w:val="24"/>
        </w:rPr>
      </w:pPr>
      <w:r>
        <w:rPr>
          <w:rFonts w:hint="eastAsia" w:ascii="仿宋_GB2312" w:hAnsi="宋体" w:eastAsia="仿宋_GB2312"/>
          <w:color w:val="auto"/>
          <w:sz w:val="24"/>
        </w:rPr>
        <w:t>（2）</w:t>
      </w:r>
      <w:r>
        <w:rPr>
          <w:rFonts w:hint="eastAsia" w:ascii="仿宋_GB2312" w:hAnsi="仿宋" w:eastAsia="仿宋_GB2312" w:cs="仿宋"/>
          <w:color w:val="auto"/>
          <w:sz w:val="24"/>
        </w:rPr>
        <w:t>保修期外，乙方承诺提供终身服务。</w:t>
      </w:r>
    </w:p>
    <w:p>
      <w:pPr>
        <w:spacing w:line="360" w:lineRule="auto"/>
        <w:rPr>
          <w:rFonts w:ascii="仿宋_GB2312" w:hAnsi="仿宋" w:eastAsia="仿宋_GB2312" w:cs="仿宋"/>
          <w:color w:val="auto"/>
          <w:sz w:val="24"/>
        </w:rPr>
      </w:pPr>
      <w:r>
        <w:rPr>
          <w:rFonts w:hint="eastAsia" w:ascii="仿宋_GB2312" w:hAnsi="宋体" w:eastAsia="仿宋_GB2312"/>
          <w:color w:val="auto"/>
          <w:sz w:val="24"/>
        </w:rPr>
        <w:t>（3）</w:t>
      </w:r>
      <w:r>
        <w:rPr>
          <w:rFonts w:hint="eastAsia" w:ascii="仿宋_GB2312" w:hAnsi="仿宋" w:eastAsia="仿宋_GB2312" w:cs="仿宋"/>
          <w:color w:val="auto"/>
          <w:sz w:val="24"/>
        </w:rPr>
        <w:t>备品备件供应：</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3.1乙方供货时应根据投标文件的承诺提供一定量的常用备品备件给采购人。</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3.2确保有足够的原厂备件、附件和易损件满足采购人正常使用需求。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3.3乙方应按照甲方要求在投标时承诺提供常用备件、附件和易损件，并明确承诺优惠供货价格。</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4.4其他售后服务标准按照乙方投标承诺的服务计划实施。</w:t>
      </w:r>
    </w:p>
    <w:p>
      <w:pPr>
        <w:snapToGrid w:val="0"/>
        <w:spacing w:line="440" w:lineRule="exact"/>
        <w:jc w:val="left"/>
        <w:rPr>
          <w:rFonts w:ascii="仿宋_GB2312" w:hAnsi="宋体" w:eastAsia="仿宋_GB2312"/>
          <w:b/>
          <w:color w:val="auto"/>
          <w:kern w:val="0"/>
          <w:sz w:val="24"/>
          <w:u w:val="wave"/>
        </w:rPr>
      </w:pPr>
      <w:r>
        <w:rPr>
          <w:rFonts w:hint="eastAsia" w:ascii="仿宋_GB2312" w:hAnsi="宋体" w:eastAsia="仿宋_GB2312"/>
          <w:b/>
          <w:color w:val="auto"/>
          <w:sz w:val="24"/>
        </w:rPr>
        <w:t>6. 服务要求</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中标人提供的货物，必须符合招标文件及其投标文件规定的要求，如有不符，采购人可以无条件退货，造成的损失由中标人承担。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项目实施人员费用</w:t>
      </w:r>
    </w:p>
    <w:p>
      <w:pPr>
        <w:snapToGrid w:val="0"/>
        <w:spacing w:line="440" w:lineRule="exact"/>
        <w:jc w:val="left"/>
        <w:rPr>
          <w:color w:val="auto"/>
        </w:rPr>
      </w:pPr>
      <w:r>
        <w:rPr>
          <w:rFonts w:hint="eastAsia" w:ascii="仿宋_GB2312" w:hAnsi="宋体" w:eastAsia="仿宋_GB2312"/>
          <w:color w:val="auto"/>
          <w:sz w:val="24"/>
        </w:rPr>
        <w:t xml:space="preserve">   中标人应自行承担选派专业人员的住宿、就餐和交通等费用。</w:t>
      </w:r>
    </w:p>
    <w:p>
      <w:pPr>
        <w:snapToGrid w:val="0"/>
        <w:spacing w:line="440" w:lineRule="exact"/>
        <w:jc w:val="left"/>
        <w:rPr>
          <w:rFonts w:eastAsia="仿宋_GB2312"/>
          <w:color w:val="auto"/>
        </w:rPr>
      </w:pPr>
      <w:bookmarkStart w:id="8" w:name="_Toc151354173"/>
      <w:bookmarkStart w:id="9" w:name="_Toc81372964"/>
      <w:bookmarkStart w:id="10" w:name="_Toc80157775"/>
      <w:bookmarkStart w:id="11" w:name="_Toc84325981"/>
      <w:bookmarkStart w:id="12" w:name="_Toc81372787"/>
      <w:r>
        <w:rPr>
          <w:rFonts w:hint="eastAsia" w:ascii="仿宋_GB2312" w:hAnsi="宋体" w:eastAsia="仿宋_GB2312"/>
          <w:b/>
          <w:color w:val="auto"/>
          <w:sz w:val="24"/>
        </w:rPr>
        <w:t>8.招标项目数量及要求</w:t>
      </w:r>
    </w:p>
    <w:p>
      <w:pPr>
        <w:outlineLvl w:val="1"/>
        <w:rPr>
          <w:rFonts w:ascii="宋体" w:hAnsi="宋体" w:cs="宋体"/>
          <w:color w:val="auto"/>
          <w:sz w:val="24"/>
        </w:rPr>
      </w:pPr>
      <w:bookmarkStart w:id="13" w:name="_Hlk85204984"/>
      <w:r>
        <w:rPr>
          <w:rFonts w:hint="eastAsia" w:ascii="仿宋_GB2312" w:hAnsi="宋体" w:eastAsia="仿宋_GB2312"/>
          <w:b/>
          <w:color w:val="auto"/>
          <w:sz w:val="24"/>
        </w:rPr>
        <w:t>8.1招标基本情况</w:t>
      </w:r>
      <w:r>
        <w:rPr>
          <w:rFonts w:hint="eastAsia" w:ascii="宋体" w:hAnsi="宋体" w:cs="宋体"/>
          <w:b/>
          <w:color w:val="auto"/>
          <w:sz w:val="24"/>
        </w:rPr>
        <w:t>：</w:t>
      </w:r>
    </w:p>
    <w:p>
      <w:pPr>
        <w:spacing w:line="460" w:lineRule="exact"/>
        <w:ind w:firstLine="480" w:firstLineChars="200"/>
        <w:rPr>
          <w:rFonts w:hint="eastAsia" w:ascii="宋体" w:hAnsi="宋体" w:cs="宋体"/>
          <w:b/>
          <w:bCs/>
          <w:spacing w:val="6"/>
        </w:rPr>
      </w:pPr>
      <w:r>
        <w:rPr>
          <w:rFonts w:hint="eastAsia" w:ascii="仿宋_GB2312" w:hAnsi="宋体" w:eastAsia="仿宋_GB2312"/>
          <w:color w:val="auto"/>
          <w:sz w:val="24"/>
        </w:rPr>
        <w:t>本次招标采购主要</w:t>
      </w:r>
      <w:r>
        <w:rPr>
          <w:rFonts w:hint="eastAsia" w:ascii="仿宋_GB2312" w:hAnsi="宋体" w:eastAsia="仿宋_GB2312"/>
          <w:color w:val="auto"/>
          <w:sz w:val="24"/>
          <w:lang w:val="en-US" w:eastAsia="zh-CN"/>
        </w:rPr>
        <w:t>为</w:t>
      </w:r>
      <w:r>
        <w:rPr>
          <w:rFonts w:hint="eastAsia" w:ascii="仿宋_GB2312" w:hAnsi="宋体" w:eastAsia="仿宋_GB2312"/>
          <w:color w:val="auto"/>
          <w:sz w:val="24"/>
        </w:rPr>
        <w:t>嵊州市</w:t>
      </w:r>
      <w:r>
        <w:rPr>
          <w:rFonts w:hint="eastAsia" w:ascii="仿宋_GB2312" w:hAnsi="宋体" w:eastAsia="仿宋_GB2312"/>
          <w:color w:val="auto"/>
          <w:sz w:val="24"/>
          <w:lang w:eastAsia="zh-CN"/>
        </w:rPr>
        <w:t>公安局公务用车</w:t>
      </w:r>
      <w:r>
        <w:rPr>
          <w:rFonts w:hint="eastAsia" w:ascii="仿宋_GB2312" w:hAnsi="宋体" w:eastAsia="仿宋_GB2312"/>
          <w:color w:val="auto"/>
          <w:sz w:val="24"/>
        </w:rPr>
        <w:t>采购项目，共</w:t>
      </w:r>
      <w:r>
        <w:rPr>
          <w:rFonts w:hint="eastAsia" w:ascii="仿宋_GB2312" w:hAnsi="宋体" w:eastAsia="仿宋_GB2312"/>
          <w:color w:val="auto"/>
          <w:sz w:val="24"/>
          <w:lang w:eastAsia="zh-CN"/>
        </w:rPr>
        <w:t>三个标项，</w:t>
      </w:r>
      <w:r>
        <w:rPr>
          <w:rFonts w:hint="eastAsia" w:ascii="仿宋_GB2312" w:hAnsi="宋体" w:eastAsia="仿宋_GB2312" w:cs="Times New Roman"/>
          <w:color w:val="auto"/>
          <w:sz w:val="24"/>
        </w:rPr>
        <w:t>按照标段一、二、三依次开标，供应商可选择</w:t>
      </w:r>
      <w:r>
        <w:rPr>
          <w:rFonts w:hint="eastAsia" w:ascii="仿宋_GB2312" w:hAnsi="宋体" w:eastAsia="仿宋_GB2312" w:cs="Times New Roman"/>
          <w:color w:val="auto"/>
          <w:sz w:val="24"/>
          <w:lang w:eastAsia="zh-CN"/>
        </w:rPr>
        <w:t>三</w:t>
      </w:r>
      <w:r>
        <w:rPr>
          <w:rFonts w:hint="eastAsia" w:ascii="仿宋_GB2312" w:hAnsi="宋体" w:eastAsia="仿宋_GB2312" w:cs="Times New Roman"/>
          <w:color w:val="auto"/>
          <w:sz w:val="24"/>
        </w:rPr>
        <w:t>个标段中任意标段或所有标段投标，但每个供应商只能中一个标段，供应商预中标后，将不再进入下一标段评标。</w:t>
      </w:r>
    </w:p>
    <w:p>
      <w:pPr>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方应根据招标文件所提出的设备技术性能指标、产品规格以及服务要求等综合考虑，选择具有最佳性能价格比的设备前来投标，希望投标方以精良的设备、优良的服务和优惠的价格，充分彰显贵公司的竞争实力。</w:t>
      </w:r>
    </w:p>
    <w:p>
      <w:pPr>
        <w:pStyle w:val="20"/>
        <w:rPr>
          <w:rFonts w:hint="eastAsia" w:ascii="仿宋_GB2312" w:hAnsi="宋体"/>
          <w:b/>
          <w:color w:val="auto"/>
          <w:sz w:val="24"/>
        </w:rPr>
      </w:pPr>
      <w:r>
        <w:rPr>
          <w:rFonts w:hint="eastAsia" w:ascii="仿宋_GB2312" w:hAnsi="宋体"/>
          <w:b/>
          <w:color w:val="auto"/>
          <w:sz w:val="24"/>
        </w:rPr>
        <w:t>8.2 招标货物数量及限价</w:t>
      </w:r>
    </w:p>
    <w:tbl>
      <w:tblPr>
        <w:tblStyle w:val="47"/>
        <w:tblW w:w="4830" w:type="pct"/>
        <w:tblCellSpacing w:w="1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13"/>
        <w:gridCol w:w="2792"/>
        <w:gridCol w:w="1440"/>
        <w:gridCol w:w="1836"/>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2" w:hRule="atLeast"/>
          <w:tblCellSpacing w:w="15" w:type="dxa"/>
        </w:trPr>
        <w:tc>
          <w:tcPr>
            <w:tcW w:w="498" w:type="pct"/>
            <w:vMerge w:val="restart"/>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rPr>
            </w:pPr>
            <w:r>
              <w:rPr>
                <w:rFonts w:hint="eastAsia" w:ascii="仿宋" w:hAnsi="仿宋" w:eastAsia="仿宋" w:cs="仿宋"/>
                <w:bCs/>
                <w:color w:val="auto"/>
                <w:sz w:val="24"/>
              </w:rPr>
              <w:t>标项序号</w:t>
            </w:r>
          </w:p>
        </w:tc>
        <w:tc>
          <w:tcPr>
            <w:tcW w:w="1583" w:type="pct"/>
            <w:vMerge w:val="restart"/>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rPr>
            </w:pPr>
            <w:r>
              <w:rPr>
                <w:rFonts w:hint="eastAsia" w:ascii="仿宋" w:hAnsi="仿宋" w:eastAsia="仿宋" w:cs="仿宋"/>
                <w:bCs/>
                <w:color w:val="auto"/>
                <w:sz w:val="24"/>
              </w:rPr>
              <w:t>标项名称</w:t>
            </w:r>
          </w:p>
        </w:tc>
        <w:tc>
          <w:tcPr>
            <w:tcW w:w="773" w:type="pct"/>
            <w:vMerge w:val="restart"/>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rPr>
            </w:pPr>
            <w:r>
              <w:rPr>
                <w:rFonts w:hint="eastAsia" w:ascii="仿宋" w:hAnsi="仿宋" w:eastAsia="仿宋" w:cs="仿宋"/>
                <w:bCs/>
                <w:color w:val="auto"/>
                <w:sz w:val="24"/>
              </w:rPr>
              <w:t>单位</w:t>
            </w:r>
          </w:p>
        </w:tc>
        <w:tc>
          <w:tcPr>
            <w:tcW w:w="2059" w:type="pct"/>
            <w:gridSpan w:val="2"/>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2" w:hRule="atLeast"/>
          <w:tblCellSpacing w:w="15" w:type="dxa"/>
        </w:trPr>
        <w:tc>
          <w:tcPr>
            <w:tcW w:w="498" w:type="pct"/>
            <w:vMerge w:val="continue"/>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pPr>
          </w:p>
        </w:tc>
        <w:tc>
          <w:tcPr>
            <w:tcW w:w="1583" w:type="pct"/>
            <w:vMerge w:val="continue"/>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pPr>
          </w:p>
        </w:tc>
        <w:tc>
          <w:tcPr>
            <w:tcW w:w="773" w:type="pct"/>
            <w:vMerge w:val="continue"/>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pPr>
          </w:p>
        </w:tc>
        <w:tc>
          <w:tcPr>
            <w:tcW w:w="1035" w:type="pct"/>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lang w:eastAsia="zh-CN"/>
              </w:rPr>
              <w:t>公安局（本级）</w:t>
            </w:r>
          </w:p>
        </w:tc>
        <w:tc>
          <w:tcPr>
            <w:tcW w:w="1007" w:type="pct"/>
            <w:shd w:val="clear" w:color="auto" w:fill="DBEEF3" w:themeFill="accent5" w:themeFillTint="32"/>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sz w:val="24"/>
                <w:lang w:eastAsia="zh-CN"/>
              </w:rPr>
              <w:t>交警队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8"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rPr>
            </w:pPr>
            <w:r>
              <w:rPr>
                <w:rFonts w:hint="eastAsia" w:ascii="仿宋" w:hAnsi="仿宋" w:eastAsia="仿宋" w:cs="仿宋"/>
                <w:bCs/>
                <w:color w:val="auto"/>
                <w:sz w:val="24"/>
              </w:rPr>
              <w:t>1</w:t>
            </w:r>
          </w:p>
        </w:tc>
        <w:tc>
          <w:tcPr>
            <w:tcW w:w="1583"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bCs/>
                <w:color w:val="auto"/>
                <w:sz w:val="24"/>
                <w:lang w:val="en-US" w:eastAsia="zh-CN"/>
              </w:rPr>
            </w:pPr>
            <w:r>
              <w:rPr>
                <w:rFonts w:hint="eastAsia" w:ascii="仿宋" w:hAnsi="仿宋" w:eastAsia="仿宋" w:cs="仿宋"/>
                <w:color w:val="auto"/>
                <w:sz w:val="24"/>
                <w:u w:val="none"/>
                <w:lang w:eastAsia="zh-CN"/>
              </w:rPr>
              <w:t>轿车</w:t>
            </w:r>
          </w:p>
        </w:tc>
        <w:tc>
          <w:tcPr>
            <w:tcW w:w="773"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辆</w:t>
            </w:r>
          </w:p>
        </w:tc>
        <w:tc>
          <w:tcPr>
            <w:tcW w:w="1035"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5</w:t>
            </w:r>
          </w:p>
        </w:tc>
        <w:tc>
          <w:tcPr>
            <w:tcW w:w="1007"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8"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2</w:t>
            </w:r>
          </w:p>
        </w:tc>
        <w:tc>
          <w:tcPr>
            <w:tcW w:w="1583"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color w:val="auto"/>
                <w:sz w:val="24"/>
                <w:u w:val="none"/>
                <w:lang w:val="en-US" w:eastAsia="zh-CN"/>
              </w:rPr>
            </w:pPr>
            <w:r>
              <w:rPr>
                <w:rFonts w:hint="default" w:ascii="仿宋" w:hAnsi="仿宋" w:eastAsia="仿宋" w:cs="仿宋"/>
                <w:color w:val="auto"/>
                <w:sz w:val="24"/>
                <w:u w:val="none"/>
                <w:lang w:val="en-US" w:eastAsia="zh-CN"/>
              </w:rPr>
              <w:t>商务用车</w:t>
            </w:r>
          </w:p>
        </w:tc>
        <w:tc>
          <w:tcPr>
            <w:tcW w:w="773"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辆</w:t>
            </w:r>
          </w:p>
        </w:tc>
        <w:tc>
          <w:tcPr>
            <w:tcW w:w="1035"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2</w:t>
            </w:r>
          </w:p>
        </w:tc>
        <w:tc>
          <w:tcPr>
            <w:tcW w:w="1007"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98"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3</w:t>
            </w:r>
          </w:p>
        </w:tc>
        <w:tc>
          <w:tcPr>
            <w:tcW w:w="1583"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color w:val="auto"/>
                <w:sz w:val="24"/>
                <w:u w:val="none"/>
                <w:lang w:val="en-US" w:eastAsia="zh-CN"/>
              </w:rPr>
            </w:pPr>
            <w:r>
              <w:rPr>
                <w:rFonts w:hint="default" w:ascii="仿宋" w:hAnsi="仿宋" w:eastAsia="仿宋" w:cs="仿宋"/>
                <w:color w:val="auto"/>
                <w:sz w:val="24"/>
                <w:u w:val="none"/>
                <w:lang w:val="en-US" w:eastAsia="zh-CN"/>
              </w:rPr>
              <w:t>多用途乘用车</w:t>
            </w:r>
          </w:p>
        </w:tc>
        <w:tc>
          <w:tcPr>
            <w:tcW w:w="773"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辆</w:t>
            </w:r>
          </w:p>
        </w:tc>
        <w:tc>
          <w:tcPr>
            <w:tcW w:w="1035"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4</w:t>
            </w:r>
          </w:p>
        </w:tc>
        <w:tc>
          <w:tcPr>
            <w:tcW w:w="1007" w:type="pct"/>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2889" w:type="pct"/>
            <w:gridSpan w:val="3"/>
            <w:noWrap w:val="0"/>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投标最高限价（元）</w:t>
            </w:r>
          </w:p>
        </w:tc>
        <w:tc>
          <w:tcPr>
            <w:tcW w:w="1035"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1384000元</w:t>
            </w:r>
          </w:p>
        </w:tc>
        <w:tc>
          <w:tcPr>
            <w:tcW w:w="1007" w:type="pct"/>
            <w:noWrap w:val="0"/>
            <w:tcMar>
              <w:top w:w="75" w:type="dxa"/>
              <w:left w:w="150" w:type="dxa"/>
              <w:bottom w:w="75" w:type="dxa"/>
              <w:right w:w="150" w:type="dxa"/>
            </w:tcMar>
            <w:vAlign w:val="center"/>
          </w:tcPr>
          <w:p>
            <w:pPr>
              <w:widowControl/>
              <w:wordWrap w:val="0"/>
              <w:spacing w:line="400" w:lineRule="exact"/>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512000元</w:t>
            </w:r>
          </w:p>
        </w:tc>
      </w:tr>
    </w:tbl>
    <w:p>
      <w:pPr>
        <w:pStyle w:val="3"/>
        <w:numPr>
          <w:ilvl w:val="0"/>
          <w:numId w:val="0"/>
        </w:numPr>
        <w:spacing w:before="312" w:beforeLines="100" w:after="0" w:line="240" w:lineRule="auto"/>
        <w:rPr>
          <w:rFonts w:ascii="仿宋_GB2312" w:hAnsi="新宋体" w:eastAsia="仿宋_GB2312" w:cs="宋体"/>
          <w:bCs/>
          <w:color w:val="auto"/>
          <w:sz w:val="24"/>
          <w:szCs w:val="24"/>
        </w:rPr>
      </w:pPr>
      <w:r>
        <w:rPr>
          <w:rFonts w:hint="eastAsia" w:ascii="仿宋_GB2312" w:hAnsi="新宋体" w:eastAsia="仿宋_GB2312" w:cs="宋体"/>
          <w:bCs/>
          <w:color w:val="auto"/>
          <w:sz w:val="24"/>
          <w:szCs w:val="24"/>
        </w:rPr>
        <w:t>8.3招标货物参数</w:t>
      </w:r>
    </w:p>
    <w:p>
      <w:pPr>
        <w:spacing w:line="400" w:lineRule="exact"/>
        <w:rPr>
          <w:rFonts w:hint="eastAsia" w:ascii="仿宋_GB2312" w:hAnsi="仿宋" w:eastAsia="仿宋_GB2312" w:cs="仿宋"/>
          <w:b/>
          <w:bCs/>
          <w:color w:val="auto"/>
          <w:kern w:val="2"/>
          <w:sz w:val="24"/>
          <w:szCs w:val="24"/>
          <w:lang w:val="en-US" w:eastAsia="zh-CN" w:bidi="ar-SA"/>
        </w:rPr>
      </w:pPr>
      <w:r>
        <w:rPr>
          <w:rFonts w:hint="eastAsia" w:ascii="仿宋_GB2312" w:hAnsi="仿宋" w:eastAsia="仿宋_GB2312" w:cs="仿宋"/>
          <w:b/>
          <w:bCs/>
          <w:color w:val="auto"/>
          <w:kern w:val="2"/>
          <w:sz w:val="24"/>
          <w:szCs w:val="24"/>
          <w:lang w:val="en-US" w:eastAsia="zh-CN" w:bidi="ar-SA"/>
        </w:rPr>
        <w:t xml:space="preserve">标项一：轿车 </w:t>
      </w:r>
    </w:p>
    <w:tbl>
      <w:tblPr>
        <w:tblStyle w:val="47"/>
        <w:tblW w:w="0" w:type="auto"/>
        <w:tblInd w:w="9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6722"/>
        <w:gridCol w:w="1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blHeader/>
        </w:trPr>
        <w:tc>
          <w:tcPr>
            <w:tcW w:w="785"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6722"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招标要求</w:t>
            </w:r>
          </w:p>
        </w:tc>
        <w:tc>
          <w:tcPr>
            <w:tcW w:w="1215"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一</w:t>
            </w:r>
          </w:p>
        </w:tc>
        <w:tc>
          <w:tcPr>
            <w:tcW w:w="6722" w:type="dxa"/>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整车性能</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机动车整车性能必须符合国家标准要求以及投标人在投标文件中所明示达到的各项技术指标要求。</w:t>
            </w:r>
            <w:r>
              <w:rPr>
                <w:rFonts w:hint="eastAsia" w:ascii="仿宋" w:hAnsi="仿宋" w:eastAsia="仿宋" w:cs="仿宋"/>
                <w:sz w:val="24"/>
                <w:szCs w:val="24"/>
              </w:rPr>
              <w:tab/>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机动车整车在功能、结构、强度等方面的技术要求均应符合国家现行最新有关标准，以及投标人在投标文件中所明示达到的各项技术指标要求。车型和各大总成通过“3C”认证等相关机构认证资格证明。</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机动车整车保温隔热材料、各类内饰部件和电器电线（包括电器接插件）阻燃与环保性能满足国家和行业相关标准要求。</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6722" w:type="dxa"/>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TW" w:eastAsia="zh-TW"/>
              </w:rPr>
              <w:t>整车尾气排放标准达到国</w:t>
            </w:r>
            <w:r>
              <w:rPr>
                <w:rFonts w:hint="eastAsia" w:ascii="仿宋" w:hAnsi="仿宋" w:eastAsia="仿宋" w:cs="仿宋"/>
                <w:color w:val="auto"/>
                <w:sz w:val="24"/>
                <w:szCs w:val="24"/>
              </w:rPr>
              <w:t>VI。</w:t>
            </w:r>
          </w:p>
        </w:tc>
        <w:tc>
          <w:tcPr>
            <w:tcW w:w="1215" w:type="dxa"/>
            <w:noWrap w:val="0"/>
            <w:vAlign w:val="center"/>
          </w:tcPr>
          <w:p>
            <w:pPr>
              <w:snapToGrid w:val="0"/>
              <w:spacing w:line="400" w:lineRule="exact"/>
              <w:rPr>
                <w:rFonts w:hint="eastAsia" w:ascii="仿宋" w:hAnsi="仿宋" w:eastAsia="仿宋" w:cs="仿宋"/>
                <w:b/>
                <w:bCs/>
                <w:sz w:val="24"/>
                <w:szCs w:val="24"/>
              </w:rPr>
            </w:pPr>
          </w:p>
        </w:tc>
      </w:tr>
    </w:tbl>
    <w:tbl>
      <w:tblPr>
        <w:tblStyle w:val="47"/>
        <w:tblpPr w:leftFromText="180" w:rightFromText="180" w:vertAnchor="text" w:horzAnchor="page" w:tblpX="1865" w:tblpY="3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4659"/>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shd w:val="clear" w:color="auto" w:fill="DBEEF3" w:themeFill="accent5" w:themeFillTint="32"/>
            <w:noWrap w:val="0"/>
            <w:vAlign w:val="center"/>
          </w:tcPr>
          <w:p>
            <w:pPr>
              <w:spacing w:line="360" w:lineRule="auto"/>
              <w:jc w:val="center"/>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序号</w:t>
            </w:r>
          </w:p>
        </w:tc>
        <w:tc>
          <w:tcPr>
            <w:tcW w:w="4659" w:type="dxa"/>
            <w:shd w:val="clear" w:color="auto" w:fill="DBEEF3" w:themeFill="accent5" w:themeFillTint="32"/>
            <w:noWrap w:val="0"/>
            <w:vAlign w:val="center"/>
          </w:tcPr>
          <w:p>
            <w:pPr>
              <w:spacing w:line="360" w:lineRule="auto"/>
              <w:jc w:val="center"/>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配置项</w:t>
            </w:r>
          </w:p>
        </w:tc>
        <w:tc>
          <w:tcPr>
            <w:tcW w:w="3261" w:type="dxa"/>
            <w:shd w:val="clear" w:color="auto" w:fill="DBEEF3" w:themeFill="accent5" w:themeFillTint="32"/>
            <w:noWrap w:val="0"/>
            <w:vAlign w:val="center"/>
          </w:tcPr>
          <w:p>
            <w:pPr>
              <w:spacing w:line="360" w:lineRule="auto"/>
              <w:jc w:val="center"/>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配   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级别</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中型车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能源类型</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汽油机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3</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"https://yp.xcar.com.cn/wiki/74/"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变速箱</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b/>
                <w:color w:val="auto"/>
                <w:sz w:val="24"/>
                <w:szCs w:val="24"/>
                <w:u w:val="none"/>
              </w:rPr>
            </w:pPr>
            <w:r>
              <w:rPr>
                <w:rFonts w:hint="eastAsia" w:ascii="仿宋" w:hAnsi="仿宋" w:eastAsia="仿宋" w:cs="仿宋"/>
                <w:color w:val="auto"/>
                <w:sz w:val="24"/>
                <w:szCs w:val="24"/>
                <w:u w:val="none"/>
                <w:shd w:val="clear" w:color="auto" w:fill="FFFFFF"/>
              </w:rPr>
              <w:t>7速双离合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4</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"https://yp.xcar.com.cn/wiki/detail_72.html"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长×宽×高(mm)</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4945×1845×1470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5</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"https://yp.xcar.com.cn/wiki/detail_577.html"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车身结构</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4门，5座， 三厢轿车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6</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"https://yp.xcar.com.cn/wiki/detail_585.html"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轴距(mm)</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2875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7</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"https://yp.xcar.com.cn/wiki/detail_570.html"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整备质量(kg)</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8</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"https://yp.xcar.com.cn/wiki/detail_584.html"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油箱容积(L)</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9</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保养政策</w:t>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免费首保一次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10</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保修政策</w:t>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四年或者10万公里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shd w:val="clear" w:color="auto" w:fill="auto"/>
            <w:noWrap w:val="0"/>
            <w:vAlign w:val="center"/>
          </w:tcPr>
          <w:p>
            <w:pPr>
              <w:spacing w:line="360" w:lineRule="auto"/>
              <w:ind w:firstLine="723" w:firstLineChars="3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"https://yp.xcar.com.cn/wiki/148/"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发动机型号</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CA4GB15TD-30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"https://yp.xcar.com.cn/wiki/detail_433.html"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排量(L)</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进气形式</w:t>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涡轮增压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气缸排列形式</w:t>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直列（L型）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"https://yp.xcar.com.cn/wiki/detail_501.html"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汽缸数</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最大马力（PS）</w:t>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lang w:eastAsia="zh-CN"/>
              </w:rPr>
              <w:t>≥</w:t>
            </w:r>
            <w:r>
              <w:rPr>
                <w:rFonts w:hint="eastAsia" w:ascii="仿宋" w:hAnsi="仿宋" w:eastAsia="仿宋" w:cs="仿宋"/>
                <w:color w:val="auto"/>
                <w:sz w:val="24"/>
                <w:szCs w:val="24"/>
                <w:u w:val="none"/>
                <w:shd w:val="clear" w:color="auto" w:fill="FFFFFF"/>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最大功率(kW/rpm)</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lang w:eastAsia="zh-CN"/>
              </w:rPr>
              <w:t>≥</w:t>
            </w:r>
            <w:r>
              <w:rPr>
                <w:rFonts w:hint="eastAsia" w:ascii="仿宋" w:hAnsi="仿宋" w:eastAsia="仿宋" w:cs="仿宋"/>
                <w:color w:val="auto"/>
                <w:sz w:val="24"/>
                <w:szCs w:val="24"/>
                <w:u w:val="none"/>
                <w:shd w:val="clear" w:color="auto" w:fill="FFFFFF"/>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最大扭矩(Nm/rpm)</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lang w:eastAsia="zh-CN"/>
              </w:rPr>
              <w:t>≥</w:t>
            </w:r>
            <w:r>
              <w:rPr>
                <w:rFonts w:hint="eastAsia" w:ascii="仿宋" w:hAnsi="仿宋" w:eastAsia="仿宋" w:cs="仿宋"/>
                <w:color w:val="auto"/>
                <w:sz w:val="24"/>
                <w:szCs w:val="24"/>
                <w:u w:val="none"/>
                <w:shd w:val="clear" w:color="auto" w:fill="FFFFFF"/>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59"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"https://yp.xcar.com.cn/wiki/detail_432.html"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环保标准</w:t>
            </w:r>
            <w:r>
              <w:rPr>
                <w:rFonts w:hint="eastAsia" w:ascii="仿宋" w:hAnsi="仿宋" w:eastAsia="仿宋" w:cs="仿宋"/>
                <w:color w:val="auto"/>
                <w:sz w:val="24"/>
                <w:szCs w:val="24"/>
                <w:u w:val="none"/>
              </w:rPr>
              <w:fldChar w:fldCharType="end"/>
            </w:r>
          </w:p>
        </w:tc>
        <w:tc>
          <w:tcPr>
            <w:tcW w:w="3261"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国VI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底盘转向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"https://yp.xcar.com.cn/wiki/detail_640.html"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驱动方式</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前置两驱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车体结构</w:t>
            </w:r>
          </w:p>
        </w:tc>
        <w:tc>
          <w:tcPr>
            <w:tcW w:w="3261"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承载式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助力类型</w:t>
            </w:r>
          </w:p>
        </w:tc>
        <w:tc>
          <w:tcPr>
            <w:tcW w:w="3261"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电子助力转向EPS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前悬挂类型</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麦弗逊式独立悬架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后悬挂类型</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多连杆式独立悬挂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车轮制动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制动器类型</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通风盘式/盘式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轮胎规格</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225/55 R17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主/被动安全装备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电子驻车制动EBD</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电子稳定程序（ESP）</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ABS防抱死系统</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制动力分配系统</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刹车辅助系统</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牵引力控制系统</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方向盘安全气囊</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倒车雷达</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后4探头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副驾驶安全气囊(隐形气囊)</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前排双安全气囊</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前座安全高度调节器</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前座椅侧气囊</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三点式预紧限力安全带(主/副驾驶员</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后车门儿童锁</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后座乘客三点式安全带</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16</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轮胎气压报警装置</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辅助/操控装置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后驻车雷达</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上坡辅助系统</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发动机启动系统</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座椅安全带未系提醒功能</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LED光源前大灯</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日间行车灯</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前大灯延时功能</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前大灯高度调节</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后牌照灯</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全LED光源组合式后灯</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高位刹车灯</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驾驶模式切换</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lang w:eastAsia="zh-CN"/>
              </w:rPr>
              <w:t>有</w:t>
            </w:r>
            <w:r>
              <w:rPr>
                <w:rFonts w:hint="eastAsia" w:ascii="仿宋" w:hAnsi="仿宋" w:eastAsia="仿宋" w:cs="仿宋"/>
                <w:color w:val="auto"/>
                <w:sz w:val="24"/>
                <w:szCs w:val="24"/>
                <w:u w:val="none"/>
                <w:shd w:val="clear" w:color="auto" w:fill="FFFFFF"/>
              </w:rPr>
              <w:t>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外部/防盗配置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"https://yp.xcar.com.cn/wiki/detail_262.html"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电动天窗</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铝合金轮圈</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发动机电子防盗</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车内中控锁</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钥匙类型</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遥控钥匙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一键启动功能</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远程启动功能</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内部配置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"https://yp.xcar.com.cn/wiki/detail_281.html"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方向盘</w:t>
            </w:r>
            <w:r>
              <w:rPr>
                <w:rFonts w:hint="eastAsia" w:ascii="仿宋" w:hAnsi="仿宋" w:eastAsia="仿宋" w:cs="仿宋"/>
                <w:color w:val="auto"/>
                <w:sz w:val="24"/>
                <w:szCs w:val="24"/>
                <w:u w:val="none"/>
              </w:rPr>
              <w:fldChar w:fldCharType="end"/>
            </w:r>
            <w:r>
              <w:rPr>
                <w:rFonts w:hint="eastAsia" w:ascii="仿宋" w:hAnsi="仿宋" w:eastAsia="仿宋" w:cs="仿宋"/>
                <w:color w:val="auto"/>
                <w:sz w:val="24"/>
                <w:szCs w:val="24"/>
                <w:u w:val="none"/>
              </w:rPr>
              <w:t>材质</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真皮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"https://yp.xcar.com.cn/wiki/detail_741.html"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方向盘调节</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rPr>
              <w:t>上下 / 前后调节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"https://yp.xcar.com.cn/wiki/detail_283.html"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多功能方向盘</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液晶仪表尺寸</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default" w:ascii="Arial" w:hAnsi="Arial" w:eastAsia="仿宋" w:cs="Arial"/>
                <w:color w:val="auto"/>
                <w:sz w:val="24"/>
                <w:szCs w:val="24"/>
                <w:u w:val="none"/>
                <w:shd w:val="clear" w:color="auto" w:fill="FFFFFF"/>
                <w:lang w:eastAsia="zh-CN"/>
              </w:rPr>
              <w:t>≥</w:t>
            </w:r>
            <w:r>
              <w:rPr>
                <w:rFonts w:hint="eastAsia" w:ascii="仿宋" w:hAnsi="仿宋" w:eastAsia="仿宋" w:cs="仿宋"/>
                <w:color w:val="auto"/>
                <w:sz w:val="24"/>
                <w:szCs w:val="24"/>
                <w:u w:val="none"/>
                <w:shd w:val="clear" w:color="auto" w:fill="FFFFFF"/>
              </w:rPr>
              <w:t>7英寸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"https://yp.xcar.com.cn/wiki/detail_366.html"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行车电脑显示屏</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座椅材质</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仿皮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主座椅调方式</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前后，靠背，高低（2向）调节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副座椅调节方式</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前后，靠背调节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后排座椅放倒方式</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lang w:eastAsia="zh-CN"/>
              </w:rPr>
              <w:t>有</w:t>
            </w:r>
            <w:r>
              <w:rPr>
                <w:rFonts w:hint="eastAsia" w:ascii="仿宋" w:hAnsi="仿宋" w:eastAsia="仿宋" w:cs="仿宋"/>
                <w:color w:val="auto"/>
                <w:sz w:val="24"/>
                <w:szCs w:val="24"/>
                <w:u w:val="none"/>
                <w:shd w:val="clear" w:color="auto" w:fill="FFFFFF"/>
              </w:rPr>
              <w:t>比例放倒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"https://newcar.xcar.com.cn/m29875/config.htm"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中央扶手</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rPr>
              <w:t>前  / 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后排杯架</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多媒体配置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       手机互联</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支持CarLife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"https://yp.xcar.com.cn/wiki/detail_489.html"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蓝牙/车载电话</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"https://yp.xcar.com.cn/wiki/detail_490.html"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中控彩色液晶屏幕</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触控液晶屏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"https://yp.xcar.com.cn/wiki/detail_490.html"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中控彩色液晶屏幕尺寸</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lang w:eastAsia="zh-CN"/>
              </w:rPr>
              <w:t>≥</w:t>
            </w:r>
            <w:r>
              <w:rPr>
                <w:rFonts w:hint="eastAsia" w:ascii="仿宋" w:hAnsi="仿宋" w:eastAsia="仿宋" w:cs="仿宋"/>
                <w:color w:val="auto"/>
                <w:sz w:val="24"/>
                <w:szCs w:val="24"/>
                <w:u w:val="none"/>
                <w:shd w:val="clear" w:color="auto" w:fill="FFFFFF"/>
              </w:rPr>
              <w:t>10英寸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"https://yp.xcar.com.cn/wiki/detail_494.html"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外接音源接口(AUX/USB等)</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USB,AUX,SD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USB接口</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"https://yp.xcar.com.cn/wiki/detail_758.html"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扬声器数量</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8喇叭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玻璃/后视镜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"https://yp.xcar.com.cn/wiki/detail_636.html"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电动车窗</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rPr>
              <w:t xml:space="preserve">前 / 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"https://yp.xcar.com.cn/wiki/detail_627.html"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车窗防夹手功能</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车窗一键升降功能</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"https://yp.xcar.com.cn/wiki/detail_628.html"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外后视镜</w:t>
            </w:r>
            <w:r>
              <w:rPr>
                <w:rFonts w:hint="eastAsia" w:ascii="仿宋" w:hAnsi="仿宋" w:eastAsia="仿宋" w:cs="仿宋"/>
                <w:color w:val="auto"/>
                <w:sz w:val="24"/>
                <w:szCs w:val="24"/>
                <w:u w:val="none"/>
              </w:rPr>
              <w:fldChar w:fldCharType="end"/>
            </w:r>
            <w:r>
              <w:rPr>
                <w:rFonts w:hint="eastAsia" w:ascii="仿宋" w:hAnsi="仿宋" w:eastAsia="仿宋" w:cs="仿宋"/>
                <w:color w:val="auto"/>
                <w:sz w:val="24"/>
                <w:szCs w:val="24"/>
                <w:u w:val="none"/>
              </w:rPr>
              <w:t>功能</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电动调节</w:t>
            </w:r>
          </w:p>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电动折叠</w:t>
            </w:r>
          </w:p>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锁车自动折叠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内后视镜功能</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手动防眩目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"https://yp.xcar.com.cn/wiki/detail_638.html"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遮阳板化妆镜</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"https://yp.xcar.com.cn/wiki/detail_637.html"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雨量感应雨刷</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1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空调/冰箱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空调控制方式</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自动空调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温度分区控制</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"https://yp.xcar.com.cn/wiki/detail_624.html"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后排出风口</w:t>
            </w:r>
            <w:r>
              <w:rPr>
                <w:rFonts w:hint="eastAsia" w:ascii="仿宋" w:hAnsi="仿宋" w:eastAsia="仿宋" w:cs="仿宋"/>
                <w:color w:val="auto"/>
                <w:sz w:val="24"/>
                <w:szCs w:val="24"/>
                <w:u w:val="none"/>
              </w:rPr>
              <w:fldChar w:fldCharType="end"/>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9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59"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车内PM2,5过滤装置</w:t>
            </w:r>
          </w:p>
        </w:tc>
        <w:tc>
          <w:tcPr>
            <w:tcW w:w="3261"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bl>
    <w:p>
      <w:pPr>
        <w:rPr>
          <w:rFonts w:hint="eastAsia" w:ascii="仿宋_GB2312" w:hAnsi="仿宋" w:eastAsia="仿宋_GB2312" w:cs="仿宋"/>
          <w:b/>
          <w:bCs/>
          <w:color w:val="auto"/>
          <w:kern w:val="2"/>
          <w:sz w:val="24"/>
          <w:szCs w:val="24"/>
          <w:lang w:val="en-US" w:eastAsia="zh-CN" w:bidi="ar-SA"/>
        </w:rPr>
      </w:pPr>
    </w:p>
    <w:p>
      <w:pPr>
        <w:rPr>
          <w:rFonts w:hint="default" w:ascii="仿宋_GB2312" w:hAnsi="仿宋" w:eastAsia="仿宋_GB2312" w:cs="仿宋"/>
          <w:b/>
          <w:bCs/>
          <w:color w:val="auto"/>
          <w:kern w:val="2"/>
          <w:sz w:val="24"/>
          <w:szCs w:val="24"/>
          <w:lang w:val="en-US" w:eastAsia="zh-CN" w:bidi="ar-SA"/>
        </w:rPr>
      </w:pPr>
      <w:r>
        <w:rPr>
          <w:rFonts w:hint="eastAsia" w:ascii="仿宋_GB2312" w:hAnsi="仿宋" w:eastAsia="仿宋_GB2312" w:cs="仿宋"/>
          <w:b/>
          <w:bCs/>
          <w:color w:val="auto"/>
          <w:kern w:val="2"/>
          <w:sz w:val="24"/>
          <w:szCs w:val="24"/>
          <w:lang w:val="en-US" w:eastAsia="zh-CN" w:bidi="ar-SA"/>
        </w:rPr>
        <w:t>标项二：</w:t>
      </w:r>
      <w:r>
        <w:rPr>
          <w:rFonts w:hint="default" w:ascii="仿宋_GB2312" w:hAnsi="仿宋" w:eastAsia="仿宋_GB2312" w:cs="仿宋"/>
          <w:b/>
          <w:bCs/>
          <w:color w:val="auto"/>
          <w:kern w:val="2"/>
          <w:sz w:val="24"/>
          <w:szCs w:val="24"/>
          <w:lang w:val="en-US" w:eastAsia="zh-CN" w:bidi="ar-SA"/>
        </w:rPr>
        <w:t>商务用车</w:t>
      </w:r>
    </w:p>
    <w:tbl>
      <w:tblPr>
        <w:tblStyle w:val="47"/>
        <w:tblW w:w="0" w:type="auto"/>
        <w:tblInd w:w="9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6722"/>
        <w:gridCol w:w="1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blHeader/>
        </w:trPr>
        <w:tc>
          <w:tcPr>
            <w:tcW w:w="785"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6722"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招标要求</w:t>
            </w:r>
          </w:p>
        </w:tc>
        <w:tc>
          <w:tcPr>
            <w:tcW w:w="1215"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一</w:t>
            </w:r>
          </w:p>
        </w:tc>
        <w:tc>
          <w:tcPr>
            <w:tcW w:w="6722" w:type="dxa"/>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整车性能</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机动车整车性能必须符合国家标准要求以及投标人在投标文件中所明示达到的各项技术指标要求。</w:t>
            </w:r>
            <w:r>
              <w:rPr>
                <w:rFonts w:hint="eastAsia" w:ascii="仿宋" w:hAnsi="仿宋" w:eastAsia="仿宋" w:cs="仿宋"/>
                <w:sz w:val="24"/>
                <w:szCs w:val="24"/>
              </w:rPr>
              <w:tab/>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机动车整车在功能、结构、强度等方面的技术要求均应符合国家现行最新有关标准，以及投标人在投标文件中所明示达到的各项技术指标要求。车型和各大总成通过“3C”认证等相关机构认证资格证明。</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机动车整车保温隔热材料、各类内饰部件和电器电线（包括电器接插件）阻燃与环保性能满足国家和行业相关标准要求。</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6722" w:type="dxa"/>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TW" w:eastAsia="zh-TW"/>
              </w:rPr>
              <w:t>整车尾气排放标准达到国</w:t>
            </w:r>
            <w:r>
              <w:rPr>
                <w:rFonts w:hint="eastAsia" w:ascii="仿宋" w:hAnsi="仿宋" w:eastAsia="仿宋" w:cs="仿宋"/>
                <w:color w:val="auto"/>
                <w:sz w:val="24"/>
                <w:szCs w:val="24"/>
              </w:rPr>
              <w:t>VI。</w:t>
            </w:r>
          </w:p>
        </w:tc>
        <w:tc>
          <w:tcPr>
            <w:tcW w:w="1215" w:type="dxa"/>
            <w:noWrap w:val="0"/>
            <w:vAlign w:val="center"/>
          </w:tcPr>
          <w:p>
            <w:pPr>
              <w:snapToGrid w:val="0"/>
              <w:spacing w:line="400" w:lineRule="exact"/>
              <w:rPr>
                <w:rFonts w:hint="eastAsia" w:ascii="仿宋" w:hAnsi="仿宋" w:eastAsia="仿宋" w:cs="仿宋"/>
                <w:b/>
                <w:bCs/>
                <w:sz w:val="24"/>
                <w:szCs w:val="24"/>
              </w:rPr>
            </w:pPr>
          </w:p>
        </w:tc>
      </w:tr>
    </w:tbl>
    <w:tbl>
      <w:tblPr>
        <w:tblStyle w:val="47"/>
        <w:tblpPr w:leftFromText="180" w:rightFromText="180" w:vertAnchor="text" w:horzAnchor="page" w:tblpX="1880" w:tblpY="3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665"/>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shd w:val="clear" w:color="auto" w:fill="DBEEF3" w:themeFill="accent5" w:themeFillTint="32"/>
            <w:noWrap w:val="0"/>
            <w:vAlign w:val="center"/>
          </w:tcPr>
          <w:p>
            <w:pPr>
              <w:spacing w:line="360" w:lineRule="auto"/>
              <w:jc w:val="center"/>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序号</w:t>
            </w:r>
          </w:p>
        </w:tc>
        <w:tc>
          <w:tcPr>
            <w:tcW w:w="4665" w:type="dxa"/>
            <w:shd w:val="clear" w:color="auto" w:fill="DBEEF3" w:themeFill="accent5" w:themeFillTint="32"/>
            <w:noWrap w:val="0"/>
            <w:vAlign w:val="center"/>
          </w:tcPr>
          <w:p>
            <w:pPr>
              <w:spacing w:line="360" w:lineRule="auto"/>
              <w:jc w:val="center"/>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配置项</w:t>
            </w:r>
          </w:p>
        </w:tc>
        <w:tc>
          <w:tcPr>
            <w:tcW w:w="3300" w:type="dxa"/>
            <w:shd w:val="clear" w:color="auto" w:fill="DBEEF3" w:themeFill="accent5" w:themeFillTint="32"/>
            <w:noWrap w:val="0"/>
            <w:vAlign w:val="center"/>
          </w:tcPr>
          <w:p>
            <w:pPr>
              <w:spacing w:line="360" w:lineRule="auto"/>
              <w:jc w:val="center"/>
              <w:rPr>
                <w:rFonts w:hint="eastAsia" w:ascii="仿宋" w:hAnsi="仿宋" w:eastAsia="仿宋" w:cs="仿宋"/>
                <w:b/>
                <w:bCs/>
                <w:color w:val="auto"/>
                <w:sz w:val="24"/>
                <w:szCs w:val="24"/>
                <w:u w:val="none"/>
              </w:rPr>
            </w:pPr>
            <w:r>
              <w:rPr>
                <w:rFonts w:hint="eastAsia" w:ascii="仿宋" w:hAnsi="仿宋" w:eastAsia="仿宋" w:cs="仿宋"/>
                <w:b/>
                <w:bCs/>
                <w:color w:val="auto"/>
                <w:sz w:val="24"/>
                <w:szCs w:val="24"/>
                <w:u w:val="none"/>
              </w:rPr>
              <w:t>配   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shd w:val="clear" w:color="auto" w:fill="auto"/>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级别</w:t>
            </w:r>
          </w:p>
        </w:tc>
        <w:tc>
          <w:tcPr>
            <w:tcW w:w="3300" w:type="dxa"/>
            <w:shd w:val="clear" w:color="auto" w:fill="auto"/>
            <w:noWrap w:val="0"/>
            <w:vAlign w:val="center"/>
          </w:tcPr>
          <w:p>
            <w:pPr>
              <w:spacing w:line="360" w:lineRule="auto"/>
              <w:jc w:val="center"/>
              <w:rPr>
                <w:rFonts w:hint="eastAsia" w:ascii="仿宋" w:hAnsi="仿宋" w:eastAsia="仿宋" w:cs="仿宋"/>
                <w:color w:val="auto"/>
                <w:kern w:val="2"/>
                <w:sz w:val="24"/>
                <w:szCs w:val="24"/>
                <w:u w:val="none"/>
                <w:shd w:val="clear" w:color="auto" w:fill="FFFFFF"/>
                <w:lang w:val="en-US" w:eastAsia="zh-CN" w:bidi="ar-SA"/>
              </w:rPr>
            </w:pPr>
            <w:r>
              <w:rPr>
                <w:rFonts w:hint="eastAsia" w:ascii="仿宋" w:hAnsi="仿宋" w:eastAsia="仿宋" w:cs="仿宋"/>
                <w:color w:val="auto"/>
                <w:sz w:val="24"/>
                <w:szCs w:val="24"/>
                <w:u w:val="none"/>
                <w:shd w:val="clear" w:color="auto" w:fill="FFFFFF"/>
                <w:lang w:val="en-US" w:eastAsia="zh-CN"/>
              </w:rPr>
              <w:t>紧凑型MPV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shd w:val="clear" w:color="auto" w:fill="auto"/>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能源类型</w:t>
            </w:r>
          </w:p>
        </w:tc>
        <w:tc>
          <w:tcPr>
            <w:tcW w:w="3300" w:type="dxa"/>
            <w:shd w:val="clear" w:color="auto" w:fill="auto"/>
            <w:noWrap w:val="0"/>
            <w:vAlign w:val="center"/>
          </w:tcPr>
          <w:p>
            <w:pPr>
              <w:spacing w:line="360" w:lineRule="auto"/>
              <w:jc w:val="center"/>
              <w:rPr>
                <w:rFonts w:hint="eastAsia" w:ascii="仿宋" w:hAnsi="仿宋" w:eastAsia="仿宋" w:cs="仿宋"/>
                <w:color w:val="auto"/>
                <w:kern w:val="2"/>
                <w:sz w:val="24"/>
                <w:szCs w:val="24"/>
                <w:u w:val="none"/>
                <w:shd w:val="clear" w:color="auto" w:fill="FFFFFF"/>
                <w:lang w:val="en-US" w:eastAsia="zh-CN" w:bidi="ar-SA"/>
              </w:rPr>
            </w:pPr>
            <w:r>
              <w:rPr>
                <w:rFonts w:hint="eastAsia" w:ascii="仿宋" w:hAnsi="仿宋" w:eastAsia="仿宋" w:cs="仿宋"/>
                <w:color w:val="auto"/>
                <w:sz w:val="24"/>
                <w:szCs w:val="24"/>
                <w:u w:val="none"/>
                <w:shd w:val="clear" w:color="auto" w:fill="FFFFFF"/>
              </w:rPr>
              <w:t>汽油机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shd w:val="clear" w:color="auto" w:fill="auto"/>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"https://yp.xcar.com.cn/wiki/74/"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变速箱</w:t>
            </w:r>
            <w:r>
              <w:rPr>
                <w:rFonts w:hint="eastAsia" w:ascii="仿宋" w:hAnsi="仿宋" w:eastAsia="仿宋" w:cs="仿宋"/>
                <w:color w:val="auto"/>
                <w:sz w:val="24"/>
                <w:szCs w:val="24"/>
                <w:u w:val="none"/>
              </w:rPr>
              <w:fldChar w:fldCharType="end"/>
            </w:r>
          </w:p>
        </w:tc>
        <w:tc>
          <w:tcPr>
            <w:tcW w:w="3300" w:type="dxa"/>
            <w:shd w:val="clear" w:color="auto" w:fill="auto"/>
            <w:noWrap w:val="0"/>
            <w:vAlign w:val="center"/>
          </w:tcPr>
          <w:p>
            <w:pPr>
              <w:spacing w:line="360" w:lineRule="auto"/>
              <w:jc w:val="center"/>
              <w:rPr>
                <w:rFonts w:hint="eastAsia" w:ascii="仿宋" w:hAnsi="仿宋" w:eastAsia="仿宋" w:cs="仿宋"/>
                <w:b/>
                <w:color w:val="auto"/>
                <w:kern w:val="2"/>
                <w:sz w:val="24"/>
                <w:szCs w:val="24"/>
                <w:u w:val="none"/>
                <w:lang w:val="en-US" w:eastAsia="zh-CN" w:bidi="ar-SA"/>
              </w:rPr>
            </w:pPr>
            <w:r>
              <w:rPr>
                <w:rFonts w:hint="eastAsia" w:ascii="仿宋" w:hAnsi="仿宋" w:eastAsia="仿宋" w:cs="仿宋"/>
                <w:color w:val="auto"/>
                <w:sz w:val="24"/>
                <w:szCs w:val="24"/>
                <w:u w:val="none"/>
                <w:shd w:val="clear" w:color="auto" w:fill="FFFFFF"/>
              </w:rPr>
              <w:t>7速</w:t>
            </w:r>
            <w:r>
              <w:rPr>
                <w:rFonts w:hint="eastAsia" w:ascii="仿宋" w:hAnsi="仿宋" w:eastAsia="仿宋" w:cs="仿宋"/>
                <w:color w:val="auto"/>
                <w:sz w:val="24"/>
                <w:szCs w:val="24"/>
                <w:u w:val="none"/>
                <w:shd w:val="clear" w:color="auto" w:fill="FFFFFF"/>
                <w:lang w:val="en-US" w:eastAsia="zh-CN"/>
              </w:rPr>
              <w:t>湿式</w:t>
            </w:r>
            <w:r>
              <w:rPr>
                <w:rFonts w:hint="eastAsia" w:ascii="仿宋" w:hAnsi="仿宋" w:eastAsia="仿宋" w:cs="仿宋"/>
                <w:color w:val="auto"/>
                <w:sz w:val="24"/>
                <w:szCs w:val="24"/>
                <w:u w:val="none"/>
                <w:shd w:val="clear" w:color="auto" w:fill="FFFFFF"/>
              </w:rPr>
              <w:t>双离合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"https://yp.xcar.com.cn/wiki/detail_72.html"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长×宽×高(mm)</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shd w:val="clear" w:color="auto" w:fill="FFFFFF"/>
                <w:lang w:val="en-US" w:eastAsia="zh-CN"/>
              </w:rPr>
              <w:t>4793*1837*1765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"https://yp.xcar.com.cn/wiki/detail_577.html"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车身结构</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shd w:val="clear" w:color="auto" w:fill="FFFFFF"/>
                <w:lang w:val="en-US" w:eastAsia="zh-CN"/>
              </w:rPr>
              <w:t>5门7座MPV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6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"https://yp.xcar.com.cn/wiki/detail_585.html"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轴距(mm)</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shd w:val="clear" w:color="auto" w:fill="FFFFFF"/>
                <w:lang w:val="en-US" w:eastAsia="zh-CN"/>
              </w:rPr>
              <w:t>2810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6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"https://yp.xcar.com.cn/wiki/detail_570.html"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整备质量(kg)</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shd w:val="clear" w:color="auto" w:fill="FFFFFF"/>
                <w:lang w:val="en-US" w:eastAsia="zh-CN"/>
              </w:rPr>
              <w:t>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6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"https://yp.xcar.com.cn/wiki/detail_584.html"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油箱容积(L)</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Style w:val="54"/>
                <w:rFonts w:hint="eastAsia" w:ascii="仿宋" w:hAnsi="仿宋" w:eastAsia="仿宋" w:cs="仿宋"/>
                <w:color w:val="auto"/>
                <w:sz w:val="24"/>
                <w:szCs w:val="24"/>
                <w:u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6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保养政策</w:t>
            </w:r>
          </w:p>
        </w:tc>
        <w:tc>
          <w:tcPr>
            <w:tcW w:w="3300" w:type="dxa"/>
            <w:noWrap w:val="0"/>
            <w:vAlign w:val="center"/>
          </w:tcPr>
          <w:p>
            <w:pPr>
              <w:spacing w:line="360" w:lineRule="auto"/>
              <w:jc w:val="center"/>
              <w:rPr>
                <w:rFonts w:hint="eastAsia" w:ascii="仿宋" w:hAnsi="仿宋" w:eastAsia="仿宋" w:cs="仿宋"/>
                <w:color w:val="auto"/>
                <w:kern w:val="2"/>
                <w:sz w:val="24"/>
                <w:szCs w:val="24"/>
                <w:u w:val="none"/>
                <w:shd w:val="clear" w:color="auto" w:fill="FFFFFF"/>
                <w:lang w:val="en-US" w:eastAsia="zh-CN" w:bidi="ar-SA"/>
              </w:rPr>
            </w:pPr>
            <w:r>
              <w:rPr>
                <w:rFonts w:hint="eastAsia" w:ascii="仿宋" w:hAnsi="仿宋" w:eastAsia="仿宋" w:cs="仿宋"/>
                <w:color w:val="auto"/>
                <w:sz w:val="24"/>
                <w:szCs w:val="24"/>
                <w:u w:val="none"/>
                <w:shd w:val="clear" w:color="auto" w:fill="FFFFFF"/>
              </w:rPr>
              <w:t>免费首保一次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w:t>
            </w:r>
          </w:p>
        </w:tc>
        <w:tc>
          <w:tcPr>
            <w:tcW w:w="4665" w:type="dxa"/>
            <w:noWrap w:val="0"/>
            <w:vAlign w:val="center"/>
          </w:tcPr>
          <w:p>
            <w:pPr>
              <w:spacing w:line="360" w:lineRule="auto"/>
              <w:jc w:val="center"/>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保修政策</w:t>
            </w:r>
          </w:p>
        </w:tc>
        <w:tc>
          <w:tcPr>
            <w:tcW w:w="3300" w:type="dxa"/>
            <w:noWrap w:val="0"/>
            <w:vAlign w:val="center"/>
          </w:tcPr>
          <w:p>
            <w:pPr>
              <w:spacing w:line="360" w:lineRule="auto"/>
              <w:jc w:val="center"/>
              <w:rPr>
                <w:rFonts w:hint="eastAsia" w:ascii="仿宋" w:hAnsi="仿宋" w:eastAsia="仿宋" w:cs="仿宋"/>
                <w:color w:val="auto"/>
                <w:kern w:val="2"/>
                <w:sz w:val="24"/>
                <w:szCs w:val="24"/>
                <w:u w:val="none"/>
                <w:shd w:val="clear" w:color="auto" w:fill="FFFFFF"/>
                <w:lang w:val="en-US" w:eastAsia="zh-CN" w:bidi="ar-SA"/>
              </w:rPr>
            </w:pPr>
            <w:r>
              <w:rPr>
                <w:rFonts w:hint="eastAsia" w:ascii="仿宋" w:hAnsi="仿宋" w:eastAsia="仿宋" w:cs="仿宋"/>
                <w:color w:val="auto"/>
                <w:sz w:val="24"/>
                <w:szCs w:val="24"/>
                <w:u w:val="none"/>
                <w:shd w:val="clear" w:color="auto" w:fill="FFFFFF"/>
                <w:lang w:val="en-US" w:eastAsia="zh-CN"/>
              </w:rPr>
              <w:t>三年或100000公里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723" w:firstLineChars="3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"https://yp.xcar.com.cn/wiki/148/"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发动机型号</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shd w:val="clear" w:color="auto" w:fill="FFFFFF"/>
                <w:lang w:val="en-US" w:eastAsia="zh-CN"/>
              </w:rPr>
              <w:t>4A15J2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"https://yp.xcar.com.cn/wiki/detail_433.html"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排量(L)</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进气形式</w:t>
            </w:r>
          </w:p>
        </w:tc>
        <w:tc>
          <w:tcPr>
            <w:tcW w:w="330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涡轮增压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气缸排列形式</w:t>
            </w:r>
          </w:p>
        </w:tc>
        <w:tc>
          <w:tcPr>
            <w:tcW w:w="3300" w:type="dxa"/>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横置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"https://yp.xcar.com.cn/wiki/detail_501.html"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汽缸数</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最大马力（PS）</w:t>
            </w:r>
          </w:p>
        </w:tc>
        <w:tc>
          <w:tcPr>
            <w:tcW w:w="3300"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最大功率(kW/rpm)</w:t>
            </w:r>
            <w:r>
              <w:rPr>
                <w:rFonts w:hint="eastAsia" w:ascii="仿宋" w:hAnsi="仿宋" w:eastAsia="仿宋" w:cs="仿宋"/>
                <w:color w:val="auto"/>
                <w:sz w:val="24"/>
                <w:szCs w:val="24"/>
                <w:u w:val="none"/>
              </w:rPr>
              <w:fldChar w:fldCharType="end"/>
            </w:r>
          </w:p>
        </w:tc>
        <w:tc>
          <w:tcPr>
            <w:tcW w:w="3300"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"https://yp.xcar.com.cn/wiki/detail_574.html"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最大扭矩(Nm/rpm)</w:t>
            </w:r>
            <w:r>
              <w:rPr>
                <w:rFonts w:hint="eastAsia" w:ascii="仿宋" w:hAnsi="仿宋" w:eastAsia="仿宋" w:cs="仿宋"/>
                <w:color w:val="auto"/>
                <w:sz w:val="24"/>
                <w:szCs w:val="24"/>
                <w:u w:val="none"/>
              </w:rPr>
              <w:fldChar w:fldCharType="end"/>
            </w:r>
          </w:p>
        </w:tc>
        <w:tc>
          <w:tcPr>
            <w:tcW w:w="3300" w:type="dxa"/>
            <w:shd w:val="clear" w:color="auto" w:fill="auto"/>
            <w:noWrap w:val="0"/>
            <w:vAlign w:val="center"/>
          </w:tcPr>
          <w:p>
            <w:pPr>
              <w:spacing w:line="360" w:lineRule="auto"/>
              <w:jc w:val="center"/>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"https://yp.xcar.com.cn/wiki/detail_432.html"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环保标准</w:t>
            </w:r>
            <w:r>
              <w:rPr>
                <w:rFonts w:hint="eastAsia" w:ascii="仿宋" w:hAnsi="仿宋" w:eastAsia="仿宋" w:cs="仿宋"/>
                <w:color w:val="auto"/>
                <w:sz w:val="24"/>
                <w:szCs w:val="24"/>
                <w:u w:val="none"/>
              </w:rPr>
              <w:fldChar w:fldCharType="end"/>
            </w:r>
          </w:p>
        </w:tc>
        <w:tc>
          <w:tcPr>
            <w:tcW w:w="3300" w:type="dxa"/>
            <w:shd w:val="clear" w:color="auto" w:fill="auto"/>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国VI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lang w:eastAsia="zh-CN"/>
              </w:rPr>
              <w:t xml:space="preserve"> </w:t>
            </w:r>
            <w:r>
              <w:rPr>
                <w:rFonts w:hint="eastAsia" w:ascii="仿宋" w:hAnsi="仿宋" w:eastAsia="仿宋" w:cs="仿宋"/>
                <w:b/>
                <w:bCs/>
                <w:color w:val="auto"/>
                <w:sz w:val="24"/>
                <w:szCs w:val="24"/>
                <w:u w:val="none"/>
                <w:shd w:val="clear" w:color="auto" w:fill="FFFFFF"/>
                <w:lang w:val="en-US" w:eastAsia="zh-CN"/>
              </w:rPr>
              <w:t xml:space="preserve"> </w:t>
            </w:r>
            <w:r>
              <w:rPr>
                <w:rFonts w:hint="eastAsia" w:ascii="仿宋" w:hAnsi="仿宋" w:eastAsia="仿宋" w:cs="仿宋"/>
                <w:b/>
                <w:bCs/>
                <w:color w:val="auto"/>
                <w:sz w:val="24"/>
                <w:szCs w:val="24"/>
                <w:u w:val="none"/>
                <w:shd w:val="clear" w:color="auto" w:fill="FFFFFF"/>
              </w:rPr>
              <w:t>底盘转向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"https://yp.xcar.com.cn/wiki/detail_640.html"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驱动方式</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前置两驱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车体结构</w:t>
            </w:r>
          </w:p>
        </w:tc>
        <w:tc>
          <w:tcPr>
            <w:tcW w:w="330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承载式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助力类型</w:t>
            </w:r>
          </w:p>
        </w:tc>
        <w:tc>
          <w:tcPr>
            <w:tcW w:w="330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电子助力转向EPS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前悬挂类型</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麦弗逊式独立悬架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后悬挂类型</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val="en-US" w:eastAsia="zh-CN"/>
              </w:rPr>
            </w:pPr>
            <w:r>
              <w:rPr>
                <w:rFonts w:hint="eastAsia" w:ascii="仿宋" w:hAnsi="仿宋" w:eastAsia="仿宋" w:cs="仿宋"/>
                <w:color w:val="auto"/>
                <w:sz w:val="24"/>
                <w:szCs w:val="24"/>
                <w:u w:val="none"/>
                <w:shd w:val="clear" w:color="auto" w:fill="FFFFFF"/>
                <w:lang w:val="en-US" w:eastAsia="zh-CN"/>
              </w:rPr>
              <w:t>扭力梁非独立悬架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车轮制动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制动器类型</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通风盘式/盘式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轮胎规格</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2</w:t>
            </w:r>
            <w:r>
              <w:rPr>
                <w:rFonts w:hint="eastAsia" w:ascii="仿宋" w:hAnsi="仿宋" w:eastAsia="仿宋" w:cs="仿宋"/>
                <w:color w:val="auto"/>
                <w:sz w:val="24"/>
                <w:szCs w:val="24"/>
                <w:u w:val="none"/>
                <w:shd w:val="clear" w:color="auto" w:fill="FFFFFF"/>
                <w:lang w:val="en-US" w:eastAsia="zh-CN"/>
              </w:rPr>
              <w:t>1</w:t>
            </w:r>
            <w:r>
              <w:rPr>
                <w:rFonts w:hint="eastAsia" w:ascii="仿宋" w:hAnsi="仿宋" w:eastAsia="仿宋" w:cs="仿宋"/>
                <w:color w:val="auto"/>
                <w:sz w:val="24"/>
                <w:szCs w:val="24"/>
                <w:u w:val="none"/>
                <w:shd w:val="clear" w:color="auto" w:fill="FFFFFF"/>
              </w:rPr>
              <w:t>5/55 R17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主/被动安全装备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电子驻车制动EBD</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电子稳定程序（ESP）</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ABS防抱死系统</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制动力分配系统</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刹车辅助系统</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牵引力控制系统</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方向盘安全气囊</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倒车雷达</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后4探头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副驾驶安全气囊(隐形气囊)</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前排双安全气囊</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前座安全高度调节器</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前座椅侧气囊</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三点式预紧限力安全带(主/副驾驶员</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后车门儿童锁</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后座乘客三点式安全带</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轮胎气压报警装置</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辅助/操控装置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后驻车雷达</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上坡辅助系统</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发动机启动系统</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座椅安全带未系提醒功能</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LED光源前大灯</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日间行车灯</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前大灯延时功能</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前大灯高度调节</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后牌照灯</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全LED光源组合式后灯</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高位刹车灯</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驾驶模式切换</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外部/防盗配置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"https://yp.xcar.com.cn/wiki/detail_262.html"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电动天窗</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铝合金轮圈</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发动机电子防盗</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车内中控锁</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钥匙类型</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遥控钥匙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一键启动功能</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远程启动功能</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内部配置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"https://yp.xcar.com.cn/wiki/detail_281.html"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方向盘</w:t>
            </w:r>
            <w:r>
              <w:rPr>
                <w:rFonts w:hint="eastAsia" w:ascii="仿宋" w:hAnsi="仿宋" w:eastAsia="仿宋" w:cs="仿宋"/>
                <w:color w:val="auto"/>
                <w:sz w:val="24"/>
                <w:szCs w:val="24"/>
                <w:u w:val="none"/>
              </w:rPr>
              <w:fldChar w:fldCharType="end"/>
            </w:r>
            <w:r>
              <w:rPr>
                <w:rFonts w:hint="eastAsia" w:ascii="仿宋" w:hAnsi="仿宋" w:eastAsia="仿宋" w:cs="仿宋"/>
                <w:color w:val="auto"/>
                <w:sz w:val="24"/>
                <w:szCs w:val="24"/>
                <w:u w:val="none"/>
              </w:rPr>
              <w:t>材质</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真皮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"https://yp.xcar.com.cn/wiki/detail_741.html"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方向盘调节</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rPr>
              <w:t xml:space="preserve">上下 / 前后调节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"https://yp.xcar.com.cn/wiki/detail_283.html"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多功能方向盘</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液晶仪表尺寸</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default" w:ascii="Arial" w:hAnsi="Arial" w:eastAsia="仿宋" w:cs="Arial"/>
                <w:color w:val="auto"/>
                <w:sz w:val="24"/>
                <w:szCs w:val="24"/>
                <w:u w:val="none"/>
                <w:shd w:val="clear" w:color="auto" w:fill="FFFFFF"/>
                <w:lang w:eastAsia="zh-CN"/>
              </w:rPr>
              <w:t>≥</w:t>
            </w:r>
            <w:r>
              <w:rPr>
                <w:rFonts w:hint="eastAsia" w:ascii="仿宋" w:hAnsi="仿宋" w:eastAsia="仿宋" w:cs="仿宋"/>
                <w:color w:val="auto"/>
                <w:sz w:val="24"/>
                <w:szCs w:val="24"/>
                <w:u w:val="none"/>
                <w:shd w:val="clear" w:color="auto" w:fill="FFFFFF"/>
              </w:rPr>
              <w:t>7英寸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"https://yp.xcar.com.cn/wiki/detail_366.html"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行车电脑显示屏</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座椅材质</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仿皮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主座椅调方式</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前后，靠背，高低（2向）调节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副座椅调节方式</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前后，靠背调节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后排座椅放倒方式</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比例放倒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"https://newcar.xcar.com.cn/m29875/config.htm"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中央扶手</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rPr>
              <w:t>前  / 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后排杯架</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多媒体配置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       手机互联</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支持CarLife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"https://yp.xcar.com.cn/wiki/detail_489.html"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蓝牙/车载电话</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val="en-US" w:eastAsia="zh-CN"/>
              </w:rPr>
            </w:pPr>
            <w:r>
              <w:rPr>
                <w:rFonts w:hint="eastAsia" w:ascii="仿宋" w:hAnsi="仿宋" w:eastAsia="仿宋" w:cs="仿宋"/>
                <w:color w:val="auto"/>
                <w:sz w:val="24"/>
                <w:szCs w:val="24"/>
                <w:u w:val="none"/>
                <w:shd w:val="clear" w:color="auto" w:fill="FFFFFF"/>
                <w:lang w:val="en-US"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"https://yp.xcar.com.cn/wiki/detail_490.html"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中控彩色液晶屏幕</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触控液晶屏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"https://yp.xcar.com.cn/wiki/detail_494.html"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外接音源接口(AUX/USB等)</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USB,AUX,SD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USB接口</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"https://yp.xcar.com.cn/wiki/detail_758.html"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扬声器数量</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8喇叭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玻璃/后视镜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"https://yp.xcar.com.cn/wiki/detail_636.html"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电动车窗</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rPr>
              <w:t xml:space="preserve">前 </w:t>
            </w:r>
            <w:r>
              <w:rPr>
                <w:rFonts w:hint="eastAsia" w:ascii="仿宋" w:hAnsi="仿宋" w:eastAsia="仿宋" w:cs="仿宋"/>
                <w:color w:val="auto"/>
                <w:sz w:val="24"/>
                <w:szCs w:val="24"/>
                <w:u w:val="none"/>
                <w:shd w:val="clear" w:color="auto" w:fill="FFFFFF"/>
                <w:lang w:eastAsia="zh-CN"/>
              </w:rPr>
              <w:t>有</w:t>
            </w:r>
            <w:r>
              <w:rPr>
                <w:rFonts w:hint="eastAsia" w:ascii="仿宋" w:hAnsi="仿宋" w:eastAsia="仿宋" w:cs="仿宋"/>
                <w:color w:val="auto"/>
                <w:sz w:val="24"/>
                <w:szCs w:val="24"/>
                <w:u w:val="none"/>
                <w:shd w:val="clear" w:color="auto" w:fill="FFFFFF"/>
              </w:rPr>
              <w:t xml:space="preserve"> / 后 </w:t>
            </w: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"https://yp.xcar.com.cn/wiki/detail_627.html"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车窗防夹手功能</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车窗一键升降功能</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"https://yp.xcar.com.cn/wiki/detail_628.html"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外后视镜</w:t>
            </w:r>
            <w:r>
              <w:rPr>
                <w:rFonts w:hint="eastAsia" w:ascii="仿宋" w:hAnsi="仿宋" w:eastAsia="仿宋" w:cs="仿宋"/>
                <w:color w:val="auto"/>
                <w:sz w:val="24"/>
                <w:szCs w:val="24"/>
                <w:u w:val="none"/>
              </w:rPr>
              <w:fldChar w:fldCharType="end"/>
            </w:r>
            <w:r>
              <w:rPr>
                <w:rFonts w:hint="eastAsia" w:ascii="仿宋" w:hAnsi="仿宋" w:eastAsia="仿宋" w:cs="仿宋"/>
                <w:color w:val="auto"/>
                <w:sz w:val="24"/>
                <w:szCs w:val="24"/>
                <w:u w:val="none"/>
              </w:rPr>
              <w:t>功能</w:t>
            </w:r>
          </w:p>
        </w:tc>
        <w:tc>
          <w:tcPr>
            <w:tcW w:w="330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电动调节</w:t>
            </w:r>
          </w:p>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电动折叠</w:t>
            </w:r>
          </w:p>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锁车自动折叠</w:t>
            </w:r>
          </w:p>
          <w:p>
            <w:pPr>
              <w:pStyle w:val="20"/>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shd w:val="clear" w:color="auto" w:fill="FFFFFF"/>
                <w:lang w:val="en-US" w:eastAsia="zh-CN"/>
              </w:rPr>
              <w:t xml:space="preserve">     </w:t>
            </w:r>
            <w:r>
              <w:rPr>
                <w:rFonts w:hint="eastAsia" w:ascii="仿宋" w:hAnsi="仿宋" w:eastAsia="仿宋" w:cs="仿宋"/>
                <w:color w:val="auto"/>
                <w:kern w:val="2"/>
                <w:sz w:val="24"/>
                <w:szCs w:val="24"/>
                <w:u w:val="none"/>
                <w:lang w:val="en-US" w:eastAsia="zh-CN" w:bidi="ar-SA"/>
              </w:rPr>
              <w:t>后视镜加热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内后视镜功能</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手动防眩目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"https://yp.xcar.com.cn/wiki/detail_638.html"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遮阳板化妆镜</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"https://yp.xcar.com.cn/wiki/detail_637.html"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雨量感应雨刷</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5" w:type="dxa"/>
            <w:gridSpan w:val="3"/>
            <w:noWrap w:val="0"/>
            <w:vAlign w:val="center"/>
          </w:tcPr>
          <w:p>
            <w:pPr>
              <w:spacing w:line="360" w:lineRule="auto"/>
              <w:ind w:firstLine="482" w:firstLineChars="200"/>
              <w:jc w:val="left"/>
              <w:rPr>
                <w:rFonts w:hint="eastAsia" w:ascii="仿宋" w:hAnsi="仿宋" w:eastAsia="仿宋" w:cs="仿宋"/>
                <w:color w:val="auto"/>
                <w:sz w:val="24"/>
                <w:szCs w:val="24"/>
                <w:u w:val="none"/>
                <w:shd w:val="clear" w:color="auto" w:fill="FFFFFF"/>
              </w:rPr>
            </w:pPr>
            <w:r>
              <w:rPr>
                <w:rFonts w:hint="eastAsia" w:ascii="仿宋" w:hAnsi="仿宋" w:eastAsia="仿宋" w:cs="仿宋"/>
                <w:b/>
                <w:bCs/>
                <w:color w:val="auto"/>
                <w:sz w:val="24"/>
                <w:szCs w:val="24"/>
                <w:u w:val="none"/>
                <w:shd w:val="clear" w:color="auto" w:fill="FFFFFF"/>
              </w:rPr>
              <w:t>空调/冰箱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空调控制方式</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自动空调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温度分区控制</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fldChar w:fldCharType="begin"/>
            </w:r>
            <w:r>
              <w:rPr>
                <w:rFonts w:hint="eastAsia" w:ascii="仿宋" w:hAnsi="仿宋" w:eastAsia="仿宋" w:cs="仿宋"/>
                <w:color w:val="auto"/>
                <w:sz w:val="24"/>
                <w:szCs w:val="24"/>
                <w:u w:val="none"/>
              </w:rPr>
              <w:instrText xml:space="preserve">HYPERLINK "https://yp.xcar.com.cn/wiki/detail_624.html" \t "http://newcar.xcar.com.cn/m37180/_blank"</w:instrText>
            </w:r>
            <w:r>
              <w:rPr>
                <w:rFonts w:hint="eastAsia" w:ascii="仿宋" w:hAnsi="仿宋" w:eastAsia="仿宋" w:cs="仿宋"/>
                <w:color w:val="auto"/>
                <w:sz w:val="24"/>
                <w:szCs w:val="24"/>
                <w:u w:val="none"/>
              </w:rPr>
              <w:fldChar w:fldCharType="separate"/>
            </w:r>
            <w:r>
              <w:rPr>
                <w:rStyle w:val="54"/>
                <w:rFonts w:hint="eastAsia" w:ascii="仿宋" w:hAnsi="仿宋" w:eastAsia="仿宋" w:cs="仿宋"/>
                <w:color w:val="auto"/>
                <w:sz w:val="24"/>
                <w:szCs w:val="24"/>
                <w:u w:val="none"/>
              </w:rPr>
              <w:t>后排出风口</w:t>
            </w:r>
            <w:r>
              <w:rPr>
                <w:rFonts w:hint="eastAsia" w:ascii="仿宋" w:hAnsi="仿宋" w:eastAsia="仿宋" w:cs="仿宋"/>
                <w:color w:val="auto"/>
                <w:sz w:val="24"/>
                <w:szCs w:val="24"/>
                <w:u w:val="none"/>
              </w:rPr>
              <w:fldChar w:fldCharType="end"/>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80"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w:t>
            </w:r>
          </w:p>
        </w:tc>
        <w:tc>
          <w:tcPr>
            <w:tcW w:w="4665" w:type="dxa"/>
            <w:noWrap w:val="0"/>
            <w:vAlign w:val="center"/>
          </w:tcPr>
          <w:p>
            <w:pPr>
              <w:spacing w:line="360" w:lineRule="auto"/>
              <w:jc w:val="center"/>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车内PM2,5过滤装置</w:t>
            </w:r>
          </w:p>
        </w:tc>
        <w:tc>
          <w:tcPr>
            <w:tcW w:w="3300" w:type="dxa"/>
            <w:noWrap w:val="0"/>
            <w:vAlign w:val="center"/>
          </w:tcPr>
          <w:p>
            <w:pPr>
              <w:spacing w:line="360" w:lineRule="auto"/>
              <w:jc w:val="center"/>
              <w:rPr>
                <w:rFonts w:hint="eastAsia" w:ascii="仿宋" w:hAnsi="仿宋" w:eastAsia="仿宋" w:cs="仿宋"/>
                <w:color w:val="auto"/>
                <w:sz w:val="24"/>
                <w:szCs w:val="24"/>
                <w:u w:val="none"/>
                <w:shd w:val="clear" w:color="auto" w:fill="FFFFFF"/>
                <w:lang w:eastAsia="zh-CN"/>
              </w:rPr>
            </w:pPr>
            <w:r>
              <w:rPr>
                <w:rFonts w:hint="eastAsia" w:ascii="仿宋" w:hAnsi="仿宋" w:eastAsia="仿宋" w:cs="仿宋"/>
                <w:color w:val="auto"/>
                <w:sz w:val="24"/>
                <w:szCs w:val="24"/>
                <w:u w:val="none"/>
                <w:shd w:val="clear" w:color="auto" w:fill="FFFFFF"/>
                <w:lang w:eastAsia="zh-CN"/>
              </w:rPr>
              <w:t>有</w:t>
            </w:r>
          </w:p>
        </w:tc>
      </w:tr>
    </w:tbl>
    <w:p>
      <w:pPr>
        <w:rPr>
          <w:rFonts w:hint="eastAsia" w:ascii="仿宋_GB2312" w:hAnsi="仿宋" w:eastAsia="仿宋_GB2312" w:cs="仿宋"/>
          <w:b/>
          <w:bCs/>
          <w:color w:val="auto"/>
          <w:kern w:val="2"/>
          <w:sz w:val="24"/>
          <w:szCs w:val="24"/>
          <w:lang w:val="en-US" w:eastAsia="zh-CN" w:bidi="ar-SA"/>
        </w:rPr>
      </w:pPr>
    </w:p>
    <w:p>
      <w:pPr>
        <w:rPr>
          <w:rFonts w:hint="eastAsia" w:ascii="仿宋_GB2312" w:hAnsi="仿宋" w:eastAsia="仿宋_GB2312" w:cs="仿宋"/>
          <w:b/>
          <w:bCs/>
          <w:color w:val="auto"/>
          <w:kern w:val="2"/>
          <w:sz w:val="24"/>
          <w:szCs w:val="24"/>
          <w:lang w:val="en-US" w:eastAsia="zh-CN" w:bidi="ar-SA"/>
        </w:rPr>
      </w:pPr>
      <w:r>
        <w:rPr>
          <w:rFonts w:hint="eastAsia" w:ascii="仿宋_GB2312" w:hAnsi="仿宋" w:eastAsia="仿宋_GB2312" w:cs="仿宋"/>
          <w:b/>
          <w:bCs/>
          <w:color w:val="auto"/>
          <w:kern w:val="2"/>
          <w:sz w:val="24"/>
          <w:szCs w:val="24"/>
          <w:lang w:val="en-US" w:eastAsia="zh-CN" w:bidi="ar-SA"/>
        </w:rPr>
        <w:t>标项三：</w:t>
      </w:r>
      <w:r>
        <w:rPr>
          <w:rFonts w:hint="default" w:ascii="仿宋_GB2312" w:hAnsi="仿宋" w:eastAsia="仿宋_GB2312" w:cs="仿宋"/>
          <w:b/>
          <w:bCs/>
          <w:color w:val="auto"/>
          <w:kern w:val="2"/>
          <w:sz w:val="24"/>
          <w:szCs w:val="24"/>
          <w:lang w:val="en-US" w:eastAsia="zh-CN" w:bidi="ar-SA"/>
        </w:rPr>
        <w:t>多用途乘用车</w:t>
      </w:r>
    </w:p>
    <w:tbl>
      <w:tblPr>
        <w:tblStyle w:val="47"/>
        <w:tblW w:w="0" w:type="auto"/>
        <w:tblInd w:w="9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6722"/>
        <w:gridCol w:w="1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blHeader/>
        </w:trPr>
        <w:tc>
          <w:tcPr>
            <w:tcW w:w="785"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6722"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招标要求</w:t>
            </w:r>
          </w:p>
        </w:tc>
        <w:tc>
          <w:tcPr>
            <w:tcW w:w="1215" w:type="dxa"/>
            <w:shd w:val="clear" w:color="auto" w:fill="DBEEF3" w:themeFill="accent5" w:themeFillTint="32"/>
            <w:noWrap w:val="0"/>
            <w:vAlign w:val="center"/>
          </w:tcPr>
          <w:p>
            <w:pPr>
              <w:snapToGrid w:val="0"/>
              <w:spacing w:line="400" w:lineRule="exact"/>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一</w:t>
            </w:r>
          </w:p>
        </w:tc>
        <w:tc>
          <w:tcPr>
            <w:tcW w:w="6722" w:type="dxa"/>
            <w:noWrap w:val="0"/>
            <w:vAlign w:val="center"/>
          </w:tcPr>
          <w:p>
            <w:pPr>
              <w:snapToGrid w:val="0"/>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整车性能</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机动车整车性能必须符合国家标准要求以及投标人在投标文件中所明示达到的各项技术指标要求。</w:t>
            </w:r>
            <w:r>
              <w:rPr>
                <w:rFonts w:hint="eastAsia" w:ascii="仿宋" w:hAnsi="仿宋" w:eastAsia="仿宋" w:cs="仿宋"/>
                <w:sz w:val="24"/>
                <w:szCs w:val="24"/>
              </w:rPr>
              <w:tab/>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机动车整车在功能、结构、强度等方面的技术要求均应符合国家现行最新有关标准，以及投标人在投标文件中所明示达到的各项技术指标要求。车型和各大总成通过“3C”认证等相关机构认证资格证明。</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6722" w:type="dxa"/>
            <w:noWrap w:val="0"/>
            <w:vAlign w:val="center"/>
          </w:tcPr>
          <w:p>
            <w:pPr>
              <w:snapToGrid w:val="0"/>
              <w:spacing w:line="400" w:lineRule="exact"/>
              <w:rPr>
                <w:rFonts w:hint="eastAsia" w:ascii="仿宋" w:hAnsi="仿宋" w:eastAsia="仿宋" w:cs="仿宋"/>
                <w:b/>
                <w:bCs/>
                <w:sz w:val="24"/>
                <w:szCs w:val="24"/>
              </w:rPr>
            </w:pPr>
            <w:r>
              <w:rPr>
                <w:rFonts w:hint="eastAsia" w:ascii="仿宋" w:hAnsi="仿宋" w:eastAsia="仿宋" w:cs="仿宋"/>
                <w:sz w:val="24"/>
                <w:szCs w:val="24"/>
              </w:rPr>
              <w:t>机动车整车保温隔热材料、各类内饰部件和电器电线（包括电器接插件）阻燃与环保性能满足国家和行业相关标准要求。</w:t>
            </w:r>
          </w:p>
        </w:tc>
        <w:tc>
          <w:tcPr>
            <w:tcW w:w="1215" w:type="dxa"/>
            <w:noWrap w:val="0"/>
            <w:vAlign w:val="center"/>
          </w:tcPr>
          <w:p>
            <w:pPr>
              <w:snapToGrid w:val="0"/>
              <w:spacing w:line="400" w:lineRule="exact"/>
              <w:rPr>
                <w:rFonts w:hint="eastAsia" w:ascii="仿宋" w:hAnsi="仿宋" w:eastAsia="仿宋" w:cs="仿宋"/>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5" w:type="dxa"/>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6722" w:type="dxa"/>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TW" w:eastAsia="zh-TW"/>
              </w:rPr>
              <w:t>整车尾气排放标准达到国</w:t>
            </w:r>
            <w:r>
              <w:rPr>
                <w:rFonts w:hint="eastAsia" w:ascii="仿宋" w:hAnsi="仿宋" w:eastAsia="仿宋" w:cs="仿宋"/>
                <w:color w:val="auto"/>
                <w:sz w:val="24"/>
                <w:szCs w:val="24"/>
              </w:rPr>
              <w:t>VI</w:t>
            </w:r>
            <w:r>
              <w:rPr>
                <w:rFonts w:hint="eastAsia" w:ascii="仿宋" w:hAnsi="仿宋" w:eastAsia="仿宋" w:cs="仿宋"/>
                <w:color w:val="auto"/>
                <w:sz w:val="24"/>
                <w:szCs w:val="24"/>
                <w:lang w:val="en-US" w:eastAsia="zh-CN"/>
              </w:rPr>
              <w:t>B</w:t>
            </w:r>
            <w:r>
              <w:rPr>
                <w:rFonts w:hint="eastAsia" w:ascii="仿宋" w:hAnsi="仿宋" w:eastAsia="仿宋" w:cs="仿宋"/>
                <w:color w:val="auto"/>
                <w:sz w:val="24"/>
                <w:szCs w:val="24"/>
              </w:rPr>
              <w:t>。</w:t>
            </w:r>
          </w:p>
        </w:tc>
        <w:tc>
          <w:tcPr>
            <w:tcW w:w="1215" w:type="dxa"/>
            <w:noWrap w:val="0"/>
            <w:vAlign w:val="center"/>
          </w:tcPr>
          <w:p>
            <w:pPr>
              <w:snapToGrid w:val="0"/>
              <w:spacing w:line="400" w:lineRule="exact"/>
              <w:rPr>
                <w:rFonts w:hint="eastAsia" w:ascii="仿宋" w:hAnsi="仿宋" w:eastAsia="仿宋" w:cs="仿宋"/>
                <w:b/>
                <w:bCs/>
                <w:sz w:val="24"/>
                <w:szCs w:val="24"/>
              </w:rPr>
            </w:pPr>
          </w:p>
        </w:tc>
      </w:tr>
    </w:tbl>
    <w:p>
      <w:pPr>
        <w:rPr>
          <w:rFonts w:hint="eastAsia" w:ascii="仿宋_GB2312" w:hAnsi="宋体"/>
          <w:b/>
          <w:bCs/>
          <w:color w:val="auto"/>
          <w:sz w:val="24"/>
        </w:rPr>
      </w:pPr>
    </w:p>
    <w:tbl>
      <w:tblPr>
        <w:tblStyle w:val="47"/>
        <w:tblW w:w="8715" w:type="dxa"/>
        <w:tblInd w:w="1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5"/>
        <w:gridCol w:w="3415"/>
        <w:gridCol w:w="4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765" w:type="dxa"/>
            <w:tcBorders>
              <w:top w:val="single" w:color="auto" w:sz="4" w:space="0"/>
              <w:left w:val="single" w:color="auto" w:sz="4" w:space="0"/>
              <w:bottom w:val="single" w:color="auto" w:sz="4" w:space="0"/>
              <w:right w:val="single" w:color="auto" w:sz="4" w:space="0"/>
            </w:tcBorders>
            <w:shd w:val="clear" w:color="auto" w:fill="DBEEF3" w:themeFill="accent5" w:themeFillTint="32"/>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3415" w:type="dxa"/>
            <w:tcBorders>
              <w:top w:val="single" w:color="auto" w:sz="4" w:space="0"/>
              <w:left w:val="single" w:color="auto" w:sz="4" w:space="0"/>
              <w:bottom w:val="single" w:color="auto" w:sz="4" w:space="0"/>
              <w:right w:val="single" w:color="auto" w:sz="4" w:space="0"/>
            </w:tcBorders>
            <w:shd w:val="clear" w:color="auto" w:fill="DBEEF3" w:themeFill="accent5" w:themeFillTint="32"/>
            <w:noWrap/>
            <w:vAlign w:val="center"/>
          </w:tcPr>
          <w:p>
            <w:pPr>
              <w:spacing w:line="360" w:lineRule="auto"/>
              <w:jc w:val="center"/>
              <w:rPr>
                <w:rFonts w:hint="eastAsia" w:ascii="仿宋" w:hAnsi="仿宋" w:eastAsia="仿宋" w:cs="仿宋"/>
                <w:i w:val="0"/>
                <w:iCs w:val="0"/>
                <w:color w:val="000000"/>
                <w:sz w:val="24"/>
                <w:szCs w:val="24"/>
                <w:u w:val="none"/>
              </w:rPr>
            </w:pPr>
            <w:r>
              <w:rPr>
                <w:rFonts w:hint="eastAsia" w:ascii="仿宋" w:hAnsi="仿宋" w:eastAsia="仿宋" w:cs="仿宋"/>
                <w:b/>
                <w:bCs/>
                <w:color w:val="auto"/>
                <w:sz w:val="24"/>
                <w:szCs w:val="24"/>
                <w:u w:val="none"/>
              </w:rPr>
              <w:t>配置项</w:t>
            </w:r>
          </w:p>
        </w:tc>
        <w:tc>
          <w:tcPr>
            <w:tcW w:w="4535" w:type="dxa"/>
            <w:tcBorders>
              <w:top w:val="single" w:color="auto" w:sz="4" w:space="0"/>
              <w:left w:val="single" w:color="auto" w:sz="4" w:space="0"/>
              <w:bottom w:val="single" w:color="auto" w:sz="4" w:space="0"/>
              <w:right w:val="single" w:color="auto" w:sz="4" w:space="0"/>
            </w:tcBorders>
            <w:shd w:val="clear" w:color="auto" w:fill="DBEEF3" w:themeFill="accent5" w:themeFillTint="32"/>
            <w:noWrap/>
            <w:vAlign w:val="center"/>
          </w:tcPr>
          <w:p>
            <w:pPr>
              <w:spacing w:line="360" w:lineRule="auto"/>
              <w:jc w:val="center"/>
              <w:rPr>
                <w:rFonts w:hint="eastAsia" w:ascii="仿宋" w:hAnsi="仿宋" w:eastAsia="仿宋" w:cs="仿宋"/>
                <w:i w:val="0"/>
                <w:iCs w:val="0"/>
                <w:color w:val="000000"/>
                <w:sz w:val="24"/>
                <w:szCs w:val="24"/>
                <w:u w:val="none"/>
              </w:rPr>
            </w:pPr>
            <w:r>
              <w:rPr>
                <w:rFonts w:hint="eastAsia" w:ascii="仿宋" w:hAnsi="仿宋" w:eastAsia="仿宋" w:cs="仿宋"/>
                <w:b/>
                <w:bCs/>
                <w:color w:val="auto"/>
                <w:sz w:val="24"/>
                <w:szCs w:val="24"/>
                <w:u w:val="none"/>
              </w:rPr>
              <w:t>配   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8715" w:type="dxa"/>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基本参数要求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41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车辆类型</w:t>
            </w:r>
          </w:p>
        </w:tc>
        <w:tc>
          <w:tcPr>
            <w:tcW w:w="453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多用途乘用车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品牌</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国产自主品牌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燃油种类</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汽油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★排放标准</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国Ⅵb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★排量（ml）</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★发动机最大功率（kW）</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★发动机最大扭矩（N•m）</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变速箱类型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7DCT（七速湿式双离合变速箱）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座位数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★车辆颜色</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驱动方式</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前置后驱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7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整车外形、配置要求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★车身总长（mm）</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★车身总宽（mm）</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★车身总高（mm）</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★轴距（mm）</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▲转向系统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DP-EPS电动助力转向系统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空调</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制定形式</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前通风盘式/后盘式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轮胎规格</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highlight w:val="none"/>
                <w:u w:val="none"/>
                <w:lang w:val="en-US" w:eastAsia="zh-CN" w:bidi="ar"/>
              </w:rPr>
              <w:t>235/55R19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ACC自适应巡航辅助</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ICC智能巡航辅助</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LKA车道保持辅助</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ELKA紧急车道保持辅助</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ABS+EBD</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车身稳定系统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BA制动辅助系统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TCS牵引力控制系统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HAC上坡辅助、HDC陡坡缓降</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CBC弯道制动控制系统 </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RMI主动防侧翻功能</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EPB电子驻车系统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AEB城市预碰撞系统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AEB城市预碰撞系统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前泊车雷达</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后泊车雷达</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高清全景影像</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安全配置</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前排双安全气囊、前排侧面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双安全气囊、前/后排一体式双侧安全气帘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3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原厂整车质保期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4年或10万公里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3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其他要求</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制式警车标准交付</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（包含喷涂、标识，警灯警报器，）</w:t>
            </w:r>
          </w:p>
        </w:tc>
      </w:tr>
    </w:tbl>
    <w:p>
      <w:pPr>
        <w:pStyle w:val="20"/>
        <w:rPr>
          <w:rFonts w:hint="eastAsia" w:ascii="仿宋_GB2312" w:hAnsi="宋体"/>
          <w:b/>
          <w:bCs/>
          <w:color w:val="auto"/>
          <w:sz w:val="24"/>
        </w:rPr>
      </w:pPr>
      <w:r>
        <w:rPr>
          <w:rFonts w:hint="eastAsia" w:ascii="仿宋_GB2312" w:hAnsi="仿宋" w:eastAsia="仿宋_GB2312" w:cs="Times New Roman"/>
          <w:b/>
          <w:color w:val="auto"/>
          <w:kern w:val="2"/>
          <w:sz w:val="24"/>
          <w:szCs w:val="24"/>
          <w:lang w:val="en-US" w:eastAsia="zh-CN" w:bidi="ar-SA"/>
        </w:rPr>
        <w:t>9.商务要求</w:t>
      </w:r>
      <w:r>
        <w:rPr>
          <w:rFonts w:hint="eastAsia" w:ascii="仿宋_GB2312" w:hAnsi="仿宋" w:cs="Times New Roman"/>
          <w:b/>
          <w:color w:val="auto"/>
          <w:kern w:val="2"/>
          <w:sz w:val="24"/>
          <w:szCs w:val="24"/>
          <w:lang w:val="en-US" w:eastAsia="zh-CN" w:bidi="ar-SA"/>
        </w:rPr>
        <w:t>（标项一至标项三）</w:t>
      </w:r>
    </w:p>
    <w:tbl>
      <w:tblPr>
        <w:tblStyle w:val="47"/>
        <w:tblW w:w="8706" w:type="dxa"/>
        <w:tblInd w:w="130" w:type="dxa"/>
        <w:tblLayout w:type="fixed"/>
        <w:tblCellMar>
          <w:top w:w="0" w:type="dxa"/>
          <w:left w:w="108" w:type="dxa"/>
          <w:bottom w:w="0" w:type="dxa"/>
          <w:right w:w="108" w:type="dxa"/>
        </w:tblCellMar>
      </w:tblPr>
      <w:tblGrid>
        <w:gridCol w:w="731"/>
        <w:gridCol w:w="1465"/>
        <w:gridCol w:w="6510"/>
      </w:tblGrid>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spacing w:line="400" w:lineRule="exact"/>
              <w:jc w:val="center"/>
              <w:rPr>
                <w:rFonts w:hint="eastAsia" w:ascii="仿宋" w:hAnsi="仿宋" w:eastAsia="仿宋" w:cs="仿宋"/>
                <w:b/>
                <w:bCs/>
                <w:kern w:val="1"/>
                <w:sz w:val="24"/>
                <w:szCs w:val="24"/>
                <w:lang w:val="en-US" w:eastAsia="zh-CN"/>
              </w:rPr>
            </w:pPr>
            <w:r>
              <w:rPr>
                <w:rFonts w:hint="eastAsia" w:ascii="仿宋" w:hAnsi="仿宋" w:eastAsia="仿宋" w:cs="仿宋"/>
                <w:b/>
                <w:bCs/>
                <w:kern w:val="1"/>
                <w:sz w:val="24"/>
                <w:szCs w:val="24"/>
                <w:lang w:val="en-US" w:eastAsia="zh-CN"/>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spacing w:line="400" w:lineRule="exact"/>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内容</w:t>
            </w:r>
          </w:p>
        </w:tc>
        <w:tc>
          <w:tcPr>
            <w:tcW w:w="6510"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spacing w:line="400" w:lineRule="exact"/>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要求</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仿宋" w:hAnsi="仿宋" w:eastAsia="仿宋" w:cs="仿宋"/>
                <w:kern w:val="1"/>
                <w:sz w:val="24"/>
                <w:szCs w:val="24"/>
                <w:lang w:val="en-US" w:eastAsia="zh-CN" w:bidi="ar-SA"/>
              </w:rPr>
            </w:pPr>
            <w:r>
              <w:rPr>
                <w:rFonts w:hint="eastAsia" w:ascii="仿宋" w:hAnsi="仿宋" w:eastAsia="仿宋" w:cs="仿宋"/>
                <w:kern w:val="1"/>
                <w:sz w:val="24"/>
                <w:szCs w:val="24"/>
                <w:lang w:val="en-US" w:eastAsia="zh-CN"/>
              </w:rPr>
              <w:t>1</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仿宋" w:hAnsi="仿宋" w:eastAsia="仿宋" w:cs="仿宋"/>
                <w:kern w:val="1"/>
                <w:sz w:val="24"/>
                <w:szCs w:val="24"/>
                <w:lang w:val="en-US" w:eastAsia="zh-CN" w:bidi="ar-SA"/>
              </w:rPr>
            </w:pPr>
            <w:r>
              <w:rPr>
                <w:rFonts w:hint="eastAsia" w:ascii="仿宋" w:hAnsi="仿宋" w:eastAsia="仿宋" w:cs="仿宋"/>
                <w:sz w:val="24"/>
                <w:szCs w:val="24"/>
              </w:rPr>
              <w:t>交货时间及地点</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合同签订后60日历天内车辆至招标人指定的地点并验收合格。</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仿宋" w:hAnsi="仿宋" w:eastAsia="仿宋" w:cs="仿宋"/>
                <w:kern w:val="1"/>
                <w:sz w:val="24"/>
                <w:szCs w:val="24"/>
                <w:lang w:val="en-US" w:eastAsia="zh-CN" w:bidi="ar-SA"/>
              </w:rPr>
            </w:pPr>
            <w:r>
              <w:rPr>
                <w:rFonts w:hint="eastAsia" w:ascii="仿宋" w:hAnsi="仿宋" w:eastAsia="仿宋" w:cs="仿宋"/>
                <w:kern w:val="1"/>
                <w:sz w:val="24"/>
                <w:szCs w:val="24"/>
                <w:lang w:val="en-US" w:eastAsia="zh-CN"/>
              </w:rPr>
              <w:t>2</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仿宋" w:hAnsi="仿宋" w:eastAsia="仿宋" w:cs="仿宋"/>
                <w:kern w:val="1"/>
                <w:sz w:val="24"/>
                <w:szCs w:val="24"/>
                <w:lang w:val="en-US" w:eastAsia="zh-CN" w:bidi="ar-SA"/>
              </w:rPr>
            </w:pPr>
            <w:r>
              <w:rPr>
                <w:rFonts w:hint="eastAsia" w:ascii="仿宋" w:hAnsi="仿宋" w:eastAsia="仿宋" w:cs="仿宋"/>
                <w:sz w:val="24"/>
                <w:szCs w:val="24"/>
              </w:rPr>
              <w:t>付款条件</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tabs>
                <w:tab w:val="left" w:pos="1980"/>
              </w:tabs>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车辆验收合格后、车辆上牌且各种手续办理完毕后10个工作日内付清全款。</w:t>
            </w:r>
          </w:p>
          <w:p>
            <w:pPr>
              <w:snapToGrid w:val="0"/>
              <w:spacing w:line="40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注：付款前，乙方必须开具等额的正规税务发票给甲方。</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3</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28" w:firstLineChars="0"/>
              <w:jc w:val="center"/>
              <w:rPr>
                <w:rFonts w:hint="eastAsia" w:ascii="仿宋" w:hAnsi="仿宋" w:eastAsia="仿宋" w:cs="仿宋"/>
                <w:kern w:val="1"/>
                <w:sz w:val="24"/>
                <w:szCs w:val="24"/>
                <w:lang w:val="en-US" w:eastAsia="zh-CN"/>
              </w:rPr>
            </w:pPr>
            <w:r>
              <w:rPr>
                <w:rFonts w:hint="eastAsia" w:ascii="仿宋" w:hAnsi="仿宋" w:eastAsia="仿宋" w:cs="仿宋"/>
                <w:b/>
                <w:sz w:val="24"/>
                <w:szCs w:val="24"/>
              </w:rPr>
              <w:t>★投标报价</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rPr>
                <w:rFonts w:hint="eastAsia" w:ascii="仿宋" w:hAnsi="仿宋" w:eastAsia="仿宋" w:cs="仿宋"/>
                <w:sz w:val="24"/>
                <w:szCs w:val="24"/>
              </w:rPr>
            </w:pPr>
            <w:r>
              <w:rPr>
                <w:rFonts w:hint="eastAsia" w:ascii="仿宋" w:hAnsi="仿宋" w:eastAsia="仿宋" w:cs="仿宋"/>
                <w:sz w:val="24"/>
                <w:szCs w:val="24"/>
              </w:rPr>
              <w:t>投标货币：人民币。</w:t>
            </w:r>
          </w:p>
          <w:p>
            <w:pPr>
              <w:snapToGrid w:val="0"/>
              <w:spacing w:line="400" w:lineRule="exact"/>
              <w:rPr>
                <w:rFonts w:hint="eastAsia" w:ascii="仿宋" w:hAnsi="仿宋" w:eastAsia="仿宋" w:cs="仿宋"/>
                <w:color w:val="auto"/>
                <w:kern w:val="1"/>
                <w:sz w:val="24"/>
                <w:szCs w:val="24"/>
                <w:lang w:val="en-US" w:eastAsia="zh-CN"/>
              </w:rPr>
            </w:pPr>
            <w:r>
              <w:rPr>
                <w:rFonts w:hint="eastAsia" w:ascii="仿宋" w:hAnsi="仿宋" w:eastAsia="仿宋" w:cs="仿宋"/>
                <w:sz w:val="24"/>
                <w:szCs w:val="24"/>
              </w:rPr>
              <w:t>投标报价：交钥匙价包括车辆及随车工具（配件）费用、运输、调试、检验、验收通过</w:t>
            </w:r>
            <w:r>
              <w:rPr>
                <w:rFonts w:hint="eastAsia" w:ascii="仿宋" w:hAnsi="仿宋" w:eastAsia="仿宋" w:cs="仿宋"/>
                <w:sz w:val="24"/>
                <w:szCs w:val="24"/>
                <w:lang w:eastAsia="zh-CN"/>
              </w:rPr>
              <w:t>、车辆上牌费、车辆改装费</w:t>
            </w:r>
            <w:r>
              <w:rPr>
                <w:rFonts w:hint="eastAsia" w:ascii="仿宋" w:hAnsi="仿宋" w:eastAsia="仿宋" w:cs="仿宋"/>
                <w:sz w:val="24"/>
                <w:szCs w:val="24"/>
              </w:rPr>
              <w:t>等，以及安全保护、产品保护、技术资料、质量保证期服务费等所发生的一切费用。</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4</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28" w:firstLineChars="0"/>
              <w:jc w:val="center"/>
              <w:rPr>
                <w:rFonts w:hint="eastAsia" w:ascii="仿宋" w:hAnsi="仿宋" w:eastAsia="仿宋" w:cs="仿宋"/>
                <w:color w:val="000000"/>
                <w:sz w:val="24"/>
                <w:szCs w:val="24"/>
                <w:lang w:val="en-US" w:eastAsia="zh-CN"/>
              </w:rPr>
            </w:pPr>
            <w:r>
              <w:rPr>
                <w:rFonts w:hint="eastAsia" w:ascii="仿宋" w:hAnsi="仿宋" w:eastAsia="仿宋" w:cs="仿宋"/>
                <w:sz w:val="24"/>
                <w:szCs w:val="24"/>
              </w:rPr>
              <w:t>质量标准</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车辆及随车工具（配件）及相关文件齐全，运行平稳、控制灵活、无异常噪音、无漏油。</w:t>
            </w:r>
          </w:p>
          <w:p>
            <w:pPr>
              <w:numPr>
                <w:ilvl w:val="0"/>
                <w:numId w:val="0"/>
              </w:numPr>
              <w:snapToGrid w:val="0"/>
              <w:spacing w:line="400" w:lineRule="exac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中标人应在派有关技术人员参与现场验收。</w:t>
            </w:r>
          </w:p>
          <w:p>
            <w:pPr>
              <w:numPr>
                <w:ilvl w:val="0"/>
                <w:numId w:val="0"/>
              </w:numPr>
              <w:snapToGrid w:val="0"/>
              <w:spacing w:line="400" w:lineRule="exac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车辆在现场验收合格后，应按照国家规定的质量保证期进行质保。</w:t>
            </w:r>
          </w:p>
          <w:p>
            <w:pPr>
              <w:numPr>
                <w:ilvl w:val="0"/>
                <w:numId w:val="0"/>
              </w:numPr>
              <w:snapToGrid w:val="0"/>
              <w:spacing w:line="400" w:lineRule="exact"/>
              <w:rPr>
                <w:rFonts w:hint="eastAsia" w:ascii="仿宋" w:hAnsi="仿宋" w:eastAsia="仿宋" w:cs="仿宋"/>
                <w:color w:val="auto"/>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中标人应向买方提供一套完整的车辆资料（包括：购车发票、车辆合格证、三包服务卡、车辆使用说明书等）。</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5</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center"/>
              <w:rPr>
                <w:rFonts w:hint="eastAsia" w:ascii="仿宋" w:hAnsi="仿宋" w:eastAsia="仿宋" w:cs="仿宋"/>
                <w:kern w:val="1"/>
                <w:sz w:val="24"/>
                <w:szCs w:val="24"/>
                <w:lang w:val="en-US" w:eastAsia="zh-CN"/>
              </w:rPr>
            </w:pPr>
            <w:r>
              <w:rPr>
                <w:rFonts w:hint="eastAsia" w:ascii="仿宋" w:hAnsi="仿宋" w:eastAsia="仿宋" w:cs="仿宋"/>
                <w:sz w:val="24"/>
                <w:szCs w:val="24"/>
              </w:rPr>
              <w:t>验收</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 w:hAnsi="仿宋" w:eastAsia="仿宋" w:cs="仿宋"/>
                <w:color w:val="auto"/>
                <w:kern w:val="1"/>
                <w:sz w:val="24"/>
                <w:szCs w:val="24"/>
                <w:lang w:val="en-US" w:eastAsia="zh-CN"/>
              </w:rPr>
            </w:pPr>
            <w:r>
              <w:rPr>
                <w:rFonts w:hint="eastAsia" w:ascii="仿宋" w:hAnsi="仿宋" w:eastAsia="仿宋" w:cs="仿宋"/>
                <w:sz w:val="24"/>
                <w:szCs w:val="24"/>
              </w:rPr>
              <w:t>双方在车辆到达招标人指定地点后按照国家标准进行验收。</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6</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ind w:firstLine="28" w:firstLineChars="0"/>
              <w:jc w:val="center"/>
              <w:rPr>
                <w:rFonts w:hint="eastAsia" w:ascii="仿宋" w:hAnsi="仿宋" w:eastAsia="仿宋" w:cs="仿宋"/>
                <w:kern w:val="1"/>
                <w:sz w:val="24"/>
                <w:szCs w:val="24"/>
                <w:lang w:val="en-US" w:eastAsia="zh-CN"/>
              </w:rPr>
            </w:pPr>
            <w:r>
              <w:rPr>
                <w:rFonts w:hint="eastAsia" w:ascii="仿宋" w:hAnsi="仿宋" w:eastAsia="仿宋" w:cs="仿宋"/>
                <w:sz w:val="24"/>
                <w:szCs w:val="24"/>
              </w:rPr>
              <w:t>售中、售后服务</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投标人应无条件配合招标人工作，直至车辆上牌完成。</w:t>
            </w:r>
          </w:p>
          <w:p>
            <w:pPr>
              <w:numPr>
                <w:ilvl w:val="0"/>
                <w:numId w:val="0"/>
              </w:numPr>
              <w:snapToGrid w:val="0"/>
              <w:spacing w:line="400" w:lineRule="exac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若招标人指定地点为中标人处，中标人应为车辆交接作出所有必要的安排。</w:t>
            </w:r>
          </w:p>
          <w:p>
            <w:pPr>
              <w:numPr>
                <w:ilvl w:val="0"/>
                <w:numId w:val="0"/>
              </w:numPr>
              <w:snapToGrid w:val="0"/>
              <w:spacing w:line="400" w:lineRule="exac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中标人对出厂产品实行终身维修服务，验收合格后质保期内车辆出现产品质量问题，均由中标人负责免费解决；在质保期内，中标人对车辆进行定期的维修和保养。保养维修地点由采购人指定。</w:t>
            </w:r>
          </w:p>
          <w:p>
            <w:pPr>
              <w:numPr>
                <w:ilvl w:val="0"/>
                <w:numId w:val="0"/>
              </w:numPr>
              <w:snapToGrid w:val="0"/>
              <w:spacing w:line="400" w:lineRule="exact"/>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质保期内，车辆出现故障时，中标人接到买方通知后2小时内给予明确答复，并给予解决。</w:t>
            </w:r>
          </w:p>
          <w:p>
            <w:pPr>
              <w:numPr>
                <w:ilvl w:val="0"/>
                <w:numId w:val="0"/>
              </w:numPr>
              <w:snapToGrid w:val="0"/>
              <w:spacing w:line="400" w:lineRule="exact"/>
              <w:rPr>
                <w:rFonts w:hint="eastAsia" w:ascii="仿宋" w:hAnsi="仿宋" w:eastAsia="仿宋" w:cs="仿宋"/>
                <w:color w:val="auto"/>
                <w:kern w:val="1"/>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中标人人员对买方车辆驾驶人员，在现场进行车辆操作培训及指导简单的维护和故障处理。</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7</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随车需</w:t>
            </w:r>
            <w:r>
              <w:rPr>
                <w:rFonts w:hint="eastAsia" w:ascii="仿宋" w:hAnsi="仿宋" w:eastAsia="仿宋" w:cs="仿宋"/>
                <w:sz w:val="24"/>
                <w:szCs w:val="24"/>
                <w:lang w:eastAsia="zh-CN"/>
              </w:rPr>
              <w:t>含</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rPr>
              <w:t>全车膜、</w:t>
            </w:r>
            <w:r>
              <w:rPr>
                <w:rFonts w:hint="eastAsia" w:ascii="仿宋" w:hAnsi="仿宋" w:eastAsia="仿宋" w:cs="仿宋"/>
                <w:sz w:val="24"/>
                <w:szCs w:val="24"/>
                <w:lang w:val="en-US" w:eastAsia="zh-CN"/>
              </w:rPr>
              <w:t>原车脚垫</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8</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质保期</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rPr>
                <w:rFonts w:hint="eastAsia" w:ascii="仿宋" w:hAnsi="仿宋" w:eastAsia="仿宋" w:cs="仿宋"/>
                <w:sz w:val="24"/>
                <w:szCs w:val="24"/>
                <w:lang w:val="en-US" w:eastAsia="zh-CN"/>
              </w:rPr>
            </w:pPr>
            <w:r>
              <w:rPr>
                <w:rFonts w:hint="eastAsia" w:ascii="仿宋" w:hAnsi="仿宋" w:eastAsia="仿宋" w:cs="仿宋"/>
                <w:sz w:val="24"/>
                <w:szCs w:val="24"/>
              </w:rPr>
              <w:t>按照国家“三包”政策执行。</w:t>
            </w:r>
          </w:p>
        </w:tc>
      </w:tr>
      <w:tr>
        <w:tblPrEx>
          <w:tblCellMar>
            <w:top w:w="0" w:type="dxa"/>
            <w:left w:w="108" w:type="dxa"/>
            <w:bottom w:w="0" w:type="dxa"/>
            <w:right w:w="108" w:type="dxa"/>
          </w:tblCellMar>
        </w:tblPrEx>
        <w:trPr>
          <w:trHeight w:val="624" w:hRule="atLeast"/>
        </w:trPr>
        <w:tc>
          <w:tcPr>
            <w:tcW w:w="731" w:type="dxa"/>
            <w:vMerge w:val="restart"/>
            <w:tcBorders>
              <w:top w:val="single" w:color="000000" w:sz="4" w:space="0"/>
              <w:left w:val="single" w:color="000000" w:sz="4" w:space="0"/>
              <w:right w:val="single" w:color="000000" w:sz="4" w:space="0"/>
            </w:tcBorders>
            <w:noWrap w:val="0"/>
            <w:vAlign w:val="center"/>
          </w:tcPr>
          <w:p>
            <w:pPr>
              <w:spacing w:line="400" w:lineRule="exact"/>
              <w:jc w:val="center"/>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9</w:t>
            </w:r>
          </w:p>
        </w:tc>
        <w:tc>
          <w:tcPr>
            <w:tcW w:w="1465" w:type="dxa"/>
            <w:vMerge w:val="restart"/>
            <w:tcBorders>
              <w:top w:val="single" w:color="000000" w:sz="4" w:space="0"/>
              <w:left w:val="single" w:color="000000" w:sz="4" w:space="0"/>
              <w:right w:val="single" w:color="000000" w:sz="4" w:space="0"/>
            </w:tcBorders>
            <w:noWrap w:val="0"/>
            <w:vAlign w:val="center"/>
          </w:tcPr>
          <w:p>
            <w:pPr>
              <w:numPr>
                <w:ilvl w:val="0"/>
                <w:numId w:val="0"/>
              </w:numPr>
              <w:snapToGrid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中标供应商应提供车辆上牌所需的一切票证资料，</w:t>
            </w:r>
            <w:r>
              <w:rPr>
                <w:rFonts w:hint="eastAsia" w:ascii="仿宋" w:hAnsi="仿宋" w:eastAsia="仿宋" w:cs="仿宋"/>
                <w:color w:val="auto"/>
                <w:sz w:val="24"/>
                <w:szCs w:val="24"/>
                <w:lang w:val="en-US" w:eastAsia="zh-CN"/>
              </w:rPr>
              <w:t>并按制式警车标准交付（包含喷涂、标识，警灯警报器）</w:t>
            </w:r>
            <w:r>
              <w:rPr>
                <w:rFonts w:hint="eastAsia" w:ascii="仿宋" w:hAnsi="仿宋" w:eastAsia="仿宋" w:cs="仿宋"/>
                <w:color w:val="auto"/>
                <w:sz w:val="24"/>
                <w:szCs w:val="24"/>
              </w:rPr>
              <w:t>，除车辆购置税、保险费由采购单位承担外，其他费用均由中标供应商承担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含根据实际采购单位需求适当进行改装服务）</w:t>
            </w:r>
            <w:r>
              <w:rPr>
                <w:rFonts w:hint="eastAsia" w:ascii="仿宋" w:hAnsi="仿宋" w:eastAsia="仿宋" w:cs="仿宋"/>
                <w:color w:val="auto"/>
                <w:sz w:val="24"/>
                <w:szCs w:val="24"/>
              </w:rPr>
              <w:t>。</w:t>
            </w:r>
          </w:p>
        </w:tc>
      </w:tr>
      <w:tr>
        <w:tblPrEx>
          <w:tblCellMar>
            <w:top w:w="0" w:type="dxa"/>
            <w:left w:w="108" w:type="dxa"/>
            <w:bottom w:w="0" w:type="dxa"/>
            <w:right w:w="108" w:type="dxa"/>
          </w:tblCellMar>
        </w:tblPrEx>
        <w:trPr>
          <w:trHeight w:val="624" w:hRule="atLeast"/>
        </w:trPr>
        <w:tc>
          <w:tcPr>
            <w:tcW w:w="731" w:type="dxa"/>
            <w:vMerge w:val="continue"/>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仿宋" w:hAnsi="仿宋" w:eastAsia="仿宋" w:cs="仿宋"/>
                <w:kern w:val="1"/>
                <w:sz w:val="24"/>
                <w:szCs w:val="24"/>
                <w:lang w:val="en-US" w:eastAsia="zh-CN"/>
              </w:rPr>
            </w:pPr>
          </w:p>
        </w:tc>
        <w:tc>
          <w:tcPr>
            <w:tcW w:w="1465" w:type="dxa"/>
            <w:vMerge w:val="continue"/>
            <w:tcBorders>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jc w:val="center"/>
              <w:rPr>
                <w:rFonts w:hint="eastAsia" w:ascii="仿宋" w:hAnsi="仿宋" w:eastAsia="仿宋" w:cs="仿宋"/>
                <w:sz w:val="24"/>
                <w:szCs w:val="24"/>
                <w:lang w:val="en-US" w:eastAsia="zh-CN"/>
              </w:rPr>
            </w:pP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napToGrid w:val="0"/>
              <w:spacing w:line="400" w:lineRule="exact"/>
              <w:rPr>
                <w:rFonts w:hint="eastAsia" w:ascii="仿宋" w:hAnsi="仿宋" w:eastAsia="仿宋" w:cs="仿宋"/>
                <w:color w:val="auto"/>
                <w:sz w:val="24"/>
                <w:szCs w:val="24"/>
              </w:rPr>
            </w:pPr>
            <w:r>
              <w:rPr>
                <w:rFonts w:hint="eastAsia" w:ascii="仿宋_GB2312" w:hAnsi="新宋体" w:eastAsia="仿宋_GB2312"/>
                <w:color w:val="auto"/>
                <w:sz w:val="24"/>
                <w:szCs w:val="24"/>
                <w:lang w:eastAsia="zh-CN"/>
              </w:rPr>
              <w:t>本次由</w:t>
            </w:r>
            <w:r>
              <w:rPr>
                <w:rFonts w:hint="eastAsia" w:ascii="仿宋_GB2312" w:hAnsi="新宋体" w:eastAsia="仿宋_GB2312"/>
                <w:color w:val="auto"/>
                <w:sz w:val="24"/>
                <w:szCs w:val="24"/>
              </w:rPr>
              <w:t>嵊州市</w:t>
            </w:r>
            <w:r>
              <w:rPr>
                <w:rFonts w:hint="eastAsia" w:ascii="仿宋_GB2312" w:hAnsi="新宋体" w:eastAsia="仿宋_GB2312"/>
                <w:color w:val="auto"/>
                <w:sz w:val="24"/>
                <w:szCs w:val="24"/>
                <w:lang w:eastAsia="zh-CN"/>
              </w:rPr>
              <w:t>公安局（本级）和嵊州市公安局交通警察大队联合采购，中标供应商分别与各采购单位签订合同，由各采购单位自行组织验收，同款车型报价需一致。</w:t>
            </w:r>
          </w:p>
        </w:tc>
      </w:tr>
    </w:tbl>
    <w:p>
      <w:pPr>
        <w:ind w:firstLine="472" w:firstLineChars="196"/>
        <w:rPr>
          <w:rFonts w:hint="eastAsia" w:ascii="仿宋_GB2312" w:hAnsi="宋体"/>
          <w:b/>
          <w:bCs/>
          <w:color w:val="auto"/>
          <w:sz w:val="24"/>
        </w:rPr>
      </w:pPr>
    </w:p>
    <w:p>
      <w:pPr>
        <w:ind w:firstLine="472" w:firstLineChars="196"/>
        <w:rPr>
          <w:rFonts w:hint="eastAsia" w:ascii="仿宋_GB2312" w:hAnsi="宋体"/>
          <w:b/>
          <w:bCs/>
          <w:color w:val="auto"/>
          <w:sz w:val="24"/>
        </w:rPr>
      </w:pPr>
    </w:p>
    <w:bookmarkEnd w:id="8"/>
    <w:bookmarkEnd w:id="13"/>
    <w:p>
      <w:pPr>
        <w:pStyle w:val="4"/>
        <w:pageBreakBefore/>
        <w:spacing w:line="800" w:lineRule="exact"/>
        <w:jc w:val="center"/>
        <w:rPr>
          <w:rFonts w:ascii="仿宋_GB2312" w:hAnsi="宋体" w:eastAsia="仿宋_GB2312"/>
          <w:color w:val="auto"/>
          <w:sz w:val="24"/>
        </w:rPr>
      </w:pPr>
      <w:r>
        <w:rPr>
          <w:rFonts w:hint="eastAsia" w:ascii="仿宋_GB2312" w:hAnsi="宋体" w:eastAsia="仿宋_GB2312"/>
          <w:b/>
          <w:color w:val="auto"/>
          <w:sz w:val="36"/>
          <w:szCs w:val="36"/>
        </w:rPr>
        <w:t>第四部分 合同主要条款</w:t>
      </w:r>
    </w:p>
    <w:p>
      <w:pPr>
        <w:spacing w:line="380" w:lineRule="exact"/>
        <w:ind w:firstLine="480" w:firstLineChars="200"/>
        <w:jc w:val="left"/>
        <w:rPr>
          <w:rFonts w:ascii="仿宋_GB2312" w:hAnsi="宋体" w:eastAsia="仿宋_GB2312"/>
          <w:color w:val="auto"/>
          <w:sz w:val="24"/>
        </w:rPr>
      </w:pPr>
    </w:p>
    <w:p>
      <w:pPr>
        <w:spacing w:line="380" w:lineRule="exact"/>
        <w:ind w:firstLine="640" w:firstLineChars="200"/>
        <w:jc w:val="center"/>
        <w:rPr>
          <w:color w:val="auto"/>
        </w:rPr>
      </w:pPr>
      <w:r>
        <w:rPr>
          <w:rFonts w:hint="eastAsia" w:ascii="仿宋_GB2312" w:hAnsi="宋体" w:eastAsia="仿宋_GB2312"/>
          <w:color w:val="auto"/>
          <w:sz w:val="32"/>
          <w:szCs w:val="32"/>
        </w:rPr>
        <w:t>合同编号</w:t>
      </w:r>
      <w:r>
        <w:rPr>
          <w:rFonts w:hint="eastAsia" w:ascii="仿宋_GB2312" w:hAnsi="宋体" w:eastAsia="仿宋_GB2312"/>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仿宋_GB2312" w:hAnsi="宋体" w:eastAsia="仿宋_GB2312"/>
          <w:color w:val="auto"/>
          <w:sz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仿宋_GB2312" w:hAnsi="宋体" w:eastAsia="仿宋_GB2312"/>
          <w:color w:val="auto"/>
          <w:sz w:val="24"/>
        </w:rPr>
      </w:pPr>
      <w:r>
        <w:rPr>
          <w:rFonts w:hint="eastAsia" w:ascii="仿宋_GB2312" w:hAnsi="宋体" w:eastAsia="仿宋_GB2312"/>
          <w:color w:val="auto"/>
          <w:sz w:val="24"/>
        </w:rPr>
        <w:t>甲方（招标方）：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仿宋_GB2312" w:hAnsi="宋体" w:eastAsia="仿宋_GB2312"/>
          <w:color w:val="auto"/>
          <w:sz w:val="24"/>
        </w:rPr>
      </w:pPr>
      <w:r>
        <w:rPr>
          <w:rFonts w:hint="eastAsia" w:ascii="仿宋_GB2312" w:hAnsi="宋体" w:eastAsia="仿宋_GB2312"/>
          <w:color w:val="auto"/>
          <w:sz w:val="24"/>
        </w:rPr>
        <w:t>乙方（中标方）：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仿宋_GB2312" w:hAnsi="宋体" w:eastAsia="仿宋_GB2312"/>
          <w:color w:val="auto"/>
          <w:sz w:val="24"/>
        </w:rPr>
      </w:pPr>
      <w:r>
        <w:rPr>
          <w:rFonts w:hint="eastAsia" w:ascii="仿宋_GB2312" w:hAnsi="宋体" w:eastAsia="仿宋_GB2312"/>
          <w:color w:val="auto"/>
          <w:sz w:val="24"/>
        </w:rPr>
        <w:t>根据《中华人民共和国政府采购法》、《中华人民共和国民法典》之规定，本合同当事人在平等、自愿的基础上，经协商一致，同意按下述条款和条件签署本合同：</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(以下简称：甲方)和</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(以下简称：乙方)协商一致，约定以下合同</w:t>
      </w:r>
      <w:r>
        <w:rPr>
          <w:rFonts w:hint="eastAsia" w:ascii="仿宋" w:hAnsi="仿宋" w:eastAsia="仿宋" w:cs="仿宋"/>
          <w:sz w:val="24"/>
          <w:szCs w:val="24"/>
        </w:rPr>
        <w:t>条款，以兹共同遵守、全面履行。</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rPr>
      </w:pPr>
      <w:bookmarkStart w:id="14" w:name="_Toc24059"/>
      <w:bookmarkStart w:id="15" w:name="_Toc2232"/>
      <w:bookmarkStart w:id="16" w:name="_Toc3029"/>
      <w:r>
        <w:rPr>
          <w:rFonts w:hint="eastAsia" w:ascii="仿宋" w:hAnsi="仿宋" w:eastAsia="仿宋" w:cs="仿宋"/>
          <w:b/>
          <w:sz w:val="24"/>
          <w:szCs w:val="24"/>
        </w:rPr>
        <w:t>1.1 合同组成部分</w:t>
      </w:r>
      <w:bookmarkEnd w:id="14"/>
      <w:bookmarkEnd w:id="15"/>
      <w:bookmarkEnd w:id="16"/>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1.1.1 本合同及其补充合同、变更协议；</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1.1.2 中标或者成交通知书；</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1.1.3 投标或者响应文件（含澄清或者说明文件）；</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1.1.4 采购文件（含澄清或者修改文件）；</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1.1.5 其他相关采购文件。</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rPr>
      </w:pPr>
      <w:bookmarkStart w:id="17" w:name="_Toc24300"/>
      <w:bookmarkStart w:id="18" w:name="_Toc27126"/>
      <w:bookmarkStart w:id="19" w:name="_Toc21295"/>
      <w:r>
        <w:rPr>
          <w:rFonts w:hint="eastAsia" w:ascii="仿宋" w:hAnsi="仿宋" w:eastAsia="仿宋" w:cs="仿宋"/>
          <w:b/>
          <w:sz w:val="24"/>
          <w:szCs w:val="24"/>
        </w:rPr>
        <w:t>1.2 货物</w:t>
      </w:r>
      <w:bookmarkEnd w:id="17"/>
      <w:bookmarkEnd w:id="18"/>
      <w:bookmarkEnd w:id="19"/>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1.2.1 货物名称、品牌、规格型号、花色：</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1.2.2 货物数量：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u w:val="single"/>
          <w:lang w:eastAsia="zh-CN"/>
        </w:rPr>
      </w:pPr>
      <w:r>
        <w:rPr>
          <w:rFonts w:hint="eastAsia" w:ascii="仿宋" w:hAnsi="仿宋" w:eastAsia="仿宋" w:cs="仿宋"/>
          <w:sz w:val="24"/>
          <w:szCs w:val="24"/>
        </w:rPr>
        <w:t>1.2.3 货物质量：</w:t>
      </w:r>
      <w:r>
        <w:rPr>
          <w:rFonts w:hint="eastAsia" w:ascii="仿宋" w:hAnsi="仿宋" w:eastAsia="仿宋" w:cs="仿宋"/>
          <w:sz w:val="24"/>
          <w:szCs w:val="24"/>
          <w:u w:val="single"/>
        </w:rPr>
        <w:t xml:space="preserve">　　　　　　　　　                      　      </w:t>
      </w:r>
      <w:r>
        <w:rPr>
          <w:rFonts w:hint="eastAsia" w:ascii="仿宋" w:hAnsi="仿宋" w:eastAsia="仿宋" w:cs="仿宋"/>
          <w:sz w:val="24"/>
          <w:szCs w:val="24"/>
          <w:u w:val="none"/>
          <w:lang w:eastAsia="zh-CN"/>
        </w:rPr>
        <w:t>；</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rPr>
      </w:pPr>
      <w:bookmarkStart w:id="20" w:name="_Toc23292"/>
      <w:bookmarkStart w:id="21" w:name="_Toc21631"/>
      <w:bookmarkStart w:id="22" w:name="_Toc21551"/>
      <w:r>
        <w:rPr>
          <w:rFonts w:hint="eastAsia" w:ascii="仿宋" w:hAnsi="仿宋" w:eastAsia="仿宋" w:cs="仿宋"/>
          <w:b/>
          <w:sz w:val="24"/>
          <w:szCs w:val="24"/>
        </w:rPr>
        <w:t>1.3 价款</w:t>
      </w:r>
      <w:bookmarkEnd w:id="20"/>
      <w:bookmarkEnd w:id="21"/>
      <w:bookmarkEnd w:id="22"/>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本合同总价（含税）为：￥</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rPr>
        <w:t xml:space="preserve">                 </w:t>
      </w:r>
      <w:r>
        <w:rPr>
          <w:rFonts w:hint="eastAsia" w:ascii="仿宋" w:hAnsi="仿宋" w:eastAsia="仿宋" w:cs="仿宋"/>
          <w:sz w:val="24"/>
          <w:szCs w:val="24"/>
        </w:rPr>
        <w:t>元人民币）。</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分项价格：</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4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4013"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4013"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4013"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4013"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c>
          <w:tcPr>
            <w:tcW w:w="4013"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4013" w:type="dxa"/>
            <w:tcBorders>
              <w:top w:val="single" w:color="auto" w:sz="4" w:space="0"/>
              <w:left w:val="single" w:color="auto" w:sz="4" w:space="0"/>
              <w:bottom w:val="single" w:color="auto" w:sz="4" w:space="0"/>
              <w:right w:val="single" w:color="auto" w:sz="4" w:space="0"/>
            </w:tcBorders>
            <w:vAlign w:val="center"/>
          </w:tcPr>
          <w:p>
            <w:pPr>
              <w:pStyle w:val="294"/>
              <w:pageBreakBefore w:val="0"/>
              <w:kinsoku/>
              <w:wordWrap/>
              <w:overflowPunct/>
              <w:topLinePunct w:val="0"/>
              <w:autoSpaceDE/>
              <w:autoSpaceDN/>
              <w:bidi w:val="0"/>
              <w:adjustRightInd/>
              <w:snapToGrid/>
              <w:spacing w:line="360" w:lineRule="auto"/>
              <w:ind w:left="0" w:leftChars="0" w:right="0" w:rightChars="0" w:firstLine="200"/>
              <w:jc w:val="center"/>
              <w:textAlignment w:val="auto"/>
              <w:rPr>
                <w:rFonts w:hint="eastAsia" w:ascii="仿宋" w:hAnsi="仿宋" w:eastAsia="仿宋" w:cs="仿宋"/>
                <w:sz w:val="24"/>
                <w:szCs w:val="24"/>
              </w:rPr>
            </w:pPr>
          </w:p>
        </w:tc>
      </w:tr>
    </w:tbl>
    <w:p>
      <w:pPr>
        <w:pStyle w:val="295"/>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textAlignment w:val="auto"/>
        <w:rPr>
          <w:rFonts w:hint="eastAsia" w:ascii="仿宋" w:hAnsi="仿宋" w:eastAsia="仿宋" w:cs="仿宋"/>
          <w:b/>
          <w:sz w:val="24"/>
          <w:szCs w:val="24"/>
        </w:rPr>
      </w:pPr>
      <w:bookmarkStart w:id="23" w:name="_Toc22618"/>
      <w:bookmarkStart w:id="24" w:name="_Toc10340"/>
      <w:bookmarkStart w:id="25" w:name="_Toc1814"/>
      <w:r>
        <w:rPr>
          <w:rFonts w:hint="eastAsia" w:ascii="仿宋" w:hAnsi="仿宋" w:eastAsia="仿宋" w:cs="仿宋"/>
          <w:b/>
          <w:sz w:val="24"/>
          <w:szCs w:val="24"/>
        </w:rPr>
        <w:t>1.4履约保证金</w:t>
      </w:r>
    </w:p>
    <w:p>
      <w:pPr>
        <w:pStyle w:val="295"/>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textAlignment w:val="auto"/>
        <w:rPr>
          <w:rFonts w:hint="eastAsia" w:ascii="仿宋" w:hAnsi="仿宋" w:eastAsia="仿宋" w:cs="仿宋"/>
          <w:sz w:val="24"/>
          <w:szCs w:val="24"/>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r>
        <w:rPr>
          <w:rFonts w:hint="eastAsia" w:ascii="仿宋" w:hAnsi="仿宋" w:eastAsia="仿宋" w:cs="仿宋"/>
          <w:sz w:val="24"/>
          <w:szCs w:val="24"/>
        </w:rPr>
        <w:t>（是/否）需要支付履约保证金。若需要支付履约保证金的，则：</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0"/>
        <w:rPr>
          <w:rFonts w:hint="eastAsia" w:ascii="仿宋" w:hAnsi="仿宋" w:eastAsia="仿宋" w:cs="仿宋"/>
          <w:kern w:val="0"/>
          <w:sz w:val="24"/>
          <w:szCs w:val="24"/>
        </w:rPr>
      </w:pPr>
      <w:r>
        <w:rPr>
          <w:rFonts w:hint="eastAsia" w:ascii="仿宋" w:hAnsi="仿宋" w:eastAsia="仿宋" w:cs="仿宋"/>
          <w:kern w:val="0"/>
          <w:sz w:val="24"/>
          <w:szCs w:val="24"/>
        </w:rPr>
        <w:t>1.4.1履约保证金的比例为合同金额的</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0"/>
        <w:rPr>
          <w:rFonts w:hint="eastAsia" w:ascii="仿宋" w:hAnsi="仿宋" w:eastAsia="仿宋" w:cs="仿宋"/>
          <w:kern w:val="0"/>
          <w:sz w:val="24"/>
          <w:szCs w:val="24"/>
        </w:rPr>
      </w:pPr>
      <w:r>
        <w:rPr>
          <w:rFonts w:hint="eastAsia" w:ascii="仿宋" w:hAnsi="仿宋" w:eastAsia="仿宋" w:cs="仿宋"/>
          <w:kern w:val="0"/>
          <w:sz w:val="24"/>
          <w:szCs w:val="24"/>
        </w:rPr>
        <w:t>1.4.2履约保证金支付方式详见</w:t>
      </w:r>
      <w:r>
        <w:rPr>
          <w:rFonts w:hint="eastAsia" w:ascii="仿宋" w:hAnsi="仿宋" w:eastAsia="仿宋" w:cs="仿宋"/>
          <w:kern w:val="0"/>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Style w:val="3"/>
        <w:pageBreakBefore w:val="0"/>
        <w:tabs>
          <w:tab w:val="left" w:pos="0"/>
          <w:tab w:val="left" w:pos="360"/>
          <w:tab w:val="clear" w:pos="1145"/>
        </w:tabs>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eastAsia" w:ascii="仿宋" w:hAnsi="仿宋" w:eastAsia="仿宋" w:cs="仿宋"/>
          <w:sz w:val="24"/>
          <w:szCs w:val="24"/>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0"/>
        <w:rPr>
          <w:rFonts w:hint="eastAsia" w:ascii="仿宋" w:hAnsi="仿宋" w:eastAsia="仿宋" w:cs="仿宋"/>
          <w:sz w:val="24"/>
          <w:szCs w:val="24"/>
        </w:rPr>
      </w:pPr>
      <w:r>
        <w:rPr>
          <w:rFonts w:hint="eastAsia" w:ascii="仿宋" w:hAnsi="仿宋" w:eastAsia="仿宋" w:cs="仿宋"/>
          <w:kern w:val="0"/>
          <w:sz w:val="24"/>
          <w:szCs w:val="24"/>
        </w:rPr>
        <w:t>1.4.4 甲方在项目验收结束后及时退还履约保证金。甲方在项目通过验收之日起</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szCs w:val="24"/>
          <w:u w:val="single"/>
        </w:rPr>
        <w:t xml:space="preserve">  0.05（可根据情况修改）</w:t>
      </w:r>
      <w:r>
        <w:rPr>
          <w:rFonts w:hint="eastAsia" w:ascii="仿宋" w:hAnsi="仿宋" w:eastAsia="仿宋" w:cs="仿宋"/>
          <w:sz w:val="24"/>
          <w:szCs w:val="24"/>
          <w:u w:val="single"/>
        </w:rPr>
        <w:t xml:space="preserve">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%计算，最高限额为本合同履约保证金的</w:t>
      </w:r>
      <w:r>
        <w:rPr>
          <w:rFonts w:hint="eastAsia" w:ascii="仿宋" w:hAnsi="仿宋" w:eastAsia="仿宋" w:cs="仿宋"/>
          <w:kern w:val="0"/>
          <w:sz w:val="24"/>
          <w:szCs w:val="24"/>
          <w:u w:val="single"/>
        </w:rPr>
        <w:t xml:space="preserve">  20  </w:t>
      </w:r>
      <w:r>
        <w:rPr>
          <w:rFonts w:hint="eastAsia" w:ascii="仿宋" w:hAnsi="仿宋" w:eastAsia="仿宋" w:cs="仿宋"/>
          <w:kern w:val="0"/>
          <w:sz w:val="24"/>
          <w:szCs w:val="24"/>
        </w:rPr>
        <w:t xml:space="preserve"> %。</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rPr>
      </w:pPr>
      <w:r>
        <w:rPr>
          <w:rFonts w:hint="eastAsia" w:ascii="仿宋" w:hAnsi="仿宋" w:eastAsia="仿宋" w:cs="仿宋"/>
          <w:b/>
          <w:sz w:val="24"/>
          <w:szCs w:val="24"/>
        </w:rPr>
        <w:t>1.5</w:t>
      </w:r>
      <w:bookmarkEnd w:id="23"/>
      <w:bookmarkEnd w:id="24"/>
      <w:bookmarkEnd w:id="25"/>
      <w:r>
        <w:rPr>
          <w:rFonts w:hint="eastAsia" w:ascii="仿宋" w:hAnsi="仿宋" w:eastAsia="仿宋" w:cs="仿宋"/>
          <w:b/>
          <w:sz w:val="24"/>
          <w:szCs w:val="24"/>
        </w:rPr>
        <w:t>预付款</w:t>
      </w:r>
    </w:p>
    <w:p>
      <w:pPr>
        <w:pStyle w:val="295"/>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textAlignment w:val="auto"/>
        <w:rPr>
          <w:rFonts w:hint="eastAsia" w:ascii="仿宋" w:hAnsi="仿宋" w:eastAsia="仿宋" w:cs="仿宋"/>
          <w:sz w:val="24"/>
          <w:szCs w:val="24"/>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r>
        <w:rPr>
          <w:rFonts w:hint="eastAsia" w:ascii="仿宋" w:hAnsi="仿宋" w:eastAsia="仿宋" w:cs="仿宋"/>
          <w:sz w:val="24"/>
          <w:szCs w:val="24"/>
        </w:rPr>
        <w:t>（是/否）需要支付预付款。若需要支付预付款的，则：</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1.5.1预付款比例、支付方式、时间详见</w:t>
      </w:r>
      <w:r>
        <w:rPr>
          <w:rFonts w:hint="eastAsia" w:ascii="仿宋" w:hAnsi="仿宋" w:eastAsia="仿宋" w:cs="仿宋"/>
          <w:kern w:val="0"/>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Style w:val="295"/>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textAlignment w:val="auto"/>
        <w:rPr>
          <w:rFonts w:hint="eastAsia" w:ascii="仿宋" w:hAnsi="仿宋" w:eastAsia="仿宋" w:cs="仿宋"/>
          <w:sz w:val="24"/>
          <w:szCs w:val="24"/>
        </w:rPr>
      </w:pPr>
      <w:r>
        <w:rPr>
          <w:rFonts w:hint="eastAsia" w:ascii="仿宋" w:hAnsi="仿宋" w:eastAsia="仿宋" w:cs="仿宋"/>
          <w:sz w:val="24"/>
          <w:szCs w:val="24"/>
        </w:rPr>
        <w:t>1.5.2预付款的扣回方式详见</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Style w:val="295"/>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textAlignment w:val="auto"/>
        <w:rPr>
          <w:rFonts w:hint="eastAsia" w:ascii="仿宋" w:hAnsi="仿宋" w:eastAsia="仿宋" w:cs="仿宋"/>
          <w:sz w:val="24"/>
          <w:szCs w:val="24"/>
          <w:u w:val="single"/>
        </w:rPr>
      </w:pPr>
      <w:r>
        <w:rPr>
          <w:rFonts w:hint="eastAsia" w:ascii="仿宋" w:hAnsi="仿宋" w:eastAsia="仿宋" w:cs="仿宋"/>
          <w:sz w:val="24"/>
          <w:szCs w:val="24"/>
        </w:rPr>
        <w:t>1.5.3预付款的担保措施详见</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Style w:val="295"/>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textAlignment w:val="auto"/>
        <w:rPr>
          <w:rFonts w:hint="eastAsia" w:ascii="仿宋" w:hAnsi="仿宋" w:eastAsia="仿宋" w:cs="仿宋"/>
          <w:b/>
          <w:bCs/>
          <w:sz w:val="24"/>
          <w:szCs w:val="24"/>
        </w:rPr>
      </w:pPr>
      <w:r>
        <w:rPr>
          <w:rFonts w:hint="eastAsia" w:ascii="仿宋" w:hAnsi="仿宋" w:eastAsia="仿宋" w:cs="仿宋"/>
          <w:b/>
          <w:bCs/>
          <w:sz w:val="24"/>
          <w:szCs w:val="24"/>
        </w:rPr>
        <w:t>1.6资金支付</w:t>
      </w:r>
    </w:p>
    <w:p>
      <w:pPr>
        <w:pStyle w:val="295"/>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480"/>
        <w:textAlignment w:val="auto"/>
        <w:rPr>
          <w:rFonts w:hint="eastAsia" w:ascii="仿宋" w:hAnsi="仿宋" w:eastAsia="仿宋" w:cs="仿宋"/>
          <w:sz w:val="24"/>
          <w:szCs w:val="24"/>
        </w:rPr>
      </w:pPr>
      <w:r>
        <w:rPr>
          <w:rFonts w:hint="eastAsia" w:ascii="仿宋" w:hAnsi="仿宋" w:eastAsia="仿宋" w:cs="仿宋"/>
          <w:sz w:val="24"/>
          <w:szCs w:val="24"/>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0"/>
        <w:rPr>
          <w:rFonts w:hint="eastAsia" w:ascii="仿宋" w:hAnsi="仿宋" w:eastAsia="仿宋" w:cs="仿宋"/>
          <w:sz w:val="24"/>
          <w:szCs w:val="24"/>
        </w:rPr>
      </w:pPr>
      <w:r>
        <w:rPr>
          <w:rFonts w:hint="eastAsia" w:ascii="仿宋" w:hAnsi="仿宋" w:eastAsia="仿宋" w:cs="仿宋"/>
          <w:sz w:val="24"/>
          <w:szCs w:val="24"/>
        </w:rPr>
        <w:t>1.6.2资金支付的方式、时间和条件详见</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rPr>
      </w:pPr>
      <w:bookmarkStart w:id="26" w:name="_Toc32071"/>
      <w:bookmarkStart w:id="27" w:name="_Toc2846"/>
      <w:bookmarkStart w:id="28" w:name="_Toc19304"/>
      <w:r>
        <w:rPr>
          <w:rFonts w:hint="eastAsia" w:ascii="仿宋" w:hAnsi="仿宋" w:eastAsia="仿宋" w:cs="仿宋"/>
          <w:b/>
          <w:sz w:val="24"/>
          <w:szCs w:val="24"/>
        </w:rPr>
        <w:t>1.7货物交付期限、地点和方式</w:t>
      </w:r>
      <w:bookmarkEnd w:id="26"/>
      <w:bookmarkEnd w:id="27"/>
      <w:bookmarkEnd w:id="28"/>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u w:val="single"/>
          <w:lang w:eastAsia="zh-CN"/>
        </w:rPr>
      </w:pPr>
      <w:r>
        <w:rPr>
          <w:rFonts w:hint="eastAsia" w:ascii="仿宋" w:hAnsi="仿宋" w:eastAsia="仿宋" w:cs="仿宋"/>
          <w:sz w:val="24"/>
          <w:szCs w:val="24"/>
        </w:rPr>
        <w:t>1.7.1 交付期限：详见</w:t>
      </w:r>
      <w:r>
        <w:rPr>
          <w:rFonts w:hint="eastAsia" w:ascii="仿宋" w:hAnsi="仿宋" w:eastAsia="仿宋" w:cs="仿宋"/>
          <w:b/>
          <w:i/>
          <w:sz w:val="24"/>
          <w:szCs w:val="24"/>
          <w:u w:val="single"/>
          <w:lang w:eastAsia="zh-CN"/>
        </w:rPr>
        <w:t xml:space="preserve">             ；</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1.7.2 交付地点：</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1.7.3 交付方式：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rPr>
      </w:pPr>
      <w:bookmarkStart w:id="29" w:name="_Toc19554"/>
      <w:bookmarkStart w:id="30" w:name="_Toc27250"/>
      <w:bookmarkStart w:id="31" w:name="_Toc21423"/>
      <w:r>
        <w:rPr>
          <w:rFonts w:hint="eastAsia" w:ascii="仿宋" w:hAnsi="仿宋" w:eastAsia="仿宋" w:cs="仿宋"/>
          <w:b/>
          <w:sz w:val="24"/>
          <w:szCs w:val="24"/>
        </w:rPr>
        <w:t>1.8违约责任</w:t>
      </w:r>
      <w:bookmarkEnd w:id="29"/>
      <w:bookmarkEnd w:id="30"/>
      <w:bookmarkEnd w:id="31"/>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szCs w:val="24"/>
          <w:u w:val="single"/>
        </w:rPr>
        <w:t xml:space="preserve">  0.05</w:t>
      </w:r>
      <w:r>
        <w:rPr>
          <w:rFonts w:hint="eastAsia" w:ascii="仿宋" w:hAnsi="仿宋" w:eastAsia="仿宋" w:cs="仿宋"/>
          <w:kern w:val="0"/>
          <w:sz w:val="24"/>
          <w:szCs w:val="24"/>
          <w:u w:val="single"/>
        </w:rPr>
        <w:t>（可根据情况修改）</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20   </w:t>
      </w:r>
      <w:r>
        <w:rPr>
          <w:rFonts w:hint="eastAsia" w:ascii="仿宋" w:hAnsi="仿宋" w:eastAsia="仿宋" w:cs="仿宋"/>
          <w:sz w:val="24"/>
          <w:szCs w:val="24"/>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szCs w:val="24"/>
          <w:u w:val="single"/>
        </w:rPr>
        <w:t xml:space="preserve"> 0.05</w:t>
      </w:r>
      <w:r>
        <w:rPr>
          <w:rFonts w:hint="eastAsia" w:ascii="仿宋" w:hAnsi="仿宋" w:eastAsia="仿宋" w:cs="仿宋"/>
          <w:kern w:val="0"/>
          <w:sz w:val="24"/>
          <w:szCs w:val="24"/>
          <w:u w:val="single"/>
        </w:rPr>
        <w:t>（可根据情况修改）</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20   </w:t>
      </w:r>
      <w:r>
        <w:rPr>
          <w:rFonts w:hint="eastAsia" w:ascii="仿宋" w:hAnsi="仿宋" w:eastAsia="仿宋" w:cs="仿宋"/>
          <w:sz w:val="24"/>
          <w:szCs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1.8.5如果出现政府采购监督管理部门在处理投诉事项期间，书面通知甲方暂停采购活动的情形，或者询问或质疑事项可能影响中标或者成交结果的，导致甲方中止履行合同的情形，均不视为甲方违约。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adjustRightInd/>
        <w:snapToGrid/>
        <w:spacing w:line="360" w:lineRule="auto"/>
        <w:ind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1.8.6违约责任</w:t>
      </w:r>
      <w:r>
        <w:rPr>
          <w:rFonts w:hint="eastAsia" w:ascii="仿宋" w:hAnsi="仿宋" w:eastAsia="仿宋" w:cs="仿宋"/>
          <w:sz w:val="24"/>
          <w:szCs w:val="24"/>
          <w:u w:val="single"/>
        </w:rPr>
        <w:t xml:space="preserve">             </w:t>
      </w:r>
      <w:r>
        <w:rPr>
          <w:rFonts w:hint="eastAsia" w:ascii="仿宋" w:hAnsi="仿宋" w:eastAsia="仿宋" w:cs="仿宋"/>
          <w:sz w:val="24"/>
          <w:szCs w:val="24"/>
        </w:rPr>
        <w:t>另有约定的，从其约定。</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rPr>
      </w:pPr>
      <w:bookmarkStart w:id="32" w:name="_Toc15583"/>
      <w:bookmarkStart w:id="33" w:name="_Toc28375"/>
      <w:bookmarkStart w:id="34" w:name="_Toc16021"/>
      <w:r>
        <w:rPr>
          <w:rFonts w:hint="eastAsia" w:ascii="仿宋" w:hAnsi="仿宋" w:eastAsia="仿宋" w:cs="仿宋"/>
          <w:b/>
          <w:sz w:val="24"/>
          <w:szCs w:val="24"/>
        </w:rPr>
        <w:t>1.9合同争议的解决</w:t>
      </w:r>
      <w:bookmarkEnd w:id="32"/>
      <w:bookmarkEnd w:id="33"/>
      <w:bookmarkEnd w:id="34"/>
    </w:p>
    <w:p>
      <w:pPr>
        <w:pageBreakBefore w:val="0"/>
        <w:kinsoku/>
        <w:wordWrap/>
        <w:overflowPunct/>
        <w:topLinePunct w:val="0"/>
        <w:autoSpaceDE/>
        <w:autoSpaceDN/>
        <w:bidi w:val="0"/>
        <w:adjustRightInd/>
        <w:snapToGrid/>
        <w:spacing w:line="360" w:lineRule="auto"/>
        <w:ind w:left="0" w:leftChars="0" w:right="0" w:rightChars="0"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szCs w:val="24"/>
          <w:u w:val="single"/>
        </w:rPr>
        <w:t xml:space="preserve">      </w:t>
      </w:r>
      <w:r>
        <w:rPr>
          <w:rFonts w:hint="eastAsia" w:ascii="仿宋" w:hAnsi="仿宋" w:eastAsia="仿宋" w:cs="仿宋"/>
          <w:sz w:val="24"/>
          <w:szCs w:val="24"/>
        </w:rPr>
        <w:t>条款规定的方式解决：</w:t>
      </w:r>
    </w:p>
    <w:p>
      <w:pPr>
        <w:pageBreakBefore w:val="0"/>
        <w:kinsoku/>
        <w:wordWrap/>
        <w:overflowPunct/>
        <w:topLinePunct w:val="0"/>
        <w:autoSpaceDE/>
        <w:autoSpaceDN/>
        <w:bidi w:val="0"/>
        <w:adjustRightInd/>
        <w:snapToGrid/>
        <w:spacing w:line="360" w:lineRule="auto"/>
        <w:ind w:left="0" w:leftChars="0" w:right="0" w:rightChars="0" w:firstLine="840" w:firstLineChars="350"/>
        <w:textAlignment w:val="auto"/>
        <w:rPr>
          <w:rFonts w:hint="eastAsia" w:ascii="仿宋" w:hAnsi="仿宋" w:eastAsia="仿宋" w:cs="仿宋"/>
          <w:sz w:val="24"/>
          <w:szCs w:val="24"/>
        </w:rPr>
      </w:pPr>
      <w:r>
        <w:rPr>
          <w:rFonts w:hint="eastAsia" w:ascii="仿宋" w:hAnsi="仿宋" w:eastAsia="仿宋" w:cs="仿宋"/>
          <w:sz w:val="24"/>
          <w:szCs w:val="24"/>
        </w:rPr>
        <w:t>1.9.1 将争议提交</w:t>
      </w:r>
      <w:r>
        <w:rPr>
          <w:rFonts w:hint="eastAsia" w:ascii="仿宋" w:hAnsi="仿宋" w:eastAsia="仿宋" w:cs="仿宋"/>
          <w:sz w:val="24"/>
          <w:szCs w:val="24"/>
          <w:u w:val="single"/>
        </w:rPr>
        <w:t xml:space="preserve">             </w:t>
      </w:r>
      <w:r>
        <w:rPr>
          <w:rFonts w:hint="eastAsia" w:ascii="仿宋" w:hAnsi="仿宋" w:eastAsia="仿宋" w:cs="仿宋"/>
          <w:sz w:val="24"/>
          <w:szCs w:val="24"/>
        </w:rPr>
        <w:t>仲裁委员会依申请仲裁时其现行有效的仲裁规则裁决；</w:t>
      </w:r>
    </w:p>
    <w:p>
      <w:pPr>
        <w:pageBreakBefore w:val="0"/>
        <w:kinsoku/>
        <w:wordWrap/>
        <w:overflowPunct/>
        <w:topLinePunct w:val="0"/>
        <w:autoSpaceDE/>
        <w:autoSpaceDN/>
        <w:bidi w:val="0"/>
        <w:adjustRightInd/>
        <w:snapToGrid/>
        <w:spacing w:line="360" w:lineRule="auto"/>
        <w:ind w:left="0" w:leftChars="0" w:right="0" w:rightChars="0" w:firstLine="840" w:firstLineChars="350"/>
        <w:textAlignment w:val="auto"/>
        <w:rPr>
          <w:rFonts w:hint="eastAsia" w:ascii="仿宋" w:hAnsi="仿宋" w:eastAsia="仿宋" w:cs="仿宋"/>
          <w:sz w:val="24"/>
          <w:szCs w:val="24"/>
        </w:rPr>
      </w:pPr>
      <w:r>
        <w:rPr>
          <w:rFonts w:hint="eastAsia" w:ascii="仿宋" w:hAnsi="仿宋" w:eastAsia="仿宋" w:cs="仿宋"/>
          <w:sz w:val="24"/>
          <w:szCs w:val="24"/>
        </w:rPr>
        <w:t>1.9.2 向</w:t>
      </w:r>
      <w:r>
        <w:rPr>
          <w:rFonts w:hint="eastAsia" w:ascii="仿宋" w:hAnsi="仿宋" w:eastAsia="仿宋" w:cs="仿宋"/>
          <w:sz w:val="24"/>
          <w:szCs w:val="24"/>
          <w:u w:val="single"/>
        </w:rPr>
        <w:t xml:space="preserve">             </w:t>
      </w:r>
      <w:r>
        <w:rPr>
          <w:rFonts w:hint="eastAsia" w:ascii="仿宋" w:hAnsi="仿宋" w:eastAsia="仿宋" w:cs="仿宋"/>
          <w:sz w:val="24"/>
          <w:szCs w:val="24"/>
        </w:rPr>
        <w:t>人民法院起诉。</w:t>
      </w:r>
    </w:p>
    <w:p>
      <w:pPr>
        <w:pageBreakBefore w:val="0"/>
        <w:kinsoku/>
        <w:wordWrap/>
        <w:overflowPunct/>
        <w:topLinePunct w:val="0"/>
        <w:autoSpaceDE/>
        <w:autoSpaceDN/>
        <w:bidi w:val="0"/>
        <w:adjustRightInd/>
        <w:snapToGrid/>
        <w:spacing w:line="360" w:lineRule="auto"/>
        <w:ind w:left="0" w:leftChars="0" w:right="0" w:rightChars="0" w:firstLine="482" w:firstLineChars="200"/>
        <w:textAlignment w:val="auto"/>
        <w:outlineLvl w:val="0"/>
        <w:rPr>
          <w:rFonts w:hint="eastAsia" w:ascii="仿宋" w:hAnsi="仿宋" w:eastAsia="仿宋" w:cs="仿宋"/>
          <w:b/>
          <w:sz w:val="24"/>
          <w:szCs w:val="24"/>
          <w:lang w:eastAsia="zh-CN"/>
        </w:rPr>
      </w:pPr>
      <w:bookmarkStart w:id="35" w:name="_Toc11173"/>
      <w:bookmarkStart w:id="36" w:name="_Toc15322"/>
      <w:bookmarkStart w:id="37" w:name="_Toc7245"/>
      <w:r>
        <w:rPr>
          <w:rFonts w:hint="eastAsia" w:ascii="仿宋" w:hAnsi="仿宋" w:eastAsia="仿宋" w:cs="仿宋"/>
          <w:b/>
          <w:sz w:val="24"/>
          <w:szCs w:val="24"/>
        </w:rPr>
        <w:t>2.合同生效</w:t>
      </w:r>
      <w:bookmarkEnd w:id="35"/>
      <w:bookmarkEnd w:id="36"/>
      <w:bookmarkEnd w:id="37"/>
      <w:r>
        <w:rPr>
          <w:rFonts w:hint="eastAsia" w:ascii="仿宋" w:hAnsi="仿宋" w:eastAsia="仿宋" w:cs="仿宋"/>
          <w:b/>
          <w:sz w:val="24"/>
          <w:szCs w:val="24"/>
          <w:lang w:eastAsia="zh-CN"/>
        </w:rPr>
        <w:t>及份数</w:t>
      </w:r>
    </w:p>
    <w:p>
      <w:pPr>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b/>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本合同自双方当事人盖章签字时生效。</w:t>
      </w:r>
    </w:p>
    <w:p>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2.2</w:t>
      </w:r>
      <w:r>
        <w:rPr>
          <w:rFonts w:hint="eastAsia" w:ascii="仿宋" w:hAnsi="仿宋" w:eastAsia="仿宋" w:cs="仿宋"/>
          <w:color w:val="auto"/>
          <w:sz w:val="24"/>
        </w:rPr>
        <w:t>本协议一式五份，甲乙双方各两份，嵊州市公共资源交易中心执一份。合同附件和本合同均具有同等法律效力。</w:t>
      </w:r>
    </w:p>
    <w:tbl>
      <w:tblPr>
        <w:tblStyle w:val="48"/>
        <w:tblW w:w="0" w:type="auto"/>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3"/>
        <w:gridCol w:w="4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882" w:type="dxa"/>
            <w:tcBorders>
              <w:top w:val="nil"/>
              <w:left w:val="nil"/>
              <w:bottom w:val="nil"/>
              <w:right w:val="nil"/>
            </w:tcBorders>
            <w:vAlign w:val="center"/>
          </w:tcPr>
          <w:p>
            <w:pPr>
              <w:pStyle w:val="4"/>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甲方（盖章）： </w:t>
            </w:r>
          </w:p>
        </w:tc>
        <w:tc>
          <w:tcPr>
            <w:tcW w:w="4883" w:type="dxa"/>
            <w:tcBorders>
              <w:top w:val="nil"/>
              <w:left w:val="nil"/>
              <w:bottom w:val="nil"/>
              <w:right w:val="nil"/>
            </w:tcBorders>
            <w:vAlign w:val="center"/>
          </w:tcPr>
          <w:p>
            <w:pPr>
              <w:pStyle w:val="4"/>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乙方（盖章）：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882"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c>
          <w:tcPr>
            <w:tcW w:w="488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882"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rPr>
              <w:t>地址：</w:t>
            </w:r>
          </w:p>
        </w:tc>
        <w:tc>
          <w:tcPr>
            <w:tcW w:w="488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882"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r>
              <w:rPr>
                <w:rFonts w:hint="eastAsia" w:ascii="仿宋" w:hAnsi="仿宋" w:eastAsia="仿宋" w:cs="仿宋"/>
                <w:sz w:val="24"/>
                <w:szCs w:val="24"/>
                <w:lang w:val="en-US" w:eastAsia="zh-CN"/>
              </w:rPr>
              <w:t>312400</w:t>
            </w:r>
          </w:p>
        </w:tc>
        <w:tc>
          <w:tcPr>
            <w:tcW w:w="488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882"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c>
          <w:tcPr>
            <w:tcW w:w="488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882"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rPr>
              <w:t>开户银行：</w:t>
            </w:r>
          </w:p>
        </w:tc>
        <w:tc>
          <w:tcPr>
            <w:tcW w:w="488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882"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default" w:ascii="仿宋" w:hAnsi="仿宋" w:eastAsia="仿宋" w:cs="仿宋"/>
                <w:sz w:val="24"/>
                <w:szCs w:val="24"/>
                <w:vertAlign w:val="baseline"/>
                <w:lang w:val="en-US" w:eastAsia="zh-CN"/>
              </w:rPr>
            </w:pPr>
            <w:r>
              <w:rPr>
                <w:rFonts w:hint="eastAsia" w:ascii="仿宋" w:hAnsi="仿宋" w:eastAsia="仿宋" w:cs="仿宋"/>
                <w:sz w:val="24"/>
                <w:szCs w:val="24"/>
                <w:lang w:eastAsia="zh-CN"/>
              </w:rPr>
              <w:t>账</w:t>
            </w:r>
            <w:r>
              <w:rPr>
                <w:rFonts w:hint="eastAsia" w:ascii="仿宋" w:hAnsi="仿宋" w:eastAsia="仿宋" w:cs="仿宋"/>
                <w:sz w:val="24"/>
                <w:szCs w:val="24"/>
              </w:rPr>
              <w:t>号：</w:t>
            </w:r>
          </w:p>
        </w:tc>
        <w:tc>
          <w:tcPr>
            <w:tcW w:w="488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lang w:eastAsia="zh-CN"/>
              </w:rPr>
              <w:t>账</w:t>
            </w:r>
            <w:r>
              <w:rPr>
                <w:rFonts w:hint="eastAsia" w:ascii="仿宋" w:hAnsi="仿宋" w:eastAsia="仿宋" w:cs="仿宋"/>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765" w:type="dxa"/>
            <w:gridSpan w:val="2"/>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line="360" w:lineRule="auto"/>
              <w:ind w:left="0" w:leftChars="0" w:firstLine="3360" w:firstLineChars="1400"/>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rPr>
              <w:t>合同签订地点：</w:t>
            </w:r>
            <w:r>
              <w:rPr>
                <w:rFonts w:hint="eastAsia" w:ascii="仿宋" w:hAnsi="仿宋" w:eastAsia="仿宋" w:cs="仿宋"/>
                <w:sz w:val="24"/>
                <w:szCs w:val="24"/>
                <w:lang w:eastAsia="zh-CN"/>
              </w:rPr>
              <w:t>嵊州市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765" w:type="dxa"/>
            <w:gridSpan w:val="2"/>
            <w:tcBorders>
              <w:top w:val="nil"/>
              <w:left w:val="nil"/>
              <w:bottom w:val="nil"/>
              <w:right w:val="nil"/>
            </w:tcBorders>
            <w:vAlign w:val="center"/>
          </w:tcPr>
          <w:p>
            <w:pPr>
              <w:pStyle w:val="4"/>
              <w:keepNext w:val="0"/>
              <w:keepLines w:val="0"/>
              <w:pageBreakBefore w:val="0"/>
              <w:widowControl w:val="0"/>
              <w:kinsoku/>
              <w:wordWrap/>
              <w:overflowPunct/>
              <w:topLinePunct w:val="0"/>
              <w:bidi w:val="0"/>
              <w:adjustRightInd w:val="0"/>
              <w:snapToGrid w:val="0"/>
              <w:spacing w:before="0" w:line="360" w:lineRule="auto"/>
              <w:ind w:firstLine="4560" w:firstLineChars="1900"/>
              <w:textAlignment w:val="auto"/>
              <w:rPr>
                <w:rFonts w:hint="eastAsia" w:ascii="仿宋" w:hAnsi="仿宋" w:eastAsia="仿宋" w:cs="仿宋"/>
                <w:sz w:val="24"/>
                <w:szCs w:val="24"/>
                <w:vertAlign w:val="baseline"/>
              </w:rPr>
            </w:pPr>
            <w:r>
              <w:rPr>
                <w:rFonts w:hint="eastAsia" w:ascii="仿宋" w:hAnsi="仿宋" w:eastAsia="仿宋" w:cs="仿宋"/>
                <w:sz w:val="24"/>
                <w:szCs w:val="24"/>
              </w:rPr>
              <w:t>时间：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2023年  月   日</w:t>
            </w:r>
          </w:p>
        </w:tc>
      </w:tr>
    </w:tbl>
    <w:p>
      <w:pPr>
        <w:pStyle w:val="4"/>
        <w:pageBreakBefore/>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共100分，其中商务技术分</w:t>
      </w:r>
      <w:r>
        <w:rPr>
          <w:rFonts w:hint="eastAsia" w:ascii="仿宋_GB2312" w:hAnsi="宋体" w:eastAsia="仿宋_GB2312"/>
          <w:color w:val="auto"/>
          <w:sz w:val="24"/>
          <w:lang w:val="en-US" w:eastAsia="zh-CN"/>
        </w:rPr>
        <w:t>6</w:t>
      </w:r>
      <w:r>
        <w:rPr>
          <w:rFonts w:hint="eastAsia" w:ascii="仿宋_GB2312" w:hAnsi="宋体" w:eastAsia="仿宋_GB2312"/>
          <w:color w:val="auto"/>
          <w:sz w:val="24"/>
        </w:rPr>
        <w:t>0分，价格分</w:t>
      </w:r>
      <w:r>
        <w:rPr>
          <w:rFonts w:hint="eastAsia" w:ascii="仿宋_GB2312" w:hAnsi="宋体" w:eastAsia="仿宋_GB2312"/>
          <w:color w:val="auto"/>
          <w:sz w:val="24"/>
          <w:lang w:val="en-US" w:eastAsia="zh-CN"/>
        </w:rPr>
        <w:t>4</w:t>
      </w:r>
      <w:r>
        <w:rPr>
          <w:rFonts w:hint="eastAsia" w:ascii="仿宋_GB2312" w:hAnsi="宋体" w:eastAsia="仿宋_GB2312"/>
          <w:color w:val="auto"/>
          <w:sz w:val="24"/>
        </w:rPr>
        <w:t>0分。评分依下述所列为评标打分依据，分值如下（计算分值时，按其算术平均值保留小数2位）。</w:t>
      </w:r>
    </w:p>
    <w:p>
      <w:pPr>
        <w:spacing w:line="440" w:lineRule="exact"/>
        <w:rPr>
          <w:rFonts w:hint="eastAsia" w:ascii="仿宋_GB2312" w:hAnsi="宋体" w:eastAsia="仿宋_GB2312"/>
          <w:b/>
          <w:bCs/>
          <w:iCs/>
          <w:color w:val="auto"/>
          <w:sz w:val="24"/>
          <w:lang w:eastAsia="zh-CN"/>
        </w:rPr>
      </w:pPr>
      <w:r>
        <w:rPr>
          <w:rFonts w:hint="eastAsia" w:ascii="仿宋_GB2312" w:hAnsi="宋体" w:eastAsia="仿宋_GB2312"/>
          <w:b/>
          <w:bCs/>
          <w:iCs/>
          <w:color w:val="auto"/>
          <w:sz w:val="24"/>
        </w:rPr>
        <w:t>2.1.商务技术分（</w:t>
      </w:r>
      <w:r>
        <w:rPr>
          <w:rFonts w:hint="eastAsia" w:ascii="仿宋_GB2312" w:hAnsi="宋体" w:eastAsia="仿宋_GB2312"/>
          <w:b/>
          <w:bCs/>
          <w:iCs/>
          <w:color w:val="auto"/>
          <w:sz w:val="24"/>
          <w:lang w:val="en-US" w:eastAsia="zh-CN"/>
        </w:rPr>
        <w:t>6</w:t>
      </w:r>
      <w:r>
        <w:rPr>
          <w:rFonts w:hint="eastAsia" w:ascii="仿宋_GB2312" w:hAnsi="宋体" w:eastAsia="仿宋_GB2312"/>
          <w:b/>
          <w:bCs/>
          <w:iCs/>
          <w:color w:val="auto"/>
          <w:sz w:val="24"/>
        </w:rPr>
        <w:t>0分）</w:t>
      </w:r>
      <w:r>
        <w:rPr>
          <w:rFonts w:hint="eastAsia" w:ascii="仿宋_GB2312" w:hAnsi="宋体" w:eastAsia="仿宋_GB2312"/>
          <w:b/>
          <w:bCs/>
          <w:iCs/>
          <w:color w:val="auto"/>
          <w:sz w:val="24"/>
          <w:lang w:eastAsia="zh-CN"/>
        </w:rPr>
        <w:t>（标项一至标项三）</w:t>
      </w:r>
    </w:p>
    <w:tbl>
      <w:tblPr>
        <w:tblStyle w:val="47"/>
        <w:tblW w:w="90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915"/>
        <w:gridCol w:w="1372"/>
        <w:gridCol w:w="5325"/>
        <w:gridCol w:w="14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shd w:val="clear" w:color="auto" w:fill="DBEEF3" w:themeFill="accent5" w:themeFillTint="32"/>
            <w:vAlign w:val="center"/>
          </w:tcPr>
          <w:p>
            <w:pPr>
              <w:autoSpaceDE w:val="0"/>
              <w:adjustRightInd w:val="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序号</w:t>
            </w:r>
          </w:p>
        </w:tc>
        <w:tc>
          <w:tcPr>
            <w:tcW w:w="1372" w:type="dxa"/>
            <w:tcBorders>
              <w:top w:val="single" w:color="auto" w:sz="12" w:space="0"/>
              <w:bottom w:val="single" w:color="auto" w:sz="12" w:space="0"/>
            </w:tcBorders>
            <w:shd w:val="clear" w:color="auto" w:fill="DBEEF3" w:themeFill="accent5" w:themeFillTint="32"/>
            <w:vAlign w:val="center"/>
          </w:tcPr>
          <w:p>
            <w:pPr>
              <w:autoSpaceDE w:val="0"/>
              <w:adjustRightInd w:val="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评分内容</w:t>
            </w:r>
          </w:p>
        </w:tc>
        <w:tc>
          <w:tcPr>
            <w:tcW w:w="5325" w:type="dxa"/>
            <w:tcBorders>
              <w:top w:val="single" w:color="auto" w:sz="12" w:space="0"/>
              <w:bottom w:val="single" w:color="auto" w:sz="12" w:space="0"/>
            </w:tcBorders>
            <w:shd w:val="clear" w:color="auto" w:fill="DBEEF3" w:themeFill="accent5" w:themeFillTint="32"/>
            <w:vAlign w:val="center"/>
          </w:tcPr>
          <w:p>
            <w:pPr>
              <w:autoSpaceDE w:val="0"/>
              <w:adjustRightInd w:val="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评分标准</w:t>
            </w:r>
          </w:p>
        </w:tc>
        <w:tc>
          <w:tcPr>
            <w:tcW w:w="1470" w:type="dxa"/>
            <w:tcBorders>
              <w:top w:val="single" w:color="auto" w:sz="12" w:space="0"/>
              <w:bottom w:val="single" w:color="auto" w:sz="12" w:space="0"/>
            </w:tcBorders>
            <w:shd w:val="clear" w:color="auto" w:fill="DBEEF3" w:themeFill="accent5" w:themeFillTint="32"/>
            <w:vAlign w:val="center"/>
          </w:tcPr>
          <w:p>
            <w:pPr>
              <w:autoSpaceDE w:val="0"/>
              <w:adjustRightInd w:val="0"/>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分值范围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1</w:t>
            </w:r>
          </w:p>
        </w:tc>
        <w:tc>
          <w:tcPr>
            <w:tcW w:w="1372"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 w:val="24"/>
                <w:szCs w:val="24"/>
                <w:lang w:val="en-US" w:eastAsia="zh-CN"/>
              </w:rPr>
              <w:t>综合实力</w:t>
            </w:r>
          </w:p>
        </w:tc>
        <w:tc>
          <w:tcPr>
            <w:tcW w:w="5325" w:type="dxa"/>
            <w:tcBorders>
              <w:top w:val="single" w:color="auto" w:sz="12" w:space="0"/>
              <w:bottom w:val="single" w:color="auto" w:sz="12" w:space="0"/>
            </w:tcBorders>
            <w:vAlign w:val="center"/>
          </w:tcPr>
          <w:p>
            <w:pPr>
              <w:autoSpaceDE w:val="0"/>
              <w:adjustRightInd w:val="0"/>
              <w:jc w:val="left"/>
              <w:rPr>
                <w:rFonts w:hint="eastAsia" w:ascii="仿宋" w:hAnsi="仿宋" w:eastAsia="仿宋" w:cs="仿宋"/>
                <w:b w:val="0"/>
                <w:bCs w:val="0"/>
                <w:color w:val="auto"/>
                <w:szCs w:val="21"/>
              </w:rPr>
            </w:pPr>
            <w:r>
              <w:rPr>
                <w:rFonts w:hint="eastAsia" w:ascii="仿宋" w:hAnsi="仿宋" w:eastAsia="仿宋" w:cs="仿宋"/>
                <w:b w:val="0"/>
                <w:bCs w:val="0"/>
                <w:color w:val="auto"/>
                <w:kern w:val="0"/>
                <w:sz w:val="24"/>
                <w:szCs w:val="24"/>
                <w:lang w:val="en-US" w:eastAsia="zh-CN"/>
              </w:rPr>
              <w:t>投标人提供经营场所(房产所有权是否为投标人所有、面积大小)、销售能力、技术人员配置（数量及技术人员等级）、荣誉等情况综合得分。（投标时提供相关证明文件扫描件，技术人员需提供最近三个月的社保证明，原件备查）。</w:t>
            </w:r>
          </w:p>
        </w:tc>
        <w:tc>
          <w:tcPr>
            <w:tcW w:w="1470"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 w:val="24"/>
                <w:szCs w:val="24"/>
                <w:lang w:val="en-US" w:eastAsia="zh-CN"/>
              </w:rPr>
              <w:t>0-5分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2</w:t>
            </w:r>
          </w:p>
        </w:tc>
        <w:tc>
          <w:tcPr>
            <w:tcW w:w="1372"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体系认证</w:t>
            </w:r>
          </w:p>
        </w:tc>
        <w:tc>
          <w:tcPr>
            <w:tcW w:w="5325" w:type="dxa"/>
            <w:tcBorders>
              <w:top w:val="single" w:color="auto" w:sz="12" w:space="0"/>
              <w:bottom w:val="single" w:color="auto" w:sz="12" w:space="0"/>
            </w:tcBorders>
            <w:vAlign w:val="center"/>
          </w:tcPr>
          <w:p>
            <w:pPr>
              <w:autoSpaceDE w:val="0"/>
              <w:adjustRightInd w:val="0"/>
              <w:jc w:val="both"/>
              <w:rPr>
                <w:rFonts w:hint="eastAsia" w:ascii="仿宋" w:hAnsi="仿宋" w:eastAsia="仿宋" w:cs="仿宋"/>
                <w:b w:val="0"/>
                <w:bCs w:val="0"/>
                <w:color w:val="auto"/>
                <w:szCs w:val="21"/>
              </w:rPr>
            </w:pPr>
            <w:r>
              <w:rPr>
                <w:rFonts w:hint="eastAsia" w:ascii="仿宋" w:hAnsi="仿宋" w:eastAsia="仿宋" w:cs="仿宋"/>
                <w:b w:val="0"/>
                <w:bCs w:val="0"/>
                <w:color w:val="auto"/>
                <w:sz w:val="24"/>
                <w:szCs w:val="24"/>
              </w:rPr>
              <w:t>投标人具有</w:t>
            </w:r>
            <w:r>
              <w:rPr>
                <w:rFonts w:hint="eastAsia" w:ascii="仿宋" w:hAnsi="仿宋" w:eastAsia="仿宋" w:cs="仿宋"/>
                <w:b w:val="0"/>
                <w:bCs w:val="0"/>
                <w:color w:val="auto"/>
                <w:sz w:val="24"/>
                <w:szCs w:val="24"/>
                <w:lang w:eastAsia="zh-CN"/>
              </w:rPr>
              <w:t>有效期内</w:t>
            </w:r>
            <w:r>
              <w:rPr>
                <w:rFonts w:hint="eastAsia" w:ascii="仿宋" w:hAnsi="仿宋" w:eastAsia="仿宋" w:cs="仿宋"/>
                <w:b w:val="0"/>
                <w:bCs w:val="0"/>
                <w:color w:val="auto"/>
                <w:sz w:val="24"/>
                <w:szCs w:val="24"/>
              </w:rPr>
              <w:t>质量管理体系认证证书得1分，具有环境管理体系认证证书得1分，具有职业健康安全管理体系认证证书得1分。</w:t>
            </w:r>
          </w:p>
        </w:tc>
        <w:tc>
          <w:tcPr>
            <w:tcW w:w="1470"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Cs w:val="21"/>
                <w:lang w:val="en-US" w:eastAsia="zh-CN"/>
              </w:rPr>
            </w:pPr>
            <w:r>
              <w:rPr>
                <w:rFonts w:hint="eastAsia" w:ascii="仿宋" w:hAnsi="仿宋" w:eastAsia="仿宋" w:cs="仿宋"/>
                <w:b w:val="0"/>
                <w:bCs w:val="0"/>
                <w:color w:val="auto"/>
                <w:kern w:val="0"/>
                <w:sz w:val="24"/>
                <w:szCs w:val="24"/>
                <w:lang w:val="en-US" w:eastAsia="zh-CN"/>
              </w:rPr>
              <w:t>0-3分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3</w:t>
            </w:r>
          </w:p>
        </w:tc>
        <w:tc>
          <w:tcPr>
            <w:tcW w:w="1372"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信用等级</w:t>
            </w:r>
          </w:p>
        </w:tc>
        <w:tc>
          <w:tcPr>
            <w:tcW w:w="5325" w:type="dxa"/>
            <w:tcBorders>
              <w:top w:val="single" w:color="auto" w:sz="12" w:space="0"/>
              <w:bottom w:val="single" w:color="auto" w:sz="12" w:space="0"/>
            </w:tcBorders>
            <w:vAlign w:val="center"/>
          </w:tcPr>
          <w:p>
            <w:pPr>
              <w:autoSpaceDE w:val="0"/>
              <w:adjustRightInd w:val="0"/>
              <w:jc w:val="left"/>
              <w:rPr>
                <w:rFonts w:hint="eastAsia" w:ascii="仿宋" w:hAnsi="仿宋" w:eastAsia="仿宋" w:cs="仿宋"/>
                <w:b w:val="0"/>
                <w:bCs w:val="0"/>
                <w:color w:val="auto"/>
                <w:szCs w:val="21"/>
              </w:rPr>
            </w:pPr>
            <w:r>
              <w:rPr>
                <w:rFonts w:hint="eastAsia" w:ascii="仿宋" w:hAnsi="仿宋" w:eastAsia="仿宋" w:cs="仿宋"/>
                <w:b w:val="0"/>
                <w:bCs w:val="0"/>
                <w:color w:val="auto"/>
                <w:sz w:val="24"/>
                <w:szCs w:val="24"/>
                <w:lang w:eastAsia="zh-CN"/>
              </w:rPr>
              <w:t>投标人自202</w:t>
            </w: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lang w:eastAsia="zh-CN"/>
              </w:rPr>
              <w:t>年1月1日以来（以颁发落款日期为准）已取得信用等级证书AAA级得2分，AA级得1分，其余不得分。</w:t>
            </w:r>
          </w:p>
        </w:tc>
        <w:tc>
          <w:tcPr>
            <w:tcW w:w="1470"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 w:val="24"/>
                <w:szCs w:val="24"/>
                <w:lang w:val="en-US" w:eastAsia="zh-CN"/>
              </w:rPr>
              <w:t>0-2分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474"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4</w:t>
            </w:r>
          </w:p>
        </w:tc>
        <w:tc>
          <w:tcPr>
            <w:tcW w:w="1372"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 w:val="24"/>
                <w:szCs w:val="24"/>
                <w:lang w:val="en-US" w:eastAsia="zh-CN"/>
              </w:rPr>
              <w:t>产品性能及技术指标</w:t>
            </w:r>
          </w:p>
        </w:tc>
        <w:tc>
          <w:tcPr>
            <w:tcW w:w="5325" w:type="dxa"/>
            <w:tcBorders>
              <w:top w:val="single" w:color="auto" w:sz="12" w:space="0"/>
              <w:bottom w:val="single" w:color="auto" w:sz="12" w:space="0"/>
            </w:tcBorders>
            <w:vAlign w:val="center"/>
          </w:tcPr>
          <w:p>
            <w:pPr>
              <w:autoSpaceDE w:val="0"/>
              <w:adjustRightInd w:val="0"/>
              <w:jc w:val="both"/>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完全符合招标文件要求的得35分，带★的条款为实质性指标，每有一项负偏离作为无效标处理；带▲的条款为主要性能指标，每有一项负偏离扣3分；其余为一般指标，每有一项负偏离扣2分，扣完为止。</w:t>
            </w:r>
          </w:p>
        </w:tc>
        <w:tc>
          <w:tcPr>
            <w:tcW w:w="1470"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0-35分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5</w:t>
            </w:r>
          </w:p>
        </w:tc>
        <w:tc>
          <w:tcPr>
            <w:tcW w:w="1372"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交货时间</w:t>
            </w:r>
          </w:p>
        </w:tc>
        <w:tc>
          <w:tcPr>
            <w:tcW w:w="5325" w:type="dxa"/>
            <w:tcBorders>
              <w:top w:val="single" w:color="auto" w:sz="12" w:space="0"/>
              <w:bottom w:val="single" w:color="auto" w:sz="12" w:space="0"/>
            </w:tcBorders>
            <w:vAlign w:val="center"/>
          </w:tcPr>
          <w:p>
            <w:pPr>
              <w:autoSpaceDE w:val="0"/>
              <w:adjustRightInd w:val="0"/>
              <w:jc w:val="both"/>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承诺合同签订后55日历天内车辆至招标人指定的地点并验收合格的</w:t>
            </w:r>
            <w:r>
              <w:rPr>
                <w:rFonts w:hint="eastAsia" w:ascii="仿宋" w:hAnsi="仿宋" w:eastAsia="仿宋" w:cs="仿宋"/>
                <w:b w:val="0"/>
                <w:bCs w:val="0"/>
                <w:color w:val="auto"/>
                <w:sz w:val="24"/>
                <w:szCs w:val="24"/>
                <w:lang w:eastAsia="zh-CN"/>
              </w:rPr>
              <w:t>得</w:t>
            </w:r>
            <w:r>
              <w:rPr>
                <w:rFonts w:hint="eastAsia" w:ascii="仿宋" w:hAnsi="仿宋" w:eastAsia="仿宋" w:cs="仿宋"/>
                <w:b w:val="0"/>
                <w:bCs w:val="0"/>
                <w:color w:val="auto"/>
                <w:sz w:val="24"/>
                <w:szCs w:val="24"/>
                <w:lang w:val="en-US" w:eastAsia="zh-CN"/>
              </w:rPr>
              <w:t>0.5</w:t>
            </w:r>
            <w:r>
              <w:rPr>
                <w:rFonts w:hint="eastAsia" w:ascii="仿宋" w:hAnsi="仿宋" w:eastAsia="仿宋" w:cs="仿宋"/>
                <w:b w:val="0"/>
                <w:bCs w:val="0"/>
                <w:color w:val="auto"/>
                <w:sz w:val="24"/>
                <w:szCs w:val="24"/>
              </w:rPr>
              <w:t>分，承诺合同签订后50日历天内车辆至招标人指定的地点并验收合格的</w:t>
            </w:r>
            <w:r>
              <w:rPr>
                <w:rFonts w:hint="eastAsia" w:ascii="仿宋" w:hAnsi="仿宋" w:eastAsia="仿宋" w:cs="仿宋"/>
                <w:b w:val="0"/>
                <w:bCs w:val="0"/>
                <w:color w:val="auto"/>
                <w:sz w:val="24"/>
                <w:szCs w:val="24"/>
                <w:lang w:eastAsia="zh-CN"/>
              </w:rPr>
              <w:t>得</w:t>
            </w: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分。</w:t>
            </w:r>
          </w:p>
        </w:tc>
        <w:tc>
          <w:tcPr>
            <w:tcW w:w="1470"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Cs w:val="21"/>
                <w:lang w:val="en-US" w:eastAsia="zh-CN"/>
              </w:rPr>
            </w:pPr>
            <w:r>
              <w:rPr>
                <w:rFonts w:hint="eastAsia" w:ascii="仿宋" w:hAnsi="仿宋" w:eastAsia="仿宋" w:cs="仿宋"/>
                <w:b w:val="0"/>
                <w:bCs w:val="0"/>
                <w:color w:val="auto"/>
                <w:kern w:val="0"/>
                <w:sz w:val="24"/>
                <w:szCs w:val="24"/>
                <w:lang w:val="en-US" w:eastAsia="zh-CN"/>
              </w:rPr>
              <w:t>0-1分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6</w:t>
            </w:r>
          </w:p>
        </w:tc>
        <w:tc>
          <w:tcPr>
            <w:tcW w:w="1372"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质保期</w:t>
            </w:r>
          </w:p>
        </w:tc>
        <w:tc>
          <w:tcPr>
            <w:tcW w:w="5325" w:type="dxa"/>
            <w:tcBorders>
              <w:top w:val="single" w:color="auto" w:sz="12" w:space="0"/>
              <w:bottom w:val="single" w:color="auto" w:sz="12" w:space="0"/>
            </w:tcBorders>
            <w:vAlign w:val="center"/>
          </w:tcPr>
          <w:p>
            <w:pPr>
              <w:autoSpaceDE w:val="0"/>
              <w:adjustRightInd w:val="0"/>
              <w:jc w:val="left"/>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承诺售后保养在各标项要求的基础上，每增加1年或2万公里的得2分，最高得4分。</w:t>
            </w:r>
          </w:p>
        </w:tc>
        <w:tc>
          <w:tcPr>
            <w:tcW w:w="1470"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0-4分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7</w:t>
            </w:r>
          </w:p>
        </w:tc>
        <w:tc>
          <w:tcPr>
            <w:tcW w:w="1372"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售后服务</w:t>
            </w:r>
          </w:p>
        </w:tc>
        <w:tc>
          <w:tcPr>
            <w:tcW w:w="5325" w:type="dxa"/>
            <w:tcBorders>
              <w:top w:val="single" w:color="auto" w:sz="12" w:space="0"/>
              <w:bottom w:val="single" w:color="auto" w:sz="12" w:space="0"/>
            </w:tcBorders>
            <w:vAlign w:val="center"/>
          </w:tcPr>
          <w:p>
            <w:pPr>
              <w:autoSpaceDE w:val="0"/>
              <w:adjustRightInd w:val="0"/>
              <w:jc w:val="left"/>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zh-CN" w:eastAsia="zh-CN"/>
              </w:rPr>
              <w:t>根据投标人的售后服务（承诺）和质保期方案（包括响应时间、维修时间、售后服务优惠承诺、配件及耗材优惠、售后服务保障措施）进行综合打分。</w:t>
            </w:r>
          </w:p>
        </w:tc>
        <w:tc>
          <w:tcPr>
            <w:tcW w:w="1470"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0-5分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915"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8</w:t>
            </w:r>
          </w:p>
        </w:tc>
        <w:tc>
          <w:tcPr>
            <w:tcW w:w="1372" w:type="dxa"/>
            <w:tcBorders>
              <w:top w:val="single" w:color="auto" w:sz="12" w:space="0"/>
              <w:bottom w:val="single" w:color="auto" w:sz="12" w:space="0"/>
            </w:tcBorders>
            <w:vAlign w:val="center"/>
          </w:tcPr>
          <w:p>
            <w:pPr>
              <w:autoSpaceDE w:val="0"/>
              <w:adjustRightInd w:val="0"/>
              <w:jc w:val="center"/>
              <w:rPr>
                <w:rFonts w:hint="default"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4S店</w:t>
            </w:r>
          </w:p>
        </w:tc>
        <w:tc>
          <w:tcPr>
            <w:tcW w:w="5325" w:type="dxa"/>
            <w:tcBorders>
              <w:top w:val="single" w:color="auto" w:sz="12" w:space="0"/>
              <w:bottom w:val="single" w:color="auto" w:sz="12" w:space="0"/>
            </w:tcBorders>
            <w:vAlign w:val="center"/>
          </w:tcPr>
          <w:p>
            <w:pPr>
              <w:autoSpaceDE w:val="0"/>
              <w:adjustRightInd w:val="0"/>
              <w:jc w:val="left"/>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投标人在嵊州市有4S店的得5分，在绍兴市有4S店的得4分，在浙江省内有4S店的得3分，其余不得分。（提供厂家有效授权书，原件备查）。</w:t>
            </w:r>
          </w:p>
        </w:tc>
        <w:tc>
          <w:tcPr>
            <w:tcW w:w="1470" w:type="dxa"/>
            <w:tcBorders>
              <w:top w:val="single" w:color="auto" w:sz="12" w:space="0"/>
              <w:bottom w:val="single" w:color="auto" w:sz="12" w:space="0"/>
            </w:tcBorders>
            <w:vAlign w:val="center"/>
          </w:tcPr>
          <w:p>
            <w:pPr>
              <w:autoSpaceDE w:val="0"/>
              <w:adjustRightInd w:val="0"/>
              <w:jc w:val="center"/>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0-5分</w:t>
            </w:r>
          </w:p>
        </w:tc>
      </w:tr>
    </w:tbl>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注：投标文件评分索引不全或与内容不一致所导致的不良后果由投标人承担。</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4</w:t>
      </w:r>
      <w:r>
        <w:rPr>
          <w:rFonts w:hint="eastAsia" w:ascii="仿宋_GB2312" w:hAnsi="宋体" w:eastAsia="仿宋_GB2312"/>
          <w:b/>
          <w:bCs/>
          <w:iCs/>
          <w:color w:val="auto"/>
          <w:sz w:val="24"/>
        </w:rPr>
        <w:t>0分）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spacing w:line="440" w:lineRule="exact"/>
        <w:ind w:firstLine="482" w:firstLineChars="200"/>
        <w:rPr>
          <w:rFonts w:ascii="仿宋_GB2312" w:hAnsi="宋体" w:eastAsia="仿宋_GB2312"/>
          <w:bCs/>
          <w:iCs/>
          <w:color w:val="auto"/>
          <w:sz w:val="24"/>
        </w:rPr>
      </w:pPr>
      <w:r>
        <w:rPr>
          <w:rFonts w:hint="eastAsia" w:ascii="仿宋_GB2312" w:hAnsi="宋体" w:eastAsia="仿宋_GB2312"/>
          <w:b/>
          <w:iCs/>
          <w:color w:val="auto"/>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9"/>
    <w:bookmarkEnd w:id="10"/>
    <w:bookmarkEnd w:id="11"/>
    <w:bookmarkEnd w:id="12"/>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宋体" w:eastAsia="仿宋_GB2312"/>
          <w:b/>
          <w:color w:val="auto"/>
          <w:sz w:val="36"/>
          <w:szCs w:val="36"/>
        </w:rPr>
        <w:t>投标文件</w:t>
      </w:r>
      <w:r>
        <w:rPr>
          <w:rFonts w:hint="eastAsia" w:ascii="仿宋_GB2312" w:hAnsi="仿宋_GB2312" w:eastAsia="仿宋_GB2312" w:cs="仿宋_GB2312"/>
          <w:b/>
          <w:color w:val="auto"/>
          <w:sz w:val="36"/>
          <w:szCs w:val="20"/>
        </w:rPr>
        <w:t>应提交的有关格式范例</w:t>
      </w:r>
    </w:p>
    <w:p>
      <w:pPr>
        <w:spacing w:line="360" w:lineRule="auto"/>
        <w:ind w:firstLine="480" w:firstLineChars="200"/>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报价文件部分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pPr>
        <w:numPr>
          <w:ilvl w:val="0"/>
          <w:numId w:val="7"/>
        </w:numPr>
        <w:spacing w:line="360" w:lineRule="auto"/>
        <w:outlineLvl w:val="0"/>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投标响应函……………………………………………………（页码）</w:t>
      </w:r>
    </w:p>
    <w:p>
      <w:pPr>
        <w:numPr>
          <w:ilvl w:val="0"/>
          <w:numId w:val="0"/>
        </w:num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（2）开标一览表……………………………………………………（页码）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en-US" w:eastAsia="zh-CN"/>
        </w:rPr>
        <w:t>3</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eastAsia="zh-CN"/>
        </w:rPr>
        <w:t>报价明细</w:t>
      </w:r>
      <w:r>
        <w:rPr>
          <w:rFonts w:hint="eastAsia" w:ascii="仿宋_GB2312" w:hAnsi="仿宋_GB2312" w:eastAsia="仿宋_GB2312" w:cs="仿宋_GB2312"/>
          <w:color w:val="auto"/>
          <w:kern w:val="0"/>
          <w:sz w:val="24"/>
        </w:rPr>
        <w:t>表……………………………………………………（页码）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（3）中小企业声明函………………………………………………（页码）</w:t>
      </w:r>
    </w:p>
    <w:p>
      <w:pPr>
        <w:spacing w:line="360" w:lineRule="auto"/>
        <w:outlineLvl w:val="0"/>
        <w:rPr>
          <w:rFonts w:ascii="仿宋_GB2312" w:hAnsi="宋体" w:eastAsia="仿宋_GB2312"/>
          <w:b/>
          <w:color w:val="auto"/>
          <w:sz w:val="36"/>
          <w:szCs w:val="36"/>
        </w:rPr>
      </w:pPr>
      <w:r>
        <w:rPr>
          <w:rFonts w:hint="eastAsia" w:ascii="仿宋_GB2312" w:hAnsi="仿宋_GB2312" w:eastAsia="仿宋_GB2312" w:cs="仿宋_GB2312"/>
          <w:color w:val="auto"/>
          <w:sz w:val="24"/>
        </w:rPr>
        <w:t>（4）残疾人福利性单位声明函</w:t>
      </w:r>
      <w:r>
        <w:rPr>
          <w:rFonts w:hint="eastAsia" w:ascii="仿宋_GB2312" w:hAnsi="仿宋_GB2312" w:eastAsia="仿宋_GB2312" w:cs="仿宋_GB2312"/>
          <w:color w:val="auto"/>
          <w:kern w:val="0"/>
          <w:sz w:val="24"/>
        </w:rPr>
        <w:t>……………………………………（页码）</w:t>
      </w:r>
    </w:p>
    <w:p>
      <w:pPr>
        <w:pStyle w:val="22"/>
        <w:spacing w:line="800" w:lineRule="atLeast"/>
        <w:ind w:left="0" w:leftChars="0"/>
        <w:rPr>
          <w:rFonts w:ascii="仿宋_GB2312" w:hAnsi="宋体" w:eastAsia="仿宋_GB2312"/>
          <w:b/>
          <w:color w:val="auto"/>
          <w:sz w:val="36"/>
          <w:szCs w:val="36"/>
        </w:rPr>
      </w:pPr>
    </w:p>
    <w:p>
      <w:pPr>
        <w:pStyle w:val="22"/>
        <w:spacing w:line="800" w:lineRule="atLeast"/>
        <w:ind w:left="0" w:leftChars="0"/>
        <w:rPr>
          <w:rFonts w:ascii="仿宋_GB2312" w:hAnsi="宋体" w:eastAsia="仿宋_GB2312"/>
          <w:b/>
          <w:color w:val="auto"/>
          <w:sz w:val="36"/>
          <w:szCs w:val="36"/>
        </w:rPr>
      </w:pPr>
    </w:p>
    <w:p>
      <w:pPr>
        <w:pStyle w:val="22"/>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pageBreakBefore/>
        <w:rPr>
          <w:rFonts w:ascii="仿宋_GB2312" w:hAnsi="宋体" w:eastAsia="仿宋_GB2312"/>
          <w:b/>
          <w:color w:val="auto"/>
          <w:sz w:val="30"/>
          <w:szCs w:val="30"/>
        </w:rPr>
      </w:pPr>
      <w:r>
        <w:rPr>
          <w:rFonts w:hint="eastAsia" w:ascii="仿宋_GB2312" w:hAnsi="宋体" w:eastAsia="仿宋_GB2312"/>
          <w:b/>
          <w:color w:val="auto"/>
          <w:sz w:val="30"/>
          <w:szCs w:val="30"/>
        </w:rPr>
        <w:t>1、投标响应函（格式）</w:t>
      </w:r>
    </w:p>
    <w:p>
      <w:pPr>
        <w:pStyle w:val="73"/>
        <w:spacing w:afterLines="0" w:line="440" w:lineRule="exact"/>
        <w:ind w:firstLine="0" w:firstLineChars="0"/>
        <w:rPr>
          <w:rFonts w:ascii="仿宋_GB2312" w:hAnsi="宋体" w:eastAsia="仿宋_GB2312"/>
          <w:color w:val="auto"/>
          <w:szCs w:val="24"/>
        </w:rPr>
      </w:pPr>
    </w:p>
    <w:p>
      <w:pPr>
        <w:pStyle w:val="73"/>
        <w:spacing w:afterLines="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致：</w:t>
      </w:r>
      <w:r>
        <w:rPr>
          <w:rFonts w:hint="eastAsia" w:ascii="仿宋_GB2312" w:hAnsi="宋体" w:eastAsia="仿宋_GB2312"/>
          <w:color w:val="auto"/>
          <w:szCs w:val="24"/>
          <w:u w:val="single"/>
        </w:rPr>
        <w:t>嵊州市</w:t>
      </w:r>
      <w:r>
        <w:rPr>
          <w:rFonts w:hint="eastAsia" w:ascii="仿宋_GB2312" w:hAnsi="宋体" w:eastAsia="仿宋_GB2312"/>
          <w:color w:val="auto"/>
          <w:szCs w:val="24"/>
          <w:u w:val="single"/>
          <w:lang w:eastAsia="zh-CN"/>
        </w:rPr>
        <w:t>公安局</w:t>
      </w:r>
      <w:r>
        <w:rPr>
          <w:rFonts w:hint="eastAsia" w:ascii="仿宋_GB2312" w:hAnsi="宋体" w:eastAsia="仿宋_GB2312"/>
          <w:color w:val="auto"/>
          <w:szCs w:val="24"/>
          <w:u w:val="single"/>
          <w:lang w:val="en-US" w:eastAsia="zh-CN"/>
        </w:rPr>
        <w:t>/</w:t>
      </w:r>
      <w:r>
        <w:rPr>
          <w:rFonts w:hint="eastAsia" w:ascii="仿宋_GB2312" w:hAnsi="宋体" w:eastAsia="仿宋_GB2312"/>
          <w:color w:val="auto"/>
          <w:szCs w:val="24"/>
          <w:u w:val="single"/>
          <w:lang w:eastAsia="zh-CN"/>
        </w:rPr>
        <w:t>嵊州市公安局交通警察大队</w:t>
      </w:r>
      <w:r>
        <w:rPr>
          <w:rFonts w:hint="eastAsia" w:ascii="仿宋_GB2312" w:hAnsi="宋体" w:eastAsia="仿宋_GB2312"/>
          <w:color w:val="auto"/>
          <w:szCs w:val="24"/>
          <w:u w:val="single"/>
        </w:rPr>
        <w:t>、嵊州市公共资源交易中心</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根据贵方招标文件（</w:t>
      </w:r>
      <w:r>
        <w:rPr>
          <w:rFonts w:hint="eastAsia" w:ascii="仿宋_GB2312" w:hAnsi="宋体" w:eastAsia="仿宋_GB2312"/>
          <w:b/>
          <w:color w:val="auto"/>
          <w:szCs w:val="24"/>
          <w:u w:val="single"/>
        </w:rPr>
        <w:t>填写招标编号：</w:t>
      </w:r>
      <w:r>
        <w:rPr>
          <w:rFonts w:hint="eastAsia" w:ascii="仿宋_GB2312" w:hAnsi="宋体" w:eastAsia="仿宋_GB2312"/>
          <w:color w:val="auto"/>
          <w:szCs w:val="24"/>
        </w:rPr>
        <w:t>）的要求，正式授权</w:t>
      </w:r>
      <w:r>
        <w:rPr>
          <w:rFonts w:hint="eastAsia" w:ascii="仿宋_GB2312" w:hAnsi="宋体" w:eastAsia="仿宋_GB2312"/>
          <w:b/>
          <w:color w:val="auto"/>
          <w:szCs w:val="24"/>
          <w:u w:val="single"/>
        </w:rPr>
        <w:t>（全权代表姓名    、单位    、职务   ）</w:t>
      </w:r>
      <w:r>
        <w:rPr>
          <w:rFonts w:hint="eastAsia" w:ascii="仿宋_GB2312" w:hAnsi="宋体" w:eastAsia="仿宋_GB2312"/>
          <w:color w:val="auto"/>
          <w:szCs w:val="24"/>
        </w:rPr>
        <w:t>代表投标人</w:t>
      </w:r>
      <w:r>
        <w:rPr>
          <w:rFonts w:hint="eastAsia" w:ascii="仿宋_GB2312" w:hAnsi="宋体" w:eastAsia="仿宋_GB2312"/>
          <w:color w:val="auto"/>
          <w:szCs w:val="24"/>
          <w:u w:val="single"/>
        </w:rPr>
        <w:t>（</w:t>
      </w:r>
      <w:r>
        <w:rPr>
          <w:rFonts w:hint="eastAsia" w:ascii="仿宋_GB2312" w:hAnsi="宋体" w:eastAsia="仿宋_GB2312"/>
          <w:b/>
          <w:color w:val="auto"/>
          <w:szCs w:val="24"/>
          <w:u w:val="single"/>
        </w:rPr>
        <w:t xml:space="preserve">填写单位    、地址   </w:t>
      </w:r>
      <w:r>
        <w:rPr>
          <w:rFonts w:hint="eastAsia" w:ascii="仿宋_GB2312" w:hAnsi="宋体" w:eastAsia="仿宋_GB2312"/>
          <w:color w:val="auto"/>
          <w:szCs w:val="24"/>
          <w:u w:val="single"/>
        </w:rPr>
        <w:t>）</w:t>
      </w:r>
      <w:r>
        <w:rPr>
          <w:rFonts w:hint="eastAsia" w:ascii="仿宋_GB2312" w:hAnsi="宋体" w:eastAsia="仿宋_GB2312"/>
          <w:color w:val="auto"/>
          <w:szCs w:val="24"/>
        </w:rPr>
        <w:t>提交投标文件。</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szCs w:val="24"/>
        </w:rPr>
        <w:t>1.</w:t>
      </w:r>
      <w:r>
        <w:rPr>
          <w:rFonts w:hint="eastAsia" w:ascii="仿宋_GB2312" w:hAnsi="仿宋" w:eastAsia="仿宋_GB2312" w:cs="仿宋_GB2312"/>
          <w:color w:val="auto"/>
        </w:rPr>
        <w:t>我方同意在投标人</w:t>
      </w:r>
      <w:r>
        <w:rPr>
          <w:rFonts w:hint="eastAsia" w:ascii="仿宋_GB2312" w:hAnsi="仿宋" w:eastAsia="仿宋_GB2312" w:cs="仿宋_GB2312"/>
          <w:color w:val="auto"/>
          <w:kern w:val="44"/>
        </w:rPr>
        <w:t>须知</w:t>
      </w:r>
      <w:r>
        <w:rPr>
          <w:rFonts w:hint="eastAsia" w:ascii="仿宋_GB2312" w:hAnsi="仿宋" w:eastAsia="仿宋_GB2312" w:cs="仿宋_GB2312"/>
          <w:color w:val="auto"/>
        </w:rPr>
        <w:t>规定的开标日期起遵守本投标文件中的承诺且在投标有效期满之前均具有约束力</w:t>
      </w:r>
      <w:r>
        <w:rPr>
          <w:rFonts w:hint="eastAsia" w:ascii="仿宋_GB2312" w:hAnsi="宋体" w:eastAsia="仿宋_GB2312"/>
          <w:color w:val="auto"/>
          <w:szCs w:val="24"/>
        </w:rPr>
        <w:t>。</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2.我方承诺已经具备《中华人民共和国政府采购法》中规定的参加政府采购活动的供应商应当具备的条件。</w:t>
      </w:r>
    </w:p>
    <w:p>
      <w:pPr>
        <w:pStyle w:val="73"/>
        <w:spacing w:afterLines="0" w:line="440" w:lineRule="exact"/>
        <w:ind w:firstLine="480"/>
        <w:rPr>
          <w:rFonts w:ascii="仿宋_GB2312" w:eastAsia="仿宋_GB2312"/>
          <w:color w:val="auto"/>
        </w:rPr>
      </w:pPr>
      <w:r>
        <w:rPr>
          <w:rFonts w:hint="eastAsia" w:ascii="仿宋_GB2312" w:hAnsi="宋体" w:eastAsia="仿宋_GB2312"/>
          <w:color w:val="auto"/>
          <w:szCs w:val="24"/>
        </w:rPr>
        <w:t>3.</w:t>
      </w:r>
      <w:r>
        <w:rPr>
          <w:rFonts w:hint="eastAsia" w:ascii="仿宋_GB2312" w:eastAsia="仿宋_GB2312"/>
          <w:color w:val="auto"/>
        </w:rPr>
        <w:t>本公司投标文件中填列的技术参数、配置、服务、数量等相关内容都是真实、准确的。保证在本次项目中所提供的资料全部真实和合法。同意向嵊州市公共资源交易中心提供可能另外要求的与投标有关的任何数据或资料。</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rPr>
        <w:t>5.</w:t>
      </w:r>
      <w:r>
        <w:rPr>
          <w:rFonts w:hint="eastAsia" w:ascii="仿宋_GB2312" w:hAnsi="宋体" w:eastAsia="仿宋_GB2312"/>
          <w:color w:val="auto"/>
          <w:szCs w:val="24"/>
        </w:rPr>
        <w:t>本投标自开标之日（投标截止之日）起90天内有效。</w:t>
      </w:r>
    </w:p>
    <w:p>
      <w:pPr>
        <w:pStyle w:val="73"/>
        <w:spacing w:afterLines="0" w:line="440" w:lineRule="exact"/>
        <w:ind w:firstLine="480"/>
        <w:rPr>
          <w:rFonts w:ascii="仿宋_GB2312" w:hAnsi="仿宋_GB2312" w:eastAsia="仿宋_GB2312" w:cs="仿宋_GB2312"/>
          <w:color w:val="auto"/>
        </w:rPr>
      </w:pPr>
      <w:r>
        <w:rPr>
          <w:rFonts w:hint="eastAsia" w:ascii="仿宋_GB2312" w:hAnsi="宋体" w:eastAsia="仿宋_GB2312"/>
          <w:color w:val="auto"/>
          <w:szCs w:val="24"/>
        </w:rPr>
        <w:t>6</w:t>
      </w:r>
      <w:r>
        <w:rPr>
          <w:rFonts w:hint="eastAsia" w:ascii="仿宋_GB2312" w:hAnsi="仿宋_GB2312" w:eastAsia="仿宋_GB2312" w:cs="仿宋_GB2312"/>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a)提供虚假材料谋取中标、成交的；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供应商有前款第a)至e)项情形之一的，中标、成交无效。</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地址：　　　　　　　　　　　　　　　邮政编码：</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电话：                              传真：</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开户银行：                          帐号：</w:t>
      </w:r>
    </w:p>
    <w:p>
      <w:pPr>
        <w:pStyle w:val="73"/>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法定代表人或其授权代表(签字或盖章)：</w:t>
      </w:r>
    </w:p>
    <w:p>
      <w:pPr>
        <w:pStyle w:val="73"/>
        <w:spacing w:afterLines="0" w:line="440" w:lineRule="exact"/>
        <w:ind w:firstLine="480"/>
        <w:rPr>
          <w:rFonts w:ascii="仿宋_GB2312" w:hAnsi="宋体" w:eastAsia="仿宋_GB2312"/>
          <w:b/>
          <w:color w:val="auto"/>
          <w:sz w:val="30"/>
          <w:szCs w:val="30"/>
        </w:rPr>
      </w:pPr>
      <w:r>
        <w:rPr>
          <w:rFonts w:hint="eastAsia" w:ascii="仿宋_GB2312" w:hAnsi="宋体" w:eastAsia="仿宋_GB2312"/>
          <w:color w:val="auto"/>
          <w:szCs w:val="24"/>
        </w:rPr>
        <w:t xml:space="preserve">投标人(电子签章)：　　　　　　　　　日期：   </w:t>
      </w:r>
    </w:p>
    <w:p>
      <w:pPr>
        <w:pStyle w:val="3"/>
        <w:numPr>
          <w:ilvl w:val="0"/>
          <w:numId w:val="0"/>
        </w:numPr>
        <w:tabs>
          <w:tab w:val="left" w:pos="358"/>
          <w:tab w:val="left" w:pos="360"/>
          <w:tab w:val="clear" w:pos="1145"/>
        </w:tabs>
        <w:ind w:leftChars="0"/>
        <w:rPr>
          <w:color w:val="auto"/>
        </w:rPr>
      </w:pPr>
      <w:bookmarkStart w:id="38" w:name="_Toc8044859"/>
      <w:r>
        <w:rPr>
          <w:rFonts w:hint="eastAsia" w:ascii="宋体" w:hAnsi="宋体"/>
          <w:b/>
          <w:bCs/>
          <w:color w:val="auto"/>
          <w:sz w:val="28"/>
          <w:lang w:val="en-US" w:eastAsia="zh-CN"/>
        </w:rPr>
        <w:t>2</w:t>
      </w:r>
      <w:r>
        <w:rPr>
          <w:rFonts w:hint="eastAsia" w:ascii="宋体" w:hAnsi="宋体"/>
          <w:b/>
          <w:bCs/>
          <w:color w:val="auto"/>
          <w:sz w:val="28"/>
        </w:rPr>
        <w:t>、</w:t>
      </w:r>
      <w:bookmarkStart w:id="39" w:name="_Toc452965656"/>
      <w:bookmarkStart w:id="40" w:name="_Toc339302149"/>
      <w:bookmarkStart w:id="41" w:name="_Toc16808"/>
      <w:bookmarkStart w:id="42" w:name="_Toc340321933"/>
      <w:bookmarkStart w:id="43" w:name="_Toc340322188"/>
      <w:r>
        <w:rPr>
          <w:rFonts w:hint="eastAsia" w:ascii="宋体" w:hAnsi="宋体"/>
          <w:b/>
          <w:bCs/>
          <w:color w:val="auto"/>
          <w:sz w:val="28"/>
        </w:rPr>
        <w:t>开标一览表（报价表）</w:t>
      </w:r>
      <w:bookmarkEnd w:id="38"/>
      <w:bookmarkEnd w:id="39"/>
      <w:bookmarkEnd w:id="40"/>
      <w:bookmarkEnd w:id="41"/>
      <w:bookmarkEnd w:id="42"/>
      <w:bookmarkEnd w:id="43"/>
    </w:p>
    <w:p>
      <w:pPr>
        <w:pStyle w:val="45"/>
        <w:rPr>
          <w:rFonts w:hint="eastAsia"/>
          <w:color w:val="auto"/>
        </w:rPr>
      </w:pPr>
    </w:p>
    <w:p>
      <w:pPr>
        <w:spacing w:line="360" w:lineRule="auto"/>
        <w:ind w:firstLine="480"/>
        <w:rPr>
          <w:rFonts w:hint="eastAsia" w:ascii="仿宋" w:hAnsi="仿宋" w:eastAsia="仿宋" w:cs="仿宋"/>
          <w:color w:val="auto"/>
          <w:sz w:val="24"/>
          <w:szCs w:val="24"/>
          <w:u w:val="single"/>
          <w:lang w:eastAsia="zh-CN"/>
        </w:rPr>
      </w:pPr>
      <w:r>
        <w:rPr>
          <w:rFonts w:hint="eastAsia" w:ascii="仿宋" w:hAnsi="仿宋" w:eastAsia="仿宋" w:cs="仿宋"/>
          <w:color w:val="auto"/>
          <w:sz w:val="24"/>
          <w:szCs w:val="24"/>
        </w:rPr>
        <w:t>标    项：</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价格单位：（人民币）元</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6"/>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676" w:type="dxa"/>
            <w:noWrap w:val="0"/>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采购内容</w:t>
            </w:r>
          </w:p>
        </w:tc>
        <w:tc>
          <w:tcPr>
            <w:tcW w:w="4253" w:type="dxa"/>
            <w:noWrap w:val="0"/>
            <w:vAlign w:val="center"/>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报 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676" w:type="dxa"/>
            <w:noWrap w:val="0"/>
            <w:vAlign w:val="center"/>
          </w:tcPr>
          <w:p>
            <w:pPr>
              <w:spacing w:line="360" w:lineRule="auto"/>
              <w:jc w:val="center"/>
              <w:rPr>
                <w:rFonts w:hint="eastAsia" w:ascii="仿宋" w:hAnsi="仿宋" w:eastAsia="仿宋" w:cs="仿宋"/>
                <w:color w:val="auto"/>
                <w:sz w:val="24"/>
                <w:szCs w:val="24"/>
                <w:lang w:eastAsia="zh-CN"/>
              </w:rPr>
            </w:pPr>
          </w:p>
        </w:tc>
        <w:tc>
          <w:tcPr>
            <w:tcW w:w="4253" w:type="dxa"/>
            <w:noWrap w:val="0"/>
            <w:vAlign w:val="center"/>
          </w:tcPr>
          <w:p>
            <w:pPr>
              <w:spacing w:line="360" w:lineRule="auto"/>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676" w:type="dxa"/>
            <w:noWrap w:val="0"/>
            <w:vAlign w:val="center"/>
          </w:tcPr>
          <w:p>
            <w:pPr>
              <w:spacing w:line="360" w:lineRule="auto"/>
              <w:jc w:val="center"/>
              <w:rPr>
                <w:rFonts w:hint="eastAsia" w:ascii="仿宋" w:hAnsi="仿宋" w:eastAsia="仿宋" w:cs="仿宋"/>
                <w:color w:val="auto"/>
                <w:spacing w:val="6"/>
                <w:sz w:val="24"/>
                <w:szCs w:val="24"/>
              </w:rPr>
            </w:pPr>
            <w:r>
              <w:rPr>
                <w:rFonts w:hint="eastAsia" w:ascii="仿宋" w:hAnsi="仿宋" w:eastAsia="仿宋" w:cs="仿宋"/>
                <w:b/>
                <w:color w:val="auto"/>
                <w:sz w:val="24"/>
                <w:szCs w:val="24"/>
              </w:rPr>
              <w:t>大写（人民币）：</w:t>
            </w:r>
          </w:p>
        </w:tc>
        <w:tc>
          <w:tcPr>
            <w:tcW w:w="4253" w:type="dxa"/>
            <w:noWrap w:val="0"/>
            <w:vAlign w:val="center"/>
          </w:tcPr>
          <w:p>
            <w:pPr>
              <w:spacing w:line="360" w:lineRule="auto"/>
              <w:jc w:val="center"/>
              <w:rPr>
                <w:rFonts w:hint="eastAsia" w:ascii="仿宋" w:hAnsi="仿宋" w:eastAsia="仿宋" w:cs="仿宋"/>
                <w:color w:val="auto"/>
                <w:sz w:val="24"/>
                <w:szCs w:val="24"/>
              </w:rPr>
            </w:pPr>
          </w:p>
        </w:tc>
      </w:tr>
    </w:tbl>
    <w:p>
      <w:pPr>
        <w:spacing w:line="360" w:lineRule="auto"/>
        <w:ind w:firstLine="480"/>
        <w:rPr>
          <w:rFonts w:ascii="宋体" w:hAnsi="宋体"/>
          <w:color w:val="auto"/>
          <w:sz w:val="21"/>
          <w:szCs w:val="21"/>
        </w:rPr>
      </w:pPr>
    </w:p>
    <w:p>
      <w:pPr>
        <w:spacing w:line="360" w:lineRule="auto"/>
        <w:ind w:firstLine="482"/>
        <w:rPr>
          <w:rFonts w:hint="eastAsia" w:ascii="仿宋" w:hAnsi="仿宋" w:eastAsia="仿宋" w:cs="仿宋"/>
          <w:color w:val="auto"/>
          <w:sz w:val="24"/>
          <w:szCs w:val="24"/>
        </w:rPr>
      </w:pPr>
      <w:r>
        <w:rPr>
          <w:rFonts w:hint="eastAsia" w:ascii="仿宋" w:hAnsi="仿宋" w:eastAsia="仿宋" w:cs="仿宋"/>
          <w:color w:val="auto"/>
          <w:sz w:val="24"/>
          <w:szCs w:val="24"/>
        </w:rPr>
        <w:t>注：此表的报价系本次投标所有需买方支付的金额总数即投标报价；</w:t>
      </w:r>
    </w:p>
    <w:p>
      <w:pPr>
        <w:adjustRightInd w:val="0"/>
        <w:snapToGrid w:val="0"/>
        <w:spacing w:line="360" w:lineRule="auto"/>
        <w:jc w:val="center"/>
        <w:rPr>
          <w:rFonts w:hint="eastAsia" w:ascii="仿宋" w:hAnsi="仿宋" w:eastAsia="仿宋" w:cs="仿宋"/>
          <w:b/>
          <w:color w:val="auto"/>
          <w:sz w:val="24"/>
          <w:szCs w:val="24"/>
        </w:rPr>
      </w:pPr>
    </w:p>
    <w:p>
      <w:pPr>
        <w:adjustRightInd w:val="0"/>
        <w:snapToGrid w:val="0"/>
        <w:spacing w:line="360" w:lineRule="auto"/>
        <w:jc w:val="center"/>
        <w:rPr>
          <w:rFonts w:hint="eastAsia" w:ascii="仿宋" w:hAnsi="仿宋" w:eastAsia="仿宋" w:cs="仿宋"/>
          <w:b/>
          <w:color w:val="auto"/>
          <w:sz w:val="24"/>
          <w:szCs w:val="24"/>
        </w:rPr>
      </w:pPr>
    </w:p>
    <w:p>
      <w:pPr>
        <w:spacing w:line="360" w:lineRule="auto"/>
        <w:ind w:firstLine="482"/>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投标人（电子签章）</w:t>
      </w:r>
      <w:r>
        <w:rPr>
          <w:rFonts w:hint="eastAsia" w:ascii="仿宋" w:hAnsi="仿宋" w:eastAsia="仿宋" w:cs="仿宋"/>
          <w:color w:val="auto"/>
          <w:sz w:val="24"/>
          <w:szCs w:val="24"/>
          <w:lang w:eastAsia="zh-CN"/>
        </w:rPr>
        <w:t>：</w:t>
      </w:r>
    </w:p>
    <w:p>
      <w:pPr>
        <w:spacing w:line="360" w:lineRule="auto"/>
        <w:ind w:firstLine="482"/>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法定代表人或其授权代表（签字或盖章）</w:t>
      </w:r>
      <w:r>
        <w:rPr>
          <w:rFonts w:hint="eastAsia" w:ascii="仿宋" w:hAnsi="仿宋" w:eastAsia="仿宋" w:cs="仿宋"/>
          <w:color w:val="auto"/>
          <w:sz w:val="24"/>
          <w:szCs w:val="24"/>
          <w:lang w:eastAsia="zh-CN"/>
        </w:rPr>
        <w:t>：</w:t>
      </w:r>
    </w:p>
    <w:p>
      <w:pPr>
        <w:spacing w:line="360" w:lineRule="auto"/>
        <w:ind w:firstLine="482"/>
        <w:rPr>
          <w:rFonts w:hint="eastAsia" w:ascii="仿宋" w:hAnsi="仿宋" w:eastAsia="仿宋" w:cs="仿宋"/>
          <w:color w:val="auto"/>
          <w:sz w:val="24"/>
          <w:szCs w:val="24"/>
        </w:rPr>
      </w:pPr>
      <w:r>
        <w:rPr>
          <w:rFonts w:hint="eastAsia" w:ascii="仿宋" w:hAnsi="仿宋" w:eastAsia="仿宋" w:cs="仿宋"/>
          <w:color w:val="auto"/>
          <w:sz w:val="24"/>
          <w:szCs w:val="24"/>
        </w:rPr>
        <w:t>日  期:</w:t>
      </w:r>
    </w:p>
    <w:p>
      <w:pPr>
        <w:pageBreakBefore/>
        <w:spacing w:line="800" w:lineRule="exact"/>
        <w:rPr>
          <w:color w:val="auto"/>
        </w:rPr>
      </w:pPr>
      <w:r>
        <w:rPr>
          <w:rFonts w:hint="eastAsia" w:ascii="仿宋_GB2312" w:hAnsi="宋体" w:eastAsia="仿宋_GB2312"/>
          <w:b/>
          <w:color w:val="auto"/>
          <w:sz w:val="30"/>
          <w:szCs w:val="30"/>
          <w:lang w:val="en-US" w:eastAsia="zh-CN"/>
        </w:rPr>
        <w:t>3</w:t>
      </w:r>
      <w:r>
        <w:rPr>
          <w:rFonts w:hint="eastAsia" w:ascii="仿宋_GB2312" w:hAnsi="宋体" w:eastAsia="仿宋_GB2312"/>
          <w:b/>
          <w:color w:val="auto"/>
          <w:sz w:val="30"/>
          <w:szCs w:val="30"/>
        </w:rPr>
        <w:t>、</w:t>
      </w:r>
      <w:r>
        <w:rPr>
          <w:rFonts w:hint="eastAsia" w:ascii="仿宋_GB2312" w:hAnsi="宋体" w:eastAsia="仿宋_GB2312"/>
          <w:b/>
          <w:color w:val="auto"/>
          <w:sz w:val="30"/>
          <w:szCs w:val="30"/>
          <w:lang w:eastAsia="zh-CN"/>
        </w:rPr>
        <w:t>报价明细</w:t>
      </w:r>
      <w:r>
        <w:rPr>
          <w:rFonts w:hint="eastAsia" w:ascii="仿宋_GB2312" w:hAnsi="宋体" w:eastAsia="仿宋_GB2312"/>
          <w:b/>
          <w:color w:val="auto"/>
          <w:sz w:val="30"/>
          <w:szCs w:val="30"/>
        </w:rPr>
        <w:t>表（格式）</w:t>
      </w:r>
    </w:p>
    <w:p>
      <w:pPr>
        <w:spacing w:line="400" w:lineRule="exact"/>
        <w:rPr>
          <w:rFonts w:ascii="仿宋_GB2312" w:hAnsi="宋体" w:eastAsia="仿宋_GB2312"/>
          <w:color w:val="auto"/>
          <w:sz w:val="24"/>
        </w:rPr>
      </w:pPr>
    </w:p>
    <w:p>
      <w:pPr>
        <w:spacing w:line="400" w:lineRule="exact"/>
        <w:rPr>
          <w:rFonts w:ascii="仿宋_GB2312" w:hAnsi="宋体" w:eastAsia="仿宋_GB2312"/>
          <w:color w:val="auto"/>
          <w:sz w:val="24"/>
        </w:rPr>
      </w:pPr>
      <w:r>
        <w:rPr>
          <w:rFonts w:hint="eastAsia" w:ascii="仿宋_GB2312" w:hAnsi="宋体" w:eastAsia="仿宋_GB2312"/>
          <w:color w:val="auto"/>
          <w:sz w:val="24"/>
        </w:rPr>
        <w:t>投标人名称：</w:t>
      </w:r>
    </w:p>
    <w:p>
      <w:pPr>
        <w:snapToGrid w:val="0"/>
        <w:spacing w:line="400" w:lineRule="exact"/>
        <w:rPr>
          <w:rFonts w:ascii="仿宋_GB2312" w:hAnsi="宋体" w:eastAsia="仿宋_GB2312"/>
          <w:color w:val="auto"/>
          <w:sz w:val="24"/>
        </w:rPr>
      </w:pPr>
      <w:r>
        <w:rPr>
          <w:rFonts w:hint="eastAsia" w:ascii="仿宋_GB2312" w:hAnsi="宋体" w:eastAsia="仿宋_GB2312"/>
          <w:color w:val="auto"/>
          <w:sz w:val="24"/>
        </w:rPr>
        <w:t>标    项：</w:t>
      </w:r>
    </w:p>
    <w:p>
      <w:pPr>
        <w:snapToGrid w:val="0"/>
        <w:spacing w:line="400" w:lineRule="exact"/>
        <w:rPr>
          <w:rFonts w:ascii="仿宋_GB2312" w:hAnsi="宋体" w:eastAsia="仿宋_GB2312"/>
          <w:color w:val="auto"/>
          <w:sz w:val="24"/>
          <w:u w:val="single"/>
        </w:rPr>
      </w:pPr>
      <w:r>
        <w:rPr>
          <w:rFonts w:hint="eastAsia" w:ascii="仿宋_GB2312" w:hAnsi="宋体" w:eastAsia="仿宋_GB2312"/>
          <w:color w:val="auto"/>
          <w:sz w:val="24"/>
        </w:rPr>
        <w:t>招标编号：</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单位：元</w:t>
      </w:r>
    </w:p>
    <w:tbl>
      <w:tblPr>
        <w:tblStyle w:val="47"/>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1472"/>
        <w:gridCol w:w="688"/>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rPr>
            </w:pPr>
            <w:r>
              <w:rPr>
                <w:rFonts w:hint="eastAsia" w:ascii="宋体" w:hAnsi="宋体"/>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rPr>
            </w:pPr>
            <w:r>
              <w:rPr>
                <w:rFonts w:hint="eastAsia" w:ascii="宋体" w:hAnsi="宋体"/>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rPr>
            </w:pPr>
            <w:r>
              <w:rPr>
                <w:rFonts w:hint="eastAsia" w:ascii="宋体" w:hAnsi="宋体"/>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rPr>
            </w:pPr>
            <w:r>
              <w:rPr>
                <w:rFonts w:hint="eastAsia" w:ascii="宋体" w:hAnsi="宋体"/>
                <w:color w:val="auto"/>
                <w:spacing w:val="20"/>
                <w:sz w:val="18"/>
                <w:szCs w:val="18"/>
              </w:rPr>
              <w:t>品牌（如有）</w:t>
            </w:r>
          </w:p>
        </w:tc>
        <w:tc>
          <w:tcPr>
            <w:tcW w:w="1472" w:type="dxa"/>
            <w:vAlign w:val="center"/>
          </w:tcPr>
          <w:p>
            <w:pPr>
              <w:adjustRightInd w:val="0"/>
              <w:snapToGrid w:val="0"/>
              <w:ind w:left="-107" w:leftChars="-51" w:right="-107" w:rightChars="-51"/>
              <w:jc w:val="center"/>
              <w:rPr>
                <w:rFonts w:ascii="宋体" w:hAnsi="宋体"/>
                <w:color w:val="auto"/>
                <w:spacing w:val="20"/>
                <w:sz w:val="18"/>
                <w:szCs w:val="18"/>
              </w:rPr>
            </w:pPr>
            <w:r>
              <w:rPr>
                <w:rFonts w:hint="eastAsia" w:ascii="宋体" w:hAnsi="宋体"/>
                <w:color w:val="auto"/>
                <w:spacing w:val="20"/>
                <w:sz w:val="18"/>
                <w:szCs w:val="18"/>
              </w:rPr>
              <w:t>型号和规格</w:t>
            </w:r>
            <w:r>
              <w:rPr>
                <w:rFonts w:hint="eastAsia" w:ascii="宋体" w:hAnsi="宋体"/>
                <w:b/>
                <w:color w:val="auto"/>
                <w:sz w:val="18"/>
                <w:szCs w:val="18"/>
              </w:rPr>
              <w:t>（或具体服务）</w:t>
            </w:r>
          </w:p>
        </w:tc>
        <w:tc>
          <w:tcPr>
            <w:tcW w:w="688" w:type="dxa"/>
            <w:vAlign w:val="center"/>
          </w:tcPr>
          <w:p>
            <w:pPr>
              <w:adjustRightInd w:val="0"/>
              <w:snapToGrid w:val="0"/>
              <w:ind w:left="-107" w:leftChars="-51" w:right="-107" w:rightChars="-51" w:firstLine="1"/>
              <w:jc w:val="center"/>
              <w:rPr>
                <w:rFonts w:hint="eastAsia" w:ascii="宋体" w:hAnsi="宋体" w:eastAsia="宋体"/>
                <w:color w:val="auto"/>
                <w:spacing w:val="20"/>
                <w:sz w:val="18"/>
                <w:szCs w:val="18"/>
                <w:lang w:val="en-US" w:eastAsia="zh-CN"/>
              </w:rPr>
            </w:pPr>
            <w:r>
              <w:rPr>
                <w:rFonts w:hint="eastAsia" w:ascii="宋体" w:hAnsi="宋体"/>
                <w:color w:val="auto"/>
                <w:spacing w:val="20"/>
                <w:sz w:val="18"/>
                <w:szCs w:val="18"/>
                <w:lang w:val="en-US" w:eastAsia="zh-CN"/>
              </w:rPr>
              <w:t>数量</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rPr>
            </w:pPr>
            <w:r>
              <w:rPr>
                <w:rFonts w:hint="eastAsia" w:ascii="宋体" w:hAnsi="宋体"/>
                <w:color w:val="auto"/>
                <w:spacing w:val="20"/>
                <w:sz w:val="18"/>
                <w:szCs w:val="18"/>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rPr>
            </w:pPr>
            <w:r>
              <w:rPr>
                <w:rFonts w:hint="eastAsia" w:ascii="宋体" w:hAnsi="宋体"/>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1472" w:type="dxa"/>
            <w:vAlign w:val="center"/>
          </w:tcPr>
          <w:p>
            <w:pPr>
              <w:adjustRightInd w:val="0"/>
              <w:snapToGrid w:val="0"/>
              <w:ind w:right="172" w:rightChars="82" w:firstLine="444" w:firstLineChars="202"/>
              <w:rPr>
                <w:rFonts w:ascii="宋体" w:hAnsi="宋体"/>
                <w:color w:val="auto"/>
                <w:spacing w:val="20"/>
                <w:sz w:val="18"/>
                <w:szCs w:val="18"/>
              </w:rPr>
            </w:pPr>
          </w:p>
        </w:tc>
        <w:tc>
          <w:tcPr>
            <w:tcW w:w="688" w:type="dxa"/>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1472"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688"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1472"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688"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1472"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688"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rPr>
            </w:pPr>
            <w:r>
              <w:rPr>
                <w:rFonts w:hint="eastAsia" w:ascii="宋体" w:hAnsi="宋体"/>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rPr>
            </w:pPr>
            <w:r>
              <w:rPr>
                <w:rFonts w:hint="eastAsia" w:ascii="宋体" w:hAnsi="宋体"/>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rPr>
            </w:pPr>
            <w:r>
              <w:rPr>
                <w:rFonts w:hint="eastAsia" w:ascii="宋体" w:hAnsi="宋体"/>
                <w:color w:val="auto"/>
                <w:spacing w:val="20"/>
                <w:sz w:val="18"/>
                <w:szCs w:val="18"/>
              </w:rPr>
              <w:t>大写：</w:t>
            </w:r>
          </w:p>
        </w:tc>
      </w:tr>
    </w:tbl>
    <w:p>
      <w:pPr>
        <w:snapToGrid w:val="0"/>
        <w:jc w:val="left"/>
        <w:rPr>
          <w:rFonts w:ascii="仿宋_GB2312" w:hAnsi="宋体" w:eastAsia="仿宋_GB2312"/>
          <w:color w:val="auto"/>
          <w:sz w:val="24"/>
        </w:rPr>
      </w:pPr>
      <w:r>
        <w:rPr>
          <w:rFonts w:hint="eastAsia" w:ascii="仿宋_GB2312" w:hAnsi="宋体" w:eastAsia="仿宋_GB2312"/>
          <w:color w:val="auto"/>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auto"/>
          <w:sz w:val="24"/>
        </w:rPr>
      </w:pPr>
      <w:r>
        <w:rPr>
          <w:rFonts w:hint="eastAsia" w:ascii="仿宋_GB2312" w:hAnsi="宋体" w:eastAsia="仿宋_GB2312"/>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3.投标人需按本表格式填写，如无对应内容，则填写：“无或/”。</w:t>
      </w:r>
    </w:p>
    <w:p>
      <w:pPr>
        <w:snapToGrid w:val="0"/>
        <w:ind w:left="48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4.有关本项目实施所涉及的一切费用均计入报价。</w:t>
      </w:r>
    </w:p>
    <w:p>
      <w:pPr>
        <w:snapToGrid w:val="0"/>
        <w:ind w:firstLine="480" w:firstLineChars="200"/>
        <w:jc w:val="left"/>
        <w:rPr>
          <w:rFonts w:ascii="仿宋_GB2312" w:hAnsi="宋体" w:eastAsia="仿宋_GB2312"/>
          <w:b/>
          <w:color w:val="auto"/>
          <w:sz w:val="24"/>
        </w:rPr>
      </w:pPr>
      <w:r>
        <w:rPr>
          <w:rFonts w:hint="eastAsia" w:ascii="仿宋_GB2312" w:hAnsi="仿宋_GB2312" w:eastAsia="仿宋_GB2312" w:cs="仿宋_GB2312"/>
          <w:color w:val="auto"/>
          <w:kern w:val="0"/>
          <w:sz w:val="24"/>
          <w:lang w:val="zh-CN"/>
        </w:rPr>
        <w:t>5.</w:t>
      </w:r>
      <w:r>
        <w:rPr>
          <w:rFonts w:hint="eastAsia" w:ascii="仿宋_GB2312" w:hAnsi="宋体" w:eastAsia="仿宋_GB2312"/>
          <w:color w:val="auto"/>
          <w:kern w:val="0"/>
          <w:sz w:val="24"/>
          <w:lang w:val="zh-CN"/>
        </w:rPr>
        <w:t>以上表格要求细分项目及报价，</w:t>
      </w:r>
      <w:r>
        <w:rPr>
          <w:rFonts w:hint="eastAsia" w:ascii="仿宋_GB2312" w:hAnsi="仿宋" w:eastAsia="仿宋_GB2312" w:cs="Arial"/>
          <w:b/>
          <w:color w:val="auto"/>
          <w:kern w:val="0"/>
          <w:sz w:val="24"/>
        </w:rPr>
        <w:t>在“规格型号（或具体服务）”一栏中，货物类项目填写规格型号，服务类项目填写具体服务。</w:t>
      </w:r>
      <w:r>
        <w:rPr>
          <w:rFonts w:hint="eastAsia" w:ascii="仿宋_GB2312" w:hAnsi="宋体" w:eastAsia="仿宋_GB2312"/>
          <w:b/>
          <w:color w:val="auto"/>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lang w:val="zh-CN"/>
        </w:rPr>
      </w:pPr>
      <w:r>
        <w:rPr>
          <w:rFonts w:hint="eastAsia" w:ascii="仿宋_GB2312" w:hAnsi="宋体" w:eastAsia="仿宋_GB2312"/>
          <w:b/>
          <w:color w:val="auto"/>
          <w:sz w:val="24"/>
        </w:rPr>
        <w:t>6</w:t>
      </w:r>
      <w:r>
        <w:rPr>
          <w:rFonts w:hint="eastAsia" w:ascii="仿宋_GB2312" w:hAnsi="宋体" w:eastAsia="仿宋_GB2312"/>
          <w:b/>
          <w:color w:val="auto"/>
          <w:kern w:val="0"/>
          <w:sz w:val="24"/>
          <w:lang w:val="zh-CN"/>
        </w:rPr>
        <w:t>.特别提示：采购机构将对</w:t>
      </w:r>
      <w:r>
        <w:rPr>
          <w:rFonts w:hint="eastAsia" w:ascii="仿宋_GB2312" w:hAnsi="仿宋" w:eastAsia="仿宋_GB2312" w:cs="宋体"/>
          <w:b/>
          <w:color w:val="auto"/>
          <w:kern w:val="0"/>
          <w:sz w:val="24"/>
        </w:rPr>
        <w:t>项目名称和项目编号，中标供应商名称、地址和中标金额，主要中标标的的名称、规格型号、数量、单价、服务要求等</w:t>
      </w:r>
      <w:r>
        <w:rPr>
          <w:rFonts w:hint="eastAsia" w:ascii="仿宋_GB2312" w:hAnsi="宋体" w:eastAsia="仿宋_GB2312"/>
          <w:b/>
          <w:color w:val="auto"/>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rPr>
      </w:pPr>
    </w:p>
    <w:p>
      <w:pPr>
        <w:spacing w:line="360" w:lineRule="auto"/>
        <w:ind w:left="-4" w:leftChars="-2" w:right="-817" w:rightChars="-389" w:firstLine="2"/>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auto"/>
        <w:outlineLvl w:val="0"/>
        <w:rPr>
          <w:rFonts w:ascii="仿宋_GB2312" w:hAnsi="宋体" w:eastAsia="仿宋_GB2312"/>
          <w:color w:val="auto"/>
          <w:sz w:val="24"/>
        </w:rPr>
      </w:pPr>
      <w:r>
        <w:rPr>
          <w:rFonts w:hint="eastAsia" w:ascii="仿宋_GB2312" w:hAnsi="宋体" w:eastAsia="仿宋_GB2312"/>
          <w:color w:val="auto"/>
          <w:sz w:val="24"/>
        </w:rPr>
        <w:t>法定代表人或其授权代表（签字或盖章）：            日期：    年   月   日</w:t>
      </w:r>
    </w:p>
    <w:p>
      <w:pPr>
        <w:pageBreakBefore/>
        <w:rPr>
          <w:rFonts w:ascii="仿宋_GB2312" w:hAnsi="仿宋_GB2312" w:eastAsia="仿宋_GB2312" w:cs="仿宋_GB2312"/>
          <w:b/>
          <w:color w:val="auto"/>
          <w:sz w:val="32"/>
          <w:szCs w:val="32"/>
        </w:rPr>
      </w:pPr>
      <w:r>
        <w:rPr>
          <w:rFonts w:hint="eastAsia" w:ascii="仿宋_GB2312" w:eastAsia="仿宋_GB2312"/>
          <w:b/>
          <w:color w:val="auto"/>
          <w:sz w:val="32"/>
          <w:szCs w:val="32"/>
        </w:rPr>
        <w:t>3、中小企业声明函（二选一）</w:t>
      </w:r>
    </w:p>
    <w:p>
      <w:pPr>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中小企业声明函（货物）</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宋体" w:hAnsi="宋体" w:cs="宋体"/>
          <w:color w:val="auto"/>
          <w:sz w:val="24"/>
        </w:rPr>
        <w:t>﹝</w:t>
      </w:r>
      <w:r>
        <w:rPr>
          <w:rFonts w:hint="eastAsia" w:ascii="仿宋_GB2312" w:hAnsi="仿宋_GB2312" w:eastAsia="仿宋_GB2312" w:cs="仿宋_GB2312"/>
          <w:color w:val="auto"/>
          <w:sz w:val="24"/>
        </w:rPr>
        <w:t>2020</w:t>
      </w:r>
      <w:r>
        <w:rPr>
          <w:rFonts w:hint="eastAsia" w:ascii="宋体"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xxx项目</w:t>
      </w:r>
      <w:r>
        <w:rPr>
          <w:rFonts w:hint="eastAsia" w:ascii="仿宋_GB2312" w:hAnsi="仿宋_GB2312" w:eastAsia="仿宋_GB2312" w:cs="仿宋_GB2312"/>
          <w:color w:val="auto"/>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jc w:val="center"/>
        <w:rPr>
          <w:rFonts w:ascii="仿宋_GB2312" w:hAnsi="仿宋_GB2312" w:eastAsia="仿宋_GB2312" w:cs="仿宋_GB2312"/>
          <w:b/>
          <w:color w:val="auto"/>
          <w:sz w:val="18"/>
        </w:rPr>
      </w:pPr>
    </w:p>
    <w:p>
      <w:pPr>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中小企业声明函（工程、服务）</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宋体" w:hAnsi="宋体" w:cs="宋体"/>
          <w:color w:val="auto"/>
          <w:sz w:val="24"/>
        </w:rPr>
        <w:t>﹝</w:t>
      </w:r>
      <w:r>
        <w:rPr>
          <w:rFonts w:hint="eastAsia" w:ascii="仿宋_GB2312" w:hAnsi="仿宋_GB2312" w:eastAsia="仿宋_GB2312" w:cs="仿宋_GB2312"/>
          <w:color w:val="auto"/>
          <w:sz w:val="24"/>
        </w:rPr>
        <w:t>2020</w:t>
      </w:r>
      <w:r>
        <w:rPr>
          <w:rFonts w:hint="eastAsia" w:ascii="宋体"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 xml:space="preserve">               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 xml:space="preserve">                  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 w:hAnsi="仿宋" w:eastAsia="仿宋"/>
          <w:b/>
          <w:color w:val="auto"/>
          <w:sz w:val="24"/>
        </w:rPr>
      </w:pPr>
      <w:r>
        <w:rPr>
          <w:rFonts w:hint="eastAsia" w:ascii="仿宋" w:hAnsi="仿宋" w:eastAsia="仿宋"/>
          <w:b/>
          <w:color w:val="auto"/>
          <w:sz w:val="24"/>
        </w:rPr>
        <w:t>1、从业人员、营业收入、资产总额填报上一年度数据，无上一年度数据的新成立企业可不填报。</w:t>
      </w:r>
    </w:p>
    <w:p>
      <w:pPr>
        <w:rPr>
          <w:rFonts w:ascii="仿宋_GB2312" w:hAnsi="仿宋_GB2312" w:eastAsia="仿宋_GB2312" w:cs="仿宋_GB2312"/>
          <w:color w:val="auto"/>
          <w:sz w:val="24"/>
        </w:rPr>
      </w:pPr>
      <w:r>
        <w:rPr>
          <w:rFonts w:hint="eastAsia" w:ascii="仿宋" w:hAnsi="仿宋" w:eastAsia="仿宋"/>
          <w:color w:val="auto"/>
          <w:sz w:val="24"/>
        </w:rPr>
        <w:t>2、根据《政府采购促进中小企业发展管理办法》的通知（财库〔2020〕46号）规定，</w:t>
      </w:r>
      <w:r>
        <w:rPr>
          <w:rFonts w:hint="eastAsia" w:ascii="仿宋_GB2312" w:hAnsi="仿宋_GB2312" w:eastAsia="仿宋_GB2312" w:cs="仿宋_GB2312"/>
          <w:color w:val="auto"/>
          <w:sz w:val="24"/>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color w:val="auto"/>
          <w:sz w:val="24"/>
        </w:rPr>
      </w:pPr>
    </w:p>
    <w:p>
      <w:pPr>
        <w:ind w:firstLine="420" w:firstLineChars="200"/>
        <w:rPr>
          <w:rFonts w:ascii="仿宋_GB2312" w:eastAsia="仿宋_GB2312"/>
          <w:color w:val="auto"/>
        </w:rPr>
      </w:pPr>
    </w:p>
    <w:p>
      <w:pPr>
        <w:pageBreakBefore/>
        <w:spacing w:line="588" w:lineRule="exact"/>
        <w:rPr>
          <w:rFonts w:ascii="仿宋_GB2312" w:eastAsia="仿宋_GB2312"/>
          <w:b/>
          <w:color w:val="auto"/>
          <w:spacing w:val="6"/>
          <w:sz w:val="32"/>
          <w:szCs w:val="32"/>
        </w:rPr>
      </w:pPr>
      <w:r>
        <w:rPr>
          <w:rFonts w:hint="eastAsia" w:ascii="仿宋_GB2312" w:eastAsia="仿宋_GB2312"/>
          <w:b/>
          <w:color w:val="auto"/>
          <w:spacing w:val="6"/>
          <w:sz w:val="32"/>
          <w:szCs w:val="32"/>
        </w:rPr>
        <w:t>4、残疾人福利性单位声明函</w:t>
      </w:r>
    </w:p>
    <w:p>
      <w:pPr>
        <w:spacing w:line="588" w:lineRule="exact"/>
        <w:rPr>
          <w:rFonts w:ascii="仿宋_GB2312" w:eastAsia="仿宋_GB2312"/>
          <w:b/>
          <w:color w:val="auto"/>
          <w:spacing w:val="6"/>
          <w:sz w:val="30"/>
          <w:szCs w:val="30"/>
        </w:rPr>
      </w:pP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项目</w:t>
      </w:r>
      <w:r>
        <w:rPr>
          <w:rFonts w:hint="eastAsia" w:ascii="仿宋_GB2312" w:hAnsi="仿宋_GB2312" w:eastAsia="仿宋_GB2312" w:cs="仿宋_GB2312"/>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rPr>
      </w:pPr>
    </w:p>
    <w:p>
      <w:pPr>
        <w:spacing w:line="588" w:lineRule="exact"/>
        <w:ind w:firstLine="480" w:firstLineChars="20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声明单位（盖章）：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r>
        <w:rPr>
          <w:rFonts w:hint="eastAsia" w:ascii="仿宋_GB2312" w:hAnsi="仿宋" w:eastAsia="仿宋_GB2312"/>
          <w:color w:val="auto"/>
          <w:sz w:val="24"/>
        </w:rPr>
        <w:t>根据《财政部 民政部 中国残疾人联合会关于促进残疾人就业政府采购政策的通知》（财库〔2017〕141号）规定填报。</w:t>
      </w:r>
    </w:p>
    <w:p>
      <w:pPr>
        <w:rPr>
          <w:rFonts w:ascii="仿宋_GB2312" w:eastAsia="仿宋_GB2312"/>
          <w:color w:val="auto"/>
        </w:rPr>
      </w:pPr>
    </w:p>
    <w:p>
      <w:pPr>
        <w:tabs>
          <w:tab w:val="left" w:pos="4860"/>
        </w:tabs>
        <w:ind w:right="1559" w:firstLine="480" w:firstLineChars="200"/>
        <w:jc w:val="left"/>
        <w:rPr>
          <w:rFonts w:ascii="仿宋_GB2312" w:hAnsi="仿宋_GB2312" w:eastAsia="仿宋_GB2312" w:cs="仿宋_GB2312"/>
          <w:color w:val="auto"/>
          <w:sz w:val="24"/>
        </w:rPr>
      </w:pPr>
      <w:r>
        <w:rPr>
          <w:rFonts w:ascii="仿宋_GB2312" w:hAnsi="仿宋_GB2312" w:eastAsia="仿宋_GB2312" w:cs="仿宋_GB2312"/>
          <w:color w:val="auto"/>
          <w:sz w:val="24"/>
        </w:rPr>
        <w:object>
          <v:shape id="_x0000_i1025" o:spt="75" type="#_x0000_t75" style="height:42.05pt;width:389.9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rPr>
          <w:rFonts w:ascii="仿宋_GB2312" w:hAnsi="仿宋_GB2312" w:eastAsia="仿宋_GB2312" w:cs="仿宋_GB2312"/>
          <w:b/>
          <w:color w:val="auto"/>
          <w:sz w:val="24"/>
        </w:rPr>
      </w:pPr>
    </w:p>
    <w:p>
      <w:pPr>
        <w:spacing w:line="800" w:lineRule="exact"/>
        <w:rPr>
          <w:rFonts w:ascii="仿宋_GB2312" w:hAnsi="宋体" w:eastAsia="仿宋_GB2312"/>
          <w:b/>
          <w:color w:val="auto"/>
          <w:sz w:val="24"/>
        </w:rPr>
      </w:pPr>
    </w:p>
    <w:p>
      <w:pPr>
        <w:pageBreakBefore/>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商务技术（资信）文件部分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目录</w:t>
      </w:r>
    </w:p>
    <w:p>
      <w:pPr>
        <w:pStyle w:val="195"/>
        <w:spacing w:line="360" w:lineRule="auto"/>
        <w:ind w:left="0" w:firstLine="0" w:firstLineChars="0"/>
        <w:rPr>
          <w:rFonts w:hAnsi="仿宋_GB2312" w:cs="仿宋_GB2312"/>
          <w:color w:val="auto"/>
        </w:rPr>
      </w:pPr>
      <w:r>
        <w:rPr>
          <w:rFonts w:hint="eastAsia" w:hAnsi="仿宋_GB2312" w:cs="仿宋_GB2312"/>
          <w:color w:val="auto"/>
        </w:rPr>
        <w:t>（1）法定代表人授权书 …………………………………………………………（页码）</w:t>
      </w:r>
    </w:p>
    <w:p>
      <w:pPr>
        <w:pStyle w:val="195"/>
        <w:spacing w:line="360" w:lineRule="auto"/>
        <w:ind w:left="0" w:firstLine="0" w:firstLineChars="0"/>
        <w:rPr>
          <w:rFonts w:hAnsi="仿宋_GB2312" w:cs="仿宋_GB2312"/>
          <w:color w:val="auto"/>
        </w:rPr>
      </w:pPr>
      <w:r>
        <w:rPr>
          <w:rFonts w:hint="eastAsia" w:hAnsi="仿宋_GB2312" w:cs="仿宋_GB2312"/>
          <w:color w:val="auto"/>
        </w:rPr>
        <w:t>（2）授权代表社保证明（复印件）………………………………………………（页码）</w:t>
      </w:r>
    </w:p>
    <w:p>
      <w:pPr>
        <w:pStyle w:val="195"/>
        <w:spacing w:line="360" w:lineRule="auto"/>
        <w:ind w:left="0" w:firstLine="0" w:firstLineChars="0"/>
        <w:rPr>
          <w:rFonts w:hAnsi="仿宋_GB2312" w:cs="仿宋_GB2312"/>
          <w:color w:val="auto"/>
        </w:rPr>
      </w:pPr>
      <w:r>
        <w:rPr>
          <w:rFonts w:hint="eastAsia" w:hAnsi="仿宋_GB2312" w:cs="仿宋_GB2312"/>
          <w:color w:val="auto"/>
        </w:rPr>
        <w:t>（3）法定代表人及其授权代表的身份证（复印件）……………………………（页码）（4）法定代表人身份证明书………………………………………………………（页码）</w:t>
      </w:r>
    </w:p>
    <w:p>
      <w:pPr>
        <w:spacing w:line="360" w:lineRule="auto"/>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（5）所有与符合性审查有关的资信文件（复印件）（营业执照、202</w:t>
      </w: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color w:val="auto"/>
          <w:sz w:val="24"/>
        </w:rPr>
        <w:t>年度财务报表、纳税和社保缴纳证明</w:t>
      </w:r>
      <w:r>
        <w:rPr>
          <w:rFonts w:hint="eastAsia" w:ascii="仿宋_GB2312" w:hAnsi="仿宋_GB2312" w:eastAsia="仿宋_GB2312" w:cs="仿宋_GB2312"/>
          <w:color w:val="auto"/>
          <w:kern w:val="0"/>
          <w:sz w:val="24"/>
        </w:rPr>
        <w:t>）</w:t>
      </w:r>
      <w:r>
        <w:rPr>
          <w:rFonts w:hint="eastAsia" w:hAnsi="仿宋_GB2312" w:cs="仿宋_GB2312"/>
          <w:color w:val="auto"/>
          <w:lang w:val="zh-CN"/>
        </w:rPr>
        <w:t>………………………………………………………</w:t>
      </w:r>
      <w:r>
        <w:rPr>
          <w:rFonts w:hint="eastAsia" w:hAnsi="仿宋_GB2312" w:cs="仿宋_GB2312"/>
          <w:color w:val="auto"/>
        </w:rPr>
        <w:t>…………</w:t>
      </w:r>
      <w:r>
        <w:rPr>
          <w:rFonts w:hint="eastAsia" w:hAnsi="仿宋_GB2312" w:cs="仿宋_GB2312"/>
          <w:color w:val="auto"/>
          <w:lang w:val="zh-CN"/>
        </w:rPr>
        <w:t>…</w:t>
      </w:r>
      <w:r>
        <w:rPr>
          <w:rFonts w:hint="eastAsia" w:ascii="仿宋_GB2312" w:hAnsi="仿宋_GB2312" w:eastAsia="仿宋_GB2312" w:cs="仿宋_GB2312"/>
          <w:color w:val="auto"/>
          <w:kern w:val="0"/>
          <w:sz w:val="24"/>
        </w:rPr>
        <w:t>（页码）</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rPr>
        <w:t>（6）具有履</w:t>
      </w:r>
      <w:r>
        <w:rPr>
          <w:rFonts w:hint="eastAsia" w:ascii="仿宋_GB2312" w:hAnsi="仿宋_GB2312" w:eastAsia="仿宋_GB2312" w:cs="仿宋_GB2312"/>
          <w:color w:val="auto"/>
          <w:kern w:val="0"/>
          <w:sz w:val="24"/>
        </w:rPr>
        <w:t>行合同所必需的设备和专业技术能力的承诺函……………………（页码）</w:t>
      </w:r>
    </w:p>
    <w:p>
      <w:pPr>
        <w:pStyle w:val="195"/>
        <w:spacing w:line="360" w:lineRule="auto"/>
        <w:ind w:firstLine="0" w:firstLineChars="0"/>
        <w:rPr>
          <w:rFonts w:hAnsi="仿宋_GB2312" w:cs="仿宋_GB2312"/>
          <w:color w:val="auto"/>
        </w:rPr>
      </w:pPr>
      <w:r>
        <w:rPr>
          <w:rFonts w:hint="eastAsia" w:hAnsi="仿宋_GB2312" w:cs="仿宋_GB2312"/>
          <w:color w:val="auto"/>
        </w:rPr>
        <w:t>（7）重大违法记录的声明</w:t>
      </w:r>
      <w:r>
        <w:rPr>
          <w:rFonts w:hint="eastAsia" w:hAnsi="仿宋_GB2312" w:cs="仿宋_GB2312"/>
          <w:color w:val="auto"/>
          <w:kern w:val="0"/>
        </w:rPr>
        <w:t xml:space="preserve"> …</w:t>
      </w:r>
      <w:r>
        <w:rPr>
          <w:rFonts w:hint="eastAsia" w:hAnsi="仿宋_GB2312" w:cs="仿宋_GB2312"/>
          <w:color w:val="auto"/>
        </w:rPr>
        <w:t>……………………………………………………</w:t>
      </w:r>
      <w:r>
        <w:rPr>
          <w:rFonts w:hint="eastAsia" w:hAnsi="仿宋_GB2312" w:cs="仿宋_GB2312"/>
          <w:color w:val="auto"/>
          <w:kern w:val="0"/>
        </w:rPr>
        <w:t>（页码）</w:t>
      </w:r>
      <w:r>
        <w:rPr>
          <w:rFonts w:hint="eastAsia" w:hAnsi="仿宋_GB2312" w:cs="仿宋_GB2312"/>
          <w:color w:val="auto"/>
        </w:rPr>
        <w:t>（8）符合特定资格条件（如果项目要求）的有关证明材料（复印件）………（页码）</w:t>
      </w:r>
    </w:p>
    <w:p>
      <w:pPr>
        <w:pStyle w:val="195"/>
        <w:spacing w:line="360" w:lineRule="auto"/>
        <w:ind w:left="0" w:firstLine="0" w:firstLineChars="0"/>
        <w:rPr>
          <w:rFonts w:hAnsi="仿宋_GB2312" w:cs="仿宋_GB2312"/>
          <w:color w:val="auto"/>
        </w:rPr>
      </w:pPr>
      <w:r>
        <w:rPr>
          <w:rFonts w:hint="eastAsia" w:hAnsi="仿宋_GB2312" w:cs="仿宋_GB2312"/>
          <w:color w:val="auto"/>
        </w:rPr>
        <w:t>（9）</w:t>
      </w:r>
      <w:r>
        <w:rPr>
          <w:rFonts w:hint="eastAsia" w:hAnsi="仿宋_GB2312" w:cs="仿宋_GB2312"/>
          <w:color w:val="auto"/>
          <w:lang w:val="en-US" w:eastAsia="zh-CN"/>
        </w:rPr>
        <w:t>评分标准相关内容</w:t>
      </w:r>
      <w:r>
        <w:rPr>
          <w:rFonts w:hint="eastAsia" w:hAnsi="仿宋_GB2312" w:cs="仿宋_GB2312"/>
          <w:color w:val="auto"/>
          <w:lang w:val="zh-CN"/>
        </w:rPr>
        <w:t>……………………………………………</w:t>
      </w:r>
      <w:r>
        <w:rPr>
          <w:rFonts w:hint="eastAsia" w:hAnsi="仿宋_GB2312" w:cs="仿宋_GB2312"/>
          <w:color w:val="auto"/>
        </w:rPr>
        <w:t>…………</w:t>
      </w:r>
      <w:r>
        <w:rPr>
          <w:rFonts w:hint="eastAsia" w:hAnsi="仿宋_GB2312" w:cs="仿宋_GB2312"/>
          <w:color w:val="auto"/>
          <w:lang w:val="zh-CN"/>
        </w:rPr>
        <w:t>…</w:t>
      </w:r>
      <w:r>
        <w:rPr>
          <w:rFonts w:hint="eastAsia" w:hAnsi="仿宋_GB2312" w:cs="仿宋_GB2312"/>
          <w:color w:val="auto"/>
        </w:rPr>
        <w:t>（页码）</w:t>
      </w:r>
    </w:p>
    <w:p>
      <w:pPr>
        <w:pStyle w:val="195"/>
        <w:spacing w:line="360" w:lineRule="auto"/>
        <w:ind w:left="0" w:firstLine="0" w:firstLineChars="0"/>
        <w:rPr>
          <w:rFonts w:hAnsi="仿宋_GB2312" w:cs="仿宋_GB2312"/>
          <w:color w:val="auto"/>
        </w:rPr>
      </w:pPr>
      <w:r>
        <w:rPr>
          <w:rFonts w:hint="eastAsia" w:hAnsi="仿宋_GB2312" w:cs="仿宋_GB2312"/>
          <w:color w:val="auto"/>
        </w:rPr>
        <w:t>（1</w:t>
      </w:r>
      <w:r>
        <w:rPr>
          <w:rFonts w:hint="eastAsia" w:hAnsi="仿宋_GB2312" w:cs="仿宋_GB2312"/>
          <w:color w:val="auto"/>
          <w:lang w:val="en-US" w:eastAsia="zh-CN"/>
        </w:rPr>
        <w:t>0</w:t>
      </w:r>
      <w:r>
        <w:rPr>
          <w:rFonts w:hint="eastAsia" w:hAnsi="仿宋_GB2312" w:cs="仿宋_GB2312"/>
          <w:color w:val="auto"/>
        </w:rPr>
        <w:t>）廉政承诺书 …………………………………………………………………（页码）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1</w:t>
      </w:r>
      <w:r>
        <w:rPr>
          <w:rFonts w:hint="eastAsia" w:ascii="仿宋_GB2312" w:hAnsi="仿宋_GB2312" w:eastAsia="仿宋_GB2312" w:cs="仿宋_GB2312"/>
          <w:color w:val="auto"/>
          <w:kern w:val="0"/>
          <w:sz w:val="24"/>
        </w:rPr>
        <w:t>）技术解决方案…………………………………………………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2</w:t>
      </w:r>
      <w:r>
        <w:rPr>
          <w:rFonts w:hint="eastAsia" w:ascii="仿宋_GB2312" w:hAnsi="仿宋_GB2312" w:eastAsia="仿宋_GB2312" w:cs="仿宋_GB2312"/>
          <w:color w:val="auto"/>
          <w:kern w:val="0"/>
          <w:sz w:val="24"/>
        </w:rPr>
        <w:t>）技术偏离说明表………………………………………………</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3</w:t>
      </w:r>
      <w:r>
        <w:rPr>
          <w:rFonts w:hint="eastAsia" w:ascii="仿宋_GB2312" w:hAnsi="仿宋_GB2312" w:eastAsia="仿宋_GB2312" w:cs="仿宋_GB2312"/>
          <w:color w:val="auto"/>
          <w:kern w:val="0"/>
          <w:sz w:val="24"/>
        </w:rPr>
        <w:t>）组织实施方案……………………………………………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4</w:t>
      </w:r>
      <w:r>
        <w:rPr>
          <w:rFonts w:hint="eastAsia" w:ascii="仿宋_GB2312" w:hAnsi="仿宋_GB2312" w:eastAsia="仿宋_GB2312" w:cs="仿宋_GB2312"/>
          <w:color w:val="auto"/>
          <w:kern w:val="0"/>
          <w:sz w:val="24"/>
        </w:rPr>
        <w:t>）售后服务方案……………………………………………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en-US" w:eastAsia="zh-CN"/>
        </w:rPr>
        <w:t>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注：以上目录是基本格式要求，各投标人可根据自身情况进一步细化。</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 xml:space="preserve">1、法定代表人授权委托书（格式） </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本授权委托书声明：我</w:t>
      </w:r>
      <w:r>
        <w:rPr>
          <w:rFonts w:hint="eastAsia" w:ascii="仿宋_GB2312" w:hAnsi="宋体" w:eastAsia="仿宋_GB2312"/>
          <w:color w:val="auto"/>
          <w:sz w:val="24"/>
          <w:u w:val="single"/>
        </w:rPr>
        <w:t xml:space="preserve">         (填写姓名)</w:t>
      </w: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（填写投标人单位全称）</w:t>
      </w:r>
      <w:r>
        <w:rPr>
          <w:rFonts w:hint="eastAsia" w:ascii="仿宋_GB2312" w:hAnsi="宋体" w:eastAsia="仿宋_GB2312"/>
          <w:color w:val="auto"/>
          <w:sz w:val="24"/>
        </w:rPr>
        <w:t>的法定代表人，现授权委托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的（填写姓名）为我公司授权代表，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。以本公司的名义参加</w:t>
      </w:r>
      <w:r>
        <w:rPr>
          <w:rFonts w:hint="eastAsia" w:ascii="仿宋_GB2312" w:hAnsi="宋体" w:eastAsia="仿宋_GB2312"/>
          <w:color w:val="auto"/>
          <w:sz w:val="24"/>
          <w:u w:val="single"/>
        </w:rPr>
        <w:t>嵊州市</w:t>
      </w:r>
      <w:r>
        <w:rPr>
          <w:rFonts w:hint="eastAsia" w:ascii="仿宋_GB2312" w:hAnsi="宋体" w:eastAsia="仿宋_GB2312"/>
          <w:color w:val="auto"/>
          <w:sz w:val="24"/>
          <w:u w:val="single"/>
          <w:lang w:eastAsia="zh-CN"/>
        </w:rPr>
        <w:t>公安局</w:t>
      </w:r>
      <w:r>
        <w:rPr>
          <w:rFonts w:hint="eastAsia" w:ascii="仿宋_GB2312" w:hAnsi="宋体" w:eastAsia="仿宋_GB2312"/>
          <w:color w:val="auto"/>
          <w:sz w:val="24"/>
          <w:u w:val="single"/>
        </w:rPr>
        <w:t>、嵊州市公共资源交易中心</w:t>
      </w:r>
      <w:r>
        <w:rPr>
          <w:rFonts w:hint="eastAsia" w:ascii="仿宋_GB2312" w:hAnsi="宋体" w:eastAsia="仿宋_GB2312"/>
          <w:color w:val="auto"/>
          <w:sz w:val="24"/>
        </w:rPr>
        <w:t>组织的</w:t>
      </w:r>
      <w:r>
        <w:rPr>
          <w:rFonts w:hint="eastAsia" w:ascii="仿宋_GB2312" w:hAnsi="宋体" w:eastAsia="仿宋_GB2312"/>
          <w:color w:val="auto"/>
          <w:sz w:val="24"/>
          <w:u w:val="single"/>
        </w:rPr>
        <w:t>嵊州市</w:t>
      </w:r>
      <w:r>
        <w:rPr>
          <w:rFonts w:hint="eastAsia" w:ascii="仿宋_GB2312" w:hAnsi="宋体" w:eastAsia="仿宋_GB2312"/>
          <w:color w:val="auto"/>
          <w:sz w:val="24"/>
          <w:u w:val="single"/>
          <w:lang w:eastAsia="zh-CN"/>
        </w:rPr>
        <w:t>公安局公务用车</w:t>
      </w:r>
      <w:r>
        <w:rPr>
          <w:rFonts w:hint="eastAsia" w:ascii="仿宋_GB2312" w:hAnsi="宋体" w:eastAsia="仿宋_GB2312"/>
          <w:color w:val="auto"/>
          <w:sz w:val="24"/>
          <w:u w:val="single"/>
        </w:rPr>
        <w:t>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法定代表人（签字或盖章）：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ind w:firstLine="5280" w:firstLineChars="2200"/>
        <w:jc w:val="left"/>
        <w:rPr>
          <w:rFonts w:ascii="仿宋_GB2312" w:hAnsi="宋体" w:eastAsia="仿宋_GB2312"/>
          <w:color w:val="auto"/>
          <w:sz w:val="24"/>
        </w:rPr>
      </w:pPr>
      <w:r>
        <w:rPr>
          <w:rFonts w:hint="eastAsia" w:ascii="仿宋_GB2312" w:hAnsi="宋体" w:eastAsia="仿宋_GB2312"/>
          <w:color w:val="auto"/>
          <w:sz w:val="24"/>
        </w:rPr>
        <w:t>日期：    年   月   日</w:t>
      </w:r>
    </w:p>
    <w:p>
      <w:pPr>
        <w:ind w:firstLine="4920" w:firstLineChars="2050"/>
        <w:jc w:val="left"/>
        <w:rPr>
          <w:rFonts w:ascii="仿宋_GB2312" w:hAnsi="宋体" w:eastAsia="仿宋_GB2312"/>
          <w:color w:val="auto"/>
          <w:sz w:val="24"/>
        </w:rPr>
      </w:pPr>
    </w:p>
    <w:p>
      <w:pPr>
        <w:spacing w:line="800" w:lineRule="exact"/>
        <w:rPr>
          <w:rFonts w:ascii="仿宋_GB2312" w:hAnsi="宋体" w:eastAsia="仿宋_GB2312"/>
          <w:b/>
          <w:color w:val="auto"/>
          <w:sz w:val="24"/>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出具距投标截止时间一个月以内的社保机构盖公章的授权代表社保缴纳证明（如授权代表为</w:t>
      </w:r>
      <w:r>
        <w:rPr>
          <w:rFonts w:ascii="仿宋_GB2312" w:hAnsi="宋体" w:eastAsia="仿宋_GB2312"/>
          <w:color w:val="auto"/>
          <w:sz w:val="24"/>
          <w:u w:val="wave"/>
        </w:rPr>
        <w:t>离退休返聘人员的，投标响应文件技术部分内</w:t>
      </w:r>
      <w:r>
        <w:rPr>
          <w:rFonts w:hint="eastAsia" w:ascii="仿宋_GB2312" w:hAnsi="宋体" w:eastAsia="仿宋_GB2312"/>
          <w:color w:val="auto"/>
          <w:sz w:val="24"/>
          <w:u w:val="wave"/>
        </w:rPr>
        <w:t>需提供</w:t>
      </w:r>
      <w:r>
        <w:rPr>
          <w:rFonts w:ascii="仿宋_GB2312" w:hAnsi="宋体" w:eastAsia="仿宋_GB2312"/>
          <w:color w:val="auto"/>
          <w:sz w:val="24"/>
          <w:u w:val="wave"/>
        </w:rPr>
        <w:t>退休证明及单位聘用证明</w:t>
      </w:r>
      <w:r>
        <w:rPr>
          <w:rFonts w:hint="eastAsia" w:ascii="仿宋_GB2312" w:hAnsi="宋体" w:eastAsia="仿宋_GB2312"/>
          <w:color w:val="auto"/>
          <w:sz w:val="24"/>
          <w:u w:val="wave"/>
        </w:rPr>
        <w:t>；如由第三方代理社保事项的，则需提供委托代理协议复印件），格式自拟。</w:t>
      </w:r>
      <w:r>
        <w:rPr>
          <w:rFonts w:ascii="仿宋_GB2312" w:hAnsi="宋体" w:eastAsia="仿宋_GB2312"/>
          <w:b/>
          <w:color w:val="auto"/>
          <w:sz w:val="24"/>
        </w:rPr>
        <w:t>未提供</w:t>
      </w:r>
      <w:r>
        <w:rPr>
          <w:rFonts w:hint="eastAsia" w:ascii="仿宋_GB2312" w:hAnsi="宋体" w:eastAsia="仿宋_GB2312"/>
          <w:b/>
          <w:color w:val="auto"/>
          <w:sz w:val="24"/>
        </w:rPr>
        <w:t>上述</w:t>
      </w:r>
      <w:r>
        <w:rPr>
          <w:rFonts w:ascii="仿宋_GB2312" w:hAnsi="宋体" w:eastAsia="仿宋_GB2312"/>
          <w:b/>
          <w:color w:val="auto"/>
          <w:sz w:val="24"/>
        </w:rPr>
        <w:t>证明的投标</w:t>
      </w:r>
      <w:r>
        <w:rPr>
          <w:rFonts w:hint="eastAsia" w:ascii="仿宋_GB2312" w:hAnsi="宋体" w:eastAsia="仿宋_GB2312"/>
          <w:b/>
          <w:color w:val="auto"/>
          <w:sz w:val="24"/>
        </w:rPr>
        <w:t>做无效投标处理</w:t>
      </w:r>
      <w:r>
        <w:rPr>
          <w:rFonts w:ascii="仿宋_GB2312" w:hAnsi="宋体" w:eastAsia="仿宋_GB2312"/>
          <w:b/>
          <w:color w:val="auto"/>
          <w:sz w:val="24"/>
        </w:rPr>
        <w:t>。</w:t>
      </w:r>
    </w:p>
    <w:p>
      <w:pPr>
        <w:spacing w:line="800" w:lineRule="exact"/>
        <w:ind w:firstLine="4320" w:firstLineChars="1800"/>
        <w:rPr>
          <w:rFonts w:ascii="仿宋_GB2312" w:hAnsi="宋体" w:eastAsia="仿宋_GB2312"/>
          <w:color w:val="auto"/>
          <w:sz w:val="24"/>
        </w:rPr>
      </w:pPr>
    </w:p>
    <w:p>
      <w:pPr>
        <w:spacing w:line="800" w:lineRule="exact"/>
        <w:ind w:firstLine="4337" w:firstLineChars="1800"/>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3、法定代表人及其授权代表身份证复印件（正反面）</w:t>
      </w: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4、法定代表人身份证明书(格式)</w:t>
      </w:r>
    </w:p>
    <w:p>
      <w:pPr>
        <w:spacing w:line="440" w:lineRule="exact"/>
        <w:rPr>
          <w:rFonts w:ascii="仿宋_GB2312" w:hAnsi="宋体" w:eastAsia="仿宋_GB2312"/>
          <w:color w:val="auto"/>
          <w:sz w:val="24"/>
        </w:rPr>
      </w:pPr>
      <w:r>
        <w:rPr>
          <w:rFonts w:hint="eastAsia" w:ascii="仿宋_GB2312" w:hAnsi="宋体" w:eastAsia="仿宋_GB2312"/>
          <w:color w:val="auto"/>
          <w:sz w:val="24"/>
        </w:rPr>
        <w:t>投 标 人：</w:t>
      </w:r>
    </w:p>
    <w:p>
      <w:pPr>
        <w:spacing w:line="440" w:lineRule="exact"/>
        <w:rPr>
          <w:rFonts w:ascii="仿宋_GB2312" w:hAnsi="宋体" w:eastAsia="仿宋_GB2312"/>
          <w:color w:val="auto"/>
          <w:sz w:val="24"/>
        </w:rPr>
      </w:pPr>
      <w:r>
        <w:rPr>
          <w:rFonts w:hint="eastAsia" w:ascii="仿宋_GB2312" w:hAnsi="宋体" w:eastAsia="仿宋_GB2312"/>
          <w:color w:val="auto"/>
          <w:sz w:val="24"/>
        </w:rPr>
        <w:t>地    址：</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姓    名：</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身份证号码：</w:t>
      </w:r>
    </w:p>
    <w:p>
      <w:pPr>
        <w:spacing w:line="440" w:lineRule="exact"/>
        <w:ind w:right="281" w:rightChars="134"/>
        <w:rPr>
          <w:rFonts w:ascii="仿宋_GB2312" w:hAnsi="宋体" w:eastAsia="仿宋_GB2312"/>
          <w:color w:val="auto"/>
          <w:sz w:val="24"/>
        </w:rPr>
      </w:pPr>
      <w:r>
        <w:rPr>
          <w:rFonts w:hint="eastAsia" w:ascii="仿宋_GB2312" w:hAnsi="宋体" w:eastAsia="仿宋_GB2312"/>
          <w:color w:val="auto"/>
          <w:sz w:val="24"/>
        </w:rPr>
        <w:t>职   务：</w:t>
      </w:r>
    </w:p>
    <w:p>
      <w:pPr>
        <w:spacing w:line="440" w:lineRule="exact"/>
        <w:rPr>
          <w:rFonts w:ascii="仿宋_GB2312" w:hAnsi="宋体" w:eastAsia="仿宋_GB2312"/>
          <w:color w:val="auto"/>
          <w:sz w:val="24"/>
        </w:rPr>
      </w:pP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（填写投标人名称）</w:t>
      </w:r>
      <w:r>
        <w:rPr>
          <w:rFonts w:hint="eastAsia" w:ascii="仿宋_GB2312" w:hAnsi="宋体" w:eastAsia="仿宋_GB2312"/>
          <w:color w:val="auto"/>
          <w:sz w:val="24"/>
        </w:rPr>
        <w:t>的法定代表人。</w:t>
      </w:r>
    </w:p>
    <w:p>
      <w:pPr>
        <w:spacing w:line="440" w:lineRule="exact"/>
        <w:rPr>
          <w:rFonts w:ascii="仿宋_GB2312" w:hAnsi="宋体" w:eastAsia="仿宋_GB2312"/>
          <w:color w:val="auto"/>
          <w:sz w:val="24"/>
        </w:rPr>
      </w:pPr>
      <w:r>
        <w:rPr>
          <w:rFonts w:hint="eastAsia" w:ascii="仿宋_GB2312" w:hAnsi="宋体" w:eastAsia="仿宋_GB2312"/>
          <w:color w:val="auto"/>
          <w:sz w:val="24"/>
        </w:rPr>
        <w:t>特此证明。</w:t>
      </w:r>
    </w:p>
    <w:p>
      <w:pPr>
        <w:spacing w:line="440" w:lineRule="exact"/>
        <w:rPr>
          <w:rFonts w:ascii="仿宋_GB2312" w:hAnsi="宋体" w:eastAsia="仿宋_GB2312"/>
          <w:color w:val="auto"/>
          <w:sz w:val="24"/>
        </w:rPr>
      </w:pPr>
    </w:p>
    <w:p>
      <w:pPr>
        <w:spacing w:line="440" w:lineRule="exact"/>
        <w:rPr>
          <w:rFonts w:ascii="仿宋_GB2312" w:hAnsi="宋体" w:eastAsia="仿宋_GB2312"/>
          <w:color w:val="auto"/>
          <w:sz w:val="24"/>
        </w:rPr>
      </w:pPr>
      <w:r>
        <w:rPr>
          <w:rFonts w:hint="eastAsia" w:ascii="仿宋_GB2312" w:hAnsi="宋体" w:eastAsia="仿宋_GB2312"/>
          <w:color w:val="auto"/>
          <w:sz w:val="24"/>
        </w:rPr>
        <w:t>投标人：                             （电子签章）</w:t>
      </w:r>
    </w:p>
    <w:p>
      <w:pPr>
        <w:spacing w:line="440" w:lineRule="exact"/>
        <w:ind w:right="480"/>
        <w:rPr>
          <w:rFonts w:ascii="仿宋_GB2312" w:hAnsi="宋体" w:eastAsia="仿宋_GB2312"/>
          <w:color w:val="auto"/>
          <w:sz w:val="24"/>
        </w:rPr>
      </w:pPr>
    </w:p>
    <w:p>
      <w:pPr>
        <w:spacing w:line="440" w:lineRule="exact"/>
        <w:ind w:right="720"/>
        <w:jc w:val="right"/>
        <w:rPr>
          <w:rFonts w:ascii="仿宋_GB2312" w:hAnsi="宋体" w:eastAsia="仿宋_GB2312"/>
          <w:color w:val="auto"/>
          <w:sz w:val="24"/>
        </w:rPr>
      </w:pPr>
      <w:r>
        <w:rPr>
          <w:rFonts w:hint="eastAsia" w:ascii="仿宋_GB2312" w:hAnsi="宋体" w:eastAsia="仿宋_GB2312"/>
          <w:color w:val="auto"/>
          <w:sz w:val="24"/>
        </w:rPr>
        <w:t>年   月   日</w:t>
      </w:r>
    </w:p>
    <w:p>
      <w:pPr>
        <w:spacing w:line="440" w:lineRule="exact"/>
        <w:ind w:right="720"/>
        <w:jc w:val="right"/>
        <w:rPr>
          <w:rFonts w:ascii="仿宋_GB2312" w:hAnsi="宋体" w:eastAsia="仿宋_GB2312"/>
          <w:color w:val="auto"/>
          <w:sz w:val="24"/>
        </w:rPr>
      </w:pPr>
    </w:p>
    <w:p>
      <w:pPr>
        <w:spacing w:line="440" w:lineRule="exact"/>
        <w:ind w:right="720"/>
        <w:jc w:val="right"/>
        <w:rPr>
          <w:rFonts w:ascii="仿宋_GB2312" w:hAnsi="宋体" w:eastAsia="仿宋_GB2312"/>
          <w:color w:val="auto"/>
          <w:sz w:val="24"/>
        </w:rPr>
      </w:pPr>
    </w:p>
    <w:p>
      <w:pPr>
        <w:pageBreakBefore/>
        <w:spacing w:line="440" w:lineRule="exact"/>
        <w:ind w:right="-47"/>
        <w:jc w:val="left"/>
        <w:rPr>
          <w:rFonts w:ascii="仿宋_GB2312" w:hAnsi="仿宋_GB2312" w:eastAsia="仿宋_GB2312" w:cs="仿宋_GB2312"/>
          <w:b/>
          <w:color w:val="auto"/>
          <w:sz w:val="28"/>
          <w:szCs w:val="28"/>
        </w:rPr>
      </w:pPr>
      <w:r>
        <w:rPr>
          <w:rFonts w:hint="eastAsia" w:ascii="仿宋_GB2312" w:hAnsi="宋体" w:eastAsia="仿宋_GB2312"/>
          <w:b/>
          <w:color w:val="auto"/>
          <w:sz w:val="30"/>
          <w:szCs w:val="30"/>
        </w:rPr>
        <w:t>5、与符合性审查有关的资信文件（复印件）</w:t>
      </w:r>
      <w:r>
        <w:rPr>
          <w:rFonts w:hint="eastAsia" w:ascii="仿宋_GB2312" w:hAnsi="宋体" w:eastAsia="仿宋_GB2312"/>
          <w:b/>
          <w:color w:val="auto"/>
          <w:sz w:val="28"/>
          <w:szCs w:val="28"/>
        </w:rPr>
        <w:t>（1</w:t>
      </w:r>
      <w:r>
        <w:rPr>
          <w:rFonts w:hint="eastAsia" w:ascii="仿宋_GB2312" w:hAnsi="仿宋_GB2312" w:eastAsia="仿宋_GB2312" w:cs="仿宋_GB2312"/>
          <w:b/>
          <w:color w:val="auto"/>
          <w:kern w:val="0"/>
          <w:sz w:val="28"/>
          <w:szCs w:val="28"/>
          <w:lang w:val="zh-CN"/>
        </w:rPr>
        <w:t>.</w:t>
      </w:r>
      <w:r>
        <w:rPr>
          <w:rFonts w:hint="eastAsia" w:ascii="仿宋_GB2312" w:hAnsi="仿宋_GB2312" w:eastAsia="仿宋_GB2312" w:cs="仿宋_GB2312"/>
          <w:b/>
          <w:color w:val="auto"/>
          <w:sz w:val="28"/>
          <w:szCs w:val="28"/>
        </w:rPr>
        <w:t>营业执照（</w:t>
      </w:r>
      <w:r>
        <w:rPr>
          <w:rFonts w:hint="eastAsia" w:ascii="仿宋" w:hAnsi="仿宋" w:cs="仿宋"/>
          <w:b/>
          <w:sz w:val="28"/>
          <w:szCs w:val="28"/>
          <w:lang w:eastAsia="zh-CN"/>
        </w:rPr>
        <w:t>含电子营业执照</w:t>
      </w:r>
      <w:r>
        <w:rPr>
          <w:rFonts w:hint="eastAsia" w:ascii="仿宋_GB2312" w:hAnsi="仿宋_GB2312" w:eastAsia="仿宋_GB2312" w:cs="仿宋_GB2312"/>
          <w:b/>
          <w:color w:val="auto"/>
          <w:sz w:val="28"/>
          <w:szCs w:val="28"/>
        </w:rPr>
        <w:t>或事业法人登记证或其他登记证明材料）（复印件）；2.财务报表资料文件（202</w:t>
      </w:r>
      <w:r>
        <w:rPr>
          <w:rFonts w:hint="eastAsia" w:ascii="仿宋_GB2312" w:hAnsi="仿宋_GB2312" w:eastAsia="仿宋_GB2312" w:cs="仿宋_GB2312"/>
          <w:b/>
          <w:color w:val="auto"/>
          <w:sz w:val="28"/>
          <w:szCs w:val="28"/>
          <w:lang w:val="en-US" w:eastAsia="zh-CN"/>
        </w:rPr>
        <w:t>3</w:t>
      </w:r>
      <w:r>
        <w:rPr>
          <w:rFonts w:hint="eastAsia" w:ascii="仿宋_GB2312" w:hAnsi="仿宋_GB2312" w:eastAsia="仿宋_GB2312" w:cs="仿宋_GB2312"/>
          <w:b/>
          <w:color w:val="auto"/>
          <w:sz w:val="28"/>
          <w:szCs w:val="28"/>
        </w:rPr>
        <w:t>年度资产负债表等财务报表资料文件(新成立的公司，提供情况说明，格式自拟)）；</w:t>
      </w:r>
      <w:r>
        <w:rPr>
          <w:rFonts w:hint="eastAsia" w:ascii="仿宋_GB2312" w:hAnsi="宋体" w:eastAsia="仿宋_GB2312"/>
          <w:b/>
          <w:color w:val="auto"/>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napToGrid w:val="0"/>
        <w:spacing w:line="360" w:lineRule="auto"/>
        <w:ind w:right="480"/>
        <w:jc w:val="center"/>
        <w:rPr>
          <w:rFonts w:ascii="仿宋_GB2312" w:hAnsi="仿宋_GB2312" w:eastAsia="仿宋_GB2312" w:cs="仿宋_GB2312"/>
          <w:b/>
          <w:color w:val="auto"/>
          <w:kern w:val="0"/>
          <w:sz w:val="32"/>
          <w:szCs w:val="32"/>
          <w:lang w:val="zh-CN"/>
        </w:rPr>
      </w:pPr>
    </w:p>
    <w:p>
      <w:pPr>
        <w:snapToGrid w:val="0"/>
        <w:spacing w:line="360" w:lineRule="auto"/>
        <w:ind w:right="480"/>
        <w:rPr>
          <w:rFonts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6、具有履行合同所必需的设备和专业技术能力的承诺函</w:t>
      </w:r>
    </w:p>
    <w:p>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嵊州市</w:t>
      </w:r>
      <w:r>
        <w:rPr>
          <w:rFonts w:hint="eastAsia" w:ascii="仿宋" w:hAnsi="仿宋" w:eastAsia="仿宋" w:cs="仿宋_GB2312"/>
          <w:color w:val="auto"/>
          <w:sz w:val="24"/>
          <w:lang w:eastAsia="zh-CN"/>
        </w:rPr>
        <w:t>公安局</w:t>
      </w:r>
      <w:r>
        <w:rPr>
          <w:rFonts w:hint="eastAsia" w:ascii="仿宋_GB2312" w:hAnsi="仿宋_GB2312" w:eastAsia="仿宋_GB2312" w:cs="仿宋_GB2312"/>
          <w:color w:val="auto"/>
          <w:sz w:val="24"/>
        </w:rPr>
        <w:t>、嵊州市公共资源交易中心</w:t>
      </w:r>
      <w:r>
        <w:rPr>
          <w:rFonts w:hint="eastAsia" w:ascii="仿宋_GB2312" w:hAnsi="仿宋_GB2312" w:eastAsia="仿宋_GB2312" w:cs="仿宋_GB2312"/>
          <w:color w:val="auto"/>
          <w:kern w:val="0"/>
          <w:sz w:val="24"/>
          <w:lang w:val="zh-CN"/>
        </w:rPr>
        <w:t>：</w:t>
      </w:r>
    </w:p>
    <w:p>
      <w:pPr>
        <w:snapToGrid w:val="0"/>
        <w:spacing w:line="360" w:lineRule="auto"/>
        <w:ind w:firstLine="480" w:firstLineChars="200"/>
        <w:rPr>
          <w:rFonts w:ascii="仿宋" w:hAnsi="仿宋" w:eastAsia="仿宋" w:cs="仿宋_GB2312"/>
          <w:color w:val="auto"/>
          <w:sz w:val="24"/>
        </w:rPr>
      </w:pPr>
      <w:r>
        <w:rPr>
          <w:rFonts w:hint="eastAsia" w:ascii="仿宋" w:hAnsi="仿宋" w:eastAsia="仿宋" w:cs="仿宋_GB2312"/>
          <w:color w:val="auto"/>
          <w:sz w:val="24"/>
        </w:rPr>
        <w:t>我方郑重承诺，我方具有履行嵊州市</w:t>
      </w:r>
      <w:r>
        <w:rPr>
          <w:rFonts w:hint="eastAsia" w:ascii="仿宋" w:hAnsi="仿宋" w:eastAsia="仿宋" w:cs="仿宋_GB2312"/>
          <w:color w:val="auto"/>
          <w:sz w:val="24"/>
          <w:lang w:eastAsia="zh-CN"/>
        </w:rPr>
        <w:t>公安局公务用车</w:t>
      </w:r>
      <w:r>
        <w:rPr>
          <w:rFonts w:hint="eastAsia" w:ascii="仿宋" w:hAnsi="仿宋" w:eastAsia="仿宋" w:cs="仿宋_GB2312"/>
          <w:color w:val="auto"/>
          <w:sz w:val="24"/>
        </w:rPr>
        <w:t>采购项目（招标编号:</w:t>
      </w:r>
      <w:r>
        <w:rPr>
          <w:rFonts w:hint="eastAsia" w:ascii="仿宋" w:hAnsi="仿宋" w:eastAsia="仿宋" w:cs="仿宋_GB2312"/>
          <w:color w:val="auto"/>
          <w:sz w:val="24"/>
          <w:lang w:eastAsia="zh-CN"/>
        </w:rPr>
        <w:t>2023-</w:t>
      </w:r>
      <w:r>
        <w:rPr>
          <w:rFonts w:hint="eastAsia" w:ascii="仿宋" w:hAnsi="仿宋" w:eastAsia="仿宋" w:cs="仿宋_GB2312"/>
          <w:color w:val="auto"/>
          <w:sz w:val="24"/>
          <w:lang w:val="en-US" w:eastAsia="zh-CN"/>
        </w:rPr>
        <w:t>14</w:t>
      </w:r>
      <w:r>
        <w:rPr>
          <w:rFonts w:hint="eastAsia" w:ascii="仿宋" w:hAnsi="仿宋" w:eastAsia="仿宋" w:cs="仿宋_GB2312"/>
          <w:color w:val="auto"/>
          <w:sz w:val="24"/>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  日</w:t>
      </w:r>
    </w:p>
    <w:p>
      <w:pPr>
        <w:spacing w:line="360" w:lineRule="auto"/>
        <w:jc w:val="center"/>
        <w:rPr>
          <w:rFonts w:ascii="仿宋_GB2312" w:hAnsi="仿宋_GB2312" w:eastAsia="仿宋_GB2312" w:cs="仿宋_GB2312"/>
          <w:b/>
          <w:color w:val="auto"/>
          <w:kern w:val="0"/>
          <w:sz w:val="32"/>
          <w:szCs w:val="32"/>
        </w:rPr>
      </w:pPr>
    </w:p>
    <w:p>
      <w:pPr>
        <w:spacing w:line="360" w:lineRule="auto"/>
        <w:jc w:val="center"/>
        <w:rPr>
          <w:rFonts w:ascii="仿宋_GB2312" w:hAnsi="仿宋_GB2312" w:eastAsia="仿宋_GB2312" w:cs="仿宋_GB2312"/>
          <w:b/>
          <w:color w:val="auto"/>
          <w:kern w:val="0"/>
          <w:sz w:val="32"/>
          <w:szCs w:val="32"/>
        </w:rPr>
      </w:pP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rPr>
        <w:t>7、重大违法记录的声明</w:t>
      </w:r>
    </w:p>
    <w:p>
      <w:pPr>
        <w:snapToGrid w:val="0"/>
        <w:spacing w:before="156" w:beforeLines="50" w:line="360" w:lineRule="auto"/>
        <w:rPr>
          <w:rFonts w:ascii="仿宋_GB2312" w:hAnsi="仿宋_GB2312" w:eastAsia="仿宋_GB2312" w:cs="仿宋_GB2312"/>
          <w:color w:val="auto"/>
          <w:kern w:val="0"/>
          <w:sz w:val="24"/>
        </w:rPr>
      </w:pPr>
      <w:r>
        <w:rPr>
          <w:rFonts w:hint="eastAsia" w:ascii="仿宋" w:hAnsi="仿宋" w:eastAsia="仿宋" w:cs="仿宋_GB2312"/>
          <w:color w:val="auto"/>
          <w:sz w:val="24"/>
        </w:rPr>
        <w:t>嵊州市</w:t>
      </w:r>
      <w:r>
        <w:rPr>
          <w:rFonts w:hint="eastAsia" w:ascii="仿宋" w:hAnsi="仿宋" w:eastAsia="仿宋" w:cs="仿宋_GB2312"/>
          <w:color w:val="auto"/>
          <w:sz w:val="24"/>
          <w:lang w:eastAsia="zh-CN"/>
        </w:rPr>
        <w:t>公安局</w:t>
      </w:r>
      <w:r>
        <w:rPr>
          <w:rFonts w:hint="eastAsia" w:ascii="仿宋_GB2312" w:hAnsi="仿宋_GB2312" w:eastAsia="仿宋_GB2312" w:cs="仿宋_GB2312"/>
          <w:color w:val="auto"/>
          <w:sz w:val="24"/>
        </w:rPr>
        <w:t>、嵊州市公共资源交易中心</w:t>
      </w:r>
      <w:r>
        <w:rPr>
          <w:rFonts w:hint="eastAsia" w:ascii="仿宋_GB2312" w:hAnsi="仿宋_GB2312" w:eastAsia="仿宋_GB2312" w:cs="仿宋_GB2312"/>
          <w:color w:val="auto"/>
          <w:kern w:val="0"/>
          <w:sz w:val="24"/>
          <w:lang w:val="zh-CN"/>
        </w:rPr>
        <w:t>：</w:t>
      </w:r>
    </w:p>
    <w:p>
      <w:pPr>
        <w:spacing w:line="360" w:lineRule="auto"/>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lang w:val="zh-CN"/>
        </w:rPr>
        <w:t>我公司</w:t>
      </w:r>
      <w:r>
        <w:rPr>
          <w:rFonts w:hint="eastAsia" w:ascii="仿宋_GB2312" w:hAnsi="仿宋_GB2312" w:eastAsia="仿宋_GB2312" w:cs="仿宋_GB2312"/>
          <w:color w:val="auto"/>
          <w:sz w:val="24"/>
        </w:rPr>
        <w:t>声明参加本次政府采购活动前三年内，在</w:t>
      </w:r>
      <w:r>
        <w:rPr>
          <w:rFonts w:hint="eastAsia" w:ascii="仿宋_GB2312" w:hAnsi="仿宋_GB2312" w:eastAsia="仿宋_GB2312" w:cs="仿宋_GB2312"/>
          <w:color w:val="auto"/>
          <w:kern w:val="0"/>
          <w:sz w:val="24"/>
        </w:rPr>
        <w:t>经营活动中</w:t>
      </w:r>
      <w:r>
        <w:rPr>
          <w:rFonts w:hint="eastAsia" w:ascii="仿宋_GB2312" w:hAnsi="仿宋_GB2312" w:eastAsia="仿宋_GB2312" w:cs="仿宋_GB2312"/>
          <w:color w:val="auto"/>
          <w:sz w:val="24"/>
        </w:rPr>
        <w:t>没有重大违法记录；也</w:t>
      </w:r>
      <w:r>
        <w:rPr>
          <w:rFonts w:hint="eastAsia" w:ascii="仿宋_GB2312" w:hAnsi="仿宋_GB2312" w:eastAsia="仿宋_GB2312" w:cs="仿宋_GB2312"/>
          <w:color w:val="auto"/>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napToGrid w:val="0"/>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8、特定资格条件要求的资质文件（复印件）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（由投标人根据招标公告合格的投标人应具备的特定资格要求编制）</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pStyle w:val="196"/>
        <w:pageBreakBefore/>
        <w:ind w:firstLine="0"/>
        <w:jc w:val="both"/>
        <w:rPr>
          <w:rFonts w:hAnsi="仿宋_GB2312" w:cs="仿宋_GB2312"/>
          <w:color w:val="auto"/>
        </w:rPr>
      </w:pPr>
      <w:r>
        <w:rPr>
          <w:rFonts w:hint="eastAsia" w:hAnsi="仿宋_GB2312" w:cs="仿宋_GB2312"/>
          <w:color w:val="auto"/>
          <w:lang w:val="en-US" w:eastAsia="zh-CN"/>
        </w:rPr>
        <w:t>9</w:t>
      </w:r>
      <w:r>
        <w:rPr>
          <w:rFonts w:hint="eastAsia" w:hAnsi="仿宋_GB2312" w:cs="仿宋_GB2312"/>
          <w:color w:val="auto"/>
        </w:rPr>
        <w:t>、廉政承诺书</w:t>
      </w:r>
    </w:p>
    <w:p>
      <w:pPr>
        <w:autoSpaceDE w:val="0"/>
        <w:autoSpaceDN w:val="0"/>
        <w:spacing w:line="360" w:lineRule="auto"/>
        <w:ind w:left="2"/>
        <w:jc w:val="left"/>
        <w:rPr>
          <w:rFonts w:ascii="仿宋_GB2312" w:hAnsi="仿宋_GB2312" w:eastAsia="仿宋_GB2312" w:cs="仿宋_GB2312"/>
          <w:color w:val="auto"/>
          <w:kern w:val="0"/>
          <w:sz w:val="24"/>
          <w:lang w:val="zh-CN"/>
        </w:rPr>
      </w:pPr>
      <w:r>
        <w:rPr>
          <w:rFonts w:hint="eastAsia" w:ascii="仿宋" w:hAnsi="仿宋" w:eastAsia="仿宋" w:cs="仿宋_GB2312"/>
          <w:color w:val="auto"/>
          <w:sz w:val="24"/>
        </w:rPr>
        <w:t>嵊州市</w:t>
      </w:r>
      <w:r>
        <w:rPr>
          <w:rFonts w:hint="eastAsia" w:ascii="仿宋" w:hAnsi="仿宋" w:eastAsia="仿宋" w:cs="仿宋_GB2312"/>
          <w:color w:val="auto"/>
          <w:sz w:val="24"/>
          <w:lang w:eastAsia="zh-CN"/>
        </w:rPr>
        <w:t>公安局</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我单位响应你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如违反上述承诺，你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0</w:t>
      </w:r>
      <w:r>
        <w:rPr>
          <w:rFonts w:hint="eastAsia" w:ascii="仿宋_GB2312" w:hAnsi="仿宋_GB2312" w:eastAsia="仿宋_GB2312" w:cs="仿宋_GB2312"/>
          <w:b/>
          <w:bCs/>
          <w:color w:val="auto"/>
          <w:sz w:val="32"/>
          <w:szCs w:val="32"/>
        </w:rPr>
        <w:t>、技术解决方案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4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 w:hAnsi="仿宋" w:eastAsia="仿宋"/>
          <w:b/>
          <w:color w:val="auto"/>
          <w:spacing w:val="6"/>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6" o:spt="75" type="#_x0000_t75" style="height:36.85pt;width:381.9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ascii="仿宋_GB2312" w:hAnsi="仿宋_GB2312" w:eastAsia="仿宋_GB2312" w:cs="仿宋_GB2312"/>
          <w:b/>
          <w:color w:val="auto"/>
          <w:kern w:val="0"/>
          <w:sz w:val="28"/>
          <w:szCs w:val="28"/>
        </w:rPr>
        <w:object>
          <v:shape id="_x0000_i1027" o:spt="75" type="#_x0000_t75" style="height:36.85pt;width:381.3pt;" o:ole="t" filled="f" o:preferrelative="t" stroked="f" coordsize="21600,21600">
            <v:path/>
            <v:fill on="f" focussize="0,0"/>
            <v:stroke on="f" joinstyle="miter"/>
            <v:imagedata r:id="rId12" o:title=""/>
            <o:lock v:ext="edit" aspectratio="t"/>
            <w10:wrap type="none"/>
            <w10:anchorlock/>
          </v:shape>
          <o:OLEObject Type="Embed" ProgID="Package" ShapeID="_x0000_i1027" DrawAspect="Content" ObjectID="_1468075727" r:id="rId11">
            <o:LockedField>false</o:LockedField>
          </o:OLEObject>
        </w:objec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、技术偏离说明表</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（由投标人根据采购需求及招标文件要求编制）</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招标文件技术要求</w:t>
            </w:r>
          </w:p>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bl>
    <w:p>
      <w:pPr>
        <w:tabs>
          <w:tab w:val="left" w:pos="570"/>
        </w:tabs>
        <w:spacing w:line="440" w:lineRule="exact"/>
        <w:ind w:firstLine="120" w:firstLineChars="50"/>
        <w:jc w:val="left"/>
        <w:rPr>
          <w:rFonts w:ascii="仿宋_GB2312" w:hAnsi="宋体" w:eastAsia="仿宋_GB2312"/>
          <w:color w:val="auto"/>
          <w:sz w:val="24"/>
        </w:rPr>
      </w:pPr>
      <w:r>
        <w:rPr>
          <w:rFonts w:hint="eastAsia" w:ascii="仿宋_GB2312" w:hAnsi="宋体" w:eastAsia="仿宋_GB2312"/>
          <w:color w:val="auto"/>
          <w:sz w:val="24"/>
        </w:rPr>
        <w:t>注：1.此表须与</w:t>
      </w:r>
      <w:r>
        <w:rPr>
          <w:rFonts w:hint="eastAsia" w:ascii="仿宋_GB2312" w:hAnsi="宋体" w:eastAsia="仿宋_GB2312"/>
          <w:color w:val="auto"/>
          <w:kern w:val="0"/>
          <w:sz w:val="24"/>
        </w:rPr>
        <w:t>招标文件“</w:t>
      </w:r>
      <w:r>
        <w:rPr>
          <w:rFonts w:hint="eastAsia" w:ascii="仿宋_GB2312" w:hAnsi="宋体" w:eastAsia="仿宋_GB2312"/>
          <w:color w:val="auto"/>
          <w:sz w:val="24"/>
        </w:rPr>
        <w:t>招标项目说明及要求</w:t>
      </w:r>
      <w:r>
        <w:rPr>
          <w:rFonts w:hint="eastAsia" w:ascii="仿宋_GB2312" w:hAnsi="宋体" w:eastAsia="仿宋_GB2312"/>
          <w:color w:val="auto"/>
          <w:kern w:val="0"/>
          <w:sz w:val="24"/>
        </w:rPr>
        <w:t>”</w:t>
      </w:r>
      <w:r>
        <w:rPr>
          <w:rFonts w:hint="eastAsia" w:ascii="仿宋_GB2312" w:hAnsi="宋体" w:eastAsia="仿宋_GB2312"/>
          <w:color w:val="auto"/>
          <w:sz w:val="24"/>
        </w:rPr>
        <w:t>相应标项内的所有技术规格相比较且一一对应</w:t>
      </w:r>
      <w:r>
        <w:rPr>
          <w:rFonts w:hint="eastAsia" w:ascii="仿宋_GB2312" w:hAnsi="宋体" w:eastAsia="仿宋_GB2312" w:cs="宋体"/>
          <w:color w:val="auto"/>
          <w:sz w:val="24"/>
        </w:rPr>
        <w:t>真实逐条</w:t>
      </w:r>
      <w:r>
        <w:rPr>
          <w:rFonts w:hint="eastAsia" w:ascii="仿宋_GB2312" w:hAnsi="宋体" w:eastAsia="仿宋_GB2312"/>
          <w:color w:val="auto"/>
          <w:sz w:val="24"/>
        </w:rPr>
        <w:t>填列。</w:t>
      </w:r>
    </w:p>
    <w:p>
      <w:pPr>
        <w:tabs>
          <w:tab w:val="left" w:pos="570"/>
        </w:tabs>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r>
        <w:rPr>
          <w:rFonts w:hint="eastAsia" w:ascii="仿宋_GB2312" w:hAnsi="宋体" w:eastAsia="仿宋_GB2312" w:cs="宋体"/>
          <w:color w:val="auto"/>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1</w:t>
      </w:r>
      <w:r>
        <w:rPr>
          <w:rFonts w:hint="eastAsia" w:ascii="仿宋_GB2312" w:hAnsi="仿宋_GB2312" w:eastAsia="仿宋_GB2312" w:cs="仿宋_GB2312"/>
          <w:b/>
          <w:bCs/>
          <w:color w:val="auto"/>
          <w:kern w:val="0"/>
          <w:sz w:val="32"/>
          <w:szCs w:val="32"/>
          <w:lang w:val="en-US" w:eastAsia="zh-CN"/>
        </w:rPr>
        <w:t>2</w:t>
      </w:r>
      <w:r>
        <w:rPr>
          <w:rFonts w:hint="eastAsia" w:ascii="仿宋_GB2312" w:hAnsi="仿宋_GB2312" w:eastAsia="仿宋_GB2312" w:cs="仿宋_GB2312"/>
          <w:b/>
          <w:bCs/>
          <w:color w:val="auto"/>
          <w:kern w:val="0"/>
          <w:sz w:val="32"/>
          <w:szCs w:val="32"/>
          <w:lang w:val="zh-CN"/>
        </w:rPr>
        <w:t>、组织实施方案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napToGrid w:val="0"/>
        <w:spacing w:line="360" w:lineRule="auto"/>
        <w:rPr>
          <w:rFonts w:ascii="仿宋_GB2312" w:hAnsi="仿宋_GB2312" w:eastAsia="仿宋_GB2312" w:cs="仿宋_GB2312"/>
          <w:color w:val="auto"/>
          <w:kern w:val="0"/>
          <w:sz w:val="24"/>
          <w:lang w:val="zh-CN"/>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、售后服务方案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napToGrid w:val="0"/>
        <w:spacing w:line="360" w:lineRule="auto"/>
        <w:rPr>
          <w:rFonts w:ascii="仿宋_GB2312" w:hAnsi="仿宋_GB2312" w:eastAsia="仿宋_GB2312" w:cs="仿宋_GB2312"/>
          <w:color w:val="auto"/>
          <w:kern w:val="0"/>
          <w:sz w:val="24"/>
          <w:lang w:val="zh-CN"/>
        </w:rPr>
      </w:pPr>
    </w:p>
    <w:p>
      <w:pPr>
        <w:snapToGrid w:val="0"/>
        <w:spacing w:line="360" w:lineRule="auto"/>
        <w:rPr>
          <w:rFonts w:ascii="仿宋_GB2312" w:hAnsi="仿宋_GB2312" w:eastAsia="仿宋_GB2312" w:cs="仿宋_GB2312"/>
          <w:color w:val="auto"/>
          <w:kern w:val="0"/>
          <w:sz w:val="24"/>
          <w:lang w:val="zh-CN"/>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jc w:val="center"/>
        <w:rPr>
          <w:rFonts w:ascii="仿宋_GB2312" w:hAnsi="仿宋" w:eastAsia="仿宋_GB2312" w:cs="仿宋"/>
          <w:b/>
          <w:bCs/>
          <w:color w:val="auto"/>
          <w:sz w:val="32"/>
          <w:szCs w:val="32"/>
        </w:rPr>
      </w:pPr>
      <w:r>
        <w:rPr>
          <w:rFonts w:hint="eastAsia" w:ascii="仿宋_GB2312" w:hAnsi="仿宋" w:eastAsia="仿宋_GB2312" w:cs="仿宋"/>
          <w:b/>
          <w:bCs/>
          <w:color w:val="auto"/>
          <w:sz w:val="32"/>
          <w:szCs w:val="32"/>
        </w:rPr>
        <w:t>质疑函范本</w:t>
      </w:r>
    </w:p>
    <w:p>
      <w:pPr>
        <w:adjustRightInd w:val="0"/>
        <w:snapToGrid w:val="0"/>
        <w:spacing w:before="312" w:beforeLines="100" w:line="360" w:lineRule="auto"/>
        <w:rPr>
          <w:rFonts w:ascii="仿宋_GB2312" w:hAnsi="黑体" w:eastAsia="仿宋_GB2312" w:cs="仿宋"/>
          <w:bCs/>
          <w:color w:val="auto"/>
          <w:sz w:val="24"/>
        </w:rPr>
      </w:pPr>
      <w:r>
        <w:rPr>
          <w:rFonts w:hint="eastAsia" w:ascii="仿宋_GB2312" w:hAnsi="黑体" w:eastAsia="仿宋_GB2312" w:cs="仿宋"/>
          <w:bCs/>
          <w:color w:val="auto"/>
          <w:sz w:val="24"/>
        </w:rPr>
        <w:t>一、质疑供应商基本信息</w:t>
      </w: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质疑供应商：</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地址：邮编：</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联系人：联系电话：</w:t>
      </w: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联系电话：</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地址：邮编：</w:t>
      </w:r>
    </w:p>
    <w:p>
      <w:pPr>
        <w:adjustRightInd w:val="0"/>
        <w:snapToGrid w:val="0"/>
        <w:spacing w:line="360" w:lineRule="auto"/>
        <w:rPr>
          <w:rFonts w:ascii="仿宋_GB2312" w:hAnsi="黑体" w:eastAsia="仿宋_GB2312" w:cs="仿宋"/>
          <w:bCs/>
          <w:color w:val="auto"/>
          <w:sz w:val="24"/>
        </w:rPr>
      </w:pPr>
      <w:r>
        <w:rPr>
          <w:rFonts w:hint="eastAsia" w:ascii="仿宋_GB2312" w:hAnsi="黑体" w:eastAsia="仿宋_GB2312" w:cs="仿宋"/>
          <w:bCs/>
          <w:color w:val="auto"/>
          <w:sz w:val="24"/>
        </w:rPr>
        <w:t>二、质疑项目基本情况</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质疑项目的名称：</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质疑项目的编号：包号：</w:t>
      </w: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采购人名称：</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采购文件获取日期：</w:t>
      </w:r>
    </w:p>
    <w:p>
      <w:pPr>
        <w:adjustRightInd w:val="0"/>
        <w:snapToGrid w:val="0"/>
        <w:spacing w:line="360" w:lineRule="auto"/>
        <w:rPr>
          <w:rFonts w:ascii="仿宋_GB2312" w:hAnsi="黑体" w:eastAsia="仿宋_GB2312" w:cs="仿宋"/>
          <w:bCs/>
          <w:color w:val="auto"/>
          <w:sz w:val="24"/>
        </w:rPr>
      </w:pPr>
      <w:r>
        <w:rPr>
          <w:rFonts w:hint="eastAsia" w:ascii="仿宋_GB2312" w:hAnsi="黑体" w:eastAsia="仿宋_GB2312" w:cs="仿宋"/>
          <w:bCs/>
          <w:color w:val="auto"/>
          <w:sz w:val="24"/>
        </w:rPr>
        <w:t>三、质疑事项具体内容</w:t>
      </w: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质疑事项1：</w:t>
      </w: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事实依据：</w:t>
      </w:r>
    </w:p>
    <w:p>
      <w:pPr>
        <w:adjustRightInd w:val="0"/>
        <w:snapToGrid w:val="0"/>
        <w:spacing w:line="360" w:lineRule="auto"/>
        <w:rPr>
          <w:rFonts w:ascii="仿宋_GB2312" w:hAnsi="仿宋" w:eastAsia="仿宋_GB2312" w:cs="仿宋"/>
          <w:color w:val="auto"/>
          <w:sz w:val="24"/>
        </w:rPr>
      </w:pP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法律依据：</w:t>
      </w:r>
    </w:p>
    <w:p>
      <w:pPr>
        <w:adjustRightInd w:val="0"/>
        <w:snapToGrid w:val="0"/>
        <w:spacing w:line="360" w:lineRule="auto"/>
        <w:rPr>
          <w:rFonts w:ascii="仿宋_GB2312" w:hAnsi="仿宋" w:eastAsia="仿宋_GB2312" w:cs="仿宋"/>
          <w:color w:val="auto"/>
          <w:sz w:val="24"/>
          <w:u w:val="dotted"/>
        </w:rPr>
      </w:pP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质疑事项2</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p>
    <w:p>
      <w:pPr>
        <w:adjustRightInd w:val="0"/>
        <w:snapToGrid w:val="0"/>
        <w:spacing w:line="360" w:lineRule="auto"/>
        <w:rPr>
          <w:rFonts w:ascii="仿宋_GB2312" w:hAnsi="黑体" w:eastAsia="仿宋_GB2312" w:cs="仿宋"/>
          <w:bCs/>
          <w:color w:val="auto"/>
          <w:sz w:val="24"/>
        </w:rPr>
      </w:pPr>
      <w:r>
        <w:rPr>
          <w:rFonts w:hint="eastAsia" w:ascii="仿宋_GB2312" w:hAnsi="黑体" w:eastAsia="仿宋_GB2312" w:cs="仿宋"/>
          <w:bCs/>
          <w:color w:val="auto"/>
          <w:sz w:val="24"/>
        </w:rPr>
        <w:t>四、与质疑事项相关的质疑请求</w:t>
      </w:r>
    </w:p>
    <w:p>
      <w:pPr>
        <w:adjustRightInd w:val="0"/>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请求：</w:t>
      </w:r>
    </w:p>
    <w:p>
      <w:pPr>
        <w:rPr>
          <w:rFonts w:ascii="仿宋_GB2312" w:eastAsia="仿宋_GB2312"/>
          <w:color w:val="auto"/>
          <w:sz w:val="24"/>
        </w:rPr>
      </w:pPr>
      <w:r>
        <w:rPr>
          <w:rFonts w:hint="eastAsia" w:ascii="仿宋_GB2312" w:eastAsia="仿宋_GB2312"/>
          <w:color w:val="auto"/>
          <w:sz w:val="24"/>
        </w:rPr>
        <w:t xml:space="preserve">签字(签章)：                   公章：                      </w:t>
      </w:r>
    </w:p>
    <w:p>
      <w:pPr>
        <w:rPr>
          <w:rFonts w:ascii="仿宋_GB2312" w:eastAsia="仿宋_GB2312"/>
          <w:color w:val="auto"/>
          <w:sz w:val="24"/>
        </w:rPr>
      </w:pPr>
      <w:r>
        <w:rPr>
          <w:rFonts w:hint="eastAsia" w:ascii="仿宋_GB2312" w:eastAsia="仿宋_GB2312"/>
          <w:color w:val="auto"/>
          <w:sz w:val="24"/>
        </w:rPr>
        <w:t xml:space="preserve">日期：    </w:t>
      </w:r>
    </w:p>
    <w:p>
      <w:pPr>
        <w:adjustRightInd w:val="0"/>
        <w:snapToGrid w:val="0"/>
        <w:spacing w:line="360" w:lineRule="auto"/>
        <w:rPr>
          <w:rFonts w:ascii="仿宋_GB2312" w:hAnsi="仿宋" w:eastAsia="仿宋_GB2312" w:cs="仿宋"/>
          <w:color w:val="auto"/>
          <w:sz w:val="24"/>
        </w:rPr>
      </w:pPr>
    </w:p>
    <w:p>
      <w:pPr>
        <w:adjustRightInd w:val="0"/>
        <w:snapToGrid w:val="0"/>
        <w:spacing w:line="360" w:lineRule="auto"/>
        <w:rPr>
          <w:rFonts w:ascii="仿宋_GB2312" w:hAnsi="仿宋" w:eastAsia="仿宋_GB2312" w:cs="仿宋"/>
          <w:color w:val="auto"/>
          <w:sz w:val="24"/>
        </w:rPr>
      </w:pPr>
    </w:p>
    <w:p>
      <w:pPr>
        <w:jc w:val="center"/>
        <w:rPr>
          <w:rFonts w:ascii="仿宋_GB2312" w:hAnsi="仿宋" w:eastAsia="仿宋_GB2312" w:cs="仿宋"/>
          <w:b/>
          <w:bCs/>
          <w:color w:val="auto"/>
          <w:sz w:val="24"/>
        </w:rPr>
      </w:pPr>
    </w:p>
    <w:p>
      <w:pPr>
        <w:jc w:val="center"/>
        <w:rPr>
          <w:rFonts w:ascii="仿宋_GB2312" w:hAnsi="仿宋" w:eastAsia="仿宋_GB2312" w:cs="仿宋"/>
          <w:b/>
          <w:bCs/>
          <w:color w:val="auto"/>
          <w:sz w:val="24"/>
        </w:rPr>
      </w:pPr>
    </w:p>
    <w:p>
      <w:pPr>
        <w:jc w:val="center"/>
        <w:rPr>
          <w:rFonts w:ascii="仿宋_GB2312" w:hAnsi="仿宋" w:eastAsia="仿宋_GB2312" w:cs="仿宋"/>
          <w:b/>
          <w:bCs/>
          <w:color w:val="auto"/>
          <w:sz w:val="24"/>
        </w:rPr>
      </w:pPr>
    </w:p>
    <w:p>
      <w:pPr>
        <w:rPr>
          <w:rFonts w:ascii="仿宋_GB2312" w:hAnsi="黑体" w:eastAsia="仿宋_GB2312"/>
          <w:b/>
          <w:color w:val="auto"/>
          <w:sz w:val="24"/>
        </w:rPr>
      </w:pPr>
    </w:p>
    <w:p>
      <w:pPr>
        <w:rPr>
          <w:rFonts w:ascii="仿宋_GB2312" w:hAnsi="黑体" w:eastAsia="仿宋_GB2312"/>
          <w:b/>
          <w:color w:val="auto"/>
          <w:sz w:val="24"/>
        </w:rPr>
      </w:pPr>
      <w:r>
        <w:rPr>
          <w:rFonts w:hint="eastAsia" w:ascii="仿宋_GB2312" w:hAnsi="黑体" w:eastAsia="仿宋_GB2312"/>
          <w:b/>
          <w:color w:val="auto"/>
          <w:sz w:val="24"/>
        </w:rPr>
        <w:t>质疑函制作说明：</w:t>
      </w:r>
    </w:p>
    <w:p>
      <w:pPr>
        <w:widowControl/>
        <w:ind w:firstLine="480" w:firstLineChars="200"/>
        <w:jc w:val="left"/>
        <w:rPr>
          <w:rFonts w:ascii="仿宋_GB2312" w:eastAsia="仿宋_GB2312"/>
          <w:color w:val="auto"/>
          <w:sz w:val="24"/>
        </w:rPr>
      </w:pPr>
      <w:r>
        <w:rPr>
          <w:rFonts w:hint="eastAsia" w:ascii="仿宋_GB2312" w:eastAsia="仿宋_GB2312"/>
          <w:color w:val="auto"/>
          <w:sz w:val="24"/>
        </w:rPr>
        <w:t>1.供应商提出质疑时，应提交质疑函和必要的证明材料。</w:t>
      </w:r>
    </w:p>
    <w:p>
      <w:pPr>
        <w:widowControl/>
        <w:ind w:firstLine="480" w:firstLineChars="200"/>
        <w:jc w:val="left"/>
        <w:rPr>
          <w:rFonts w:ascii="仿宋_GB2312" w:eastAsia="仿宋_GB2312"/>
          <w:color w:val="auto"/>
          <w:sz w:val="24"/>
        </w:rPr>
      </w:pPr>
      <w:r>
        <w:rPr>
          <w:rFonts w:hint="eastAsia" w:ascii="仿宋_GB2312" w:eastAsia="仿宋_GB2312"/>
          <w:color w:val="auto"/>
          <w:sz w:val="24"/>
        </w:rPr>
        <w:t>2.质疑供应商若委托代理人进行质疑的，质疑函应按要求列明“授权代表”的有关内容，并在附件中提交由质疑</w:t>
      </w:r>
      <w:r>
        <w:rPr>
          <w:rFonts w:hint="eastAsia" w:ascii="仿宋_GB2312" w:hAnsi="宋体" w:eastAsia="仿宋_GB2312" w:cs="宋体"/>
          <w:color w:val="auto"/>
          <w:kern w:val="0"/>
          <w:sz w:val="24"/>
        </w:rPr>
        <w:t>供应商签署的授权委托书。授权委托书应载明代理人的姓名或者名称、代理事项、具体权限、期限和相关事项。</w:t>
      </w:r>
    </w:p>
    <w:p>
      <w:pPr>
        <w:widowControl/>
        <w:ind w:firstLine="480" w:firstLineChars="200"/>
        <w:jc w:val="left"/>
        <w:rPr>
          <w:rFonts w:ascii="仿宋_GB2312" w:eastAsia="仿宋_GB2312"/>
          <w:color w:val="auto"/>
          <w:sz w:val="24"/>
        </w:rPr>
      </w:pPr>
      <w:r>
        <w:rPr>
          <w:rFonts w:hint="eastAsia" w:ascii="仿宋_GB2312" w:eastAsia="仿宋_GB2312"/>
          <w:color w:val="auto"/>
          <w:sz w:val="24"/>
        </w:rPr>
        <w:t>3.质疑供应商若对项目的某一分包进行质疑，质疑函中应列明具体分包号。</w:t>
      </w:r>
    </w:p>
    <w:p>
      <w:pPr>
        <w:widowControl/>
        <w:ind w:firstLine="480" w:firstLineChars="200"/>
        <w:jc w:val="left"/>
        <w:rPr>
          <w:rFonts w:ascii="仿宋_GB2312" w:eastAsia="仿宋_GB2312"/>
          <w:color w:val="auto"/>
          <w:sz w:val="24"/>
        </w:rPr>
      </w:pPr>
      <w:r>
        <w:rPr>
          <w:rFonts w:hint="eastAsia" w:ascii="仿宋_GB2312" w:eastAsia="仿宋_GB2312"/>
          <w:color w:val="auto"/>
          <w:sz w:val="24"/>
        </w:rPr>
        <w:t>4.质疑函的质疑事项应具体、明确，并有必要的事实依据和法律依据。</w:t>
      </w:r>
    </w:p>
    <w:p>
      <w:pPr>
        <w:widowControl/>
        <w:ind w:firstLine="480" w:firstLineChars="200"/>
        <w:jc w:val="left"/>
        <w:rPr>
          <w:rFonts w:ascii="仿宋_GB2312" w:eastAsia="仿宋_GB2312"/>
          <w:color w:val="auto"/>
          <w:sz w:val="24"/>
        </w:rPr>
      </w:pPr>
      <w:r>
        <w:rPr>
          <w:rFonts w:hint="eastAsia" w:ascii="仿宋_GB2312" w:eastAsia="仿宋_GB2312"/>
          <w:color w:val="auto"/>
          <w:sz w:val="24"/>
        </w:rPr>
        <w:t>5.质疑函的质疑请求应与质疑事项相关。</w:t>
      </w:r>
    </w:p>
    <w:p>
      <w:pPr>
        <w:widowControl/>
        <w:ind w:firstLine="480" w:firstLineChars="200"/>
        <w:jc w:val="left"/>
        <w:rPr>
          <w:rFonts w:ascii="仿宋_GB2312" w:eastAsia="仿宋_GB2312"/>
          <w:color w:val="auto"/>
          <w:sz w:val="24"/>
        </w:rPr>
      </w:pPr>
      <w:r>
        <w:rPr>
          <w:rFonts w:hint="eastAsia" w:ascii="仿宋_GB2312" w:eastAsia="仿宋_GB2312"/>
          <w:color w:val="auto"/>
          <w:sz w:val="24"/>
        </w:rPr>
        <w:t>6.质疑供应商为自然人的，质疑函应由本人签字；质疑供应商为法人或者其他组织的，质疑函应由法定代表人、主要负责人，或者其授权代表签字或者盖章，并加盖公章。</w:t>
      </w:r>
    </w:p>
    <w:p>
      <w:pPr>
        <w:widowControl/>
        <w:ind w:firstLine="480" w:firstLineChars="200"/>
        <w:jc w:val="left"/>
        <w:rPr>
          <w:rFonts w:ascii="仿宋_GB2312" w:eastAsia="仿宋_GB2312"/>
          <w:color w:val="auto"/>
          <w:sz w:val="24"/>
        </w:rPr>
      </w:pPr>
    </w:p>
    <w:p>
      <w:pPr>
        <w:spacing w:line="360" w:lineRule="auto"/>
        <w:rPr>
          <w:rFonts w:ascii="仿宋_GB2312" w:hAnsi="仿宋_GB2312" w:eastAsia="仿宋_GB2312" w:cs="仿宋_GB2312"/>
          <w:color w:val="auto"/>
          <w:kern w:val="0"/>
          <w:sz w:val="24"/>
        </w:rPr>
      </w:pPr>
    </w:p>
    <w:p>
      <w:pPr>
        <w:spacing w:line="360" w:lineRule="auto"/>
        <w:rPr>
          <w:rFonts w:ascii="仿宋_GB2312" w:hAnsi="仿宋_GB2312" w:eastAsia="仿宋_GB2312" w:cs="仿宋_GB2312"/>
          <w:color w:val="auto"/>
          <w:kern w:val="0"/>
          <w:sz w:val="24"/>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1"/>
      </w:rPr>
    </w:pPr>
    <w:r>
      <w:rPr>
        <w:rStyle w:val="51"/>
      </w:rPr>
      <w:fldChar w:fldCharType="begin"/>
    </w:r>
    <w:r>
      <w:rPr>
        <w:rStyle w:val="51"/>
      </w:rPr>
      <w:instrText xml:space="preserve">PAGE  </w:instrText>
    </w:r>
    <w:r>
      <w:rPr>
        <w:rStyle w:val="51"/>
      </w:rPr>
      <w:fldChar w:fldCharType="end"/>
    </w:r>
  </w:p>
  <w:p>
    <w:pPr>
      <w:pStyle w:val="3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rPr>
        <w:rFonts w:hint="default" w:eastAsia="宋体"/>
        <w:lang w:val="en-US" w:eastAsia="zh-CN"/>
      </w:rPr>
    </w:pPr>
    <w:r>
      <w:rPr>
        <w:rFonts w:hint="eastAsia"/>
      </w:rPr>
      <w:t xml:space="preserve">嵊州市公共资源交易中心                                                       </w:t>
    </w:r>
    <w:r>
      <w:rPr>
        <w:rFonts w:hint="eastAsia"/>
        <w:lang w:eastAsia="zh-CN"/>
      </w:rPr>
      <w:t>项目编号:2023-</w:t>
    </w:r>
    <w:r>
      <w:rPr>
        <w:rFonts w:hint="eastAsia"/>
        <w:lang w:val="en-US" w:eastAsia="zh-CN"/>
      </w:rP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9DD69F"/>
    <w:multiLevelType w:val="singleLevel"/>
    <w:tmpl w:val="DB9DD69F"/>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38AE3BF9"/>
    <w:multiLevelType w:val="multilevel"/>
    <w:tmpl w:val="38AE3BF9"/>
    <w:lvl w:ilvl="0" w:tentative="0">
      <w:start w:val="1"/>
      <w:numFmt w:val="bullet"/>
      <w:pStyle w:val="290"/>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iMjNhODk0ZDQxOTBhOGE4ZDYyODIxNjgyNWYwYTkifQ=="/>
  </w:docVars>
  <w:rsids>
    <w:rsidRoot w:val="00417C8A"/>
    <w:rsid w:val="00002EF8"/>
    <w:rsid w:val="00003B69"/>
    <w:rsid w:val="00005125"/>
    <w:rsid w:val="00010C9A"/>
    <w:rsid w:val="00010FC1"/>
    <w:rsid w:val="0001278F"/>
    <w:rsid w:val="0002045E"/>
    <w:rsid w:val="00021D87"/>
    <w:rsid w:val="0002203D"/>
    <w:rsid w:val="0002468D"/>
    <w:rsid w:val="00025A9F"/>
    <w:rsid w:val="00026762"/>
    <w:rsid w:val="00027515"/>
    <w:rsid w:val="00031F75"/>
    <w:rsid w:val="00032922"/>
    <w:rsid w:val="000329A7"/>
    <w:rsid w:val="00033D7B"/>
    <w:rsid w:val="000354C7"/>
    <w:rsid w:val="000402F5"/>
    <w:rsid w:val="00040A03"/>
    <w:rsid w:val="00047118"/>
    <w:rsid w:val="0005172F"/>
    <w:rsid w:val="000517D0"/>
    <w:rsid w:val="00051C47"/>
    <w:rsid w:val="000535F4"/>
    <w:rsid w:val="00056199"/>
    <w:rsid w:val="00056713"/>
    <w:rsid w:val="0005700A"/>
    <w:rsid w:val="0006049D"/>
    <w:rsid w:val="0006344A"/>
    <w:rsid w:val="000643A5"/>
    <w:rsid w:val="00065197"/>
    <w:rsid w:val="000657C6"/>
    <w:rsid w:val="00065EFB"/>
    <w:rsid w:val="00067FB2"/>
    <w:rsid w:val="00074373"/>
    <w:rsid w:val="00075850"/>
    <w:rsid w:val="0007656E"/>
    <w:rsid w:val="000812D0"/>
    <w:rsid w:val="000822F8"/>
    <w:rsid w:val="00082DC1"/>
    <w:rsid w:val="00083E93"/>
    <w:rsid w:val="00083EB1"/>
    <w:rsid w:val="00087605"/>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4A4F"/>
    <w:rsid w:val="000E5C9B"/>
    <w:rsid w:val="000E6F8C"/>
    <w:rsid w:val="000E72A0"/>
    <w:rsid w:val="000F51A7"/>
    <w:rsid w:val="000F5EF4"/>
    <w:rsid w:val="000F7FA8"/>
    <w:rsid w:val="001023D9"/>
    <w:rsid w:val="00103629"/>
    <w:rsid w:val="00103B47"/>
    <w:rsid w:val="00104327"/>
    <w:rsid w:val="00104663"/>
    <w:rsid w:val="00104A07"/>
    <w:rsid w:val="0010763D"/>
    <w:rsid w:val="00111E93"/>
    <w:rsid w:val="00112B08"/>
    <w:rsid w:val="001138D1"/>
    <w:rsid w:val="00114BF9"/>
    <w:rsid w:val="00114C81"/>
    <w:rsid w:val="00115363"/>
    <w:rsid w:val="00116EDA"/>
    <w:rsid w:val="00117D66"/>
    <w:rsid w:val="0012018C"/>
    <w:rsid w:val="00120D86"/>
    <w:rsid w:val="001259A5"/>
    <w:rsid w:val="001259AD"/>
    <w:rsid w:val="00125D70"/>
    <w:rsid w:val="00132EE2"/>
    <w:rsid w:val="001345B3"/>
    <w:rsid w:val="0013527E"/>
    <w:rsid w:val="00135C35"/>
    <w:rsid w:val="00137525"/>
    <w:rsid w:val="0014242C"/>
    <w:rsid w:val="00142B6B"/>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340C"/>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766"/>
    <w:rsid w:val="00251888"/>
    <w:rsid w:val="00251EE7"/>
    <w:rsid w:val="0025660E"/>
    <w:rsid w:val="00256A92"/>
    <w:rsid w:val="0025749B"/>
    <w:rsid w:val="00260A0D"/>
    <w:rsid w:val="00262E82"/>
    <w:rsid w:val="00264B31"/>
    <w:rsid w:val="00264FFB"/>
    <w:rsid w:val="00266447"/>
    <w:rsid w:val="00267D7C"/>
    <w:rsid w:val="00270E20"/>
    <w:rsid w:val="00271127"/>
    <w:rsid w:val="00271324"/>
    <w:rsid w:val="00274B01"/>
    <w:rsid w:val="00275F7B"/>
    <w:rsid w:val="00282A60"/>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5060"/>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28C3"/>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4C25"/>
    <w:rsid w:val="003F77E0"/>
    <w:rsid w:val="00400057"/>
    <w:rsid w:val="00400B4D"/>
    <w:rsid w:val="004014D1"/>
    <w:rsid w:val="00403FEC"/>
    <w:rsid w:val="00407D88"/>
    <w:rsid w:val="004109FD"/>
    <w:rsid w:val="0041394C"/>
    <w:rsid w:val="00413B7A"/>
    <w:rsid w:val="00417C8A"/>
    <w:rsid w:val="0042136D"/>
    <w:rsid w:val="00422CD1"/>
    <w:rsid w:val="004236B6"/>
    <w:rsid w:val="00424C70"/>
    <w:rsid w:val="0042557D"/>
    <w:rsid w:val="00426003"/>
    <w:rsid w:val="00427A2E"/>
    <w:rsid w:val="00427BA5"/>
    <w:rsid w:val="004350B7"/>
    <w:rsid w:val="0043766D"/>
    <w:rsid w:val="00441896"/>
    <w:rsid w:val="00442935"/>
    <w:rsid w:val="0044422F"/>
    <w:rsid w:val="00445C1C"/>
    <w:rsid w:val="00447789"/>
    <w:rsid w:val="004511A0"/>
    <w:rsid w:val="00451D55"/>
    <w:rsid w:val="00452AD3"/>
    <w:rsid w:val="004540C2"/>
    <w:rsid w:val="00454AD4"/>
    <w:rsid w:val="00457231"/>
    <w:rsid w:val="00457BF2"/>
    <w:rsid w:val="004600A6"/>
    <w:rsid w:val="00460793"/>
    <w:rsid w:val="00461637"/>
    <w:rsid w:val="00463E5C"/>
    <w:rsid w:val="00464359"/>
    <w:rsid w:val="00465D0D"/>
    <w:rsid w:val="00467CFF"/>
    <w:rsid w:val="00470B6E"/>
    <w:rsid w:val="0047117D"/>
    <w:rsid w:val="00471407"/>
    <w:rsid w:val="00471DA5"/>
    <w:rsid w:val="00472E4E"/>
    <w:rsid w:val="0047483C"/>
    <w:rsid w:val="00474BED"/>
    <w:rsid w:val="00476C0B"/>
    <w:rsid w:val="00476D23"/>
    <w:rsid w:val="00477EFE"/>
    <w:rsid w:val="004817DB"/>
    <w:rsid w:val="004832BC"/>
    <w:rsid w:val="00485E04"/>
    <w:rsid w:val="00486B01"/>
    <w:rsid w:val="00487465"/>
    <w:rsid w:val="004939A7"/>
    <w:rsid w:val="004946C6"/>
    <w:rsid w:val="00497699"/>
    <w:rsid w:val="00497DB2"/>
    <w:rsid w:val="004A0174"/>
    <w:rsid w:val="004A236E"/>
    <w:rsid w:val="004A3418"/>
    <w:rsid w:val="004A403F"/>
    <w:rsid w:val="004A51BA"/>
    <w:rsid w:val="004A5DF1"/>
    <w:rsid w:val="004A6677"/>
    <w:rsid w:val="004A7A78"/>
    <w:rsid w:val="004A7FD7"/>
    <w:rsid w:val="004B3B15"/>
    <w:rsid w:val="004B5136"/>
    <w:rsid w:val="004B5B9E"/>
    <w:rsid w:val="004C0238"/>
    <w:rsid w:val="004C0EE6"/>
    <w:rsid w:val="004C3EFB"/>
    <w:rsid w:val="004C40D8"/>
    <w:rsid w:val="004C5147"/>
    <w:rsid w:val="004C6D62"/>
    <w:rsid w:val="004D0304"/>
    <w:rsid w:val="004D0DB1"/>
    <w:rsid w:val="004D0EA8"/>
    <w:rsid w:val="004D103A"/>
    <w:rsid w:val="004D2D24"/>
    <w:rsid w:val="004D314A"/>
    <w:rsid w:val="004D4938"/>
    <w:rsid w:val="004D5FE6"/>
    <w:rsid w:val="004D609E"/>
    <w:rsid w:val="004E0195"/>
    <w:rsid w:val="004E05D9"/>
    <w:rsid w:val="004E0E2C"/>
    <w:rsid w:val="004E1AB8"/>
    <w:rsid w:val="004E2D4B"/>
    <w:rsid w:val="004E4899"/>
    <w:rsid w:val="004E7CD7"/>
    <w:rsid w:val="004F0164"/>
    <w:rsid w:val="004F3734"/>
    <w:rsid w:val="004F69CA"/>
    <w:rsid w:val="004F7507"/>
    <w:rsid w:val="004F7995"/>
    <w:rsid w:val="00503D74"/>
    <w:rsid w:val="005041C0"/>
    <w:rsid w:val="0050629F"/>
    <w:rsid w:val="00513DE6"/>
    <w:rsid w:val="005144B2"/>
    <w:rsid w:val="00517733"/>
    <w:rsid w:val="005215F9"/>
    <w:rsid w:val="00522102"/>
    <w:rsid w:val="00522169"/>
    <w:rsid w:val="005230CA"/>
    <w:rsid w:val="0052340D"/>
    <w:rsid w:val="00524FD6"/>
    <w:rsid w:val="00527A74"/>
    <w:rsid w:val="00527E1C"/>
    <w:rsid w:val="005303EA"/>
    <w:rsid w:val="00532937"/>
    <w:rsid w:val="005351C1"/>
    <w:rsid w:val="00536FBF"/>
    <w:rsid w:val="0054018C"/>
    <w:rsid w:val="00544130"/>
    <w:rsid w:val="005459FE"/>
    <w:rsid w:val="00545F40"/>
    <w:rsid w:val="00553FE7"/>
    <w:rsid w:val="0055485E"/>
    <w:rsid w:val="0055544C"/>
    <w:rsid w:val="00555780"/>
    <w:rsid w:val="00556840"/>
    <w:rsid w:val="00557737"/>
    <w:rsid w:val="00557AC3"/>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6BE8"/>
    <w:rsid w:val="005A7A4A"/>
    <w:rsid w:val="005B143A"/>
    <w:rsid w:val="005B180C"/>
    <w:rsid w:val="005C2908"/>
    <w:rsid w:val="005C30CF"/>
    <w:rsid w:val="005C3154"/>
    <w:rsid w:val="005C3A22"/>
    <w:rsid w:val="005C54A7"/>
    <w:rsid w:val="005C6EE6"/>
    <w:rsid w:val="005C6F10"/>
    <w:rsid w:val="005D0155"/>
    <w:rsid w:val="005D2F62"/>
    <w:rsid w:val="005D375C"/>
    <w:rsid w:val="005D6575"/>
    <w:rsid w:val="005D70ED"/>
    <w:rsid w:val="005E1E51"/>
    <w:rsid w:val="005E282B"/>
    <w:rsid w:val="005E33BD"/>
    <w:rsid w:val="005E68E7"/>
    <w:rsid w:val="005F510E"/>
    <w:rsid w:val="005F5691"/>
    <w:rsid w:val="005F6A6E"/>
    <w:rsid w:val="005F78A5"/>
    <w:rsid w:val="006029F2"/>
    <w:rsid w:val="00606ED5"/>
    <w:rsid w:val="006070BD"/>
    <w:rsid w:val="006073C6"/>
    <w:rsid w:val="00607E60"/>
    <w:rsid w:val="006107F3"/>
    <w:rsid w:val="006120C0"/>
    <w:rsid w:val="00615BAF"/>
    <w:rsid w:val="00617775"/>
    <w:rsid w:val="00621878"/>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08D4"/>
    <w:rsid w:val="00665466"/>
    <w:rsid w:val="00665C19"/>
    <w:rsid w:val="00665CBD"/>
    <w:rsid w:val="00671A32"/>
    <w:rsid w:val="00675C4B"/>
    <w:rsid w:val="0067762D"/>
    <w:rsid w:val="00680B4E"/>
    <w:rsid w:val="006839B6"/>
    <w:rsid w:val="006843E1"/>
    <w:rsid w:val="0068671B"/>
    <w:rsid w:val="00686F48"/>
    <w:rsid w:val="006872D9"/>
    <w:rsid w:val="00687DA3"/>
    <w:rsid w:val="006934A1"/>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0D0"/>
    <w:rsid w:val="006F3A0F"/>
    <w:rsid w:val="007014C0"/>
    <w:rsid w:val="00702458"/>
    <w:rsid w:val="007047D8"/>
    <w:rsid w:val="00707395"/>
    <w:rsid w:val="007122EB"/>
    <w:rsid w:val="007215CE"/>
    <w:rsid w:val="00721BF4"/>
    <w:rsid w:val="007266EE"/>
    <w:rsid w:val="0072764B"/>
    <w:rsid w:val="00727936"/>
    <w:rsid w:val="00727E2C"/>
    <w:rsid w:val="00727F6F"/>
    <w:rsid w:val="007327FF"/>
    <w:rsid w:val="00733171"/>
    <w:rsid w:val="007402C2"/>
    <w:rsid w:val="007402D5"/>
    <w:rsid w:val="00740EED"/>
    <w:rsid w:val="00741976"/>
    <w:rsid w:val="00741F19"/>
    <w:rsid w:val="00741F8E"/>
    <w:rsid w:val="007435B2"/>
    <w:rsid w:val="00743C5C"/>
    <w:rsid w:val="00747C21"/>
    <w:rsid w:val="0075094E"/>
    <w:rsid w:val="00751DF3"/>
    <w:rsid w:val="00752F32"/>
    <w:rsid w:val="00757BAC"/>
    <w:rsid w:val="0076108E"/>
    <w:rsid w:val="00762B5C"/>
    <w:rsid w:val="00771530"/>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5558"/>
    <w:rsid w:val="00797407"/>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39A"/>
    <w:rsid w:val="00834788"/>
    <w:rsid w:val="00840AB3"/>
    <w:rsid w:val="008424CD"/>
    <w:rsid w:val="00842C80"/>
    <w:rsid w:val="00844F41"/>
    <w:rsid w:val="008457C1"/>
    <w:rsid w:val="0084613D"/>
    <w:rsid w:val="00850E6B"/>
    <w:rsid w:val="00852E88"/>
    <w:rsid w:val="008540A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17D1"/>
    <w:rsid w:val="008A251A"/>
    <w:rsid w:val="008A5161"/>
    <w:rsid w:val="008A6135"/>
    <w:rsid w:val="008A7376"/>
    <w:rsid w:val="008B22E2"/>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242"/>
    <w:rsid w:val="008E4B80"/>
    <w:rsid w:val="008E6364"/>
    <w:rsid w:val="008F03D5"/>
    <w:rsid w:val="008F07DF"/>
    <w:rsid w:val="00900D76"/>
    <w:rsid w:val="0090287D"/>
    <w:rsid w:val="00906681"/>
    <w:rsid w:val="009073A1"/>
    <w:rsid w:val="00907AE2"/>
    <w:rsid w:val="00907BAD"/>
    <w:rsid w:val="00910AEC"/>
    <w:rsid w:val="00911FE1"/>
    <w:rsid w:val="00912BD2"/>
    <w:rsid w:val="009131EA"/>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1F51"/>
    <w:rsid w:val="009424E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4E09"/>
    <w:rsid w:val="00995623"/>
    <w:rsid w:val="0099775A"/>
    <w:rsid w:val="00997ACE"/>
    <w:rsid w:val="009A2940"/>
    <w:rsid w:val="009A373E"/>
    <w:rsid w:val="009A5E9D"/>
    <w:rsid w:val="009A728E"/>
    <w:rsid w:val="009A74ED"/>
    <w:rsid w:val="009B0779"/>
    <w:rsid w:val="009B19AA"/>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6520"/>
    <w:rsid w:val="009D744F"/>
    <w:rsid w:val="009E1AA0"/>
    <w:rsid w:val="009E3C73"/>
    <w:rsid w:val="009E4458"/>
    <w:rsid w:val="009E6D86"/>
    <w:rsid w:val="009E7112"/>
    <w:rsid w:val="009F1B31"/>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00A"/>
    <w:rsid w:val="00AC2B19"/>
    <w:rsid w:val="00AC3A1C"/>
    <w:rsid w:val="00AC4A89"/>
    <w:rsid w:val="00AC60E0"/>
    <w:rsid w:val="00AC6CEC"/>
    <w:rsid w:val="00AC7411"/>
    <w:rsid w:val="00AD0DBF"/>
    <w:rsid w:val="00AD6ACB"/>
    <w:rsid w:val="00AE1B40"/>
    <w:rsid w:val="00AE2ED6"/>
    <w:rsid w:val="00AF039F"/>
    <w:rsid w:val="00AF4A99"/>
    <w:rsid w:val="00AF6325"/>
    <w:rsid w:val="00AF7A6A"/>
    <w:rsid w:val="00B00F7A"/>
    <w:rsid w:val="00B012D5"/>
    <w:rsid w:val="00B0332B"/>
    <w:rsid w:val="00B05E7D"/>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0CF"/>
    <w:rsid w:val="00B34302"/>
    <w:rsid w:val="00B36043"/>
    <w:rsid w:val="00B37734"/>
    <w:rsid w:val="00B37BCC"/>
    <w:rsid w:val="00B41870"/>
    <w:rsid w:val="00B43301"/>
    <w:rsid w:val="00B44816"/>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D4F3F"/>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36E9"/>
    <w:rsid w:val="00C55889"/>
    <w:rsid w:val="00C55E95"/>
    <w:rsid w:val="00C62563"/>
    <w:rsid w:val="00C6395F"/>
    <w:rsid w:val="00C649BC"/>
    <w:rsid w:val="00C64C3E"/>
    <w:rsid w:val="00C65CE1"/>
    <w:rsid w:val="00C66128"/>
    <w:rsid w:val="00C66BD5"/>
    <w:rsid w:val="00C66EE6"/>
    <w:rsid w:val="00C66FCB"/>
    <w:rsid w:val="00C670AB"/>
    <w:rsid w:val="00C71D3E"/>
    <w:rsid w:val="00C721C3"/>
    <w:rsid w:val="00C80DB1"/>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4681"/>
    <w:rsid w:val="00CB7229"/>
    <w:rsid w:val="00CC1D36"/>
    <w:rsid w:val="00CC4095"/>
    <w:rsid w:val="00CC5BDB"/>
    <w:rsid w:val="00CC6070"/>
    <w:rsid w:val="00CC718E"/>
    <w:rsid w:val="00CD1CAB"/>
    <w:rsid w:val="00CD3770"/>
    <w:rsid w:val="00CD3E5C"/>
    <w:rsid w:val="00CD74F8"/>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168D"/>
    <w:rsid w:val="00DC33B6"/>
    <w:rsid w:val="00DC63F9"/>
    <w:rsid w:val="00DC65F6"/>
    <w:rsid w:val="00DD29D3"/>
    <w:rsid w:val="00DD4B24"/>
    <w:rsid w:val="00DD5651"/>
    <w:rsid w:val="00DD6196"/>
    <w:rsid w:val="00DE0E2E"/>
    <w:rsid w:val="00DE12F4"/>
    <w:rsid w:val="00DE1DFC"/>
    <w:rsid w:val="00DE208C"/>
    <w:rsid w:val="00DE49A9"/>
    <w:rsid w:val="00DE53B2"/>
    <w:rsid w:val="00DE6B52"/>
    <w:rsid w:val="00DE70D7"/>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26943"/>
    <w:rsid w:val="00E34C20"/>
    <w:rsid w:val="00E35D90"/>
    <w:rsid w:val="00E3742A"/>
    <w:rsid w:val="00E4159A"/>
    <w:rsid w:val="00E42DE4"/>
    <w:rsid w:val="00E45EE2"/>
    <w:rsid w:val="00E46623"/>
    <w:rsid w:val="00E4774E"/>
    <w:rsid w:val="00E51C1B"/>
    <w:rsid w:val="00E56E61"/>
    <w:rsid w:val="00E57296"/>
    <w:rsid w:val="00E6080E"/>
    <w:rsid w:val="00E622B2"/>
    <w:rsid w:val="00E633B5"/>
    <w:rsid w:val="00E644CD"/>
    <w:rsid w:val="00E65A9B"/>
    <w:rsid w:val="00E715C6"/>
    <w:rsid w:val="00E720E4"/>
    <w:rsid w:val="00E7370C"/>
    <w:rsid w:val="00E73E15"/>
    <w:rsid w:val="00E775D2"/>
    <w:rsid w:val="00E8010C"/>
    <w:rsid w:val="00E80AE9"/>
    <w:rsid w:val="00E85789"/>
    <w:rsid w:val="00E87A62"/>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D7A3F"/>
    <w:rsid w:val="00EE06ED"/>
    <w:rsid w:val="00EE232E"/>
    <w:rsid w:val="00EE4212"/>
    <w:rsid w:val="00EE54FE"/>
    <w:rsid w:val="00EE55D8"/>
    <w:rsid w:val="00EE5E15"/>
    <w:rsid w:val="00EF011C"/>
    <w:rsid w:val="00EF1A94"/>
    <w:rsid w:val="00EF20FA"/>
    <w:rsid w:val="00EF52D6"/>
    <w:rsid w:val="00EF7E5B"/>
    <w:rsid w:val="00F00B43"/>
    <w:rsid w:val="00F0162F"/>
    <w:rsid w:val="00F01C96"/>
    <w:rsid w:val="00F0661F"/>
    <w:rsid w:val="00F12CBB"/>
    <w:rsid w:val="00F1355C"/>
    <w:rsid w:val="00F226E8"/>
    <w:rsid w:val="00F2566F"/>
    <w:rsid w:val="00F30D38"/>
    <w:rsid w:val="00F30E51"/>
    <w:rsid w:val="00F31AD0"/>
    <w:rsid w:val="00F33527"/>
    <w:rsid w:val="00F3506F"/>
    <w:rsid w:val="00F35DF7"/>
    <w:rsid w:val="00F37942"/>
    <w:rsid w:val="00F37F36"/>
    <w:rsid w:val="00F41632"/>
    <w:rsid w:val="00F42267"/>
    <w:rsid w:val="00F454C9"/>
    <w:rsid w:val="00F5002B"/>
    <w:rsid w:val="00F502E8"/>
    <w:rsid w:val="00F51AF2"/>
    <w:rsid w:val="00F5295B"/>
    <w:rsid w:val="00F55C7F"/>
    <w:rsid w:val="00F564F6"/>
    <w:rsid w:val="00F56AD8"/>
    <w:rsid w:val="00F57CCC"/>
    <w:rsid w:val="00F601E7"/>
    <w:rsid w:val="00F6137E"/>
    <w:rsid w:val="00F63771"/>
    <w:rsid w:val="00F6386C"/>
    <w:rsid w:val="00F63922"/>
    <w:rsid w:val="00F673BD"/>
    <w:rsid w:val="00F675E2"/>
    <w:rsid w:val="00F70C83"/>
    <w:rsid w:val="00F75E0E"/>
    <w:rsid w:val="00F76826"/>
    <w:rsid w:val="00F76A15"/>
    <w:rsid w:val="00F77A72"/>
    <w:rsid w:val="00F8143A"/>
    <w:rsid w:val="00F825E8"/>
    <w:rsid w:val="00F82E38"/>
    <w:rsid w:val="00F83C52"/>
    <w:rsid w:val="00F83D25"/>
    <w:rsid w:val="00F849A3"/>
    <w:rsid w:val="00F84A1B"/>
    <w:rsid w:val="00F85561"/>
    <w:rsid w:val="00F85A41"/>
    <w:rsid w:val="00F87DA7"/>
    <w:rsid w:val="00F90A9D"/>
    <w:rsid w:val="00F92229"/>
    <w:rsid w:val="00F942DD"/>
    <w:rsid w:val="00F94983"/>
    <w:rsid w:val="00F94ADC"/>
    <w:rsid w:val="00F97C8E"/>
    <w:rsid w:val="00F97E58"/>
    <w:rsid w:val="00FA0AAD"/>
    <w:rsid w:val="00FA1DC1"/>
    <w:rsid w:val="00FA791B"/>
    <w:rsid w:val="00FB0DEE"/>
    <w:rsid w:val="00FB0E70"/>
    <w:rsid w:val="00FB1EB6"/>
    <w:rsid w:val="00FB1F05"/>
    <w:rsid w:val="00FB2CE2"/>
    <w:rsid w:val="00FB3989"/>
    <w:rsid w:val="00FB5FF6"/>
    <w:rsid w:val="00FB67DD"/>
    <w:rsid w:val="00FB748E"/>
    <w:rsid w:val="00FC02C4"/>
    <w:rsid w:val="00FC066F"/>
    <w:rsid w:val="00FC33BC"/>
    <w:rsid w:val="00FC5B79"/>
    <w:rsid w:val="00FC7905"/>
    <w:rsid w:val="00FD0273"/>
    <w:rsid w:val="00FD32EF"/>
    <w:rsid w:val="00FD4F36"/>
    <w:rsid w:val="00FE2461"/>
    <w:rsid w:val="00FE5E89"/>
    <w:rsid w:val="00FE7260"/>
    <w:rsid w:val="00FF0866"/>
    <w:rsid w:val="00FF0CA9"/>
    <w:rsid w:val="00FF724C"/>
    <w:rsid w:val="00FF7BD2"/>
    <w:rsid w:val="0160084E"/>
    <w:rsid w:val="01D809DA"/>
    <w:rsid w:val="02A30447"/>
    <w:rsid w:val="02AF5C42"/>
    <w:rsid w:val="02EE3C38"/>
    <w:rsid w:val="03906A9D"/>
    <w:rsid w:val="04155926"/>
    <w:rsid w:val="047020E1"/>
    <w:rsid w:val="04A0363B"/>
    <w:rsid w:val="04AE01A9"/>
    <w:rsid w:val="050D4849"/>
    <w:rsid w:val="05832D5D"/>
    <w:rsid w:val="061331AE"/>
    <w:rsid w:val="062C1935"/>
    <w:rsid w:val="0772129E"/>
    <w:rsid w:val="077520F8"/>
    <w:rsid w:val="077B7FA8"/>
    <w:rsid w:val="07C025C7"/>
    <w:rsid w:val="081F635D"/>
    <w:rsid w:val="082004EA"/>
    <w:rsid w:val="08302EF4"/>
    <w:rsid w:val="08762C7C"/>
    <w:rsid w:val="09CA6405"/>
    <w:rsid w:val="0A073F5D"/>
    <w:rsid w:val="0A2262F9"/>
    <w:rsid w:val="0B082D3B"/>
    <w:rsid w:val="0B197C69"/>
    <w:rsid w:val="0B1C3A38"/>
    <w:rsid w:val="0B276013"/>
    <w:rsid w:val="0B6F50D6"/>
    <w:rsid w:val="0C3C3C66"/>
    <w:rsid w:val="0D313C33"/>
    <w:rsid w:val="0DF547FC"/>
    <w:rsid w:val="0E0C1B46"/>
    <w:rsid w:val="0FFE5343"/>
    <w:rsid w:val="103709CC"/>
    <w:rsid w:val="10934F7C"/>
    <w:rsid w:val="111B02AF"/>
    <w:rsid w:val="117C2CD3"/>
    <w:rsid w:val="11AD363C"/>
    <w:rsid w:val="123829DB"/>
    <w:rsid w:val="1337140A"/>
    <w:rsid w:val="14471B75"/>
    <w:rsid w:val="144C7C29"/>
    <w:rsid w:val="157314B6"/>
    <w:rsid w:val="158C5316"/>
    <w:rsid w:val="15AC2564"/>
    <w:rsid w:val="15FF09AD"/>
    <w:rsid w:val="169E52BE"/>
    <w:rsid w:val="17284747"/>
    <w:rsid w:val="177B5642"/>
    <w:rsid w:val="18FA6D02"/>
    <w:rsid w:val="19080538"/>
    <w:rsid w:val="19234009"/>
    <w:rsid w:val="196B6F5D"/>
    <w:rsid w:val="1BF603FD"/>
    <w:rsid w:val="1C4457E0"/>
    <w:rsid w:val="1DAD5CC1"/>
    <w:rsid w:val="1DC21FC9"/>
    <w:rsid w:val="1E130F24"/>
    <w:rsid w:val="1E4B14A4"/>
    <w:rsid w:val="1EC57AEB"/>
    <w:rsid w:val="1F3E7747"/>
    <w:rsid w:val="1FB674A0"/>
    <w:rsid w:val="1FF46968"/>
    <w:rsid w:val="1FFE157A"/>
    <w:rsid w:val="210A2DE2"/>
    <w:rsid w:val="21476200"/>
    <w:rsid w:val="215138B9"/>
    <w:rsid w:val="21D74E2B"/>
    <w:rsid w:val="222C5E51"/>
    <w:rsid w:val="227933EC"/>
    <w:rsid w:val="227D55A4"/>
    <w:rsid w:val="227E0BA8"/>
    <w:rsid w:val="231869C0"/>
    <w:rsid w:val="23280D9A"/>
    <w:rsid w:val="237325A6"/>
    <w:rsid w:val="23FC3FAF"/>
    <w:rsid w:val="248363AB"/>
    <w:rsid w:val="249400B8"/>
    <w:rsid w:val="24AA6B7F"/>
    <w:rsid w:val="25B92B00"/>
    <w:rsid w:val="25C07C71"/>
    <w:rsid w:val="25D0734D"/>
    <w:rsid w:val="26972893"/>
    <w:rsid w:val="273805A1"/>
    <w:rsid w:val="29253080"/>
    <w:rsid w:val="29B03871"/>
    <w:rsid w:val="2A4C0AE8"/>
    <w:rsid w:val="2B2A4CD2"/>
    <w:rsid w:val="2BA91FA1"/>
    <w:rsid w:val="2BB974A6"/>
    <w:rsid w:val="2BBE30F7"/>
    <w:rsid w:val="2C546CE8"/>
    <w:rsid w:val="2C8B4122"/>
    <w:rsid w:val="2C9A1E62"/>
    <w:rsid w:val="2D351D36"/>
    <w:rsid w:val="2DA40939"/>
    <w:rsid w:val="2E222102"/>
    <w:rsid w:val="2EA119DB"/>
    <w:rsid w:val="2F1F0986"/>
    <w:rsid w:val="2F321F36"/>
    <w:rsid w:val="2FC83C1B"/>
    <w:rsid w:val="30606366"/>
    <w:rsid w:val="310B3A83"/>
    <w:rsid w:val="317B29B7"/>
    <w:rsid w:val="3243161E"/>
    <w:rsid w:val="32A221C5"/>
    <w:rsid w:val="32F113EF"/>
    <w:rsid w:val="348A1A28"/>
    <w:rsid w:val="34FC3E4E"/>
    <w:rsid w:val="351A1AE7"/>
    <w:rsid w:val="356D4E73"/>
    <w:rsid w:val="35AE0E2F"/>
    <w:rsid w:val="35D43E02"/>
    <w:rsid w:val="35E05169"/>
    <w:rsid w:val="365A5908"/>
    <w:rsid w:val="36BC2B8E"/>
    <w:rsid w:val="36FA25D0"/>
    <w:rsid w:val="373107A3"/>
    <w:rsid w:val="378C427E"/>
    <w:rsid w:val="38A10829"/>
    <w:rsid w:val="38CD161E"/>
    <w:rsid w:val="39363588"/>
    <w:rsid w:val="3A1D3923"/>
    <w:rsid w:val="3AA12967"/>
    <w:rsid w:val="3AF31C72"/>
    <w:rsid w:val="3B345644"/>
    <w:rsid w:val="3B595AEE"/>
    <w:rsid w:val="3BAB6D11"/>
    <w:rsid w:val="3C9A142D"/>
    <w:rsid w:val="3D0348E2"/>
    <w:rsid w:val="3E416D36"/>
    <w:rsid w:val="3EEE4289"/>
    <w:rsid w:val="3F411A6F"/>
    <w:rsid w:val="3F8769CB"/>
    <w:rsid w:val="407A1958"/>
    <w:rsid w:val="41E90D0E"/>
    <w:rsid w:val="42170A45"/>
    <w:rsid w:val="42D12FED"/>
    <w:rsid w:val="435436E6"/>
    <w:rsid w:val="435C016E"/>
    <w:rsid w:val="43725651"/>
    <w:rsid w:val="43805895"/>
    <w:rsid w:val="43C81360"/>
    <w:rsid w:val="43F95D63"/>
    <w:rsid w:val="44E830CF"/>
    <w:rsid w:val="44EE2626"/>
    <w:rsid w:val="45817197"/>
    <w:rsid w:val="45941E41"/>
    <w:rsid w:val="45AA0F97"/>
    <w:rsid w:val="46A05519"/>
    <w:rsid w:val="47121270"/>
    <w:rsid w:val="471D6FE0"/>
    <w:rsid w:val="478D4315"/>
    <w:rsid w:val="485F27BF"/>
    <w:rsid w:val="486C4884"/>
    <w:rsid w:val="489F0E4D"/>
    <w:rsid w:val="48B910A2"/>
    <w:rsid w:val="48CC1A93"/>
    <w:rsid w:val="49271B0E"/>
    <w:rsid w:val="4957377A"/>
    <w:rsid w:val="49875F22"/>
    <w:rsid w:val="49C84218"/>
    <w:rsid w:val="49D35E4A"/>
    <w:rsid w:val="49F22E5E"/>
    <w:rsid w:val="4A575D4B"/>
    <w:rsid w:val="4B1839D0"/>
    <w:rsid w:val="4C177328"/>
    <w:rsid w:val="4DF47921"/>
    <w:rsid w:val="4E3714C6"/>
    <w:rsid w:val="4EBA2924"/>
    <w:rsid w:val="4F786DF7"/>
    <w:rsid w:val="4FA85327"/>
    <w:rsid w:val="5024065B"/>
    <w:rsid w:val="50AF6190"/>
    <w:rsid w:val="51126B0F"/>
    <w:rsid w:val="51C9470D"/>
    <w:rsid w:val="53031F0D"/>
    <w:rsid w:val="53090BCE"/>
    <w:rsid w:val="53237473"/>
    <w:rsid w:val="53AE77C5"/>
    <w:rsid w:val="53D53D51"/>
    <w:rsid w:val="547E6196"/>
    <w:rsid w:val="55261830"/>
    <w:rsid w:val="55B0753C"/>
    <w:rsid w:val="56753CBB"/>
    <w:rsid w:val="570A19A7"/>
    <w:rsid w:val="570F4566"/>
    <w:rsid w:val="58C048C7"/>
    <w:rsid w:val="5B4D68C3"/>
    <w:rsid w:val="5B9D7EDB"/>
    <w:rsid w:val="5BFD2097"/>
    <w:rsid w:val="5D4B6E32"/>
    <w:rsid w:val="5D8F2E94"/>
    <w:rsid w:val="5E845967"/>
    <w:rsid w:val="5EEE3F19"/>
    <w:rsid w:val="61B10945"/>
    <w:rsid w:val="62B336A0"/>
    <w:rsid w:val="62F35FA1"/>
    <w:rsid w:val="632C5010"/>
    <w:rsid w:val="634B193A"/>
    <w:rsid w:val="63E458EA"/>
    <w:rsid w:val="64F53130"/>
    <w:rsid w:val="654C7DBC"/>
    <w:rsid w:val="6581567F"/>
    <w:rsid w:val="65BA4B55"/>
    <w:rsid w:val="65FC33BF"/>
    <w:rsid w:val="697B7601"/>
    <w:rsid w:val="6A183A5C"/>
    <w:rsid w:val="6A586CFB"/>
    <w:rsid w:val="6AFD1920"/>
    <w:rsid w:val="6B0868C7"/>
    <w:rsid w:val="6DE62AE6"/>
    <w:rsid w:val="6ED47B86"/>
    <w:rsid w:val="6FD32CF2"/>
    <w:rsid w:val="6FE06CEC"/>
    <w:rsid w:val="708E730A"/>
    <w:rsid w:val="70BC17A4"/>
    <w:rsid w:val="71013DE5"/>
    <w:rsid w:val="72C37A54"/>
    <w:rsid w:val="72E87C49"/>
    <w:rsid w:val="738E71A4"/>
    <w:rsid w:val="739377A8"/>
    <w:rsid w:val="745C1FFB"/>
    <w:rsid w:val="75376144"/>
    <w:rsid w:val="75512651"/>
    <w:rsid w:val="77B16275"/>
    <w:rsid w:val="77C206ED"/>
    <w:rsid w:val="77C948CA"/>
    <w:rsid w:val="78C4665E"/>
    <w:rsid w:val="78D67BCB"/>
    <w:rsid w:val="78F65F6E"/>
    <w:rsid w:val="798E2E70"/>
    <w:rsid w:val="79B24069"/>
    <w:rsid w:val="7AA73CAE"/>
    <w:rsid w:val="7ACE4206"/>
    <w:rsid w:val="7B3A3D0E"/>
    <w:rsid w:val="7B541514"/>
    <w:rsid w:val="7C394BF4"/>
    <w:rsid w:val="7CEA3B0F"/>
    <w:rsid w:val="7CFC202C"/>
    <w:rsid w:val="7D72740B"/>
    <w:rsid w:val="7DC3502D"/>
    <w:rsid w:val="7E022DD8"/>
    <w:rsid w:val="7E9401E1"/>
    <w:rsid w:val="7EC5540D"/>
    <w:rsid w:val="7EDB7BBE"/>
    <w:rsid w:val="7EF706D4"/>
    <w:rsid w:val="7F813E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qFormat="1" w:unhideWhenUsed="0" w:uiPriority="39" w:semiHidden="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9"/>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60"/>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6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62"/>
    <w:qFormat/>
    <w:uiPriority w:val="9"/>
    <w:pPr>
      <w:keepNext/>
      <w:widowControl/>
      <w:numPr>
        <w:ilvl w:val="0"/>
        <w:numId w:val="4"/>
      </w:numPr>
      <w:jc w:val="left"/>
      <w:outlineLvl w:val="4"/>
    </w:pPr>
    <w:rPr>
      <w:kern w:val="0"/>
      <w:sz w:val="24"/>
      <w:szCs w:val="20"/>
    </w:rPr>
  </w:style>
  <w:style w:type="paragraph" w:styleId="9">
    <w:name w:val="heading 6"/>
    <w:basedOn w:val="1"/>
    <w:next w:val="1"/>
    <w:link w:val="63"/>
    <w:qFormat/>
    <w:uiPriority w:val="9"/>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4"/>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6"/>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4">
    <w:name w:val="Plain Text"/>
    <w:basedOn w:val="1"/>
    <w:next w:val="1"/>
    <w:link w:val="67"/>
    <w:qFormat/>
    <w:uiPriority w:val="0"/>
    <w:rPr>
      <w:rFonts w:ascii="宋体" w:hAnsi="Courier New"/>
      <w:szCs w:val="20"/>
    </w:rPr>
  </w:style>
  <w:style w:type="paragraph" w:styleId="6">
    <w:name w:val="Normal Indent"/>
    <w:basedOn w:val="1"/>
    <w:next w:val="1"/>
    <w:link w:val="57"/>
    <w:qFormat/>
    <w:uiPriority w:val="0"/>
    <w:pPr>
      <w:ind w:firstLine="420" w:firstLineChars="200"/>
    </w:pPr>
  </w:style>
  <w:style w:type="paragraph" w:styleId="13">
    <w:name w:val="toc 7"/>
    <w:basedOn w:val="1"/>
    <w:next w:val="1"/>
    <w:qFormat/>
    <w:uiPriority w:val="39"/>
    <w:pPr>
      <w:ind w:left="2520" w:leftChars="1200"/>
    </w:pPr>
    <w:rPr>
      <w:rFonts w:ascii="Calibri" w:hAnsi="Calibri" w:cs="宋体"/>
      <w:szCs w:val="22"/>
    </w:r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table of authorities"/>
    <w:basedOn w:val="1"/>
    <w:next w:val="1"/>
    <w:qFormat/>
    <w:uiPriority w:val="0"/>
    <w:pPr>
      <w:ind w:left="420" w:leftChars="200"/>
    </w:pPr>
    <w:rPr>
      <w:rFonts w:ascii="Calibri" w:hAnsi="Calibri" w:cs="宋体"/>
      <w:szCs w:val="22"/>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qFormat/>
    <w:uiPriority w:val="0"/>
    <w:pPr>
      <w:spacing w:line="360" w:lineRule="auto"/>
      <w:jc w:val="center"/>
    </w:pPr>
    <w:rPr>
      <w:rFonts w:ascii="Calibri" w:hAnsi="Calibri"/>
      <w:sz w:val="20"/>
      <w:szCs w:val="20"/>
    </w:rPr>
  </w:style>
  <w:style w:type="paragraph" w:styleId="18">
    <w:name w:val="Document Map"/>
    <w:basedOn w:val="1"/>
    <w:link w:val="122"/>
    <w:semiHidden/>
    <w:qFormat/>
    <w:uiPriority w:val="0"/>
    <w:pPr>
      <w:shd w:val="clear" w:color="auto" w:fill="000080"/>
    </w:pPr>
  </w:style>
  <w:style w:type="paragraph" w:styleId="19">
    <w:name w:val="annotation text"/>
    <w:basedOn w:val="1"/>
    <w:link w:val="75"/>
    <w:qFormat/>
    <w:uiPriority w:val="0"/>
    <w:pPr>
      <w:jc w:val="left"/>
    </w:pPr>
  </w:style>
  <w:style w:type="paragraph" w:styleId="20">
    <w:name w:val="Body Text"/>
    <w:basedOn w:val="1"/>
    <w:next w:val="21"/>
    <w:link w:val="88"/>
    <w:qFormat/>
    <w:uiPriority w:val="99"/>
    <w:pPr>
      <w:spacing w:line="360" w:lineRule="auto"/>
    </w:pPr>
    <w:rPr>
      <w:rFonts w:eastAsia="仿宋_GB2312"/>
      <w:sz w:val="28"/>
    </w:rPr>
  </w:style>
  <w:style w:type="paragraph" w:customStyle="1" w:styleId="2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2">
    <w:name w:val="Body Text Indent"/>
    <w:basedOn w:val="1"/>
    <w:next w:val="1"/>
    <w:link w:val="69"/>
    <w:qFormat/>
    <w:uiPriority w:val="99"/>
    <w:pPr>
      <w:spacing w:after="120"/>
      <w:ind w:left="420" w:leftChars="200"/>
    </w:pPr>
  </w:style>
  <w:style w:type="paragraph" w:styleId="23">
    <w:name w:val="List Number 3"/>
    <w:basedOn w:val="1"/>
    <w:qFormat/>
    <w:uiPriority w:val="0"/>
    <w:pPr>
      <w:widowControl/>
      <w:tabs>
        <w:tab w:val="left" w:pos="482"/>
      </w:tabs>
      <w:spacing w:afterLines="50"/>
      <w:ind w:left="482" w:hanging="340"/>
      <w:jc w:val="left"/>
    </w:pPr>
    <w:rPr>
      <w:kern w:val="0"/>
      <w:sz w:val="24"/>
      <w:szCs w:val="20"/>
    </w:rPr>
  </w:style>
  <w:style w:type="paragraph" w:styleId="24">
    <w:name w:val="List 2"/>
    <w:basedOn w:val="1"/>
    <w:qFormat/>
    <w:uiPriority w:val="0"/>
    <w:pPr>
      <w:ind w:left="100" w:leftChars="200" w:hanging="200" w:hangingChars="200"/>
    </w:pPr>
    <w:rPr>
      <w:rFonts w:ascii="等线" w:hAnsi="等线" w:eastAsia="宋体-简"/>
      <w:sz w:val="24"/>
    </w:rPr>
  </w:style>
  <w:style w:type="paragraph" w:styleId="25">
    <w:name w:val="Block Text"/>
    <w:basedOn w:val="1"/>
    <w:qFormat/>
    <w:uiPriority w:val="0"/>
    <w:pPr>
      <w:spacing w:before="120" w:line="360" w:lineRule="auto"/>
      <w:ind w:left="824" w:right="202"/>
    </w:pPr>
    <w:rPr>
      <w:rFonts w:ascii="宋体" w:hAnsi="宋体"/>
      <w:sz w:val="24"/>
      <w:szCs w:val="21"/>
    </w:rPr>
  </w:style>
  <w:style w:type="paragraph" w:styleId="26">
    <w:name w:val="index 4"/>
    <w:basedOn w:val="1"/>
    <w:next w:val="1"/>
    <w:unhideWhenUsed/>
    <w:qFormat/>
    <w:uiPriority w:val="99"/>
    <w:pPr>
      <w:ind w:left="600" w:leftChars="600"/>
    </w:pPr>
  </w:style>
  <w:style w:type="paragraph" w:styleId="27">
    <w:name w:val="toc 3"/>
    <w:basedOn w:val="1"/>
    <w:next w:val="1"/>
    <w:unhideWhenUsed/>
    <w:qFormat/>
    <w:uiPriority w:val="0"/>
    <w:pPr>
      <w:ind w:left="840" w:leftChars="400"/>
    </w:pPr>
    <w:rPr>
      <w:rFonts w:ascii="Calibri" w:hAnsi="Calibri"/>
      <w:szCs w:val="22"/>
    </w:rPr>
  </w:style>
  <w:style w:type="paragraph" w:styleId="28">
    <w:name w:val="Date"/>
    <w:basedOn w:val="1"/>
    <w:next w:val="1"/>
    <w:link w:val="70"/>
    <w:qFormat/>
    <w:uiPriority w:val="99"/>
    <w:rPr>
      <w:rFonts w:ascii="楷体_GB2312" w:eastAsia="楷体_GB2312"/>
      <w:b/>
      <w:sz w:val="28"/>
      <w:szCs w:val="20"/>
    </w:rPr>
  </w:style>
  <w:style w:type="paragraph" w:styleId="29">
    <w:name w:val="Body Text Indent 2"/>
    <w:basedOn w:val="1"/>
    <w:link w:val="84"/>
    <w:qFormat/>
    <w:uiPriority w:val="99"/>
    <w:pPr>
      <w:spacing w:after="120" w:line="480" w:lineRule="auto"/>
      <w:ind w:left="420" w:leftChars="200"/>
    </w:pPr>
  </w:style>
  <w:style w:type="paragraph" w:styleId="30">
    <w:name w:val="Balloon Text"/>
    <w:basedOn w:val="1"/>
    <w:link w:val="200"/>
    <w:qFormat/>
    <w:uiPriority w:val="99"/>
    <w:rPr>
      <w:sz w:val="18"/>
      <w:szCs w:val="18"/>
    </w:rPr>
  </w:style>
  <w:style w:type="paragraph" w:styleId="31">
    <w:name w:val="footer"/>
    <w:basedOn w:val="1"/>
    <w:link w:val="72"/>
    <w:qFormat/>
    <w:uiPriority w:val="99"/>
    <w:pPr>
      <w:tabs>
        <w:tab w:val="center" w:pos="4153"/>
        <w:tab w:val="right" w:pos="8306"/>
      </w:tabs>
      <w:snapToGrid w:val="0"/>
      <w:jc w:val="left"/>
    </w:pPr>
    <w:rPr>
      <w:sz w:val="18"/>
      <w:szCs w:val="18"/>
    </w:rPr>
  </w:style>
  <w:style w:type="paragraph" w:styleId="32">
    <w:name w:val="header"/>
    <w:basedOn w:val="1"/>
    <w:link w:val="71"/>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semiHidden/>
    <w:qFormat/>
    <w:uiPriority w:val="0"/>
  </w:style>
  <w:style w:type="paragraph" w:styleId="34">
    <w:name w:val="toc 4"/>
    <w:basedOn w:val="1"/>
    <w:next w:val="1"/>
    <w:semiHidden/>
    <w:qFormat/>
    <w:uiPriority w:val="0"/>
    <w:pPr>
      <w:tabs>
        <w:tab w:val="right" w:leader="dot" w:pos="8314"/>
      </w:tabs>
      <w:ind w:firstLine="588" w:firstLineChars="245"/>
    </w:pPr>
  </w:style>
  <w:style w:type="paragraph" w:styleId="35">
    <w:name w:val="toc 6"/>
    <w:basedOn w:val="1"/>
    <w:next w:val="1"/>
    <w:qFormat/>
    <w:uiPriority w:val="0"/>
    <w:pPr>
      <w:ind w:left="2100" w:leftChars="1000"/>
    </w:pPr>
  </w:style>
  <w:style w:type="paragraph" w:styleId="36">
    <w:name w:val="Body Text Indent 3"/>
    <w:basedOn w:val="1"/>
    <w:link w:val="201"/>
    <w:qFormat/>
    <w:uiPriority w:val="0"/>
    <w:pPr>
      <w:spacing w:after="120"/>
      <w:ind w:left="420" w:leftChars="200"/>
    </w:pPr>
    <w:rPr>
      <w:sz w:val="16"/>
      <w:szCs w:val="16"/>
    </w:rPr>
  </w:style>
  <w:style w:type="paragraph" w:styleId="37">
    <w:name w:val="toc 2"/>
    <w:basedOn w:val="1"/>
    <w:next w:val="1"/>
    <w:semiHidden/>
    <w:qFormat/>
    <w:uiPriority w:val="0"/>
    <w:pPr>
      <w:ind w:left="420" w:leftChars="200"/>
    </w:pPr>
  </w:style>
  <w:style w:type="paragraph" w:styleId="38">
    <w:name w:val="Body Text 2"/>
    <w:basedOn w:val="1"/>
    <w:link w:val="76"/>
    <w:qFormat/>
    <w:uiPriority w:val="99"/>
    <w:pPr>
      <w:widowControl/>
      <w:spacing w:afterLines="50" w:line="216" w:lineRule="auto"/>
      <w:jc w:val="center"/>
    </w:pPr>
    <w:rPr>
      <w:rFonts w:ascii="隶书" w:eastAsia="隶书"/>
      <w:bCs/>
      <w:kern w:val="0"/>
      <w:sz w:val="72"/>
      <w:szCs w:val="84"/>
    </w:rPr>
  </w:style>
  <w:style w:type="paragraph" w:styleId="39">
    <w:name w:val="List Continue 2"/>
    <w:basedOn w:val="1"/>
    <w:qFormat/>
    <w:uiPriority w:val="0"/>
    <w:pPr>
      <w:spacing w:after="120"/>
      <w:ind w:left="840" w:leftChars="400"/>
    </w:pPr>
  </w:style>
  <w:style w:type="paragraph" w:styleId="40">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1">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2">
    <w:name w:val="index 1"/>
    <w:basedOn w:val="1"/>
    <w:next w:val="1"/>
    <w:semiHidden/>
    <w:qFormat/>
    <w:uiPriority w:val="0"/>
    <w:pPr>
      <w:spacing w:line="320" w:lineRule="exact"/>
    </w:pPr>
    <w:rPr>
      <w:b/>
      <w:snapToGrid w:val="0"/>
      <w:color w:val="FF6600"/>
      <w:kern w:val="0"/>
      <w:sz w:val="18"/>
      <w:szCs w:val="21"/>
    </w:rPr>
  </w:style>
  <w:style w:type="paragraph" w:styleId="43">
    <w:name w:val="Title"/>
    <w:basedOn w:val="1"/>
    <w:next w:val="1"/>
    <w:link w:val="177"/>
    <w:qFormat/>
    <w:uiPriority w:val="0"/>
    <w:pPr>
      <w:adjustRightInd w:val="0"/>
      <w:spacing w:before="240" w:after="60"/>
      <w:jc w:val="center"/>
      <w:outlineLvl w:val="0"/>
    </w:pPr>
    <w:rPr>
      <w:rFonts w:ascii="Calibri Light" w:hAnsi="Calibri Light"/>
      <w:b/>
      <w:bCs/>
      <w:sz w:val="32"/>
      <w:szCs w:val="32"/>
    </w:rPr>
  </w:style>
  <w:style w:type="paragraph" w:styleId="44">
    <w:name w:val="annotation subject"/>
    <w:basedOn w:val="19"/>
    <w:next w:val="19"/>
    <w:link w:val="203"/>
    <w:qFormat/>
    <w:uiPriority w:val="99"/>
    <w:pPr>
      <w:widowControl/>
      <w:spacing w:afterLines="50"/>
    </w:pPr>
    <w:rPr>
      <w:b/>
      <w:bCs/>
      <w:kern w:val="0"/>
      <w:sz w:val="24"/>
      <w:szCs w:val="20"/>
    </w:rPr>
  </w:style>
  <w:style w:type="paragraph" w:styleId="45">
    <w:name w:val="Body Text First Indent"/>
    <w:basedOn w:val="20"/>
    <w:next w:val="1"/>
    <w:link w:val="204"/>
    <w:qFormat/>
    <w:uiPriority w:val="0"/>
    <w:pPr>
      <w:spacing w:after="120" w:line="240" w:lineRule="auto"/>
      <w:ind w:firstLine="420" w:firstLineChars="100"/>
    </w:pPr>
    <w:rPr>
      <w:rFonts w:eastAsia="宋体"/>
      <w:sz w:val="21"/>
    </w:rPr>
  </w:style>
  <w:style w:type="paragraph" w:styleId="46">
    <w:name w:val="Body Text First Indent 2"/>
    <w:basedOn w:val="22"/>
    <w:next w:val="45"/>
    <w:link w:val="205"/>
    <w:qFormat/>
    <w:uiPriority w:val="99"/>
    <w:pPr>
      <w:ind w:firstLine="420" w:firstLineChars="200"/>
    </w:pPr>
  </w:style>
  <w:style w:type="table" w:styleId="48">
    <w:name w:val="Table Grid"/>
    <w:basedOn w:val="4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qFormat/>
    <w:uiPriority w:val="0"/>
    <w:rPr>
      <w:b/>
      <w:bCs/>
    </w:rPr>
  </w:style>
  <w:style w:type="character" w:styleId="51">
    <w:name w:val="page number"/>
    <w:basedOn w:val="49"/>
    <w:qFormat/>
    <w:uiPriority w:val="0"/>
  </w:style>
  <w:style w:type="character" w:styleId="52">
    <w:name w:val="FollowedHyperlink"/>
    <w:qFormat/>
    <w:uiPriority w:val="99"/>
    <w:rPr>
      <w:color w:val="800080"/>
      <w:u w:val="single"/>
    </w:rPr>
  </w:style>
  <w:style w:type="character" w:styleId="53">
    <w:name w:val="Emphasis"/>
    <w:qFormat/>
    <w:uiPriority w:val="0"/>
    <w:rPr>
      <w:color w:val="CC0000"/>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character" w:customStyle="1" w:styleId="56">
    <w:name w:val="标题 1 Char"/>
    <w:link w:val="2"/>
    <w:qFormat/>
    <w:uiPriority w:val="0"/>
    <w:rPr>
      <w:rFonts w:eastAsia="仿宋_GB2312"/>
      <w:b/>
      <w:kern w:val="44"/>
      <w:sz w:val="44"/>
      <w:lang w:val="en-US" w:eastAsia="zh-CN" w:bidi="ar-SA"/>
    </w:rPr>
  </w:style>
  <w:style w:type="character" w:customStyle="1" w:styleId="57">
    <w:name w:val="正文缩进 Char"/>
    <w:link w:val="6"/>
    <w:qFormat/>
    <w:uiPriority w:val="0"/>
    <w:rPr>
      <w:rFonts w:eastAsia="宋体"/>
      <w:kern w:val="2"/>
      <w:sz w:val="21"/>
      <w:szCs w:val="24"/>
      <w:lang w:val="en-US" w:eastAsia="zh-CN" w:bidi="ar-SA"/>
    </w:rPr>
  </w:style>
  <w:style w:type="paragraph" w:customStyle="1" w:styleId="58">
    <w:name w:val="_Style 15"/>
    <w:basedOn w:val="1"/>
    <w:qFormat/>
    <w:uiPriority w:val="0"/>
    <w:rPr>
      <w:rFonts w:ascii="Tahoma" w:hAnsi="Tahoma"/>
      <w:sz w:val="24"/>
      <w:szCs w:val="20"/>
    </w:rPr>
  </w:style>
  <w:style w:type="character" w:customStyle="1" w:styleId="59">
    <w:name w:val="标题 2 Char"/>
    <w:link w:val="3"/>
    <w:qFormat/>
    <w:uiPriority w:val="0"/>
    <w:rPr>
      <w:rFonts w:ascii="Arial" w:hAnsi="Arial" w:eastAsia="黑体"/>
      <w:b/>
      <w:kern w:val="2"/>
      <w:sz w:val="32"/>
      <w:lang w:val="en-US" w:eastAsia="zh-CN" w:bidi="ar-SA"/>
    </w:rPr>
  </w:style>
  <w:style w:type="character" w:customStyle="1" w:styleId="60">
    <w:name w:val="标题 3 Char"/>
    <w:link w:val="5"/>
    <w:qFormat/>
    <w:uiPriority w:val="0"/>
    <w:rPr>
      <w:rFonts w:eastAsia="仿宋_GB2312"/>
      <w:b/>
      <w:kern w:val="2"/>
      <w:sz w:val="32"/>
      <w:lang w:val="en-US" w:eastAsia="zh-CN" w:bidi="ar-SA"/>
    </w:rPr>
  </w:style>
  <w:style w:type="character" w:customStyle="1" w:styleId="61">
    <w:name w:val="标题 4 Char1"/>
    <w:link w:val="7"/>
    <w:qFormat/>
    <w:uiPriority w:val="0"/>
    <w:rPr>
      <w:rFonts w:ascii="Arial" w:hAnsi="Arial" w:eastAsia="黑体"/>
      <w:b/>
      <w:kern w:val="2"/>
      <w:sz w:val="28"/>
      <w:lang w:val="en-US" w:eastAsia="zh-CN" w:bidi="ar-SA"/>
    </w:rPr>
  </w:style>
  <w:style w:type="character" w:customStyle="1" w:styleId="62">
    <w:name w:val="标题 5 Char1"/>
    <w:link w:val="8"/>
    <w:qFormat/>
    <w:uiPriority w:val="0"/>
    <w:rPr>
      <w:rFonts w:eastAsia="宋体"/>
      <w:sz w:val="24"/>
      <w:lang w:val="en-US" w:eastAsia="zh-CN" w:bidi="ar-SA"/>
    </w:rPr>
  </w:style>
  <w:style w:type="character" w:customStyle="1" w:styleId="63">
    <w:name w:val="标题 6 Char1"/>
    <w:link w:val="9"/>
    <w:qFormat/>
    <w:uiPriority w:val="0"/>
    <w:rPr>
      <w:rFonts w:ascii="宋体" w:hAnsi="Arial" w:eastAsia="宋体"/>
      <w:sz w:val="24"/>
      <w:lang w:val="en-US" w:eastAsia="zh-CN" w:bidi="ar-SA"/>
    </w:rPr>
  </w:style>
  <w:style w:type="character" w:customStyle="1" w:styleId="64">
    <w:name w:val="标题 7 Char1"/>
    <w:link w:val="10"/>
    <w:qFormat/>
    <w:uiPriority w:val="0"/>
    <w:rPr>
      <w:rFonts w:ascii="宋体" w:hAnsi="Arial" w:eastAsia="宋体"/>
      <w:b/>
      <w:sz w:val="24"/>
      <w:lang w:val="en-US" w:eastAsia="zh-CN" w:bidi="ar-SA"/>
    </w:rPr>
  </w:style>
  <w:style w:type="character" w:customStyle="1" w:styleId="65">
    <w:name w:val="标题 8 Char1"/>
    <w:link w:val="11"/>
    <w:qFormat/>
    <w:uiPriority w:val="0"/>
    <w:rPr>
      <w:rFonts w:ascii="Arial" w:hAnsi="Arial" w:eastAsia="黑体"/>
      <w:sz w:val="24"/>
      <w:lang w:val="en-US" w:eastAsia="zh-CN" w:bidi="ar-SA"/>
    </w:rPr>
  </w:style>
  <w:style w:type="character" w:customStyle="1" w:styleId="66">
    <w:name w:val="标题 9 Char1"/>
    <w:link w:val="12"/>
    <w:qFormat/>
    <w:uiPriority w:val="0"/>
    <w:rPr>
      <w:rFonts w:ascii="Arial" w:hAnsi="Arial" w:eastAsia="黑体"/>
      <w:sz w:val="24"/>
      <w:lang w:val="en-US" w:eastAsia="zh-CN" w:bidi="ar-SA"/>
    </w:rPr>
  </w:style>
  <w:style w:type="character" w:customStyle="1" w:styleId="67">
    <w:name w:val="纯文本 Char"/>
    <w:link w:val="4"/>
    <w:qFormat/>
    <w:uiPriority w:val="0"/>
    <w:rPr>
      <w:rFonts w:ascii="宋体" w:hAnsi="Courier New" w:eastAsia="宋体"/>
      <w:kern w:val="2"/>
      <w:sz w:val="21"/>
      <w:lang w:val="en-US" w:eastAsia="zh-CN" w:bidi="ar-SA"/>
    </w:rPr>
  </w:style>
  <w:style w:type="paragraph" w:customStyle="1" w:styleId="68">
    <w:name w:val="表正文"/>
    <w:basedOn w:val="1"/>
    <w:next w:val="4"/>
    <w:qFormat/>
    <w:uiPriority w:val="0"/>
    <w:rPr>
      <w:rFonts w:ascii="宋体" w:hAnsi="Courier New"/>
      <w:szCs w:val="20"/>
    </w:rPr>
  </w:style>
  <w:style w:type="character" w:customStyle="1" w:styleId="69">
    <w:name w:val="正文文本缩进 Char"/>
    <w:link w:val="22"/>
    <w:qFormat/>
    <w:uiPriority w:val="99"/>
    <w:rPr>
      <w:rFonts w:eastAsia="宋体"/>
      <w:kern w:val="2"/>
      <w:sz w:val="21"/>
      <w:szCs w:val="24"/>
      <w:lang w:val="en-US" w:eastAsia="zh-CN" w:bidi="ar-SA"/>
    </w:rPr>
  </w:style>
  <w:style w:type="character" w:customStyle="1" w:styleId="70">
    <w:name w:val="日期 Char2"/>
    <w:link w:val="28"/>
    <w:qFormat/>
    <w:uiPriority w:val="0"/>
    <w:rPr>
      <w:rFonts w:ascii="楷体_GB2312" w:eastAsia="楷体_GB2312"/>
      <w:b/>
      <w:kern w:val="2"/>
      <w:sz w:val="28"/>
      <w:lang w:val="en-US" w:eastAsia="zh-CN" w:bidi="ar-SA"/>
    </w:rPr>
  </w:style>
  <w:style w:type="character" w:customStyle="1" w:styleId="71">
    <w:name w:val="页眉 Char1"/>
    <w:link w:val="32"/>
    <w:qFormat/>
    <w:uiPriority w:val="0"/>
    <w:rPr>
      <w:rFonts w:eastAsia="宋体"/>
      <w:kern w:val="2"/>
      <w:sz w:val="18"/>
      <w:szCs w:val="18"/>
      <w:lang w:val="en-US" w:eastAsia="zh-CN" w:bidi="ar-SA"/>
    </w:rPr>
  </w:style>
  <w:style w:type="character" w:customStyle="1" w:styleId="72">
    <w:name w:val="页脚 Char"/>
    <w:link w:val="31"/>
    <w:qFormat/>
    <w:locked/>
    <w:uiPriority w:val="99"/>
    <w:rPr>
      <w:rFonts w:eastAsia="宋体"/>
      <w:kern w:val="2"/>
      <w:sz w:val="18"/>
      <w:szCs w:val="18"/>
      <w:lang w:val="en-US" w:eastAsia="zh-CN" w:bidi="ar-SA"/>
    </w:rPr>
  </w:style>
  <w:style w:type="paragraph" w:customStyle="1" w:styleId="73">
    <w:name w:val="正文段"/>
    <w:basedOn w:val="1"/>
    <w:link w:val="74"/>
    <w:qFormat/>
    <w:uiPriority w:val="0"/>
    <w:pPr>
      <w:widowControl/>
      <w:snapToGrid w:val="0"/>
      <w:spacing w:afterLines="50"/>
      <w:ind w:firstLine="200" w:firstLineChars="200"/>
    </w:pPr>
    <w:rPr>
      <w:kern w:val="0"/>
      <w:sz w:val="24"/>
      <w:szCs w:val="20"/>
    </w:rPr>
  </w:style>
  <w:style w:type="character" w:customStyle="1" w:styleId="74">
    <w:name w:val="正文段 Char"/>
    <w:link w:val="73"/>
    <w:qFormat/>
    <w:uiPriority w:val="0"/>
    <w:rPr>
      <w:rFonts w:eastAsia="宋体"/>
      <w:sz w:val="24"/>
      <w:lang w:val="en-US" w:eastAsia="zh-CN" w:bidi="ar-SA"/>
    </w:rPr>
  </w:style>
  <w:style w:type="character" w:customStyle="1" w:styleId="75">
    <w:name w:val="批注文字 Char1"/>
    <w:link w:val="19"/>
    <w:qFormat/>
    <w:uiPriority w:val="0"/>
    <w:rPr>
      <w:rFonts w:eastAsia="宋体"/>
      <w:kern w:val="2"/>
      <w:sz w:val="21"/>
      <w:szCs w:val="24"/>
      <w:lang w:val="en-US" w:eastAsia="zh-CN" w:bidi="ar-SA"/>
    </w:rPr>
  </w:style>
  <w:style w:type="character" w:customStyle="1" w:styleId="76">
    <w:name w:val="正文文本 2 Char1"/>
    <w:link w:val="38"/>
    <w:qFormat/>
    <w:uiPriority w:val="0"/>
    <w:rPr>
      <w:rFonts w:ascii="隶书" w:eastAsia="隶书"/>
      <w:bCs/>
      <w:sz w:val="72"/>
      <w:szCs w:val="84"/>
      <w:lang w:val="en-US" w:eastAsia="zh-CN" w:bidi="ar-SA"/>
    </w:rPr>
  </w:style>
  <w:style w:type="paragraph" w:customStyle="1" w:styleId="77">
    <w:name w:val="Char"/>
    <w:basedOn w:val="1"/>
    <w:qFormat/>
    <w:uiPriority w:val="0"/>
    <w:rPr>
      <w:rFonts w:ascii="仿宋_GB2312" w:eastAsia="仿宋_GB2312"/>
      <w:b/>
      <w:sz w:val="32"/>
      <w:szCs w:val="32"/>
    </w:rPr>
  </w:style>
  <w:style w:type="paragraph" w:customStyle="1" w:styleId="78">
    <w:name w:val="Table Text"/>
    <w:link w:val="79"/>
    <w:qFormat/>
    <w:uiPriority w:val="0"/>
    <w:pPr>
      <w:snapToGrid w:val="0"/>
      <w:spacing w:before="80" w:after="80"/>
    </w:pPr>
    <w:rPr>
      <w:rFonts w:ascii="Arial" w:hAnsi="Arial" w:eastAsia="宋体" w:cs="Times New Roman"/>
      <w:sz w:val="18"/>
      <w:lang w:val="en-US" w:eastAsia="zh-CN" w:bidi="ar-SA"/>
    </w:rPr>
  </w:style>
  <w:style w:type="character" w:customStyle="1" w:styleId="79">
    <w:name w:val="Table Text Char1"/>
    <w:link w:val="78"/>
    <w:qFormat/>
    <w:uiPriority w:val="0"/>
    <w:rPr>
      <w:rFonts w:ascii="Arial" w:hAnsi="Arial"/>
      <w:sz w:val="18"/>
      <w:lang w:val="en-US" w:eastAsia="zh-CN" w:bidi="ar-SA"/>
    </w:rPr>
  </w:style>
  <w:style w:type="character" w:customStyle="1" w:styleId="80">
    <w:name w:val="正文（缩进2汉字） Char"/>
    <w:link w:val="81"/>
    <w:qFormat/>
    <w:uiPriority w:val="0"/>
    <w:rPr>
      <w:rFonts w:ascii="宋体"/>
      <w:kern w:val="2"/>
      <w:sz w:val="21"/>
      <w:lang w:bidi="ar-SA"/>
    </w:rPr>
  </w:style>
  <w:style w:type="paragraph" w:customStyle="1" w:styleId="81">
    <w:name w:val="正文（缩进2汉字）"/>
    <w:basedOn w:val="1"/>
    <w:link w:val="80"/>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2">
    <w:name w:val="Char111"/>
    <w:basedOn w:val="1"/>
    <w:qFormat/>
    <w:uiPriority w:val="0"/>
    <w:pPr>
      <w:tabs>
        <w:tab w:val="left" w:pos="432"/>
      </w:tabs>
      <w:spacing w:beforeLines="50" w:afterLines="50"/>
      <w:ind w:left="432" w:hanging="432"/>
      <w:jc w:val="center"/>
    </w:pPr>
    <w:rPr>
      <w:sz w:val="24"/>
    </w:rPr>
  </w:style>
  <w:style w:type="paragraph" w:customStyle="1" w:styleId="83">
    <w:name w:val="模板普通正文"/>
    <w:basedOn w:val="22"/>
    <w:qFormat/>
    <w:uiPriority w:val="0"/>
    <w:pPr>
      <w:spacing w:beforeLines="50" w:after="10" w:line="360" w:lineRule="auto"/>
      <w:ind w:left="0" w:leftChars="0" w:firstLine="175" w:firstLineChars="175"/>
      <w:jc w:val="left"/>
    </w:pPr>
    <w:rPr>
      <w:sz w:val="24"/>
    </w:rPr>
  </w:style>
  <w:style w:type="character" w:customStyle="1" w:styleId="84">
    <w:name w:val="正文文本缩进 2 Char1"/>
    <w:link w:val="29"/>
    <w:qFormat/>
    <w:locked/>
    <w:uiPriority w:val="0"/>
    <w:rPr>
      <w:rFonts w:eastAsia="宋体"/>
      <w:kern w:val="2"/>
      <w:sz w:val="21"/>
      <w:szCs w:val="24"/>
      <w:lang w:val="en-US" w:eastAsia="zh-CN" w:bidi="ar-SA"/>
    </w:rPr>
  </w:style>
  <w:style w:type="paragraph" w:customStyle="1" w:styleId="85">
    <w:name w:val="缺省文本"/>
    <w:basedOn w:val="1"/>
    <w:qFormat/>
    <w:uiPriority w:val="0"/>
    <w:pPr>
      <w:autoSpaceDE w:val="0"/>
      <w:autoSpaceDN w:val="0"/>
      <w:adjustRightInd w:val="0"/>
      <w:jc w:val="left"/>
    </w:pPr>
    <w:rPr>
      <w:kern w:val="0"/>
      <w:sz w:val="24"/>
    </w:rPr>
  </w:style>
  <w:style w:type="paragraph" w:customStyle="1" w:styleId="86">
    <w:name w:val="WW-正文文字缩进 2"/>
    <w:basedOn w:val="1"/>
    <w:qFormat/>
    <w:uiPriority w:val="0"/>
    <w:pPr>
      <w:suppressAutoHyphens/>
      <w:ind w:firstLine="420"/>
    </w:pPr>
    <w:rPr>
      <w:kern w:val="1"/>
      <w:szCs w:val="20"/>
    </w:rPr>
  </w:style>
  <w:style w:type="paragraph" w:customStyle="1" w:styleId="87">
    <w:name w:val="默认段落字体 Para Char Char Char Char Char Char Char Char Char1 Char Char Char Char"/>
    <w:basedOn w:val="1"/>
    <w:qFormat/>
    <w:uiPriority w:val="0"/>
    <w:rPr>
      <w:rFonts w:ascii="Tahoma" w:hAnsi="Tahoma"/>
      <w:sz w:val="24"/>
      <w:szCs w:val="20"/>
    </w:rPr>
  </w:style>
  <w:style w:type="character" w:customStyle="1" w:styleId="88">
    <w:name w:val="正文文本 Char1"/>
    <w:link w:val="20"/>
    <w:qFormat/>
    <w:locked/>
    <w:uiPriority w:val="0"/>
    <w:rPr>
      <w:rFonts w:eastAsia="仿宋_GB2312"/>
      <w:kern w:val="2"/>
      <w:sz w:val="28"/>
      <w:szCs w:val="24"/>
      <w:lang w:val="en-US" w:eastAsia="zh-CN" w:bidi="ar-SA"/>
    </w:rPr>
  </w:style>
  <w:style w:type="paragraph" w:customStyle="1" w:styleId="89">
    <w:name w:val="项目排列"/>
    <w:basedOn w:val="1"/>
    <w:link w:val="90"/>
    <w:qFormat/>
    <w:uiPriority w:val="0"/>
    <w:pPr>
      <w:tabs>
        <w:tab w:val="left" w:pos="900"/>
      </w:tabs>
      <w:spacing w:beforeLines="50" w:afterLines="50" w:line="300" w:lineRule="auto"/>
      <w:ind w:left="900" w:hanging="420"/>
    </w:pPr>
    <w:rPr>
      <w:sz w:val="24"/>
    </w:rPr>
  </w:style>
  <w:style w:type="character" w:customStyle="1" w:styleId="90">
    <w:name w:val="项目排列 Char"/>
    <w:link w:val="89"/>
    <w:qFormat/>
    <w:uiPriority w:val="0"/>
    <w:rPr>
      <w:kern w:val="2"/>
      <w:sz w:val="24"/>
      <w:szCs w:val="24"/>
    </w:rPr>
  </w:style>
  <w:style w:type="character" w:customStyle="1" w:styleId="91">
    <w:name w:val="style21"/>
    <w:qFormat/>
    <w:uiPriority w:val="0"/>
    <w:rPr>
      <w:sz w:val="15"/>
      <w:szCs w:val="15"/>
    </w:rPr>
  </w:style>
  <w:style w:type="paragraph" w:customStyle="1" w:styleId="9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3">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94">
    <w:name w:val="Char1"/>
    <w:basedOn w:val="1"/>
    <w:qFormat/>
    <w:uiPriority w:val="0"/>
    <w:rPr>
      <w:szCs w:val="20"/>
    </w:rPr>
  </w:style>
  <w:style w:type="paragraph" w:customStyle="1" w:styleId="95">
    <w:name w:val="列出段落1"/>
    <w:basedOn w:val="1"/>
    <w:qFormat/>
    <w:uiPriority w:val="99"/>
    <w:pPr>
      <w:ind w:firstLine="420" w:firstLineChars="200"/>
    </w:pPr>
    <w:rPr>
      <w:rFonts w:ascii="Calibri" w:hAnsi="Calibri"/>
      <w:szCs w:val="22"/>
    </w:rPr>
  </w:style>
  <w:style w:type="paragraph" w:customStyle="1" w:styleId="96">
    <w:name w:val="默认段落字体 Para Char Char Char Char"/>
    <w:basedOn w:val="1"/>
    <w:qFormat/>
    <w:uiPriority w:val="0"/>
  </w:style>
  <w:style w:type="paragraph" w:customStyle="1" w:styleId="97">
    <w:name w:val="Char Char Char1 Char Char Char1 Char Char Char Char"/>
    <w:basedOn w:val="1"/>
    <w:qFormat/>
    <w:uiPriority w:val="0"/>
  </w:style>
  <w:style w:type="character" w:customStyle="1" w:styleId="98">
    <w:name w:val="font1"/>
    <w:qFormat/>
    <w:uiPriority w:val="0"/>
    <w:rPr>
      <w:color w:val="999999"/>
      <w:sz w:val="18"/>
      <w:szCs w:val="18"/>
      <w:u w:val="none"/>
    </w:rPr>
  </w:style>
  <w:style w:type="paragraph" w:customStyle="1" w:styleId="9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Char Char Char Char Char Char Char Char Char Char"/>
    <w:basedOn w:val="1"/>
    <w:qFormat/>
    <w:uiPriority w:val="0"/>
    <w:rPr>
      <w:rFonts w:ascii="Tahoma" w:hAnsi="Tahoma"/>
      <w:sz w:val="24"/>
      <w:szCs w:val="20"/>
    </w:rPr>
  </w:style>
  <w:style w:type="character" w:customStyle="1" w:styleId="101">
    <w:name w:val="apple-style-span"/>
    <w:basedOn w:val="49"/>
    <w:qFormat/>
    <w:uiPriority w:val="0"/>
  </w:style>
  <w:style w:type="paragraph" w:customStyle="1" w:styleId="102">
    <w:name w:val="正文无缩进"/>
    <w:basedOn w:val="1"/>
    <w:link w:val="103"/>
    <w:qFormat/>
    <w:uiPriority w:val="0"/>
    <w:pPr>
      <w:spacing w:line="360" w:lineRule="auto"/>
    </w:pPr>
    <w:rPr>
      <w:rFonts w:ascii="宋体"/>
      <w:color w:val="000000"/>
      <w:sz w:val="24"/>
    </w:rPr>
  </w:style>
  <w:style w:type="character" w:customStyle="1" w:styleId="103">
    <w:name w:val="正文无缩进 Char"/>
    <w:link w:val="102"/>
    <w:qFormat/>
    <w:uiPriority w:val="0"/>
    <w:rPr>
      <w:rFonts w:ascii="宋体" w:eastAsia="宋体"/>
      <w:color w:val="000000"/>
      <w:kern w:val="2"/>
      <w:sz w:val="24"/>
      <w:szCs w:val="24"/>
      <w:lang w:val="en-US" w:eastAsia="zh-CN" w:bidi="ar-SA"/>
    </w:rPr>
  </w:style>
  <w:style w:type="paragraph" w:customStyle="1" w:styleId="10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5">
    <w:name w:val="ca-3"/>
    <w:basedOn w:val="49"/>
    <w:qFormat/>
    <w:uiPriority w:val="0"/>
  </w:style>
  <w:style w:type="paragraph" w:customStyle="1" w:styleId="10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7">
    <w:name w:val="表格 Char Char"/>
    <w:link w:val="108"/>
    <w:qFormat/>
    <w:locked/>
    <w:uiPriority w:val="0"/>
    <w:rPr>
      <w:rFonts w:ascii="宋体" w:hAnsi="宋体" w:eastAsia="宋体"/>
      <w:lang w:val="en-US" w:eastAsia="zh-CN" w:bidi="ar-SA"/>
    </w:rPr>
  </w:style>
  <w:style w:type="paragraph" w:customStyle="1" w:styleId="108">
    <w:name w:val="表格"/>
    <w:basedOn w:val="1"/>
    <w:link w:val="107"/>
    <w:qFormat/>
    <w:uiPriority w:val="0"/>
    <w:pPr>
      <w:snapToGrid w:val="0"/>
      <w:ind w:firstLine="42" w:firstLineChars="21"/>
    </w:pPr>
    <w:rPr>
      <w:rFonts w:ascii="宋体" w:hAnsi="宋体"/>
      <w:kern w:val="0"/>
      <w:sz w:val="20"/>
      <w:szCs w:val="20"/>
    </w:rPr>
  </w:style>
  <w:style w:type="paragraph" w:customStyle="1" w:styleId="10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0">
    <w:name w:val="Char Char1 Char Char Char Char Char Char"/>
    <w:basedOn w:val="1"/>
    <w:qFormat/>
    <w:uiPriority w:val="0"/>
    <w:pPr>
      <w:widowControl/>
      <w:spacing w:after="160" w:line="240" w:lineRule="exact"/>
      <w:jc w:val="left"/>
    </w:pPr>
  </w:style>
  <w:style w:type="character" w:customStyle="1" w:styleId="111">
    <w:name w:val="Char Char"/>
    <w:qFormat/>
    <w:uiPriority w:val="0"/>
    <w:rPr>
      <w:rFonts w:hint="eastAsia" w:ascii="宋体" w:hAnsi="Courier New" w:eastAsia="宋体"/>
      <w:kern w:val="2"/>
      <w:sz w:val="21"/>
      <w:lang w:val="en-US" w:eastAsia="zh-CN" w:bidi="ar-SA"/>
    </w:rPr>
  </w:style>
  <w:style w:type="character" w:customStyle="1" w:styleId="112">
    <w:name w:val="style51"/>
    <w:qFormat/>
    <w:uiPriority w:val="0"/>
    <w:rPr>
      <w:sz w:val="21"/>
      <w:szCs w:val="21"/>
    </w:rPr>
  </w:style>
  <w:style w:type="paragraph" w:customStyle="1" w:styleId="11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4">
    <w:name w:val="标准文本"/>
    <w:basedOn w:val="1"/>
    <w:link w:val="115"/>
    <w:qFormat/>
    <w:uiPriority w:val="0"/>
    <w:pPr>
      <w:spacing w:line="360" w:lineRule="auto"/>
      <w:ind w:firstLine="480" w:firstLineChars="200"/>
    </w:pPr>
    <w:rPr>
      <w:rFonts w:cs="宋体"/>
      <w:sz w:val="24"/>
      <w:szCs w:val="20"/>
    </w:rPr>
  </w:style>
  <w:style w:type="character" w:customStyle="1" w:styleId="115">
    <w:name w:val="标准文本 Char"/>
    <w:link w:val="114"/>
    <w:qFormat/>
    <w:uiPriority w:val="0"/>
    <w:rPr>
      <w:rFonts w:eastAsia="宋体" w:cs="宋体"/>
      <w:kern w:val="2"/>
      <w:sz w:val="24"/>
      <w:lang w:val="en-US" w:eastAsia="zh-CN" w:bidi="ar-SA"/>
    </w:rPr>
  </w:style>
  <w:style w:type="paragraph" w:customStyle="1" w:styleId="116">
    <w:name w:val="自定义正文"/>
    <w:basedOn w:val="1"/>
    <w:link w:val="117"/>
    <w:qFormat/>
    <w:uiPriority w:val="0"/>
    <w:pPr>
      <w:spacing w:line="480" w:lineRule="exact"/>
      <w:ind w:firstLine="200" w:firstLineChars="200"/>
      <w:jc w:val="left"/>
    </w:pPr>
    <w:rPr>
      <w:rFonts w:ascii="仿宋_GB2312" w:eastAsia="仿宋_GB2312"/>
      <w:sz w:val="28"/>
    </w:rPr>
  </w:style>
  <w:style w:type="character" w:customStyle="1" w:styleId="117">
    <w:name w:val="自定义正文 Char"/>
    <w:link w:val="116"/>
    <w:qFormat/>
    <w:uiPriority w:val="0"/>
    <w:rPr>
      <w:rFonts w:ascii="仿宋_GB2312" w:eastAsia="仿宋_GB2312"/>
      <w:kern w:val="2"/>
      <w:sz w:val="28"/>
      <w:szCs w:val="24"/>
      <w:lang w:val="en-US" w:eastAsia="zh-CN" w:bidi="ar-SA"/>
    </w:rPr>
  </w:style>
  <w:style w:type="paragraph" w:customStyle="1" w:styleId="11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9">
    <w:name w:val="自定义表格文字"/>
    <w:basedOn w:val="1"/>
    <w:qFormat/>
    <w:uiPriority w:val="0"/>
    <w:pPr>
      <w:spacing w:before="60" w:after="60" w:line="320" w:lineRule="exact"/>
      <w:jc w:val="left"/>
    </w:pPr>
    <w:rPr>
      <w:rFonts w:ascii="宋体" w:eastAsia="楷体_GB2312"/>
    </w:rPr>
  </w:style>
  <w:style w:type="paragraph" w:customStyle="1" w:styleId="12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2">
    <w:name w:val="文档结构图 Char"/>
    <w:link w:val="18"/>
    <w:semiHidden/>
    <w:qFormat/>
    <w:uiPriority w:val="0"/>
    <w:rPr>
      <w:rFonts w:eastAsia="宋体"/>
      <w:kern w:val="2"/>
      <w:sz w:val="21"/>
      <w:szCs w:val="24"/>
      <w:lang w:val="en-US" w:eastAsia="zh-CN" w:bidi="ar-SA"/>
    </w:rPr>
  </w:style>
  <w:style w:type="character" w:customStyle="1" w:styleId="123">
    <w:name w:val="Char Char12"/>
    <w:qFormat/>
    <w:uiPriority w:val="0"/>
    <w:rPr>
      <w:rFonts w:ascii="宋体" w:hAnsi="Courier New" w:eastAsia="宋体"/>
      <w:kern w:val="2"/>
      <w:sz w:val="21"/>
      <w:lang w:val="en-US" w:eastAsia="zh-CN" w:bidi="ar-SA"/>
    </w:rPr>
  </w:style>
  <w:style w:type="character" w:customStyle="1" w:styleId="124">
    <w:name w:val="H4 Char"/>
    <w:qFormat/>
    <w:uiPriority w:val="0"/>
    <w:rPr>
      <w:rFonts w:ascii="宋体" w:hAnsi="宋体" w:eastAsia="黑体"/>
      <w:b/>
      <w:bCs/>
      <w:color w:val="000000"/>
      <w:spacing w:val="-4"/>
      <w:kern w:val="2"/>
      <w:sz w:val="24"/>
      <w:szCs w:val="30"/>
      <w:lang w:val="en-US" w:eastAsia="zh-CN" w:bidi="ar-SA"/>
    </w:rPr>
  </w:style>
  <w:style w:type="character" w:customStyle="1" w:styleId="125">
    <w:name w:val="H5 Char"/>
    <w:qFormat/>
    <w:uiPriority w:val="0"/>
    <w:rPr>
      <w:rFonts w:ascii="Arial" w:hAnsi="Arial" w:eastAsia="宋体"/>
      <w:sz w:val="24"/>
      <w:lang w:val="en-US" w:eastAsia="zh-CN" w:bidi="ar-SA"/>
    </w:rPr>
  </w:style>
  <w:style w:type="character" w:customStyle="1" w:styleId="126">
    <w:name w:val="Char Char8"/>
    <w:qFormat/>
    <w:uiPriority w:val="0"/>
    <w:rPr>
      <w:rFonts w:ascii="宋体" w:eastAsia="宋体"/>
      <w:kern w:val="2"/>
      <w:sz w:val="28"/>
      <w:lang w:val="en-US" w:eastAsia="zh-CN" w:bidi="ar-SA"/>
    </w:rPr>
  </w:style>
  <w:style w:type="character" w:customStyle="1" w:styleId="127">
    <w:name w:val="Char Char7"/>
    <w:qFormat/>
    <w:uiPriority w:val="0"/>
    <w:rPr>
      <w:rFonts w:eastAsia="仿宋_GB2312"/>
      <w:kern w:val="2"/>
      <w:sz w:val="24"/>
      <w:szCs w:val="24"/>
      <w:lang w:val="en-US" w:eastAsia="zh-CN" w:bidi="ar-SA"/>
    </w:rPr>
  </w:style>
  <w:style w:type="paragraph" w:customStyle="1" w:styleId="128">
    <w:name w:val="表内文字"/>
    <w:basedOn w:val="1"/>
    <w:qFormat/>
    <w:uiPriority w:val="0"/>
    <w:pPr>
      <w:jc w:val="center"/>
    </w:pPr>
    <w:rPr>
      <w:color w:val="FF0000"/>
      <w:kern w:val="0"/>
      <w:sz w:val="24"/>
    </w:rPr>
  </w:style>
  <w:style w:type="character" w:customStyle="1" w:styleId="129">
    <w:name w:val="Char Char3"/>
    <w:qFormat/>
    <w:uiPriority w:val="0"/>
    <w:rPr>
      <w:rFonts w:eastAsia="仿宋_GB2312"/>
      <w:kern w:val="2"/>
      <w:sz w:val="28"/>
      <w:szCs w:val="24"/>
      <w:lang w:val="en-US" w:eastAsia="zh-CN" w:bidi="ar-SA"/>
    </w:rPr>
  </w:style>
  <w:style w:type="paragraph" w:customStyle="1" w:styleId="130">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3">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4">
    <w:name w:val="项目1"/>
    <w:basedOn w:val="1"/>
    <w:qFormat/>
    <w:uiPriority w:val="0"/>
    <w:pPr>
      <w:tabs>
        <w:tab w:val="left" w:pos="840"/>
      </w:tabs>
      <w:spacing w:after="60"/>
      <w:ind w:left="840" w:hanging="420"/>
    </w:pPr>
    <w:rPr>
      <w:rFonts w:ascii="宋体"/>
      <w:spacing w:val="4"/>
      <w:szCs w:val="20"/>
    </w:rPr>
  </w:style>
  <w:style w:type="paragraph" w:customStyle="1" w:styleId="135">
    <w:name w:val="编10号"/>
    <w:basedOn w:val="1"/>
    <w:qFormat/>
    <w:uiPriority w:val="0"/>
    <w:pPr>
      <w:tabs>
        <w:tab w:val="left" w:pos="1620"/>
      </w:tabs>
      <w:ind w:left="1620" w:hanging="360"/>
    </w:pPr>
  </w:style>
  <w:style w:type="paragraph" w:customStyle="1" w:styleId="136">
    <w:name w:val="段"/>
    <w:basedOn w:val="1"/>
    <w:qFormat/>
    <w:uiPriority w:val="0"/>
    <w:pPr>
      <w:ind w:firstLine="425"/>
    </w:pPr>
    <w:rPr>
      <w:rFonts w:ascii="宋体"/>
      <w:szCs w:val="20"/>
    </w:rPr>
  </w:style>
  <w:style w:type="paragraph" w:customStyle="1" w:styleId="137">
    <w:name w:val="Char Char Char Char"/>
    <w:basedOn w:val="1"/>
    <w:qFormat/>
    <w:uiPriority w:val="0"/>
    <w:pPr>
      <w:widowControl/>
      <w:spacing w:after="160" w:line="240" w:lineRule="exact"/>
      <w:jc w:val="left"/>
    </w:pPr>
    <w:rPr>
      <w:kern w:val="0"/>
      <w:sz w:val="24"/>
    </w:rPr>
  </w:style>
  <w:style w:type="paragraph" w:customStyle="1" w:styleId="13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9">
    <w:name w:val="bulletintext1"/>
    <w:qFormat/>
    <w:uiPriority w:val="0"/>
    <w:rPr>
      <w:rFonts w:hint="eastAsia" w:ascii="宋体" w:hAnsi="宋体" w:eastAsia="宋体"/>
      <w:sz w:val="18"/>
      <w:szCs w:val="18"/>
    </w:rPr>
  </w:style>
  <w:style w:type="paragraph" w:customStyle="1" w:styleId="140">
    <w:name w:val="Char1 Char Char Char Char Char Char"/>
    <w:basedOn w:val="1"/>
    <w:qFormat/>
    <w:uiPriority w:val="0"/>
    <w:rPr>
      <w:rFonts w:ascii="Tahoma" w:hAnsi="Tahoma"/>
      <w:sz w:val="24"/>
      <w:szCs w:val="20"/>
    </w:rPr>
  </w:style>
  <w:style w:type="paragraph" w:customStyle="1" w:styleId="141">
    <w:name w:val="Char Char2 Char Char Char Char"/>
    <w:basedOn w:val="18"/>
    <w:qFormat/>
    <w:uiPriority w:val="0"/>
    <w:rPr>
      <w:rFonts w:ascii="Tahoma" w:hAnsi="Tahoma"/>
      <w:sz w:val="24"/>
    </w:rPr>
  </w:style>
  <w:style w:type="paragraph" w:customStyle="1" w:styleId="142">
    <w:name w:val="Char Char Char"/>
    <w:basedOn w:val="18"/>
    <w:qFormat/>
    <w:uiPriority w:val="0"/>
    <w:rPr>
      <w:rFonts w:ascii="Tahoma" w:hAnsi="Tahoma"/>
      <w:sz w:val="24"/>
    </w:rPr>
  </w:style>
  <w:style w:type="paragraph" w:customStyle="1" w:styleId="143">
    <w:name w:val="正文缩进 New"/>
    <w:basedOn w:val="1"/>
    <w:qFormat/>
    <w:uiPriority w:val="0"/>
    <w:pPr>
      <w:ind w:firstLine="420" w:firstLineChars="200"/>
    </w:pPr>
    <w:rPr>
      <w:szCs w:val="20"/>
    </w:rPr>
  </w:style>
  <w:style w:type="paragraph" w:customStyle="1" w:styleId="144">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5">
    <w:name w:val="tpc_content1"/>
    <w:qFormat/>
    <w:uiPriority w:val="0"/>
    <w:rPr>
      <w:sz w:val="20"/>
      <w:szCs w:val="20"/>
    </w:rPr>
  </w:style>
  <w:style w:type="character" w:customStyle="1" w:styleId="146">
    <w:name w:val="Char Char11"/>
    <w:qFormat/>
    <w:uiPriority w:val="0"/>
    <w:rPr>
      <w:b/>
      <w:kern w:val="44"/>
      <w:sz w:val="44"/>
    </w:rPr>
  </w:style>
  <w:style w:type="character" w:customStyle="1" w:styleId="147">
    <w:name w:val="Char Char10"/>
    <w:qFormat/>
    <w:uiPriority w:val="0"/>
    <w:rPr>
      <w:b/>
      <w:kern w:val="2"/>
      <w:sz w:val="28"/>
      <w:szCs w:val="28"/>
    </w:rPr>
  </w:style>
  <w:style w:type="character" w:customStyle="1" w:styleId="148">
    <w:name w:val="Char Char9"/>
    <w:qFormat/>
    <w:uiPriority w:val="0"/>
    <w:rPr>
      <w:b/>
      <w:kern w:val="2"/>
      <w:sz w:val="24"/>
      <w:szCs w:val="24"/>
    </w:rPr>
  </w:style>
  <w:style w:type="paragraph" w:customStyle="1" w:styleId="149">
    <w:name w:val="Char Char Char 字元 字元"/>
    <w:basedOn w:val="1"/>
    <w:qFormat/>
    <w:uiPriority w:val="0"/>
    <w:pPr>
      <w:spacing w:line="360" w:lineRule="auto"/>
      <w:ind w:firstLine="200" w:firstLineChars="200"/>
    </w:pPr>
    <w:rPr>
      <w:szCs w:val="20"/>
    </w:rPr>
  </w:style>
  <w:style w:type="paragraph" w:customStyle="1" w:styleId="15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2">
    <w:name w:val="style11"/>
    <w:qFormat/>
    <w:uiPriority w:val="0"/>
    <w:rPr>
      <w:b/>
      <w:bCs/>
      <w:color w:val="FF0000"/>
    </w:rPr>
  </w:style>
  <w:style w:type="character" w:customStyle="1" w:styleId="153">
    <w:name w:val="info"/>
    <w:basedOn w:val="49"/>
    <w:qFormat/>
    <w:uiPriority w:val="0"/>
  </w:style>
  <w:style w:type="paragraph" w:customStyle="1" w:styleId="154">
    <w:name w:val="样式 正文缩进 + 首行缩进:  2 字符"/>
    <w:basedOn w:val="6"/>
    <w:link w:val="155"/>
    <w:qFormat/>
    <w:uiPriority w:val="0"/>
    <w:pPr>
      <w:spacing w:line="360" w:lineRule="auto"/>
      <w:ind w:firstLine="480"/>
    </w:pPr>
    <w:rPr>
      <w:rFonts w:ascii="宋体" w:hAnsi="宋体"/>
      <w:color w:val="000000"/>
      <w:kern w:val="0"/>
      <w:sz w:val="24"/>
      <w:szCs w:val="20"/>
    </w:rPr>
  </w:style>
  <w:style w:type="character" w:customStyle="1" w:styleId="155">
    <w:name w:val="样式 正文缩进 + 首行缩进:  2 字符 Char"/>
    <w:link w:val="154"/>
    <w:qFormat/>
    <w:locked/>
    <w:uiPriority w:val="0"/>
    <w:rPr>
      <w:rFonts w:ascii="宋体" w:hAnsi="宋体" w:eastAsia="宋体"/>
      <w:color w:val="000000"/>
      <w:sz w:val="24"/>
      <w:lang w:bidi="ar-SA"/>
    </w:rPr>
  </w:style>
  <w:style w:type="paragraph" w:customStyle="1" w:styleId="156">
    <w:name w:val="正文2"/>
    <w:basedOn w:val="1"/>
    <w:link w:val="157"/>
    <w:qFormat/>
    <w:uiPriority w:val="0"/>
    <w:pPr>
      <w:spacing w:before="156" w:line="360" w:lineRule="auto"/>
      <w:ind w:firstLine="510" w:firstLineChars="200"/>
    </w:pPr>
    <w:rPr>
      <w:sz w:val="24"/>
      <w:szCs w:val="20"/>
    </w:rPr>
  </w:style>
  <w:style w:type="character" w:customStyle="1" w:styleId="157">
    <w:name w:val="正文2 Char"/>
    <w:link w:val="156"/>
    <w:qFormat/>
    <w:uiPriority w:val="0"/>
    <w:rPr>
      <w:rFonts w:eastAsia="宋体"/>
      <w:kern w:val="2"/>
      <w:sz w:val="24"/>
      <w:lang w:val="en-US" w:eastAsia="zh-CN" w:bidi="ar-SA"/>
    </w:rPr>
  </w:style>
  <w:style w:type="paragraph" w:customStyle="1" w:styleId="158">
    <w:name w:val="p0"/>
    <w:basedOn w:val="1"/>
    <w:qFormat/>
    <w:uiPriority w:val="0"/>
    <w:pPr>
      <w:widowControl/>
    </w:pPr>
    <w:rPr>
      <w:kern w:val="0"/>
      <w:szCs w:val="21"/>
    </w:rPr>
  </w:style>
  <w:style w:type="character" w:customStyle="1" w:styleId="159">
    <w:name w:val="param-name"/>
    <w:basedOn w:val="49"/>
    <w:qFormat/>
    <w:uiPriority w:val="0"/>
  </w:style>
  <w:style w:type="character" w:customStyle="1" w:styleId="160">
    <w:name w:val="日期 Char"/>
    <w:qFormat/>
    <w:uiPriority w:val="99"/>
    <w:rPr>
      <w:rFonts w:ascii="楷体_GB2312" w:eastAsia="楷体_GB2312"/>
      <w:b/>
      <w:kern w:val="2"/>
      <w:sz w:val="28"/>
      <w:lang w:val="en-US" w:eastAsia="zh-CN" w:bidi="ar-SA"/>
    </w:rPr>
  </w:style>
  <w:style w:type="character" w:customStyle="1" w:styleId="161">
    <w:name w:val="标题 4 Char"/>
    <w:qFormat/>
    <w:uiPriority w:val="9"/>
    <w:rPr>
      <w:rFonts w:ascii="Arial" w:hAnsi="Arial" w:eastAsia="黑体"/>
      <w:b/>
      <w:kern w:val="2"/>
      <w:sz w:val="28"/>
      <w:lang w:val="en-US" w:eastAsia="zh-CN" w:bidi="ar-SA"/>
    </w:rPr>
  </w:style>
  <w:style w:type="character" w:customStyle="1" w:styleId="162">
    <w:name w:val="标题 6 Char"/>
    <w:qFormat/>
    <w:uiPriority w:val="0"/>
    <w:rPr>
      <w:rFonts w:ascii="宋体" w:hAnsi="Arial" w:eastAsia="宋体"/>
      <w:sz w:val="24"/>
      <w:lang w:val="en-US" w:eastAsia="zh-CN" w:bidi="ar-SA"/>
    </w:rPr>
  </w:style>
  <w:style w:type="character" w:customStyle="1" w:styleId="163">
    <w:name w:val="标题 8 Char"/>
    <w:qFormat/>
    <w:uiPriority w:val="0"/>
    <w:rPr>
      <w:rFonts w:ascii="Arial" w:hAnsi="Arial" w:eastAsia="黑体"/>
      <w:sz w:val="24"/>
      <w:lang w:val="en-US" w:eastAsia="zh-CN" w:bidi="ar-SA"/>
    </w:rPr>
  </w:style>
  <w:style w:type="character" w:customStyle="1" w:styleId="164">
    <w:name w:val="标题 9 Char"/>
    <w:qFormat/>
    <w:uiPriority w:val="0"/>
    <w:rPr>
      <w:rFonts w:ascii="Arial" w:hAnsi="Arial" w:eastAsia="黑体"/>
      <w:sz w:val="24"/>
      <w:lang w:val="en-US" w:eastAsia="zh-CN" w:bidi="ar-SA"/>
    </w:rPr>
  </w:style>
  <w:style w:type="character" w:customStyle="1" w:styleId="165">
    <w:name w:val="标题 5 Char"/>
    <w:qFormat/>
    <w:uiPriority w:val="0"/>
    <w:rPr>
      <w:rFonts w:eastAsia="宋体"/>
      <w:sz w:val="24"/>
      <w:lang w:val="en-US" w:eastAsia="zh-CN" w:bidi="ar-SA"/>
    </w:rPr>
  </w:style>
  <w:style w:type="character" w:customStyle="1" w:styleId="166">
    <w:name w:val="正文文本 Char"/>
    <w:qFormat/>
    <w:locked/>
    <w:uiPriority w:val="0"/>
    <w:rPr>
      <w:rFonts w:eastAsia="仿宋_GB2312"/>
      <w:kern w:val="2"/>
      <w:sz w:val="28"/>
      <w:szCs w:val="24"/>
      <w:lang w:val="en-US" w:eastAsia="zh-CN" w:bidi="ar-SA"/>
    </w:rPr>
  </w:style>
  <w:style w:type="character" w:customStyle="1" w:styleId="167">
    <w:name w:val="正文文本缩进 2 Char"/>
    <w:qFormat/>
    <w:locked/>
    <w:uiPriority w:val="99"/>
    <w:rPr>
      <w:rFonts w:eastAsia="宋体"/>
      <w:kern w:val="2"/>
      <w:sz w:val="21"/>
      <w:szCs w:val="24"/>
      <w:lang w:val="en-US" w:eastAsia="zh-CN" w:bidi="ar-SA"/>
    </w:rPr>
  </w:style>
  <w:style w:type="character" w:customStyle="1" w:styleId="168">
    <w:name w:val="正文文本 2 Char"/>
    <w:qFormat/>
    <w:uiPriority w:val="99"/>
    <w:rPr>
      <w:rFonts w:ascii="隶书" w:eastAsia="隶书"/>
      <w:bCs/>
      <w:sz w:val="72"/>
      <w:szCs w:val="84"/>
      <w:lang w:val="en-US" w:eastAsia="zh-CN" w:bidi="ar-SA"/>
    </w:rPr>
  </w:style>
  <w:style w:type="character" w:customStyle="1" w:styleId="169">
    <w:name w:val="标题 7 Char"/>
    <w:qFormat/>
    <w:uiPriority w:val="0"/>
    <w:rPr>
      <w:rFonts w:ascii="宋体" w:hAnsi="Arial" w:eastAsia="宋体"/>
      <w:b/>
      <w:sz w:val="24"/>
      <w:lang w:val="en-US" w:eastAsia="zh-CN" w:bidi="ar-SA"/>
    </w:rPr>
  </w:style>
  <w:style w:type="character" w:customStyle="1" w:styleId="170">
    <w:name w:val="页眉 Char"/>
    <w:qFormat/>
    <w:uiPriority w:val="99"/>
    <w:rPr>
      <w:rFonts w:eastAsia="宋体"/>
      <w:kern w:val="2"/>
      <w:sz w:val="18"/>
      <w:szCs w:val="18"/>
      <w:lang w:val="en-US" w:eastAsia="zh-CN" w:bidi="ar-SA"/>
    </w:rPr>
  </w:style>
  <w:style w:type="character" w:customStyle="1" w:styleId="171">
    <w:name w:val="批注文字 Char"/>
    <w:qFormat/>
    <w:uiPriority w:val="99"/>
    <w:rPr>
      <w:rFonts w:eastAsia="宋体"/>
      <w:kern w:val="2"/>
      <w:sz w:val="21"/>
      <w:szCs w:val="24"/>
      <w:lang w:val="en-US" w:eastAsia="zh-CN" w:bidi="ar-SA"/>
    </w:rPr>
  </w:style>
  <w:style w:type="character" w:customStyle="1" w:styleId="172">
    <w:name w:val="汇视源正文 Char"/>
    <w:link w:val="173"/>
    <w:qFormat/>
    <w:uiPriority w:val="0"/>
    <w:rPr>
      <w:rFonts w:cs="宋体"/>
      <w:kern w:val="2"/>
      <w:sz w:val="24"/>
      <w:lang w:val="en-US" w:eastAsia="zh-CN" w:bidi="ar-SA"/>
    </w:rPr>
  </w:style>
  <w:style w:type="paragraph" w:customStyle="1" w:styleId="173">
    <w:name w:val="汇视源正文"/>
    <w:link w:val="172"/>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4">
    <w:name w:val="样式 列表编号 + 段后: 0.5 行"/>
    <w:basedOn w:val="16"/>
    <w:qFormat/>
    <w:uiPriority w:val="0"/>
    <w:pPr>
      <w:tabs>
        <w:tab w:val="left" w:pos="840"/>
      </w:tabs>
      <w:spacing w:afterLines="0"/>
      <w:ind w:left="425" w:hanging="425"/>
    </w:pPr>
    <w:rPr>
      <w:rFonts w:cs="宋体"/>
    </w:rPr>
  </w:style>
  <w:style w:type="paragraph" w:customStyle="1" w:styleId="17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6">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7">
    <w:name w:val="标题 Char"/>
    <w:link w:val="43"/>
    <w:qFormat/>
    <w:locked/>
    <w:uiPriority w:val="0"/>
    <w:rPr>
      <w:rFonts w:ascii="Calibri Light" w:hAnsi="Calibri Light" w:eastAsia="宋体"/>
      <w:b/>
      <w:bCs/>
      <w:kern w:val="2"/>
      <w:sz w:val="32"/>
      <w:szCs w:val="32"/>
      <w:lang w:val="en-US" w:eastAsia="zh-CN" w:bidi="ar-SA"/>
    </w:rPr>
  </w:style>
  <w:style w:type="character" w:customStyle="1" w:styleId="178">
    <w:name w:val="Date Char"/>
    <w:qFormat/>
    <w:locked/>
    <w:uiPriority w:val="0"/>
    <w:rPr>
      <w:rFonts w:ascii="宋体"/>
      <w:sz w:val="21"/>
      <w:lang w:val="zh-CN"/>
    </w:rPr>
  </w:style>
  <w:style w:type="character" w:customStyle="1" w:styleId="179">
    <w:name w:val="Normal Indent Char"/>
    <w:qFormat/>
    <w:locked/>
    <w:uiPriority w:val="0"/>
    <w:rPr>
      <w:rFonts w:ascii="宋体" w:eastAsia="宋体"/>
      <w:snapToGrid w:val="0"/>
      <w:color w:val="000000"/>
      <w:kern w:val="28"/>
      <w:sz w:val="28"/>
    </w:rPr>
  </w:style>
  <w:style w:type="character" w:customStyle="1" w:styleId="180">
    <w:name w:val="Plain Text Char"/>
    <w:qFormat/>
    <w:locked/>
    <w:uiPriority w:val="0"/>
    <w:rPr>
      <w:rFonts w:ascii="宋体" w:hAnsi="Courier New" w:eastAsia="宋体"/>
      <w:snapToGrid w:val="0"/>
      <w:sz w:val="21"/>
    </w:rPr>
  </w:style>
  <w:style w:type="character" w:customStyle="1" w:styleId="181">
    <w:name w:val="日期 Char1"/>
    <w:qFormat/>
    <w:uiPriority w:val="0"/>
    <w:rPr>
      <w:rFonts w:ascii="Times New Roman" w:hAnsi="Times New Roman" w:eastAsia="宋体" w:cs="Times New Roman"/>
      <w:sz w:val="24"/>
      <w:szCs w:val="24"/>
    </w:rPr>
  </w:style>
  <w:style w:type="character" w:customStyle="1" w:styleId="182">
    <w:name w:val="纯文本 Char1"/>
    <w:qFormat/>
    <w:uiPriority w:val="99"/>
    <w:rPr>
      <w:rFonts w:ascii="宋体" w:hAnsi="Courier New" w:eastAsia="宋体" w:cs="Courier New"/>
      <w:sz w:val="21"/>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3"/>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9"/>
    <w:link w:val="30"/>
    <w:qFormat/>
    <w:uiPriority w:val="99"/>
    <w:rPr>
      <w:kern w:val="2"/>
      <w:sz w:val="18"/>
      <w:szCs w:val="18"/>
    </w:rPr>
  </w:style>
  <w:style w:type="character" w:customStyle="1" w:styleId="201">
    <w:name w:val="正文文本缩进 3 Char"/>
    <w:basedOn w:val="49"/>
    <w:link w:val="36"/>
    <w:qFormat/>
    <w:uiPriority w:val="0"/>
    <w:rPr>
      <w:kern w:val="2"/>
      <w:sz w:val="16"/>
      <w:szCs w:val="16"/>
    </w:rPr>
  </w:style>
  <w:style w:type="character" w:customStyle="1" w:styleId="202">
    <w:name w:val="HTML 预设格式 Char"/>
    <w:basedOn w:val="49"/>
    <w:link w:val="40"/>
    <w:qFormat/>
    <w:uiPriority w:val="0"/>
    <w:rPr>
      <w:rFonts w:ascii="黑体" w:hAnsi="Courier New" w:eastAsia="黑体" w:cs="Courier New"/>
    </w:rPr>
  </w:style>
  <w:style w:type="character" w:customStyle="1" w:styleId="203">
    <w:name w:val="批注主题 Char"/>
    <w:basedOn w:val="171"/>
    <w:link w:val="44"/>
    <w:qFormat/>
    <w:uiPriority w:val="99"/>
    <w:rPr>
      <w:rFonts w:eastAsia="宋体"/>
      <w:b/>
      <w:bCs/>
      <w:kern w:val="2"/>
      <w:sz w:val="24"/>
      <w:szCs w:val="24"/>
      <w:lang w:val="en-US" w:eastAsia="zh-CN" w:bidi="ar-SA"/>
    </w:rPr>
  </w:style>
  <w:style w:type="character" w:customStyle="1" w:styleId="204">
    <w:name w:val="正文首行缩进 Char"/>
    <w:basedOn w:val="166"/>
    <w:link w:val="45"/>
    <w:qFormat/>
    <w:uiPriority w:val="0"/>
    <w:rPr>
      <w:rFonts w:eastAsia="仿宋_GB2312"/>
      <w:kern w:val="2"/>
      <w:sz w:val="21"/>
      <w:szCs w:val="24"/>
      <w:lang w:val="en-US" w:eastAsia="zh-CN" w:bidi="ar-SA"/>
    </w:rPr>
  </w:style>
  <w:style w:type="character" w:customStyle="1" w:styleId="205">
    <w:name w:val="正文首行缩进 2 Char"/>
    <w:basedOn w:val="69"/>
    <w:link w:val="46"/>
    <w:qFormat/>
    <w:uiPriority w:val="99"/>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99"/>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9"/>
    <w:qFormat/>
    <w:uiPriority w:val="0"/>
    <w:rPr>
      <w:rFonts w:hint="eastAsia" w:ascii="宋体" w:hAnsi="宋体" w:eastAsia="宋体" w:cs="宋体"/>
      <w:color w:val="000000"/>
      <w:sz w:val="22"/>
      <w:szCs w:val="22"/>
      <w:u w:val="none"/>
    </w:rPr>
  </w:style>
  <w:style w:type="character" w:customStyle="1" w:styleId="268">
    <w:name w:val="font11"/>
    <w:basedOn w:val="49"/>
    <w:qFormat/>
    <w:uiPriority w:val="0"/>
    <w:rPr>
      <w:rFonts w:hint="eastAsia" w:ascii="宋体" w:hAnsi="宋体" w:eastAsia="宋体" w:cs="宋体"/>
      <w:color w:val="FF0000"/>
      <w:sz w:val="22"/>
      <w:szCs w:val="22"/>
      <w:u w:val="none"/>
    </w:rPr>
  </w:style>
  <w:style w:type="character" w:customStyle="1" w:styleId="269">
    <w:name w:val="font41"/>
    <w:basedOn w:val="49"/>
    <w:qFormat/>
    <w:uiPriority w:val="0"/>
    <w:rPr>
      <w:rFonts w:hint="default" w:ascii="等线" w:hAnsi="等线" w:eastAsia="等线" w:cs="等线"/>
      <w:color w:val="FF0000"/>
      <w:sz w:val="22"/>
      <w:szCs w:val="22"/>
      <w:u w:val="none"/>
    </w:rPr>
  </w:style>
  <w:style w:type="character" w:customStyle="1" w:styleId="270">
    <w:name w:val="font21"/>
    <w:basedOn w:val="49"/>
    <w:qFormat/>
    <w:uiPriority w:val="0"/>
    <w:rPr>
      <w:rFonts w:hint="default" w:ascii="等线" w:hAnsi="等线" w:eastAsia="等线" w:cs="等线"/>
      <w:color w:val="000000"/>
      <w:sz w:val="22"/>
      <w:szCs w:val="22"/>
      <w:u w:val="none"/>
    </w:rPr>
  </w:style>
  <w:style w:type="character" w:customStyle="1" w:styleId="271">
    <w:name w:val="font51"/>
    <w:basedOn w:val="49"/>
    <w:qFormat/>
    <w:uiPriority w:val="0"/>
    <w:rPr>
      <w:rFonts w:hint="default" w:ascii="等线" w:hAnsi="等线" w:eastAsia="等线" w:cs="等线"/>
      <w:color w:val="FF0000"/>
      <w:sz w:val="22"/>
      <w:szCs w:val="22"/>
      <w:u w:val="none"/>
    </w:rPr>
  </w:style>
  <w:style w:type="character" w:customStyle="1" w:styleId="272">
    <w:name w:val="font61"/>
    <w:basedOn w:val="49"/>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9"/>
    <w:semiHidden/>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9"/>
    <w:qFormat/>
    <w:uiPriority w:val="0"/>
  </w:style>
  <w:style w:type="paragraph" w:customStyle="1" w:styleId="28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82">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3">
    <w:name w:val="首行缩进"/>
    <w:basedOn w:val="1"/>
    <w:qFormat/>
    <w:uiPriority w:val="99"/>
    <w:pPr>
      <w:widowControl/>
      <w:tabs>
        <w:tab w:val="left" w:pos="0"/>
        <w:tab w:val="left" w:pos="360"/>
        <w:tab w:val="left" w:pos="822"/>
      </w:tabs>
      <w:snapToGrid w:val="0"/>
      <w:spacing w:before="40" w:after="40" w:line="300" w:lineRule="atLeast"/>
    </w:pPr>
    <w:rPr>
      <w:rFonts w:ascii="Arial" w:hAnsi="Arial"/>
    </w:rPr>
  </w:style>
  <w:style w:type="character" w:customStyle="1" w:styleId="284">
    <w:name w:val="内容序号（N） Char"/>
    <w:link w:val="285"/>
    <w:qFormat/>
    <w:uiPriority w:val="0"/>
    <w:rPr>
      <w:rFonts w:ascii="宋体" w:hAnsi="宋体"/>
      <w:sz w:val="24"/>
      <w:szCs w:val="28"/>
    </w:rPr>
  </w:style>
  <w:style w:type="paragraph" w:customStyle="1" w:styleId="285">
    <w:name w:val="内容序号（N）"/>
    <w:basedOn w:val="93"/>
    <w:link w:val="284"/>
    <w:qFormat/>
    <w:uiPriority w:val="0"/>
    <w:pPr>
      <w:widowControl w:val="0"/>
      <w:tabs>
        <w:tab w:val="left" w:pos="1134"/>
      </w:tabs>
      <w:spacing w:after="0" w:line="360" w:lineRule="auto"/>
      <w:ind w:left="0"/>
      <w:contextualSpacing w:val="0"/>
      <w:jc w:val="both"/>
    </w:pPr>
    <w:rPr>
      <w:rFonts w:ascii="宋体" w:hAnsi="宋体"/>
      <w:sz w:val="24"/>
      <w:szCs w:val="28"/>
    </w:rPr>
  </w:style>
  <w:style w:type="character" w:customStyle="1" w:styleId="286">
    <w:name w:val="font121"/>
    <w:qFormat/>
    <w:uiPriority w:val="0"/>
    <w:rPr>
      <w:rFonts w:hint="eastAsia" w:ascii="宋体" w:hAnsi="宋体" w:eastAsia="宋体" w:cs="宋体"/>
      <w:color w:val="000000"/>
      <w:sz w:val="24"/>
      <w:szCs w:val="24"/>
      <w:u w:val="none"/>
    </w:rPr>
  </w:style>
  <w:style w:type="character" w:customStyle="1" w:styleId="287">
    <w:name w:val="纯文本 字符"/>
    <w:qFormat/>
    <w:uiPriority w:val="0"/>
    <w:rPr>
      <w:rFonts w:ascii="宋体" w:hAnsi="Courier New"/>
      <w:kern w:val="2"/>
      <w:sz w:val="21"/>
    </w:rPr>
  </w:style>
  <w:style w:type="character" w:customStyle="1" w:styleId="288">
    <w:name w:val="正文文本缩进 2 字符"/>
    <w:qFormat/>
    <w:uiPriority w:val="0"/>
    <w:rPr>
      <w:rFonts w:ascii="Times New Roman" w:hAnsi="Times New Roman"/>
      <w:color w:val="FF0000"/>
      <w:kern w:val="2"/>
      <w:sz w:val="24"/>
      <w:szCs w:val="24"/>
    </w:rPr>
  </w:style>
  <w:style w:type="paragraph" w:styleId="289">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0">
    <w:name w:val="Bullet - Table LeveL 2"/>
    <w:basedOn w:val="1"/>
    <w:qFormat/>
    <w:uiPriority w:val="0"/>
    <w:pPr>
      <w:numPr>
        <w:ilvl w:val="0"/>
        <w:numId w:val="5"/>
      </w:numPr>
      <w:ind w:firstLine="0"/>
    </w:pPr>
    <w:rPr>
      <w:rFonts w:ascii="Arial" w:hAnsi="Arial" w:eastAsia="PMingLiU"/>
      <w:kern w:val="0"/>
      <w:sz w:val="20"/>
      <w:szCs w:val="20"/>
      <w:lang w:eastAsia="en-US"/>
    </w:rPr>
  </w:style>
  <w:style w:type="paragraph" w:customStyle="1" w:styleId="291">
    <w:name w:val="文本正文"/>
    <w:basedOn w:val="1"/>
    <w:qFormat/>
    <w:uiPriority w:val="0"/>
    <w:pPr>
      <w:spacing w:before="156" w:after="156" w:line="360" w:lineRule="auto"/>
      <w:ind w:firstLine="480"/>
    </w:pPr>
    <w:rPr>
      <w:color w:val="000000"/>
    </w:rPr>
  </w:style>
  <w:style w:type="paragraph" w:customStyle="1" w:styleId="292">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293">
    <w:name w:val="正文首行缩进 21"/>
    <w:basedOn w:val="1"/>
    <w:qFormat/>
    <w:uiPriority w:val="0"/>
    <w:pPr>
      <w:spacing w:after="120"/>
      <w:ind w:left="420" w:leftChars="200" w:firstLine="420"/>
    </w:pPr>
    <w:rPr>
      <w:rFonts w:cs="宋体"/>
      <w:color w:val="000000"/>
      <w:szCs w:val="21"/>
    </w:rPr>
  </w:style>
  <w:style w:type="paragraph" w:customStyle="1" w:styleId="294">
    <w:name w:val="纯文本1"/>
    <w:basedOn w:val="1"/>
    <w:qFormat/>
    <w:uiPriority w:val="0"/>
    <w:pPr>
      <w:adjustRightInd/>
    </w:pPr>
    <w:rPr>
      <w:rFonts w:ascii="宋体" w:hAnsi="Courier New"/>
      <w:kern w:val="0"/>
      <w:sz w:val="20"/>
      <w:szCs w:val="20"/>
    </w:rPr>
  </w:style>
  <w:style w:type="paragraph" w:customStyle="1" w:styleId="295">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01906-8559-4B62-A2B2-E788CC5F42E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31690</Words>
  <Characters>33828</Characters>
  <Lines>308</Lines>
  <Paragraphs>86</Paragraphs>
  <TotalTime>4464</TotalTime>
  <ScaleCrop>false</ScaleCrop>
  <LinksUpToDate>false</LinksUpToDate>
  <CharactersWithSpaces>36024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2022-07-08T08:06:00Z</dcterms:created>
  <dc:creator>USER</dc:creator>
  <cp:lastModifiedBy>Administrator</cp:lastModifiedBy>
  <cp:lastPrinted>2022-07-08T03:32:00Z</cp:lastPrinted>
  <dcterms:modified xsi:type="dcterms:W3CDTF">2023-06-19T08:55:28Z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BB533D8D8E8B482AA6A897DAE722062A_13</vt:lpwstr>
  </property>
</Properties>
</file>