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z w:val="72"/>
          <w:szCs w:val="72"/>
        </w:rPr>
      </w:pPr>
      <w:r>
        <w:rPr>
          <w:rFonts w:hint="eastAsia" w:ascii="隶书" w:hAnsi="Arial" w:eastAsia="隶书" w:cs="Arial"/>
          <w:b/>
          <w:sz w:val="72"/>
          <w:szCs w:val="72"/>
        </w:rPr>
        <w:t>嵊州市教育体育局多媒体设备采购项目</w:t>
      </w:r>
    </w:p>
    <w:p>
      <w:pPr>
        <w:spacing w:before="120" w:after="120"/>
        <w:jc w:val="center"/>
        <w:rPr>
          <w:rFonts w:hint="eastAsia" w:ascii="宋体" w:hAnsi="宋体" w:eastAsia="宋体" w:cs="宋体"/>
          <w:kern w:val="0"/>
          <w:sz w:val="24"/>
          <w:lang w:val="en-US" w:eastAsia="zh-CN"/>
        </w:rPr>
      </w:pPr>
      <w:r>
        <w:rPr>
          <w:rFonts w:hint="eastAsia" w:ascii="宋体" w:hAnsi="宋体" w:cs="宋体"/>
          <w:kern w:val="0"/>
          <w:sz w:val="24"/>
        </w:rPr>
        <w:t>招标编号:2022-0</w:t>
      </w:r>
      <w:r>
        <w:rPr>
          <w:rFonts w:hint="eastAsia" w:ascii="宋体" w:hAnsi="宋体" w:cs="宋体"/>
          <w:kern w:val="0"/>
          <w:sz w:val="24"/>
          <w:lang w:val="en-US" w:eastAsia="zh-CN"/>
        </w:rPr>
        <w:t>9</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spacing w:before="120" w:after="120"/>
        <w:jc w:val="center"/>
        <w:rPr>
          <w:rFonts w:ascii="宋体" w:hAnsi="宋体" w:cs="宋体"/>
          <w:kern w:val="0"/>
          <w:sz w:val="24"/>
        </w:rPr>
      </w:pPr>
      <w:r>
        <w:rPr>
          <w:rFonts w:hint="eastAsia" w:ascii="宋体" w:hAnsi="宋体" w:cs="宋体"/>
          <w:kern w:val="0"/>
          <w:sz w:val="24"/>
        </w:rPr>
        <w:t>采购单位：嵊州市教育体育局</w:t>
      </w:r>
    </w:p>
    <w:p>
      <w:pPr>
        <w:spacing w:before="120" w:after="120"/>
        <w:jc w:val="center"/>
        <w:rPr>
          <w:rFonts w:ascii="宋体" w:hAnsi="宋体" w:cs="宋体"/>
          <w:b/>
          <w:bCs/>
          <w:color w:val="000000"/>
          <w:sz w:val="24"/>
        </w:rPr>
      </w:pPr>
      <w:r>
        <w:rPr>
          <w:rFonts w:hint="eastAsia" w:ascii="宋体" w:hAnsi="宋体" w:cs="宋体"/>
          <w:kern w:val="0"/>
          <w:sz w:val="24"/>
        </w:rPr>
        <w:t>采购代理机构：嵊州市公共资源交易中心</w:t>
      </w:r>
    </w:p>
    <w:p>
      <w:pPr>
        <w:jc w:val="center"/>
        <w:rPr>
          <w:rFonts w:ascii="隶书" w:eastAsia="隶书"/>
          <w:b/>
          <w:sz w:val="28"/>
          <w:szCs w:val="28"/>
        </w:rPr>
      </w:pPr>
      <w:bookmarkStart w:id="0" w:name="用户单位名称"/>
      <w:bookmarkEnd w:id="0"/>
      <w:r>
        <w:rPr>
          <w:rFonts w:hint="eastAsia" w:ascii="宋体" w:hAnsi="宋体" w:cs="宋体"/>
          <w:sz w:val="24"/>
        </w:rPr>
        <w:t>2022年7月</w:t>
      </w:r>
    </w:p>
    <w:p>
      <w:pPr>
        <w:jc w:val="center"/>
        <w:rPr>
          <w:rFonts w:ascii="隶书" w:eastAsia="隶书"/>
          <w:b/>
          <w:sz w:val="44"/>
          <w:szCs w:val="44"/>
        </w:rPr>
      </w:pPr>
    </w:p>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6"/>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r>
              <w:rPr>
                <w:rFonts w:ascii="仿宋_GB2312" w:hAnsi="新宋体" w:eastAsia="仿宋_GB2312"/>
              </w:rPr>
              <w:br w:type="page"/>
            </w:r>
          </w:p>
          <w:tbl>
            <w:tblPr>
              <w:tblStyle w:val="46"/>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嵊州市教育体育局多媒体设备采购项目的潜在投标人应在</w:t>
                  </w:r>
                  <w:r>
                    <w:rPr>
                      <w:rStyle w:val="280"/>
                      <w:rFonts w:ascii="仿宋" w:hAnsi="仿宋"/>
                      <w:sz w:val="27"/>
                      <w:szCs w:val="27"/>
                    </w:rPr>
                    <w:t>https://www.zcygov.cn</w:t>
                  </w:r>
                  <w:r>
                    <w:rPr>
                      <w:rFonts w:hint="eastAsia" w:ascii="仿宋_GB2312" w:hAnsi="新宋体" w:eastAsia="仿宋_GB2312"/>
                      <w:szCs w:val="24"/>
                    </w:rPr>
                    <w:t>获取（下载）招标文件，并于2022年</w:t>
                  </w:r>
                  <w:r>
                    <w:rPr>
                      <w:rFonts w:hint="eastAsia" w:ascii="仿宋_GB2312" w:hAnsi="新宋体" w:eastAsia="仿宋_GB2312"/>
                      <w:szCs w:val="24"/>
                      <w:lang w:val="en-US" w:eastAsia="zh-CN"/>
                    </w:rPr>
                    <w:t>8</w:t>
                  </w:r>
                  <w:r>
                    <w:rPr>
                      <w:rFonts w:hint="eastAsia" w:ascii="仿宋_GB2312" w:hAnsi="新宋体" w:eastAsia="仿宋_GB2312"/>
                      <w:szCs w:val="24"/>
                    </w:rPr>
                    <w:t xml:space="preserve"> 月</w:t>
                  </w:r>
                  <w:r>
                    <w:rPr>
                      <w:rFonts w:hint="eastAsia" w:ascii="仿宋_GB2312" w:hAnsi="新宋体" w:eastAsia="仿宋_GB2312"/>
                      <w:szCs w:val="24"/>
                      <w:lang w:val="en-US" w:eastAsia="zh-CN"/>
                    </w:rPr>
                    <w:t>4</w:t>
                  </w:r>
                  <w:r>
                    <w:rPr>
                      <w:rFonts w:hint="eastAsia" w:ascii="仿宋_GB2312" w:hAnsi="新宋体" w:eastAsia="仿宋_GB2312"/>
                      <w:szCs w:val="24"/>
                    </w:rPr>
                    <w:t>日 09:30（北京时间）前递交（上传）投标文件。</w:t>
                  </w:r>
                </w:p>
              </w:tc>
            </w:tr>
          </w:tbl>
          <w:p>
            <w:pPr>
              <w:pStyle w:val="72"/>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72"/>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项目编号：2022-0</w:t>
            </w:r>
            <w:r>
              <w:rPr>
                <w:rFonts w:hint="eastAsia" w:ascii="仿宋_GB2312" w:hAnsi="新宋体" w:eastAsia="仿宋_GB2312"/>
                <w:szCs w:val="24"/>
                <w:lang w:val="en-US" w:eastAsia="zh-CN"/>
              </w:rPr>
              <w:t>9</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项目名称：嵊州市教育体育局多媒体设备采购项目</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预算金额（元）：5610000</w:t>
            </w:r>
          </w:p>
          <w:p>
            <w:pPr>
              <w:pStyle w:val="72"/>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最高限价（元）：5610000（教体局部分最高限价5130000元，长乐镇中心学校部分最高限价480000元，同品牌型号产品要求投标报价一致）</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p>
          <w:p>
            <w:pPr>
              <w:pStyle w:val="72"/>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标项名称: 嵊州市教育体育局多媒体设备采购项目</w:t>
            </w:r>
          </w:p>
          <w:p>
            <w:pPr>
              <w:pStyle w:val="72"/>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72"/>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5610000</w:t>
            </w:r>
          </w:p>
          <w:p>
            <w:pPr>
              <w:pStyle w:val="72"/>
              <w:spacing w:afterLines="0" w:line="440" w:lineRule="exact"/>
              <w:ind w:firstLine="480"/>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p>
          <w:p>
            <w:pPr>
              <w:pStyle w:val="72"/>
              <w:spacing w:afterLines="0" w:line="440" w:lineRule="exact"/>
              <w:ind w:firstLine="480"/>
              <w:rPr>
                <w:rFonts w:ascii="仿宋_GB2312" w:hAnsi="新宋体" w:eastAsia="仿宋_GB2312"/>
                <w:color w:val="FF0000"/>
                <w:szCs w:val="24"/>
              </w:rPr>
            </w:pPr>
            <w:r>
              <w:rPr>
                <w:rFonts w:ascii="仿宋_GB2312" w:hAnsi="新宋体" w:eastAsia="仿宋_GB2312"/>
                <w:szCs w:val="24"/>
              </w:rPr>
              <w:t> </w:t>
            </w:r>
            <w:r>
              <w:rPr>
                <w:rFonts w:ascii="仿宋_GB2312" w:hAnsi="新宋体" w:eastAsia="仿宋_GB2312"/>
                <w:color w:val="auto"/>
                <w:szCs w:val="24"/>
              </w:rPr>
              <w:t> </w:t>
            </w:r>
            <w:r>
              <w:rPr>
                <w:rFonts w:hint="eastAsia" w:ascii="仿宋_GB2312" w:hAnsi="新宋体" w:eastAsia="仿宋_GB2312"/>
                <w:color w:val="auto"/>
                <w:szCs w:val="24"/>
              </w:rPr>
              <w:t>备注：中标后分别与教体局、长乐镇中心学校签订合同，相关费用也由各自负责支付。</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本项目（否）接受联合体投标。</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72"/>
              <w:spacing w:after="156"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2"/>
              <w:spacing w:afterLines="0" w:line="440" w:lineRule="exact"/>
              <w:ind w:left="420" w:leftChars="200" w:firstLine="0" w:firstLineChars="0"/>
              <w:rPr>
                <w:rFonts w:ascii="仿宋_GB2312" w:hAnsi="新宋体" w:eastAsia="仿宋_GB2312"/>
                <w:szCs w:val="24"/>
              </w:rPr>
            </w:pPr>
            <w:r>
              <w:rPr>
                <w:rFonts w:hint="eastAsia" w:ascii="仿宋_GB2312" w:hAnsi="新宋体" w:eastAsia="仿宋_GB2312"/>
                <w:szCs w:val="24"/>
              </w:rPr>
              <w:t>2.落实政府采购政策需满足的资格要求：</w:t>
            </w:r>
            <w:r>
              <w:rPr>
                <w:rFonts w:hint="eastAsia" w:ascii="仿宋" w:hAnsi="仿宋" w:eastAsia="仿宋"/>
                <w:szCs w:val="24"/>
              </w:rPr>
              <w:t>无</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3.本项目的特定资格要求：无</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时间：/至2022年 </w:t>
            </w:r>
            <w:r>
              <w:rPr>
                <w:rFonts w:hint="eastAsia" w:ascii="仿宋_GB2312" w:hAnsi="新宋体" w:eastAsia="仿宋_GB2312"/>
                <w:szCs w:val="24"/>
                <w:lang w:val="en-US" w:eastAsia="zh-CN"/>
              </w:rPr>
              <w:t>8</w:t>
            </w:r>
            <w:r>
              <w:rPr>
                <w:rFonts w:hint="eastAsia" w:ascii="仿宋_GB2312" w:hAnsi="新宋体" w:eastAsia="仿宋_GB2312"/>
                <w:szCs w:val="24"/>
              </w:rPr>
              <w:t xml:space="preserve"> 月</w:t>
            </w:r>
            <w:r>
              <w:rPr>
                <w:rFonts w:hint="eastAsia" w:ascii="仿宋_GB2312" w:hAnsi="新宋体" w:eastAsia="仿宋_GB2312"/>
                <w:szCs w:val="24"/>
                <w:lang w:val="en-US" w:eastAsia="zh-CN"/>
              </w:rPr>
              <w:t>4</w:t>
            </w:r>
            <w:r>
              <w:rPr>
                <w:rFonts w:hint="eastAsia" w:ascii="仿宋_GB2312" w:hAnsi="新宋体" w:eastAsia="仿宋_GB2312"/>
                <w:szCs w:val="24"/>
              </w:rPr>
              <w:t>日，每天上午00:00至12:00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提交投标文件截止时间：2022年</w:t>
            </w:r>
            <w:r>
              <w:rPr>
                <w:rFonts w:hint="eastAsia" w:ascii="仿宋_GB2312" w:hAnsi="新宋体" w:eastAsia="仿宋_GB2312"/>
                <w:szCs w:val="24"/>
                <w:lang w:val="en-US" w:eastAsia="zh-CN"/>
              </w:rPr>
              <w:t>8</w:t>
            </w:r>
            <w:r>
              <w:rPr>
                <w:rFonts w:hint="eastAsia" w:ascii="仿宋_GB2312" w:hAnsi="新宋体" w:eastAsia="仿宋_GB2312"/>
                <w:szCs w:val="24"/>
              </w:rPr>
              <w:t>月</w:t>
            </w:r>
            <w:r>
              <w:rPr>
                <w:rFonts w:hint="eastAsia" w:ascii="仿宋_GB2312" w:hAnsi="新宋体" w:eastAsia="仿宋_GB2312"/>
                <w:szCs w:val="24"/>
                <w:lang w:val="en-US" w:eastAsia="zh-CN"/>
              </w:rPr>
              <w:t>4</w:t>
            </w:r>
            <w:r>
              <w:rPr>
                <w:rFonts w:hint="eastAsia" w:ascii="仿宋_GB2312" w:hAnsi="新宋体" w:eastAsia="仿宋_GB2312"/>
                <w:szCs w:val="24"/>
              </w:rPr>
              <w:t>日 09:30（北京时间）</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开标时间：2022年</w:t>
            </w:r>
            <w:r>
              <w:rPr>
                <w:rFonts w:hint="eastAsia" w:ascii="仿宋_GB2312" w:hAnsi="新宋体" w:eastAsia="仿宋_GB2312"/>
                <w:szCs w:val="24"/>
                <w:lang w:val="en-US" w:eastAsia="zh-CN"/>
              </w:rPr>
              <w:t>8</w:t>
            </w:r>
            <w:r>
              <w:rPr>
                <w:rFonts w:hint="eastAsia" w:ascii="仿宋_GB2312" w:hAnsi="新宋体" w:eastAsia="仿宋_GB2312"/>
                <w:szCs w:val="24"/>
              </w:rPr>
              <w:t>月</w:t>
            </w:r>
            <w:r>
              <w:rPr>
                <w:rFonts w:hint="eastAsia" w:ascii="仿宋_GB2312" w:hAnsi="新宋体" w:eastAsia="仿宋_GB2312"/>
                <w:szCs w:val="24"/>
                <w:lang w:val="en-US" w:eastAsia="zh-CN"/>
              </w:rPr>
              <w:t>4</w:t>
            </w:r>
            <w:r>
              <w:rPr>
                <w:rFonts w:hint="eastAsia" w:ascii="仿宋_GB2312" w:hAnsi="新宋体" w:eastAsia="仿宋_GB2312"/>
                <w:szCs w:val="24"/>
              </w:rPr>
              <w:t>日 09:30</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开标地点（网址）：嵊州市公共资源交易中心(官河南路699号国际会展中心北楼三楼)，在政府采购云平台（www.zcygov.cn）上开启响应文件。</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2.其他事项：无</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名称：嵊州市教育体育局</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地址：</w:t>
            </w:r>
            <w:r>
              <w:rPr>
                <w:rFonts w:hint="eastAsia" w:eastAsia="仿宋_GB2312" w:asciiTheme="minorHAnsi" w:hAnsiTheme="minorHAnsi"/>
                <w:szCs w:val="24"/>
              </w:rPr>
              <w:t>嵊州市官河横路333号</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项目联系人（询问）：孔老师</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项目联系方式（询问）：15958566158</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质疑联系人：杨老师</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质疑联系方式：0575-83020136</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名称：嵊州市公共资源交易中心</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地址：嵊州市官河南路699号国际会展中心北楼三楼</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传真：0575-83360392 </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项目联系人（询问）：俞玲娜</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项目联系方式（询问）：0575-83360392</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质疑联系人：倪老师</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质疑联系方式：0575-83360392</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名称：嵊州市财政局</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地址：嵊州市三江街道国资大楼1004室</w:t>
            </w:r>
            <w:r>
              <w:rPr>
                <w:rFonts w:ascii="仿宋_GB2312" w:hAnsi="新宋体" w:eastAsia="仿宋_GB2312"/>
                <w:szCs w:val="24"/>
              </w:rPr>
              <w:t>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联系人 ：王殊       </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监督投诉电话：0575-83032507</w:t>
            </w:r>
            <w:r>
              <w:rPr>
                <w:rFonts w:ascii="仿宋_GB2312" w:hAnsi="新宋体" w:eastAsia="仿宋_GB2312"/>
                <w:szCs w:val="24"/>
              </w:rPr>
              <w:t>   </w:t>
            </w:r>
          </w:p>
          <w:p>
            <w:pPr>
              <w:pStyle w:val="72"/>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72"/>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bl>
    <w:p>
      <w:pPr>
        <w:widowControl/>
        <w:jc w:val="left"/>
        <w:rPr>
          <w:rFonts w:ascii="仿宋_GB2312" w:hAnsi="新宋体" w:eastAsia="仿宋_GB2312"/>
          <w:kern w:val="0"/>
          <w:sz w:val="24"/>
        </w:rPr>
      </w:pPr>
    </w:p>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1" w:name="_Hlk47616320"/>
      <w:r>
        <w:rPr>
          <w:rFonts w:hint="eastAsia" w:ascii="仿宋_GB2312" w:hAnsi="宋体" w:eastAsia="仿宋_GB2312"/>
          <w:b/>
          <w:sz w:val="30"/>
          <w:szCs w:val="36"/>
        </w:rPr>
        <w:t>前附表</w:t>
      </w:r>
    </w:p>
    <w:tbl>
      <w:tblPr>
        <w:tblStyle w:val="4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分包或转包：</w:t>
            </w:r>
            <w:r>
              <w:rPr>
                <w:rFonts w:hint="eastAsia" w:ascii="仿宋_GB2312" w:hAnsi="仿宋" w:eastAsia="仿宋_GB2312"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供应商须在收到中标通知书5个工作日内提供一份与电子投标文件一致的纸质投标文件，并邮寄到嵊州市公共资源交易中心（嵊州市官河南路699号国际会展中心北楼三楼302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开标前答疑会或现场考察：投标人可对采购人现有学校实际情况进行现场勘察，了解项目实施现场情况。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autoSpaceDE w:val="0"/>
              <w:autoSpaceDN w:val="0"/>
              <w:adjustRightInd w:val="0"/>
              <w:spacing w:line="440" w:lineRule="exact"/>
              <w:jc w:val="left"/>
              <w:rPr>
                <w:rFonts w:ascii="仿宋_GB2312" w:hAnsi="宋体" w:eastAsia="仿宋_GB2312"/>
                <w:b/>
                <w:sz w:val="24"/>
              </w:rPr>
            </w:pPr>
            <w:r>
              <w:rPr>
                <w:rFonts w:hint="eastAsia" w:ascii="仿宋_GB2312" w:hAnsi="宋体" w:eastAsia="仿宋_GB2312"/>
                <w:b/>
                <w:sz w:val="24"/>
              </w:rPr>
              <w:t>样品提供：</w:t>
            </w:r>
            <w:r>
              <w:rPr>
                <w:rFonts w:hint="eastAsia" w:ascii="仿宋" w:hAnsi="仿宋" w:eastAsia="仿宋" w:cs="仿宋_GB2312"/>
                <w:b/>
                <w:sz w:val="24"/>
              </w:rPr>
              <w:t>有</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演示(讲解)：有。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所属行业：制造业。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 品</w:t>
            </w: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1</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w:t>
            </w:r>
            <w:r>
              <w:rPr>
                <w:rFonts w:hint="eastAsia" w:ascii="仿宋_GB2312" w:hAnsi="宋体" w:eastAsia="仿宋_GB2312"/>
                <w:sz w:val="24"/>
              </w:rPr>
              <w:t>嵊州市公共资源交易中心</w:t>
            </w:r>
            <w:r>
              <w:rPr>
                <w:rFonts w:hint="eastAsia" w:ascii="仿宋_GB2312" w:hAnsi="仿宋" w:eastAsia="仿宋_GB2312"/>
                <w:sz w:val="24"/>
              </w:rPr>
              <w:t>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13</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hAnsi="仿宋" w:eastAsia="仿宋_GB2312"/>
                <w:sz w:val="24"/>
              </w:rPr>
            </w:pPr>
            <w:r>
              <w:rPr>
                <w:rFonts w:hint="eastAsia" w:ascii="仿宋_GB2312" w:hAnsi="仿宋" w:eastAsia="仿宋_GB2312"/>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_GB2312" w:hAnsi="仿宋" w:eastAsia="仿宋_GB2312"/>
                <w:sz w:val="24"/>
              </w:rPr>
            </w:pPr>
            <w:r>
              <w:rPr>
                <w:rFonts w:hint="eastAsia" w:ascii="仿宋_GB2312" w:hAnsi="仿宋" w:eastAsia="仿宋_GB2312"/>
                <w:sz w:val="24"/>
              </w:rPr>
              <w:t>《CA申领操作指南》：https://help.zcygov.cn/web/site_2/2018/11-29/2452.html</w:t>
            </w:r>
          </w:p>
          <w:p>
            <w:pPr>
              <w:snapToGrid w:val="0"/>
              <w:spacing w:line="440" w:lineRule="exact"/>
              <w:jc w:val="left"/>
              <w:rPr>
                <w:rFonts w:ascii="仿宋_GB2312" w:hAnsi="仿宋" w:eastAsia="仿宋_GB2312"/>
                <w:sz w:val="24"/>
              </w:rPr>
            </w:pPr>
            <w:r>
              <w:rPr>
                <w:rFonts w:hint="eastAsia" w:ascii="仿宋_GB2312" w:hAnsi="仿宋" w:eastAsia="仿宋_GB2312"/>
                <w:sz w:val="24"/>
              </w:rPr>
              <w:t>《CA管理操作指南》：https://help.zcygov.cn/web/site_2/2019/08-20/3405.html</w:t>
            </w:r>
          </w:p>
          <w:p>
            <w:pPr>
              <w:snapToGrid w:val="0"/>
              <w:spacing w:line="440" w:lineRule="exact"/>
              <w:rPr>
                <w:rFonts w:ascii="仿宋_GB2312" w:hAnsi="仿宋" w:eastAsia="仿宋_GB2312"/>
                <w:sz w:val="24"/>
              </w:rPr>
            </w:pPr>
            <w:r>
              <w:rPr>
                <w:rFonts w:hint="eastAsia" w:ascii="仿宋_GB2312" w:hAnsi="仿宋" w:eastAsia="仿宋_GB2312"/>
                <w:sz w:val="24"/>
              </w:rPr>
              <w:t>《CA驱动和申领流程》:</w:t>
            </w:r>
          </w:p>
          <w:p>
            <w:pPr>
              <w:snapToGrid w:val="0"/>
              <w:spacing w:line="440" w:lineRule="exact"/>
              <w:rPr>
                <w:rFonts w:ascii="仿宋_GB2312" w:hAnsi="仿宋" w:eastAsia="仿宋_GB2312"/>
                <w:sz w:val="24"/>
              </w:rPr>
            </w:pPr>
            <w:r>
              <w:rPr>
                <w:rFonts w:hint="eastAsia" w:ascii="仿宋_GB2312" w:hAnsi="仿宋" w:eastAsia="仿宋_GB2312"/>
                <w:sz w:val="24"/>
              </w:rPr>
              <w:t>http://zfcg.czt.zj.gov.cn//bidClientTemplate/2019-05-27/12945.html</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53"/>
                <w:rFonts w:hint="eastAsia" w:ascii="仿宋_GB2312" w:hAnsi="仿宋" w:eastAsia="仿宋_GB2312"/>
                <w:color w:val="auto"/>
                <w:sz w:val="24"/>
              </w:rPr>
              <w:t>https://help.zcygov.cn/web/site_2/2018/12-28/2573.html</w:t>
            </w:r>
            <w:r>
              <w:rPr>
                <w:rStyle w:val="53"/>
                <w:rFonts w:hint="eastAsia" w:ascii="仿宋_GB2312" w:hAnsi="仿宋" w:eastAsia="仿宋_GB2312"/>
                <w:color w:val="auto"/>
                <w:sz w:val="24"/>
              </w:rPr>
              <w:fldChar w:fldCharType="end"/>
            </w:r>
            <w:r>
              <w:rPr>
                <w:rFonts w:hint="eastAsia" w:ascii="仿宋_GB2312" w:hAnsi="仿宋" w:eastAsia="仿宋_GB2312"/>
                <w:sz w:val="24"/>
              </w:rPr>
              <w:t>”。</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嵊州市教育体育局为本项目的采购人（合同中的甲方），嵊州市公共资源交易中心为集中采购机构，响应招标、参加投标竞争的法人、其他组织或者自然人为投标人，经评审产生并经批准的投标人为中标候选人，经公告无异议，并签订合同后的中标人为供应商（合同中的乙方），嵊州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 “★”系指实质性指标要求条款，“▲” 系指主要性能指标要求条款。如任意一条打“★”</w:t>
      </w:r>
      <w:r>
        <w:rPr>
          <w:rFonts w:hint="eastAsia" w:ascii="仿宋_GB2312" w:hAnsi="宋体" w:eastAsia="仿宋_GB2312"/>
          <w:sz w:val="24"/>
          <w:lang w:eastAsia="zh-CN"/>
        </w:rPr>
        <w:t>、</w:t>
      </w:r>
      <w:r>
        <w:rPr>
          <w:rFonts w:hint="eastAsia" w:ascii="仿宋_GB2312" w:hAnsi="宋体" w:eastAsia="仿宋_GB2312"/>
          <w:sz w:val="24"/>
        </w:rPr>
        <w:t>“▲”的指标出现负偏离按评分标准作扣分处理。</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节能环保要求</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单位、采购代理机构应当对符合规定的小微企业报价按最高优惠幅度（货物和服务项目为10%、工程项目为5%）给予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单位、采购代理机构应当对联合体或者大中型企业的报价按最高优惠幅度（货物和服务项目为3%、工程项目为2%）给予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21"/>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7"/>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7"/>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7"/>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7"/>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7"/>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7"/>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6"/>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8"/>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8"/>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2.2.4相关资质证明或文件复印件</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7"/>
        <w:spacing w:line="440" w:lineRule="exact"/>
        <w:ind w:firstLine="480" w:firstLineChars="200"/>
        <w:rPr>
          <w:rFonts w:ascii="仿宋_GB2312" w:hAnsi="仿宋" w:eastAsia="仿宋_GB2312"/>
          <w:sz w:val="24"/>
        </w:rPr>
      </w:pPr>
      <w:bookmarkStart w:id="2" w:name="_Hlt68073093"/>
      <w:bookmarkEnd w:id="2"/>
      <w:bookmarkStart w:id="3" w:name="_Hlt68403820"/>
      <w:bookmarkEnd w:id="3"/>
      <w:bookmarkStart w:id="4" w:name="_Hlt68072998"/>
      <w:bookmarkEnd w:id="4"/>
      <w:r>
        <w:rPr>
          <w:rFonts w:hint="eastAsia" w:ascii="仿宋_GB2312" w:hAnsi="仿宋" w:eastAsia="仿宋_GB2312"/>
          <w:sz w:val="24"/>
        </w:rPr>
        <w:t>（1）营业执照(或事业法人登记证或其他工商等登记证明材料)复印件，实施“五证合一、一照一码”登记制度改革的，只需提供改革后取得的营业执照复印件 ；</w:t>
      </w:r>
    </w:p>
    <w:p>
      <w:pPr>
        <w:pStyle w:val="27"/>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（2）2021年度资产负债表等财务报表资料文件(新成立的公司提供情况证明)；</w:t>
      </w:r>
    </w:p>
    <w:p>
      <w:pPr>
        <w:pStyle w:val="27"/>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rPr>
        <w:t>（4）参加本次政府采购活动前三年内，在经营活动中没有重大违法记录的声明（</w:t>
      </w:r>
      <w:r>
        <w:rPr>
          <w:rFonts w:hint="eastAsia" w:ascii="仿宋_GB2312" w:hAnsi="仿宋_GB2312" w:eastAsia="仿宋_GB2312"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sz w:val="24"/>
        </w:rPr>
        <w:t>)符合特定资格条件（如果项目要求）的有关证明材料（复印件）；</w:t>
      </w:r>
    </w:p>
    <w:p>
      <w:pPr>
        <w:pStyle w:val="27"/>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2.2.5</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项目验收之前、验收之后的维护方案；针对本项目的维护方案，包括本地(嵊州)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备品备件清单、培训计划；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2.2.11</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在嵊州的分公司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2.2.13</w:t>
      </w:r>
      <w:r>
        <w:rPr>
          <w:rFonts w:hint="eastAsia" w:ascii="仿宋_GB2312" w:hAnsi="宋体" w:eastAsia="仿宋_GB2312"/>
          <w:sz w:val="24"/>
          <w:u w:val="wave"/>
        </w:rPr>
        <w:t>未尽事宜请各投标单位按评分细则和相对应标项相关要求制作(重要)</w:t>
      </w:r>
      <w:r>
        <w:rPr>
          <w:rFonts w:hint="eastAsia" w:ascii="仿宋_GB2312" w:hAnsi="宋体" w:eastAsia="仿宋_GB2312"/>
          <w:sz w:val="24"/>
        </w:rPr>
        <w:t>；</w:t>
      </w:r>
    </w:p>
    <w:p>
      <w:pPr>
        <w:pStyle w:val="22"/>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2.2.14投标人需要说明的其他文件和说明（格式自拟）。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7"/>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7"/>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7"/>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b/>
          <w:kern w:val="0"/>
          <w:sz w:val="24"/>
        </w:rPr>
      </w:pPr>
      <w:r>
        <w:rPr>
          <w:rFonts w:hint="eastAsia" w:ascii="仿宋_GB2312" w:hAnsi="宋体" w:eastAsia="仿宋_GB2312"/>
          <w:sz w:val="24"/>
        </w:rPr>
        <w:t>3.4</w:t>
      </w:r>
      <w:r>
        <w:rPr>
          <w:rFonts w:hint="eastAsia" w:ascii="仿宋_GB2312" w:hAnsi="宋体" w:eastAsia="仿宋_GB2312"/>
          <w:b/>
          <w:kern w:val="0"/>
          <w:sz w:val="24"/>
        </w:rPr>
        <w:t>投标报价只允许有一个报价，有选择的报价将不予接受（除指定外）。</w:t>
      </w:r>
    </w:p>
    <w:p>
      <w:pPr>
        <w:pStyle w:val="17"/>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7"/>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7"/>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7"/>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7"/>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7"/>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7"/>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1.1投标截止时间后，主持人宣布开标开始。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w:t>
      </w:r>
      <w:r>
        <w:rPr>
          <w:rFonts w:ascii="仿宋_GB2312" w:hAnsi="宋体" w:eastAsia="仿宋_GB2312"/>
          <w:sz w:val="24"/>
        </w:rPr>
        <w:t>0</w:t>
      </w:r>
      <w:r>
        <w:rPr>
          <w:rFonts w:hint="eastAsia" w:ascii="仿宋_GB2312" w:hAnsi="宋体" w:eastAsia="仿宋_GB2312"/>
          <w:sz w:val="24"/>
        </w:rPr>
        <w:t>分钟内。</w:t>
      </w:r>
    </w:p>
    <w:p>
      <w:pPr>
        <w:snapToGrid w:val="0"/>
        <w:spacing w:line="48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8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8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8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6.7.2根据财政部发布的《政府采购促进中小企业发展管理办法》规定，对于非专门面向中小企业的项目，对小型和微型企业产品的价格给予一定的扣除，用扣除后的价格参与评审。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7"/>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7"/>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7"/>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7"/>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7"/>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8.20.2提供虚假的财务状况或者业绩；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8.24报价文件中出现2个(含)以上的报价或方案的；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7"/>
        <w:spacing w:line="800" w:lineRule="exact"/>
        <w:ind w:firstLine="726"/>
        <w:jc w:val="center"/>
        <w:rPr>
          <w:rFonts w:ascii="仿宋_GB2312" w:hAnsi="宋体" w:eastAsia="仿宋_GB2312"/>
          <w:b/>
          <w:sz w:val="36"/>
          <w:szCs w:val="36"/>
        </w:rPr>
      </w:pPr>
      <w:bookmarkStart w:id="5" w:name="_Toc84325929"/>
      <w:bookmarkStart w:id="6" w:name="_Toc81372776"/>
      <w:bookmarkStart w:id="7" w:name="_Toc81372953"/>
      <w:r>
        <w:rPr>
          <w:rFonts w:hint="eastAsia" w:ascii="仿宋_GB2312" w:hAnsi="宋体" w:eastAsia="仿宋_GB2312"/>
          <w:b/>
          <w:sz w:val="36"/>
          <w:szCs w:val="36"/>
        </w:rPr>
        <w:t>五、授予合同</w:t>
      </w:r>
    </w:p>
    <w:p>
      <w:pPr>
        <w:pStyle w:val="17"/>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7"/>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7"/>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7"/>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7"/>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5"/>
    <w:bookmarkEnd w:id="6"/>
    <w:bookmarkEnd w:id="7"/>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6"/>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3"/>
          <w:rFonts w:hint="eastAsia" w:ascii="仿宋_GB2312" w:hAnsi="Helvetica" w:eastAsia="仿宋_GB2312" w:cs="Helvetica"/>
          <w:color w:val="auto"/>
          <w:kern w:val="0"/>
        </w:rPr>
        <w:t>http://zfcg.czt.zj.gov.cn/</w:t>
      </w:r>
      <w:r>
        <w:rPr>
          <w:rStyle w:val="53"/>
          <w:rFonts w:hint="eastAsia" w:ascii="仿宋_GB2312" w:hAnsi="Helvetica" w:eastAsia="仿宋_GB2312" w:cs="Helvetica"/>
          <w:color w:val="auto"/>
          <w:kern w:val="0"/>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鼓励采购单位根据项目特点、供应商诚信等因素免收履约保证金或降低缴纳比例。政府采购货物和服务项目收取履约保证金的，最高缴纳比例不超过合同金额的2.5%，项目验收结束后应及时退还。供应商以银行、保险公司出具保函形式提交履约保证金的，采购单位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5.1中标人应当在中标通知书发出之日起5天内与采购人签订合同，自采购合同签订之日起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，将</w:t>
      </w:r>
      <w:r>
        <w:rPr>
          <w:rFonts w:hint="eastAsia" w:ascii="仿宋_GB2312" w:hAnsi="宋体" w:eastAsia="仿宋_GB2312"/>
          <w:b/>
          <w:sz w:val="24"/>
        </w:rPr>
        <w:t>采购合同原件</w:t>
      </w:r>
      <w:r>
        <w:rPr>
          <w:rFonts w:hint="eastAsia" w:ascii="仿宋_GB2312" w:hAnsi="宋体" w:eastAsia="仿宋_GB2312"/>
          <w:sz w:val="24"/>
        </w:rPr>
        <w:t>报嵊州市公共资源交易中心备案。</w:t>
      </w:r>
    </w:p>
    <w:p>
      <w:pPr>
        <w:spacing w:line="440" w:lineRule="exact"/>
        <w:jc w:val="left"/>
        <w:rPr>
          <w:rFonts w:ascii="仿宋_GB2312" w:hAnsi="宋体" w:eastAsia="仿宋_GB2312"/>
          <w:sz w:val="24"/>
        </w:rPr>
      </w:pPr>
      <w:r>
        <w:rPr>
          <w:rFonts w:hint="eastAsia" w:ascii="仿宋_GB2312" w:hAnsi="宋体" w:eastAsia="仿宋_GB2312"/>
          <w:sz w:val="24"/>
        </w:rPr>
        <w:t>5.2未领取中标通知书，采购双方自行签订的合同不予备案。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7"/>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7"/>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7"/>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7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1.1投标人投标提供的货物必须是厂商原装的、全新的，型号、性能及指标符合国家及招标文件提出的有关技术、质量、安全标准。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1.2所有货物在开箱检验时必须完好，无破损，配置与装箱单相符。数量、质量及性能不低于本需求书中提出的要求。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1.3货物外观清洁，标记编号显示等字体清晰，明确。铭牌、使用指示、警告指示应以中文或英文及易懂的通用符号来表示；应准确无误地表明办公家具之型号、规格、制造厂及生产或出厂日期。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1.4对于影响货物正常工作的必要组成部分，无论在技术规范中指出与否，投标人都应提供并在投标文件中明确列出。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7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72"/>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w:t>
      </w:r>
      <w:r>
        <w:rPr>
          <w:rFonts w:hint="eastAsia" w:ascii="仿宋_GB2312" w:hAnsi="宋体" w:eastAsia="仿宋_GB2312"/>
        </w:rPr>
        <w:t>货物</w:t>
      </w:r>
      <w:r>
        <w:rPr>
          <w:rFonts w:hint="eastAsia" w:ascii="仿宋_GB2312" w:hAnsi="宋体" w:eastAsia="仿宋_GB2312"/>
          <w:szCs w:val="24"/>
        </w:rPr>
        <w:t>数量和服务的权力，投标人应对系统方案中</w:t>
      </w:r>
      <w:r>
        <w:rPr>
          <w:rFonts w:hint="eastAsia" w:ascii="仿宋_GB2312" w:hAnsi="宋体" w:eastAsia="仿宋_GB2312"/>
        </w:rPr>
        <w:t>货物</w:t>
      </w:r>
      <w:r>
        <w:rPr>
          <w:rFonts w:hint="eastAsia" w:ascii="仿宋_GB2312" w:hAnsi="宋体" w:eastAsia="仿宋_GB2312"/>
          <w:szCs w:val="24"/>
        </w:rPr>
        <w:t>和服务明细报价，按投标单价不变的前提下进行调整，双方不得拒绝。</w:t>
      </w:r>
    </w:p>
    <w:p>
      <w:pPr>
        <w:pStyle w:val="72"/>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w:t>
      </w:r>
      <w:r>
        <w:rPr>
          <w:rFonts w:hint="eastAsia" w:ascii="仿宋_GB2312" w:hAnsi="宋体" w:eastAsia="仿宋_GB2312"/>
        </w:rPr>
        <w:t>货物</w:t>
      </w:r>
      <w:r>
        <w:rPr>
          <w:rFonts w:hint="eastAsia" w:ascii="仿宋_GB2312" w:hAnsi="宋体" w:eastAsia="仿宋_GB2312"/>
          <w:szCs w:val="24"/>
        </w:rPr>
        <w:t>或服务时，由中标人提供申请，招标人确认后实施。</w:t>
      </w:r>
    </w:p>
    <w:p>
      <w:pPr>
        <w:pStyle w:val="7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72"/>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w:t>
      </w:r>
      <w:r>
        <w:rPr>
          <w:rFonts w:hint="eastAsia" w:ascii="仿宋_GB2312" w:hAnsi="宋体" w:eastAsia="仿宋_GB2312"/>
        </w:rPr>
        <w:t>货物</w:t>
      </w:r>
      <w:r>
        <w:rPr>
          <w:rFonts w:hint="eastAsia" w:ascii="仿宋_GB2312" w:hAnsi="宋体" w:eastAsia="仿宋_GB2312"/>
          <w:szCs w:val="24"/>
        </w:rPr>
        <w:t>安装工作，在</w:t>
      </w:r>
      <w:r>
        <w:rPr>
          <w:rFonts w:hint="eastAsia" w:ascii="仿宋_GB2312" w:hAnsi="宋体" w:eastAsia="仿宋_GB2312"/>
        </w:rPr>
        <w:t>货物</w:t>
      </w:r>
      <w:r>
        <w:rPr>
          <w:rFonts w:hint="eastAsia" w:ascii="仿宋_GB2312" w:hAnsi="宋体" w:eastAsia="仿宋_GB2312"/>
          <w:szCs w:val="24"/>
        </w:rPr>
        <w:t>安装期间应充分了解</w:t>
      </w:r>
      <w:r>
        <w:rPr>
          <w:rFonts w:hint="eastAsia" w:ascii="仿宋_GB2312" w:hAnsi="宋体" w:eastAsia="仿宋_GB2312"/>
        </w:rPr>
        <w:t>货物</w:t>
      </w:r>
      <w:r>
        <w:rPr>
          <w:rFonts w:hint="eastAsia" w:ascii="仿宋_GB2312" w:hAnsi="宋体" w:eastAsia="仿宋_GB2312"/>
          <w:szCs w:val="24"/>
        </w:rPr>
        <w:t>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3.1中标人负责货物的安装、调试。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3.4货物的拆箱、调试等各项工作由中标人负责，但必须在招标人指定人员的参与下进行。在实际实施前必须先经招标人同意方可进行。调试的原始记录须经各方签字后作为验收的文件之一。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3.5所有的招标货物应按照国家有关技术标准在制造厂检查和试验合格，以表明其运行性能、安全性能以及货物材料和结构的完整性。</w:t>
      </w:r>
    </w:p>
    <w:p>
      <w:pPr>
        <w:pStyle w:val="72"/>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2"/>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2"/>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7"/>
        <w:spacing w:line="440" w:lineRule="exact"/>
        <w:ind w:firstLine="0" w:firstLineChars="0"/>
        <w:rPr>
          <w:rFonts w:ascii="仿宋_GB2312" w:hAnsi="仿宋" w:eastAsia="仿宋_GB2312" w:cs="仿宋"/>
          <w:sz w:val="24"/>
        </w:rPr>
      </w:pPr>
      <w:r>
        <w:rPr>
          <w:rFonts w:hint="eastAsia" w:ascii="仿宋_GB2312" w:hAnsi="宋体" w:eastAsia="仿宋_GB2312"/>
          <w:sz w:val="24"/>
        </w:rPr>
        <w:t>（1）</w:t>
      </w:r>
      <w:r>
        <w:rPr>
          <w:rFonts w:hint="eastAsia" w:ascii="仿宋_GB2312" w:hAnsi="仿宋" w:eastAsia="仿宋_GB2312" w:cs="仿宋"/>
          <w:sz w:val="24"/>
        </w:rPr>
        <w:t>验收合格之日起计算，设备质保期3年。在质保期内，乙方免费保修或更换。免费是指免材料费、人工费等与上门保修服务有关的一切费用。当用户提交报修信息后必须在2小时内到达现场，48小时内并解决问题，修理或直接免费更换，如不能当场修复的，须使用备品作暂时替换，以满足甲方的正常使用要求。</w:t>
      </w:r>
    </w:p>
    <w:p>
      <w:pPr>
        <w:spacing w:line="360" w:lineRule="auto"/>
        <w:rPr>
          <w:rFonts w:ascii="仿宋_GB2312" w:hAnsi="仿宋" w:eastAsia="仿宋_GB2312" w:cs="仿宋"/>
          <w:sz w:val="24"/>
        </w:rPr>
      </w:pPr>
      <w:r>
        <w:rPr>
          <w:rFonts w:hint="eastAsia" w:ascii="仿宋_GB2312" w:hAnsi="宋体" w:eastAsia="仿宋_GB2312"/>
          <w:sz w:val="24"/>
        </w:rPr>
        <w:t>（2）</w:t>
      </w:r>
      <w:r>
        <w:rPr>
          <w:rFonts w:hint="eastAsia" w:ascii="仿宋_GB2312" w:hAnsi="仿宋" w:eastAsia="仿宋_GB2312" w:cs="仿宋"/>
          <w:sz w:val="24"/>
        </w:rPr>
        <w:t>保修期外，乙方承诺提供终身服务。</w:t>
      </w:r>
    </w:p>
    <w:p>
      <w:pPr>
        <w:spacing w:line="360" w:lineRule="auto"/>
        <w:rPr>
          <w:rFonts w:ascii="仿宋_GB2312" w:hAnsi="仿宋" w:eastAsia="仿宋_GB2312" w:cs="仿宋"/>
          <w:sz w:val="24"/>
        </w:rPr>
      </w:pPr>
      <w:r>
        <w:rPr>
          <w:rFonts w:hint="eastAsia" w:ascii="仿宋_GB2312" w:hAnsi="宋体" w:eastAsia="仿宋_GB2312"/>
          <w:sz w:val="24"/>
        </w:rPr>
        <w:t>（3）</w:t>
      </w:r>
      <w:r>
        <w:rPr>
          <w:rFonts w:hint="eastAsia" w:ascii="仿宋_GB2312" w:hAnsi="仿宋" w:eastAsia="仿宋_GB2312" w:cs="仿宋"/>
          <w:sz w:val="24"/>
        </w:rPr>
        <w:t>备品备件供应：</w:t>
      </w:r>
    </w:p>
    <w:p>
      <w:pPr>
        <w:spacing w:line="360" w:lineRule="auto"/>
        <w:rPr>
          <w:rFonts w:ascii="仿宋_GB2312" w:hAnsi="仿宋" w:eastAsia="仿宋_GB2312" w:cs="仿宋"/>
          <w:sz w:val="24"/>
        </w:rPr>
      </w:pPr>
      <w:r>
        <w:rPr>
          <w:rFonts w:hint="eastAsia" w:ascii="仿宋_GB2312" w:hAnsi="仿宋" w:eastAsia="仿宋_GB2312" w:cs="仿宋"/>
          <w:sz w:val="24"/>
        </w:rPr>
        <w:t>3.1乙方供货时应根据投标文件的承诺提供一定量的常用备品备件给采购人。</w:t>
      </w:r>
    </w:p>
    <w:p>
      <w:pPr>
        <w:spacing w:line="360" w:lineRule="auto"/>
        <w:rPr>
          <w:rFonts w:ascii="仿宋_GB2312" w:hAnsi="仿宋" w:eastAsia="仿宋_GB2312" w:cs="仿宋"/>
          <w:sz w:val="24"/>
        </w:rPr>
      </w:pPr>
      <w:r>
        <w:rPr>
          <w:rFonts w:hint="eastAsia" w:ascii="仿宋_GB2312" w:hAnsi="仿宋" w:eastAsia="仿宋_GB2312" w:cs="仿宋"/>
          <w:sz w:val="24"/>
        </w:rPr>
        <w:t>3.2确保有足够的原厂备件、附件和易损件满足采购人正常使用需求。</w:t>
      </w:r>
    </w:p>
    <w:p>
      <w:pPr>
        <w:spacing w:line="360" w:lineRule="auto"/>
        <w:rPr>
          <w:rFonts w:ascii="仿宋_GB2312" w:hAnsi="仿宋" w:eastAsia="仿宋_GB2312" w:cs="仿宋"/>
          <w:sz w:val="24"/>
        </w:rPr>
      </w:pPr>
      <w:r>
        <w:rPr>
          <w:rFonts w:hint="eastAsia" w:ascii="仿宋_GB2312" w:hAnsi="仿宋" w:eastAsia="仿宋_GB2312" w:cs="仿宋"/>
          <w:sz w:val="24"/>
        </w:rPr>
        <w:t>3.3乙方应按照甲方要求在投标时承诺提供常用备件、附件和易损件，并明确承诺优惠供货价格。</w:t>
      </w:r>
    </w:p>
    <w:p>
      <w:pPr>
        <w:spacing w:line="360" w:lineRule="auto"/>
        <w:rPr>
          <w:rFonts w:ascii="仿宋_GB2312" w:hAnsi="仿宋" w:eastAsia="仿宋_GB2312" w:cs="仿宋"/>
          <w:sz w:val="24"/>
        </w:rPr>
      </w:pPr>
      <w:r>
        <w:rPr>
          <w:rFonts w:hint="eastAsia" w:ascii="仿宋_GB2312" w:hAnsi="仿宋" w:eastAsia="仿宋_GB2312" w:cs="仿宋"/>
          <w:sz w:val="24"/>
        </w:rPr>
        <w:t>4.4其他售后服务标准按照乙方投标承诺的服务计划实施。</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中标人提供的货物，必须符合招标文件及其投标文件规定的要求，如有不符，采购人可以无条件退货，造成的损失由中标人承担。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eastAsia="仿宋_GB2312"/>
        </w:rPr>
      </w:pPr>
      <w:bookmarkStart w:id="8" w:name="_Toc151354173"/>
      <w:bookmarkStart w:id="9" w:name="_Toc84325981"/>
      <w:bookmarkStart w:id="10" w:name="_Toc80157775"/>
      <w:bookmarkStart w:id="11" w:name="_Toc81372787"/>
      <w:bookmarkStart w:id="12" w:name="_Toc81372964"/>
      <w:r>
        <w:rPr>
          <w:rFonts w:hint="eastAsia" w:ascii="仿宋_GB2312" w:hAnsi="宋体" w:eastAsia="仿宋_GB2312"/>
          <w:b/>
          <w:sz w:val="24"/>
        </w:rPr>
        <w:t>8.招标项目数量及要求</w:t>
      </w:r>
    </w:p>
    <w:p>
      <w:pPr>
        <w:outlineLvl w:val="1"/>
        <w:rPr>
          <w:rFonts w:ascii="宋体" w:hAnsi="宋体" w:cs="宋体"/>
          <w:sz w:val="24"/>
        </w:rPr>
      </w:pPr>
      <w:bookmarkStart w:id="13" w:name="_Hlk85204984"/>
      <w:r>
        <w:rPr>
          <w:rFonts w:hint="eastAsia" w:ascii="仿宋_GB2312" w:hAnsi="宋体" w:eastAsia="仿宋_GB2312"/>
          <w:b/>
          <w:sz w:val="24"/>
        </w:rPr>
        <w:t>8.1招标基本情况</w:t>
      </w:r>
      <w:r>
        <w:rPr>
          <w:rFonts w:hint="eastAsia" w:ascii="宋体" w:hAnsi="宋体" w:cs="宋体"/>
          <w:b/>
          <w:sz w:val="24"/>
        </w:rPr>
        <w:t>：</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次招标采购主要提供嵊州市教育体育局多媒体设备，共确定1家供应商。投标方应根据招标文件所提出的设备技术性能指标、产品规格以及服务要求等综合考虑，选择具有最佳性能价格比的设备前来投标，希望投标方以精良的设备、优良的服务和优惠的价格，充分彰显贵公司的竞争实力。</w:t>
      </w:r>
    </w:p>
    <w:p>
      <w:pPr>
        <w:pStyle w:val="3"/>
        <w:rPr>
          <w:rFonts w:ascii="仿宋_GB2312" w:hAnsi="宋体"/>
          <w:b/>
          <w:sz w:val="24"/>
        </w:rPr>
      </w:pPr>
      <w:r>
        <w:rPr>
          <w:rFonts w:hint="eastAsia" w:ascii="仿宋_GB2312" w:hAnsi="宋体"/>
          <w:b/>
          <w:sz w:val="24"/>
        </w:rPr>
        <w:t>8.2 招标货物数量及限价</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3017"/>
        <w:gridCol w:w="1134"/>
        <w:gridCol w:w="198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Merge w:val="restart"/>
            <w:vAlign w:val="center"/>
          </w:tcPr>
          <w:p>
            <w:pPr>
              <w:jc w:val="center"/>
              <w:rPr>
                <w:rFonts w:ascii="宋体" w:hAnsi="宋体" w:cs="宋体"/>
                <w:b/>
                <w:bCs/>
                <w:sz w:val="18"/>
                <w:szCs w:val="18"/>
              </w:rPr>
            </w:pPr>
            <w:r>
              <w:rPr>
                <w:rFonts w:hint="eastAsia" w:ascii="宋体" w:hAnsi="宋体" w:cs="宋体"/>
                <w:b/>
                <w:bCs/>
                <w:sz w:val="18"/>
                <w:szCs w:val="18"/>
              </w:rPr>
              <w:t>序号</w:t>
            </w:r>
          </w:p>
        </w:tc>
        <w:tc>
          <w:tcPr>
            <w:tcW w:w="3017" w:type="dxa"/>
            <w:vMerge w:val="restart"/>
            <w:vAlign w:val="center"/>
          </w:tcPr>
          <w:p>
            <w:pPr>
              <w:jc w:val="center"/>
              <w:rPr>
                <w:rFonts w:ascii="宋体" w:hAnsi="宋体" w:cs="宋体"/>
                <w:b/>
                <w:bCs/>
                <w:sz w:val="18"/>
                <w:szCs w:val="18"/>
              </w:rPr>
            </w:pPr>
            <w:r>
              <w:rPr>
                <w:rFonts w:hint="eastAsia" w:ascii="宋体" w:hAnsi="宋体" w:cs="宋体"/>
                <w:b/>
                <w:bCs/>
                <w:sz w:val="18"/>
                <w:szCs w:val="18"/>
              </w:rPr>
              <w:t>产品名称</w:t>
            </w:r>
          </w:p>
        </w:tc>
        <w:tc>
          <w:tcPr>
            <w:tcW w:w="1134" w:type="dxa"/>
            <w:vMerge w:val="restart"/>
            <w:vAlign w:val="center"/>
          </w:tcPr>
          <w:p>
            <w:pPr>
              <w:jc w:val="center"/>
              <w:rPr>
                <w:rFonts w:ascii="宋体" w:hAnsi="宋体" w:cs="宋体"/>
                <w:b/>
                <w:bCs/>
                <w:sz w:val="18"/>
                <w:szCs w:val="18"/>
              </w:rPr>
            </w:pPr>
            <w:r>
              <w:rPr>
                <w:rFonts w:hint="eastAsia" w:ascii="宋体" w:hAnsi="宋体" w:cs="宋体"/>
                <w:b/>
                <w:bCs/>
                <w:sz w:val="18"/>
                <w:szCs w:val="18"/>
              </w:rPr>
              <w:t>单位</w:t>
            </w:r>
          </w:p>
        </w:tc>
        <w:tc>
          <w:tcPr>
            <w:tcW w:w="3969" w:type="dxa"/>
            <w:gridSpan w:val="2"/>
            <w:vAlign w:val="center"/>
          </w:tcPr>
          <w:p>
            <w:pPr>
              <w:jc w:val="center"/>
              <w:rPr>
                <w:rFonts w:ascii="宋体" w:hAnsi="宋体" w:cs="宋体"/>
                <w:b/>
                <w:bCs/>
                <w:sz w:val="18"/>
                <w:szCs w:val="18"/>
              </w:rPr>
            </w:pPr>
            <w:r>
              <w:rPr>
                <w:rFonts w:hint="eastAsia" w:ascii="宋体" w:hAnsi="宋体" w:cs="宋体"/>
                <w:b/>
                <w:bCs/>
                <w:sz w:val="18"/>
                <w:szCs w:val="18"/>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Merge w:val="continue"/>
            <w:vAlign w:val="center"/>
          </w:tcPr>
          <w:p>
            <w:pPr>
              <w:jc w:val="center"/>
              <w:rPr>
                <w:rFonts w:ascii="宋体" w:hAnsi="宋体" w:cs="宋体"/>
                <w:b/>
                <w:bCs/>
                <w:sz w:val="18"/>
                <w:szCs w:val="18"/>
              </w:rPr>
            </w:pPr>
          </w:p>
        </w:tc>
        <w:tc>
          <w:tcPr>
            <w:tcW w:w="3017" w:type="dxa"/>
            <w:vMerge w:val="continue"/>
            <w:vAlign w:val="center"/>
          </w:tcPr>
          <w:p>
            <w:pPr>
              <w:jc w:val="center"/>
              <w:rPr>
                <w:rFonts w:ascii="宋体" w:hAnsi="宋体" w:cs="宋体"/>
                <w:b/>
                <w:bCs/>
                <w:sz w:val="18"/>
                <w:szCs w:val="18"/>
              </w:rPr>
            </w:pPr>
          </w:p>
        </w:tc>
        <w:tc>
          <w:tcPr>
            <w:tcW w:w="1134" w:type="dxa"/>
            <w:vMerge w:val="continue"/>
            <w:vAlign w:val="center"/>
          </w:tcPr>
          <w:p>
            <w:pPr>
              <w:jc w:val="center"/>
              <w:rPr>
                <w:rFonts w:ascii="宋体" w:hAnsi="宋体" w:cs="宋体"/>
                <w:b/>
                <w:bCs/>
                <w:sz w:val="18"/>
                <w:szCs w:val="18"/>
              </w:rPr>
            </w:pPr>
          </w:p>
        </w:tc>
        <w:tc>
          <w:tcPr>
            <w:tcW w:w="1985" w:type="dxa"/>
            <w:vAlign w:val="center"/>
          </w:tcPr>
          <w:p>
            <w:pPr>
              <w:jc w:val="center"/>
              <w:rPr>
                <w:rFonts w:ascii="宋体" w:hAnsi="宋体" w:cs="宋体"/>
                <w:b/>
                <w:bCs/>
                <w:sz w:val="18"/>
                <w:szCs w:val="18"/>
              </w:rPr>
            </w:pPr>
            <w:r>
              <w:rPr>
                <w:rFonts w:ascii="宋体" w:hAnsi="宋体" w:cs="宋体"/>
                <w:b/>
                <w:bCs/>
                <w:sz w:val="18"/>
                <w:szCs w:val="18"/>
              </w:rPr>
              <w:t>教体局</w:t>
            </w:r>
          </w:p>
        </w:tc>
        <w:tc>
          <w:tcPr>
            <w:tcW w:w="1984" w:type="dxa"/>
            <w:vAlign w:val="center"/>
          </w:tcPr>
          <w:p>
            <w:pPr>
              <w:jc w:val="center"/>
              <w:rPr>
                <w:rFonts w:ascii="宋体" w:hAnsi="宋体" w:cs="宋体"/>
                <w:b/>
                <w:bCs/>
                <w:sz w:val="18"/>
                <w:szCs w:val="18"/>
              </w:rPr>
            </w:pPr>
            <w:r>
              <w:rPr>
                <w:rFonts w:ascii="宋体" w:hAnsi="宋体" w:cs="宋体"/>
                <w:b/>
                <w:bCs/>
                <w:sz w:val="18"/>
                <w:szCs w:val="18"/>
              </w:rPr>
              <w:t>长乐镇中心学校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1</w:t>
            </w:r>
          </w:p>
        </w:tc>
        <w:tc>
          <w:tcPr>
            <w:tcW w:w="3017" w:type="dxa"/>
            <w:vAlign w:val="center"/>
          </w:tcPr>
          <w:p>
            <w:pPr>
              <w:widowControl/>
              <w:jc w:val="center"/>
              <w:textAlignment w:val="center"/>
              <w:rPr>
                <w:rFonts w:ascii="宋体" w:hAnsi="宋体" w:cs="宋体"/>
                <w:sz w:val="18"/>
                <w:szCs w:val="18"/>
              </w:rPr>
            </w:pPr>
            <w:r>
              <w:rPr>
                <w:rFonts w:hint="eastAsia" w:ascii="宋体" w:hAnsi="宋体" w:cs="宋体"/>
                <w:sz w:val="18"/>
                <w:szCs w:val="18"/>
              </w:rPr>
              <w:t>75寸交互平板</w:t>
            </w:r>
          </w:p>
        </w:tc>
        <w:tc>
          <w:tcPr>
            <w:tcW w:w="1134"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台</w:t>
            </w:r>
          </w:p>
        </w:tc>
        <w:tc>
          <w:tcPr>
            <w:tcW w:w="1985"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364</w:t>
            </w:r>
          </w:p>
        </w:tc>
        <w:tc>
          <w:tcPr>
            <w:tcW w:w="1984"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2</w:t>
            </w:r>
          </w:p>
        </w:tc>
        <w:tc>
          <w:tcPr>
            <w:tcW w:w="3017" w:type="dxa"/>
            <w:vAlign w:val="center"/>
          </w:tcPr>
          <w:p>
            <w:pPr>
              <w:widowControl/>
              <w:jc w:val="center"/>
              <w:textAlignment w:val="center"/>
              <w:rPr>
                <w:rFonts w:ascii="宋体" w:hAnsi="宋体" w:cs="宋体"/>
                <w:sz w:val="18"/>
                <w:szCs w:val="18"/>
              </w:rPr>
            </w:pPr>
            <w:r>
              <w:rPr>
                <w:rFonts w:hint="eastAsia" w:ascii="宋体" w:hAnsi="宋体" w:cs="宋体"/>
                <w:sz w:val="18"/>
                <w:szCs w:val="18"/>
              </w:rPr>
              <w:t>86寸交互平板</w:t>
            </w:r>
          </w:p>
        </w:tc>
        <w:tc>
          <w:tcPr>
            <w:tcW w:w="1134"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台</w:t>
            </w:r>
          </w:p>
        </w:tc>
        <w:tc>
          <w:tcPr>
            <w:tcW w:w="1985"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9</w:t>
            </w:r>
          </w:p>
        </w:tc>
        <w:tc>
          <w:tcPr>
            <w:tcW w:w="1984" w:type="dxa"/>
            <w:vAlign w:val="center"/>
          </w:tcPr>
          <w:p>
            <w:pPr>
              <w:widowControl/>
              <w:jc w:val="center"/>
              <w:textAlignment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3</w:t>
            </w:r>
          </w:p>
        </w:tc>
        <w:tc>
          <w:tcPr>
            <w:tcW w:w="3017" w:type="dxa"/>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壁挂式展台</w:t>
            </w:r>
          </w:p>
        </w:tc>
        <w:tc>
          <w:tcPr>
            <w:tcW w:w="1134"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只</w:t>
            </w:r>
          </w:p>
        </w:tc>
        <w:tc>
          <w:tcPr>
            <w:tcW w:w="1985"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360</w:t>
            </w:r>
          </w:p>
        </w:tc>
        <w:tc>
          <w:tcPr>
            <w:tcW w:w="1984"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4</w:t>
            </w:r>
          </w:p>
        </w:tc>
        <w:tc>
          <w:tcPr>
            <w:tcW w:w="3017" w:type="dxa"/>
            <w:vAlign w:val="center"/>
          </w:tcPr>
          <w:p>
            <w:pPr>
              <w:widowControl/>
              <w:jc w:val="center"/>
              <w:textAlignment w:val="center"/>
              <w:rPr>
                <w:rFonts w:ascii="宋体" w:hAnsi="宋体" w:cs="宋体"/>
                <w:sz w:val="18"/>
                <w:szCs w:val="18"/>
              </w:rPr>
            </w:pPr>
            <w:r>
              <w:rPr>
                <w:rFonts w:hint="eastAsia" w:ascii="宋体" w:hAnsi="宋体" w:cs="宋体"/>
                <w:sz w:val="18"/>
                <w:szCs w:val="18"/>
              </w:rPr>
              <w:t>四推拉绿板</w:t>
            </w:r>
          </w:p>
        </w:tc>
        <w:tc>
          <w:tcPr>
            <w:tcW w:w="1134" w:type="dxa"/>
            <w:vAlign w:val="center"/>
          </w:tcPr>
          <w:p>
            <w:pPr>
              <w:widowControl/>
              <w:jc w:val="center"/>
              <w:textAlignment w:val="center"/>
              <w:rPr>
                <w:rFonts w:ascii="宋体" w:hAnsi="宋体" w:cs="宋体"/>
                <w:sz w:val="18"/>
                <w:szCs w:val="18"/>
              </w:rPr>
            </w:pPr>
            <w:r>
              <w:rPr>
                <w:rFonts w:hint="eastAsia" w:ascii="宋体" w:hAnsi="宋体" w:cs="宋体"/>
                <w:sz w:val="18"/>
                <w:szCs w:val="18"/>
              </w:rPr>
              <w:t>块</w:t>
            </w:r>
          </w:p>
        </w:tc>
        <w:tc>
          <w:tcPr>
            <w:tcW w:w="1985"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359</w:t>
            </w:r>
          </w:p>
        </w:tc>
        <w:tc>
          <w:tcPr>
            <w:tcW w:w="1984"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5</w:t>
            </w:r>
          </w:p>
        </w:tc>
        <w:tc>
          <w:tcPr>
            <w:tcW w:w="3017" w:type="dxa"/>
            <w:vAlign w:val="center"/>
          </w:tcPr>
          <w:p>
            <w:pPr>
              <w:widowControl/>
              <w:jc w:val="center"/>
              <w:textAlignment w:val="center"/>
              <w:rPr>
                <w:rFonts w:ascii="宋体" w:hAnsi="宋体" w:cs="宋体"/>
                <w:sz w:val="18"/>
                <w:szCs w:val="18"/>
              </w:rPr>
            </w:pPr>
            <w:r>
              <w:rPr>
                <w:rFonts w:hint="eastAsia" w:ascii="宋体" w:hAnsi="宋体" w:cs="宋体"/>
                <w:sz w:val="18"/>
                <w:szCs w:val="18"/>
              </w:rPr>
              <w:t>移动支架</w:t>
            </w:r>
          </w:p>
        </w:tc>
        <w:tc>
          <w:tcPr>
            <w:tcW w:w="1134"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只</w:t>
            </w:r>
          </w:p>
        </w:tc>
        <w:tc>
          <w:tcPr>
            <w:tcW w:w="1985" w:type="dxa"/>
            <w:vAlign w:val="center"/>
          </w:tcPr>
          <w:p>
            <w:pPr>
              <w:widowControl/>
              <w:jc w:val="center"/>
              <w:textAlignment w:val="center"/>
              <w:rPr>
                <w:rFonts w:ascii="宋体" w:hAnsi="宋体" w:cs="宋体"/>
                <w:color w:val="auto"/>
                <w:sz w:val="18"/>
                <w:szCs w:val="18"/>
              </w:rPr>
            </w:pPr>
            <w:r>
              <w:rPr>
                <w:rFonts w:hint="eastAsia" w:ascii="宋体" w:hAnsi="宋体" w:cs="宋体"/>
                <w:color w:val="auto"/>
                <w:sz w:val="18"/>
                <w:szCs w:val="18"/>
              </w:rPr>
              <w:t>9</w:t>
            </w:r>
          </w:p>
        </w:tc>
        <w:tc>
          <w:tcPr>
            <w:tcW w:w="1984" w:type="dxa"/>
            <w:vAlign w:val="center"/>
          </w:tcPr>
          <w:p>
            <w:pPr>
              <w:widowControl/>
              <w:jc w:val="center"/>
              <w:textAlignment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6</w:t>
            </w:r>
          </w:p>
        </w:tc>
        <w:tc>
          <w:tcPr>
            <w:tcW w:w="3017" w:type="dxa"/>
            <w:vAlign w:val="center"/>
          </w:tcPr>
          <w:p>
            <w:pPr>
              <w:jc w:val="center"/>
              <w:rPr>
                <w:rFonts w:ascii="宋体" w:cs="宋体"/>
                <w:sz w:val="18"/>
                <w:szCs w:val="18"/>
              </w:rPr>
            </w:pPr>
            <w:r>
              <w:rPr>
                <w:rFonts w:hint="eastAsia" w:ascii="宋体" w:hAnsi="宋体" w:cs="宋体"/>
                <w:sz w:val="18"/>
                <w:szCs w:val="18"/>
              </w:rPr>
              <w:t>安装及附件</w:t>
            </w:r>
          </w:p>
        </w:tc>
        <w:tc>
          <w:tcPr>
            <w:tcW w:w="1134" w:type="dxa"/>
            <w:vAlign w:val="center"/>
          </w:tcPr>
          <w:p>
            <w:pPr>
              <w:widowControl/>
              <w:jc w:val="center"/>
              <w:textAlignment w:val="center"/>
              <w:rPr>
                <w:rFonts w:ascii="宋体" w:hAnsi="宋体" w:cs="宋体"/>
                <w:bCs/>
                <w:sz w:val="18"/>
                <w:szCs w:val="18"/>
              </w:rPr>
            </w:pPr>
            <w:r>
              <w:rPr>
                <w:rFonts w:hint="eastAsia" w:ascii="宋体" w:hAnsi="宋体" w:cs="宋体"/>
                <w:bCs/>
                <w:sz w:val="18"/>
                <w:szCs w:val="18"/>
              </w:rPr>
              <w:t>批</w:t>
            </w:r>
          </w:p>
        </w:tc>
        <w:tc>
          <w:tcPr>
            <w:tcW w:w="1985" w:type="dxa"/>
            <w:vAlign w:val="center"/>
          </w:tcPr>
          <w:p>
            <w:pPr>
              <w:jc w:val="center"/>
              <w:rPr>
                <w:rFonts w:ascii="宋体" w:cs="宋体"/>
                <w:sz w:val="18"/>
                <w:szCs w:val="18"/>
              </w:rPr>
            </w:pPr>
            <w:r>
              <w:rPr>
                <w:rFonts w:hint="eastAsia" w:ascii="宋体" w:hAnsi="宋体" w:cs="宋体"/>
                <w:sz w:val="18"/>
                <w:szCs w:val="18"/>
              </w:rPr>
              <w:t>1</w:t>
            </w:r>
          </w:p>
        </w:tc>
        <w:tc>
          <w:tcPr>
            <w:tcW w:w="1984" w:type="dxa"/>
            <w:vAlign w:val="center"/>
          </w:tcPr>
          <w:p>
            <w:pPr>
              <w:jc w:val="center"/>
              <w:rPr>
                <w:rFonts w:ascii="宋体" w:hAnsi="宋体" w:cs="宋体"/>
                <w:sz w:val="18"/>
                <w:szCs w:val="18"/>
              </w:rPr>
            </w:pPr>
            <w:r>
              <w:rPr>
                <w:rFonts w:hint="eastAsia" w:ascii="宋体" w:hAnsi="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786" w:type="dxa"/>
            <w:gridSpan w:val="3"/>
            <w:vAlign w:val="center"/>
          </w:tcPr>
          <w:p>
            <w:pPr>
              <w:widowControl/>
              <w:jc w:val="center"/>
              <w:textAlignment w:val="center"/>
              <w:rPr>
                <w:rFonts w:ascii="宋体" w:hAnsi="宋体" w:cs="宋体"/>
                <w:bCs/>
                <w:sz w:val="18"/>
                <w:szCs w:val="18"/>
              </w:rPr>
            </w:pPr>
            <w:r>
              <w:rPr>
                <w:rFonts w:hint="eastAsia" w:ascii="宋体" w:hAnsi="宋体" w:cs="宋体"/>
                <w:bCs/>
                <w:sz w:val="18"/>
                <w:szCs w:val="18"/>
              </w:rPr>
              <w:t>投标最高限价</w:t>
            </w:r>
          </w:p>
        </w:tc>
        <w:tc>
          <w:tcPr>
            <w:tcW w:w="1985" w:type="dxa"/>
            <w:vAlign w:val="center"/>
          </w:tcPr>
          <w:p>
            <w:pPr>
              <w:jc w:val="center"/>
              <w:rPr>
                <w:rFonts w:ascii="宋体" w:hAnsi="宋体" w:cs="宋体"/>
                <w:sz w:val="18"/>
                <w:szCs w:val="18"/>
              </w:rPr>
            </w:pPr>
            <w:r>
              <w:rPr>
                <w:rFonts w:hint="eastAsia" w:ascii="宋体" w:hAnsi="宋体" w:cs="宋体"/>
                <w:sz w:val="18"/>
                <w:szCs w:val="18"/>
              </w:rPr>
              <w:t>5130000元</w:t>
            </w:r>
          </w:p>
        </w:tc>
        <w:tc>
          <w:tcPr>
            <w:tcW w:w="1984" w:type="dxa"/>
            <w:vAlign w:val="center"/>
          </w:tcPr>
          <w:p>
            <w:pPr>
              <w:jc w:val="center"/>
              <w:rPr>
                <w:rFonts w:ascii="宋体" w:hAnsi="宋体" w:cs="宋体"/>
                <w:sz w:val="18"/>
                <w:szCs w:val="18"/>
              </w:rPr>
            </w:pPr>
            <w:r>
              <w:rPr>
                <w:rFonts w:hint="eastAsia" w:ascii="宋体" w:hAnsi="宋体" w:cs="宋体"/>
                <w:sz w:val="18"/>
                <w:szCs w:val="18"/>
              </w:rPr>
              <w:t>480000元</w:t>
            </w:r>
          </w:p>
        </w:tc>
      </w:tr>
    </w:tbl>
    <w:p/>
    <w:p>
      <w:pPr>
        <w:pStyle w:val="5"/>
        <w:numPr>
          <w:ilvl w:val="0"/>
          <w:numId w:val="0"/>
        </w:numPr>
        <w:spacing w:before="312" w:beforeLines="100" w:after="0" w:line="240" w:lineRule="auto"/>
        <w:rPr>
          <w:rFonts w:ascii="仿宋_GB2312" w:hAnsi="新宋体" w:eastAsia="仿宋_GB2312" w:cs="宋体"/>
          <w:bCs/>
          <w:sz w:val="24"/>
          <w:szCs w:val="24"/>
        </w:rPr>
      </w:pPr>
      <w:r>
        <w:rPr>
          <w:rFonts w:hint="eastAsia" w:ascii="仿宋_GB2312" w:hAnsi="新宋体" w:eastAsia="仿宋_GB2312" w:cs="宋体"/>
          <w:bCs/>
          <w:sz w:val="24"/>
          <w:szCs w:val="24"/>
        </w:rPr>
        <w:t>8.3招标货物参数</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501"/>
        <w:gridCol w:w="5132"/>
        <w:gridCol w:w="666"/>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b/>
                <w:bCs/>
                <w:sz w:val="18"/>
                <w:szCs w:val="18"/>
              </w:rPr>
            </w:pPr>
            <w:r>
              <w:rPr>
                <w:rFonts w:hint="eastAsia" w:ascii="宋体" w:hAnsi="宋体" w:cs="宋体"/>
                <w:b/>
                <w:bCs/>
                <w:sz w:val="18"/>
                <w:szCs w:val="18"/>
              </w:rPr>
              <w:t>序号</w:t>
            </w:r>
          </w:p>
        </w:tc>
        <w:tc>
          <w:tcPr>
            <w:tcW w:w="1501" w:type="dxa"/>
            <w:vAlign w:val="center"/>
          </w:tcPr>
          <w:p>
            <w:pPr>
              <w:jc w:val="center"/>
              <w:rPr>
                <w:rFonts w:ascii="宋体" w:hAnsi="宋体" w:cs="宋体"/>
                <w:b/>
                <w:bCs/>
                <w:sz w:val="18"/>
                <w:szCs w:val="18"/>
              </w:rPr>
            </w:pPr>
            <w:r>
              <w:rPr>
                <w:rFonts w:hint="eastAsia" w:ascii="宋体" w:hAnsi="宋体" w:cs="宋体"/>
                <w:b/>
                <w:bCs/>
                <w:sz w:val="18"/>
                <w:szCs w:val="18"/>
              </w:rPr>
              <w:t>产品名称</w:t>
            </w:r>
          </w:p>
        </w:tc>
        <w:tc>
          <w:tcPr>
            <w:tcW w:w="5132" w:type="dxa"/>
            <w:vAlign w:val="center"/>
          </w:tcPr>
          <w:p>
            <w:pPr>
              <w:jc w:val="center"/>
              <w:rPr>
                <w:rFonts w:ascii="宋体" w:hAnsi="宋体" w:cs="宋体"/>
                <w:b/>
                <w:bCs/>
                <w:sz w:val="18"/>
                <w:szCs w:val="18"/>
              </w:rPr>
            </w:pPr>
            <w:r>
              <w:rPr>
                <w:rFonts w:hint="eastAsia" w:ascii="宋体" w:hAnsi="宋体" w:cs="宋体"/>
                <w:b/>
                <w:bCs/>
                <w:sz w:val="18"/>
                <w:szCs w:val="18"/>
              </w:rPr>
              <w:t>技术参数</w:t>
            </w:r>
          </w:p>
        </w:tc>
        <w:tc>
          <w:tcPr>
            <w:tcW w:w="666" w:type="dxa"/>
            <w:vAlign w:val="center"/>
          </w:tcPr>
          <w:p>
            <w:pPr>
              <w:jc w:val="center"/>
              <w:rPr>
                <w:rFonts w:ascii="宋体" w:hAnsi="宋体" w:cs="宋体"/>
                <w:b/>
                <w:bCs/>
                <w:sz w:val="18"/>
                <w:szCs w:val="18"/>
              </w:rPr>
            </w:pPr>
            <w:r>
              <w:rPr>
                <w:rFonts w:hint="eastAsia" w:ascii="宋体" w:hAnsi="宋体" w:cs="宋体"/>
                <w:b/>
                <w:bCs/>
                <w:sz w:val="18"/>
                <w:szCs w:val="18"/>
              </w:rPr>
              <w:t>数量</w:t>
            </w:r>
          </w:p>
        </w:tc>
        <w:tc>
          <w:tcPr>
            <w:tcW w:w="625" w:type="dxa"/>
            <w:vAlign w:val="center"/>
          </w:tcPr>
          <w:p>
            <w:pPr>
              <w:jc w:val="center"/>
              <w:rPr>
                <w:rFonts w:ascii="宋体" w:hAnsi="宋体" w:cs="宋体"/>
                <w:b/>
                <w:bCs/>
                <w:sz w:val="18"/>
                <w:szCs w:val="18"/>
              </w:rPr>
            </w:pPr>
            <w:r>
              <w:rPr>
                <w:rFonts w:hint="eastAsia" w:ascii="宋体" w:hAnsi="宋体" w:cs="宋体"/>
                <w:b/>
                <w:bCs/>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1</w:t>
            </w:r>
          </w:p>
        </w:tc>
        <w:tc>
          <w:tcPr>
            <w:tcW w:w="1501" w:type="dxa"/>
            <w:vAlign w:val="center"/>
          </w:tcPr>
          <w:p>
            <w:pPr>
              <w:widowControl/>
              <w:jc w:val="left"/>
              <w:textAlignment w:val="center"/>
              <w:rPr>
                <w:rFonts w:ascii="宋体" w:hAnsi="宋体" w:cs="宋体"/>
                <w:sz w:val="18"/>
                <w:szCs w:val="18"/>
              </w:rPr>
            </w:pPr>
            <w:r>
              <w:rPr>
                <w:rFonts w:hint="eastAsia" w:ascii="宋体" w:hAnsi="宋体" w:cs="宋体"/>
                <w:sz w:val="18"/>
                <w:szCs w:val="18"/>
              </w:rPr>
              <w:t>75寸交互平板</w:t>
            </w:r>
          </w:p>
        </w:tc>
        <w:tc>
          <w:tcPr>
            <w:tcW w:w="5132" w:type="dxa"/>
          </w:tcPr>
          <w:p>
            <w:pPr>
              <w:autoSpaceDE w:val="0"/>
              <w:autoSpaceDN w:val="0"/>
              <w:adjustRightInd w:val="0"/>
              <w:rPr>
                <w:rFonts w:ascii="宋体" w:cs="宋体"/>
                <w:kern w:val="0"/>
                <w:sz w:val="18"/>
                <w:szCs w:val="18"/>
                <w:lang w:val="zh-CN"/>
              </w:rPr>
            </w:pPr>
            <w:r>
              <w:rPr>
                <w:rFonts w:hint="eastAsia" w:ascii="宋体" w:hAnsi="宋体" w:cs="宋体"/>
                <w:kern w:val="0"/>
                <w:sz w:val="18"/>
                <w:szCs w:val="18"/>
                <w:lang w:val="zh-CN"/>
              </w:rPr>
              <w:t>交互式书写屏：</w:t>
            </w:r>
          </w:p>
          <w:p>
            <w:pPr>
              <w:autoSpaceDE w:val="0"/>
              <w:autoSpaceDN w:val="0"/>
              <w:adjustRightInd w:val="0"/>
              <w:rPr>
                <w:rFonts w:ascii="宋体" w:cs="宋体"/>
                <w:kern w:val="0"/>
                <w:sz w:val="18"/>
                <w:szCs w:val="18"/>
                <w:lang w:val="zh-CN"/>
              </w:rPr>
            </w:pPr>
            <w:r>
              <w:rPr>
                <w:rFonts w:hint="eastAsia" w:ascii="宋体" w:hAnsi="宋体" w:cs="宋体"/>
                <w:kern w:val="0"/>
                <w:sz w:val="18"/>
                <w:szCs w:val="18"/>
                <w:lang w:val="zh-CN"/>
              </w:rPr>
              <w:t>一、整体设计要求</w:t>
            </w:r>
          </w:p>
          <w:p>
            <w:pPr>
              <w:autoSpaceDE w:val="0"/>
              <w:autoSpaceDN w:val="0"/>
              <w:adjustRightInd w:val="0"/>
              <w:jc w:val="left"/>
              <w:rPr>
                <w:rFonts w:ascii="宋体" w:cs="宋体"/>
                <w:kern w:val="0"/>
                <w:sz w:val="18"/>
                <w:szCs w:val="18"/>
                <w:lang w:val="zh-CN"/>
              </w:rPr>
            </w:pPr>
            <w:r>
              <w:rPr>
                <w:rFonts w:ascii="宋体" w:hAnsi="宋体" w:cs="宋体"/>
                <w:kern w:val="0"/>
                <w:sz w:val="18"/>
                <w:szCs w:val="18"/>
                <w:lang w:val="zh-CN"/>
              </w:rPr>
              <w:t>1</w:t>
            </w:r>
            <w:r>
              <w:rPr>
                <w:rFonts w:hint="eastAsia" w:ascii="宋体" w:hAnsi="宋体" w:cs="宋体"/>
                <w:kern w:val="0"/>
                <w:sz w:val="18"/>
                <w:szCs w:val="18"/>
              </w:rPr>
              <w:t>.</w:t>
            </w:r>
            <w:r>
              <w:rPr>
                <w:rFonts w:hint="eastAsia" w:ascii="宋体" w:hAnsi="宋体" w:cs="宋体"/>
                <w:kern w:val="0"/>
                <w:sz w:val="18"/>
                <w:szCs w:val="18"/>
                <w:lang w:val="zh-CN"/>
              </w:rPr>
              <w:t>内置一体化设计，外部无任何可见内部功能模块的连接线。</w:t>
            </w:r>
          </w:p>
          <w:p>
            <w:pPr>
              <w:autoSpaceDE w:val="0"/>
              <w:autoSpaceDN w:val="0"/>
              <w:adjustRightInd w:val="0"/>
              <w:jc w:val="left"/>
              <w:rPr>
                <w:rFonts w:ascii="宋体" w:cs="宋体"/>
                <w:kern w:val="0"/>
                <w:sz w:val="18"/>
                <w:szCs w:val="18"/>
                <w:lang w:val="zh-CN"/>
              </w:rPr>
            </w:pPr>
            <w:r>
              <w:rPr>
                <w:rFonts w:ascii="宋体" w:hAnsi="宋体" w:cs="宋体"/>
                <w:kern w:val="0"/>
                <w:sz w:val="18"/>
                <w:szCs w:val="18"/>
                <w:lang w:val="zh-CN"/>
              </w:rPr>
              <w:t>2.</w:t>
            </w:r>
            <w:r>
              <w:rPr>
                <w:rFonts w:hint="eastAsia" w:ascii="宋体" w:hAnsi="宋体" w:cs="宋体"/>
                <w:kern w:val="0"/>
                <w:sz w:val="18"/>
                <w:szCs w:val="18"/>
                <w:lang w:val="zh-CN"/>
              </w:rPr>
              <w:t>触控一体机钢化玻璃表面硬度≥9H。</w:t>
            </w:r>
          </w:p>
          <w:p>
            <w:pPr>
              <w:autoSpaceDE w:val="0"/>
              <w:autoSpaceDN w:val="0"/>
              <w:adjustRightInd w:val="0"/>
              <w:jc w:val="left"/>
              <w:rPr>
                <w:rFonts w:ascii="宋体" w:hAnsi="宋体" w:cs="宋体"/>
                <w:kern w:val="0"/>
                <w:sz w:val="18"/>
                <w:szCs w:val="18"/>
              </w:rPr>
            </w:pPr>
            <w:r>
              <w:rPr>
                <w:rFonts w:ascii="宋体" w:hAnsi="宋体" w:cs="宋体"/>
                <w:kern w:val="0"/>
                <w:sz w:val="18"/>
                <w:szCs w:val="18"/>
              </w:rPr>
              <w:t>4</w:t>
            </w:r>
            <w:r>
              <w:rPr>
                <w:rFonts w:hint="eastAsia" w:ascii="宋体" w:hAnsi="宋体" w:cs="宋体"/>
                <w:kern w:val="0"/>
                <w:sz w:val="18"/>
                <w:szCs w:val="18"/>
              </w:rPr>
              <w:t>.</w:t>
            </w:r>
            <w:r>
              <w:rPr>
                <w:rFonts w:hint="eastAsia" w:ascii="宋体" w:hAnsi="宋体" w:cs="宋体"/>
                <w:kern w:val="0"/>
                <w:sz w:val="18"/>
                <w:szCs w:val="18"/>
                <w:lang w:val="zh-CN"/>
              </w:rPr>
              <w:t>整机经过产品可靠性检验，</w:t>
            </w:r>
            <w:r>
              <w:rPr>
                <w:rFonts w:ascii="宋体" w:hAnsi="宋体" w:cs="宋体"/>
                <w:kern w:val="0"/>
                <w:sz w:val="18"/>
                <w:szCs w:val="18"/>
                <w:lang w:val="zh-CN"/>
              </w:rPr>
              <w:t>MTBF</w:t>
            </w:r>
            <w:r>
              <w:rPr>
                <w:rFonts w:hint="eastAsia" w:ascii="宋体" w:hAnsi="宋体" w:cs="宋体"/>
                <w:kern w:val="0"/>
                <w:sz w:val="18"/>
                <w:szCs w:val="18"/>
                <w:lang w:val="zh-CN"/>
              </w:rPr>
              <w:t>大于</w:t>
            </w:r>
            <w:r>
              <w:rPr>
                <w:rFonts w:ascii="宋体" w:hAnsi="宋体" w:cs="宋体"/>
                <w:kern w:val="0"/>
                <w:sz w:val="18"/>
                <w:szCs w:val="18"/>
              </w:rPr>
              <w:t>10</w:t>
            </w:r>
            <w:r>
              <w:rPr>
                <w:rFonts w:ascii="宋体" w:cs="宋体"/>
                <w:kern w:val="0"/>
                <w:sz w:val="18"/>
                <w:szCs w:val="18"/>
                <w:lang w:val="zh-CN"/>
              </w:rPr>
              <w:t>0000</w:t>
            </w:r>
            <w:r>
              <w:rPr>
                <w:rFonts w:hint="eastAsia" w:ascii="宋体" w:hAnsi="宋体" w:cs="宋体"/>
                <w:kern w:val="0"/>
                <w:sz w:val="18"/>
                <w:szCs w:val="18"/>
                <w:lang w:val="zh-CN"/>
              </w:rPr>
              <w:t>小时</w:t>
            </w:r>
            <w:r>
              <w:rPr>
                <w:rFonts w:hint="eastAsia" w:ascii="宋体" w:hAnsi="宋体" w:cs="宋体"/>
                <w:kern w:val="0"/>
                <w:sz w:val="18"/>
                <w:szCs w:val="18"/>
              </w:rPr>
              <w:t>。</w:t>
            </w:r>
          </w:p>
          <w:p>
            <w:pPr>
              <w:autoSpaceDE w:val="0"/>
              <w:autoSpaceDN w:val="0"/>
              <w:adjustRightInd w:val="0"/>
              <w:jc w:val="left"/>
              <w:rPr>
                <w:rFonts w:ascii="宋体" w:cs="宋体"/>
                <w:kern w:val="0"/>
                <w:sz w:val="18"/>
                <w:szCs w:val="18"/>
                <w:lang w:val="zh-CN"/>
              </w:rPr>
            </w:pPr>
            <w:r>
              <w:rPr>
                <w:rFonts w:ascii="宋体" w:hAnsi="宋体" w:cs="宋体"/>
                <w:kern w:val="0"/>
                <w:sz w:val="18"/>
                <w:szCs w:val="18"/>
                <w:lang w:val="zh-CN"/>
              </w:rPr>
              <w:t>5</w:t>
            </w:r>
            <w:r>
              <w:rPr>
                <w:rFonts w:hint="eastAsia" w:ascii="宋体" w:hAnsi="宋体" w:cs="宋体"/>
                <w:kern w:val="0"/>
                <w:sz w:val="18"/>
                <w:szCs w:val="18"/>
              </w:rPr>
              <w:t>.</w:t>
            </w:r>
            <w:r>
              <w:rPr>
                <w:rFonts w:hint="eastAsia" w:ascii="宋体" w:hAnsi="宋体" w:cs="宋体"/>
                <w:kern w:val="0"/>
                <w:sz w:val="18"/>
                <w:szCs w:val="18"/>
                <w:lang w:val="zh-CN"/>
              </w:rPr>
              <w:t>整机通过触摸、按键或</w:t>
            </w:r>
            <w:r>
              <w:rPr>
                <w:rFonts w:ascii="宋体" w:hAnsi="宋体" w:cs="宋体"/>
                <w:kern w:val="0"/>
                <w:sz w:val="18"/>
                <w:szCs w:val="18"/>
                <w:lang w:val="zh-CN"/>
              </w:rPr>
              <w:t>U</w:t>
            </w:r>
            <w:r>
              <w:rPr>
                <w:rFonts w:hint="eastAsia" w:ascii="宋体" w:hAnsi="宋体" w:cs="宋体"/>
                <w:kern w:val="0"/>
                <w:sz w:val="18"/>
                <w:szCs w:val="18"/>
                <w:lang w:val="zh-CN"/>
              </w:rPr>
              <w:t>盘等方式进行锁定和解锁操作，使设备可控可管理。</w:t>
            </w:r>
          </w:p>
          <w:p>
            <w:pPr>
              <w:autoSpaceDE w:val="0"/>
              <w:autoSpaceDN w:val="0"/>
              <w:adjustRightInd w:val="0"/>
              <w:jc w:val="left"/>
              <w:rPr>
                <w:rFonts w:ascii="宋体" w:cs="宋体"/>
                <w:kern w:val="0"/>
                <w:sz w:val="18"/>
                <w:szCs w:val="18"/>
                <w:lang w:val="zh-CN"/>
              </w:rPr>
            </w:pPr>
            <w:r>
              <w:rPr>
                <w:rFonts w:ascii="宋体" w:hAnsi="宋体" w:cs="宋体"/>
                <w:kern w:val="0"/>
                <w:sz w:val="18"/>
                <w:szCs w:val="18"/>
              </w:rPr>
              <w:t>6.</w:t>
            </w:r>
            <w:r>
              <w:rPr>
                <w:rFonts w:hint="eastAsia" w:ascii="宋体" w:hAnsi="宋体" w:cs="宋体"/>
                <w:kern w:val="0"/>
                <w:sz w:val="18"/>
                <w:szCs w:val="18"/>
                <w:lang w:val="zh-CN"/>
              </w:rPr>
              <w:t>电视开关和电脑开关二合一，一键操作实现整机开关机。</w:t>
            </w:r>
          </w:p>
          <w:p>
            <w:pPr>
              <w:autoSpaceDE w:val="0"/>
              <w:autoSpaceDN w:val="0"/>
              <w:adjustRightInd w:val="0"/>
              <w:jc w:val="left"/>
              <w:rPr>
                <w:rFonts w:ascii="宋体" w:cs="宋体"/>
                <w:kern w:val="0"/>
                <w:sz w:val="18"/>
                <w:szCs w:val="18"/>
                <w:lang w:val="zh-CN"/>
              </w:rPr>
            </w:pPr>
            <w:r>
              <w:rPr>
                <w:rFonts w:hint="eastAsia" w:ascii="宋体" w:hAnsi="宋体" w:cs="宋体"/>
                <w:kern w:val="0"/>
                <w:sz w:val="18"/>
                <w:szCs w:val="18"/>
              </w:rPr>
              <w:t>7.</w:t>
            </w:r>
            <w:r>
              <w:rPr>
                <w:rFonts w:hint="eastAsia" w:ascii="宋体" w:hAnsi="宋体" w:cs="宋体"/>
                <w:kern w:val="0"/>
                <w:sz w:val="18"/>
                <w:szCs w:val="18"/>
                <w:lang w:val="zh-CN"/>
              </w:rPr>
              <w:t>一键节能，在节能待机状态下可实现节能</w:t>
            </w:r>
            <w:r>
              <w:rPr>
                <w:rFonts w:ascii="宋体" w:hAnsi="宋体" w:cs="宋体"/>
                <w:kern w:val="0"/>
                <w:sz w:val="18"/>
                <w:szCs w:val="18"/>
                <w:lang w:val="zh-CN"/>
              </w:rPr>
              <w:t>70%</w:t>
            </w:r>
            <w:r>
              <w:rPr>
                <w:rFonts w:hint="eastAsia" w:ascii="宋体" w:hAnsi="宋体" w:cs="宋体"/>
                <w:kern w:val="0"/>
                <w:sz w:val="18"/>
                <w:szCs w:val="18"/>
                <w:lang w:val="zh-CN"/>
              </w:rPr>
              <w:t>以上。</w:t>
            </w:r>
          </w:p>
          <w:p>
            <w:pPr>
              <w:autoSpaceDE w:val="0"/>
              <w:autoSpaceDN w:val="0"/>
              <w:adjustRightInd w:val="0"/>
              <w:jc w:val="left"/>
              <w:rPr>
                <w:rFonts w:ascii="宋体" w:hAnsi="宋体" w:cs="宋体"/>
                <w:kern w:val="0"/>
                <w:sz w:val="18"/>
                <w:szCs w:val="18"/>
                <w:lang w:val="zh-CN"/>
              </w:rPr>
            </w:pPr>
            <w:r>
              <w:rPr>
                <w:rFonts w:ascii="宋体" w:hAnsi="宋体" w:cs="宋体"/>
                <w:kern w:val="0"/>
                <w:sz w:val="18"/>
                <w:szCs w:val="18"/>
              </w:rPr>
              <w:t>8</w:t>
            </w:r>
            <w:r>
              <w:rPr>
                <w:rFonts w:hint="eastAsia" w:ascii="宋体" w:hAnsi="宋体" w:cs="宋体"/>
                <w:kern w:val="0"/>
                <w:sz w:val="18"/>
                <w:szCs w:val="18"/>
              </w:rPr>
              <w:t>.</w:t>
            </w:r>
            <w:r>
              <w:rPr>
                <w:rFonts w:hint="eastAsia" w:ascii="宋体" w:hAnsi="宋体" w:cs="宋体"/>
                <w:kern w:val="0"/>
                <w:sz w:val="18"/>
                <w:szCs w:val="18"/>
                <w:lang w:val="zh-CN"/>
              </w:rPr>
              <w:t>当老师外接笔记本时，设备能（自动）识别并切换到对应视频信号通道，且断开后能回到内置电脑通道。</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lang w:val="zh-CN"/>
              </w:rPr>
              <w:t>9.▲</w:t>
            </w:r>
            <w:r>
              <w:rPr>
                <w:rFonts w:hint="eastAsia" w:ascii="宋体" w:hAnsi="宋体" w:cs="宋体"/>
                <w:kern w:val="0"/>
                <w:sz w:val="18"/>
                <w:szCs w:val="18"/>
              </w:rPr>
              <w:t>支持</w:t>
            </w:r>
            <w:r>
              <w:rPr>
                <w:rFonts w:hint="eastAsia" w:ascii="宋体" w:hAnsi="宋体" w:cs="宋体"/>
                <w:kern w:val="0"/>
                <w:sz w:val="18"/>
                <w:szCs w:val="18"/>
                <w:lang w:val="zh-CN"/>
              </w:rPr>
              <w:t>具有NFC功能的手机、平板，无需通过软件可投屏至一体机，</w:t>
            </w:r>
            <w:r>
              <w:rPr>
                <w:rFonts w:hint="eastAsia" w:ascii="宋体" w:hAnsi="宋体" w:cs="宋体"/>
                <w:kern w:val="0"/>
                <w:sz w:val="18"/>
                <w:szCs w:val="18"/>
              </w:rPr>
              <w:t>并</w:t>
            </w:r>
            <w:r>
              <w:rPr>
                <w:rFonts w:hint="eastAsia" w:ascii="宋体" w:hAnsi="宋体" w:cs="宋体"/>
                <w:kern w:val="0"/>
                <w:sz w:val="18"/>
                <w:szCs w:val="18"/>
                <w:lang w:val="zh-CN"/>
              </w:rPr>
              <w:t>支持至少4台</w:t>
            </w:r>
            <w:r>
              <w:rPr>
                <w:rFonts w:hint="eastAsia" w:ascii="宋体" w:hAnsi="宋体" w:cs="宋体"/>
                <w:kern w:val="0"/>
                <w:sz w:val="18"/>
                <w:szCs w:val="18"/>
              </w:rPr>
              <w:t>设备</w:t>
            </w:r>
            <w:r>
              <w:rPr>
                <w:rFonts w:hint="eastAsia" w:ascii="宋体" w:hAnsi="宋体" w:cs="宋体"/>
                <w:kern w:val="0"/>
                <w:sz w:val="18"/>
                <w:szCs w:val="18"/>
                <w:lang w:val="zh-CN"/>
              </w:rPr>
              <w:t>同步显示和连接</w:t>
            </w:r>
            <w:r>
              <w:rPr>
                <w:rFonts w:hint="eastAsia" w:ascii="宋体" w:hAnsi="宋体" w:cs="宋体"/>
                <w:kern w:val="0"/>
                <w:sz w:val="18"/>
                <w:szCs w:val="18"/>
              </w:rPr>
              <w:t>就对应实际教学要求</w:t>
            </w:r>
            <w:r>
              <w:rPr>
                <w:rFonts w:hint="eastAsia" w:ascii="宋体" w:hAnsi="宋体" w:cs="宋体"/>
                <w:kern w:val="0"/>
                <w:sz w:val="18"/>
                <w:szCs w:val="18"/>
                <w:lang w:val="zh-CN"/>
              </w:rPr>
              <w:t>。（提供国家级检测机构所出具的权威检测报告复印件并加盖厂家公章）。</w:t>
            </w:r>
          </w:p>
          <w:p>
            <w:pPr>
              <w:autoSpaceDE w:val="0"/>
              <w:autoSpaceDN w:val="0"/>
              <w:adjustRightInd w:val="0"/>
              <w:jc w:val="left"/>
              <w:rPr>
                <w:rFonts w:ascii="宋体" w:hAnsi="宋体" w:cs="宋体"/>
                <w:kern w:val="0"/>
                <w:sz w:val="18"/>
                <w:szCs w:val="18"/>
              </w:rPr>
            </w:pPr>
            <w:r>
              <w:rPr>
                <w:rFonts w:hint="eastAsia" w:ascii="宋体" w:hAnsi="宋体" w:cs="宋体"/>
                <w:kern w:val="0"/>
                <w:sz w:val="18"/>
                <w:szCs w:val="18"/>
              </w:rPr>
              <w:t>10.</w:t>
            </w:r>
            <w:r>
              <w:rPr>
                <w:rFonts w:hint="eastAsia" w:ascii="宋体" w:hAnsi="宋体" w:cs="宋体"/>
                <w:kern w:val="0"/>
                <w:sz w:val="18"/>
                <w:szCs w:val="18"/>
                <w:lang w:val="zh-CN"/>
              </w:rPr>
              <w:t>▲</w:t>
            </w:r>
            <w:r>
              <w:rPr>
                <w:rFonts w:hint="eastAsia" w:ascii="宋体" w:hAnsi="宋体" w:cs="宋体"/>
                <w:kern w:val="0"/>
                <w:sz w:val="18"/>
                <w:szCs w:val="18"/>
              </w:rPr>
              <w:t>具备智能手势识别功能，在任意信号源通道下可识别五指上、下、左、右方向手势滑动并调用响应功能，支持将各手势滑动方向自定义设置为无操作、熄屏、批注、桌面、半屏模式。</w:t>
            </w:r>
            <w:r>
              <w:rPr>
                <w:rFonts w:hint="eastAsia" w:ascii="宋体" w:hAnsi="宋体" w:cs="宋体"/>
                <w:kern w:val="0"/>
                <w:sz w:val="18"/>
                <w:szCs w:val="18"/>
                <w:lang w:val="zh-CN"/>
              </w:rPr>
              <w:t>（提供国家级检测机构所出具的权威检测报告复印件并加盖厂家公章）。</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rPr>
              <w:t>11.</w:t>
            </w:r>
            <w:r>
              <w:rPr>
                <w:rFonts w:hint="eastAsia" w:ascii="宋体" w:hAnsi="宋体" w:cs="宋体"/>
                <w:kern w:val="0"/>
                <w:sz w:val="18"/>
                <w:szCs w:val="18"/>
                <w:lang w:val="zh-CN"/>
              </w:rPr>
              <w:t>▲支持半屏模式，将Windows显示画面上半部分下拉到显示屏的下半部分显示，此时依然可以正常触控操作Windows系统；点击非Windows显示画面区域，即可退出该模式，无需其他设置（提供国家认可的具备CMA及CNAS认证的检测机构所出具的检测报告复印件并加盖公章复印件）。</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rPr>
              <w:t>12.</w:t>
            </w:r>
            <w:r>
              <w:rPr>
                <w:rFonts w:hint="eastAsia" w:ascii="宋体" w:hAnsi="宋体" w:cs="宋体"/>
                <w:kern w:val="0"/>
                <w:sz w:val="18"/>
                <w:szCs w:val="18"/>
                <w:lang w:val="zh-CN"/>
              </w:rPr>
              <w:t>整机具备至少</w:t>
            </w:r>
            <w:r>
              <w:rPr>
                <w:rFonts w:hint="eastAsia" w:ascii="宋体" w:hAnsi="宋体" w:cs="宋体"/>
                <w:kern w:val="0"/>
                <w:sz w:val="18"/>
                <w:szCs w:val="18"/>
              </w:rPr>
              <w:t>2</w:t>
            </w:r>
            <w:r>
              <w:rPr>
                <w:rFonts w:hint="eastAsia" w:ascii="宋体" w:hAnsi="宋体" w:cs="宋体"/>
                <w:kern w:val="0"/>
                <w:sz w:val="18"/>
                <w:szCs w:val="18"/>
                <w:lang w:val="zh-CN"/>
              </w:rPr>
              <w:t>路前置</w:t>
            </w:r>
            <w:r>
              <w:rPr>
                <w:rFonts w:ascii="宋体" w:hAnsi="宋体" w:cs="宋体"/>
                <w:kern w:val="0"/>
                <w:sz w:val="18"/>
                <w:szCs w:val="18"/>
                <w:lang w:val="zh-CN"/>
              </w:rPr>
              <w:t>USB3.0</w:t>
            </w:r>
            <w:r>
              <w:rPr>
                <w:rFonts w:hint="eastAsia" w:ascii="宋体" w:hAnsi="宋体" w:cs="宋体"/>
                <w:kern w:val="0"/>
                <w:sz w:val="18"/>
                <w:szCs w:val="18"/>
                <w:lang w:val="zh-CN"/>
              </w:rPr>
              <w:t>接口</w:t>
            </w:r>
            <w:r>
              <w:rPr>
                <w:rFonts w:ascii="宋体" w:hAnsi="宋体" w:cs="宋体"/>
                <w:kern w:val="0"/>
                <w:sz w:val="18"/>
                <w:szCs w:val="18"/>
                <w:lang w:val="zh-CN"/>
              </w:rPr>
              <w:t>,</w:t>
            </w:r>
            <w:r>
              <w:rPr>
                <w:rFonts w:hint="eastAsia" w:ascii="宋体" w:hAnsi="宋体" w:cs="宋体"/>
                <w:kern w:val="0"/>
                <w:sz w:val="18"/>
                <w:szCs w:val="18"/>
                <w:lang w:val="zh-CN"/>
              </w:rPr>
              <w:t>且前置</w:t>
            </w:r>
            <w:r>
              <w:rPr>
                <w:rFonts w:ascii="宋体" w:hAnsi="宋体" w:cs="宋体"/>
                <w:kern w:val="0"/>
                <w:sz w:val="18"/>
                <w:szCs w:val="18"/>
                <w:lang w:val="zh-CN"/>
              </w:rPr>
              <w:t>USB</w:t>
            </w:r>
            <w:r>
              <w:rPr>
                <w:rFonts w:hint="eastAsia" w:ascii="宋体" w:hAnsi="宋体" w:cs="宋体"/>
                <w:kern w:val="0"/>
                <w:sz w:val="18"/>
                <w:szCs w:val="18"/>
                <w:lang w:val="zh-CN"/>
              </w:rPr>
              <w:t>接口全部支持</w:t>
            </w:r>
            <w:r>
              <w:rPr>
                <w:rFonts w:ascii="宋体" w:hAnsi="宋体" w:cs="宋体"/>
                <w:kern w:val="0"/>
                <w:sz w:val="18"/>
                <w:szCs w:val="18"/>
                <w:lang w:val="zh-CN"/>
              </w:rPr>
              <w:t>Windows</w:t>
            </w:r>
            <w:r>
              <w:rPr>
                <w:rFonts w:hint="eastAsia" w:ascii="宋体" w:hAnsi="宋体" w:cs="宋体"/>
                <w:kern w:val="0"/>
                <w:sz w:val="18"/>
                <w:szCs w:val="18"/>
                <w:lang w:val="zh-CN"/>
              </w:rPr>
              <w:t>及</w:t>
            </w:r>
            <w:r>
              <w:rPr>
                <w:rFonts w:ascii="宋体" w:hAnsi="宋体" w:cs="宋体"/>
                <w:kern w:val="0"/>
                <w:sz w:val="18"/>
                <w:szCs w:val="18"/>
                <w:lang w:val="zh-CN"/>
              </w:rPr>
              <w:t>Android</w:t>
            </w:r>
            <w:r>
              <w:rPr>
                <w:rFonts w:hint="eastAsia" w:ascii="宋体" w:hAnsi="宋体" w:cs="宋体"/>
                <w:kern w:val="0"/>
                <w:sz w:val="18"/>
                <w:szCs w:val="18"/>
                <w:lang w:val="zh-CN"/>
              </w:rPr>
              <w:t>双系统读取，即将</w:t>
            </w:r>
            <w:r>
              <w:rPr>
                <w:rFonts w:ascii="宋体" w:hAnsi="宋体" w:cs="宋体"/>
                <w:kern w:val="0"/>
                <w:sz w:val="18"/>
                <w:szCs w:val="18"/>
                <w:lang w:val="zh-CN"/>
              </w:rPr>
              <w:t>U</w:t>
            </w:r>
            <w:r>
              <w:rPr>
                <w:rFonts w:hint="eastAsia" w:ascii="宋体" w:hAnsi="宋体" w:cs="宋体"/>
                <w:kern w:val="0"/>
                <w:sz w:val="18"/>
                <w:szCs w:val="18"/>
                <w:lang w:val="zh-CN"/>
              </w:rPr>
              <w:t>盘插入任意前置</w:t>
            </w:r>
            <w:r>
              <w:rPr>
                <w:rFonts w:ascii="宋体" w:hAnsi="宋体" w:cs="宋体"/>
                <w:kern w:val="0"/>
                <w:sz w:val="18"/>
                <w:szCs w:val="18"/>
                <w:lang w:val="zh-CN"/>
              </w:rPr>
              <w:t>USB</w:t>
            </w:r>
            <w:r>
              <w:rPr>
                <w:rFonts w:hint="eastAsia" w:ascii="宋体" w:hAnsi="宋体" w:cs="宋体"/>
                <w:kern w:val="0"/>
                <w:sz w:val="18"/>
                <w:szCs w:val="18"/>
                <w:lang w:val="zh-CN"/>
              </w:rPr>
              <w:t>接口，均能被</w:t>
            </w:r>
            <w:r>
              <w:rPr>
                <w:rFonts w:ascii="宋体" w:hAnsi="宋体" w:cs="宋体"/>
                <w:kern w:val="0"/>
                <w:sz w:val="18"/>
                <w:szCs w:val="18"/>
                <w:lang w:val="zh-CN"/>
              </w:rPr>
              <w:t>Windows</w:t>
            </w:r>
            <w:r>
              <w:rPr>
                <w:rFonts w:hint="eastAsia" w:ascii="宋体" w:hAnsi="宋体" w:cs="宋体"/>
                <w:kern w:val="0"/>
                <w:sz w:val="18"/>
                <w:szCs w:val="18"/>
                <w:lang w:val="zh-CN"/>
              </w:rPr>
              <w:t>及</w:t>
            </w:r>
            <w:r>
              <w:rPr>
                <w:rFonts w:ascii="宋体" w:hAnsi="宋体" w:cs="宋体"/>
                <w:kern w:val="0"/>
                <w:sz w:val="18"/>
                <w:szCs w:val="18"/>
                <w:lang w:val="zh-CN"/>
              </w:rPr>
              <w:t>Android</w:t>
            </w:r>
            <w:r>
              <w:rPr>
                <w:rFonts w:hint="eastAsia" w:ascii="宋体" w:hAnsi="宋体" w:cs="宋体"/>
                <w:kern w:val="0"/>
                <w:sz w:val="18"/>
                <w:szCs w:val="18"/>
                <w:lang w:val="zh-CN"/>
              </w:rPr>
              <w:t>系统识别。</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lang w:val="zh-CN"/>
              </w:rPr>
              <w:t>二、电视系统参数</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lang w:val="zh-CN"/>
              </w:rPr>
              <w:t>★</w:t>
            </w:r>
            <w:r>
              <w:rPr>
                <w:rFonts w:ascii="宋体" w:hAnsi="宋体" w:cs="宋体"/>
                <w:kern w:val="0"/>
                <w:sz w:val="18"/>
                <w:szCs w:val="18"/>
                <w:lang w:val="zh-CN"/>
              </w:rPr>
              <w:t>1</w:t>
            </w:r>
            <w:r>
              <w:rPr>
                <w:rFonts w:hint="eastAsia" w:ascii="宋体" w:hAnsi="宋体" w:cs="宋体"/>
                <w:kern w:val="0"/>
                <w:sz w:val="18"/>
                <w:szCs w:val="18"/>
                <w:lang w:val="zh-CN"/>
              </w:rPr>
              <w:t>．屏体类型：</w:t>
            </w:r>
            <w:r>
              <w:rPr>
                <w:rFonts w:ascii="宋体" w:hAnsi="宋体" w:cs="宋体"/>
                <w:kern w:val="0"/>
                <w:sz w:val="18"/>
                <w:szCs w:val="18"/>
                <w:lang w:val="zh-CN"/>
              </w:rPr>
              <w:t>LED</w:t>
            </w:r>
            <w:r>
              <w:rPr>
                <w:rFonts w:hint="eastAsia" w:ascii="宋体" w:hAnsi="宋体" w:cs="宋体"/>
                <w:kern w:val="0"/>
                <w:sz w:val="18"/>
                <w:szCs w:val="18"/>
                <w:lang w:val="zh-CN"/>
              </w:rPr>
              <w:t>背光源</w:t>
            </w:r>
            <w:r>
              <w:rPr>
                <w:rFonts w:ascii="宋体" w:hAnsi="宋体" w:cs="宋体"/>
                <w:kern w:val="0"/>
                <w:sz w:val="18"/>
                <w:szCs w:val="18"/>
              </w:rPr>
              <w:t>7</w:t>
            </w:r>
            <w:r>
              <w:rPr>
                <w:rFonts w:hint="eastAsia" w:ascii="宋体" w:hAnsi="宋体" w:cs="宋体"/>
                <w:kern w:val="0"/>
                <w:sz w:val="18"/>
                <w:szCs w:val="18"/>
              </w:rPr>
              <w:t>5</w:t>
            </w:r>
            <w:r>
              <w:rPr>
                <w:rFonts w:hint="eastAsia" w:ascii="宋体" w:hAnsi="宋体" w:cs="宋体"/>
                <w:kern w:val="0"/>
                <w:sz w:val="18"/>
                <w:szCs w:val="18"/>
                <w:lang w:val="zh-CN"/>
              </w:rPr>
              <w:t>寸液晶屏，显示比例</w:t>
            </w:r>
            <w:r>
              <w:rPr>
                <w:rFonts w:ascii="宋体" w:hAnsi="宋体" w:cs="宋体"/>
                <w:kern w:val="0"/>
                <w:sz w:val="18"/>
                <w:szCs w:val="18"/>
                <w:lang w:val="zh-CN"/>
              </w:rPr>
              <w:t>16:9</w:t>
            </w:r>
            <w:r>
              <w:rPr>
                <w:rFonts w:hint="eastAsia" w:ascii="宋体" w:hAnsi="宋体" w:cs="宋体"/>
                <w:kern w:val="0"/>
                <w:sz w:val="18"/>
                <w:szCs w:val="18"/>
                <w:lang w:val="zh-CN"/>
              </w:rPr>
              <w:t>，物理解析</w:t>
            </w:r>
            <w:r>
              <w:rPr>
                <w:rFonts w:hint="eastAsia" w:ascii="宋体" w:hAnsi="宋体" w:cs="宋体"/>
                <w:kern w:val="0"/>
                <w:sz w:val="18"/>
                <w:szCs w:val="18"/>
              </w:rPr>
              <w:t>3840</w:t>
            </w:r>
            <w:r>
              <w:rPr>
                <w:rFonts w:ascii="宋体" w:hAnsi="宋体" w:cs="宋体"/>
                <w:kern w:val="0"/>
                <w:sz w:val="18"/>
                <w:szCs w:val="18"/>
              </w:rPr>
              <w:t>*</w:t>
            </w:r>
            <w:r>
              <w:rPr>
                <w:rFonts w:hint="eastAsia" w:ascii="宋体" w:hAnsi="宋体" w:cs="宋体"/>
                <w:kern w:val="0"/>
                <w:sz w:val="18"/>
                <w:szCs w:val="18"/>
              </w:rPr>
              <w:t>2160</w:t>
            </w:r>
            <w:r>
              <w:rPr>
                <w:rFonts w:hint="eastAsia" w:ascii="宋体" w:hAnsi="宋体" w:cs="宋体"/>
                <w:kern w:val="0"/>
                <w:sz w:val="18"/>
                <w:szCs w:val="18"/>
                <w:lang w:val="zh-CN"/>
              </w:rPr>
              <w:t>，对比度≥</w:t>
            </w:r>
            <w:r>
              <w:rPr>
                <w:rFonts w:ascii="宋体" w:hAnsi="宋体" w:cs="宋体"/>
                <w:kern w:val="0"/>
                <w:sz w:val="18"/>
                <w:szCs w:val="18"/>
                <w:lang w:val="zh-CN"/>
              </w:rPr>
              <w:t>1200</w:t>
            </w:r>
            <w:r>
              <w:rPr>
                <w:rFonts w:hint="eastAsia" w:ascii="宋体" w:hAnsi="宋体" w:cs="宋体"/>
                <w:kern w:val="0"/>
                <w:sz w:val="18"/>
                <w:szCs w:val="18"/>
                <w:lang w:val="zh-CN"/>
              </w:rPr>
              <w:t>：</w:t>
            </w:r>
            <w:r>
              <w:rPr>
                <w:rFonts w:ascii="宋体" w:hAnsi="宋体" w:cs="宋体"/>
                <w:kern w:val="0"/>
                <w:sz w:val="18"/>
                <w:szCs w:val="18"/>
                <w:lang w:val="zh-CN"/>
              </w:rPr>
              <w:t>1</w:t>
            </w:r>
            <w:r>
              <w:rPr>
                <w:rFonts w:hint="eastAsia" w:ascii="宋体" w:hAnsi="宋体" w:cs="宋体"/>
                <w:kern w:val="0"/>
                <w:sz w:val="18"/>
                <w:szCs w:val="18"/>
                <w:lang w:val="zh-CN"/>
              </w:rPr>
              <w:t>，可视角度≥</w:t>
            </w:r>
            <w:r>
              <w:rPr>
                <w:rFonts w:ascii="宋体" w:hAnsi="宋体" w:cs="宋体"/>
                <w:kern w:val="0"/>
                <w:sz w:val="18"/>
                <w:szCs w:val="18"/>
                <w:lang w:val="zh-CN"/>
              </w:rPr>
              <w:t>178</w:t>
            </w:r>
            <w:r>
              <w:rPr>
                <w:rFonts w:hint="eastAsia" w:ascii="宋体" w:hAnsi="宋体" w:cs="宋体"/>
                <w:kern w:val="0"/>
                <w:sz w:val="18"/>
                <w:szCs w:val="18"/>
                <w:lang w:val="zh-CN"/>
              </w:rPr>
              <w:t>°，支持</w:t>
            </w:r>
            <w:r>
              <w:rPr>
                <w:rFonts w:ascii="宋体" w:hAnsi="宋体" w:cs="宋体"/>
                <w:kern w:val="0"/>
                <w:sz w:val="18"/>
                <w:szCs w:val="18"/>
                <w:lang w:val="zh-CN"/>
              </w:rPr>
              <w:t>4K</w:t>
            </w:r>
            <w:r>
              <w:rPr>
                <w:rFonts w:hint="eastAsia" w:ascii="宋体" w:hAnsi="宋体" w:cs="宋体"/>
                <w:kern w:val="0"/>
                <w:sz w:val="18"/>
                <w:szCs w:val="18"/>
                <w:lang w:val="zh-CN"/>
              </w:rPr>
              <w:t>信号输入。</w:t>
            </w:r>
          </w:p>
          <w:p>
            <w:pPr>
              <w:autoSpaceDE w:val="0"/>
              <w:autoSpaceDN w:val="0"/>
              <w:adjustRightInd w:val="0"/>
              <w:jc w:val="left"/>
              <w:rPr>
                <w:rFonts w:ascii="宋体" w:cs="宋体"/>
                <w:kern w:val="0"/>
                <w:sz w:val="18"/>
                <w:szCs w:val="18"/>
                <w:lang w:val="zh-CN"/>
              </w:rPr>
            </w:pPr>
            <w:r>
              <w:rPr>
                <w:rFonts w:hint="eastAsia" w:ascii="宋体" w:hAnsi="宋体" w:cs="宋体"/>
                <w:kern w:val="0"/>
                <w:sz w:val="18"/>
                <w:szCs w:val="18"/>
                <w:lang w:val="zh-CN"/>
              </w:rPr>
              <w:t>▲</w:t>
            </w:r>
            <w:r>
              <w:rPr>
                <w:rFonts w:hint="eastAsia" w:ascii="宋体" w:hAnsi="宋体" w:cs="宋体"/>
                <w:kern w:val="0"/>
                <w:sz w:val="18"/>
                <w:szCs w:val="18"/>
              </w:rPr>
              <w:t>2.视觉健康：通过由中国标准化研究院制定的视觉舒适度（VICO）体系认证，并达到视觉健康舒适度A 级或以上标准，提供中国标准化研究院或其他国家级社会公益类标准化科研机构出具的证书及测试报告。</w:t>
            </w:r>
          </w:p>
          <w:p>
            <w:pPr>
              <w:autoSpaceDE w:val="0"/>
              <w:autoSpaceDN w:val="0"/>
              <w:adjustRightInd w:val="0"/>
              <w:rPr>
                <w:rFonts w:ascii="宋体" w:cs="宋体"/>
                <w:kern w:val="0"/>
                <w:sz w:val="18"/>
                <w:szCs w:val="18"/>
                <w:lang w:val="zh-CN"/>
              </w:rPr>
            </w:pPr>
            <w:r>
              <w:rPr>
                <w:rFonts w:hint="eastAsia" w:ascii="宋体" w:hAnsi="宋体" w:cs="宋体"/>
                <w:kern w:val="0"/>
                <w:sz w:val="18"/>
                <w:szCs w:val="18"/>
                <w:lang w:val="zh-CN"/>
              </w:rPr>
              <w:t>三、交互式触摸屏参数</w:t>
            </w:r>
          </w:p>
          <w:p>
            <w:pPr>
              <w:autoSpaceDE w:val="0"/>
              <w:autoSpaceDN w:val="0"/>
              <w:adjustRightInd w:val="0"/>
              <w:jc w:val="left"/>
              <w:rPr>
                <w:rFonts w:ascii="宋体" w:cs="宋体"/>
                <w:kern w:val="0"/>
                <w:sz w:val="18"/>
                <w:szCs w:val="18"/>
                <w:lang w:val="zh-CN"/>
              </w:rPr>
            </w:pPr>
            <w:r>
              <w:rPr>
                <w:rFonts w:ascii="宋体" w:hAnsi="宋体" w:cs="宋体"/>
                <w:kern w:val="0"/>
                <w:sz w:val="18"/>
                <w:szCs w:val="18"/>
                <w:lang w:val="zh-CN"/>
              </w:rPr>
              <w:t>1</w:t>
            </w:r>
            <w:r>
              <w:rPr>
                <w:rFonts w:hint="eastAsia" w:ascii="宋体" w:hAnsi="宋体" w:cs="宋体"/>
                <w:kern w:val="0"/>
                <w:sz w:val="18"/>
                <w:szCs w:val="18"/>
              </w:rPr>
              <w:t>.</w:t>
            </w:r>
            <w:r>
              <w:rPr>
                <w:rFonts w:hint="eastAsia" w:ascii="宋体" w:hAnsi="宋体" w:cs="宋体"/>
                <w:kern w:val="0"/>
                <w:sz w:val="18"/>
                <w:szCs w:val="18"/>
                <w:lang w:val="zh-CN"/>
              </w:rPr>
              <w:t>采用红外触控技术，支持在Windows与安卓系统中进行十点触控及十点书写。</w:t>
            </w:r>
          </w:p>
          <w:p>
            <w:pPr>
              <w:autoSpaceDE w:val="0"/>
              <w:autoSpaceDN w:val="0"/>
              <w:adjustRightInd w:val="0"/>
              <w:jc w:val="left"/>
              <w:rPr>
                <w:rFonts w:ascii="宋体" w:cs="宋体"/>
                <w:kern w:val="0"/>
                <w:sz w:val="18"/>
                <w:szCs w:val="18"/>
                <w:lang w:val="zh-CN"/>
              </w:rPr>
            </w:pPr>
            <w:r>
              <w:rPr>
                <w:rFonts w:hint="eastAsia" w:ascii="宋体" w:hAnsi="宋体" w:cs="宋体"/>
                <w:kern w:val="0"/>
                <w:sz w:val="18"/>
                <w:szCs w:val="18"/>
              </w:rPr>
              <w:t>2.</w:t>
            </w:r>
            <w:r>
              <w:rPr>
                <w:rFonts w:hint="eastAsia" w:ascii="宋体" w:hAnsi="宋体" w:cs="宋体"/>
                <w:kern w:val="0"/>
                <w:sz w:val="18"/>
                <w:szCs w:val="18"/>
                <w:lang w:val="zh-CN"/>
              </w:rPr>
              <w:t>书写方式：手指或笔触摸</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rPr>
              <w:t>3.</w:t>
            </w:r>
            <w:r>
              <w:rPr>
                <w:rFonts w:hint="eastAsia" w:ascii="宋体" w:hAnsi="宋体" w:cs="宋体"/>
                <w:kern w:val="0"/>
                <w:sz w:val="18"/>
                <w:szCs w:val="18"/>
                <w:lang w:val="zh-CN"/>
              </w:rPr>
              <w:t>触摸书写流畅，书写延迟时间控制在</w:t>
            </w:r>
            <w:r>
              <w:rPr>
                <w:rFonts w:ascii="宋体" w:hAnsi="宋体" w:cs="宋体"/>
                <w:kern w:val="0"/>
                <w:sz w:val="18"/>
                <w:szCs w:val="18"/>
              </w:rPr>
              <w:t>90</w:t>
            </w:r>
            <w:r>
              <w:rPr>
                <w:rFonts w:ascii="宋体" w:hAnsi="宋体" w:cs="宋体"/>
                <w:kern w:val="0"/>
                <w:sz w:val="18"/>
                <w:szCs w:val="18"/>
                <w:lang w:val="zh-CN"/>
              </w:rPr>
              <w:t>ms</w:t>
            </w:r>
            <w:r>
              <w:rPr>
                <w:rFonts w:hint="eastAsia" w:ascii="宋体" w:hAnsi="宋体" w:cs="宋体"/>
                <w:kern w:val="0"/>
                <w:sz w:val="18"/>
                <w:szCs w:val="18"/>
                <w:lang w:val="zh-CN"/>
              </w:rPr>
              <w:t>以内。</w:t>
            </w:r>
          </w:p>
          <w:p>
            <w:pPr>
              <w:autoSpaceDE w:val="0"/>
              <w:autoSpaceDN w:val="0"/>
              <w:adjustRightInd w:val="0"/>
              <w:jc w:val="left"/>
              <w:rPr>
                <w:rFonts w:ascii="宋体" w:cs="宋体"/>
                <w:kern w:val="0"/>
                <w:sz w:val="18"/>
                <w:szCs w:val="18"/>
                <w:lang w:val="zh-CN"/>
              </w:rPr>
            </w:pPr>
            <w:r>
              <w:rPr>
                <w:rFonts w:hint="eastAsia" w:ascii="宋体" w:hAnsi="宋体" w:cs="宋体"/>
                <w:kern w:val="0"/>
                <w:sz w:val="18"/>
                <w:szCs w:val="18"/>
                <w:lang w:val="zh-CN"/>
              </w:rPr>
              <w:t>四、嵌入式系统参数</w:t>
            </w:r>
          </w:p>
          <w:p>
            <w:pPr>
              <w:autoSpaceDE w:val="0"/>
              <w:autoSpaceDN w:val="0"/>
              <w:adjustRightInd w:val="0"/>
              <w:jc w:val="left"/>
              <w:rPr>
                <w:rFonts w:ascii="宋体" w:cs="宋体"/>
                <w:kern w:val="0"/>
                <w:sz w:val="18"/>
                <w:szCs w:val="18"/>
                <w:lang w:val="zh-CN"/>
              </w:rPr>
            </w:pPr>
            <w:r>
              <w:rPr>
                <w:rFonts w:ascii="宋体" w:hAnsi="宋体" w:cs="宋体"/>
                <w:kern w:val="0"/>
                <w:sz w:val="18"/>
                <w:szCs w:val="18"/>
                <w:lang w:val="zh-CN"/>
              </w:rPr>
              <w:t>1</w:t>
            </w:r>
            <w:r>
              <w:rPr>
                <w:rFonts w:hint="eastAsia" w:ascii="宋体" w:hAnsi="宋体" w:cs="宋体"/>
                <w:kern w:val="0"/>
                <w:sz w:val="18"/>
                <w:szCs w:val="18"/>
              </w:rPr>
              <w:t>.</w:t>
            </w:r>
            <w:r>
              <w:rPr>
                <w:rFonts w:hint="eastAsia" w:ascii="宋体" w:hAnsi="宋体" w:cs="宋体"/>
                <w:kern w:val="0"/>
                <w:sz w:val="18"/>
                <w:szCs w:val="18"/>
                <w:lang w:val="zh-CN"/>
              </w:rPr>
              <w:t>在嵌入式安卓操作系统下，可实现</w:t>
            </w:r>
            <w:r>
              <w:rPr>
                <w:rFonts w:ascii="宋体" w:hAnsi="宋体" w:cs="宋体"/>
                <w:kern w:val="0"/>
                <w:sz w:val="18"/>
                <w:szCs w:val="18"/>
                <w:lang w:val="zh-CN"/>
              </w:rPr>
              <w:t>windows</w:t>
            </w:r>
            <w:r>
              <w:rPr>
                <w:rFonts w:hint="eastAsia" w:ascii="宋体" w:hAnsi="宋体" w:cs="宋体"/>
                <w:kern w:val="0"/>
                <w:sz w:val="18"/>
                <w:szCs w:val="18"/>
                <w:lang w:val="zh-CN"/>
              </w:rPr>
              <w:t>系统中常用的教学应用功能，如白板书写、</w:t>
            </w:r>
            <w:r>
              <w:rPr>
                <w:rFonts w:ascii="宋体" w:hAnsi="宋体" w:cs="宋体"/>
                <w:kern w:val="0"/>
                <w:sz w:val="18"/>
                <w:szCs w:val="18"/>
                <w:lang w:val="zh-CN"/>
              </w:rPr>
              <w:t>Office</w:t>
            </w:r>
            <w:r>
              <w:rPr>
                <w:rFonts w:hint="eastAsia" w:ascii="宋体" w:hAnsi="宋体" w:cs="宋体"/>
                <w:kern w:val="0"/>
                <w:sz w:val="18"/>
                <w:szCs w:val="18"/>
                <w:lang w:val="zh-CN"/>
              </w:rPr>
              <w:t>软件使用、网页浏览等。</w:t>
            </w:r>
          </w:p>
          <w:p>
            <w:pPr>
              <w:autoSpaceDE w:val="0"/>
              <w:autoSpaceDN w:val="0"/>
              <w:adjustRightInd w:val="0"/>
              <w:jc w:val="left"/>
              <w:rPr>
                <w:rFonts w:ascii="宋体" w:cs="宋体"/>
                <w:kern w:val="0"/>
                <w:sz w:val="18"/>
                <w:szCs w:val="18"/>
                <w:lang w:val="zh-CN"/>
              </w:rPr>
            </w:pPr>
            <w:r>
              <w:rPr>
                <w:rFonts w:hint="eastAsia" w:ascii="宋体" w:hAnsi="宋体" w:cs="宋体"/>
                <w:kern w:val="0"/>
                <w:sz w:val="18"/>
                <w:szCs w:val="18"/>
              </w:rPr>
              <w:t>2.</w:t>
            </w:r>
            <w:r>
              <w:rPr>
                <w:rFonts w:hint="eastAsia" w:ascii="宋体" w:hAnsi="宋体" w:cs="宋体"/>
                <w:kern w:val="0"/>
                <w:sz w:val="18"/>
                <w:szCs w:val="18"/>
                <w:lang w:val="zh-CN"/>
              </w:rPr>
              <w:t>在嵌入式安卓操作系统下，能对</w:t>
            </w:r>
            <w:r>
              <w:rPr>
                <w:rFonts w:ascii="宋体" w:hAnsi="宋体" w:cs="宋体"/>
                <w:kern w:val="0"/>
                <w:sz w:val="18"/>
                <w:szCs w:val="18"/>
                <w:lang w:val="zh-CN"/>
              </w:rPr>
              <w:t>TV</w:t>
            </w:r>
            <w:r>
              <w:rPr>
                <w:rFonts w:hint="eastAsia" w:ascii="宋体" w:hAnsi="宋体" w:cs="宋体"/>
                <w:kern w:val="0"/>
                <w:sz w:val="18"/>
                <w:szCs w:val="18"/>
                <w:lang w:val="zh-CN"/>
              </w:rPr>
              <w:t>多媒体</w:t>
            </w:r>
            <w:r>
              <w:rPr>
                <w:rFonts w:ascii="宋体" w:hAnsi="宋体" w:cs="宋体"/>
                <w:kern w:val="0"/>
                <w:sz w:val="18"/>
                <w:szCs w:val="18"/>
                <w:lang w:val="zh-CN"/>
              </w:rPr>
              <w:t>USB</w:t>
            </w:r>
            <w:r>
              <w:rPr>
                <w:rFonts w:hint="eastAsia" w:ascii="宋体" w:hAnsi="宋体" w:cs="宋体"/>
                <w:kern w:val="0"/>
                <w:sz w:val="18"/>
                <w:szCs w:val="18"/>
                <w:lang w:val="zh-CN"/>
              </w:rPr>
              <w:t>所读取到的课件文件进行自动归类，可快速分类查找</w:t>
            </w:r>
            <w:r>
              <w:rPr>
                <w:rFonts w:ascii="宋体" w:hAnsi="宋体" w:cs="宋体"/>
                <w:kern w:val="0"/>
                <w:sz w:val="18"/>
                <w:szCs w:val="18"/>
                <w:lang w:val="zh-CN"/>
              </w:rPr>
              <w:t>office</w:t>
            </w:r>
            <w:r>
              <w:rPr>
                <w:rFonts w:hint="eastAsia" w:ascii="宋体" w:hAnsi="宋体" w:cs="宋体"/>
                <w:kern w:val="0"/>
                <w:sz w:val="18"/>
                <w:szCs w:val="18"/>
                <w:lang w:val="zh-CN"/>
              </w:rPr>
              <w:t>文档、音乐、视频、图片等文件，检索后可直接在界面中打开。</w:t>
            </w:r>
          </w:p>
          <w:p>
            <w:pPr>
              <w:autoSpaceDE w:val="0"/>
              <w:autoSpaceDN w:val="0"/>
              <w:adjustRightInd w:val="0"/>
              <w:jc w:val="left"/>
              <w:rPr>
                <w:rFonts w:ascii="宋体" w:cs="宋体"/>
                <w:kern w:val="0"/>
                <w:sz w:val="18"/>
                <w:szCs w:val="18"/>
                <w:lang w:val="zh-CN"/>
              </w:rPr>
            </w:pPr>
            <w:r>
              <w:rPr>
                <w:rFonts w:hint="eastAsia" w:ascii="宋体" w:hAnsi="宋体" w:cs="宋体"/>
                <w:kern w:val="0"/>
                <w:sz w:val="18"/>
                <w:szCs w:val="18"/>
              </w:rPr>
              <w:t>3.</w:t>
            </w:r>
            <w:r>
              <w:rPr>
                <w:rFonts w:hint="eastAsia" w:ascii="宋体" w:hAnsi="宋体" w:cs="宋体"/>
                <w:kern w:val="0"/>
                <w:sz w:val="18"/>
                <w:szCs w:val="18"/>
                <w:lang w:val="zh-CN"/>
              </w:rPr>
              <w:t>嵌入式互动白板支持五笔或以上书写及手势擦除（手势擦除识别面积根据手势大小自动调整），可调用图片和</w:t>
            </w:r>
            <w:r>
              <w:rPr>
                <w:rFonts w:ascii="宋体" w:hAnsi="宋体" w:cs="宋体"/>
                <w:kern w:val="0"/>
                <w:sz w:val="18"/>
                <w:szCs w:val="18"/>
                <w:lang w:val="zh-CN"/>
              </w:rPr>
              <w:t>USB</w:t>
            </w:r>
            <w:r>
              <w:rPr>
                <w:rFonts w:hint="eastAsia" w:ascii="宋体" w:hAnsi="宋体" w:cs="宋体"/>
                <w:kern w:val="0"/>
                <w:sz w:val="18"/>
                <w:szCs w:val="18"/>
                <w:lang w:val="zh-CN"/>
              </w:rPr>
              <w:t>视频展台画面进行批注展示。</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lang w:val="zh-CN"/>
              </w:rPr>
              <w:t>▲</w:t>
            </w:r>
            <w:r>
              <w:rPr>
                <w:rFonts w:hint="eastAsia" w:ascii="宋体" w:hAnsi="宋体" w:cs="宋体"/>
                <w:kern w:val="0"/>
                <w:sz w:val="18"/>
                <w:szCs w:val="18"/>
              </w:rPr>
              <w:t>4</w:t>
            </w:r>
            <w:r>
              <w:rPr>
                <w:rFonts w:hint="eastAsia" w:ascii="宋体" w:hAnsi="宋体" w:cs="宋体"/>
                <w:kern w:val="0"/>
                <w:sz w:val="18"/>
                <w:szCs w:val="18"/>
                <w:lang w:val="zh-CN"/>
              </w:rPr>
              <w:t>.嵌入式系统版本不低于Android</w:t>
            </w:r>
            <w:r>
              <w:rPr>
                <w:rFonts w:hint="eastAsia" w:ascii="宋体" w:hAnsi="宋体" w:cs="宋体"/>
                <w:kern w:val="0"/>
                <w:sz w:val="18"/>
                <w:szCs w:val="18"/>
              </w:rPr>
              <w:t>11</w:t>
            </w:r>
            <w:r>
              <w:rPr>
                <w:rFonts w:hint="eastAsia" w:ascii="宋体" w:hAnsi="宋体" w:cs="宋体"/>
                <w:kern w:val="0"/>
                <w:sz w:val="18"/>
                <w:szCs w:val="18"/>
                <w:lang w:val="zh-CN"/>
              </w:rPr>
              <w:t>.0，内存≥2GB，存储空间≥8GB。（提供国家级检测机构所出具的权威检测报告复印件并加盖厂家公章）</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rPr>
              <w:t>5.</w:t>
            </w:r>
            <w:r>
              <w:rPr>
                <w:rFonts w:hint="eastAsia" w:ascii="宋体" w:hAnsi="宋体" w:cs="宋体"/>
                <w:kern w:val="0"/>
                <w:sz w:val="18"/>
                <w:szCs w:val="18"/>
                <w:lang w:val="zh-CN"/>
              </w:rPr>
              <w:t>无需借助</w:t>
            </w:r>
            <w:r>
              <w:rPr>
                <w:rFonts w:ascii="宋体" w:hAnsi="宋体" w:cs="宋体"/>
                <w:kern w:val="0"/>
                <w:sz w:val="18"/>
                <w:szCs w:val="18"/>
                <w:lang w:val="zh-CN"/>
              </w:rPr>
              <w:t>PC</w:t>
            </w:r>
            <w:r>
              <w:rPr>
                <w:rFonts w:hint="eastAsia" w:ascii="宋体" w:hAnsi="宋体" w:cs="宋体"/>
                <w:kern w:val="0"/>
                <w:sz w:val="18"/>
                <w:szCs w:val="18"/>
                <w:lang w:val="zh-CN"/>
              </w:rPr>
              <w:t>，整机可一键进行硬件自检，包括对系统硬盘、系统内存、触摸框、</w:t>
            </w:r>
            <w:r>
              <w:rPr>
                <w:rFonts w:ascii="宋体" w:hAnsi="宋体" w:cs="宋体"/>
                <w:kern w:val="0"/>
                <w:sz w:val="18"/>
                <w:szCs w:val="18"/>
                <w:lang w:val="zh-CN"/>
              </w:rPr>
              <w:t>PC</w:t>
            </w:r>
            <w:r>
              <w:rPr>
                <w:rFonts w:hint="eastAsia" w:ascii="宋体" w:hAnsi="宋体" w:cs="宋体"/>
                <w:kern w:val="0"/>
                <w:sz w:val="18"/>
                <w:szCs w:val="18"/>
                <w:lang w:val="zh-CN"/>
              </w:rPr>
              <w:t>模块、光感系统等模块进行检测，并针对不同模块给出问题原因提示，检测结果可直接获得在线客服技术支持。</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lang w:val="zh-CN"/>
              </w:rPr>
              <w:t>▲</w:t>
            </w:r>
            <w:r>
              <w:rPr>
                <w:rFonts w:hint="eastAsia" w:ascii="宋体" w:hAnsi="宋体" w:cs="宋体"/>
                <w:kern w:val="0"/>
                <w:sz w:val="18"/>
                <w:szCs w:val="18"/>
              </w:rPr>
              <w:t>6.交互式一体机制造商具备符合GB/T 27922-2011标准的十星级售后服务体系认证（提供认证证书扫描件）</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五、</w:t>
            </w:r>
            <w:r>
              <w:rPr>
                <w:rFonts w:hint="eastAsia" w:ascii="宋体" w:hAnsi="宋体" w:cs="宋体"/>
                <w:kern w:val="0"/>
                <w:sz w:val="18"/>
                <w:szCs w:val="18"/>
                <w:lang w:val="zh-CN"/>
              </w:rPr>
              <w:t>电脑模块：</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1.</w:t>
            </w:r>
            <w:r>
              <w:rPr>
                <w:rFonts w:hint="eastAsia" w:ascii="宋体" w:hAnsi="宋体" w:cs="宋体"/>
                <w:kern w:val="0"/>
                <w:sz w:val="18"/>
                <w:szCs w:val="18"/>
                <w:lang w:val="zh-CN"/>
              </w:rPr>
              <w:t>电脑采用模块化抽拉内置式设计，实现无单独接线的插拔，低噪音热管传导散热设计，无需拆卸一体机即可快速拆卸电脑模块</w:t>
            </w:r>
          </w:p>
          <w:p>
            <w:pPr>
              <w:autoSpaceDE w:val="0"/>
              <w:autoSpaceDN w:val="0"/>
              <w:adjustRightInd w:val="0"/>
              <w:rPr>
                <w:rFonts w:ascii="宋体" w:cs="宋体"/>
                <w:kern w:val="0"/>
                <w:sz w:val="18"/>
                <w:szCs w:val="18"/>
                <w:lang w:val="zh-CN"/>
              </w:rPr>
            </w:pPr>
            <w:r>
              <w:rPr>
                <w:rFonts w:hint="eastAsia" w:ascii="宋体" w:hAnsi="宋体" w:cs="宋体"/>
                <w:kern w:val="0"/>
                <w:sz w:val="18"/>
                <w:szCs w:val="18"/>
                <w:lang w:val="zh-CN"/>
              </w:rPr>
              <w:t>★</w:t>
            </w:r>
            <w:r>
              <w:rPr>
                <w:rFonts w:ascii="宋体" w:hAnsi="宋体" w:cs="宋体"/>
                <w:kern w:val="0"/>
                <w:sz w:val="18"/>
                <w:szCs w:val="18"/>
                <w:lang w:val="zh-CN"/>
              </w:rPr>
              <w:t>2</w:t>
            </w:r>
            <w:r>
              <w:rPr>
                <w:rFonts w:hint="eastAsia" w:ascii="宋体" w:hAnsi="宋体" w:cs="宋体"/>
                <w:kern w:val="0"/>
                <w:sz w:val="18"/>
                <w:szCs w:val="18"/>
              </w:rPr>
              <w:t>.</w:t>
            </w:r>
            <w:r>
              <w:rPr>
                <w:rFonts w:hint="eastAsia" w:ascii="宋体" w:hAnsi="宋体" w:cs="宋体"/>
                <w:kern w:val="0"/>
                <w:sz w:val="18"/>
                <w:szCs w:val="18"/>
                <w:lang w:val="zh-CN"/>
              </w:rPr>
              <w:t>处理器：</w:t>
            </w:r>
            <w:r>
              <w:rPr>
                <w:rFonts w:ascii="宋体" w:hAnsi="宋体" w:cs="宋体"/>
                <w:kern w:val="0"/>
                <w:sz w:val="18"/>
                <w:szCs w:val="18"/>
                <w:lang w:val="zh-CN"/>
              </w:rPr>
              <w:t>Intel Core i</w:t>
            </w:r>
            <w:r>
              <w:rPr>
                <w:rFonts w:hint="eastAsia" w:ascii="宋体" w:hAnsi="宋体" w:cs="宋体"/>
                <w:kern w:val="0"/>
                <w:sz w:val="18"/>
                <w:szCs w:val="18"/>
              </w:rPr>
              <w:t>5</w:t>
            </w:r>
            <w:r>
              <w:rPr>
                <w:rFonts w:hint="eastAsia" w:ascii="宋体" w:hAnsi="宋体" w:cs="宋体"/>
                <w:kern w:val="0"/>
                <w:sz w:val="18"/>
                <w:szCs w:val="18"/>
                <w:lang w:val="zh-CN"/>
              </w:rPr>
              <w:t>（第</w:t>
            </w:r>
            <w:r>
              <w:rPr>
                <w:rFonts w:hint="eastAsia" w:ascii="宋体" w:hAnsi="宋体" w:cs="宋体"/>
                <w:kern w:val="0"/>
                <w:sz w:val="18"/>
                <w:szCs w:val="18"/>
              </w:rPr>
              <w:t>10</w:t>
            </w:r>
            <w:r>
              <w:rPr>
                <w:rFonts w:hint="eastAsia" w:ascii="宋体" w:hAnsi="宋体" w:cs="宋体"/>
                <w:kern w:val="0"/>
                <w:sz w:val="18"/>
                <w:szCs w:val="18"/>
                <w:lang w:val="zh-CN"/>
              </w:rPr>
              <w:t>代</w:t>
            </w:r>
            <w:r>
              <w:rPr>
                <w:rFonts w:hint="eastAsia" w:ascii="宋体" w:hAnsi="宋体" w:cs="宋体"/>
                <w:kern w:val="0"/>
                <w:sz w:val="18"/>
                <w:szCs w:val="18"/>
              </w:rPr>
              <w:t>及以上</w:t>
            </w:r>
            <w:r>
              <w:rPr>
                <w:rFonts w:hint="eastAsia" w:ascii="宋体" w:hAnsi="宋体" w:cs="宋体"/>
                <w:kern w:val="0"/>
                <w:sz w:val="18"/>
                <w:szCs w:val="18"/>
                <w:lang w:val="zh-CN"/>
              </w:rPr>
              <w:t>）</w:t>
            </w:r>
            <w:r>
              <w:rPr>
                <w:rFonts w:ascii="宋体" w:cs="宋体"/>
                <w:kern w:val="0"/>
                <w:sz w:val="18"/>
                <w:szCs w:val="18"/>
                <w:lang w:val="zh-CN"/>
              </w:rPr>
              <w:t>,</w:t>
            </w:r>
            <w:r>
              <w:rPr>
                <w:rFonts w:hint="eastAsia" w:ascii="宋体" w:hAnsi="宋体" w:cs="宋体"/>
                <w:kern w:val="0"/>
                <w:sz w:val="18"/>
                <w:szCs w:val="18"/>
                <w:lang w:val="zh-CN"/>
              </w:rPr>
              <w:t>主频为双核四线程</w:t>
            </w:r>
            <w:r>
              <w:rPr>
                <w:rFonts w:ascii="宋体" w:hAnsi="宋体" w:cs="宋体"/>
                <w:kern w:val="0"/>
                <w:sz w:val="18"/>
                <w:szCs w:val="18"/>
                <w:lang w:val="zh-CN"/>
              </w:rPr>
              <w:t>2.</w:t>
            </w:r>
            <w:r>
              <w:rPr>
                <w:rFonts w:hint="eastAsia" w:ascii="宋体" w:hAnsi="宋体" w:cs="宋体"/>
                <w:kern w:val="0"/>
                <w:sz w:val="18"/>
                <w:szCs w:val="18"/>
              </w:rPr>
              <w:t>8</w:t>
            </w:r>
            <w:r>
              <w:rPr>
                <w:rFonts w:ascii="宋体" w:hAnsi="宋体" w:cs="宋体"/>
                <w:kern w:val="0"/>
                <w:sz w:val="18"/>
                <w:szCs w:val="18"/>
                <w:lang w:val="zh-CN"/>
              </w:rPr>
              <w:t>GHz</w:t>
            </w:r>
            <w:r>
              <w:rPr>
                <w:rFonts w:hint="eastAsia" w:ascii="宋体" w:hAnsi="宋体" w:cs="宋体"/>
                <w:kern w:val="0"/>
                <w:sz w:val="18"/>
                <w:szCs w:val="18"/>
                <w:lang w:val="zh-CN"/>
              </w:rPr>
              <w:t>或以上；内存：</w:t>
            </w:r>
            <w:r>
              <w:rPr>
                <w:rFonts w:hint="eastAsia" w:ascii="宋体" w:hAnsi="宋体" w:cs="宋体"/>
                <w:kern w:val="0"/>
                <w:sz w:val="18"/>
                <w:szCs w:val="18"/>
              </w:rPr>
              <w:t>8</w:t>
            </w:r>
            <w:r>
              <w:rPr>
                <w:rFonts w:ascii="宋体" w:hAnsi="宋体" w:cs="宋体"/>
                <w:kern w:val="0"/>
                <w:sz w:val="18"/>
                <w:szCs w:val="18"/>
                <w:lang w:val="zh-CN"/>
              </w:rPr>
              <w:t>G DDR3</w:t>
            </w:r>
            <w:r>
              <w:rPr>
                <w:rFonts w:hint="eastAsia" w:ascii="宋体" w:hAnsi="宋体" w:cs="宋体"/>
                <w:kern w:val="0"/>
                <w:sz w:val="18"/>
                <w:szCs w:val="18"/>
                <w:lang w:val="zh-CN"/>
              </w:rPr>
              <w:t>或以上配置；硬盘</w:t>
            </w:r>
            <w:r>
              <w:rPr>
                <w:rFonts w:hint="eastAsia" w:ascii="宋体" w:hAnsi="宋体" w:cs="宋体"/>
                <w:kern w:val="0"/>
                <w:sz w:val="18"/>
                <w:szCs w:val="18"/>
              </w:rPr>
              <w:t>:256</w:t>
            </w:r>
            <w:r>
              <w:rPr>
                <w:rFonts w:ascii="宋体" w:hAnsi="宋体" w:cs="宋体"/>
                <w:kern w:val="0"/>
                <w:sz w:val="18"/>
                <w:szCs w:val="18"/>
                <w:lang w:val="zh-CN"/>
              </w:rPr>
              <w:t>G</w:t>
            </w:r>
            <w:r>
              <w:rPr>
                <w:rFonts w:hint="eastAsia" w:ascii="宋体" w:hAnsi="宋体" w:cs="宋体"/>
                <w:kern w:val="0"/>
                <w:sz w:val="18"/>
                <w:szCs w:val="18"/>
                <w:lang w:val="zh-CN"/>
              </w:rPr>
              <w:t>固态硬盘或以上配置；内置</w:t>
            </w:r>
            <w:r>
              <w:rPr>
                <w:rFonts w:ascii="宋体" w:hAnsi="宋体" w:cs="宋体"/>
                <w:kern w:val="0"/>
                <w:sz w:val="18"/>
                <w:szCs w:val="18"/>
                <w:lang w:val="zh-CN"/>
              </w:rPr>
              <w:t>WiFi</w:t>
            </w:r>
            <w:r>
              <w:rPr>
                <w:rFonts w:hint="eastAsia" w:ascii="宋体" w:hAnsi="宋体" w:cs="宋体"/>
                <w:kern w:val="0"/>
                <w:sz w:val="18"/>
                <w:szCs w:val="18"/>
                <w:lang w:val="zh-CN"/>
              </w:rPr>
              <w:t>：</w:t>
            </w:r>
            <w:r>
              <w:rPr>
                <w:rFonts w:ascii="宋体" w:hAnsi="宋体" w:cs="宋体"/>
                <w:kern w:val="0"/>
                <w:sz w:val="18"/>
                <w:szCs w:val="18"/>
                <w:lang w:val="zh-CN"/>
              </w:rPr>
              <w:t>IEEE 802.11n</w:t>
            </w:r>
            <w:r>
              <w:rPr>
                <w:rFonts w:hint="eastAsia" w:ascii="宋体" w:hAnsi="宋体" w:cs="宋体"/>
                <w:kern w:val="0"/>
                <w:sz w:val="18"/>
                <w:szCs w:val="18"/>
                <w:lang w:val="zh-CN"/>
              </w:rPr>
              <w:t>标准；内置网卡：</w:t>
            </w:r>
            <w:r>
              <w:rPr>
                <w:rFonts w:ascii="宋体" w:hAnsi="宋体" w:cs="宋体"/>
                <w:kern w:val="0"/>
                <w:sz w:val="18"/>
                <w:szCs w:val="18"/>
                <w:lang w:val="zh-CN"/>
              </w:rPr>
              <w:t>10M/100M/1000M；</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3.</w:t>
            </w:r>
            <w:r>
              <w:rPr>
                <w:rFonts w:hint="eastAsia" w:ascii="宋体" w:hAnsi="宋体" w:cs="宋体"/>
                <w:kern w:val="0"/>
                <w:sz w:val="18"/>
                <w:szCs w:val="18"/>
                <w:lang w:val="zh-CN"/>
              </w:rPr>
              <w:t>具有独立非外扩展的电脑</w:t>
            </w:r>
            <w:r>
              <w:rPr>
                <w:rFonts w:ascii="宋体" w:hAnsi="宋体" w:cs="宋体"/>
                <w:kern w:val="0"/>
                <w:sz w:val="18"/>
                <w:szCs w:val="18"/>
                <w:lang w:val="zh-CN"/>
              </w:rPr>
              <w:t>USB</w:t>
            </w:r>
            <w:r>
              <w:rPr>
                <w:rFonts w:hint="eastAsia" w:ascii="宋体" w:hAnsi="宋体" w:cs="宋体"/>
                <w:kern w:val="0"/>
                <w:sz w:val="18"/>
                <w:szCs w:val="18"/>
                <w:lang w:val="zh-CN"/>
              </w:rPr>
              <w:t>接口：电脑上≥</w:t>
            </w:r>
            <w:r>
              <w:rPr>
                <w:rFonts w:hint="eastAsia" w:ascii="宋体" w:hAnsi="宋体" w:cs="宋体"/>
                <w:kern w:val="0"/>
                <w:sz w:val="18"/>
                <w:szCs w:val="18"/>
              </w:rPr>
              <w:t>3</w:t>
            </w:r>
            <w:r>
              <w:rPr>
                <w:rFonts w:hint="eastAsia" w:ascii="宋体" w:hAnsi="宋体" w:cs="宋体"/>
                <w:kern w:val="0"/>
                <w:sz w:val="18"/>
                <w:szCs w:val="18"/>
                <w:lang w:val="zh-CN"/>
              </w:rPr>
              <w:t>个</w:t>
            </w:r>
            <w:r>
              <w:rPr>
                <w:rFonts w:ascii="宋体" w:hAnsi="宋体" w:cs="宋体"/>
                <w:kern w:val="0"/>
                <w:sz w:val="18"/>
                <w:szCs w:val="18"/>
                <w:lang w:val="zh-CN"/>
              </w:rPr>
              <w:t>USB3.0</w:t>
            </w:r>
            <w:r>
              <w:rPr>
                <w:rFonts w:hint="eastAsia" w:ascii="宋体" w:hAnsi="宋体" w:cs="宋体"/>
                <w:kern w:val="0"/>
                <w:sz w:val="18"/>
                <w:szCs w:val="18"/>
                <w:lang w:val="zh-CN"/>
              </w:rPr>
              <w:t>接口。</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rPr>
              <w:t>4.</w:t>
            </w:r>
            <w:r>
              <w:rPr>
                <w:rFonts w:hint="eastAsia" w:ascii="宋体" w:hAnsi="宋体" w:cs="宋体"/>
                <w:kern w:val="0"/>
                <w:sz w:val="18"/>
                <w:szCs w:val="18"/>
                <w:lang w:val="zh-CN"/>
              </w:rPr>
              <w:t>具有视频输出接口：</w:t>
            </w:r>
            <w:r>
              <w:rPr>
                <w:rFonts w:ascii="宋体" w:hAnsi="宋体" w:cs="宋体"/>
                <w:kern w:val="0"/>
                <w:sz w:val="18"/>
                <w:szCs w:val="18"/>
                <w:lang w:val="zh-CN"/>
              </w:rPr>
              <w:t xml:space="preserve"> HDMI 1</w:t>
            </w:r>
            <w:r>
              <w:rPr>
                <w:rFonts w:hint="eastAsia" w:ascii="宋体" w:hAnsi="宋体" w:cs="宋体"/>
                <w:kern w:val="0"/>
                <w:sz w:val="18"/>
                <w:szCs w:val="18"/>
                <w:lang w:val="zh-CN"/>
              </w:rPr>
              <w:t>个或以上。</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w:t>
            </w:r>
            <w:r>
              <w:rPr>
                <w:rFonts w:hint="eastAsia" w:ascii="宋体" w:hAnsi="宋体" w:cs="宋体"/>
                <w:kern w:val="0"/>
                <w:sz w:val="18"/>
                <w:szCs w:val="18"/>
              </w:rPr>
              <w:t>5.设备含正版WPS Office 2019教育版办公软件产品(签订合同时提供介质光盘和软件产权归属为采购人的原厂正版授权许可原件)</w:t>
            </w:r>
            <w:r>
              <w:rPr>
                <w:rFonts w:hint="eastAsia" w:ascii="宋体" w:hAnsi="宋体" w:cs="宋体"/>
                <w:kern w:val="0"/>
                <w:sz w:val="18"/>
                <w:szCs w:val="18"/>
                <w:lang w:val="zh-CN"/>
              </w:rPr>
              <w:t>。</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rPr>
              <w:t>六、</w:t>
            </w:r>
            <w:r>
              <w:rPr>
                <w:rFonts w:hint="eastAsia" w:ascii="宋体" w:hAnsi="宋体" w:cs="宋体"/>
                <w:kern w:val="0"/>
                <w:sz w:val="18"/>
                <w:szCs w:val="18"/>
                <w:lang w:val="zh-CN"/>
              </w:rPr>
              <w:t>智慧课堂互动教学系统：</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1.</w:t>
            </w:r>
            <w:r>
              <w:rPr>
                <w:rFonts w:hint="eastAsia" w:ascii="宋体" w:hAnsi="宋体" w:cs="宋体"/>
                <w:kern w:val="0"/>
                <w:sz w:val="18"/>
                <w:szCs w:val="18"/>
                <w:lang w:val="zh-CN"/>
              </w:rPr>
              <w:t>课件背景：提供不少于</w:t>
            </w:r>
            <w:r>
              <w:rPr>
                <w:rFonts w:ascii="宋体" w:hAnsi="宋体" w:cs="宋体"/>
                <w:kern w:val="0"/>
                <w:sz w:val="18"/>
                <w:szCs w:val="18"/>
                <w:lang w:val="zh-CN"/>
              </w:rPr>
              <w:t>1</w:t>
            </w:r>
            <w:r>
              <w:rPr>
                <w:rFonts w:ascii="宋体" w:cs="宋体"/>
                <w:kern w:val="0"/>
                <w:sz w:val="18"/>
                <w:szCs w:val="18"/>
                <w:lang w:val="zh-CN"/>
              </w:rPr>
              <w:t>0</w:t>
            </w:r>
            <w:r>
              <w:rPr>
                <w:rFonts w:hint="eastAsia" w:ascii="宋体" w:hAnsi="宋体" w:cs="宋体"/>
                <w:kern w:val="0"/>
                <w:sz w:val="18"/>
                <w:szCs w:val="18"/>
                <w:lang w:val="zh-CN"/>
              </w:rPr>
              <w:t>种以上背景模板供老师选择，支持自定义背景。</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2.</w:t>
            </w:r>
            <w:r>
              <w:rPr>
                <w:rFonts w:hint="eastAsia" w:ascii="宋体" w:hAnsi="宋体" w:cs="宋体"/>
                <w:kern w:val="0"/>
                <w:sz w:val="18"/>
                <w:szCs w:val="18"/>
                <w:lang w:val="zh-CN"/>
              </w:rPr>
              <w:t>文本框：支持文本输入并可快速设置字体、大小、颜色、粗体、斜体、下划线、上角标、下角标、项目符号，方便指数、化学式等复杂文本的输入。可对文本的对齐、缩进、行高等进行设置。</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3.</w:t>
            </w:r>
            <w:r>
              <w:rPr>
                <w:rFonts w:hint="eastAsia" w:ascii="宋体" w:hAnsi="宋体" w:cs="宋体"/>
                <w:kern w:val="0"/>
                <w:sz w:val="18"/>
                <w:szCs w:val="18"/>
                <w:lang w:val="zh-CN"/>
              </w:rPr>
              <w:t>蒙层工具：对输入的文本、图片、形状设置蒙层进行隐藏，授课模式下可通过擦除蒙层展现图片，丰富课件互动展示效果。</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4.</w:t>
            </w:r>
            <w:r>
              <w:rPr>
                <w:rFonts w:hint="eastAsia" w:ascii="宋体" w:hAnsi="宋体" w:cs="宋体"/>
                <w:kern w:val="0"/>
                <w:sz w:val="18"/>
                <w:szCs w:val="18"/>
                <w:lang w:val="zh-CN"/>
              </w:rPr>
              <w:t>多媒体打点：支持对音频、视频文件进行打点，可在音、视频进度条任意位置设置多处开始播放节点，免去复杂的音视频剪辑，方便老师快速定位关键教学内容。</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5.</w:t>
            </w:r>
            <w:r>
              <w:rPr>
                <w:rFonts w:hint="eastAsia" w:ascii="宋体" w:hAnsi="宋体" w:cs="宋体"/>
                <w:kern w:val="0"/>
                <w:sz w:val="18"/>
                <w:szCs w:val="18"/>
                <w:lang w:val="zh-CN"/>
              </w:rPr>
              <w:t>互动分类游戏：系统需提供不少于</w:t>
            </w:r>
            <w:r>
              <w:rPr>
                <w:rFonts w:ascii="宋体" w:hAnsi="宋体" w:cs="宋体"/>
                <w:kern w:val="0"/>
                <w:sz w:val="18"/>
                <w:szCs w:val="18"/>
                <w:lang w:val="zh-CN"/>
              </w:rPr>
              <w:t>10</w:t>
            </w:r>
            <w:r>
              <w:rPr>
                <w:rFonts w:hint="eastAsia" w:ascii="宋体" w:hAnsi="宋体" w:cs="宋体"/>
                <w:kern w:val="0"/>
                <w:sz w:val="18"/>
                <w:szCs w:val="18"/>
                <w:lang w:val="zh-CN"/>
              </w:rPr>
              <w:t>种游戏模板，直接选择并输入相应内容即可轻松生成互动分类游戏，提升课堂趣味性。</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6.</w:t>
            </w:r>
            <w:r>
              <w:rPr>
                <w:rFonts w:hint="eastAsia" w:ascii="宋体" w:hAnsi="宋体" w:cs="宋体"/>
                <w:kern w:val="0"/>
                <w:sz w:val="18"/>
                <w:szCs w:val="18"/>
                <w:lang w:val="zh-CN"/>
              </w:rPr>
              <w:t>数学公式编辑器：支持复杂数学公式输入，提供不少于</w:t>
            </w:r>
            <w:r>
              <w:rPr>
                <w:rFonts w:ascii="宋体" w:hAnsi="宋体" w:cs="宋体"/>
                <w:kern w:val="0"/>
                <w:sz w:val="18"/>
                <w:szCs w:val="18"/>
                <w:lang w:val="zh-CN"/>
              </w:rPr>
              <w:t>20</w:t>
            </w:r>
            <w:r>
              <w:rPr>
                <w:rFonts w:hint="eastAsia" w:ascii="宋体" w:hAnsi="宋体" w:cs="宋体"/>
                <w:kern w:val="0"/>
                <w:sz w:val="18"/>
                <w:szCs w:val="18"/>
                <w:lang w:val="zh-CN"/>
              </w:rPr>
              <w:t>个数学符号及模板，输出的公式内容支持不同颜色标记及二次编辑。</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7.</w:t>
            </w:r>
            <w:r>
              <w:rPr>
                <w:rFonts w:hint="eastAsia" w:ascii="宋体" w:hAnsi="宋体" w:cs="宋体"/>
                <w:kern w:val="0"/>
                <w:sz w:val="18"/>
                <w:szCs w:val="18"/>
                <w:lang w:val="zh-CN"/>
              </w:rPr>
              <w:t>支持数学函数图像绘制，包含正比例函数、一次函数、二次函数、反比例函数等，可调节缩放坐标轴，函数图生成后可重新编辑。</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8.</w:t>
            </w:r>
            <w:r>
              <w:rPr>
                <w:rFonts w:hint="eastAsia" w:ascii="宋体" w:hAnsi="宋体" w:cs="宋体"/>
                <w:kern w:val="0"/>
                <w:sz w:val="18"/>
                <w:szCs w:val="18"/>
                <w:lang w:val="zh-CN"/>
              </w:rPr>
              <w:t>几何工具：</w:t>
            </w:r>
          </w:p>
          <w:p>
            <w:pPr>
              <w:autoSpaceDE w:val="0"/>
              <w:autoSpaceDN w:val="0"/>
              <w:adjustRightInd w:val="0"/>
              <w:rPr>
                <w:rFonts w:ascii="宋体" w:cs="宋体"/>
                <w:kern w:val="0"/>
                <w:sz w:val="18"/>
                <w:szCs w:val="18"/>
                <w:lang w:val="zh-CN"/>
              </w:rPr>
            </w:pPr>
            <w:r>
              <w:rPr>
                <w:rFonts w:hint="eastAsia" w:ascii="宋体" w:hAnsi="宋体" w:cs="宋体"/>
                <w:kern w:val="0"/>
                <w:sz w:val="18"/>
                <w:szCs w:val="18"/>
                <w:lang w:val="zh-CN"/>
              </w:rPr>
              <w:t>支持输入任意长度线条，并可设置为线段、射线。支持输入任意边数及角度的图形，可显示或隐藏角度大小，并可直接通过修改角度编辑图形。支持输入任意角度的扇形及圆形，可显示角度大小。支持添加辅助线，可快速添加垂直线、分线、切线等。</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9.</w:t>
            </w:r>
            <w:r>
              <w:rPr>
                <w:rFonts w:hint="eastAsia" w:ascii="宋体" w:hAnsi="宋体" w:cs="宋体"/>
                <w:kern w:val="0"/>
                <w:sz w:val="18"/>
                <w:szCs w:val="18"/>
                <w:lang w:val="zh-CN"/>
              </w:rPr>
              <w:t>化学方程式编辑器：当输入一个化学元素时，软件界面将自动显示出和该元素相关的多个常用化学反应方程式，老师可直接选择使用。插入后的化学方程式可重新编辑。</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10.</w:t>
            </w:r>
            <w:r>
              <w:rPr>
                <w:rFonts w:hint="eastAsia" w:ascii="宋体" w:hAnsi="宋体" w:cs="宋体"/>
                <w:kern w:val="0"/>
                <w:sz w:val="18"/>
                <w:szCs w:val="18"/>
                <w:lang w:val="zh-CN"/>
              </w:rPr>
              <w:t>思维导图：提供思维导图编辑功能，可轻松增删或拖拽编辑内容节点，并支持在节点上插入图片、音频、视频、网页链接、课件页面链接。支持思维导图逐级、逐个节点展开，并可任意缩放，满足不同演示需求。</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11.</w:t>
            </w:r>
            <w:r>
              <w:rPr>
                <w:rFonts w:hint="eastAsia" w:ascii="宋体" w:hAnsi="宋体" w:cs="宋体"/>
                <w:kern w:val="0"/>
                <w:sz w:val="18"/>
                <w:szCs w:val="18"/>
                <w:lang w:val="zh-CN"/>
              </w:rPr>
              <w:t>四线三格：支持调出英语专用的四线三格，并配套人教版英语辅助教材配套的手写体设计。</w:t>
            </w:r>
          </w:p>
          <w:p>
            <w:pPr>
              <w:jc w:val="left"/>
              <w:rPr>
                <w:rFonts w:ascii="宋体" w:cs="宋体"/>
                <w:kern w:val="0"/>
                <w:sz w:val="18"/>
                <w:szCs w:val="18"/>
                <w:lang w:val="zh-CN"/>
              </w:rPr>
            </w:pPr>
            <w:r>
              <w:rPr>
                <w:rFonts w:hint="eastAsia" w:ascii="宋体" w:hAnsi="宋体" w:cs="宋体"/>
                <w:kern w:val="0"/>
                <w:sz w:val="18"/>
                <w:szCs w:val="18"/>
              </w:rPr>
              <w:t>七、</w:t>
            </w:r>
            <w:r>
              <w:rPr>
                <w:rFonts w:hint="eastAsia" w:ascii="宋体" w:hAnsi="宋体" w:cs="宋体"/>
                <w:kern w:val="0"/>
                <w:sz w:val="18"/>
                <w:szCs w:val="18"/>
                <w:lang w:val="zh-CN"/>
              </w:rPr>
              <w:t>移动授课系统：</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1.</w:t>
            </w:r>
            <w:r>
              <w:rPr>
                <w:rFonts w:hint="eastAsia" w:ascii="宋体" w:hAnsi="宋体" w:cs="宋体"/>
                <w:kern w:val="0"/>
                <w:sz w:val="18"/>
                <w:szCs w:val="18"/>
                <w:lang w:val="zh-CN"/>
              </w:rPr>
              <w:t>支持</w:t>
            </w:r>
            <w:r>
              <w:rPr>
                <w:rFonts w:ascii="宋体" w:hAnsi="宋体" w:cs="宋体"/>
                <w:kern w:val="0"/>
                <w:sz w:val="18"/>
                <w:szCs w:val="18"/>
                <w:lang w:val="zh-CN"/>
              </w:rPr>
              <w:t>Android 4.0</w:t>
            </w:r>
            <w:r>
              <w:rPr>
                <w:rFonts w:hint="eastAsia" w:ascii="宋体" w:hAnsi="宋体" w:cs="宋体"/>
                <w:kern w:val="0"/>
                <w:sz w:val="18"/>
                <w:szCs w:val="18"/>
                <w:lang w:val="zh-CN"/>
              </w:rPr>
              <w:t>及</w:t>
            </w:r>
            <w:r>
              <w:rPr>
                <w:rFonts w:ascii="宋体" w:hAnsi="宋体" w:cs="宋体"/>
                <w:kern w:val="0"/>
                <w:sz w:val="18"/>
                <w:szCs w:val="18"/>
                <w:lang w:val="zh-CN"/>
              </w:rPr>
              <w:t>IOS 7.0</w:t>
            </w:r>
            <w:r>
              <w:rPr>
                <w:rFonts w:hint="eastAsia" w:ascii="宋体" w:hAnsi="宋体" w:cs="宋体"/>
                <w:kern w:val="0"/>
                <w:sz w:val="18"/>
                <w:szCs w:val="18"/>
                <w:lang w:val="zh-CN"/>
              </w:rPr>
              <w:t>以上版本系统。</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2.</w:t>
            </w:r>
            <w:r>
              <w:rPr>
                <w:rFonts w:hint="eastAsia" w:ascii="宋体" w:hAnsi="宋体" w:cs="宋体"/>
                <w:kern w:val="0"/>
                <w:sz w:val="18"/>
                <w:szCs w:val="18"/>
                <w:lang w:val="zh-CN"/>
              </w:rPr>
              <w:t>支持手机投屏，可通过该软件将手机屏幕画面实时投影到大屏上。</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3.</w:t>
            </w:r>
            <w:r>
              <w:rPr>
                <w:rFonts w:hint="eastAsia" w:ascii="宋体" w:hAnsi="宋体" w:cs="宋体"/>
                <w:kern w:val="0"/>
                <w:sz w:val="18"/>
                <w:szCs w:val="18"/>
                <w:lang w:val="zh-CN"/>
              </w:rPr>
              <w:t>具备客户端生成热点功能，在没有路由器的情况下，可通过客户端生成局域网热点供外部终端进行无线连接，并支持二维码扫描连接。</w:t>
            </w:r>
          </w:p>
          <w:p>
            <w:pPr>
              <w:autoSpaceDE w:val="0"/>
              <w:autoSpaceDN w:val="0"/>
              <w:adjustRightInd w:val="0"/>
              <w:rPr>
                <w:rFonts w:ascii="宋体" w:cs="宋体"/>
                <w:kern w:val="0"/>
                <w:sz w:val="18"/>
                <w:szCs w:val="18"/>
                <w:lang w:val="zh-CN"/>
              </w:rPr>
            </w:pPr>
            <w:r>
              <w:rPr>
                <w:rFonts w:ascii="宋体" w:hAnsi="宋体" w:cs="宋体"/>
                <w:kern w:val="0"/>
                <w:sz w:val="18"/>
                <w:szCs w:val="18"/>
              </w:rPr>
              <w:t>4</w:t>
            </w:r>
            <w:r>
              <w:rPr>
                <w:rFonts w:hint="eastAsia" w:ascii="宋体" w:hAnsi="宋体" w:cs="宋体"/>
                <w:kern w:val="0"/>
                <w:sz w:val="18"/>
                <w:szCs w:val="18"/>
              </w:rPr>
              <w:t>.</w:t>
            </w:r>
            <w:r>
              <w:rPr>
                <w:rFonts w:hint="eastAsia" w:ascii="宋体" w:hAnsi="宋体" w:cs="宋体"/>
                <w:kern w:val="0"/>
                <w:sz w:val="18"/>
                <w:szCs w:val="18"/>
                <w:lang w:val="zh-CN"/>
              </w:rPr>
              <w:t>可实现交互智能平板与手持终端屏幕同步显示，支持多种手持终端的手势识别，包括单指点击、单指漫游、双指缩放，支持远程文本输入。</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5.</w:t>
            </w:r>
            <w:r>
              <w:rPr>
                <w:rFonts w:hint="eastAsia" w:ascii="宋体" w:hAnsi="宋体" w:cs="宋体"/>
                <w:kern w:val="0"/>
                <w:sz w:val="18"/>
                <w:szCs w:val="18"/>
                <w:lang w:val="zh-CN"/>
              </w:rPr>
              <w:t>大小屏同步显示时支持同步放大功能，可使用小屏远程同步放大大屏画面，突出重点和细节内容。</w:t>
            </w:r>
          </w:p>
          <w:p>
            <w:pPr>
              <w:autoSpaceDE w:val="0"/>
              <w:autoSpaceDN w:val="0"/>
              <w:adjustRightInd w:val="0"/>
              <w:rPr>
                <w:rFonts w:ascii="宋体" w:cs="宋体"/>
                <w:kern w:val="0"/>
                <w:sz w:val="18"/>
                <w:szCs w:val="18"/>
                <w:lang w:val="zh-CN"/>
              </w:rPr>
            </w:pPr>
            <w:r>
              <w:rPr>
                <w:rFonts w:hint="eastAsia" w:ascii="宋体" w:hAnsi="宋体" w:cs="宋体"/>
                <w:kern w:val="0"/>
                <w:sz w:val="18"/>
                <w:szCs w:val="18"/>
              </w:rPr>
              <w:t>6.</w:t>
            </w:r>
            <w:r>
              <w:rPr>
                <w:rFonts w:hint="eastAsia" w:ascii="宋体" w:hAnsi="宋体" w:cs="宋体"/>
                <w:kern w:val="0"/>
                <w:sz w:val="18"/>
                <w:szCs w:val="18"/>
                <w:lang w:val="zh-CN"/>
              </w:rPr>
              <w:t>支持</w:t>
            </w:r>
            <w:r>
              <w:rPr>
                <w:rFonts w:ascii="宋体" w:hAnsi="宋体" w:cs="宋体"/>
                <w:kern w:val="0"/>
                <w:sz w:val="18"/>
                <w:szCs w:val="18"/>
                <w:lang w:val="zh-CN"/>
              </w:rPr>
              <w:t>Office</w:t>
            </w:r>
            <w:r>
              <w:rPr>
                <w:rFonts w:hint="eastAsia" w:ascii="宋体" w:hAnsi="宋体" w:cs="宋体"/>
                <w:kern w:val="0"/>
                <w:sz w:val="18"/>
                <w:szCs w:val="18"/>
                <w:lang w:val="zh-CN"/>
              </w:rPr>
              <w:t>、</w:t>
            </w:r>
            <w:r>
              <w:rPr>
                <w:rFonts w:ascii="宋体" w:hAnsi="宋体" w:cs="宋体"/>
                <w:kern w:val="0"/>
                <w:sz w:val="18"/>
                <w:szCs w:val="18"/>
                <w:lang w:val="zh-CN"/>
              </w:rPr>
              <w:t>WPS</w:t>
            </w:r>
            <w:r>
              <w:rPr>
                <w:rFonts w:hint="eastAsia" w:ascii="宋体" w:hAnsi="宋体" w:cs="宋体"/>
                <w:kern w:val="0"/>
                <w:sz w:val="18"/>
                <w:szCs w:val="18"/>
                <w:lang w:val="zh-CN"/>
              </w:rPr>
              <w:t>及白板软件课件远程同步，可通过移动端对智能平板上的课件实现页面预览、远程翻页、双向批注、激光笔、聚光灯等功能，其中批注功能支持</w:t>
            </w:r>
            <w:r>
              <w:rPr>
                <w:rFonts w:ascii="宋体" w:hAnsi="宋体" w:cs="宋体"/>
                <w:kern w:val="0"/>
                <w:sz w:val="18"/>
                <w:szCs w:val="18"/>
                <w:lang w:val="zh-CN"/>
              </w:rPr>
              <w:t>3</w:t>
            </w:r>
            <w:r>
              <w:rPr>
                <w:rFonts w:hint="eastAsia" w:ascii="宋体" w:hAnsi="宋体" w:cs="宋体"/>
                <w:kern w:val="0"/>
                <w:sz w:val="18"/>
                <w:szCs w:val="18"/>
                <w:lang w:val="zh-CN"/>
              </w:rPr>
              <w:t>种或以上颜色。</w:t>
            </w:r>
          </w:p>
          <w:p>
            <w:pPr>
              <w:autoSpaceDE w:val="0"/>
              <w:autoSpaceDN w:val="0"/>
              <w:adjustRightInd w:val="0"/>
              <w:rPr>
                <w:rFonts w:ascii="宋体" w:hAnsi="宋体" w:cs="宋体"/>
                <w:kern w:val="0"/>
                <w:sz w:val="18"/>
                <w:szCs w:val="18"/>
              </w:rPr>
            </w:pPr>
            <w:r>
              <w:rPr>
                <w:rFonts w:hint="eastAsia" w:ascii="宋体" w:hAnsi="宋体" w:cs="宋体"/>
                <w:kern w:val="0"/>
                <w:sz w:val="18"/>
                <w:szCs w:val="18"/>
              </w:rPr>
              <w:t>7.</w:t>
            </w:r>
            <w:r>
              <w:rPr>
                <w:rFonts w:hint="eastAsia" w:ascii="宋体" w:hAnsi="宋体" w:cs="宋体"/>
                <w:kern w:val="0"/>
                <w:sz w:val="18"/>
                <w:szCs w:val="18"/>
                <w:lang w:val="zh-CN"/>
              </w:rPr>
              <w:t>可支持至少4个投屏画面同时在大屏上显示，同步显示来自Android、iOS等不同系统的投屏画面，并且根据连接数量自动排布。支持将四分屏画面内其中一个画面一键全屏显示，以及一键将一个画面切换回四分屏，方便灵活讲解。</w:t>
            </w:r>
          </w:p>
          <w:p>
            <w:pPr>
              <w:rPr>
                <w:rFonts w:ascii="宋体" w:hAnsi="宋体" w:cs="宋体"/>
                <w:kern w:val="0"/>
                <w:sz w:val="18"/>
                <w:szCs w:val="18"/>
                <w:lang w:val="zh-CN"/>
              </w:rPr>
            </w:pPr>
            <w:r>
              <w:rPr>
                <w:rFonts w:hint="eastAsia" w:ascii="宋体" w:hAnsi="宋体" w:cs="宋体"/>
                <w:kern w:val="0"/>
                <w:sz w:val="18"/>
                <w:szCs w:val="18"/>
              </w:rPr>
              <w:t>8</w:t>
            </w:r>
            <w:r>
              <w:rPr>
                <w:rFonts w:hint="eastAsia" w:ascii="宋体" w:hAnsi="宋体" w:cs="宋体"/>
                <w:kern w:val="0"/>
                <w:sz w:val="18"/>
                <w:szCs w:val="18"/>
                <w:lang w:val="zh-CN"/>
              </w:rPr>
              <w:t>.以上所有功能操作需在同一软件平台上实现，以保障软件稳定和操作便捷性。</w:t>
            </w:r>
          </w:p>
          <w:p>
            <w:pPr>
              <w:autoSpaceDE w:val="0"/>
              <w:autoSpaceDN w:val="0"/>
              <w:adjustRightInd w:val="0"/>
              <w:rPr>
                <w:rFonts w:ascii="宋体" w:hAnsi="宋体" w:cs="宋体"/>
                <w:kern w:val="0"/>
                <w:sz w:val="18"/>
                <w:szCs w:val="18"/>
              </w:rPr>
            </w:pPr>
            <w:r>
              <w:rPr>
                <w:rFonts w:hint="eastAsia" w:ascii="宋体" w:hAnsi="宋体" w:cs="宋体"/>
                <w:kern w:val="0"/>
                <w:sz w:val="18"/>
                <w:szCs w:val="18"/>
                <w:lang w:val="zh-CN"/>
              </w:rPr>
              <w:t>▲</w:t>
            </w:r>
            <w:r>
              <w:rPr>
                <w:rFonts w:hint="eastAsia" w:ascii="宋体" w:hAnsi="宋体" w:cs="宋体"/>
                <w:kern w:val="0"/>
                <w:sz w:val="18"/>
                <w:szCs w:val="18"/>
              </w:rPr>
              <w:t>9</w:t>
            </w:r>
            <w:r>
              <w:rPr>
                <w:rFonts w:hint="eastAsia" w:ascii="宋体" w:hAnsi="宋体" w:cs="宋体"/>
                <w:kern w:val="0"/>
                <w:sz w:val="18"/>
                <w:szCs w:val="18"/>
                <w:lang w:val="zh-CN"/>
              </w:rPr>
              <w:t>.所投产品研发商通过GB/T36073-2018《数据管理能力成熟度评估模型》认定</w:t>
            </w:r>
            <w:r>
              <w:rPr>
                <w:rFonts w:hint="eastAsia" w:ascii="宋体" w:hAnsi="宋体" w:cs="宋体"/>
                <w:kern w:val="0"/>
                <w:sz w:val="18"/>
                <w:szCs w:val="18"/>
              </w:rPr>
              <w:t>证书，提供认证证书扫描件及官网截图。</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rPr>
              <w:t>八、</w:t>
            </w:r>
            <w:r>
              <w:rPr>
                <w:rFonts w:hint="eastAsia" w:ascii="宋体" w:hAnsi="宋体" w:cs="宋体"/>
                <w:kern w:val="0"/>
                <w:sz w:val="18"/>
                <w:szCs w:val="18"/>
                <w:lang w:val="zh-CN"/>
              </w:rPr>
              <w:t>设备管理软件</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(一)总述</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1.管理平台采用B/S混合云架构设计，无需本地额外部署服务器等设备即可实现对教学信息化设备运行数据的监测。</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3.平台支持对全校智慧教室的教学信息化设备进行集中运维管理和策略部署，支持与交互智能教学设备、学生智能终端、常态化录播等教学设备的底层系统无缝对接。</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（二）智能教学设备管理：</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1.管理平台实时监控已连接的交互智能设备状态，支持不少于10台设备的略缩预览以及单设备全屏查看；可远程监控交互智能设备开关机状态、CPU温度、CPU使用率、硬盘空间、硬盘使用状况、内存容量、内存使用率、受控端系统版本、设备ID等设备数据</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2.管理平台可对广域网内的交互智能终端进行远程实时控制，能够监控设备当前运行界面，并远程对设备操作界面进行控制。</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3.管理平台可控制连接广域网的交互智能设备整机关机、开机和重启；可批量设定智能设备开关机的执行时间，并支持自定义日循环执行，预约定时执行。</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4.管理平台可远程对选定的交互智能设备推送动态文字滚动公告，可对公告文字的颜色、粗体以及播放次数、推送时间进行设置。</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5.管理平台可远程开启指定交互智能设备倒计日功能并设定倒计日截止日期，便于重大教学安排的提醒提示。</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6.管理平台支持批量对交互智能设备进行软件远程部署，配套专用教学软件批量部署支持静默安装。</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7.管理平台提供巡课值守模式，自动轮循显示处于运行状态的交互智能设备使用界面。</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8.管理平台实时显示交互智能设备异常的告警提示，并同步将异常信息推送至管理员移动端工作平台。</w:t>
            </w:r>
          </w:p>
          <w:p>
            <w:pPr>
              <w:autoSpaceDE w:val="0"/>
              <w:autoSpaceDN w:val="0"/>
              <w:adjustRightInd w:val="0"/>
              <w:jc w:val="left"/>
              <w:rPr>
                <w:rFonts w:ascii="宋体" w:hAnsi="宋体" w:cs="宋体"/>
                <w:kern w:val="0"/>
                <w:sz w:val="18"/>
                <w:szCs w:val="18"/>
                <w:lang w:val="zh-CN"/>
              </w:rPr>
            </w:pPr>
            <w:r>
              <w:rPr>
                <w:rFonts w:hint="eastAsia" w:ascii="宋体" w:hAnsi="宋体" w:cs="宋体"/>
                <w:kern w:val="0"/>
                <w:sz w:val="18"/>
                <w:szCs w:val="18"/>
                <w:lang w:val="zh-CN"/>
              </w:rPr>
              <w:t>▲</w:t>
            </w:r>
            <w:r>
              <w:rPr>
                <w:rFonts w:hint="eastAsia" w:ascii="宋体" w:hAnsi="宋体" w:cs="宋体"/>
                <w:kern w:val="0"/>
                <w:sz w:val="18"/>
                <w:szCs w:val="18"/>
              </w:rPr>
              <w:t>9.</w:t>
            </w:r>
            <w:r>
              <w:rPr>
                <w:rFonts w:hint="eastAsia" w:ascii="宋体" w:hAnsi="宋体" w:cs="宋体"/>
                <w:kern w:val="0"/>
                <w:sz w:val="18"/>
                <w:szCs w:val="18"/>
                <w:lang w:val="zh-CN"/>
              </w:rPr>
              <w:t>支持实时查看和导出学校设备的数据，如设备健康值的统计分析，并清晰的展示每台设备的健康度分值，便于学校管理员后期的设备管理工作。（提供国家级检测机构所出具的权威检测报告复印件）</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（三）安全应用防护数据分析：</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1.管理平台可远程对运行状态下的交互智能设备批量进行本地系统启动盘的冻结、解冻。被冻结后本地系统启动盘的数据及系统更改等均会自动恢复至冻结前状态。</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2.管理平台可实时监控开启冰点保护设备数量、安装冰点保护设备数量、磁盘冰冻状态等，并提示冰点风险，方便用户管理一体机系统环境</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管理平台可开启或关闭指定交互智能设备的任意磁盘分区数据还原（冰点）保护。</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3.管理平台显示设备使用情况数据报表，包括实时在线设备数、今日活跃人数、使用学科数、异常条数、设备使用时段、设备使用时长分布、软件使用次数、用户活跃数、不同学科使用频次占比等，方便管理员检查设备使用情况。</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4.操作管理：管理操作日志实时反馈远程控制及信息发布等指令状态，便于检验操作结果。操作日志支持按照指令类型筛选查看。管理平台支持多层级权限管理，可将多类型的设备管理权限分配给多个管理员，由多个管理员共同管理；顶级管理员可添加普通管理员并修改普通管理员的权限。</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（四）移动管理平台：</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1.提供免安装且兼容Android、IOS等主流移动终端的移动管理平台，无需反复登录移动浏览器，可实时查看开机设备数、锁屏设备数、关机设备数等信息化运行数据。移动管理平台可对已连接的交互智能设备进行实时关机、开机和重启操作</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2.移动管理平台可实时监控已连接的交互智能设备，远程查看设备的开关机状态、CPU温度、CPU使用率、开机时间等设备详情。</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3.移动管理平台可查看已连接设备运行异常数据，异常类型包含温度过高、CPU占用率过高、待机时间过长等，支持按年级筛选查看设备异常数据并对异常设备进行管控。</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4.交互智能设备发生异常时，移动管理平台自动发送异常信息提醒管理员。远程控制相关操作均可获得实时反馈，方便用户及时获取操作情况。</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（五）智能教学设备端：</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1.管理平台为学校提供专属识别代码，广域网环境下的交互智能设备输入专属代码接入管理平台即可在通过管理平台对设备进行远程管理。支持按照年级、班级自定义交互智能设备名称对应管理。</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2.交互智能设备支持磁盘级系统还原保护，可根据教学需要自由选择磁盘分区冻结、解冻还原保护。</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3、可在交互智能设备查看设备基本信息，如：系统、CPU、内存、硬盘、MCU、TV、触摸框等信息，方便老师管理设备。</w:t>
            </w:r>
          </w:p>
          <w:p>
            <w:pPr>
              <w:autoSpaceDE w:val="0"/>
              <w:autoSpaceDN w:val="0"/>
              <w:adjustRightInd w:val="0"/>
              <w:rPr>
                <w:rFonts w:ascii="宋体" w:hAnsi="宋体" w:cs="宋体"/>
                <w:kern w:val="0"/>
                <w:sz w:val="18"/>
                <w:szCs w:val="18"/>
                <w:lang w:val="zh-CN"/>
              </w:rPr>
            </w:pPr>
            <w:r>
              <w:rPr>
                <w:rFonts w:hint="eastAsia" w:ascii="宋体" w:hAnsi="宋体" w:cs="宋体"/>
                <w:kern w:val="0"/>
                <w:sz w:val="18"/>
                <w:szCs w:val="18"/>
                <w:lang w:val="zh-CN"/>
              </w:rPr>
              <w:t>4.提供教学专用广告屏蔽工具。支持高强度屏蔽拦截，对全部软件应用弹窗进行无差别拦截；支持自定义应用广告弹窗过滤屏蔽，可屏蔽拦截指定应用的弹窗,保障互联网教育信息安全及内容安全。</w:t>
            </w:r>
          </w:p>
          <w:p>
            <w:pPr>
              <w:autoSpaceDE w:val="0"/>
              <w:autoSpaceDN w:val="0"/>
              <w:adjustRightInd w:val="0"/>
              <w:rPr>
                <w:rFonts w:ascii="宋体" w:hAnsi="宋体" w:cs="宋体"/>
                <w:kern w:val="0"/>
                <w:sz w:val="18"/>
                <w:szCs w:val="18"/>
              </w:rPr>
            </w:pPr>
            <w:r>
              <w:rPr>
                <w:rFonts w:hint="eastAsia" w:ascii="宋体" w:hAnsi="宋体" w:cs="宋体"/>
                <w:kern w:val="0"/>
                <w:sz w:val="18"/>
                <w:szCs w:val="18"/>
                <w:lang w:val="zh-CN"/>
              </w:rPr>
              <w:t>▲5.提供集中控制系统软件著作权证书，软件具备信息安全二级认证证书,提供证明资料。</w:t>
            </w:r>
          </w:p>
          <w:p>
            <w:pPr>
              <w:textAlignment w:val="center"/>
              <w:rPr>
                <w:rFonts w:ascii="宋体" w:cs="宋体"/>
                <w:kern w:val="0"/>
                <w:sz w:val="18"/>
                <w:szCs w:val="18"/>
              </w:rPr>
            </w:pPr>
            <w:r>
              <w:rPr>
                <w:rFonts w:hint="eastAsia" w:ascii="宋体" w:hAnsi="宋体" w:cs="宋体"/>
                <w:sz w:val="18"/>
                <w:szCs w:val="18"/>
              </w:rPr>
              <w:t>签订合同时提供生产厂家针对本项目投标单位授权书原件及生产厂家针对本项目使用单位三年质保函原件加盖原厂公章。</w:t>
            </w:r>
          </w:p>
        </w:tc>
        <w:tc>
          <w:tcPr>
            <w:tcW w:w="666" w:type="dxa"/>
            <w:vAlign w:val="center"/>
          </w:tcPr>
          <w:p>
            <w:pPr>
              <w:widowControl/>
              <w:jc w:val="center"/>
              <w:textAlignment w:val="center"/>
              <w:rPr>
                <w:rFonts w:ascii="宋体" w:hAnsi="宋体" w:cs="宋体"/>
                <w:sz w:val="18"/>
                <w:szCs w:val="18"/>
              </w:rPr>
            </w:pPr>
            <w:r>
              <w:rPr>
                <w:rFonts w:hint="eastAsia" w:ascii="宋体" w:hAnsi="宋体" w:cs="宋体"/>
                <w:sz w:val="18"/>
                <w:szCs w:val="18"/>
              </w:rPr>
              <w:t>394</w:t>
            </w:r>
          </w:p>
        </w:tc>
        <w:tc>
          <w:tcPr>
            <w:tcW w:w="625"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2</w:t>
            </w:r>
          </w:p>
        </w:tc>
        <w:tc>
          <w:tcPr>
            <w:tcW w:w="1501" w:type="dxa"/>
            <w:vAlign w:val="center"/>
          </w:tcPr>
          <w:p>
            <w:pPr>
              <w:widowControl/>
              <w:jc w:val="left"/>
              <w:textAlignment w:val="center"/>
              <w:rPr>
                <w:rFonts w:ascii="宋体" w:hAnsi="宋体" w:cs="宋体"/>
                <w:sz w:val="18"/>
                <w:szCs w:val="18"/>
              </w:rPr>
            </w:pPr>
            <w:r>
              <w:rPr>
                <w:rFonts w:hint="eastAsia" w:ascii="宋体" w:hAnsi="宋体" w:cs="宋体"/>
                <w:sz w:val="18"/>
                <w:szCs w:val="18"/>
              </w:rPr>
              <w:t>86寸交互平板</w:t>
            </w:r>
          </w:p>
        </w:tc>
        <w:tc>
          <w:tcPr>
            <w:tcW w:w="5132" w:type="dxa"/>
          </w:tcPr>
          <w:p>
            <w:pPr>
              <w:widowControl/>
              <w:jc w:val="left"/>
              <w:rPr>
                <w:rFonts w:ascii="宋体" w:hAnsi="宋体" w:cs="宋体"/>
                <w:bCs/>
                <w:kern w:val="0"/>
                <w:sz w:val="18"/>
                <w:szCs w:val="18"/>
              </w:rPr>
            </w:pPr>
            <w:r>
              <w:rPr>
                <w:rFonts w:hint="eastAsia" w:ascii="宋体" w:hAnsi="宋体" w:cs="宋体"/>
                <w:bCs/>
                <w:kern w:val="0"/>
                <w:sz w:val="18"/>
                <w:szCs w:val="18"/>
              </w:rPr>
              <w:t>一、整体设计要求</w:t>
            </w:r>
          </w:p>
          <w:p>
            <w:pPr>
              <w:widowControl/>
              <w:jc w:val="left"/>
              <w:rPr>
                <w:rFonts w:ascii="宋体" w:hAnsi="宋体" w:cs="宋体"/>
                <w:bCs/>
                <w:kern w:val="0"/>
                <w:sz w:val="18"/>
                <w:szCs w:val="18"/>
              </w:rPr>
            </w:pPr>
            <w:r>
              <w:rPr>
                <w:rFonts w:hint="eastAsia" w:ascii="宋体" w:hAnsi="宋体" w:cs="宋体"/>
                <w:bCs/>
                <w:kern w:val="0"/>
                <w:sz w:val="18"/>
                <w:szCs w:val="18"/>
              </w:rPr>
              <w:t>1.内置一体化设计，外部无任何可见内部功能模块的连接线。</w:t>
            </w:r>
          </w:p>
          <w:p>
            <w:pPr>
              <w:widowControl/>
              <w:jc w:val="left"/>
              <w:rPr>
                <w:rFonts w:ascii="宋体" w:hAnsi="宋体" w:cs="宋体"/>
                <w:bCs/>
                <w:kern w:val="0"/>
                <w:sz w:val="18"/>
                <w:szCs w:val="18"/>
              </w:rPr>
            </w:pPr>
            <w:r>
              <w:rPr>
                <w:rFonts w:hint="eastAsia" w:ascii="宋体" w:hAnsi="宋体" w:cs="宋体"/>
                <w:bCs/>
                <w:kern w:val="0"/>
                <w:sz w:val="18"/>
                <w:szCs w:val="18"/>
              </w:rPr>
              <w:t>2.触控一体机钢化玻璃表面硬度≥9H。</w:t>
            </w:r>
          </w:p>
          <w:p>
            <w:pPr>
              <w:widowControl/>
              <w:jc w:val="left"/>
              <w:rPr>
                <w:rFonts w:ascii="宋体" w:hAnsi="宋体" w:cs="宋体"/>
                <w:bCs/>
                <w:kern w:val="0"/>
                <w:sz w:val="18"/>
                <w:szCs w:val="18"/>
              </w:rPr>
            </w:pPr>
            <w:r>
              <w:rPr>
                <w:rFonts w:hint="eastAsia" w:ascii="宋体" w:hAnsi="宋体" w:cs="宋体"/>
                <w:bCs/>
                <w:kern w:val="0"/>
                <w:sz w:val="18"/>
                <w:szCs w:val="18"/>
              </w:rPr>
              <w:t>3.整机经过产品可靠性检验，MTBF大于100000小时。</w:t>
            </w:r>
          </w:p>
          <w:p>
            <w:pPr>
              <w:widowControl/>
              <w:jc w:val="left"/>
              <w:rPr>
                <w:rFonts w:ascii="宋体" w:hAnsi="宋体" w:cs="宋体"/>
                <w:bCs/>
                <w:kern w:val="0"/>
                <w:sz w:val="18"/>
                <w:szCs w:val="18"/>
              </w:rPr>
            </w:pPr>
            <w:r>
              <w:rPr>
                <w:rFonts w:hint="eastAsia" w:ascii="宋体" w:hAnsi="宋体" w:cs="宋体"/>
                <w:bCs/>
                <w:kern w:val="0"/>
                <w:sz w:val="18"/>
                <w:szCs w:val="18"/>
              </w:rPr>
              <w:t>4.整机通过触摸、按键或U盘等方式进行锁定和解锁操作，使设备可控可管理。</w:t>
            </w:r>
          </w:p>
          <w:p>
            <w:pPr>
              <w:widowControl/>
              <w:jc w:val="left"/>
              <w:rPr>
                <w:rFonts w:ascii="宋体" w:hAnsi="宋体" w:cs="宋体"/>
                <w:bCs/>
                <w:kern w:val="0"/>
                <w:sz w:val="18"/>
                <w:szCs w:val="18"/>
              </w:rPr>
            </w:pPr>
            <w:r>
              <w:rPr>
                <w:rFonts w:hint="eastAsia" w:ascii="宋体" w:hAnsi="宋体" w:cs="宋体"/>
                <w:bCs/>
                <w:kern w:val="0"/>
                <w:sz w:val="18"/>
                <w:szCs w:val="18"/>
              </w:rPr>
              <w:t>5.电视开关和电脑开关二合一，一键操作实现整机开关机。</w:t>
            </w:r>
          </w:p>
          <w:p>
            <w:pPr>
              <w:widowControl/>
              <w:jc w:val="left"/>
              <w:rPr>
                <w:rFonts w:ascii="宋体" w:hAnsi="宋体" w:cs="宋体"/>
                <w:bCs/>
                <w:kern w:val="0"/>
                <w:sz w:val="18"/>
                <w:szCs w:val="18"/>
              </w:rPr>
            </w:pPr>
            <w:r>
              <w:rPr>
                <w:rFonts w:hint="eastAsia" w:ascii="宋体" w:hAnsi="宋体" w:cs="宋体"/>
                <w:bCs/>
                <w:kern w:val="0"/>
                <w:sz w:val="18"/>
                <w:szCs w:val="18"/>
              </w:rPr>
              <w:t>6.整机待机待机功耗需≤0.5W。</w:t>
            </w:r>
          </w:p>
          <w:p>
            <w:pPr>
              <w:widowControl/>
              <w:jc w:val="left"/>
              <w:rPr>
                <w:rFonts w:ascii="宋体" w:hAnsi="宋体" w:cs="宋体"/>
                <w:bCs/>
                <w:kern w:val="0"/>
                <w:sz w:val="18"/>
                <w:szCs w:val="18"/>
              </w:rPr>
            </w:pPr>
            <w:r>
              <w:rPr>
                <w:rFonts w:hint="eastAsia" w:ascii="宋体" w:hAnsi="宋体" w:cs="宋体"/>
                <w:bCs/>
                <w:kern w:val="0"/>
                <w:sz w:val="18"/>
                <w:szCs w:val="18"/>
              </w:rPr>
              <w:t>7. 整机内置扬声器：前置音响15W×2个</w:t>
            </w:r>
          </w:p>
          <w:p>
            <w:pPr>
              <w:widowControl/>
              <w:jc w:val="left"/>
              <w:rPr>
                <w:rFonts w:ascii="宋体" w:hAnsi="宋体" w:cs="宋体"/>
                <w:bCs/>
                <w:kern w:val="0"/>
                <w:sz w:val="18"/>
                <w:szCs w:val="18"/>
              </w:rPr>
            </w:pPr>
            <w:r>
              <w:rPr>
                <w:rFonts w:hint="eastAsia" w:ascii="宋体" w:hAnsi="宋体" w:cs="宋体"/>
                <w:bCs/>
                <w:kern w:val="0"/>
                <w:sz w:val="18"/>
                <w:szCs w:val="18"/>
              </w:rPr>
              <w:t>8. 不借助遥控器，具备一键关闭液晶屏，实现节能80%以上，同时可以一键打开背光。</w:t>
            </w:r>
          </w:p>
          <w:p>
            <w:pPr>
              <w:widowControl/>
              <w:jc w:val="left"/>
              <w:rPr>
                <w:rFonts w:ascii="宋体" w:hAnsi="宋体" w:cs="宋体"/>
                <w:bCs/>
                <w:kern w:val="0"/>
                <w:sz w:val="18"/>
                <w:szCs w:val="18"/>
              </w:rPr>
            </w:pPr>
            <w:r>
              <w:rPr>
                <w:rFonts w:hint="eastAsia" w:ascii="宋体" w:hAnsi="宋体" w:cs="宋体"/>
                <w:bCs/>
                <w:kern w:val="0"/>
                <w:sz w:val="18"/>
                <w:szCs w:val="18"/>
              </w:rPr>
              <w:t>9.支持Window和Android双系统运行，当其中一个系统出现异常，可一键切换到备份系统，保障整个系统正常运行。</w:t>
            </w:r>
          </w:p>
          <w:p>
            <w:pPr>
              <w:widowControl/>
              <w:jc w:val="left"/>
              <w:rPr>
                <w:rFonts w:ascii="宋体" w:hAnsi="宋体" w:cs="宋体"/>
                <w:bCs/>
                <w:kern w:val="0"/>
                <w:sz w:val="18"/>
                <w:szCs w:val="18"/>
              </w:rPr>
            </w:pPr>
            <w:r>
              <w:rPr>
                <w:rFonts w:hint="eastAsia" w:ascii="宋体" w:hAnsi="宋体" w:cs="宋体"/>
                <w:bCs/>
                <w:kern w:val="0"/>
                <w:sz w:val="18"/>
                <w:szCs w:val="18"/>
              </w:rPr>
              <w:t>二、电视系统参数</w:t>
            </w:r>
          </w:p>
          <w:p>
            <w:pPr>
              <w:widowControl/>
              <w:jc w:val="left"/>
              <w:rPr>
                <w:rFonts w:ascii="宋体" w:hAnsi="宋体" w:cs="宋体"/>
                <w:bCs/>
                <w:kern w:val="0"/>
                <w:sz w:val="18"/>
                <w:szCs w:val="18"/>
              </w:rPr>
            </w:pPr>
            <w:r>
              <w:rPr>
                <w:rFonts w:hint="eastAsia" w:ascii="宋体" w:hAnsi="宋体" w:cs="宋体"/>
                <w:kern w:val="0"/>
                <w:sz w:val="18"/>
                <w:szCs w:val="18"/>
                <w:lang w:val="zh-CN"/>
              </w:rPr>
              <w:t>★</w:t>
            </w:r>
            <w:r>
              <w:rPr>
                <w:rFonts w:hint="eastAsia" w:ascii="宋体" w:hAnsi="宋体" w:cs="宋体"/>
                <w:bCs/>
                <w:kern w:val="0"/>
                <w:sz w:val="18"/>
                <w:szCs w:val="18"/>
              </w:rPr>
              <w:t>10．屏体类型：LED背光源86寸液晶屏，显示比例16:9，物理解析3840*2160，对比度≥6000：1，可视角度≥178°。</w:t>
            </w:r>
          </w:p>
          <w:p>
            <w:pPr>
              <w:widowControl/>
              <w:jc w:val="left"/>
              <w:rPr>
                <w:rFonts w:ascii="宋体" w:hAnsi="宋体" w:cs="宋体"/>
                <w:bCs/>
                <w:kern w:val="0"/>
                <w:sz w:val="18"/>
                <w:szCs w:val="18"/>
              </w:rPr>
            </w:pPr>
            <w:r>
              <w:rPr>
                <w:rFonts w:hint="eastAsia" w:ascii="宋体" w:hAnsi="宋体" w:cs="宋体"/>
                <w:bCs/>
                <w:kern w:val="0"/>
                <w:sz w:val="18"/>
                <w:szCs w:val="18"/>
              </w:rPr>
              <w:t>11. 整机屏幕透光率不低于90%；外界光线照入时在任意角度观察，无显示光斑。</w:t>
            </w:r>
          </w:p>
          <w:p>
            <w:pPr>
              <w:widowControl/>
              <w:jc w:val="left"/>
              <w:rPr>
                <w:rFonts w:ascii="宋体" w:hAnsi="宋体" w:cs="宋体"/>
                <w:bCs/>
                <w:kern w:val="0"/>
                <w:sz w:val="18"/>
                <w:szCs w:val="18"/>
              </w:rPr>
            </w:pPr>
            <w:r>
              <w:rPr>
                <w:rFonts w:hint="eastAsia" w:ascii="宋体" w:hAnsi="宋体" w:cs="宋体"/>
                <w:bCs/>
                <w:kern w:val="0"/>
                <w:sz w:val="18"/>
                <w:szCs w:val="18"/>
              </w:rPr>
              <w:t>12.屏幕要求：86寸A规LED液晶屏，图像物理分辨率达3840*2160，支持4K信号输入。</w:t>
            </w:r>
          </w:p>
          <w:p>
            <w:pPr>
              <w:widowControl/>
              <w:jc w:val="left"/>
              <w:rPr>
                <w:rFonts w:ascii="宋体" w:hAnsi="宋体" w:cs="宋体"/>
                <w:bCs/>
                <w:kern w:val="0"/>
                <w:sz w:val="18"/>
                <w:szCs w:val="18"/>
              </w:rPr>
            </w:pPr>
            <w:r>
              <w:rPr>
                <w:rFonts w:hint="eastAsia" w:ascii="宋体" w:hAnsi="宋体" w:cs="宋体"/>
                <w:bCs/>
                <w:kern w:val="0"/>
                <w:sz w:val="18"/>
                <w:szCs w:val="18"/>
              </w:rPr>
              <w:t>三、交互式触摸屏参数</w:t>
            </w:r>
          </w:p>
          <w:p>
            <w:pPr>
              <w:widowControl/>
              <w:jc w:val="left"/>
              <w:rPr>
                <w:rFonts w:ascii="宋体" w:hAnsi="宋体" w:cs="宋体"/>
                <w:bCs/>
                <w:kern w:val="0"/>
                <w:sz w:val="18"/>
                <w:szCs w:val="18"/>
              </w:rPr>
            </w:pPr>
            <w:r>
              <w:rPr>
                <w:rFonts w:hint="eastAsia" w:ascii="宋体" w:hAnsi="宋体" w:cs="宋体"/>
                <w:bCs/>
                <w:kern w:val="0"/>
                <w:sz w:val="18"/>
                <w:szCs w:val="18"/>
              </w:rPr>
              <w:t>13. 采用红外触控技术，支持Windows系统中进行10点或以上触控，支持在Android系统中进行10点或以上触控。</w:t>
            </w:r>
          </w:p>
          <w:p>
            <w:pPr>
              <w:widowControl/>
              <w:jc w:val="left"/>
              <w:rPr>
                <w:rFonts w:ascii="宋体" w:hAnsi="宋体" w:cs="宋体"/>
                <w:bCs/>
                <w:kern w:val="0"/>
                <w:sz w:val="18"/>
                <w:szCs w:val="18"/>
              </w:rPr>
            </w:pPr>
            <w:r>
              <w:rPr>
                <w:rFonts w:hint="eastAsia" w:ascii="宋体" w:hAnsi="宋体" w:cs="宋体"/>
                <w:bCs/>
                <w:kern w:val="0"/>
                <w:sz w:val="18"/>
                <w:szCs w:val="18"/>
              </w:rPr>
              <w:t>14.书写方式：手指或笔触摸。</w:t>
            </w:r>
          </w:p>
          <w:p>
            <w:pPr>
              <w:widowControl/>
              <w:jc w:val="left"/>
              <w:rPr>
                <w:rFonts w:ascii="宋体" w:hAnsi="宋体" w:cs="宋体"/>
                <w:bCs/>
                <w:kern w:val="0"/>
                <w:sz w:val="18"/>
                <w:szCs w:val="18"/>
              </w:rPr>
            </w:pPr>
            <w:r>
              <w:rPr>
                <w:rFonts w:hint="eastAsia" w:ascii="宋体" w:hAnsi="宋体" w:cs="宋体"/>
                <w:bCs/>
                <w:kern w:val="0"/>
                <w:sz w:val="18"/>
                <w:szCs w:val="18"/>
              </w:rPr>
              <w:t>15. 触控精度≤0.1mm，书写延时≤50ms。</w:t>
            </w:r>
          </w:p>
          <w:p>
            <w:pPr>
              <w:widowControl/>
              <w:jc w:val="left"/>
              <w:rPr>
                <w:rFonts w:ascii="宋体" w:hAnsi="宋体" w:cs="宋体"/>
                <w:bCs/>
                <w:kern w:val="0"/>
                <w:sz w:val="18"/>
                <w:szCs w:val="18"/>
              </w:rPr>
            </w:pPr>
            <w:r>
              <w:rPr>
                <w:rFonts w:hint="eastAsia" w:ascii="宋体" w:hAnsi="宋体" w:cs="宋体"/>
                <w:bCs/>
                <w:kern w:val="0"/>
                <w:sz w:val="18"/>
                <w:szCs w:val="18"/>
              </w:rPr>
              <w:t>16.设备在400KLux强光照射下能正常触控.</w:t>
            </w:r>
          </w:p>
          <w:p>
            <w:pPr>
              <w:widowControl/>
              <w:jc w:val="left"/>
              <w:rPr>
                <w:rFonts w:ascii="宋体" w:hAnsi="宋体" w:cs="宋体"/>
                <w:bCs/>
                <w:kern w:val="0"/>
                <w:sz w:val="18"/>
                <w:szCs w:val="18"/>
              </w:rPr>
            </w:pPr>
            <w:r>
              <w:rPr>
                <w:rFonts w:hint="eastAsia" w:ascii="宋体" w:hAnsi="宋体" w:cs="宋体"/>
                <w:bCs/>
                <w:kern w:val="0"/>
                <w:sz w:val="18"/>
                <w:szCs w:val="18"/>
              </w:rPr>
              <w:t>17.触摸框内部通道切换速度小于1秒，外部通道切换小于3秒，切换后即达到可触摸状态.</w:t>
            </w:r>
          </w:p>
          <w:p>
            <w:pPr>
              <w:widowControl/>
              <w:jc w:val="left"/>
              <w:rPr>
                <w:rFonts w:ascii="宋体" w:hAnsi="宋体" w:cs="宋体"/>
                <w:bCs/>
                <w:kern w:val="0"/>
                <w:sz w:val="18"/>
                <w:szCs w:val="18"/>
              </w:rPr>
            </w:pPr>
            <w:r>
              <w:rPr>
                <w:rFonts w:hint="eastAsia" w:ascii="宋体" w:hAnsi="宋体" w:cs="宋体"/>
                <w:bCs/>
                <w:kern w:val="0"/>
                <w:sz w:val="18"/>
                <w:szCs w:val="18"/>
              </w:rPr>
              <w:t>四、嵌入式系统参数</w:t>
            </w:r>
          </w:p>
          <w:p>
            <w:pPr>
              <w:widowControl/>
              <w:jc w:val="left"/>
              <w:rPr>
                <w:rFonts w:ascii="宋体" w:hAnsi="宋体" w:cs="宋体"/>
                <w:bCs/>
                <w:kern w:val="0"/>
                <w:sz w:val="18"/>
                <w:szCs w:val="18"/>
              </w:rPr>
            </w:pPr>
            <w:r>
              <w:rPr>
                <w:rFonts w:hint="eastAsia" w:ascii="宋体" w:hAnsi="宋体" w:cs="宋体"/>
                <w:bCs/>
                <w:kern w:val="0"/>
                <w:sz w:val="18"/>
                <w:szCs w:val="18"/>
              </w:rPr>
              <w:t>18.在嵌入式安卓操作系统下，可实现windows系统中常用的教学应用功能，如白板书写、Office软件使用、网页浏览等。</w:t>
            </w:r>
          </w:p>
          <w:p>
            <w:pPr>
              <w:widowControl/>
              <w:jc w:val="left"/>
              <w:rPr>
                <w:rFonts w:ascii="宋体" w:hAnsi="宋体" w:cs="宋体"/>
                <w:bCs/>
                <w:kern w:val="0"/>
                <w:sz w:val="18"/>
                <w:szCs w:val="18"/>
              </w:rPr>
            </w:pPr>
            <w:r>
              <w:rPr>
                <w:rFonts w:hint="eastAsia" w:ascii="宋体" w:hAnsi="宋体" w:cs="宋体"/>
                <w:bCs/>
                <w:kern w:val="0"/>
                <w:sz w:val="18"/>
                <w:szCs w:val="18"/>
              </w:rPr>
              <w:t>19.在嵌入式安卓操作系统下，能对TV多媒体USB所读取到的课件文件进行自动归类，可快速分类查找音乐、视频、图片等文件，检索后可直接在界面中打开。</w:t>
            </w:r>
          </w:p>
          <w:p>
            <w:pPr>
              <w:widowControl/>
              <w:jc w:val="left"/>
              <w:rPr>
                <w:rFonts w:ascii="宋体" w:hAnsi="宋体" w:cs="宋体"/>
                <w:bCs/>
                <w:kern w:val="0"/>
                <w:sz w:val="18"/>
                <w:szCs w:val="18"/>
              </w:rPr>
            </w:pPr>
            <w:r>
              <w:rPr>
                <w:rFonts w:hint="eastAsia" w:ascii="宋体" w:hAnsi="宋体" w:cs="宋体"/>
                <w:bCs/>
                <w:kern w:val="0"/>
                <w:sz w:val="18"/>
                <w:szCs w:val="18"/>
              </w:rPr>
              <w:t>20. Android系统中，白板内容支持通过移动端扫描二维码或邮件的方式实现文件共享及板书内容共享，并支持以设备内置的文件的格式、PDF、图片的格式进行本地存储及再次编辑。</w:t>
            </w:r>
          </w:p>
          <w:p>
            <w:pPr>
              <w:widowControl/>
              <w:jc w:val="left"/>
              <w:rPr>
                <w:rFonts w:ascii="宋体" w:hAnsi="宋体" w:cs="宋体"/>
                <w:bCs/>
                <w:kern w:val="0"/>
                <w:sz w:val="18"/>
                <w:szCs w:val="18"/>
              </w:rPr>
            </w:pPr>
            <w:r>
              <w:rPr>
                <w:rFonts w:hint="eastAsia" w:ascii="宋体" w:hAnsi="宋体" w:cs="宋体"/>
                <w:bCs/>
                <w:kern w:val="0"/>
                <w:sz w:val="18"/>
                <w:szCs w:val="18"/>
              </w:rPr>
              <w:t>21. 整机内置专业硬件自检维护工具（非第三方工具），支持对触摸框和PC模块进行检测，并针对不同模块给出问题代码提示。</w:t>
            </w:r>
          </w:p>
          <w:p>
            <w:pPr>
              <w:autoSpaceDE w:val="0"/>
              <w:autoSpaceDN w:val="0"/>
              <w:adjustRightInd w:val="0"/>
              <w:rPr>
                <w:rFonts w:ascii="宋体" w:cs="宋体"/>
                <w:kern w:val="0"/>
                <w:sz w:val="18"/>
                <w:szCs w:val="18"/>
              </w:rPr>
            </w:pPr>
            <w:r>
              <w:rPr>
                <w:rFonts w:hint="eastAsia" w:ascii="宋体" w:hAnsi="宋体" w:cs="宋体"/>
                <w:kern w:val="0"/>
                <w:sz w:val="18"/>
                <w:szCs w:val="18"/>
              </w:rPr>
              <w:t>五、</w:t>
            </w:r>
            <w:r>
              <w:rPr>
                <w:rFonts w:hint="eastAsia" w:ascii="宋体" w:hAnsi="宋体" w:cs="宋体"/>
                <w:kern w:val="0"/>
                <w:sz w:val="18"/>
                <w:szCs w:val="18"/>
                <w:lang w:val="zh-CN"/>
              </w:rPr>
              <w:t>电脑模块</w:t>
            </w:r>
            <w:r>
              <w:rPr>
                <w:rFonts w:hint="eastAsia" w:ascii="宋体" w:hAnsi="宋体" w:cs="宋体"/>
                <w:kern w:val="0"/>
                <w:sz w:val="18"/>
                <w:szCs w:val="18"/>
              </w:rPr>
              <w:t>：</w:t>
            </w:r>
          </w:p>
          <w:p>
            <w:pPr>
              <w:widowControl/>
              <w:jc w:val="left"/>
              <w:rPr>
                <w:rFonts w:ascii="宋体" w:hAnsi="宋体" w:cs="宋体"/>
                <w:bCs/>
                <w:kern w:val="0"/>
                <w:sz w:val="18"/>
                <w:szCs w:val="18"/>
              </w:rPr>
            </w:pPr>
            <w:r>
              <w:rPr>
                <w:rFonts w:hint="eastAsia" w:ascii="宋体" w:hAnsi="宋体" w:cs="宋体"/>
                <w:bCs/>
                <w:kern w:val="0"/>
                <w:sz w:val="18"/>
                <w:szCs w:val="18"/>
              </w:rPr>
              <w:t>22.处理器：Intel Corei5</w:t>
            </w:r>
            <w:r>
              <w:rPr>
                <w:rFonts w:hint="eastAsia" w:ascii="宋体" w:hAnsi="宋体" w:cs="宋体"/>
                <w:kern w:val="0"/>
                <w:sz w:val="18"/>
                <w:szCs w:val="18"/>
              </w:rPr>
              <w:t>（</w:t>
            </w:r>
            <w:r>
              <w:rPr>
                <w:rFonts w:hint="eastAsia" w:ascii="宋体" w:hAnsi="宋体" w:cs="宋体"/>
                <w:kern w:val="0"/>
                <w:sz w:val="18"/>
                <w:szCs w:val="18"/>
                <w:lang w:val="zh-CN"/>
              </w:rPr>
              <w:t>第</w:t>
            </w:r>
            <w:r>
              <w:rPr>
                <w:rFonts w:hint="eastAsia" w:ascii="宋体" w:hAnsi="宋体" w:cs="宋体"/>
                <w:kern w:val="0"/>
                <w:sz w:val="18"/>
                <w:szCs w:val="18"/>
              </w:rPr>
              <w:t>10</w:t>
            </w:r>
            <w:r>
              <w:rPr>
                <w:rFonts w:hint="eastAsia" w:ascii="宋体" w:hAnsi="宋体" w:cs="宋体"/>
                <w:kern w:val="0"/>
                <w:sz w:val="18"/>
                <w:szCs w:val="18"/>
                <w:lang w:val="zh-CN"/>
              </w:rPr>
              <w:t>代</w:t>
            </w:r>
            <w:r>
              <w:rPr>
                <w:rFonts w:hint="eastAsia" w:ascii="宋体" w:hAnsi="宋体" w:cs="宋体"/>
                <w:kern w:val="0"/>
                <w:sz w:val="18"/>
                <w:szCs w:val="18"/>
              </w:rPr>
              <w:t>及以上）；</w:t>
            </w:r>
            <w:r>
              <w:rPr>
                <w:rFonts w:ascii="宋体" w:hAnsi="宋体" w:cs="宋体"/>
                <w:bCs/>
                <w:kern w:val="0"/>
                <w:sz w:val="18"/>
                <w:szCs w:val="18"/>
              </w:rPr>
              <w:t xml:space="preserve"> </w:t>
            </w:r>
          </w:p>
          <w:p>
            <w:pPr>
              <w:widowControl/>
              <w:jc w:val="left"/>
              <w:rPr>
                <w:rFonts w:ascii="宋体" w:hAnsi="宋体" w:cs="宋体"/>
                <w:bCs/>
                <w:kern w:val="0"/>
                <w:sz w:val="18"/>
                <w:szCs w:val="18"/>
              </w:rPr>
            </w:pPr>
            <w:r>
              <w:rPr>
                <w:rFonts w:hint="eastAsia" w:ascii="宋体" w:hAnsi="宋体" w:cs="宋体"/>
                <w:bCs/>
                <w:kern w:val="0"/>
                <w:sz w:val="18"/>
                <w:szCs w:val="18"/>
              </w:rPr>
              <w:t>23.内存：8 GBDDR4内存或以上配置</w:t>
            </w:r>
          </w:p>
          <w:p>
            <w:pPr>
              <w:widowControl/>
              <w:jc w:val="left"/>
              <w:rPr>
                <w:rFonts w:ascii="宋体" w:hAnsi="宋体" w:cs="宋体"/>
                <w:bCs/>
                <w:kern w:val="0"/>
                <w:sz w:val="18"/>
                <w:szCs w:val="18"/>
              </w:rPr>
            </w:pPr>
            <w:r>
              <w:rPr>
                <w:rFonts w:hint="eastAsia" w:ascii="宋体" w:hAnsi="宋体" w:cs="宋体"/>
                <w:bCs/>
                <w:kern w:val="0"/>
                <w:sz w:val="18"/>
                <w:szCs w:val="18"/>
              </w:rPr>
              <w:t>24.硬盘：256 GB或以上SSD固态硬盘</w:t>
            </w:r>
          </w:p>
          <w:p>
            <w:pPr>
              <w:widowControl/>
              <w:jc w:val="left"/>
              <w:rPr>
                <w:rFonts w:ascii="宋体" w:hAnsi="宋体" w:cs="宋体"/>
                <w:bCs/>
                <w:kern w:val="0"/>
                <w:sz w:val="18"/>
                <w:szCs w:val="18"/>
              </w:rPr>
            </w:pPr>
            <w:r>
              <w:rPr>
                <w:rFonts w:hint="eastAsia" w:ascii="宋体" w:hAnsi="宋体" w:cs="宋体"/>
                <w:bCs/>
                <w:kern w:val="0"/>
                <w:sz w:val="18"/>
                <w:szCs w:val="18"/>
              </w:rPr>
              <w:t>25.PC模块可抽拉式插入整机，可实现无单独接线的插拔。</w:t>
            </w:r>
          </w:p>
          <w:p>
            <w:pPr>
              <w:widowControl/>
              <w:jc w:val="left"/>
              <w:rPr>
                <w:rFonts w:ascii="宋体" w:hAnsi="宋体" w:cs="宋体"/>
                <w:bCs/>
                <w:kern w:val="0"/>
                <w:sz w:val="18"/>
                <w:szCs w:val="18"/>
              </w:rPr>
            </w:pPr>
            <w:r>
              <w:rPr>
                <w:rFonts w:hint="eastAsia" w:ascii="宋体" w:hAnsi="宋体" w:cs="宋体"/>
                <w:bCs/>
                <w:kern w:val="0"/>
                <w:sz w:val="18"/>
                <w:szCs w:val="18"/>
              </w:rPr>
              <w:t>26.电脑模块无需工具即可快速拆卸电脑模块。</w:t>
            </w:r>
          </w:p>
          <w:p>
            <w:pPr>
              <w:widowControl/>
              <w:jc w:val="left"/>
              <w:rPr>
                <w:rFonts w:ascii="宋体" w:hAnsi="宋体" w:cs="宋体"/>
                <w:bCs/>
                <w:kern w:val="0"/>
                <w:sz w:val="18"/>
                <w:szCs w:val="18"/>
              </w:rPr>
            </w:pPr>
            <w:r>
              <w:rPr>
                <w:rFonts w:hint="eastAsia" w:ascii="宋体" w:hAnsi="宋体" w:cs="宋体"/>
                <w:bCs/>
                <w:kern w:val="0"/>
                <w:sz w:val="18"/>
                <w:szCs w:val="18"/>
              </w:rPr>
              <w:t>27.具有标准PC防盗锁孔。</w:t>
            </w:r>
          </w:p>
        </w:tc>
        <w:tc>
          <w:tcPr>
            <w:tcW w:w="666" w:type="dxa"/>
            <w:vAlign w:val="center"/>
          </w:tcPr>
          <w:p>
            <w:pPr>
              <w:widowControl/>
              <w:jc w:val="center"/>
              <w:textAlignment w:val="center"/>
              <w:rPr>
                <w:rFonts w:ascii="宋体" w:hAnsi="宋体" w:cs="宋体"/>
                <w:sz w:val="18"/>
                <w:szCs w:val="18"/>
              </w:rPr>
            </w:pPr>
            <w:r>
              <w:rPr>
                <w:rFonts w:hint="eastAsia" w:ascii="宋体" w:hAnsi="宋体" w:cs="宋体"/>
                <w:sz w:val="18"/>
                <w:szCs w:val="18"/>
              </w:rPr>
              <w:t>9</w:t>
            </w:r>
          </w:p>
        </w:tc>
        <w:tc>
          <w:tcPr>
            <w:tcW w:w="625"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3</w:t>
            </w:r>
          </w:p>
        </w:tc>
        <w:tc>
          <w:tcPr>
            <w:tcW w:w="1501" w:type="dxa"/>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壁挂式展台</w:t>
            </w:r>
          </w:p>
        </w:tc>
        <w:tc>
          <w:tcPr>
            <w:tcW w:w="5132" w:type="dxa"/>
          </w:tcPr>
          <w:p>
            <w:pPr>
              <w:textAlignment w:val="center"/>
              <w:rPr>
                <w:rFonts w:ascii="宋体" w:hAnsi="宋体" w:cs="宋体"/>
                <w:sz w:val="18"/>
                <w:szCs w:val="18"/>
              </w:rPr>
            </w:pPr>
            <w:r>
              <w:rPr>
                <w:rFonts w:hint="eastAsia" w:ascii="宋体" w:hAnsi="宋体" w:cs="宋体"/>
                <w:sz w:val="18"/>
                <w:szCs w:val="18"/>
              </w:rPr>
              <w:t>硬件参数：</w:t>
            </w:r>
          </w:p>
          <w:p>
            <w:pPr>
              <w:textAlignment w:val="center"/>
              <w:rPr>
                <w:rFonts w:ascii="宋体" w:hAnsi="宋体" w:cs="宋体"/>
                <w:sz w:val="18"/>
                <w:szCs w:val="18"/>
              </w:rPr>
            </w:pPr>
            <w:r>
              <w:rPr>
                <w:rFonts w:hint="eastAsia" w:ascii="宋体" w:hAnsi="宋体" w:cs="宋体"/>
                <w:sz w:val="18"/>
                <w:szCs w:val="18"/>
              </w:rPr>
              <w:t>1、箱体采用金属冷轧钢材质，采用金属三折叠式加宽超薄底板，内置机箱锁安全防盗，壁挂式安装。</w:t>
            </w:r>
          </w:p>
          <w:p>
            <w:pPr>
              <w:textAlignment w:val="center"/>
              <w:rPr>
                <w:rFonts w:ascii="宋体" w:hAnsi="宋体" w:cs="宋体"/>
                <w:sz w:val="18"/>
                <w:szCs w:val="18"/>
              </w:rPr>
            </w:pPr>
            <w:r>
              <w:rPr>
                <w:rFonts w:hint="eastAsia" w:ascii="宋体" w:hAnsi="宋体" w:cs="宋体"/>
                <w:sz w:val="18"/>
                <w:szCs w:val="18"/>
              </w:rPr>
              <w:t>2、CMOS 800W像素感光镜头，支持3264*2448、2592*1944、1920*1080p等</w:t>
            </w:r>
          </w:p>
          <w:p>
            <w:pPr>
              <w:textAlignment w:val="center"/>
              <w:rPr>
                <w:rFonts w:ascii="宋体" w:hAnsi="宋体" w:cs="宋体"/>
                <w:sz w:val="18"/>
                <w:szCs w:val="18"/>
              </w:rPr>
            </w:pPr>
            <w:r>
              <w:rPr>
                <w:rFonts w:hint="eastAsia" w:ascii="宋体" w:hAnsi="宋体" w:cs="宋体"/>
                <w:sz w:val="18"/>
                <w:szCs w:val="18"/>
              </w:rPr>
              <w:t xml:space="preserve">3、灯光控制：触摸式；视频录影格式：AVI ； 拍摄范围：A4幅面；   </w:t>
            </w:r>
          </w:p>
          <w:p>
            <w:pPr>
              <w:textAlignment w:val="center"/>
              <w:rPr>
                <w:rFonts w:ascii="宋体" w:hAnsi="宋体" w:cs="宋体"/>
                <w:sz w:val="18"/>
                <w:szCs w:val="18"/>
              </w:rPr>
            </w:pPr>
            <w:r>
              <w:rPr>
                <w:rFonts w:hint="eastAsia" w:ascii="宋体" w:hAnsi="宋体" w:cs="宋体"/>
                <w:sz w:val="18"/>
                <w:szCs w:val="18"/>
              </w:rPr>
              <w:t xml:space="preserve">4、曝光/白平衡：自动 ；  对焦方式：定焦；  </w:t>
            </w:r>
          </w:p>
          <w:p>
            <w:pPr>
              <w:textAlignment w:val="center"/>
              <w:rPr>
                <w:rFonts w:ascii="宋体" w:hAnsi="宋体" w:cs="宋体"/>
                <w:sz w:val="18"/>
                <w:szCs w:val="18"/>
              </w:rPr>
            </w:pPr>
            <w:r>
              <w:rPr>
                <w:rFonts w:hint="eastAsia" w:ascii="宋体" w:hAnsi="宋体" w:cs="宋体"/>
                <w:sz w:val="18"/>
                <w:szCs w:val="18"/>
              </w:rPr>
              <w:t>5、采用支臂顶部触摸感应循环四级调光设计；光源:LED 补光；  色彩位数：32 位；</w:t>
            </w:r>
          </w:p>
          <w:p>
            <w:pPr>
              <w:textAlignment w:val="center"/>
              <w:rPr>
                <w:rFonts w:ascii="宋体" w:hAnsi="宋体" w:cs="宋体"/>
                <w:sz w:val="18"/>
                <w:szCs w:val="18"/>
              </w:rPr>
            </w:pPr>
            <w:r>
              <w:rPr>
                <w:rFonts w:hint="eastAsia" w:ascii="宋体" w:hAnsi="宋体" w:cs="宋体"/>
                <w:sz w:val="18"/>
                <w:szCs w:val="18"/>
              </w:rPr>
              <w:t>6、解像度：≥1200TV线；可实现图像质量调节，对亮度、对比度、清晰度、饱和度、锐度、逆光对比、</w:t>
            </w:r>
          </w:p>
          <w:p>
            <w:pPr>
              <w:textAlignment w:val="center"/>
              <w:rPr>
                <w:rFonts w:ascii="宋体" w:hAnsi="宋体" w:cs="宋体"/>
                <w:sz w:val="18"/>
                <w:szCs w:val="18"/>
              </w:rPr>
            </w:pPr>
            <w:r>
              <w:rPr>
                <w:rFonts w:hint="eastAsia" w:ascii="宋体" w:hAnsi="宋体" w:cs="宋体"/>
                <w:sz w:val="18"/>
                <w:szCs w:val="18"/>
              </w:rPr>
              <w:t>色彩调整、伽马、图像增益等进行调节设置</w:t>
            </w:r>
          </w:p>
          <w:p>
            <w:pPr>
              <w:textAlignment w:val="center"/>
              <w:rPr>
                <w:rFonts w:ascii="宋体" w:hAnsi="宋体" w:cs="宋体"/>
                <w:sz w:val="18"/>
                <w:szCs w:val="18"/>
              </w:rPr>
            </w:pPr>
            <w:r>
              <w:rPr>
                <w:rFonts w:hint="eastAsia" w:ascii="宋体" w:hAnsi="宋体" w:cs="宋体"/>
                <w:sz w:val="18"/>
                <w:szCs w:val="18"/>
              </w:rPr>
              <w:t>7、采用单根USB 4米线实现视频展台模组直出供电、高清数据传输需求，展台可选左右侧出线；</w:t>
            </w:r>
          </w:p>
          <w:p>
            <w:pPr>
              <w:textAlignment w:val="center"/>
              <w:rPr>
                <w:rFonts w:ascii="宋体" w:hAnsi="宋体" w:cs="宋体"/>
                <w:sz w:val="18"/>
                <w:szCs w:val="18"/>
              </w:rPr>
            </w:pPr>
            <w:r>
              <w:rPr>
                <w:rFonts w:hint="eastAsia" w:ascii="宋体" w:hAnsi="宋体" w:cs="宋体"/>
                <w:sz w:val="18"/>
                <w:szCs w:val="18"/>
              </w:rPr>
              <w:t>软件部分：</w:t>
            </w:r>
          </w:p>
          <w:p>
            <w:pPr>
              <w:textAlignment w:val="center"/>
              <w:rPr>
                <w:rFonts w:ascii="宋体" w:hAnsi="宋体" w:cs="宋体"/>
                <w:sz w:val="18"/>
                <w:szCs w:val="18"/>
              </w:rPr>
            </w:pPr>
            <w:r>
              <w:rPr>
                <w:rFonts w:hint="eastAsia" w:ascii="宋体" w:hAnsi="宋体" w:cs="宋体"/>
                <w:sz w:val="18"/>
                <w:szCs w:val="18"/>
              </w:rPr>
              <w:t xml:space="preserve">1.开启一键2秒快速进入视频展台拍摄模式，配有开启视频展台、调取PPT、视频录屏录像并可选择区域、图像对比、快速抓图、一键桌面、一键退出等8个一级快捷功能键且均有中文对应标注，任一软件界面均具备快速导航跳转功能，方便快速切换，退出界面； </w:t>
            </w:r>
          </w:p>
          <w:p>
            <w:pPr>
              <w:textAlignment w:val="center"/>
              <w:rPr>
                <w:rFonts w:ascii="宋体" w:hAnsi="宋体" w:cs="宋体"/>
                <w:sz w:val="18"/>
                <w:szCs w:val="18"/>
              </w:rPr>
            </w:pPr>
            <w:r>
              <w:rPr>
                <w:rFonts w:hint="eastAsia" w:ascii="宋体" w:hAnsi="宋体" w:cs="宋体"/>
                <w:sz w:val="18"/>
                <w:szCs w:val="18"/>
              </w:rPr>
              <w:t>2.通过软件视频展示可以实现动态即时旋转和视频显示内容能够以鼠标所在点为中心，可以实现画面360°手势流畅无极旋转；软件底部快捷功能键带画中画（大小摄像头可以一键互换）、放大、缩小、分辨率选择、视频窗口冻结、一键全屏、实际大小等快捷功能，可实现色彩、对比度、亮度调节、光学展台变焦控制（需带光学镜头）等；</w:t>
            </w:r>
          </w:p>
          <w:p>
            <w:pPr>
              <w:textAlignment w:val="center"/>
              <w:rPr>
                <w:rFonts w:ascii="宋体" w:hAnsi="宋体" w:cs="宋体"/>
                <w:sz w:val="18"/>
                <w:szCs w:val="18"/>
              </w:rPr>
            </w:pPr>
            <w:r>
              <w:rPr>
                <w:rFonts w:hint="eastAsia" w:ascii="宋体" w:hAnsi="宋体" w:cs="宋体"/>
                <w:sz w:val="18"/>
                <w:szCs w:val="18"/>
              </w:rPr>
              <w:t>3.可以在任意界面上（包括视频展台、PPT、网页界面等）自由划线标注，批注流畅，支持16位255种彩色标注，透明度可设，可保存、局部擦除、全屏擦除; 支持在电脑的任意画面下进行批注并保存，批注流畅线条清晰无锯齿纹，</w:t>
            </w:r>
          </w:p>
          <w:p>
            <w:pPr>
              <w:textAlignment w:val="center"/>
              <w:rPr>
                <w:rFonts w:ascii="宋体" w:hAnsi="宋体" w:cs="宋体"/>
                <w:sz w:val="18"/>
                <w:szCs w:val="18"/>
              </w:rPr>
            </w:pPr>
            <w:r>
              <w:rPr>
                <w:rFonts w:hint="eastAsia" w:ascii="宋体" w:hAnsi="宋体" w:cs="宋体"/>
                <w:sz w:val="18"/>
                <w:szCs w:val="18"/>
              </w:rPr>
              <w:t>4.批注栏可隐藏和打开；双击可实现左右功能栏移位互换；</w:t>
            </w:r>
          </w:p>
          <w:p>
            <w:pPr>
              <w:textAlignment w:val="center"/>
              <w:rPr>
                <w:rFonts w:ascii="宋体" w:hAnsi="宋体" w:cs="宋体"/>
                <w:sz w:val="18"/>
                <w:szCs w:val="18"/>
              </w:rPr>
            </w:pPr>
            <w:r>
              <w:rPr>
                <w:rFonts w:hint="eastAsia" w:ascii="宋体" w:hAnsi="宋体" w:cs="宋体"/>
                <w:sz w:val="18"/>
                <w:szCs w:val="18"/>
              </w:rPr>
              <w:t>5.支持同屏多画面对比教学功能：具有1、2、3、4、16画面同屏展示并可相互间实时切换、分别控制放大、缩小、旋转、保存、文字输入和白板标注，进行逐一对比教学；每一个小屏画面均可同时实时调取展台视频即时画面，最多可16屏同时实时视频展示，并可单独旋转，缩放，编辑；每一个分屏均可实现视频与图片的互相切换；内置图像和文本双模式一键切换，贴切用户使用习惯；</w:t>
            </w:r>
          </w:p>
          <w:p>
            <w:pPr>
              <w:textAlignment w:val="center"/>
              <w:rPr>
                <w:rFonts w:ascii="宋体" w:hAnsi="宋体" w:cs="宋体"/>
                <w:sz w:val="18"/>
                <w:szCs w:val="18"/>
              </w:rPr>
            </w:pPr>
            <w:r>
              <w:rPr>
                <w:rFonts w:hint="eastAsia" w:ascii="宋体" w:hAnsi="宋体" w:cs="宋体"/>
                <w:sz w:val="18"/>
                <w:szCs w:val="18"/>
              </w:rPr>
              <w:t>6.聚光灯模式，可用于突出和强调重点内容，聚光区域可进行自由拖动并且调节画面大小；</w:t>
            </w:r>
          </w:p>
          <w:p>
            <w:pPr>
              <w:textAlignment w:val="center"/>
              <w:rPr>
                <w:rFonts w:ascii="宋体" w:hAnsi="宋体" w:cs="宋体"/>
                <w:sz w:val="18"/>
                <w:szCs w:val="18"/>
              </w:rPr>
            </w:pPr>
            <w:r>
              <w:rPr>
                <w:rFonts w:hint="eastAsia" w:ascii="宋体" w:hAnsi="宋体" w:cs="宋体"/>
                <w:sz w:val="18"/>
                <w:szCs w:val="18"/>
              </w:rPr>
              <w:t>7.自带二维码识别功能，扫描打开互联网课件链接或内容；故障检测辅助功能，可帮助软件系统一键复原；</w:t>
            </w:r>
          </w:p>
          <w:p>
            <w:pPr>
              <w:textAlignment w:val="center"/>
              <w:rPr>
                <w:rFonts w:ascii="宋体" w:hAnsi="宋体" w:cs="宋体"/>
                <w:sz w:val="18"/>
                <w:szCs w:val="18"/>
              </w:rPr>
            </w:pPr>
            <w:r>
              <w:rPr>
                <w:rFonts w:hint="eastAsia" w:ascii="宋体" w:hAnsi="宋体" w:cs="宋体"/>
                <w:sz w:val="18"/>
                <w:szCs w:val="18"/>
              </w:rPr>
              <w:t>8.具有课件制作扫描和文档采集管理功能：支持自动连续扫描拍照，时间速度可设；支持局部框选拍照，拍照画面大小随意设置、保存；内置电子文档识别文字功能（OCR）,文字识别率高，方便编辑使用；</w:t>
            </w:r>
          </w:p>
          <w:p>
            <w:pPr>
              <w:textAlignment w:val="center"/>
              <w:rPr>
                <w:rFonts w:ascii="宋体" w:hAnsi="宋体" w:cs="宋体"/>
                <w:sz w:val="18"/>
                <w:szCs w:val="18"/>
              </w:rPr>
            </w:pPr>
            <w:r>
              <w:rPr>
                <w:rFonts w:hint="eastAsia" w:ascii="宋体" w:hAnsi="宋体" w:cs="宋体"/>
                <w:sz w:val="18"/>
                <w:szCs w:val="18"/>
              </w:rPr>
              <w:t>9.可做动态视频录制，录像格式为AVI，录像画面大小可以框选调节，可将电脑桌面和展台画面切换录制，方便进行微课制作.</w:t>
            </w:r>
          </w:p>
          <w:p>
            <w:pPr>
              <w:textAlignment w:val="center"/>
              <w:rPr>
                <w:rFonts w:ascii="宋体" w:hAnsi="宋体" w:cs="宋体"/>
                <w:sz w:val="18"/>
                <w:szCs w:val="18"/>
              </w:rPr>
            </w:pPr>
            <w:r>
              <w:rPr>
                <w:rFonts w:hint="eastAsia" w:ascii="宋体" w:hAnsi="宋体" w:cs="宋体"/>
                <w:sz w:val="18"/>
                <w:szCs w:val="18"/>
              </w:rPr>
              <w:t>签订合同时提供生产厂家针对本项目投标单位授权书原件及生产厂家针对本项目使用单位三年质保函原件加盖原厂公章。</w:t>
            </w:r>
          </w:p>
          <w:p>
            <w:pPr>
              <w:pStyle w:val="33"/>
            </w:pPr>
            <w:r>
              <w:drawing>
                <wp:inline distT="0" distB="0" distL="114300" distR="114300">
                  <wp:extent cx="1163320" cy="1570355"/>
                  <wp:effectExtent l="0" t="0" r="17780" b="1079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7"/>
                          <a:srcRect l="23907" r="23682"/>
                          <a:stretch>
                            <a:fillRect/>
                          </a:stretch>
                        </pic:blipFill>
                        <pic:spPr>
                          <a:xfrm>
                            <a:off x="0" y="0"/>
                            <a:ext cx="1163320" cy="1570355"/>
                          </a:xfrm>
                          <a:prstGeom prst="rect">
                            <a:avLst/>
                          </a:prstGeom>
                          <a:noFill/>
                          <a:ln>
                            <a:noFill/>
                          </a:ln>
                        </pic:spPr>
                      </pic:pic>
                    </a:graphicData>
                  </a:graphic>
                </wp:inline>
              </w:drawing>
            </w:r>
            <w:r>
              <w:rPr>
                <w:rFonts w:ascii="宋体" w:hAnsi="宋体" w:cs="宋体"/>
                <w:kern w:val="0"/>
                <w:szCs w:val="21"/>
              </w:rPr>
              <w:drawing>
                <wp:inline distT="0" distB="0" distL="114300" distR="114300">
                  <wp:extent cx="1047115" cy="1578610"/>
                  <wp:effectExtent l="0" t="0" r="635" b="2540"/>
                  <wp:docPr id="6" name="图片 7" descr="17cad65824a40fe7868f8550beb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7cad65824a40fe7868f8550beb9779"/>
                          <pic:cNvPicPr>
                            <a:picLocks noChangeAspect="1"/>
                          </pic:cNvPicPr>
                        </pic:nvPicPr>
                        <pic:blipFill>
                          <a:blip r:embed="rId8"/>
                          <a:stretch>
                            <a:fillRect/>
                          </a:stretch>
                        </pic:blipFill>
                        <pic:spPr>
                          <a:xfrm>
                            <a:off x="0" y="0"/>
                            <a:ext cx="1047115" cy="1578610"/>
                          </a:xfrm>
                          <a:prstGeom prst="rect">
                            <a:avLst/>
                          </a:prstGeom>
                          <a:noFill/>
                          <a:ln>
                            <a:noFill/>
                          </a:ln>
                        </pic:spPr>
                      </pic:pic>
                    </a:graphicData>
                  </a:graphic>
                </wp:inline>
              </w:drawing>
            </w:r>
          </w:p>
        </w:tc>
        <w:tc>
          <w:tcPr>
            <w:tcW w:w="666" w:type="dxa"/>
            <w:vAlign w:val="center"/>
          </w:tcPr>
          <w:p>
            <w:pPr>
              <w:widowControl/>
              <w:jc w:val="center"/>
              <w:textAlignment w:val="center"/>
              <w:rPr>
                <w:rFonts w:ascii="宋体" w:hAnsi="宋体" w:cs="宋体"/>
                <w:sz w:val="18"/>
                <w:szCs w:val="18"/>
              </w:rPr>
            </w:pPr>
            <w:r>
              <w:rPr>
                <w:rFonts w:hint="eastAsia" w:ascii="宋体" w:hAnsi="宋体" w:cs="宋体"/>
                <w:sz w:val="18"/>
                <w:szCs w:val="18"/>
              </w:rPr>
              <w:t>390</w:t>
            </w:r>
          </w:p>
        </w:tc>
        <w:tc>
          <w:tcPr>
            <w:tcW w:w="625"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4</w:t>
            </w:r>
          </w:p>
        </w:tc>
        <w:tc>
          <w:tcPr>
            <w:tcW w:w="1501" w:type="dxa"/>
            <w:vAlign w:val="center"/>
          </w:tcPr>
          <w:p>
            <w:pPr>
              <w:widowControl/>
              <w:jc w:val="left"/>
              <w:textAlignment w:val="center"/>
              <w:rPr>
                <w:rFonts w:ascii="宋体" w:hAnsi="宋体" w:cs="宋体"/>
                <w:sz w:val="18"/>
                <w:szCs w:val="18"/>
              </w:rPr>
            </w:pPr>
            <w:r>
              <w:rPr>
                <w:rFonts w:hint="eastAsia" w:ascii="宋体" w:hAnsi="宋体" w:cs="宋体"/>
                <w:sz w:val="18"/>
                <w:szCs w:val="18"/>
              </w:rPr>
              <w:t>四推拉绿板</w:t>
            </w:r>
          </w:p>
        </w:tc>
        <w:tc>
          <w:tcPr>
            <w:tcW w:w="5132" w:type="dxa"/>
          </w:tcPr>
          <w:p>
            <w:pPr>
              <w:textAlignment w:val="center"/>
              <w:rPr>
                <w:rFonts w:ascii="宋体" w:hAnsi="宋体" w:cs="宋体"/>
                <w:sz w:val="18"/>
                <w:szCs w:val="18"/>
              </w:rPr>
            </w:pPr>
            <w:r>
              <w:rPr>
                <w:rFonts w:hint="eastAsia" w:ascii="宋体" w:hAnsi="宋体" w:cs="宋体"/>
                <w:sz w:val="18"/>
                <w:szCs w:val="18"/>
              </w:rPr>
              <w:t>1. 结构：双层结构，内层为固定书写板，外层为滑动书写板，滑动板配装刻有黑板品牌LOGO标识的挂锁，开闭自如确保一体机的安全管理，支持电子产品居中安装；</w:t>
            </w:r>
          </w:p>
          <w:p>
            <w:pPr>
              <w:textAlignment w:val="center"/>
              <w:rPr>
                <w:rFonts w:ascii="宋体" w:hAnsi="宋体" w:cs="宋体"/>
                <w:sz w:val="18"/>
                <w:szCs w:val="18"/>
              </w:rPr>
            </w:pPr>
            <w:r>
              <w:rPr>
                <w:rFonts w:hint="eastAsia" w:ascii="宋体" w:hAnsi="宋体" w:cs="宋体"/>
                <w:sz w:val="18"/>
                <w:szCs w:val="18"/>
              </w:rPr>
              <w:t>2. 规格：长度4000mm*1300，高度可根据所配电子产品适当调整，确保与电子产品的有效配套；</w:t>
            </w:r>
          </w:p>
          <w:p>
            <w:pPr>
              <w:textAlignment w:val="center"/>
              <w:rPr>
                <w:rFonts w:ascii="宋体" w:hAnsi="宋体" w:cs="宋体"/>
                <w:sz w:val="18"/>
                <w:szCs w:val="18"/>
              </w:rPr>
            </w:pPr>
            <w:r>
              <w:rPr>
                <w:rFonts w:hint="eastAsia" w:ascii="宋体" w:hAnsi="宋体" w:cs="宋体"/>
                <w:sz w:val="18"/>
                <w:szCs w:val="18"/>
              </w:rPr>
              <w:t>3. 板面：采用优质烤漆板,板面颜色亚光绿板，厚度≥0.</w:t>
            </w:r>
            <w:r>
              <w:rPr>
                <w:rFonts w:ascii="宋体" w:hAnsi="宋体" w:cs="宋体"/>
                <w:sz w:val="18"/>
                <w:szCs w:val="18"/>
              </w:rPr>
              <w:t>3</w:t>
            </w:r>
            <w:r>
              <w:rPr>
                <w:rFonts w:hint="eastAsia" w:ascii="宋体" w:hAnsi="宋体" w:cs="宋体"/>
                <w:sz w:val="18"/>
                <w:szCs w:val="18"/>
              </w:rPr>
              <w:t>mm。没有因黑板本身原因产生的眩光。书写流畅字迹清晰、色彩协调可视效果佳，有效的缓解学生视觉疲劳；板面表面附有一层透明保护膜，符合GB28231-2011《书写板安全卫生要求》；</w:t>
            </w:r>
          </w:p>
          <w:p>
            <w:pPr>
              <w:textAlignment w:val="center"/>
              <w:rPr>
                <w:rFonts w:ascii="宋体" w:hAnsi="宋体" w:cs="宋体"/>
                <w:sz w:val="18"/>
                <w:szCs w:val="18"/>
              </w:rPr>
            </w:pPr>
            <w:r>
              <w:rPr>
                <w:rFonts w:hint="eastAsia" w:ascii="宋体" w:hAnsi="宋体" w:cs="宋体"/>
                <w:sz w:val="18"/>
                <w:szCs w:val="18"/>
              </w:rPr>
              <w:t>4. 衬板：选用高强度、吸音、防潮、阻燃聚苯乙烯板，厚度≥14mm；</w:t>
            </w:r>
          </w:p>
          <w:p>
            <w:pPr>
              <w:textAlignment w:val="center"/>
              <w:rPr>
                <w:rFonts w:ascii="宋体" w:hAnsi="宋体" w:cs="宋体"/>
                <w:sz w:val="18"/>
                <w:szCs w:val="18"/>
              </w:rPr>
            </w:pPr>
            <w:r>
              <w:rPr>
                <w:rFonts w:hint="eastAsia" w:ascii="宋体" w:hAnsi="宋体" w:cs="宋体"/>
                <w:sz w:val="18"/>
                <w:szCs w:val="18"/>
              </w:rPr>
              <w:t>5. 背板：采用优质镀锌钢板，厚度≥0.2mm，机械化流水线一次成型，设有凹槽加强筋，增加板体强度；</w:t>
            </w:r>
          </w:p>
          <w:p>
            <w:pPr>
              <w:textAlignment w:val="center"/>
              <w:rPr>
                <w:rFonts w:ascii="宋体" w:hAnsi="宋体" w:cs="宋体"/>
                <w:sz w:val="18"/>
                <w:szCs w:val="18"/>
              </w:rPr>
            </w:pPr>
            <w:r>
              <w:rPr>
                <w:rFonts w:hint="eastAsia" w:ascii="宋体" w:hAnsi="宋体" w:cs="宋体"/>
                <w:sz w:val="18"/>
                <w:szCs w:val="18"/>
              </w:rPr>
              <w:t>6. 覆板：采用环保型双组份聚氨酯胶水，自动化流水线覆板作业，确保粘接牢固板面平整，甲醛释放量≤0.025mg/L，符合GB 28231-2011《书写板安全卫生要求》；</w:t>
            </w:r>
          </w:p>
          <w:p>
            <w:pPr>
              <w:textAlignment w:val="center"/>
              <w:rPr>
                <w:rFonts w:ascii="宋体" w:hAnsi="宋体" w:cs="宋体"/>
                <w:sz w:val="18"/>
                <w:szCs w:val="18"/>
              </w:rPr>
            </w:pPr>
            <w:r>
              <w:rPr>
                <w:rFonts w:hint="eastAsia" w:ascii="宋体" w:hAnsi="宋体" w:cs="宋体"/>
                <w:sz w:val="18"/>
                <w:szCs w:val="18"/>
              </w:rPr>
              <w:t>7. 边框：采用高强度香槟色电泳铝合金型材，性能符合GB 5237.3-2008标准。轨道上置隐藏式滑动系统，杜绝灰尘及杂物进入，结构性解决滑动受灰尘影响的问题。配有宽度≥30mm的多用槽，多用槽与滑动系统分离，与边框一次模具成形，可放置书写笔、教鞭等教具，不影响滑动板滑动，也可用于灰尘集中处理；</w:t>
            </w:r>
          </w:p>
          <w:p>
            <w:pPr>
              <w:textAlignment w:val="center"/>
              <w:rPr>
                <w:rFonts w:ascii="宋体" w:hAnsi="宋体" w:cs="宋体"/>
                <w:sz w:val="18"/>
                <w:szCs w:val="18"/>
              </w:rPr>
            </w:pPr>
            <w:r>
              <w:rPr>
                <w:rFonts w:hint="eastAsia" w:ascii="宋体" w:hAnsi="宋体" w:cs="宋体"/>
                <w:sz w:val="18"/>
                <w:szCs w:val="18"/>
              </w:rPr>
              <w:t>8. 包角：采用抗老化高强度ABS工程塑料注塑成型，采用双壁成腔流线型设计，黑板品牌标识与包角一次模具成型，无尖角毛刺，符合GB 21027-2007《学生用品的安全通用要求》；</w:t>
            </w:r>
          </w:p>
          <w:p>
            <w:pPr>
              <w:textAlignment w:val="center"/>
              <w:rPr>
                <w:rFonts w:ascii="宋体" w:hAnsi="宋体" w:cs="宋体"/>
                <w:sz w:val="18"/>
                <w:szCs w:val="18"/>
              </w:rPr>
            </w:pPr>
            <w:r>
              <w:rPr>
                <w:rFonts w:hint="eastAsia" w:ascii="宋体" w:hAnsi="宋体" w:cs="宋体"/>
                <w:sz w:val="18"/>
                <w:szCs w:val="18"/>
              </w:rPr>
              <w:t>9. 滑轮：双组高精度轴承上吊轮，下平滑动系统，上下均匀安装，滑动流畅、噪音小、前后定位精确。</w:t>
            </w:r>
          </w:p>
          <w:p>
            <w:pPr>
              <w:textAlignment w:val="center"/>
              <w:rPr>
                <w:rFonts w:ascii="宋体" w:hAnsi="宋体" w:cs="宋体"/>
                <w:sz w:val="18"/>
                <w:szCs w:val="18"/>
              </w:rPr>
            </w:pPr>
            <w:r>
              <w:rPr>
                <w:rFonts w:hint="eastAsia" w:ascii="宋体" w:hAnsi="宋体" w:cs="宋体"/>
                <w:sz w:val="18"/>
                <w:szCs w:val="18"/>
              </w:rPr>
              <w:t>10.安全性：一把锁实现对滑动黑板的锁定，钥匙通用，方便实用；</w:t>
            </w:r>
          </w:p>
          <w:p>
            <w:pPr>
              <w:pStyle w:val="45"/>
              <w:ind w:firstLine="360"/>
            </w:pPr>
            <w:r>
              <w:rPr>
                <w:rFonts w:ascii="宋体" w:cs="宋体"/>
                <w:sz w:val="18"/>
                <w:szCs w:val="18"/>
              </w:rPr>
              <w:drawing>
                <wp:inline distT="0" distB="0" distL="114300" distR="114300">
                  <wp:extent cx="2077085" cy="733425"/>
                  <wp:effectExtent l="0" t="0" r="18415" b="9525"/>
                  <wp:docPr id="10" name="图片 9" descr="中置液晶板、四块装推拉板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中置液晶板、四块装推拉板单"/>
                          <pic:cNvPicPr>
                            <a:picLocks noChangeAspect="1"/>
                          </pic:cNvPicPr>
                        </pic:nvPicPr>
                        <pic:blipFill>
                          <a:blip r:embed="rId9"/>
                          <a:stretch>
                            <a:fillRect/>
                          </a:stretch>
                        </pic:blipFill>
                        <pic:spPr>
                          <a:xfrm>
                            <a:off x="0" y="0"/>
                            <a:ext cx="2077085" cy="733425"/>
                          </a:xfrm>
                          <a:prstGeom prst="rect">
                            <a:avLst/>
                          </a:prstGeom>
                          <a:noFill/>
                          <a:ln>
                            <a:noFill/>
                          </a:ln>
                        </pic:spPr>
                      </pic:pic>
                    </a:graphicData>
                  </a:graphic>
                </wp:inline>
              </w:drawing>
            </w:r>
          </w:p>
        </w:tc>
        <w:tc>
          <w:tcPr>
            <w:tcW w:w="666" w:type="dxa"/>
            <w:vAlign w:val="center"/>
          </w:tcPr>
          <w:p>
            <w:pPr>
              <w:widowControl/>
              <w:jc w:val="center"/>
              <w:textAlignment w:val="center"/>
              <w:rPr>
                <w:rFonts w:ascii="宋体" w:hAnsi="宋体" w:cs="宋体"/>
                <w:sz w:val="18"/>
                <w:szCs w:val="18"/>
              </w:rPr>
            </w:pPr>
            <w:r>
              <w:rPr>
                <w:rFonts w:hint="eastAsia" w:ascii="宋体" w:hAnsi="宋体" w:cs="宋体"/>
                <w:sz w:val="18"/>
                <w:szCs w:val="18"/>
              </w:rPr>
              <w:t>389</w:t>
            </w:r>
          </w:p>
        </w:tc>
        <w:tc>
          <w:tcPr>
            <w:tcW w:w="625" w:type="dxa"/>
            <w:vAlign w:val="center"/>
          </w:tcPr>
          <w:p>
            <w:pPr>
              <w:widowControl/>
              <w:jc w:val="center"/>
              <w:textAlignment w:val="center"/>
              <w:rPr>
                <w:rFonts w:ascii="宋体" w:hAnsi="宋体" w:cs="宋体"/>
                <w:sz w:val="18"/>
                <w:szCs w:val="18"/>
              </w:rPr>
            </w:pPr>
            <w:r>
              <w:rPr>
                <w:rFonts w:hint="eastAsia" w:ascii="宋体" w:hAnsi="宋体" w:cs="宋体"/>
                <w:sz w:val="18"/>
                <w:szCs w:val="18"/>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5</w:t>
            </w:r>
          </w:p>
        </w:tc>
        <w:tc>
          <w:tcPr>
            <w:tcW w:w="1501" w:type="dxa"/>
            <w:vAlign w:val="center"/>
          </w:tcPr>
          <w:p>
            <w:pPr>
              <w:widowControl/>
              <w:jc w:val="left"/>
              <w:textAlignment w:val="center"/>
              <w:rPr>
                <w:rFonts w:ascii="宋体" w:hAnsi="宋体" w:cs="宋体"/>
                <w:sz w:val="18"/>
                <w:szCs w:val="18"/>
              </w:rPr>
            </w:pPr>
            <w:r>
              <w:rPr>
                <w:rFonts w:hint="eastAsia" w:ascii="宋体" w:hAnsi="宋体" w:cs="宋体"/>
                <w:sz w:val="18"/>
                <w:szCs w:val="18"/>
              </w:rPr>
              <w:t>移动支架</w:t>
            </w:r>
          </w:p>
        </w:tc>
        <w:tc>
          <w:tcPr>
            <w:tcW w:w="5132" w:type="dxa"/>
          </w:tcPr>
          <w:p>
            <w:pPr>
              <w:rPr>
                <w:rFonts w:ascii="宋体" w:hAnsi="宋体" w:cs="宋体"/>
                <w:bCs/>
                <w:kern w:val="0"/>
                <w:sz w:val="18"/>
                <w:szCs w:val="18"/>
              </w:rPr>
            </w:pPr>
            <w:r>
              <w:rPr>
                <w:rFonts w:hint="eastAsia" w:ascii="宋体" w:hAnsi="宋体" w:cs="宋体"/>
                <w:bCs/>
                <w:kern w:val="0"/>
                <w:sz w:val="18"/>
                <w:szCs w:val="18"/>
              </w:rPr>
              <w:t>与交互平板配套</w:t>
            </w:r>
          </w:p>
        </w:tc>
        <w:tc>
          <w:tcPr>
            <w:tcW w:w="666" w:type="dxa"/>
            <w:vAlign w:val="center"/>
          </w:tcPr>
          <w:p>
            <w:pPr>
              <w:widowControl/>
              <w:jc w:val="center"/>
              <w:textAlignment w:val="center"/>
              <w:rPr>
                <w:rFonts w:ascii="宋体" w:hAnsi="宋体" w:cs="宋体"/>
                <w:sz w:val="18"/>
                <w:szCs w:val="18"/>
              </w:rPr>
            </w:pPr>
            <w:r>
              <w:rPr>
                <w:rFonts w:hint="eastAsia" w:ascii="宋体" w:hAnsi="宋体" w:cs="宋体"/>
                <w:sz w:val="18"/>
                <w:szCs w:val="18"/>
              </w:rPr>
              <w:t>9</w:t>
            </w:r>
          </w:p>
        </w:tc>
        <w:tc>
          <w:tcPr>
            <w:tcW w:w="625" w:type="dxa"/>
            <w:vAlign w:val="center"/>
          </w:tcPr>
          <w:p>
            <w:pPr>
              <w:widowControl/>
              <w:jc w:val="center"/>
              <w:textAlignment w:val="center"/>
              <w:rPr>
                <w:rFonts w:ascii="宋体" w:hAnsi="宋体" w:cs="宋体"/>
                <w:sz w:val="18"/>
                <w:szCs w:val="18"/>
              </w:rPr>
            </w:pPr>
            <w:r>
              <w:rPr>
                <w:rFonts w:hint="eastAsia" w:ascii="宋体" w:hAnsi="宋体" w:cs="宋体"/>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5" w:type="dxa"/>
            <w:vAlign w:val="center"/>
          </w:tcPr>
          <w:p>
            <w:pPr>
              <w:jc w:val="center"/>
              <w:rPr>
                <w:rFonts w:ascii="宋体" w:hAnsi="宋体" w:cs="宋体"/>
                <w:sz w:val="18"/>
                <w:szCs w:val="18"/>
              </w:rPr>
            </w:pPr>
            <w:r>
              <w:rPr>
                <w:rFonts w:hint="eastAsia" w:ascii="宋体" w:hAnsi="宋体" w:cs="宋体"/>
                <w:sz w:val="18"/>
                <w:szCs w:val="18"/>
              </w:rPr>
              <w:t>6</w:t>
            </w:r>
          </w:p>
        </w:tc>
        <w:tc>
          <w:tcPr>
            <w:tcW w:w="1501" w:type="dxa"/>
            <w:vAlign w:val="center"/>
          </w:tcPr>
          <w:p>
            <w:pPr>
              <w:jc w:val="center"/>
              <w:rPr>
                <w:rFonts w:ascii="宋体" w:cs="宋体"/>
                <w:sz w:val="18"/>
                <w:szCs w:val="18"/>
              </w:rPr>
            </w:pPr>
            <w:r>
              <w:rPr>
                <w:rFonts w:hint="eastAsia" w:ascii="宋体" w:hAnsi="宋体" w:cs="宋体"/>
                <w:sz w:val="18"/>
                <w:szCs w:val="18"/>
              </w:rPr>
              <w:t>安装及附件</w:t>
            </w:r>
          </w:p>
        </w:tc>
        <w:tc>
          <w:tcPr>
            <w:tcW w:w="5132" w:type="dxa"/>
          </w:tcPr>
          <w:p>
            <w:pPr>
              <w:jc w:val="left"/>
              <w:rPr>
                <w:rFonts w:ascii="宋体" w:hAnsi="宋体" w:cs="宋体"/>
                <w:kern w:val="0"/>
                <w:sz w:val="18"/>
                <w:szCs w:val="18"/>
              </w:rPr>
            </w:pPr>
            <w:r>
              <w:rPr>
                <w:rFonts w:hint="eastAsia" w:ascii="宋体" w:hAnsi="宋体" w:cs="宋体"/>
                <w:kern w:val="0"/>
                <w:sz w:val="18"/>
                <w:szCs w:val="18"/>
              </w:rPr>
              <w:t>含交互平板壁装支架、网络线、水晶头</w:t>
            </w:r>
            <w:r>
              <w:rPr>
                <w:rFonts w:ascii="宋体" w:hAnsi="宋体" w:cs="宋体"/>
                <w:kern w:val="0"/>
                <w:sz w:val="18"/>
                <w:szCs w:val="18"/>
              </w:rPr>
              <w:t>RJ45</w:t>
            </w:r>
            <w:r>
              <w:rPr>
                <w:rFonts w:hint="eastAsia" w:ascii="宋体" w:hAnsi="宋体" w:cs="宋体"/>
                <w:kern w:val="0"/>
                <w:sz w:val="18"/>
                <w:szCs w:val="18"/>
              </w:rPr>
              <w:t>、阻燃塑料线槽板或</w:t>
            </w:r>
            <w:r>
              <w:rPr>
                <w:rFonts w:ascii="宋体" w:hAnsi="宋体" w:cs="宋体"/>
                <w:kern w:val="0"/>
                <w:sz w:val="18"/>
                <w:szCs w:val="18"/>
              </w:rPr>
              <w:t>PVC</w:t>
            </w:r>
            <w:r>
              <w:rPr>
                <w:rFonts w:hint="eastAsia" w:ascii="宋体" w:hAnsi="宋体" w:cs="宋体"/>
                <w:kern w:val="0"/>
                <w:sz w:val="18"/>
                <w:szCs w:val="18"/>
              </w:rPr>
              <w:t>管、线槽板等完成本项目安装及所需必要附件。</w:t>
            </w:r>
          </w:p>
          <w:p>
            <w:pPr>
              <w:jc w:val="left"/>
              <w:rPr>
                <w:rFonts w:ascii="宋体" w:cs="宋体"/>
                <w:kern w:val="0"/>
                <w:sz w:val="18"/>
                <w:szCs w:val="18"/>
              </w:rPr>
            </w:pPr>
            <w:r>
              <w:rPr>
                <w:rFonts w:ascii="宋体" w:hAnsi="宋体" w:cs="宋体"/>
                <w:kern w:val="0"/>
                <w:sz w:val="18"/>
                <w:szCs w:val="18"/>
              </w:rPr>
              <w:t>备注：</w:t>
            </w:r>
          </w:p>
          <w:p>
            <w:pPr>
              <w:jc w:val="left"/>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w:t>
            </w:r>
            <w:r>
              <w:rPr>
                <w:rFonts w:hint="eastAsia" w:ascii="宋体" w:hAnsi="宋体" w:cs="宋体"/>
                <w:kern w:val="0"/>
                <w:sz w:val="18"/>
                <w:szCs w:val="18"/>
              </w:rPr>
              <w:t>此次采购安装学校比较分散，遍及全市各乡镇街道中小学，投标人要充分考虑因此而产生的费用；</w:t>
            </w:r>
          </w:p>
          <w:p>
            <w:pPr>
              <w:jc w:val="left"/>
              <w:rPr>
                <w:rFonts w:ascii="宋体" w:cs="宋体"/>
                <w:sz w:val="18"/>
                <w:szCs w:val="18"/>
              </w:rPr>
            </w:pPr>
            <w:r>
              <w:rPr>
                <w:rFonts w:ascii="宋体" w:hAnsi="宋体" w:cs="宋体"/>
                <w:kern w:val="0"/>
                <w:sz w:val="18"/>
                <w:szCs w:val="18"/>
              </w:rPr>
              <w:t>2.</w:t>
            </w:r>
            <w:r>
              <w:rPr>
                <w:rFonts w:hint="eastAsia" w:ascii="宋体" w:hAnsi="宋体" w:cs="宋体"/>
                <w:kern w:val="0"/>
                <w:sz w:val="18"/>
                <w:szCs w:val="18"/>
              </w:rPr>
              <w:t>学校原有多媒体设备拆除、垃圾清运、旧设备搬运至学校指定位置。</w:t>
            </w:r>
          </w:p>
        </w:tc>
        <w:tc>
          <w:tcPr>
            <w:tcW w:w="666" w:type="dxa"/>
            <w:vAlign w:val="center"/>
          </w:tcPr>
          <w:p>
            <w:pPr>
              <w:jc w:val="center"/>
              <w:rPr>
                <w:rFonts w:ascii="宋体" w:cs="宋体"/>
                <w:sz w:val="18"/>
                <w:szCs w:val="18"/>
              </w:rPr>
            </w:pPr>
            <w:r>
              <w:rPr>
                <w:rFonts w:hint="eastAsia" w:ascii="宋体" w:hAnsi="宋体" w:cs="宋体"/>
                <w:sz w:val="18"/>
                <w:szCs w:val="18"/>
              </w:rPr>
              <w:t>1</w:t>
            </w:r>
          </w:p>
        </w:tc>
        <w:tc>
          <w:tcPr>
            <w:tcW w:w="625" w:type="dxa"/>
            <w:vAlign w:val="center"/>
          </w:tcPr>
          <w:p>
            <w:pPr>
              <w:widowControl/>
              <w:jc w:val="center"/>
              <w:textAlignment w:val="center"/>
              <w:rPr>
                <w:rFonts w:ascii="宋体" w:hAnsi="宋体" w:cs="宋体"/>
                <w:bCs/>
                <w:sz w:val="18"/>
                <w:szCs w:val="18"/>
              </w:rPr>
            </w:pPr>
            <w:r>
              <w:rPr>
                <w:rFonts w:hint="eastAsia" w:ascii="宋体" w:hAnsi="宋体" w:cs="宋体"/>
                <w:bCs/>
                <w:sz w:val="18"/>
                <w:szCs w:val="18"/>
              </w:rPr>
              <w:t>批</w:t>
            </w:r>
          </w:p>
        </w:tc>
      </w:tr>
    </w:tbl>
    <w:p>
      <w:pPr>
        <w:rPr>
          <w:rFonts w:ascii="宋体" w:hAnsi="宋体" w:cs="宋体"/>
          <w:b/>
          <w:bCs/>
          <w:kern w:val="0"/>
        </w:rPr>
      </w:pPr>
    </w:p>
    <w:p>
      <w:pPr>
        <w:autoSpaceDE w:val="0"/>
        <w:autoSpaceDN w:val="0"/>
        <w:adjustRightInd w:val="0"/>
        <w:rPr>
          <w:rFonts w:ascii="宋体" w:hAnsi="宋体" w:cs="宋体"/>
          <w:kern w:val="0"/>
          <w:sz w:val="18"/>
          <w:szCs w:val="18"/>
          <w:lang w:val="zh-CN"/>
        </w:rPr>
      </w:pPr>
      <w:r>
        <w:rPr>
          <w:rFonts w:hint="eastAsia" w:ascii="宋体" w:hAnsi="宋体" w:cs="宋体"/>
          <w:b/>
          <w:bCs/>
          <w:color w:val="000000"/>
          <w:kern w:val="0"/>
        </w:rPr>
        <w:t>注：</w:t>
      </w:r>
      <w:r>
        <w:rPr>
          <w:rFonts w:hint="eastAsia" w:ascii="宋体" w:hAnsi="宋体"/>
          <w:b/>
          <w:bCs/>
        </w:rPr>
        <w:t>采购文件中带</w:t>
      </w:r>
      <w:r>
        <w:rPr>
          <w:rFonts w:hint="eastAsia" w:ascii="宋体" w:hAnsi="宋体" w:cs="宋体"/>
          <w:kern w:val="0"/>
          <w:szCs w:val="21"/>
        </w:rPr>
        <w:t>★</w:t>
      </w:r>
      <w:r>
        <w:rPr>
          <w:rFonts w:hint="eastAsia" w:ascii="宋体" w:hAnsi="宋体"/>
          <w:b/>
          <w:bCs/>
        </w:rPr>
        <w:t>的技术参数与要求为必须完全满足否则技术参数分做零分处理</w:t>
      </w:r>
      <w:r>
        <w:rPr>
          <w:rFonts w:ascii="宋体"/>
          <w:b/>
          <w:bCs/>
        </w:rPr>
        <w:t>,</w:t>
      </w:r>
      <w:r>
        <w:rPr>
          <w:rFonts w:hint="eastAsia" w:ascii="宋体" w:hAnsi="宋体"/>
          <w:b/>
          <w:bCs/>
        </w:rPr>
        <w:t>技术参数上要求提供的资料、截图、检测报告、证书等要如实提供且在技术偏离表中注明页码（如不在偏离表中注明页码而导致评分不良后果的由投标人承担），以便评委准确的评定，如伪造或者提供虚假证明的，按</w:t>
      </w:r>
      <w:r>
        <w:rPr>
          <w:rFonts w:hint="eastAsia" w:ascii="宋体" w:hAnsi="宋体"/>
          <w:b/>
          <w:bCs/>
          <w:kern w:val="0"/>
        </w:rPr>
        <w:t>《政府采购法》相关规定予以处罚</w:t>
      </w:r>
      <w:r>
        <w:rPr>
          <w:rFonts w:hint="eastAsia" w:ascii="宋体" w:hAnsi="宋体"/>
          <w:b/>
          <w:bCs/>
        </w:rPr>
        <w:t>。签订合同前向采购人提供交互平板、壁挂式展台</w:t>
      </w:r>
      <w:r>
        <w:rPr>
          <w:rFonts w:hint="eastAsia" w:ascii="宋体" w:hAnsi="宋体"/>
          <w:b/>
          <w:bCs/>
          <w:kern w:val="0"/>
        </w:rPr>
        <w:t>等</w:t>
      </w:r>
      <w:r>
        <w:rPr>
          <w:rFonts w:ascii="宋体" w:hAnsi="宋体"/>
          <w:b/>
          <w:bCs/>
          <w:kern w:val="0"/>
        </w:rPr>
        <w:t>3</w:t>
      </w:r>
      <w:r>
        <w:rPr>
          <w:rFonts w:hint="eastAsia" w:ascii="宋体" w:hAnsi="宋体"/>
          <w:b/>
          <w:bCs/>
          <w:kern w:val="0"/>
        </w:rPr>
        <w:t>年原厂质保承诺函，正版WPS Office 2019教育版办公软件产品(提供介质光盘和软件产权归属为采购人的原厂正版授权许可原件)，</w:t>
      </w:r>
      <w:r>
        <w:rPr>
          <w:rFonts w:hint="eastAsia" w:ascii="宋体" w:hAnsi="宋体"/>
          <w:b/>
          <w:bCs/>
        </w:rPr>
        <w:t>不能提供的视作自动放弃中标资格。</w:t>
      </w:r>
    </w:p>
    <w:p>
      <w:pPr>
        <w:spacing w:line="400" w:lineRule="exact"/>
        <w:ind w:firstLine="482"/>
        <w:rPr>
          <w:rFonts w:ascii="仿宋_GB2312" w:hAnsi="宋体"/>
          <w:b/>
          <w:bCs/>
          <w:sz w:val="24"/>
        </w:rPr>
      </w:pPr>
      <w:r>
        <w:rPr>
          <w:rFonts w:ascii="宋体" w:hAnsi="宋体"/>
        </w:rPr>
        <w:t xml:space="preserve"> </w:t>
      </w:r>
    </w:p>
    <w:p>
      <w:pPr>
        <w:ind w:firstLine="472" w:firstLineChars="196"/>
        <w:rPr>
          <w:rFonts w:ascii="仿宋_GB2312" w:hAnsi="仿宋" w:eastAsia="仿宋_GB2312"/>
          <w:b/>
          <w:sz w:val="24"/>
        </w:rPr>
      </w:pPr>
      <w:r>
        <w:rPr>
          <w:rFonts w:hint="eastAsia" w:ascii="仿宋_GB2312" w:hAnsi="宋体"/>
          <w:b/>
          <w:bCs/>
          <w:sz w:val="24"/>
        </w:rPr>
        <w:t>8.4</w:t>
      </w:r>
      <w:r>
        <w:rPr>
          <w:rFonts w:hint="eastAsia" w:ascii="仿宋_GB2312" w:hAnsi="仿宋" w:eastAsia="仿宋_GB2312"/>
          <w:b/>
          <w:sz w:val="24"/>
        </w:rPr>
        <w:t>项目实施进度要求:</w:t>
      </w:r>
    </w:p>
    <w:p>
      <w:pPr>
        <w:rPr>
          <w:rFonts w:ascii="仿宋_GB2312" w:hAnsi="仿宋" w:eastAsia="仿宋_GB2312" w:cs="仿宋"/>
          <w:sz w:val="24"/>
        </w:rPr>
      </w:pPr>
      <w:r>
        <w:rPr>
          <w:rFonts w:hint="eastAsia" w:ascii="仿宋_GB2312" w:hAnsi="仿宋" w:eastAsia="仿宋_GB2312" w:cs="仿宋"/>
          <w:sz w:val="24"/>
        </w:rPr>
        <w:t>（1）安装地点：嵊州市市域内。</w:t>
      </w:r>
    </w:p>
    <w:p>
      <w:pPr>
        <w:rPr>
          <w:rFonts w:ascii="仿宋_GB2312" w:hAnsi="仿宋" w:eastAsia="仿宋_GB2312" w:cs="仿宋"/>
          <w:sz w:val="24"/>
        </w:rPr>
      </w:pPr>
      <w:r>
        <w:rPr>
          <w:rFonts w:hint="eastAsia" w:ascii="仿宋_GB2312" w:hAnsi="仿宋" w:eastAsia="仿宋_GB2312" w:cs="仿宋"/>
          <w:sz w:val="24"/>
        </w:rPr>
        <w:t>（2）项目安装完成时间：中标通知书发出5日内签订合同，自合同签订之日起20日内供货并完成安装调试</w:t>
      </w:r>
    </w:p>
    <w:p>
      <w:pPr>
        <w:ind w:firstLine="472" w:firstLineChars="196"/>
        <w:rPr>
          <w:rFonts w:ascii="仿宋_GB2312" w:hAnsi="仿宋" w:eastAsia="仿宋_GB2312" w:cs="仿宋"/>
          <w:b/>
          <w:sz w:val="24"/>
        </w:rPr>
      </w:pPr>
      <w:r>
        <w:rPr>
          <w:rFonts w:hint="eastAsia" w:ascii="仿宋_GB2312" w:hAnsi="仿宋" w:eastAsia="仿宋_GB2312" w:cs="仿宋"/>
          <w:b/>
          <w:sz w:val="24"/>
        </w:rPr>
        <w:t>8.5项目验收要求:</w:t>
      </w:r>
    </w:p>
    <w:p>
      <w:pPr>
        <w:autoSpaceDE w:val="0"/>
        <w:autoSpaceDN w:val="0"/>
        <w:adjustRightInd w:val="0"/>
        <w:snapToGrid w:val="0"/>
        <w:ind w:firstLine="420"/>
        <w:textAlignment w:val="bottom"/>
        <w:rPr>
          <w:rFonts w:ascii="仿宋_GB2312" w:hAnsi="仿宋" w:eastAsia="仿宋_GB2312" w:cs="仿宋"/>
          <w:sz w:val="24"/>
        </w:rPr>
      </w:pPr>
      <w:r>
        <w:rPr>
          <w:rFonts w:hint="eastAsia" w:ascii="仿宋_GB2312" w:hAnsi="仿宋" w:eastAsia="仿宋_GB2312" w:cs="仿宋"/>
          <w:sz w:val="24"/>
        </w:rPr>
        <w:t>（1）甲方对乙方提交的服务及产品依据招标文件上的技术规格要求和国家有关质量标准进行现场初步验收，外观、说明书符合招标文件技术要求的，给予签收，初步验收不合格的不予签收。交付运行后后，甲方组织相关人员进行验收。</w:t>
      </w:r>
    </w:p>
    <w:p>
      <w:pPr>
        <w:autoSpaceDE w:val="0"/>
        <w:autoSpaceDN w:val="0"/>
        <w:adjustRightInd w:val="0"/>
        <w:snapToGrid w:val="0"/>
        <w:ind w:firstLine="420"/>
        <w:textAlignment w:val="bottom"/>
        <w:rPr>
          <w:rFonts w:ascii="仿宋_GB2312" w:hAnsi="仿宋" w:eastAsia="仿宋_GB2312" w:cs="仿宋"/>
          <w:sz w:val="24"/>
        </w:rPr>
      </w:pPr>
      <w:r>
        <w:rPr>
          <w:rFonts w:hint="eastAsia" w:ascii="仿宋_GB2312" w:hAnsi="仿宋" w:eastAsia="仿宋_GB2312" w:cs="仿宋"/>
          <w:sz w:val="24"/>
        </w:rPr>
        <w:t>（2）乙方交付前应对服务及产品作出全面检查和对验收文件进行整理，并列出清单，作为甲方交付验收和使用的技术条件依据，检验的结果应随服务及产品交甲方。</w:t>
      </w:r>
    </w:p>
    <w:p>
      <w:pPr>
        <w:autoSpaceDE w:val="0"/>
        <w:autoSpaceDN w:val="0"/>
        <w:adjustRightInd w:val="0"/>
        <w:snapToGrid w:val="0"/>
        <w:ind w:firstLine="420"/>
        <w:textAlignment w:val="bottom"/>
        <w:rPr>
          <w:rFonts w:ascii="仿宋_GB2312" w:hAnsi="仿宋" w:eastAsia="仿宋_GB2312" w:cs="仿宋"/>
          <w:sz w:val="24"/>
        </w:rPr>
      </w:pPr>
      <w:r>
        <w:rPr>
          <w:rFonts w:hint="eastAsia" w:ascii="仿宋_GB2312" w:hAnsi="仿宋" w:eastAsia="仿宋_GB2312" w:cs="仿宋"/>
          <w:sz w:val="24"/>
        </w:rPr>
        <w:t>（3）甲方对乙方提供的服务及产品在使用前进行调试时，乙方需负责安装并培训甲方的使用操作人员，并协助甲方一起调试，直到符合技术要求，甲方才做最终验收。</w:t>
      </w:r>
    </w:p>
    <w:p>
      <w:pPr>
        <w:autoSpaceDE w:val="0"/>
        <w:autoSpaceDN w:val="0"/>
        <w:adjustRightInd w:val="0"/>
        <w:snapToGrid w:val="0"/>
        <w:ind w:firstLine="420"/>
        <w:textAlignment w:val="bottom"/>
        <w:rPr>
          <w:rFonts w:ascii="仿宋_GB2312" w:hAnsi="仿宋" w:eastAsia="仿宋_GB2312" w:cs="仿宋"/>
          <w:sz w:val="24"/>
        </w:rPr>
      </w:pPr>
      <w:r>
        <w:rPr>
          <w:rFonts w:hint="eastAsia" w:ascii="仿宋_GB2312" w:hAnsi="仿宋" w:eastAsia="仿宋_GB2312" w:cs="仿宋"/>
          <w:sz w:val="24"/>
        </w:rPr>
        <w:t>（4）对技术复杂的服务及产品，甲方可请国家认可的专业检测机构参与初步验收及最终验收，并由其出具质量检测报告。</w:t>
      </w:r>
    </w:p>
    <w:p>
      <w:pPr>
        <w:ind w:firstLine="420"/>
        <w:rPr>
          <w:rFonts w:ascii="仿宋_GB2312" w:hAnsi="仿宋" w:eastAsia="仿宋_GB2312" w:cs="仿宋"/>
          <w:sz w:val="24"/>
        </w:rPr>
      </w:pPr>
      <w:r>
        <w:rPr>
          <w:rFonts w:hint="eastAsia" w:ascii="仿宋_GB2312" w:hAnsi="仿宋" w:eastAsia="仿宋_GB2312" w:cs="仿宋"/>
          <w:sz w:val="24"/>
        </w:rPr>
        <w:t>（5）验收时乙方必须在现场，验收完毕后作出验收结果报告。</w:t>
      </w:r>
    </w:p>
    <w:p>
      <w:pPr>
        <w:ind w:firstLine="420"/>
        <w:rPr>
          <w:rFonts w:ascii="仿宋_GB2312" w:hAnsi="仿宋" w:eastAsia="仿宋_GB2312" w:cs="仿宋"/>
          <w:sz w:val="24"/>
        </w:rPr>
      </w:pPr>
      <w:r>
        <w:rPr>
          <w:rFonts w:hint="eastAsia" w:ascii="仿宋_GB2312" w:hAnsi="仿宋" w:eastAsia="仿宋_GB2312" w:cs="仿宋"/>
          <w:sz w:val="24"/>
        </w:rPr>
        <w:t>（6）项目的工作内容及成果文档的提交应覆盖以下内容，电子文档是成果不可分割的部分。</w:t>
      </w:r>
    </w:p>
    <w:p>
      <w:pPr>
        <w:ind w:firstLine="480" w:firstLineChars="200"/>
        <w:rPr>
          <w:rFonts w:ascii="仿宋_GB2312" w:hAnsi="仿宋" w:eastAsia="仿宋_GB2312" w:cs="仿宋"/>
          <w:sz w:val="24"/>
        </w:rPr>
      </w:pPr>
      <w:r>
        <w:rPr>
          <w:rFonts w:hint="eastAsia" w:ascii="仿宋_GB2312" w:hAnsi="仿宋" w:eastAsia="仿宋_GB2312" w:cs="仿宋"/>
          <w:sz w:val="24"/>
        </w:rPr>
        <w:t>(a)实施确认书；</w:t>
      </w:r>
    </w:p>
    <w:p>
      <w:pPr>
        <w:ind w:firstLine="480" w:firstLineChars="200"/>
        <w:rPr>
          <w:rFonts w:ascii="仿宋_GB2312" w:hAnsi="仿宋" w:eastAsia="仿宋_GB2312" w:cs="仿宋"/>
          <w:sz w:val="24"/>
        </w:rPr>
      </w:pPr>
      <w:r>
        <w:rPr>
          <w:rFonts w:hint="eastAsia" w:ascii="仿宋_GB2312" w:hAnsi="仿宋" w:eastAsia="仿宋_GB2312" w:cs="仿宋"/>
          <w:sz w:val="24"/>
        </w:rPr>
        <w:t>(b)培训资料；</w:t>
      </w:r>
    </w:p>
    <w:p>
      <w:pPr>
        <w:ind w:firstLine="480" w:firstLineChars="200"/>
        <w:rPr>
          <w:rFonts w:ascii="仿宋_GB2312" w:hAnsi="仿宋" w:eastAsia="仿宋_GB2312" w:cs="仿宋"/>
          <w:sz w:val="24"/>
        </w:rPr>
      </w:pPr>
      <w:r>
        <w:rPr>
          <w:rFonts w:hint="eastAsia" w:ascii="仿宋_GB2312" w:hAnsi="仿宋" w:eastAsia="仿宋_GB2312" w:cs="仿宋"/>
          <w:sz w:val="24"/>
        </w:rPr>
        <w:t>(c)安装维护手册；</w:t>
      </w:r>
    </w:p>
    <w:p>
      <w:pPr>
        <w:ind w:firstLine="480" w:firstLineChars="200"/>
        <w:rPr>
          <w:rFonts w:ascii="仿宋_GB2312" w:hAnsi="仿宋" w:eastAsia="仿宋_GB2312" w:cs="仿宋"/>
          <w:sz w:val="24"/>
        </w:rPr>
      </w:pPr>
      <w:r>
        <w:rPr>
          <w:rFonts w:hint="eastAsia" w:ascii="仿宋_GB2312" w:hAnsi="仿宋" w:eastAsia="仿宋_GB2312" w:cs="仿宋"/>
          <w:sz w:val="24"/>
        </w:rPr>
        <w:t>(d)使用操作手册；</w:t>
      </w:r>
    </w:p>
    <w:p>
      <w:pPr>
        <w:ind w:firstLine="480" w:firstLineChars="200"/>
        <w:rPr>
          <w:rFonts w:ascii="仿宋_GB2312" w:hAnsi="仿宋" w:eastAsia="仿宋_GB2312" w:cs="仿宋"/>
          <w:sz w:val="24"/>
        </w:rPr>
      </w:pPr>
      <w:r>
        <w:rPr>
          <w:rFonts w:hint="eastAsia" w:ascii="仿宋_GB2312" w:hAnsi="仿宋" w:eastAsia="仿宋_GB2312" w:cs="仿宋"/>
          <w:sz w:val="24"/>
        </w:rPr>
        <w:t>(e)项目验收报告。</w:t>
      </w:r>
    </w:p>
    <w:p>
      <w:pPr>
        <w:spacing w:line="460" w:lineRule="exact"/>
        <w:ind w:firstLine="482" w:firstLineChars="200"/>
        <w:rPr>
          <w:rFonts w:ascii="仿宋_GB2312" w:hAnsi="仿宋" w:eastAsia="仿宋_GB2312" w:cs="仿宋"/>
          <w:b/>
          <w:sz w:val="24"/>
        </w:rPr>
      </w:pPr>
      <w:r>
        <w:rPr>
          <w:rFonts w:hint="eastAsia" w:ascii="仿宋_GB2312" w:hAnsi="仿宋" w:eastAsia="仿宋_GB2312" w:cs="仿宋"/>
          <w:b/>
          <w:sz w:val="24"/>
        </w:rPr>
        <w:t>8.6付款方式：</w:t>
      </w:r>
    </w:p>
    <w:p>
      <w:pPr>
        <w:numPr>
          <w:ilvl w:val="0"/>
          <w:numId w:val="7"/>
        </w:numPr>
        <w:ind w:firstLine="480" w:firstLineChars="200"/>
        <w:rPr>
          <w:rFonts w:ascii="仿宋_GB2312" w:hAnsi="宋体" w:eastAsia="仿宋_GB2312"/>
          <w:color w:val="auto"/>
          <w:sz w:val="24"/>
        </w:rPr>
      </w:pPr>
      <w:r>
        <w:rPr>
          <w:rFonts w:hint="eastAsia" w:ascii="仿宋_GB2312" w:hAnsi="宋体" w:eastAsia="仿宋_GB2312"/>
          <w:color w:val="auto"/>
          <w:sz w:val="24"/>
        </w:rPr>
        <w:t>供货到学校并签收后付合同款70%，项目验收合格后付30%。</w:t>
      </w:r>
    </w:p>
    <w:p>
      <w:pPr>
        <w:numPr>
          <w:ilvl w:val="0"/>
          <w:numId w:val="7"/>
        </w:numPr>
        <w:ind w:firstLine="480" w:firstLineChars="200"/>
        <w:rPr>
          <w:rFonts w:ascii="仿宋_GB2312" w:hAnsi="宋体" w:eastAsia="仿宋_GB2312"/>
          <w:sz w:val="24"/>
        </w:rPr>
      </w:pPr>
      <w:r>
        <w:rPr>
          <w:rFonts w:hint="eastAsia" w:ascii="仿宋_GB2312" w:hAnsi="宋体" w:eastAsia="仿宋_GB2312"/>
          <w:sz w:val="24"/>
        </w:rPr>
        <w:t>收取履约保证金：签订合同前向采购人（教体局）缴纳中标总价的1%作为合同履约保证金，项目验收合格后无息退还。</w:t>
      </w:r>
    </w:p>
    <w:p>
      <w:pPr>
        <w:ind w:firstLine="480" w:firstLineChars="200"/>
        <w:rPr>
          <w:rFonts w:ascii="仿宋_GB2312" w:hAnsi="仿宋" w:eastAsia="仿宋_GB2312" w:cs="仿宋"/>
          <w:sz w:val="24"/>
        </w:rPr>
      </w:pPr>
      <w:r>
        <w:rPr>
          <w:rFonts w:hint="eastAsia" w:ascii="仿宋_GB2312" w:hAnsi="仿宋" w:eastAsia="仿宋_GB2312" w:cs="仿宋"/>
          <w:sz w:val="24"/>
        </w:rPr>
        <w:t>（3）甲方付款前，乙方应向甲方提交符合甲方财务要求的发票，否则甲方有权拒绝付款，且不视为违约。</w:t>
      </w:r>
    </w:p>
    <w:p>
      <w:pPr>
        <w:spacing w:line="46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8.7长乐镇中心学校采购部分：中标单位与长乐镇中心学校直接签订合同，单独付款。</w:t>
      </w:r>
    </w:p>
    <w:p>
      <w:pPr>
        <w:spacing w:line="460" w:lineRule="exact"/>
        <w:ind w:firstLine="482" w:firstLineChars="200"/>
        <w:rPr>
          <w:rFonts w:ascii="仿宋_GB2312" w:hAnsi="仿宋" w:eastAsia="仿宋_GB2312" w:cs="仿宋"/>
          <w:b/>
          <w:sz w:val="24"/>
        </w:rPr>
      </w:pPr>
      <w:r>
        <w:rPr>
          <w:rFonts w:hint="eastAsia" w:ascii="仿宋_GB2312" w:hAnsi="仿宋" w:eastAsia="仿宋_GB2312" w:cs="仿宋"/>
          <w:b/>
          <w:sz w:val="24"/>
        </w:rPr>
        <w:t>8.8采购人在2022年12月以前，如有后续补充采购需求且数量不超过本项目，中标单位须承诺以不高于本</w:t>
      </w:r>
      <w:r>
        <w:rPr>
          <w:rFonts w:hint="eastAsia" w:ascii="宋体" w:hAnsi="宋体" w:cs="宋体"/>
          <w:b/>
          <w:sz w:val="24"/>
        </w:rPr>
        <w:t>次</w:t>
      </w:r>
      <w:r>
        <w:rPr>
          <w:rFonts w:hint="eastAsia" w:ascii="仿宋_GB2312" w:hAnsi="仿宋" w:eastAsia="仿宋_GB2312" w:cs="仿宋"/>
          <w:b/>
          <w:sz w:val="24"/>
        </w:rPr>
        <w:t>投标报价供货。</w:t>
      </w:r>
    </w:p>
    <w:bookmarkEnd w:id="8"/>
    <w:bookmarkEnd w:id="13"/>
    <w:p>
      <w:pPr>
        <w:pStyle w:val="27"/>
        <w:pageBreakBefore/>
        <w:spacing w:line="800" w:lineRule="exact"/>
        <w:jc w:val="center"/>
        <w:rPr>
          <w:rFonts w:ascii="仿宋_GB2312" w:hAnsi="宋体" w:eastAsia="仿宋_GB2312"/>
          <w:sz w:val="24"/>
        </w:rPr>
      </w:pPr>
      <w:r>
        <w:rPr>
          <w:rFonts w:hint="eastAsia" w:ascii="仿宋_GB2312" w:hAnsi="宋体" w:eastAsia="仿宋_GB2312"/>
          <w:b/>
          <w:sz w:val="36"/>
          <w:szCs w:val="36"/>
        </w:rPr>
        <w:t>第四部分 合同主要条款</w:t>
      </w:r>
    </w:p>
    <w:p>
      <w:pPr>
        <w:spacing w:line="380" w:lineRule="exact"/>
        <w:ind w:firstLine="480" w:firstLineChars="200"/>
        <w:jc w:val="left"/>
        <w:rPr>
          <w:rFonts w:ascii="仿宋_GB2312" w:hAnsi="宋体" w:eastAsia="仿宋_GB2312"/>
          <w:sz w:val="24"/>
        </w:rPr>
      </w:pPr>
    </w:p>
    <w:p>
      <w:pPr>
        <w:spacing w:line="380" w:lineRule="exact"/>
        <w:ind w:firstLine="640" w:firstLineChars="200"/>
        <w:jc w:val="center"/>
      </w:pPr>
      <w:r>
        <w:rPr>
          <w:rFonts w:hint="eastAsia" w:ascii="仿宋_GB2312" w:hAnsi="宋体" w:eastAsia="仿宋_GB2312"/>
          <w:sz w:val="32"/>
          <w:szCs w:val="32"/>
        </w:rPr>
        <w:t>合同编号</w:t>
      </w:r>
      <w:r>
        <w:rPr>
          <w:rFonts w:hint="eastAsia" w:ascii="仿宋_GB2312" w:hAnsi="宋体" w:eastAsia="仿宋_GB2312"/>
          <w:sz w:val="24"/>
        </w:rPr>
        <w:t>：</w:t>
      </w:r>
    </w:p>
    <w:p>
      <w:pPr>
        <w:spacing w:line="380" w:lineRule="exact"/>
        <w:ind w:firstLine="480" w:firstLineChars="200"/>
        <w:jc w:val="left"/>
        <w:rPr>
          <w:rFonts w:ascii="仿宋_GB2312" w:hAnsi="宋体" w:eastAsia="仿宋_GB2312"/>
          <w:sz w:val="24"/>
        </w:rPr>
      </w:pP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甲方（招标方）：嵊州市教育体育局</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乙方（中标方）：</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根据《中华人民共和国政府采购法》、《中华人民共和国民法典》之规定，本合同当事人在平等、自愿的基础上，经协商一致，同意按下述条款和条件签署本合同：</w:t>
      </w:r>
    </w:p>
    <w:p>
      <w:pPr>
        <w:spacing w:line="380" w:lineRule="exact"/>
        <w:ind w:firstLine="482" w:firstLineChars="200"/>
        <w:jc w:val="left"/>
        <w:rPr>
          <w:rFonts w:ascii="仿宋_GB2312" w:hAnsi="宋体" w:eastAsia="仿宋_GB2312"/>
          <w:b/>
          <w:bCs/>
          <w:sz w:val="24"/>
        </w:rPr>
      </w:pPr>
      <w:bookmarkStart w:id="14" w:name="_Toc340321917"/>
      <w:bookmarkStart w:id="15" w:name="_Toc19146"/>
      <w:bookmarkStart w:id="16" w:name="_Toc269217275"/>
      <w:bookmarkStart w:id="17" w:name="_Toc340322172"/>
      <w:bookmarkStart w:id="18" w:name="_Toc339302133"/>
      <w:bookmarkStart w:id="19" w:name="_Toc480884136"/>
      <w:r>
        <w:rPr>
          <w:rFonts w:hint="eastAsia" w:ascii="仿宋_GB2312" w:hAnsi="宋体" w:eastAsia="仿宋_GB2312"/>
          <w:b/>
          <w:bCs/>
          <w:sz w:val="24"/>
        </w:rPr>
        <w:t>第一条 乙方根据本合同的规定向甲方提供以下设备：</w:t>
      </w:r>
      <w:bookmarkEnd w:id="14"/>
      <w:bookmarkEnd w:id="15"/>
      <w:bookmarkEnd w:id="16"/>
      <w:bookmarkEnd w:id="17"/>
      <w:bookmarkEnd w:id="18"/>
      <w:bookmarkEnd w:id="19"/>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（一）合同货物</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乙方应按照采购文件内容提供项目清单中：</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800"/>
        <w:gridCol w:w="1440"/>
        <w:gridCol w:w="1569"/>
        <w:gridCol w:w="113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11" w:type="dxa"/>
            <w:vAlign w:val="center"/>
          </w:tcPr>
          <w:p>
            <w:pPr>
              <w:spacing w:line="380" w:lineRule="exact"/>
              <w:jc w:val="left"/>
              <w:rPr>
                <w:rFonts w:ascii="仿宋_GB2312" w:hAnsi="宋体" w:eastAsia="仿宋_GB2312"/>
                <w:sz w:val="24"/>
              </w:rPr>
            </w:pPr>
            <w:r>
              <w:rPr>
                <w:rFonts w:hint="eastAsia" w:ascii="仿宋_GB2312" w:hAnsi="宋体" w:eastAsia="仿宋_GB2312"/>
                <w:sz w:val="24"/>
              </w:rPr>
              <w:t>序号</w:t>
            </w:r>
          </w:p>
        </w:tc>
        <w:tc>
          <w:tcPr>
            <w:tcW w:w="1800" w:type="dxa"/>
            <w:vAlign w:val="center"/>
          </w:tcPr>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名称</w:t>
            </w:r>
          </w:p>
        </w:tc>
        <w:tc>
          <w:tcPr>
            <w:tcW w:w="1440" w:type="dxa"/>
            <w:vAlign w:val="center"/>
          </w:tcPr>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规格</w:t>
            </w:r>
          </w:p>
        </w:tc>
        <w:tc>
          <w:tcPr>
            <w:tcW w:w="1569" w:type="dxa"/>
            <w:vAlign w:val="center"/>
          </w:tcPr>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数量</w:t>
            </w:r>
          </w:p>
        </w:tc>
        <w:tc>
          <w:tcPr>
            <w:tcW w:w="1131" w:type="dxa"/>
            <w:vAlign w:val="center"/>
          </w:tcPr>
          <w:p>
            <w:pPr>
              <w:spacing w:line="380" w:lineRule="exact"/>
              <w:jc w:val="left"/>
              <w:rPr>
                <w:rFonts w:ascii="仿宋_GB2312" w:hAnsi="宋体" w:eastAsia="仿宋_GB2312"/>
                <w:sz w:val="24"/>
              </w:rPr>
            </w:pPr>
            <w:r>
              <w:rPr>
                <w:rFonts w:hint="eastAsia" w:ascii="仿宋_GB2312" w:hAnsi="宋体" w:eastAsia="仿宋_GB2312"/>
                <w:sz w:val="24"/>
              </w:rPr>
              <w:t>单位</w:t>
            </w:r>
          </w:p>
        </w:tc>
        <w:tc>
          <w:tcPr>
            <w:tcW w:w="1843" w:type="dxa"/>
            <w:vAlign w:val="center"/>
          </w:tcPr>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11" w:type="dxa"/>
            <w:vAlign w:val="center"/>
          </w:tcPr>
          <w:p>
            <w:pPr>
              <w:spacing w:line="380" w:lineRule="exact"/>
              <w:ind w:firstLine="480" w:firstLineChars="200"/>
              <w:jc w:val="left"/>
              <w:rPr>
                <w:rFonts w:ascii="仿宋_GB2312" w:hAnsi="宋体" w:eastAsia="仿宋_GB2312"/>
                <w:sz w:val="24"/>
              </w:rPr>
            </w:pPr>
          </w:p>
        </w:tc>
        <w:tc>
          <w:tcPr>
            <w:tcW w:w="1800" w:type="dxa"/>
            <w:vAlign w:val="center"/>
          </w:tcPr>
          <w:p>
            <w:pPr>
              <w:spacing w:line="380" w:lineRule="exact"/>
              <w:ind w:firstLine="480" w:firstLineChars="200"/>
              <w:jc w:val="left"/>
              <w:rPr>
                <w:rFonts w:ascii="仿宋_GB2312" w:hAnsi="宋体" w:eastAsia="仿宋_GB2312"/>
                <w:sz w:val="24"/>
              </w:rPr>
            </w:pPr>
          </w:p>
        </w:tc>
        <w:tc>
          <w:tcPr>
            <w:tcW w:w="1440" w:type="dxa"/>
            <w:vAlign w:val="center"/>
          </w:tcPr>
          <w:p>
            <w:pPr>
              <w:spacing w:line="380" w:lineRule="exact"/>
              <w:ind w:firstLine="480" w:firstLineChars="200"/>
              <w:jc w:val="left"/>
              <w:rPr>
                <w:rFonts w:ascii="仿宋_GB2312" w:hAnsi="宋体" w:eastAsia="仿宋_GB2312"/>
                <w:sz w:val="24"/>
              </w:rPr>
            </w:pPr>
          </w:p>
        </w:tc>
        <w:tc>
          <w:tcPr>
            <w:tcW w:w="1569" w:type="dxa"/>
            <w:vAlign w:val="center"/>
          </w:tcPr>
          <w:p>
            <w:pPr>
              <w:spacing w:line="380" w:lineRule="exact"/>
              <w:ind w:firstLine="480" w:firstLineChars="200"/>
              <w:jc w:val="left"/>
              <w:rPr>
                <w:rFonts w:ascii="仿宋_GB2312" w:hAnsi="宋体" w:eastAsia="仿宋_GB2312"/>
                <w:sz w:val="24"/>
              </w:rPr>
            </w:pPr>
          </w:p>
        </w:tc>
        <w:tc>
          <w:tcPr>
            <w:tcW w:w="1131" w:type="dxa"/>
            <w:vAlign w:val="center"/>
          </w:tcPr>
          <w:p>
            <w:pPr>
              <w:spacing w:line="380" w:lineRule="exact"/>
              <w:ind w:firstLine="480" w:firstLineChars="200"/>
              <w:jc w:val="left"/>
              <w:rPr>
                <w:rFonts w:ascii="仿宋_GB2312" w:hAnsi="宋体" w:eastAsia="仿宋_GB2312"/>
                <w:sz w:val="24"/>
              </w:rPr>
            </w:pPr>
          </w:p>
        </w:tc>
        <w:tc>
          <w:tcPr>
            <w:tcW w:w="1843" w:type="dxa"/>
            <w:vAlign w:val="center"/>
          </w:tcPr>
          <w:p>
            <w:pPr>
              <w:spacing w:line="380" w:lineRule="exact"/>
              <w:ind w:firstLine="480" w:firstLineChars="20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11" w:type="dxa"/>
            <w:vAlign w:val="center"/>
          </w:tcPr>
          <w:p>
            <w:pPr>
              <w:spacing w:line="380" w:lineRule="exact"/>
              <w:ind w:firstLine="480" w:firstLineChars="200"/>
              <w:jc w:val="left"/>
              <w:rPr>
                <w:rFonts w:ascii="仿宋_GB2312" w:hAnsi="宋体" w:eastAsia="仿宋_GB2312"/>
                <w:sz w:val="24"/>
              </w:rPr>
            </w:pPr>
          </w:p>
        </w:tc>
        <w:tc>
          <w:tcPr>
            <w:tcW w:w="1800" w:type="dxa"/>
            <w:vAlign w:val="center"/>
          </w:tcPr>
          <w:p>
            <w:pPr>
              <w:spacing w:line="380" w:lineRule="exact"/>
              <w:ind w:firstLine="480" w:firstLineChars="200"/>
              <w:jc w:val="left"/>
              <w:rPr>
                <w:rFonts w:ascii="仿宋_GB2312" w:hAnsi="宋体" w:eastAsia="仿宋_GB2312"/>
                <w:sz w:val="24"/>
              </w:rPr>
            </w:pPr>
          </w:p>
        </w:tc>
        <w:tc>
          <w:tcPr>
            <w:tcW w:w="1440" w:type="dxa"/>
            <w:vAlign w:val="center"/>
          </w:tcPr>
          <w:p>
            <w:pPr>
              <w:spacing w:line="380" w:lineRule="exact"/>
              <w:ind w:firstLine="480" w:firstLineChars="200"/>
              <w:jc w:val="left"/>
              <w:rPr>
                <w:rFonts w:ascii="仿宋_GB2312" w:hAnsi="宋体" w:eastAsia="仿宋_GB2312"/>
                <w:sz w:val="24"/>
              </w:rPr>
            </w:pPr>
          </w:p>
        </w:tc>
        <w:tc>
          <w:tcPr>
            <w:tcW w:w="1569" w:type="dxa"/>
            <w:vAlign w:val="center"/>
          </w:tcPr>
          <w:p>
            <w:pPr>
              <w:spacing w:line="380" w:lineRule="exact"/>
              <w:ind w:firstLine="480" w:firstLineChars="200"/>
              <w:jc w:val="left"/>
              <w:rPr>
                <w:rFonts w:ascii="仿宋_GB2312" w:hAnsi="宋体" w:eastAsia="仿宋_GB2312"/>
                <w:sz w:val="24"/>
              </w:rPr>
            </w:pPr>
          </w:p>
        </w:tc>
        <w:tc>
          <w:tcPr>
            <w:tcW w:w="1131" w:type="dxa"/>
            <w:vAlign w:val="center"/>
          </w:tcPr>
          <w:p>
            <w:pPr>
              <w:spacing w:line="380" w:lineRule="exact"/>
              <w:ind w:firstLine="480" w:firstLineChars="200"/>
              <w:jc w:val="left"/>
              <w:rPr>
                <w:rFonts w:ascii="仿宋_GB2312" w:hAnsi="宋体" w:eastAsia="仿宋_GB2312"/>
                <w:sz w:val="24"/>
              </w:rPr>
            </w:pPr>
          </w:p>
        </w:tc>
        <w:tc>
          <w:tcPr>
            <w:tcW w:w="1843" w:type="dxa"/>
            <w:vAlign w:val="center"/>
          </w:tcPr>
          <w:p>
            <w:pPr>
              <w:spacing w:line="380" w:lineRule="exact"/>
              <w:ind w:firstLine="480" w:firstLineChars="200"/>
              <w:jc w:val="left"/>
              <w:rPr>
                <w:rFonts w:ascii="仿宋_GB2312" w:hAnsi="宋体" w:eastAsia="仿宋_GB2312"/>
                <w:sz w:val="24"/>
              </w:rPr>
            </w:pPr>
          </w:p>
        </w:tc>
      </w:tr>
    </w:tbl>
    <w:p>
      <w:pPr>
        <w:spacing w:line="380" w:lineRule="exact"/>
        <w:ind w:firstLine="480" w:firstLineChars="200"/>
        <w:jc w:val="left"/>
        <w:rPr>
          <w:rFonts w:ascii="仿宋_GB2312" w:hAnsi="宋体" w:eastAsia="仿宋_GB2312"/>
          <w:sz w:val="24"/>
        </w:rPr>
      </w:pPr>
      <w:bookmarkStart w:id="20" w:name="_Toc15932"/>
      <w:bookmarkStart w:id="21" w:name="_Toc269217276"/>
      <w:bookmarkStart w:id="22" w:name="_Toc340321918"/>
      <w:bookmarkStart w:id="23" w:name="_Toc339302134"/>
      <w:bookmarkStart w:id="24" w:name="_Toc340322173"/>
      <w:r>
        <w:rPr>
          <w:rFonts w:hint="eastAsia" w:ascii="仿宋_GB2312" w:hAnsi="宋体" w:eastAsia="仿宋_GB2312"/>
          <w:sz w:val="24"/>
        </w:rPr>
        <w:t>（二）本合同总价内包含的内容：货款、标准附件、专用工具、管理费、利润、安装调试费、包装、运输、装卸、相关验收费用、保险、税金、货到就位、技术指导、培训、服务费、检验费、设计费等完成招标内容及评审涉及的一切费用。</w:t>
      </w:r>
    </w:p>
    <w:p>
      <w:pPr>
        <w:spacing w:line="380" w:lineRule="exact"/>
        <w:ind w:firstLine="480" w:firstLineChars="200"/>
        <w:jc w:val="left"/>
        <w:rPr>
          <w:rFonts w:ascii="仿宋_GB2312" w:hAnsi="宋体" w:eastAsia="仿宋_GB2312"/>
          <w:sz w:val="24"/>
        </w:rPr>
      </w:pPr>
    </w:p>
    <w:p>
      <w:pPr>
        <w:spacing w:line="380" w:lineRule="exact"/>
        <w:ind w:firstLine="482" w:firstLineChars="200"/>
        <w:jc w:val="left"/>
        <w:rPr>
          <w:rFonts w:ascii="仿宋_GB2312" w:hAnsi="宋体" w:eastAsia="仿宋_GB2312"/>
          <w:b/>
          <w:bCs/>
          <w:sz w:val="24"/>
        </w:rPr>
      </w:pPr>
      <w:bookmarkStart w:id="25" w:name="_Toc480884137"/>
      <w:r>
        <w:rPr>
          <w:rFonts w:hint="eastAsia" w:ascii="仿宋_GB2312" w:hAnsi="宋体" w:eastAsia="仿宋_GB2312"/>
          <w:b/>
          <w:bCs/>
          <w:sz w:val="24"/>
        </w:rPr>
        <w:t>第二条  供货、安装及验收</w:t>
      </w:r>
      <w:bookmarkEnd w:id="20"/>
      <w:bookmarkEnd w:id="21"/>
      <w:bookmarkEnd w:id="22"/>
      <w:bookmarkEnd w:id="23"/>
      <w:bookmarkEnd w:id="24"/>
      <w:bookmarkEnd w:id="25"/>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（一）合同签订之日后接到甲方的供货及安装通知后，在   年    月   日前，乙方应将货物送至甲方指定的现场地点，并负责卸货、安装调试、系统集成完毕。乙方在保证产品质量的同时，必须考虑安装人员在安装时的安全措施，进入现场施工人员中标人为其投保人身意外伤害保险等。</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（二）项目及产品的质量、技术标准按招标文件规定和投标文件承诺执行。</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1．中标人提供的产品及服务必须是经合法途径取得的。</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2．中标人应按现行的国家或行业技术及验收标准和招标文件的规定提供工程、货物或服务，因中标人提供的工程、货物或服务达不到约定的质量标准，中标人承担违约责任。</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3．为保证正常教育教学秩序，供货方安装时间原则上为正常教育教学时间之外。</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（三）验收：</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1．甲方对乙方提交的货物依据招标文件上的技术规格要求和国家有关质量标准进行现场初步验收，外观、说明书符合招标文件技术要求的，给予验收。</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2．乙方交换前应对产品作出全面检查，提交验收文件清单，作为甲方收货验收和使用的技术条件依据，检验的结果应随货物交甲方。</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3．甲方对乙方提供的货物在使用前进行调试时，乙方需负责协助甲方调试并培训甲方的使用操作人员，直到符合技术要求，甲方才做最终验收。</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4．验收时乙方必须在现场，验收完毕后作出验收结果报告，验收费用由乙方负责。</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 xml:space="preserve"> </w:t>
      </w:r>
    </w:p>
    <w:p>
      <w:pPr>
        <w:spacing w:line="380" w:lineRule="exact"/>
        <w:ind w:firstLine="482" w:firstLineChars="200"/>
        <w:jc w:val="left"/>
        <w:rPr>
          <w:rFonts w:ascii="仿宋_GB2312" w:hAnsi="宋体" w:eastAsia="仿宋_GB2312"/>
          <w:b/>
          <w:bCs/>
          <w:sz w:val="24"/>
        </w:rPr>
      </w:pPr>
      <w:bookmarkStart w:id="26" w:name="_Toc340321920"/>
      <w:bookmarkStart w:id="27" w:name="_Toc480884138"/>
      <w:bookmarkStart w:id="28" w:name="_Toc25232"/>
      <w:bookmarkStart w:id="29" w:name="_Toc339302136"/>
      <w:bookmarkStart w:id="30" w:name="_Toc340322175"/>
      <w:bookmarkStart w:id="31" w:name="_Toc269217278"/>
      <w:r>
        <w:rPr>
          <w:rFonts w:hint="eastAsia" w:ascii="仿宋_GB2312" w:hAnsi="宋体" w:eastAsia="仿宋_GB2312"/>
          <w:b/>
          <w:bCs/>
          <w:sz w:val="24"/>
        </w:rPr>
        <w:t>第三条  售后服务</w:t>
      </w:r>
      <w:bookmarkEnd w:id="26"/>
      <w:bookmarkEnd w:id="27"/>
      <w:bookmarkEnd w:id="28"/>
      <w:bookmarkEnd w:id="29"/>
      <w:bookmarkEnd w:id="30"/>
      <w:bookmarkEnd w:id="31"/>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（一）验收合格之日起计算，质保 3 年。在质保期内，乙方免费保修或更换。免费是指免材料费、人工费等与上门保修服务有关的一切费用。当用户提交报修信息后必须在2小时内到达现场，48小时内解决问题，修理或直接免费更换，如不能当场修复的，须使用备机作暂时替换，以满足甲方的正常使用要求。</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（二）保修期外，乙方承诺提供终身服务。</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（三）备品备件供应：</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1．乙方供货时应根据投标文件的承诺提供一定量的常用备品备件给采购人。</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2．确保有足够的原厂备件、附件和易损件满足采购人正常使用需求。</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3．乙方应按照甲方要求在投标时承诺提供常用备件、附件和易损件，并明确承诺优惠供货价格。</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（四）其他售后服务标准按照乙方投标承诺的服务计划实施。</w:t>
      </w:r>
    </w:p>
    <w:p>
      <w:pPr>
        <w:spacing w:line="380" w:lineRule="exact"/>
        <w:ind w:firstLine="480" w:firstLineChars="200"/>
        <w:jc w:val="left"/>
        <w:rPr>
          <w:rFonts w:ascii="仿宋_GB2312" w:hAnsi="宋体" w:eastAsia="仿宋_GB2312"/>
          <w:sz w:val="24"/>
        </w:rPr>
      </w:pPr>
    </w:p>
    <w:p>
      <w:pPr>
        <w:spacing w:line="380" w:lineRule="exact"/>
        <w:ind w:firstLine="482" w:firstLineChars="200"/>
        <w:jc w:val="left"/>
        <w:rPr>
          <w:rFonts w:ascii="仿宋_GB2312" w:hAnsi="宋体" w:eastAsia="仿宋_GB2312"/>
          <w:b/>
          <w:bCs/>
          <w:sz w:val="24"/>
        </w:rPr>
      </w:pPr>
      <w:bookmarkStart w:id="32" w:name="_Toc269217280"/>
      <w:bookmarkStart w:id="33" w:name="_Toc340321921"/>
      <w:bookmarkStart w:id="34" w:name="_Toc340322176"/>
      <w:bookmarkStart w:id="35" w:name="_Toc339302137"/>
      <w:bookmarkStart w:id="36" w:name="_Toc28298"/>
      <w:bookmarkStart w:id="37" w:name="_Toc480884140"/>
      <w:r>
        <w:rPr>
          <w:rFonts w:hint="eastAsia" w:ascii="仿宋_GB2312" w:hAnsi="宋体" w:eastAsia="仿宋_GB2312"/>
          <w:b/>
          <w:bCs/>
          <w:sz w:val="24"/>
        </w:rPr>
        <w:t>第四条 付款方法</w:t>
      </w:r>
      <w:bookmarkEnd w:id="32"/>
      <w:bookmarkEnd w:id="33"/>
      <w:bookmarkEnd w:id="34"/>
      <w:bookmarkEnd w:id="35"/>
      <w:bookmarkEnd w:id="36"/>
      <w:bookmarkEnd w:id="37"/>
    </w:p>
    <w:p>
      <w:pPr>
        <w:pStyle w:val="92"/>
        <w:numPr>
          <w:ilvl w:val="0"/>
          <w:numId w:val="8"/>
        </w:numPr>
        <w:rPr>
          <w:rFonts w:ascii="仿宋_GB2312" w:hAnsi="宋体" w:eastAsia="仿宋_GB2312"/>
          <w:sz w:val="24"/>
        </w:rPr>
      </w:pPr>
      <w:bookmarkStart w:id="38" w:name="_Toc340321922"/>
      <w:bookmarkStart w:id="39" w:name="_Toc340322177"/>
      <w:bookmarkStart w:id="40" w:name="_Toc339302138"/>
      <w:bookmarkStart w:id="41" w:name="_Toc28139"/>
      <w:bookmarkStart w:id="42" w:name="_Toc269217281"/>
      <w:r>
        <w:rPr>
          <w:rFonts w:hint="eastAsia" w:ascii="仿宋_GB2312" w:hAnsi="宋体" w:eastAsia="仿宋_GB2312"/>
          <w:sz w:val="24"/>
        </w:rPr>
        <w:t>合同履约保证金：签订合同前向采购人缴纳合同款1%作为合同履约保证金，项目验收合格后无息退还。</w:t>
      </w:r>
    </w:p>
    <w:p>
      <w:pPr>
        <w:pStyle w:val="92"/>
        <w:numPr>
          <w:ilvl w:val="0"/>
          <w:numId w:val="8"/>
        </w:numPr>
        <w:rPr>
          <w:rFonts w:ascii="仿宋_GB2312" w:hAnsi="宋体" w:eastAsia="仿宋_GB2312"/>
          <w:color w:val="auto"/>
          <w:sz w:val="24"/>
        </w:rPr>
      </w:pPr>
      <w:r>
        <w:rPr>
          <w:rFonts w:hint="eastAsia" w:ascii="仿宋_GB2312" w:hAnsi="宋体" w:eastAsia="仿宋_GB2312"/>
          <w:color w:val="auto"/>
          <w:sz w:val="24"/>
        </w:rPr>
        <w:t>付款方式：供货到学校并签收后付合同款70%，项目验收合格后付清余款。</w:t>
      </w:r>
    </w:p>
    <w:p>
      <w:pPr>
        <w:pStyle w:val="92"/>
        <w:numPr>
          <w:ilvl w:val="0"/>
          <w:numId w:val="8"/>
        </w:numPr>
        <w:rPr>
          <w:rFonts w:ascii="仿宋_GB2312" w:hAnsi="宋体" w:eastAsia="仿宋_GB2312"/>
          <w:sz w:val="24"/>
        </w:rPr>
      </w:pPr>
      <w:r>
        <w:rPr>
          <w:rFonts w:hint="eastAsia" w:ascii="仿宋_GB2312" w:hAnsi="宋体" w:eastAsia="仿宋_GB2312"/>
          <w:sz w:val="24"/>
        </w:rPr>
        <w:t>甲方付款前，乙方应向甲方提交符合甲方财务要求的发票，否则甲方有权拒绝付款，且不视为违约。</w:t>
      </w:r>
    </w:p>
    <w:p>
      <w:pPr>
        <w:spacing w:line="380" w:lineRule="exact"/>
        <w:ind w:firstLine="482" w:firstLineChars="200"/>
        <w:jc w:val="left"/>
        <w:rPr>
          <w:rFonts w:ascii="仿宋_GB2312" w:hAnsi="宋体" w:eastAsia="仿宋_GB2312"/>
          <w:b/>
          <w:bCs/>
          <w:sz w:val="24"/>
        </w:rPr>
      </w:pPr>
      <w:bookmarkStart w:id="43" w:name="_Toc480884141"/>
      <w:r>
        <w:rPr>
          <w:rFonts w:hint="eastAsia" w:ascii="仿宋_GB2312" w:hAnsi="宋体" w:eastAsia="仿宋_GB2312"/>
          <w:b/>
          <w:bCs/>
          <w:sz w:val="24"/>
        </w:rPr>
        <w:t>第五条  违约责任</w:t>
      </w:r>
      <w:bookmarkEnd w:id="38"/>
      <w:bookmarkEnd w:id="39"/>
      <w:bookmarkEnd w:id="40"/>
      <w:bookmarkEnd w:id="41"/>
      <w:bookmarkEnd w:id="42"/>
      <w:bookmarkEnd w:id="43"/>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（一）如乙方在合同期间有未能达到甲方的招标文件所明示的采购要求之行为的，除责令改正外，甲方即有权单方解除本合同。</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（二）甲方未按约定时间及时付款（有正当理由的除外），每逾期一天，甲方支付500元违约金。</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（三）乙方未在约定时间按质供货并安装调试完毕且验收合格的、质保期内未在规定时间以内解决质量问题的（有正当理由的除外），每逾期一天，则按每天合同金额1</w:t>
      </w:r>
      <w:r>
        <w:rPr>
          <w:rFonts w:ascii="Arial" w:hAnsi="Arial" w:cs="Arial"/>
          <w:color w:val="333333"/>
          <w:shd w:val="clear" w:color="auto" w:fill="FFFFFF"/>
        </w:rPr>
        <w:t>‰</w:t>
      </w:r>
      <w:r>
        <w:rPr>
          <w:rFonts w:hint="eastAsia" w:ascii="仿宋_GB2312" w:hAnsi="宋体" w:eastAsia="仿宋_GB2312"/>
          <w:sz w:val="24"/>
        </w:rPr>
        <w:t>向甲方支付违约金，如违约金不足以抵付甲方造成的经济损失，乙方还应另行作出相应赔偿。与此同时，甲方还有权视情形作出解除本合同，乙方因此给甲方造成其他经济损失的，则乙方还应作出相应赔偿。</w:t>
      </w:r>
    </w:p>
    <w:p>
      <w:pPr>
        <w:spacing w:line="380" w:lineRule="exact"/>
        <w:ind w:firstLine="480" w:firstLineChars="200"/>
        <w:jc w:val="left"/>
        <w:rPr>
          <w:rFonts w:ascii="仿宋_GB2312" w:hAnsi="宋体" w:eastAsia="仿宋_GB2312"/>
          <w:sz w:val="24"/>
        </w:rPr>
      </w:pPr>
    </w:p>
    <w:p>
      <w:pPr>
        <w:spacing w:line="380" w:lineRule="exact"/>
        <w:ind w:firstLine="482" w:firstLineChars="200"/>
        <w:jc w:val="left"/>
        <w:rPr>
          <w:rFonts w:ascii="仿宋_GB2312" w:hAnsi="宋体" w:eastAsia="仿宋_GB2312"/>
          <w:b/>
          <w:bCs/>
          <w:sz w:val="24"/>
        </w:rPr>
      </w:pPr>
      <w:bookmarkStart w:id="44" w:name="_Toc340321923"/>
      <w:bookmarkStart w:id="45" w:name="_Toc480884142"/>
      <w:bookmarkStart w:id="46" w:name="_Toc269217282"/>
      <w:bookmarkStart w:id="47" w:name="_Toc340322178"/>
      <w:bookmarkStart w:id="48" w:name="_Toc15180"/>
      <w:bookmarkStart w:id="49" w:name="_Toc339302139"/>
      <w:r>
        <w:rPr>
          <w:rFonts w:hint="eastAsia" w:ascii="仿宋_GB2312" w:hAnsi="宋体" w:eastAsia="仿宋_GB2312"/>
          <w:b/>
          <w:bCs/>
          <w:sz w:val="24"/>
        </w:rPr>
        <w:t>第六条 合同相关文件</w:t>
      </w:r>
      <w:bookmarkEnd w:id="44"/>
      <w:bookmarkEnd w:id="45"/>
      <w:bookmarkEnd w:id="46"/>
      <w:bookmarkEnd w:id="47"/>
      <w:bookmarkEnd w:id="48"/>
      <w:bookmarkEnd w:id="49"/>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有关本次采购项目的采购文件以及相关的函件如答疑函、承诺函等均为本合同不可分割的一部份。</w:t>
      </w:r>
      <w:bookmarkStart w:id="50" w:name="_Toc340322179"/>
      <w:bookmarkStart w:id="51" w:name="_Toc340321924"/>
      <w:bookmarkStart w:id="52" w:name="_Toc339302140"/>
    </w:p>
    <w:p>
      <w:pPr>
        <w:spacing w:line="380" w:lineRule="exact"/>
        <w:ind w:firstLine="480" w:firstLineChars="200"/>
        <w:jc w:val="left"/>
        <w:rPr>
          <w:rFonts w:ascii="仿宋_GB2312" w:hAnsi="宋体" w:eastAsia="仿宋_GB2312"/>
          <w:sz w:val="24"/>
        </w:rPr>
      </w:pPr>
    </w:p>
    <w:p>
      <w:pPr>
        <w:spacing w:line="380" w:lineRule="exact"/>
        <w:ind w:firstLine="482" w:firstLineChars="200"/>
        <w:jc w:val="left"/>
        <w:rPr>
          <w:rFonts w:ascii="仿宋_GB2312" w:hAnsi="宋体" w:eastAsia="仿宋_GB2312"/>
          <w:b/>
          <w:bCs/>
          <w:sz w:val="24"/>
        </w:rPr>
      </w:pPr>
      <w:bookmarkStart w:id="53" w:name="_Toc480884143"/>
      <w:r>
        <w:rPr>
          <w:rFonts w:hint="eastAsia" w:ascii="仿宋_GB2312" w:hAnsi="宋体" w:eastAsia="仿宋_GB2312"/>
          <w:b/>
          <w:bCs/>
          <w:sz w:val="24"/>
        </w:rPr>
        <w:t>第七条  争议解决</w:t>
      </w:r>
      <w:bookmarkEnd w:id="50"/>
      <w:bookmarkEnd w:id="51"/>
      <w:bookmarkEnd w:id="52"/>
      <w:bookmarkEnd w:id="53"/>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本合同在履行中若发生争议，双方应协商解决，如协商不成时，任何一方均可依法向嵊州市人民法院起诉。</w:t>
      </w:r>
    </w:p>
    <w:p>
      <w:pPr>
        <w:spacing w:line="380" w:lineRule="exact"/>
        <w:ind w:firstLine="480" w:firstLineChars="200"/>
        <w:jc w:val="left"/>
        <w:rPr>
          <w:rFonts w:ascii="仿宋_GB2312" w:hAnsi="宋体" w:eastAsia="仿宋_GB2312"/>
          <w:sz w:val="24"/>
        </w:rPr>
      </w:pPr>
    </w:p>
    <w:p>
      <w:pPr>
        <w:spacing w:line="380" w:lineRule="exact"/>
        <w:ind w:firstLine="482" w:firstLineChars="200"/>
        <w:jc w:val="left"/>
        <w:rPr>
          <w:rFonts w:ascii="仿宋_GB2312" w:hAnsi="宋体" w:eastAsia="仿宋_GB2312"/>
          <w:b/>
          <w:bCs/>
          <w:sz w:val="24"/>
        </w:rPr>
      </w:pPr>
      <w:bookmarkStart w:id="54" w:name="_Toc339302141"/>
      <w:bookmarkStart w:id="55" w:name="_Toc340322180"/>
      <w:bookmarkStart w:id="56" w:name="_Toc340321925"/>
      <w:bookmarkStart w:id="57" w:name="_Toc480884144"/>
      <w:r>
        <w:rPr>
          <w:rFonts w:hint="eastAsia" w:ascii="仿宋_GB2312" w:hAnsi="宋体" w:eastAsia="仿宋_GB2312"/>
          <w:b/>
          <w:bCs/>
          <w:sz w:val="24"/>
        </w:rPr>
        <w:t>第八条 免责条款</w:t>
      </w:r>
      <w:bookmarkEnd w:id="54"/>
      <w:bookmarkEnd w:id="55"/>
      <w:bookmarkEnd w:id="56"/>
      <w:bookmarkEnd w:id="57"/>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pPr>
        <w:spacing w:line="380" w:lineRule="exact"/>
        <w:ind w:firstLine="482" w:firstLineChars="200"/>
        <w:jc w:val="left"/>
        <w:rPr>
          <w:rFonts w:ascii="仿宋_GB2312" w:hAnsi="宋体" w:eastAsia="仿宋_GB2312"/>
          <w:b/>
          <w:bCs/>
          <w:sz w:val="24"/>
        </w:rPr>
      </w:pPr>
    </w:p>
    <w:p>
      <w:pPr>
        <w:spacing w:line="380" w:lineRule="exact"/>
        <w:ind w:firstLine="482" w:firstLineChars="200"/>
        <w:jc w:val="left"/>
        <w:rPr>
          <w:rFonts w:ascii="仿宋_GB2312" w:hAnsi="宋体" w:eastAsia="仿宋_GB2312"/>
          <w:b/>
          <w:bCs/>
          <w:sz w:val="24"/>
        </w:rPr>
      </w:pPr>
      <w:bookmarkStart w:id="58" w:name="_Toc340322181"/>
      <w:bookmarkStart w:id="59" w:name="_Toc480884145"/>
      <w:bookmarkStart w:id="60" w:name="_Toc339302142"/>
      <w:bookmarkStart w:id="61" w:name="_Toc340321926"/>
      <w:r>
        <w:rPr>
          <w:rFonts w:hint="eastAsia" w:ascii="仿宋_GB2312" w:hAnsi="宋体" w:eastAsia="仿宋_GB2312"/>
          <w:b/>
          <w:bCs/>
          <w:sz w:val="24"/>
        </w:rPr>
        <w:t>第九条 协议生效</w:t>
      </w:r>
      <w:bookmarkEnd w:id="58"/>
      <w:bookmarkEnd w:id="59"/>
      <w:bookmarkEnd w:id="60"/>
      <w:bookmarkEnd w:id="61"/>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本协议及所含附件自双方签订之日即生效。</w:t>
      </w:r>
    </w:p>
    <w:p>
      <w:pPr>
        <w:spacing w:line="380" w:lineRule="exact"/>
        <w:ind w:firstLine="482" w:firstLineChars="200"/>
        <w:jc w:val="left"/>
        <w:rPr>
          <w:rFonts w:ascii="仿宋_GB2312" w:hAnsi="宋体" w:eastAsia="仿宋_GB2312"/>
          <w:b/>
          <w:bCs/>
          <w:sz w:val="24"/>
        </w:rPr>
      </w:pPr>
      <w:bookmarkStart w:id="62" w:name="_Toc340321927"/>
      <w:bookmarkStart w:id="63" w:name="_Toc480884146"/>
      <w:bookmarkStart w:id="64" w:name="_Toc340322182"/>
      <w:bookmarkStart w:id="65" w:name="_Toc339302143"/>
      <w:r>
        <w:rPr>
          <w:rFonts w:hint="eastAsia" w:ascii="仿宋_GB2312" w:hAnsi="宋体" w:eastAsia="仿宋_GB2312"/>
          <w:b/>
          <w:bCs/>
          <w:sz w:val="24"/>
        </w:rPr>
        <w:t>第十条  附  则</w:t>
      </w:r>
      <w:bookmarkEnd w:id="62"/>
      <w:bookmarkEnd w:id="63"/>
      <w:bookmarkEnd w:id="64"/>
      <w:bookmarkEnd w:id="65"/>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（一）协议正本条款受国家《中华人民共和国民法典》的保护。</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（二）未经甲乙双方书面确认，任何一方不得自行变更或修改本协议。甲方委托相关学校负责本项目的施工、协调、监督、验收等具体事项。</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三）合同在执行过程中出现的未尽事宜，遵照《中华人民共和国民法典》有关条文，双方在不违背本合同和招标文件的原则下，协商解决，协商结果以书面形式盖章记录在案，作为本合同的附件，具有同等效力。</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（四）本协议一式五份，甲乙双方各两份，嵊州市公共资源交易中心执一份。合同附件和本合同均具有同等法律效力。</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甲方（盖章）：                          乙方（盖章）：</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 xml:space="preserve">联系地址：                              联系地址：   </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法定（授权）代表人：                    法定（授权）代表人：</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 xml:space="preserve">开户银行：                              开户银行：  </w:t>
      </w:r>
    </w:p>
    <w:p>
      <w:pPr>
        <w:spacing w:line="380" w:lineRule="exact"/>
        <w:ind w:firstLine="480" w:firstLineChars="200"/>
        <w:jc w:val="left"/>
        <w:rPr>
          <w:rFonts w:ascii="仿宋_GB2312" w:hAnsi="宋体" w:eastAsia="仿宋_GB2312"/>
          <w:sz w:val="24"/>
        </w:rPr>
      </w:pPr>
      <w:r>
        <w:rPr>
          <w:rFonts w:hint="eastAsia" w:ascii="仿宋_GB2312" w:hAnsi="宋体" w:eastAsia="仿宋_GB2312"/>
          <w:sz w:val="24"/>
        </w:rPr>
        <w:t xml:space="preserve">账  号：                                账  号：            </w:t>
      </w:r>
    </w:p>
    <w:p>
      <w:pPr>
        <w:spacing w:line="380" w:lineRule="exact"/>
        <w:ind w:firstLine="480" w:firstLineChars="200"/>
        <w:jc w:val="left"/>
        <w:rPr>
          <w:rFonts w:ascii="仿宋_GB2312" w:hAnsi="宋体" w:eastAsia="仿宋_GB2312"/>
          <w:sz w:val="24"/>
        </w:rPr>
      </w:pPr>
    </w:p>
    <w:p>
      <w:pPr>
        <w:spacing w:line="380" w:lineRule="exact"/>
        <w:ind w:firstLine="480" w:firstLineChars="200"/>
        <w:jc w:val="left"/>
        <w:rPr>
          <w:rFonts w:ascii="仿宋_GB2312" w:hAnsi="宋体" w:eastAsia="仿宋_GB2312"/>
          <w:sz w:val="24"/>
        </w:rPr>
      </w:pPr>
    </w:p>
    <w:p>
      <w:pPr>
        <w:spacing w:line="380" w:lineRule="exact"/>
        <w:ind w:firstLine="480" w:firstLineChars="200"/>
        <w:jc w:val="left"/>
        <w:rPr>
          <w:rFonts w:ascii="仿宋_GB2312" w:hAnsi="宋体" w:eastAsia="仿宋_GB2312"/>
          <w:sz w:val="24"/>
        </w:rPr>
      </w:pPr>
    </w:p>
    <w:p>
      <w:pPr>
        <w:spacing w:line="380" w:lineRule="exact"/>
        <w:ind w:firstLine="480" w:firstLineChars="200"/>
        <w:jc w:val="left"/>
        <w:rPr>
          <w:rFonts w:ascii="仿宋_GB2312" w:hAnsi="宋体" w:eastAsia="仿宋_GB2312"/>
          <w:b/>
          <w:sz w:val="36"/>
          <w:szCs w:val="36"/>
        </w:rPr>
      </w:pPr>
      <w:r>
        <w:rPr>
          <w:rFonts w:hint="eastAsia" w:ascii="仿宋_GB2312" w:hAnsi="宋体" w:eastAsia="仿宋_GB2312"/>
          <w:sz w:val="24"/>
        </w:rPr>
        <w:t xml:space="preserve">                                        签订日期：    年    月    日</w:t>
      </w:r>
    </w:p>
    <w:p>
      <w:pPr>
        <w:pStyle w:val="27"/>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2.1.商务技术分（70分）</w:t>
      </w:r>
    </w:p>
    <w:tbl>
      <w:tblPr>
        <w:tblStyle w:val="46"/>
        <w:tblW w:w="93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930"/>
        <w:gridCol w:w="900"/>
        <w:gridCol w:w="6659"/>
        <w:gridCol w:w="9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1830" w:type="dxa"/>
            <w:gridSpan w:val="2"/>
            <w:tcBorders>
              <w:top w:val="single" w:color="auto" w:sz="12" w:space="0"/>
            </w:tcBorders>
            <w:vAlign w:val="center"/>
          </w:tcPr>
          <w:p>
            <w:pPr>
              <w:autoSpaceDE w:val="0"/>
              <w:adjustRightInd w:val="0"/>
              <w:ind w:firstLine="482"/>
              <w:rPr>
                <w:rFonts w:ascii="宋体" w:hAnsi="宋体" w:cs="宋体"/>
                <w:b/>
                <w:bCs/>
                <w:kern w:val="0"/>
                <w:szCs w:val="21"/>
              </w:rPr>
            </w:pPr>
            <w:r>
              <w:rPr>
                <w:rFonts w:hint="eastAsia" w:ascii="宋体" w:hAnsi="宋体" w:cs="宋体"/>
                <w:b/>
                <w:bCs/>
                <w:kern w:val="0"/>
                <w:szCs w:val="21"/>
              </w:rPr>
              <w:t>评分内容</w:t>
            </w:r>
          </w:p>
        </w:tc>
        <w:tc>
          <w:tcPr>
            <w:tcW w:w="6659" w:type="dxa"/>
            <w:tcBorders>
              <w:top w:val="single" w:color="auto" w:sz="12" w:space="0"/>
              <w:bottom w:val="single" w:color="auto" w:sz="4" w:space="0"/>
            </w:tcBorders>
            <w:vAlign w:val="center"/>
          </w:tcPr>
          <w:p>
            <w:pPr>
              <w:autoSpaceDE w:val="0"/>
              <w:adjustRightInd w:val="0"/>
              <w:ind w:firstLine="480"/>
              <w:jc w:val="center"/>
              <w:rPr>
                <w:rFonts w:ascii="宋体" w:hAnsi="宋体" w:cs="宋体"/>
                <w:b/>
                <w:kern w:val="0"/>
                <w:szCs w:val="21"/>
              </w:rPr>
            </w:pPr>
            <w:r>
              <w:rPr>
                <w:rFonts w:hint="eastAsia" w:ascii="宋体" w:hAnsi="宋体" w:cs="宋体"/>
                <w:b/>
                <w:szCs w:val="21"/>
              </w:rPr>
              <w:t>评分标准</w:t>
            </w:r>
          </w:p>
        </w:tc>
        <w:tc>
          <w:tcPr>
            <w:tcW w:w="901" w:type="dxa"/>
            <w:tcBorders>
              <w:top w:val="single" w:color="auto" w:sz="12" w:space="0"/>
              <w:bottom w:val="single" w:color="auto" w:sz="4" w:space="0"/>
            </w:tcBorders>
            <w:vAlign w:val="center"/>
          </w:tcPr>
          <w:p>
            <w:pPr>
              <w:autoSpaceDE w:val="0"/>
              <w:adjustRightInd w:val="0"/>
              <w:jc w:val="center"/>
              <w:rPr>
                <w:rFonts w:ascii="宋体" w:hAnsi="宋体" w:cs="宋体"/>
                <w:b/>
                <w:kern w:val="0"/>
                <w:szCs w:val="21"/>
              </w:rPr>
            </w:pPr>
            <w:r>
              <w:rPr>
                <w:rFonts w:hint="eastAsia" w:ascii="宋体" w:hAnsi="宋体" w:cs="宋体"/>
                <w:b/>
                <w:kern w:val="0"/>
                <w:szCs w:val="21"/>
              </w:rPr>
              <w:t>分值范围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952" w:hRule="atLeast"/>
          <w:jc w:val="center"/>
        </w:trPr>
        <w:tc>
          <w:tcPr>
            <w:tcW w:w="930" w:type="dxa"/>
            <w:vMerge w:val="restart"/>
            <w:vAlign w:val="center"/>
          </w:tcPr>
          <w:p>
            <w:pPr>
              <w:autoSpaceDE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技术部分48分</w:t>
            </w:r>
          </w:p>
        </w:tc>
        <w:tc>
          <w:tcPr>
            <w:tcW w:w="900" w:type="dxa"/>
            <w:vAlign w:val="center"/>
          </w:tcPr>
          <w:p>
            <w:pPr>
              <w:autoSpaceDE w:val="0"/>
              <w:adjustRightInd w:val="0"/>
              <w:snapToGrid w:val="0"/>
              <w:spacing w:line="240" w:lineRule="atLeast"/>
              <w:jc w:val="center"/>
              <w:rPr>
                <w:rFonts w:ascii="宋体" w:hAnsi="宋体" w:cs="宋体"/>
                <w:kern w:val="0"/>
                <w:szCs w:val="21"/>
              </w:rPr>
            </w:pPr>
            <w:r>
              <w:rPr>
                <w:rFonts w:hint="eastAsia" w:ascii="宋体" w:hAnsi="宋体" w:cs="宋体"/>
                <w:bCs/>
                <w:kern w:val="0"/>
                <w:szCs w:val="21"/>
              </w:rPr>
              <w:t>技术参数响应(24分)</w:t>
            </w:r>
          </w:p>
        </w:tc>
        <w:tc>
          <w:tcPr>
            <w:tcW w:w="6659" w:type="dxa"/>
            <w:tcBorders>
              <w:bottom w:val="single" w:color="auto" w:sz="4" w:space="0"/>
              <w:right w:val="single" w:color="auto" w:sz="4" w:space="0"/>
            </w:tcBorders>
            <w:vAlign w:val="center"/>
          </w:tcPr>
          <w:p>
            <w:pPr>
              <w:jc w:val="left"/>
              <w:rPr>
                <w:rFonts w:ascii="宋体" w:hAnsi="宋体" w:cs="宋体"/>
                <w:kern w:val="0"/>
                <w:szCs w:val="21"/>
              </w:rPr>
            </w:pPr>
            <w:r>
              <w:rPr>
                <w:rFonts w:hint="eastAsia" w:ascii="宋体" w:hAnsi="宋体" w:cs="宋体"/>
                <w:kern w:val="0"/>
                <w:szCs w:val="21"/>
              </w:rPr>
              <w:t>投标产品完全响应技术参数要求得24分。打★技术参数有负偏离或缺漏项的，本项得0分，打▲技术参数有负偏离、缺漏或未能提供相关证明材料的每一项扣3分，其余技术参数有负偏离或缺漏项的每一项扣1</w:t>
            </w:r>
            <w:r>
              <w:rPr>
                <w:rFonts w:ascii="宋体" w:hAnsi="宋体" w:cs="宋体"/>
                <w:kern w:val="0"/>
                <w:szCs w:val="21"/>
              </w:rPr>
              <w:t>分，扣完为止。</w:t>
            </w:r>
          </w:p>
        </w:tc>
        <w:tc>
          <w:tcPr>
            <w:tcW w:w="901" w:type="dxa"/>
            <w:tcBorders>
              <w:left w:val="single" w:color="auto" w:sz="4" w:space="0"/>
              <w:bottom w:val="single" w:color="auto" w:sz="4" w:space="0"/>
            </w:tcBorders>
            <w:vAlign w:val="center"/>
          </w:tcPr>
          <w:p>
            <w:pPr>
              <w:autoSpaceDE w:val="0"/>
              <w:adjustRightInd w:val="0"/>
              <w:snapToGrid w:val="0"/>
              <w:spacing w:line="240" w:lineRule="atLeast"/>
              <w:jc w:val="left"/>
              <w:rPr>
                <w:rFonts w:ascii="宋体" w:hAnsi="宋体" w:cs="宋体"/>
                <w:bCs/>
                <w:kern w:val="0"/>
                <w:szCs w:val="21"/>
              </w:rPr>
            </w:pPr>
            <w:r>
              <w:rPr>
                <w:rFonts w:hint="eastAsia" w:ascii="宋体" w:hAnsi="宋体" w:cs="宋体"/>
                <w:bCs/>
                <w:kern w:val="0"/>
                <w:szCs w:val="21"/>
              </w:rPr>
              <w:t>0-24分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99"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restart"/>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lang w:val="en-US" w:eastAsia="zh-CN"/>
              </w:rPr>
              <w:t>75寸</w:t>
            </w:r>
            <w:bookmarkStart w:id="72" w:name="_GoBack"/>
            <w:bookmarkEnd w:id="72"/>
            <w:r>
              <w:rPr>
                <w:rFonts w:hint="eastAsia" w:ascii="宋体" w:hAnsi="宋体" w:cs="宋体"/>
                <w:szCs w:val="21"/>
              </w:rPr>
              <w:t>交互平板（演示</w:t>
            </w:r>
          </w:p>
          <w:p>
            <w:pPr>
              <w:autoSpaceDE w:val="0"/>
              <w:adjustRightInd w:val="0"/>
              <w:snapToGrid w:val="0"/>
              <w:spacing w:line="240" w:lineRule="atLeast"/>
              <w:rPr>
                <w:rFonts w:ascii="宋体" w:hAnsi="宋体" w:cs="宋体"/>
                <w:szCs w:val="21"/>
              </w:rPr>
            </w:pPr>
            <w:r>
              <w:rPr>
                <w:rFonts w:hint="eastAsia" w:ascii="宋体" w:hAnsi="宋体" w:cs="宋体"/>
                <w:szCs w:val="21"/>
              </w:rPr>
              <w:t>24分）</w:t>
            </w:r>
          </w:p>
          <w:p>
            <w:pPr>
              <w:autoSpaceDE w:val="0"/>
              <w:adjustRightInd w:val="0"/>
              <w:snapToGrid w:val="0"/>
              <w:spacing w:line="240" w:lineRule="atLeast"/>
              <w:rPr>
                <w:rFonts w:ascii="宋体" w:hAnsi="宋体" w:cs="宋体"/>
                <w:szCs w:val="21"/>
              </w:rPr>
            </w:pPr>
            <w:r>
              <w:rPr>
                <w:rFonts w:hint="eastAsia" w:ascii="宋体" w:hAnsi="宋体" w:cs="宋体"/>
                <w:szCs w:val="21"/>
              </w:rPr>
              <w:t>不参加演示给0分，并不推荐为中标供应商</w:t>
            </w:r>
          </w:p>
        </w:tc>
        <w:tc>
          <w:tcPr>
            <w:tcW w:w="7560" w:type="dxa"/>
            <w:gridSpan w:val="2"/>
            <w:tcBorders>
              <w:bottom w:val="single" w:color="auto" w:sz="4" w:space="0"/>
            </w:tcBorders>
            <w:vAlign w:val="center"/>
          </w:tcPr>
          <w:p>
            <w:pPr>
              <w:autoSpaceDE w:val="0"/>
              <w:adjustRightInd w:val="0"/>
              <w:snapToGrid w:val="0"/>
              <w:spacing w:line="240" w:lineRule="atLeast"/>
              <w:jc w:val="left"/>
              <w:rPr>
                <w:rFonts w:ascii="宋体" w:hAnsi="宋体" w:cs="宋体"/>
                <w:szCs w:val="21"/>
              </w:rPr>
            </w:pPr>
            <w:r>
              <w:rPr>
                <w:rFonts w:hint="eastAsia" w:ascii="宋体" w:hAnsi="宋体" w:cs="宋体"/>
                <w:szCs w:val="21"/>
              </w:rPr>
              <w:t>通过下列内容的演示和体验（时间不超过15分钟），对交互平板的功能、资源及操作等方面进行综合评价。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88"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continue"/>
            <w:vAlign w:val="center"/>
          </w:tcPr>
          <w:p>
            <w:pPr>
              <w:autoSpaceDE w:val="0"/>
              <w:adjustRightInd w:val="0"/>
              <w:snapToGrid w:val="0"/>
              <w:spacing w:line="240" w:lineRule="atLeast"/>
              <w:rPr>
                <w:rFonts w:ascii="宋体" w:hAnsi="宋体" w:cs="宋体"/>
                <w:szCs w:val="21"/>
              </w:rPr>
            </w:pPr>
          </w:p>
        </w:tc>
        <w:tc>
          <w:tcPr>
            <w:tcW w:w="6659" w:type="dxa"/>
            <w:tcBorders>
              <w:bottom w:val="single" w:color="auto" w:sz="4" w:space="0"/>
              <w:right w:val="single" w:color="auto" w:sz="4" w:space="0"/>
            </w:tcBorders>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1.触控感受：书写响应速度、笔迹还原度、擦除、多点触控等操作体验评价。（6分）：优得4-6分，良得2-3.9分，一般得0.5-1.9分，差不得分。</w:t>
            </w:r>
          </w:p>
        </w:tc>
        <w:tc>
          <w:tcPr>
            <w:tcW w:w="901" w:type="dxa"/>
            <w:tcBorders>
              <w:left w:val="single" w:color="auto" w:sz="4" w:space="0"/>
              <w:bottom w:val="single" w:color="auto" w:sz="4" w:space="0"/>
            </w:tcBorders>
            <w:vAlign w:val="center"/>
          </w:tcPr>
          <w:p>
            <w:pPr>
              <w:jc w:val="center"/>
            </w:pPr>
            <w:r>
              <w:rPr>
                <w:rFonts w:hint="eastAsia" w:ascii="宋体" w:hAnsi="宋体" w:cs="宋体"/>
                <w:szCs w:val="21"/>
              </w:rPr>
              <w:t>0-6分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99"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continue"/>
            <w:vAlign w:val="center"/>
          </w:tcPr>
          <w:p>
            <w:pPr>
              <w:autoSpaceDE w:val="0"/>
              <w:adjustRightInd w:val="0"/>
              <w:snapToGrid w:val="0"/>
              <w:spacing w:line="240" w:lineRule="atLeast"/>
              <w:jc w:val="center"/>
              <w:rPr>
                <w:rFonts w:ascii="宋体" w:hAnsi="宋体" w:cs="宋体"/>
                <w:szCs w:val="21"/>
              </w:rPr>
            </w:pPr>
          </w:p>
        </w:tc>
        <w:tc>
          <w:tcPr>
            <w:tcW w:w="6659" w:type="dxa"/>
            <w:tcBorders>
              <w:bottom w:val="single" w:color="auto" w:sz="4" w:space="0"/>
              <w:right w:val="single" w:color="auto" w:sz="4" w:space="0"/>
            </w:tcBorders>
            <w:vAlign w:val="center"/>
          </w:tcPr>
          <w:p>
            <w:pPr>
              <w:autoSpaceDE w:val="0"/>
              <w:adjustRightInd w:val="0"/>
              <w:snapToGrid w:val="0"/>
              <w:spacing w:line="240" w:lineRule="atLeast"/>
              <w:rPr>
                <w:rFonts w:ascii="宋体" w:hAnsi="宋体" w:cs="宋体"/>
                <w:kern w:val="0"/>
                <w:szCs w:val="21"/>
              </w:rPr>
            </w:pPr>
            <w:r>
              <w:rPr>
                <w:rFonts w:hint="eastAsia" w:ascii="宋体" w:hAnsi="宋体" w:cs="宋体"/>
                <w:szCs w:val="21"/>
              </w:rPr>
              <w:t>2</w:t>
            </w:r>
            <w:r>
              <w:rPr>
                <w:rFonts w:ascii="宋体" w:hAnsi="宋体" w:cs="宋体"/>
                <w:szCs w:val="21"/>
              </w:rPr>
              <w:t>.功能</w:t>
            </w:r>
            <w:r>
              <w:rPr>
                <w:rFonts w:hint="eastAsia" w:ascii="宋体" w:hAnsi="宋体" w:cs="宋体"/>
                <w:szCs w:val="21"/>
              </w:rPr>
              <w:t>设计：根据投标产品适用课堂教学应用场景的功能设计，从功能丰富程度、实用性、操作便捷性、功能特色等方面进行评价。（3分）：优得2-3分，良得1-1.9分，一般得0.5-1分，差不得分。</w:t>
            </w:r>
          </w:p>
        </w:tc>
        <w:tc>
          <w:tcPr>
            <w:tcW w:w="901" w:type="dxa"/>
            <w:tcBorders>
              <w:left w:val="single" w:color="auto" w:sz="4" w:space="0"/>
              <w:bottom w:val="single" w:color="auto" w:sz="4" w:space="0"/>
            </w:tcBorders>
            <w:vAlign w:val="center"/>
          </w:tcPr>
          <w:p>
            <w:pPr>
              <w:jc w:val="center"/>
            </w:pPr>
            <w:r>
              <w:rPr>
                <w:rFonts w:hint="eastAsia" w:ascii="宋体" w:hAnsi="宋体" w:cs="宋体"/>
                <w:szCs w:val="21"/>
              </w:rPr>
              <w:t>0-3分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99"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continue"/>
            <w:vAlign w:val="center"/>
          </w:tcPr>
          <w:p>
            <w:pPr>
              <w:autoSpaceDE w:val="0"/>
              <w:adjustRightInd w:val="0"/>
              <w:snapToGrid w:val="0"/>
              <w:spacing w:line="240" w:lineRule="atLeast"/>
              <w:jc w:val="center"/>
              <w:rPr>
                <w:rFonts w:ascii="宋体" w:hAnsi="宋体" w:cs="宋体"/>
                <w:szCs w:val="21"/>
              </w:rPr>
            </w:pPr>
          </w:p>
        </w:tc>
        <w:tc>
          <w:tcPr>
            <w:tcW w:w="6659" w:type="dxa"/>
            <w:tcBorders>
              <w:bottom w:val="single" w:color="auto" w:sz="4" w:space="0"/>
              <w:right w:val="single" w:color="auto" w:sz="4" w:space="0"/>
            </w:tcBorders>
            <w:vAlign w:val="center"/>
          </w:tcPr>
          <w:p>
            <w:pPr>
              <w:autoSpaceDE w:val="0"/>
              <w:adjustRightInd w:val="0"/>
              <w:snapToGrid w:val="0"/>
              <w:spacing w:line="240" w:lineRule="atLeast"/>
              <w:rPr>
                <w:rFonts w:ascii="宋体" w:hAnsi="宋体" w:cs="宋体"/>
                <w:kern w:val="0"/>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教学资源：提供适宜小学到高中的丰富、高质量教学资源，重点演示语文、数学、英语学科。（3分）：优得2-3分，良得1-1.9分，一般得0.5-1分，差不得分。</w:t>
            </w:r>
          </w:p>
        </w:tc>
        <w:tc>
          <w:tcPr>
            <w:tcW w:w="901" w:type="dxa"/>
            <w:tcBorders>
              <w:left w:val="single" w:color="auto" w:sz="4" w:space="0"/>
              <w:bottom w:val="single" w:color="auto" w:sz="4" w:space="0"/>
            </w:tcBorders>
            <w:vAlign w:val="center"/>
          </w:tcPr>
          <w:p>
            <w:pPr>
              <w:jc w:val="center"/>
            </w:pPr>
            <w:r>
              <w:rPr>
                <w:rFonts w:hint="eastAsia" w:ascii="宋体" w:hAnsi="宋体" w:cs="宋体"/>
                <w:szCs w:val="21"/>
              </w:rPr>
              <w:t>0-3分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99"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continue"/>
            <w:vAlign w:val="center"/>
          </w:tcPr>
          <w:p>
            <w:pPr>
              <w:autoSpaceDE w:val="0"/>
              <w:adjustRightInd w:val="0"/>
              <w:snapToGrid w:val="0"/>
              <w:spacing w:line="240" w:lineRule="atLeast"/>
              <w:jc w:val="center"/>
              <w:rPr>
                <w:rFonts w:ascii="宋体" w:hAnsi="宋体" w:cs="宋体"/>
                <w:szCs w:val="21"/>
              </w:rPr>
            </w:pPr>
          </w:p>
        </w:tc>
        <w:tc>
          <w:tcPr>
            <w:tcW w:w="6659" w:type="dxa"/>
            <w:tcBorders>
              <w:bottom w:val="single" w:color="auto" w:sz="4" w:space="0"/>
              <w:right w:val="single" w:color="auto" w:sz="4" w:space="0"/>
            </w:tcBorders>
            <w:vAlign w:val="center"/>
          </w:tcPr>
          <w:p>
            <w:pPr>
              <w:pStyle w:val="94"/>
              <w:ind w:firstLine="0" w:firstLineChars="0"/>
              <w:jc w:val="left"/>
              <w:rPr>
                <w:rFonts w:ascii="宋体" w:hAnsi="宋体" w:cs="宋体"/>
                <w:kern w:val="0"/>
                <w:szCs w:val="21"/>
              </w:rPr>
            </w:pPr>
            <w:r>
              <w:rPr>
                <w:rFonts w:hint="eastAsia" w:ascii="宋体" w:hAnsi="宋体" w:cs="宋体"/>
                <w:kern w:val="0"/>
                <w:szCs w:val="21"/>
                <w:lang w:val="zh-CN"/>
              </w:rPr>
              <w:t>4</w:t>
            </w:r>
            <w:r>
              <w:rPr>
                <w:rFonts w:ascii="宋体" w:hAnsi="宋体" w:cs="宋体"/>
                <w:kern w:val="0"/>
                <w:szCs w:val="21"/>
                <w:lang w:val="zh-CN"/>
              </w:rPr>
              <w:t>.</w:t>
            </w:r>
            <w:r>
              <w:rPr>
                <w:rFonts w:hint="eastAsia" w:ascii="宋体" w:hAnsi="宋体" w:cs="宋体"/>
                <w:kern w:val="0"/>
                <w:szCs w:val="21"/>
                <w:lang w:val="zh-CN"/>
              </w:rPr>
              <w:t>微课录制：通过便捷操作实现平板显示的课件、音频内容与老师人声同步录制，对录制操作与录制效果进行比较评分。（录制操作以通过前置物理键实现一键操控为优）。（4分）：优得2-4分，良得1-1.9分，一般得0.5-1分，差不得分。</w:t>
            </w:r>
          </w:p>
        </w:tc>
        <w:tc>
          <w:tcPr>
            <w:tcW w:w="901" w:type="dxa"/>
            <w:tcBorders>
              <w:left w:val="single" w:color="auto" w:sz="4" w:space="0"/>
              <w:bottom w:val="single" w:color="auto" w:sz="4" w:space="0"/>
            </w:tcBorders>
            <w:vAlign w:val="center"/>
          </w:tcPr>
          <w:p>
            <w:pPr>
              <w:jc w:val="center"/>
            </w:pPr>
            <w:r>
              <w:rPr>
                <w:rFonts w:hint="eastAsia" w:ascii="宋体" w:hAnsi="宋体" w:cs="宋体"/>
                <w:szCs w:val="21"/>
              </w:rPr>
              <w:t>0-4分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99"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continue"/>
            <w:vAlign w:val="center"/>
          </w:tcPr>
          <w:p>
            <w:pPr>
              <w:autoSpaceDE w:val="0"/>
              <w:adjustRightInd w:val="0"/>
              <w:snapToGrid w:val="0"/>
              <w:spacing w:line="240" w:lineRule="atLeast"/>
              <w:jc w:val="center"/>
              <w:rPr>
                <w:rFonts w:ascii="宋体" w:hAnsi="宋体" w:cs="宋体"/>
                <w:szCs w:val="21"/>
              </w:rPr>
            </w:pPr>
          </w:p>
        </w:tc>
        <w:tc>
          <w:tcPr>
            <w:tcW w:w="6659" w:type="dxa"/>
            <w:tcBorders>
              <w:bottom w:val="single" w:color="auto" w:sz="4" w:space="0"/>
              <w:right w:val="single" w:color="auto" w:sz="4" w:space="0"/>
            </w:tcBorders>
            <w:vAlign w:val="center"/>
          </w:tcPr>
          <w:p>
            <w:pPr>
              <w:pStyle w:val="94"/>
              <w:ind w:firstLine="0" w:firstLineChars="0"/>
              <w:jc w:val="left"/>
              <w:rPr>
                <w:rFonts w:ascii="宋体" w:hAnsi="宋体" w:cs="宋体"/>
                <w:kern w:val="0"/>
                <w:szCs w:val="21"/>
                <w:lang w:val="zh-CN"/>
              </w:rPr>
            </w:pPr>
            <w:r>
              <w:rPr>
                <w:rFonts w:hint="eastAsia" w:ascii="宋体" w:hAnsi="宋体" w:cs="宋体"/>
                <w:kern w:val="0"/>
                <w:szCs w:val="21"/>
                <w:lang w:val="zh-CN"/>
              </w:rPr>
              <w:t>5.手势操作：演示在任意信号源通道下可识别五指上、下、左、右方向手势滑动，五指划O，左右晃动等操作调用相应功能，支持将各手势自定义设置为无操作、熄屏、批注、桌面、半屏模式；</w:t>
            </w:r>
            <w:r>
              <w:rPr>
                <w:rFonts w:hint="eastAsia" w:ascii="宋体" w:hAnsi="宋体" w:cs="宋体"/>
                <w:szCs w:val="21"/>
              </w:rPr>
              <w:t>（4分）：优得2-4分，良得1-1.9分，一般得0.5-1分，差不得分。</w:t>
            </w:r>
          </w:p>
        </w:tc>
        <w:tc>
          <w:tcPr>
            <w:tcW w:w="901" w:type="dxa"/>
            <w:tcBorders>
              <w:left w:val="single" w:color="auto" w:sz="4" w:space="0"/>
              <w:bottom w:val="single" w:color="auto" w:sz="4" w:space="0"/>
            </w:tcBorders>
            <w:vAlign w:val="center"/>
          </w:tcPr>
          <w:p>
            <w:pPr>
              <w:jc w:val="center"/>
            </w:pPr>
            <w:r>
              <w:rPr>
                <w:rFonts w:hint="eastAsia" w:ascii="宋体" w:hAnsi="宋体" w:cs="宋体"/>
                <w:szCs w:val="21"/>
              </w:rPr>
              <w:t>0-4分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55" w:hRule="atLeast"/>
          <w:jc w:val="center"/>
        </w:trPr>
        <w:tc>
          <w:tcPr>
            <w:tcW w:w="930" w:type="dxa"/>
            <w:vMerge w:val="continue"/>
            <w:vAlign w:val="center"/>
          </w:tcPr>
          <w:p>
            <w:pPr>
              <w:autoSpaceDE w:val="0"/>
              <w:adjustRightInd w:val="0"/>
              <w:snapToGrid w:val="0"/>
              <w:spacing w:line="240" w:lineRule="atLeast"/>
              <w:jc w:val="center"/>
              <w:rPr>
                <w:rFonts w:ascii="宋体" w:hAnsi="宋体" w:cs="宋体"/>
                <w:b/>
                <w:bCs/>
                <w:kern w:val="0"/>
                <w:szCs w:val="21"/>
              </w:rPr>
            </w:pPr>
          </w:p>
        </w:tc>
        <w:tc>
          <w:tcPr>
            <w:tcW w:w="900" w:type="dxa"/>
            <w:vMerge w:val="continue"/>
            <w:vAlign w:val="center"/>
          </w:tcPr>
          <w:p>
            <w:pPr>
              <w:autoSpaceDE w:val="0"/>
              <w:adjustRightInd w:val="0"/>
              <w:snapToGrid w:val="0"/>
              <w:spacing w:line="240" w:lineRule="atLeast"/>
              <w:jc w:val="center"/>
              <w:rPr>
                <w:rFonts w:ascii="宋体" w:hAnsi="宋体" w:cs="宋体"/>
                <w:szCs w:val="21"/>
              </w:rPr>
            </w:pPr>
          </w:p>
        </w:tc>
        <w:tc>
          <w:tcPr>
            <w:tcW w:w="6659" w:type="dxa"/>
            <w:tcBorders>
              <w:right w:val="single" w:color="auto" w:sz="4" w:space="0"/>
            </w:tcBorders>
            <w:vAlign w:val="center"/>
          </w:tcPr>
          <w:p>
            <w:pPr>
              <w:autoSpaceDE w:val="0"/>
              <w:adjustRightInd w:val="0"/>
              <w:snapToGrid w:val="0"/>
              <w:spacing w:line="240" w:lineRule="atLeast"/>
              <w:jc w:val="left"/>
              <w:rPr>
                <w:rFonts w:ascii="宋体" w:hAnsi="宋体" w:cs="宋体"/>
                <w:bCs/>
                <w:kern w:val="0"/>
                <w:szCs w:val="21"/>
              </w:rPr>
            </w:pPr>
            <w:r>
              <w:rPr>
                <w:rFonts w:hint="eastAsia" w:ascii="宋体" w:hAnsi="宋体" w:cs="宋体"/>
                <w:kern w:val="0"/>
                <w:szCs w:val="21"/>
                <w:lang w:val="zh-CN"/>
              </w:rPr>
              <w:t>6</w:t>
            </w:r>
            <w:r>
              <w:rPr>
                <w:rFonts w:ascii="宋体" w:hAnsi="宋体" w:cs="宋体"/>
                <w:kern w:val="0"/>
                <w:szCs w:val="21"/>
                <w:lang w:val="zh-CN"/>
              </w:rPr>
              <w:t>.</w:t>
            </w:r>
            <w:r>
              <w:rPr>
                <w:rFonts w:hint="eastAsia" w:ascii="宋体" w:hAnsi="宋体" w:cs="宋体"/>
                <w:kern w:val="0"/>
                <w:szCs w:val="21"/>
              </w:rPr>
              <w:t>远程督导：根据投标产品适用的课堂教学场景出发，通过交互式平板内置摄像头进行远程督导课堂，从督导便利性、实用性、交互性等方面进行综合评价</w:t>
            </w:r>
            <w:r>
              <w:rPr>
                <w:rFonts w:hint="eastAsia" w:ascii="宋体" w:hAnsi="宋体" w:cs="宋体"/>
                <w:szCs w:val="21"/>
              </w:rPr>
              <w:t>（4分）：优得2-4分，良得1-1.9分，一般得0.5-1分，差不得分。</w:t>
            </w:r>
          </w:p>
        </w:tc>
        <w:tc>
          <w:tcPr>
            <w:tcW w:w="901" w:type="dxa"/>
            <w:tcBorders>
              <w:left w:val="single" w:color="auto" w:sz="4" w:space="0"/>
            </w:tcBorders>
            <w:vAlign w:val="center"/>
          </w:tcPr>
          <w:p>
            <w:pPr>
              <w:jc w:val="center"/>
            </w:pPr>
            <w:r>
              <w:rPr>
                <w:rFonts w:hint="eastAsia" w:ascii="宋体" w:hAnsi="宋体" w:cs="宋体"/>
                <w:szCs w:val="21"/>
              </w:rPr>
              <w:t>0-4分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1068" w:hRule="atLeast"/>
          <w:jc w:val="center"/>
        </w:trPr>
        <w:tc>
          <w:tcPr>
            <w:tcW w:w="930" w:type="dxa"/>
            <w:vMerge w:val="restart"/>
            <w:tcBorders>
              <w:top w:val="single" w:color="auto" w:sz="4" w:space="0"/>
            </w:tcBorders>
            <w:vAlign w:val="center"/>
          </w:tcPr>
          <w:p>
            <w:pPr>
              <w:autoSpaceDE w:val="0"/>
              <w:adjustRightInd w:val="0"/>
              <w:snapToGrid w:val="0"/>
              <w:spacing w:line="240" w:lineRule="atLeast"/>
              <w:rPr>
                <w:rFonts w:ascii="宋体" w:hAnsi="宋体" w:cs="宋体"/>
                <w:b/>
                <w:bCs/>
                <w:kern w:val="0"/>
                <w:szCs w:val="21"/>
              </w:rPr>
            </w:pPr>
            <w:r>
              <w:rPr>
                <w:rFonts w:hint="eastAsia" w:ascii="宋体" w:hAnsi="宋体" w:cs="宋体"/>
                <w:b/>
                <w:bCs/>
                <w:kern w:val="0"/>
                <w:szCs w:val="21"/>
              </w:rPr>
              <w:t>资信部分</w:t>
            </w:r>
            <w:r>
              <w:rPr>
                <w:rFonts w:ascii="宋体" w:hAnsi="宋体" w:cs="宋体"/>
                <w:b/>
                <w:bCs/>
                <w:kern w:val="0"/>
                <w:szCs w:val="21"/>
              </w:rPr>
              <w:t>2</w:t>
            </w:r>
            <w:r>
              <w:rPr>
                <w:rFonts w:hint="eastAsia" w:ascii="宋体" w:hAnsi="宋体" w:cs="宋体"/>
                <w:b/>
                <w:bCs/>
                <w:kern w:val="0"/>
                <w:szCs w:val="21"/>
              </w:rPr>
              <w:t>2</w:t>
            </w:r>
            <w:r>
              <w:rPr>
                <w:rFonts w:hint="eastAsia" w:ascii="宋体" w:hAnsi="宋体" w:cs="宋体"/>
                <w:b/>
                <w:bCs/>
                <w:szCs w:val="21"/>
              </w:rPr>
              <w:t>分</w:t>
            </w:r>
          </w:p>
        </w:tc>
        <w:tc>
          <w:tcPr>
            <w:tcW w:w="900" w:type="dxa"/>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75寸交互平板产品市场情况</w:t>
            </w:r>
          </w:p>
        </w:tc>
        <w:tc>
          <w:tcPr>
            <w:tcW w:w="6659" w:type="dxa"/>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投标人提供交互平板相关材料，评委根据材料和自身了解对交互平板一体机的品牌影响力、教育领域占有率、用户口碑等因素进行综合打分（0-6分）优得4-6分，良得2-3.9分，一般得0.5-1.9分，差不得分。（投标人可提供专业第三方统计机构如AVC等19-21年的统计数据进行参考）</w:t>
            </w:r>
          </w:p>
        </w:tc>
        <w:tc>
          <w:tcPr>
            <w:tcW w:w="901" w:type="dxa"/>
            <w:vAlign w:val="center"/>
          </w:tcPr>
          <w:p>
            <w:pPr>
              <w:autoSpaceDE w:val="0"/>
              <w:adjustRightInd w:val="0"/>
              <w:snapToGrid w:val="0"/>
              <w:spacing w:line="240" w:lineRule="atLeast"/>
              <w:jc w:val="center"/>
              <w:rPr>
                <w:rFonts w:ascii="宋体" w:hAnsi="宋体" w:cs="宋体"/>
                <w:bCs/>
                <w:kern w:val="0"/>
                <w:szCs w:val="21"/>
              </w:rPr>
            </w:pPr>
            <w:r>
              <w:rPr>
                <w:rFonts w:hint="eastAsia" w:ascii="宋体" w:hAnsi="宋体" w:cs="宋体"/>
                <w:bCs/>
                <w:kern w:val="0"/>
                <w:szCs w:val="21"/>
              </w:rPr>
              <w:t>0-</w:t>
            </w:r>
            <w:r>
              <w:rPr>
                <w:rFonts w:ascii="宋体" w:hAnsi="宋体" w:cs="宋体"/>
                <w:bCs/>
                <w:kern w:val="0"/>
                <w:szCs w:val="21"/>
              </w:rPr>
              <w:t>6</w:t>
            </w:r>
            <w:r>
              <w:rPr>
                <w:rFonts w:hint="eastAsia" w:ascii="宋体" w:hAnsi="宋体" w:cs="宋体"/>
                <w:bCs/>
                <w:kern w:val="0"/>
                <w:szCs w:val="21"/>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5"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kern w:val="0"/>
                <w:szCs w:val="21"/>
              </w:rPr>
            </w:pPr>
          </w:p>
        </w:tc>
        <w:tc>
          <w:tcPr>
            <w:tcW w:w="900" w:type="dxa"/>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同类项目业绩</w:t>
            </w:r>
          </w:p>
        </w:tc>
        <w:tc>
          <w:tcPr>
            <w:tcW w:w="6659" w:type="dxa"/>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提供投标人2020年1月1日以来承建学校交互平板的成交通知书、合同。</w:t>
            </w:r>
            <w:r>
              <w:rPr>
                <w:rFonts w:hint="eastAsia" w:ascii="宋体" w:hAnsi="宋体" w:cs="宋体"/>
                <w:bCs/>
                <w:kern w:val="0"/>
                <w:szCs w:val="21"/>
              </w:rPr>
              <w:t>每个得0</w:t>
            </w:r>
            <w:r>
              <w:rPr>
                <w:rFonts w:ascii="宋体" w:hAnsi="宋体" w:cs="宋体"/>
                <w:bCs/>
                <w:kern w:val="0"/>
                <w:szCs w:val="21"/>
              </w:rPr>
              <w:t>.5</w:t>
            </w:r>
            <w:r>
              <w:rPr>
                <w:rFonts w:hint="eastAsia" w:ascii="宋体" w:hAnsi="宋体" w:cs="宋体"/>
                <w:bCs/>
                <w:kern w:val="0"/>
                <w:szCs w:val="21"/>
              </w:rPr>
              <w:t>分，同一项目不重复计分，最高得1分。（时间以合同签订时间为准，原件备查）</w:t>
            </w:r>
          </w:p>
        </w:tc>
        <w:tc>
          <w:tcPr>
            <w:tcW w:w="901" w:type="dxa"/>
            <w:vAlign w:val="center"/>
          </w:tcPr>
          <w:p>
            <w:pPr>
              <w:autoSpaceDE w:val="0"/>
              <w:adjustRightInd w:val="0"/>
              <w:snapToGrid w:val="0"/>
              <w:spacing w:line="240" w:lineRule="atLeast"/>
              <w:jc w:val="center"/>
              <w:rPr>
                <w:rFonts w:ascii="宋体" w:hAnsi="宋体" w:cs="宋体"/>
                <w:bCs/>
                <w:kern w:val="0"/>
                <w:szCs w:val="21"/>
              </w:rPr>
            </w:pPr>
            <w:r>
              <w:rPr>
                <w:rFonts w:hint="eastAsia" w:ascii="宋体" w:hAnsi="宋体" w:cs="宋体"/>
                <w:bCs/>
                <w:kern w:val="0"/>
                <w:szCs w:val="21"/>
              </w:rPr>
              <w:t>0-1分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5"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kern w:val="0"/>
                <w:szCs w:val="21"/>
              </w:rPr>
            </w:pPr>
          </w:p>
        </w:tc>
        <w:tc>
          <w:tcPr>
            <w:tcW w:w="900" w:type="dxa"/>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工程质量、工期保证体系</w:t>
            </w:r>
          </w:p>
        </w:tc>
        <w:tc>
          <w:tcPr>
            <w:tcW w:w="6659" w:type="dxa"/>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评委对投标人的施工组织、实施计划、实施人员安排、安装调试方案、培训方案、验收方案进行评定（5分）：优得3-5分，良得1-2.9分，一般得0.5-1分，差不得分。</w:t>
            </w:r>
          </w:p>
        </w:tc>
        <w:tc>
          <w:tcPr>
            <w:tcW w:w="901" w:type="dxa"/>
            <w:vAlign w:val="center"/>
          </w:tcPr>
          <w:p>
            <w:pPr>
              <w:autoSpaceDE w:val="0"/>
              <w:adjustRightInd w:val="0"/>
              <w:snapToGrid w:val="0"/>
              <w:spacing w:line="240" w:lineRule="atLeast"/>
              <w:jc w:val="center"/>
              <w:rPr>
                <w:rFonts w:ascii="宋体" w:hAnsi="宋体" w:cs="宋体"/>
                <w:bCs/>
                <w:kern w:val="0"/>
                <w:szCs w:val="21"/>
              </w:rPr>
            </w:pPr>
            <w:r>
              <w:rPr>
                <w:rFonts w:hint="eastAsia" w:ascii="宋体" w:hAnsi="宋体" w:cs="宋体"/>
                <w:bCs/>
                <w:kern w:val="0"/>
                <w:szCs w:val="21"/>
              </w:rPr>
              <w:t>0-5分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5"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restart"/>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售后服务及保障</w:t>
            </w:r>
          </w:p>
        </w:tc>
        <w:tc>
          <w:tcPr>
            <w:tcW w:w="6659" w:type="dxa"/>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评委对投标人的质量保证措施、服务保障体系（包括日常维护机制，服务响应方式和时间、技术服务体系详细、可操作性强）、备品备件等方案进行综合评审（5分）：优得3-5分，良得1-2.9分，一般得0.5-1分，差不得分。</w:t>
            </w:r>
          </w:p>
        </w:tc>
        <w:tc>
          <w:tcPr>
            <w:tcW w:w="901" w:type="dxa"/>
            <w:vAlign w:val="center"/>
          </w:tcPr>
          <w:p>
            <w:pPr>
              <w:autoSpaceDE w:val="0"/>
              <w:adjustRightInd w:val="0"/>
              <w:snapToGrid w:val="0"/>
              <w:spacing w:line="240" w:lineRule="atLeast"/>
              <w:jc w:val="center"/>
              <w:rPr>
                <w:rFonts w:ascii="宋体" w:hAnsi="宋体" w:cs="宋体"/>
                <w:bCs/>
                <w:kern w:val="0"/>
                <w:szCs w:val="21"/>
              </w:rPr>
            </w:pPr>
            <w:r>
              <w:rPr>
                <w:rFonts w:hint="eastAsia" w:ascii="宋体" w:hAnsi="宋体" w:cs="宋体"/>
                <w:bCs/>
                <w:kern w:val="0"/>
                <w:szCs w:val="21"/>
              </w:rPr>
              <w:t>0-5分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5"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continue"/>
            <w:vAlign w:val="center"/>
          </w:tcPr>
          <w:p>
            <w:pPr>
              <w:autoSpaceDE w:val="0"/>
              <w:adjustRightInd w:val="0"/>
              <w:snapToGrid w:val="0"/>
              <w:spacing w:line="240" w:lineRule="atLeast"/>
              <w:jc w:val="center"/>
              <w:rPr>
                <w:rFonts w:ascii="宋体" w:hAnsi="宋体" w:cs="宋体"/>
                <w:bCs/>
                <w:kern w:val="0"/>
                <w:szCs w:val="21"/>
              </w:rPr>
            </w:pPr>
          </w:p>
        </w:tc>
        <w:tc>
          <w:tcPr>
            <w:tcW w:w="6659" w:type="dxa"/>
            <w:vAlign w:val="center"/>
          </w:tcPr>
          <w:p>
            <w:pPr>
              <w:autoSpaceDE w:val="0"/>
              <w:adjustRightInd w:val="0"/>
              <w:snapToGrid w:val="0"/>
              <w:spacing w:line="240" w:lineRule="atLeast"/>
              <w:rPr>
                <w:rFonts w:ascii="宋体" w:hAnsi="宋体" w:cs="宋体"/>
                <w:bCs/>
                <w:kern w:val="0"/>
                <w:szCs w:val="21"/>
              </w:rPr>
            </w:pPr>
            <w:r>
              <w:rPr>
                <w:rFonts w:hint="eastAsia" w:ascii="宋体" w:hAnsi="宋体" w:cs="宋体"/>
                <w:bCs/>
                <w:kern w:val="0"/>
                <w:szCs w:val="21"/>
              </w:rPr>
              <w:t>延保承诺，</w:t>
            </w:r>
            <w:r>
              <w:rPr>
                <w:rFonts w:hint="eastAsia" w:ascii="宋体" w:hAnsi="宋体" w:cs="宋体"/>
                <w:szCs w:val="21"/>
              </w:rPr>
              <w:t>在三年</w:t>
            </w:r>
            <w:r>
              <w:rPr>
                <w:rFonts w:hint="eastAsia" w:ascii="宋体" w:hAnsi="宋体" w:cs="宋体"/>
                <w:bCs/>
                <w:kern w:val="0"/>
                <w:szCs w:val="21"/>
              </w:rPr>
              <w:t>质保基础上每延长半年免费质保加1分,最高加2分。</w:t>
            </w:r>
          </w:p>
        </w:tc>
        <w:tc>
          <w:tcPr>
            <w:tcW w:w="901" w:type="dxa"/>
            <w:vAlign w:val="center"/>
          </w:tcPr>
          <w:p>
            <w:pPr>
              <w:autoSpaceDE w:val="0"/>
              <w:adjustRightInd w:val="0"/>
              <w:snapToGrid w:val="0"/>
              <w:spacing w:line="240" w:lineRule="atLeast"/>
              <w:jc w:val="center"/>
              <w:rPr>
                <w:rFonts w:ascii="宋体" w:hAnsi="宋体" w:cs="宋体"/>
                <w:bCs/>
                <w:kern w:val="0"/>
                <w:szCs w:val="21"/>
              </w:rPr>
            </w:pPr>
            <w:r>
              <w:rPr>
                <w:rFonts w:hint="eastAsia" w:ascii="宋体" w:hAnsi="宋体" w:cs="宋体"/>
                <w:bCs/>
                <w:kern w:val="0"/>
                <w:szCs w:val="21"/>
              </w:rPr>
              <w:t>0-2分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866"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restart"/>
            <w:vAlign w:val="center"/>
          </w:tcPr>
          <w:p>
            <w:pPr>
              <w:autoSpaceDE w:val="0"/>
              <w:adjustRightInd w:val="0"/>
              <w:snapToGrid w:val="0"/>
              <w:spacing w:line="240" w:lineRule="atLeast"/>
              <w:jc w:val="center"/>
              <w:rPr>
                <w:rFonts w:ascii="宋体" w:hAnsi="宋体" w:cs="宋体"/>
                <w:bCs/>
                <w:kern w:val="0"/>
                <w:szCs w:val="21"/>
              </w:rPr>
            </w:pPr>
            <w:r>
              <w:rPr>
                <w:rFonts w:hint="eastAsia" w:ascii="宋体" w:hAnsi="宋体" w:cs="宋体"/>
                <w:szCs w:val="21"/>
              </w:rPr>
              <w:t>历史售后服务质量评价</w:t>
            </w:r>
          </w:p>
        </w:tc>
        <w:tc>
          <w:tcPr>
            <w:tcW w:w="7560" w:type="dxa"/>
            <w:gridSpan w:val="2"/>
            <w:vAlign w:val="center"/>
          </w:tcPr>
          <w:p>
            <w:pPr>
              <w:autoSpaceDE w:val="0"/>
              <w:adjustRightInd w:val="0"/>
              <w:snapToGrid w:val="0"/>
              <w:spacing w:line="240" w:lineRule="atLeast"/>
              <w:jc w:val="left"/>
              <w:rPr>
                <w:rFonts w:ascii="宋体" w:hAnsi="宋体" w:cs="宋体"/>
                <w:szCs w:val="21"/>
              </w:rPr>
            </w:pPr>
            <w:r>
              <w:rPr>
                <w:rFonts w:hint="eastAsia" w:ascii="宋体" w:hAnsi="宋体" w:cs="宋体"/>
                <w:szCs w:val="21"/>
              </w:rPr>
              <w:t>根据投标人在嵊州市教育系统内2021年度的历史售后服务质量评分，无售后服务历史的得1.5分。</w:t>
            </w:r>
          </w:p>
          <w:p>
            <w:pPr>
              <w:autoSpaceDE w:val="0"/>
              <w:adjustRightInd w:val="0"/>
              <w:snapToGrid w:val="0"/>
              <w:spacing w:line="240" w:lineRule="atLeast"/>
              <w:jc w:val="left"/>
              <w:rPr>
                <w:rFonts w:ascii="宋体" w:hAnsi="宋体" w:cs="宋体"/>
                <w:szCs w:val="21"/>
              </w:rPr>
            </w:pPr>
            <w:r>
              <w:rPr>
                <w:rFonts w:hint="eastAsia" w:ascii="宋体" w:hAnsi="宋体" w:cs="宋体"/>
                <w:szCs w:val="21"/>
              </w:rPr>
              <w:t>（采购方根据《嵊州市教育技术装备管理平台》中的售后服务信息导出统计表以供参考）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71"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continue"/>
            <w:vAlign w:val="center"/>
          </w:tcPr>
          <w:p>
            <w:pPr>
              <w:autoSpaceDE w:val="0"/>
              <w:adjustRightInd w:val="0"/>
              <w:snapToGrid w:val="0"/>
              <w:spacing w:line="240" w:lineRule="atLeast"/>
              <w:jc w:val="center"/>
              <w:rPr>
                <w:rFonts w:ascii="宋体" w:hAnsi="宋体" w:cs="宋体"/>
                <w:bCs/>
                <w:kern w:val="0"/>
                <w:szCs w:val="21"/>
              </w:rPr>
            </w:pPr>
          </w:p>
        </w:tc>
        <w:tc>
          <w:tcPr>
            <w:tcW w:w="6659" w:type="dxa"/>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1.网络响应速度。响应时间≦1小时的在0.4-0.8分之间评分，超过1小时的在0-0.4分之间评分。</w:t>
            </w:r>
          </w:p>
        </w:tc>
        <w:tc>
          <w:tcPr>
            <w:tcW w:w="901" w:type="dxa"/>
            <w:vAlign w:val="center"/>
          </w:tcPr>
          <w:p>
            <w:pPr>
              <w:autoSpaceDE w:val="0"/>
              <w:adjustRightInd w:val="0"/>
              <w:snapToGrid w:val="0"/>
              <w:spacing w:line="240" w:lineRule="atLeast"/>
              <w:jc w:val="center"/>
              <w:rPr>
                <w:rFonts w:ascii="宋体" w:hAnsi="宋体" w:cs="宋体"/>
                <w:szCs w:val="21"/>
              </w:rPr>
            </w:pPr>
            <w:r>
              <w:rPr>
                <w:rFonts w:hint="eastAsia" w:ascii="宋体" w:hAnsi="宋体" w:cs="宋体"/>
                <w:szCs w:val="21"/>
              </w:rPr>
              <w:t>0-0.8分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56"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continue"/>
            <w:vAlign w:val="center"/>
          </w:tcPr>
          <w:p>
            <w:pPr>
              <w:autoSpaceDE w:val="0"/>
              <w:adjustRightInd w:val="0"/>
              <w:snapToGrid w:val="0"/>
              <w:spacing w:line="240" w:lineRule="atLeast"/>
              <w:jc w:val="center"/>
              <w:rPr>
                <w:rFonts w:ascii="宋体" w:hAnsi="宋体" w:cs="宋体"/>
                <w:bCs/>
                <w:kern w:val="0"/>
                <w:szCs w:val="21"/>
              </w:rPr>
            </w:pPr>
          </w:p>
        </w:tc>
        <w:tc>
          <w:tcPr>
            <w:tcW w:w="6659" w:type="dxa"/>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2.故障排除速度。排除速度≦2天的在0.7-1.4分之间评分，超过2天的在0-0.7分之间评分。</w:t>
            </w:r>
          </w:p>
        </w:tc>
        <w:tc>
          <w:tcPr>
            <w:tcW w:w="901" w:type="dxa"/>
            <w:vAlign w:val="center"/>
          </w:tcPr>
          <w:p>
            <w:pPr>
              <w:autoSpaceDE w:val="0"/>
              <w:adjustRightInd w:val="0"/>
              <w:snapToGrid w:val="0"/>
              <w:spacing w:line="240" w:lineRule="atLeast"/>
              <w:jc w:val="center"/>
              <w:rPr>
                <w:rFonts w:ascii="宋体" w:hAnsi="宋体" w:cs="宋体"/>
                <w:szCs w:val="21"/>
              </w:rPr>
            </w:pPr>
            <w:r>
              <w:rPr>
                <w:rFonts w:hint="eastAsia" w:ascii="宋体" w:hAnsi="宋体" w:cs="宋体"/>
                <w:szCs w:val="21"/>
              </w:rPr>
              <w:t>0-1.4分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581"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continue"/>
            <w:vAlign w:val="center"/>
          </w:tcPr>
          <w:p>
            <w:pPr>
              <w:autoSpaceDE w:val="0"/>
              <w:adjustRightInd w:val="0"/>
              <w:snapToGrid w:val="0"/>
              <w:spacing w:line="240" w:lineRule="atLeast"/>
              <w:jc w:val="center"/>
              <w:rPr>
                <w:rFonts w:ascii="宋体" w:hAnsi="宋体" w:cs="宋体"/>
                <w:bCs/>
                <w:kern w:val="0"/>
                <w:szCs w:val="21"/>
              </w:rPr>
            </w:pPr>
          </w:p>
        </w:tc>
        <w:tc>
          <w:tcPr>
            <w:tcW w:w="6659" w:type="dxa"/>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3.用户评价情况。用户评价≥4.5分以上的在0.4-0.8分之间评分，低于4.5分的在0-0.4分之间评分。</w:t>
            </w:r>
          </w:p>
        </w:tc>
        <w:tc>
          <w:tcPr>
            <w:tcW w:w="901" w:type="dxa"/>
            <w:vAlign w:val="center"/>
          </w:tcPr>
          <w:p>
            <w:pPr>
              <w:autoSpaceDE w:val="0"/>
              <w:adjustRightInd w:val="0"/>
              <w:snapToGrid w:val="0"/>
              <w:spacing w:line="240" w:lineRule="atLeast"/>
              <w:jc w:val="center"/>
              <w:rPr>
                <w:rFonts w:ascii="宋体" w:hAnsi="宋体" w:cs="宋体"/>
                <w:szCs w:val="21"/>
              </w:rPr>
            </w:pPr>
            <w:r>
              <w:rPr>
                <w:rFonts w:hint="eastAsia" w:ascii="宋体" w:hAnsi="宋体" w:cs="宋体"/>
                <w:szCs w:val="21"/>
              </w:rPr>
              <w:t>0-0.8分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26" w:hRule="atLeast"/>
          <w:jc w:val="center"/>
        </w:trPr>
        <w:tc>
          <w:tcPr>
            <w:tcW w:w="930" w:type="dxa"/>
            <w:vMerge w:val="continue"/>
            <w:vAlign w:val="center"/>
          </w:tcPr>
          <w:p>
            <w:pPr>
              <w:autoSpaceDE w:val="0"/>
              <w:adjustRightInd w:val="0"/>
              <w:snapToGrid w:val="0"/>
              <w:spacing w:line="240" w:lineRule="atLeast"/>
              <w:ind w:firstLine="482"/>
              <w:jc w:val="center"/>
              <w:rPr>
                <w:rFonts w:ascii="宋体" w:hAnsi="宋体" w:cs="宋体"/>
                <w:b/>
                <w:bCs/>
                <w:szCs w:val="21"/>
              </w:rPr>
            </w:pPr>
          </w:p>
        </w:tc>
        <w:tc>
          <w:tcPr>
            <w:tcW w:w="900" w:type="dxa"/>
            <w:vMerge w:val="continue"/>
            <w:vAlign w:val="center"/>
          </w:tcPr>
          <w:p>
            <w:pPr>
              <w:autoSpaceDE w:val="0"/>
              <w:adjustRightInd w:val="0"/>
              <w:snapToGrid w:val="0"/>
              <w:spacing w:line="240" w:lineRule="atLeast"/>
              <w:jc w:val="center"/>
              <w:rPr>
                <w:rFonts w:ascii="宋体" w:hAnsi="宋体" w:cs="宋体"/>
                <w:bCs/>
                <w:kern w:val="0"/>
                <w:szCs w:val="21"/>
              </w:rPr>
            </w:pPr>
          </w:p>
        </w:tc>
        <w:tc>
          <w:tcPr>
            <w:tcW w:w="7560" w:type="dxa"/>
            <w:gridSpan w:val="2"/>
            <w:vAlign w:val="center"/>
          </w:tcPr>
          <w:p>
            <w:pPr>
              <w:autoSpaceDE w:val="0"/>
              <w:adjustRightInd w:val="0"/>
              <w:snapToGrid w:val="0"/>
              <w:spacing w:line="240" w:lineRule="atLeast"/>
              <w:rPr>
                <w:rFonts w:ascii="宋体" w:hAnsi="宋体" w:cs="宋体"/>
                <w:szCs w:val="21"/>
              </w:rPr>
            </w:pPr>
            <w:r>
              <w:rPr>
                <w:rFonts w:hint="eastAsia" w:ascii="宋体" w:hAnsi="宋体" w:cs="宋体"/>
                <w:szCs w:val="21"/>
              </w:rPr>
              <w:t>4.用户投诉情况。出现用户投诉的每次扣0.3分，从前面1-3小项得分中扣除，扣完为止。</w:t>
            </w:r>
          </w:p>
        </w:tc>
      </w:tr>
    </w:tbl>
    <w:p>
      <w:pPr>
        <w:spacing w:line="440" w:lineRule="exact"/>
        <w:rPr>
          <w:rFonts w:ascii="仿宋_GB2312" w:hAnsi="宋体" w:eastAsia="仿宋_GB2312"/>
          <w:bCs/>
          <w:iCs/>
          <w:sz w:val="24"/>
        </w:rPr>
      </w:pPr>
      <w:r>
        <w:rPr>
          <w:rFonts w:hint="eastAsia" w:ascii="仿宋_GB2312" w:hAnsi="宋体" w:eastAsia="仿宋_GB2312"/>
          <w:bCs/>
          <w:iCs/>
          <w:sz w:val="24"/>
        </w:rPr>
        <w:t>注：投标文件评分索引不全或与内容不一致所导致的不良后果由投标人承担。</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spacing w:line="440" w:lineRule="exact"/>
        <w:ind w:firstLine="482" w:firstLineChars="200"/>
        <w:rPr>
          <w:rFonts w:ascii="仿宋_GB2312" w:hAnsi="宋体" w:eastAsia="仿宋_GB2312"/>
          <w:b/>
          <w:iCs/>
          <w:sz w:val="24"/>
        </w:rPr>
      </w:pPr>
      <w:r>
        <w:rPr>
          <w:rFonts w:hint="eastAsia" w:ascii="仿宋_GB2312" w:hAnsi="宋体" w:eastAsia="仿宋_GB2312"/>
          <w:b/>
          <w:iCs/>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rPr>
          <w:rFonts w:ascii="仿宋_GB2312" w:hAnsi="宋体" w:eastAsia="仿宋_GB2312"/>
          <w:bCs/>
          <w:iCs/>
          <w:sz w:val="24"/>
        </w:rPr>
      </w:pPr>
    </w:p>
    <w:bookmarkEnd w:id="9"/>
    <w:bookmarkEnd w:id="10"/>
    <w:bookmarkEnd w:id="11"/>
    <w:bookmarkEnd w:id="12"/>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numPr>
          <w:ilvl w:val="0"/>
          <w:numId w:val="9"/>
        </w:numPr>
        <w:spacing w:line="360" w:lineRule="auto"/>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投标响应函……………………………………………………（页码）</w:t>
      </w:r>
    </w:p>
    <w:p>
      <w:pPr>
        <w:numPr>
          <w:ilvl w:val="0"/>
          <w:numId w:val="0"/>
        </w:num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eastAsia="zh-CN"/>
        </w:rPr>
        <w:t>报价明细</w:t>
      </w:r>
      <w:r>
        <w:rPr>
          <w:rFonts w:hint="eastAsia" w:ascii="仿宋_GB2312" w:hAnsi="仿宋_GB2312" w:eastAsia="仿宋_GB2312" w:cs="仿宋_GB2312"/>
          <w:kern w:val="0"/>
          <w:sz w:val="24"/>
        </w:rPr>
        <w:t>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21"/>
        <w:spacing w:line="800" w:lineRule="atLeast"/>
        <w:ind w:left="0" w:leftChars="0"/>
        <w:rPr>
          <w:rFonts w:ascii="仿宋_GB2312" w:hAnsi="宋体" w:eastAsia="仿宋_GB2312"/>
          <w:b/>
          <w:sz w:val="36"/>
          <w:szCs w:val="36"/>
        </w:rPr>
      </w:pPr>
    </w:p>
    <w:p>
      <w:pPr>
        <w:pStyle w:val="21"/>
        <w:spacing w:line="800" w:lineRule="atLeast"/>
        <w:ind w:left="0" w:leftChars="0"/>
        <w:rPr>
          <w:rFonts w:ascii="仿宋_GB2312" w:hAnsi="宋体" w:eastAsia="仿宋_GB2312"/>
          <w:b/>
          <w:sz w:val="36"/>
          <w:szCs w:val="36"/>
        </w:rPr>
      </w:pPr>
    </w:p>
    <w:p>
      <w:pPr>
        <w:pStyle w:val="21"/>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72"/>
        <w:spacing w:afterLines="0" w:line="440" w:lineRule="exact"/>
        <w:ind w:firstLine="0" w:firstLineChars="0"/>
        <w:rPr>
          <w:rFonts w:ascii="仿宋_GB2312" w:hAnsi="宋体" w:eastAsia="仿宋_GB2312"/>
          <w:szCs w:val="24"/>
        </w:rPr>
      </w:pPr>
    </w:p>
    <w:p>
      <w:pPr>
        <w:pStyle w:val="72"/>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嵊州市教育体育局、嵊州市公共资源交易中心</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5"/>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72"/>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嵊州市公共资源交易中心提供可能另外要求的与投标有关的任何数据或资料。</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5"/>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72"/>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72"/>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72"/>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Style w:val="5"/>
        <w:numPr>
          <w:ilvl w:val="0"/>
          <w:numId w:val="0"/>
        </w:numPr>
        <w:tabs>
          <w:tab w:val="left" w:pos="358"/>
          <w:tab w:val="left" w:pos="360"/>
          <w:tab w:val="clear" w:pos="1145"/>
        </w:tabs>
        <w:ind w:leftChars="0"/>
        <w:rPr>
          <w:rFonts w:hint="eastAsia" w:ascii="宋体" w:hAnsi="宋体"/>
          <w:b/>
          <w:bCs/>
          <w:sz w:val="28"/>
        </w:rPr>
      </w:pPr>
      <w:bookmarkStart w:id="66" w:name="_Toc8044859"/>
      <w:r>
        <w:rPr>
          <w:rFonts w:hint="eastAsia" w:ascii="宋体" w:hAnsi="宋体"/>
          <w:b/>
          <w:bCs/>
          <w:sz w:val="28"/>
          <w:lang w:val="en-US" w:eastAsia="zh-CN"/>
        </w:rPr>
        <w:t>2</w:t>
      </w:r>
      <w:r>
        <w:rPr>
          <w:rFonts w:hint="eastAsia" w:ascii="宋体" w:hAnsi="宋体"/>
          <w:b/>
          <w:bCs/>
          <w:sz w:val="28"/>
        </w:rPr>
        <w:t>、</w:t>
      </w:r>
      <w:bookmarkStart w:id="67" w:name="_Toc340321933"/>
      <w:bookmarkStart w:id="68" w:name="_Toc452965656"/>
      <w:bookmarkStart w:id="69" w:name="_Toc16808"/>
      <w:bookmarkStart w:id="70" w:name="_Toc340322188"/>
      <w:bookmarkStart w:id="71" w:name="_Toc339302149"/>
      <w:r>
        <w:rPr>
          <w:rFonts w:hint="eastAsia" w:ascii="宋体" w:hAnsi="宋体"/>
          <w:b/>
          <w:bCs/>
          <w:sz w:val="28"/>
        </w:rPr>
        <w:t>开标一览表（报价表）</w:t>
      </w:r>
      <w:bookmarkEnd w:id="66"/>
      <w:bookmarkEnd w:id="67"/>
      <w:bookmarkEnd w:id="68"/>
      <w:bookmarkEnd w:id="69"/>
      <w:bookmarkEnd w:id="70"/>
      <w:bookmarkEnd w:id="71"/>
    </w:p>
    <w:p>
      <w:pPr>
        <w:pStyle w:val="2"/>
      </w:pPr>
    </w:p>
    <w:p>
      <w:pPr>
        <w:pStyle w:val="2"/>
        <w:rPr>
          <w:rFonts w:hint="eastAsia"/>
        </w:rPr>
      </w:pPr>
    </w:p>
    <w:p>
      <w:pPr>
        <w:spacing w:line="360" w:lineRule="auto"/>
        <w:ind w:firstLine="480"/>
        <w:rPr>
          <w:rFonts w:hint="eastAsia" w:ascii="宋体" w:hAnsi="宋体" w:eastAsia="宋体"/>
          <w:sz w:val="21"/>
          <w:szCs w:val="21"/>
          <w:u w:val="single"/>
          <w:lang w:eastAsia="zh-CN"/>
        </w:rPr>
      </w:pPr>
      <w:r>
        <w:rPr>
          <w:rFonts w:hint="eastAsia" w:ascii="宋体" w:hAnsi="宋体"/>
          <w:sz w:val="21"/>
          <w:szCs w:val="21"/>
        </w:rPr>
        <w:t>标</w:t>
      </w:r>
      <w:r>
        <w:rPr>
          <w:rFonts w:ascii="宋体" w:hAnsi="宋体"/>
          <w:sz w:val="21"/>
          <w:szCs w:val="21"/>
        </w:rPr>
        <w:t xml:space="preserve">    </w:t>
      </w:r>
      <w:r>
        <w:rPr>
          <w:rFonts w:hint="eastAsia" w:ascii="宋体" w:hAnsi="宋体"/>
          <w:sz w:val="21"/>
          <w:szCs w:val="21"/>
        </w:rPr>
        <w:t>项：</w:t>
      </w:r>
    </w:p>
    <w:p>
      <w:pPr>
        <w:spacing w:line="360" w:lineRule="auto"/>
        <w:ind w:firstLine="480"/>
        <w:rPr>
          <w:rFonts w:ascii="宋体" w:hAnsi="宋体"/>
          <w:sz w:val="21"/>
          <w:szCs w:val="21"/>
        </w:rPr>
      </w:pPr>
      <w:r>
        <w:rPr>
          <w:rFonts w:hint="eastAsia" w:ascii="宋体" w:hAnsi="宋体"/>
          <w:sz w:val="21"/>
          <w:szCs w:val="21"/>
        </w:rPr>
        <w:t>价格单位：（人民币）元</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676" w:type="dxa"/>
            <w:noWrap w:val="0"/>
            <w:vAlign w:val="center"/>
          </w:tcPr>
          <w:p>
            <w:pPr>
              <w:spacing w:line="360" w:lineRule="auto"/>
              <w:jc w:val="center"/>
              <w:rPr>
                <w:rFonts w:ascii="宋体" w:hAnsi="宋体"/>
                <w:b/>
                <w:sz w:val="21"/>
                <w:szCs w:val="21"/>
              </w:rPr>
            </w:pPr>
            <w:r>
              <w:rPr>
                <w:rFonts w:hint="eastAsia" w:ascii="宋体" w:hAnsi="宋体"/>
                <w:b/>
                <w:sz w:val="21"/>
                <w:szCs w:val="21"/>
              </w:rPr>
              <w:t>采购内容</w:t>
            </w:r>
          </w:p>
        </w:tc>
        <w:tc>
          <w:tcPr>
            <w:tcW w:w="4253" w:type="dxa"/>
            <w:noWrap w:val="0"/>
            <w:vAlign w:val="center"/>
          </w:tcPr>
          <w:p>
            <w:pPr>
              <w:spacing w:line="360" w:lineRule="auto"/>
              <w:jc w:val="center"/>
              <w:rPr>
                <w:rFonts w:ascii="宋体" w:hAnsi="宋体"/>
                <w:b/>
                <w:sz w:val="21"/>
                <w:szCs w:val="21"/>
              </w:rPr>
            </w:pPr>
            <w:r>
              <w:rPr>
                <w:rFonts w:hint="eastAsia" w:ascii="宋体" w:hAnsi="宋体"/>
                <w:b/>
                <w:sz w:val="21"/>
                <w:szCs w:val="21"/>
              </w:rPr>
              <w:t>报 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noWrap w:val="0"/>
            <w:vAlign w:val="center"/>
          </w:tcPr>
          <w:p>
            <w:pPr>
              <w:spacing w:line="360" w:lineRule="auto"/>
              <w:jc w:val="center"/>
              <w:rPr>
                <w:rFonts w:hint="eastAsia" w:ascii="宋体" w:hAnsi="宋体" w:eastAsia="宋体"/>
                <w:sz w:val="21"/>
                <w:szCs w:val="21"/>
                <w:lang w:eastAsia="zh-CN"/>
              </w:rPr>
            </w:pPr>
          </w:p>
        </w:tc>
        <w:tc>
          <w:tcPr>
            <w:tcW w:w="4253" w:type="dxa"/>
            <w:noWrap w:val="0"/>
            <w:vAlign w:val="center"/>
          </w:tcPr>
          <w:p>
            <w:pPr>
              <w:spacing w:line="360" w:lineRule="auto"/>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noWrap w:val="0"/>
            <w:vAlign w:val="center"/>
          </w:tcPr>
          <w:p>
            <w:pPr>
              <w:spacing w:line="360" w:lineRule="auto"/>
              <w:jc w:val="center"/>
              <w:rPr>
                <w:rFonts w:ascii="宋体" w:hAnsi="宋体"/>
                <w:spacing w:val="6"/>
                <w:sz w:val="21"/>
                <w:szCs w:val="21"/>
              </w:rPr>
            </w:pPr>
            <w:r>
              <w:rPr>
                <w:rFonts w:hint="eastAsia" w:ascii="宋体" w:hAnsi="宋体"/>
                <w:b/>
                <w:sz w:val="21"/>
                <w:szCs w:val="21"/>
              </w:rPr>
              <w:t>大写（人民币）：</w:t>
            </w:r>
          </w:p>
        </w:tc>
        <w:tc>
          <w:tcPr>
            <w:tcW w:w="4253" w:type="dxa"/>
            <w:noWrap w:val="0"/>
            <w:vAlign w:val="center"/>
          </w:tcPr>
          <w:p>
            <w:pPr>
              <w:spacing w:line="360" w:lineRule="auto"/>
              <w:jc w:val="center"/>
              <w:rPr>
                <w:rFonts w:ascii="宋体" w:hAnsi="宋体"/>
                <w:sz w:val="21"/>
                <w:szCs w:val="21"/>
              </w:rPr>
            </w:pPr>
          </w:p>
        </w:tc>
      </w:tr>
    </w:tbl>
    <w:p>
      <w:pPr>
        <w:spacing w:line="360" w:lineRule="auto"/>
        <w:ind w:firstLine="480"/>
        <w:rPr>
          <w:rFonts w:ascii="宋体" w:hAnsi="宋体"/>
          <w:sz w:val="21"/>
          <w:szCs w:val="21"/>
        </w:rPr>
      </w:pPr>
    </w:p>
    <w:p>
      <w:pPr>
        <w:spacing w:line="360" w:lineRule="auto"/>
        <w:ind w:firstLine="482"/>
        <w:rPr>
          <w:rFonts w:ascii="宋体" w:hAnsi="宋体"/>
          <w:sz w:val="21"/>
          <w:szCs w:val="21"/>
        </w:rPr>
      </w:pPr>
      <w:r>
        <w:rPr>
          <w:rFonts w:hint="eastAsia" w:ascii="宋体" w:hAnsi="宋体"/>
          <w:sz w:val="21"/>
          <w:szCs w:val="21"/>
        </w:rPr>
        <w:t>注：此表的报价系本次投标所有需买方支付的金额总数即投标报价；</w:t>
      </w:r>
    </w:p>
    <w:p>
      <w:pPr>
        <w:adjustRightInd w:val="0"/>
        <w:snapToGrid w:val="0"/>
        <w:spacing w:line="360" w:lineRule="auto"/>
        <w:jc w:val="center"/>
        <w:rPr>
          <w:rFonts w:ascii="宋体" w:hAnsi="宋体" w:cs="Arial"/>
          <w:b/>
          <w:sz w:val="21"/>
          <w:szCs w:val="21"/>
        </w:rPr>
      </w:pPr>
    </w:p>
    <w:p>
      <w:pPr>
        <w:adjustRightInd w:val="0"/>
        <w:snapToGrid w:val="0"/>
        <w:spacing w:line="360" w:lineRule="auto"/>
        <w:jc w:val="center"/>
        <w:rPr>
          <w:rFonts w:ascii="宋体" w:hAnsi="宋体" w:cs="Arial"/>
          <w:b/>
          <w:sz w:val="21"/>
          <w:szCs w:val="21"/>
        </w:rPr>
      </w:pPr>
    </w:p>
    <w:p>
      <w:pPr>
        <w:spacing w:line="360" w:lineRule="auto"/>
        <w:ind w:firstLine="482"/>
        <w:rPr>
          <w:rFonts w:hint="eastAsia" w:ascii="宋体" w:hAnsi="宋体" w:eastAsia="宋体"/>
          <w:sz w:val="21"/>
          <w:szCs w:val="21"/>
          <w:lang w:eastAsia="zh-CN"/>
        </w:rPr>
      </w:pPr>
      <w:r>
        <w:rPr>
          <w:rFonts w:hint="eastAsia" w:ascii="宋体" w:hAnsi="宋体"/>
          <w:sz w:val="21"/>
          <w:szCs w:val="21"/>
        </w:rPr>
        <w:t>投标人（</w:t>
      </w:r>
      <w:r>
        <w:rPr>
          <w:rFonts w:hint="eastAsia" w:ascii="仿宋_GB2312" w:hAnsi="宋体" w:eastAsia="仿宋_GB2312"/>
          <w:sz w:val="24"/>
        </w:rPr>
        <w:t>电子签章</w:t>
      </w:r>
      <w:r>
        <w:rPr>
          <w:rFonts w:hint="eastAsia" w:ascii="宋体" w:hAnsi="宋体"/>
          <w:sz w:val="21"/>
          <w:szCs w:val="21"/>
        </w:rPr>
        <w:t>）</w:t>
      </w:r>
      <w:r>
        <w:rPr>
          <w:rFonts w:hint="eastAsia" w:ascii="宋体" w:hAnsi="宋体"/>
          <w:sz w:val="21"/>
          <w:szCs w:val="21"/>
          <w:lang w:eastAsia="zh-CN"/>
        </w:rPr>
        <w:t>：</w:t>
      </w:r>
    </w:p>
    <w:p>
      <w:pPr>
        <w:spacing w:line="360" w:lineRule="auto"/>
        <w:ind w:firstLine="482"/>
        <w:rPr>
          <w:rFonts w:hint="eastAsia" w:ascii="宋体" w:hAnsi="宋体" w:eastAsia="宋体"/>
          <w:sz w:val="21"/>
          <w:szCs w:val="21"/>
          <w:lang w:eastAsia="zh-CN"/>
        </w:rPr>
      </w:pPr>
      <w:r>
        <w:rPr>
          <w:rFonts w:hint="eastAsia" w:ascii="宋体" w:hAnsi="宋体"/>
          <w:sz w:val="21"/>
          <w:szCs w:val="21"/>
        </w:rPr>
        <w:t>法定代表人或其授权代表（</w:t>
      </w:r>
      <w:r>
        <w:rPr>
          <w:rFonts w:hint="eastAsia" w:ascii="仿宋_GB2312" w:hAnsi="宋体" w:eastAsia="仿宋_GB2312"/>
          <w:sz w:val="24"/>
        </w:rPr>
        <w:t>签字或盖章</w:t>
      </w:r>
      <w:r>
        <w:rPr>
          <w:rFonts w:hint="eastAsia" w:ascii="宋体" w:hAnsi="宋体"/>
          <w:sz w:val="21"/>
          <w:szCs w:val="21"/>
        </w:rPr>
        <w:t>）</w:t>
      </w:r>
      <w:r>
        <w:rPr>
          <w:rFonts w:hint="eastAsia" w:ascii="宋体" w:hAnsi="宋体"/>
          <w:sz w:val="21"/>
          <w:szCs w:val="21"/>
          <w:lang w:eastAsia="zh-CN"/>
        </w:rPr>
        <w:t>：</w:t>
      </w:r>
    </w:p>
    <w:p>
      <w:pPr>
        <w:spacing w:line="360" w:lineRule="auto"/>
        <w:ind w:firstLine="482"/>
        <w:rPr>
          <w:rFonts w:ascii="宋体" w:hAnsi="宋体"/>
          <w:sz w:val="21"/>
          <w:szCs w:val="21"/>
        </w:rPr>
      </w:pPr>
      <w:r>
        <w:rPr>
          <w:rFonts w:hint="eastAsia" w:ascii="宋体" w:hAnsi="宋体"/>
          <w:sz w:val="21"/>
          <w:szCs w:val="21"/>
        </w:rPr>
        <w:t>日</w:t>
      </w:r>
      <w:r>
        <w:rPr>
          <w:rFonts w:ascii="宋体" w:hAnsi="宋体"/>
          <w:sz w:val="21"/>
          <w:szCs w:val="21"/>
        </w:rPr>
        <w:t xml:space="preserve">  </w:t>
      </w:r>
      <w:r>
        <w:rPr>
          <w:rFonts w:hint="eastAsia" w:ascii="宋体" w:hAnsi="宋体"/>
          <w:sz w:val="21"/>
          <w:szCs w:val="21"/>
        </w:rPr>
        <w:t>期</w:t>
      </w:r>
      <w:r>
        <w:rPr>
          <w:rFonts w:ascii="宋体" w:hAnsi="宋体"/>
          <w:sz w:val="21"/>
          <w:szCs w:val="21"/>
        </w:rPr>
        <w:t>:</w:t>
      </w:r>
    </w:p>
    <w:p>
      <w:pPr>
        <w:pageBreakBefore/>
        <w:spacing w:line="800" w:lineRule="exact"/>
      </w:pPr>
      <w:r>
        <w:rPr>
          <w:rFonts w:hint="eastAsia" w:ascii="仿宋_GB2312" w:hAnsi="宋体" w:eastAsia="仿宋_GB2312"/>
          <w:b/>
          <w:sz w:val="30"/>
          <w:szCs w:val="30"/>
          <w:lang w:val="en-US" w:eastAsia="zh-CN"/>
        </w:rPr>
        <w:t>3</w:t>
      </w:r>
      <w:r>
        <w:rPr>
          <w:rFonts w:hint="eastAsia" w:ascii="仿宋_GB2312" w:hAnsi="宋体" w:eastAsia="仿宋_GB2312"/>
          <w:b/>
          <w:sz w:val="30"/>
          <w:szCs w:val="30"/>
        </w:rPr>
        <w:t>、</w:t>
      </w:r>
      <w:r>
        <w:rPr>
          <w:rFonts w:hint="eastAsia" w:ascii="仿宋_GB2312" w:hAnsi="宋体" w:eastAsia="仿宋_GB2312"/>
          <w:b/>
          <w:sz w:val="30"/>
          <w:szCs w:val="30"/>
          <w:lang w:eastAsia="zh-CN"/>
        </w:rPr>
        <w:t>报价明细</w:t>
      </w:r>
      <w:r>
        <w:rPr>
          <w:rFonts w:hint="eastAsia" w:ascii="仿宋_GB2312" w:hAnsi="宋体" w:eastAsia="仿宋_GB2312"/>
          <w:b/>
          <w:sz w:val="30"/>
          <w:szCs w:val="30"/>
        </w:rPr>
        <w:t>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1、从业人员、营业收入、资产总额填报上一年度数据，无上一年度数据的新成立企业可不填报。</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sz w:val="24"/>
        </w:rPr>
      </w:pPr>
    </w:p>
    <w:p>
      <w:pPr>
        <w:ind w:firstLine="420" w:firstLineChars="200"/>
        <w:rPr>
          <w:rFonts w:ascii="仿宋_GB2312" w:eastAsia="仿宋_GB2312"/>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05pt;width:389.9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800" w:lineRule="exact"/>
        <w:rPr>
          <w:rFonts w:ascii="仿宋_GB2312" w:hAnsi="宋体" w:eastAsia="仿宋_GB2312"/>
          <w:b/>
          <w:sz w:val="24"/>
        </w:rPr>
      </w:pP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5"/>
        <w:spacing w:line="360" w:lineRule="auto"/>
        <w:ind w:left="0" w:firstLine="0" w:firstLineChars="0"/>
        <w:rPr>
          <w:rFonts w:hAnsi="仿宋_GB2312" w:cs="仿宋_GB2312"/>
        </w:rPr>
      </w:pPr>
      <w:r>
        <w:rPr>
          <w:rFonts w:hint="eastAsia" w:hAnsi="仿宋_GB2312" w:cs="仿宋_GB2312"/>
        </w:rPr>
        <w:t>（1）法定代表人授权书 …………………………………………………………（页码）</w:t>
      </w:r>
    </w:p>
    <w:p>
      <w:pPr>
        <w:pStyle w:val="195"/>
        <w:spacing w:line="360" w:lineRule="auto"/>
        <w:ind w:left="0" w:firstLine="0" w:firstLineChars="0"/>
        <w:rPr>
          <w:rFonts w:hAnsi="仿宋_GB2312" w:cs="仿宋_GB2312"/>
        </w:rPr>
      </w:pPr>
      <w:r>
        <w:rPr>
          <w:rFonts w:hint="eastAsia" w:hAnsi="仿宋_GB2312" w:cs="仿宋_GB2312"/>
        </w:rPr>
        <w:t>（2）授权代表社保证明（复印件）………………………………………………（页码）</w:t>
      </w:r>
    </w:p>
    <w:p>
      <w:pPr>
        <w:pStyle w:val="195"/>
        <w:spacing w:line="360" w:lineRule="auto"/>
        <w:ind w:left="0" w:firstLine="0" w:firstLineChars="0"/>
        <w:rPr>
          <w:rFonts w:hAnsi="仿宋_GB2312" w:cs="仿宋_GB2312"/>
        </w:rPr>
      </w:pPr>
      <w:r>
        <w:rPr>
          <w:rFonts w:hint="eastAsia" w:hAnsi="仿宋_GB2312" w:cs="仿宋_GB2312"/>
        </w:rPr>
        <w:t>（3）法定代表人及其授权代表的身份证（复印件）……………………………（页码）（4）法定代表人身份证明书………………………………………………………（页码）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（5）所有与符合性审查有关的资信文件（复印件）（营业执照、2021年度财务报表、纳税和社保缴纳证明</w:t>
      </w:r>
      <w:r>
        <w:rPr>
          <w:rFonts w:hint="eastAsia" w:ascii="仿宋_GB2312" w:hAnsi="仿宋_GB2312" w:eastAsia="仿宋_GB2312" w:cs="仿宋_GB2312"/>
          <w:kern w:val="0"/>
          <w:sz w:val="24"/>
        </w:rPr>
        <w:t>）</w:t>
      </w:r>
      <w:r>
        <w:rPr>
          <w:rFonts w:hint="eastAsia" w:hAnsi="仿宋_GB2312" w:cs="仿宋_GB2312"/>
          <w:lang w:val="zh-CN"/>
        </w:rPr>
        <w:t>………………………………………………………</w:t>
      </w:r>
      <w:r>
        <w:rPr>
          <w:rFonts w:hint="eastAsia" w:hAnsi="仿宋_GB2312" w:cs="仿宋_GB2312"/>
        </w:rPr>
        <w:t>…………</w:t>
      </w:r>
      <w:r>
        <w:rPr>
          <w:rFonts w:hint="eastAsia" w:hAnsi="仿宋_GB2312" w:cs="仿宋_GB2312"/>
          <w:lang w:val="zh-CN"/>
        </w:rPr>
        <w:t>…</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（6）具有履</w:t>
      </w:r>
      <w:r>
        <w:rPr>
          <w:rFonts w:hint="eastAsia" w:ascii="仿宋_GB2312" w:hAnsi="仿宋_GB2312" w:eastAsia="仿宋_GB2312" w:cs="仿宋_GB2312"/>
          <w:kern w:val="0"/>
          <w:sz w:val="24"/>
        </w:rPr>
        <w:t>行合同所必需的设备和专业技术能力的承诺函……………………（页码）</w:t>
      </w:r>
    </w:p>
    <w:p>
      <w:pPr>
        <w:pStyle w:val="195"/>
        <w:spacing w:line="360" w:lineRule="auto"/>
        <w:ind w:firstLine="0" w:firstLineChars="0"/>
        <w:rPr>
          <w:rFonts w:hAnsi="仿宋_GB2312" w:cs="仿宋_GB2312"/>
        </w:rPr>
      </w:pPr>
      <w:r>
        <w:rPr>
          <w:rFonts w:hint="eastAsia" w:hAnsi="仿宋_GB2312" w:cs="仿宋_GB2312"/>
        </w:rPr>
        <w:t>（7）重大违法记录的声明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r>
        <w:rPr>
          <w:rFonts w:hint="eastAsia" w:hAnsi="仿宋_GB2312" w:cs="仿宋_GB2312"/>
        </w:rPr>
        <w:t>（8）符合特定资格条件（如果项目要求）的有关证明材料（复印件）………（页码）</w:t>
      </w:r>
    </w:p>
    <w:p>
      <w:pPr>
        <w:pStyle w:val="195"/>
        <w:spacing w:line="360" w:lineRule="auto"/>
        <w:ind w:left="0" w:firstLine="0" w:firstLineChars="0"/>
        <w:rPr>
          <w:rFonts w:hAnsi="仿宋_GB2312" w:cs="仿宋_GB2312"/>
        </w:rPr>
      </w:pPr>
      <w:r>
        <w:rPr>
          <w:rFonts w:hint="eastAsia" w:hAnsi="仿宋_GB2312" w:cs="仿宋_GB2312"/>
        </w:rPr>
        <w:t>（9）</w:t>
      </w:r>
      <w:r>
        <w:rPr>
          <w:rFonts w:hint="eastAsia" w:hAnsi="仿宋_GB2312" w:cs="仿宋_GB2312"/>
          <w:snapToGrid w:val="0"/>
        </w:rPr>
        <w:t>非本地投标人售后服务机构证明材料</w:t>
      </w:r>
      <w:r>
        <w:rPr>
          <w:rFonts w:hint="eastAsia" w:hAnsi="仿宋_GB2312" w:cs="仿宋_GB2312"/>
        </w:rPr>
        <w:t>……………………………………（页码）</w:t>
      </w:r>
    </w:p>
    <w:p>
      <w:pPr>
        <w:pStyle w:val="195"/>
        <w:spacing w:line="360" w:lineRule="auto"/>
        <w:ind w:left="0" w:firstLine="0" w:firstLineChars="0"/>
        <w:rPr>
          <w:rFonts w:hAnsi="仿宋_GB2312" w:cs="仿宋_GB2312"/>
        </w:rPr>
      </w:pPr>
      <w:r>
        <w:rPr>
          <w:rFonts w:hint="eastAsia" w:hAnsi="仿宋_GB2312" w:cs="仿宋_GB2312"/>
        </w:rPr>
        <w:t>（10）</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5"/>
        <w:spacing w:line="360" w:lineRule="auto"/>
        <w:ind w:left="0" w:firstLine="0" w:firstLineChars="0"/>
        <w:rPr>
          <w:rFonts w:hAnsi="仿宋_GB2312" w:cs="仿宋_GB2312"/>
        </w:rPr>
      </w:pPr>
      <w:r>
        <w:rPr>
          <w:rFonts w:hint="eastAsia" w:hAnsi="仿宋_GB2312" w:cs="仿宋_GB2312"/>
        </w:rPr>
        <w:t>（11）廉政承诺书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嵊州市教育体育局、嵊州市公共资源交易中心</w:t>
      </w:r>
      <w:r>
        <w:rPr>
          <w:rFonts w:hint="eastAsia" w:ascii="仿宋_GB2312" w:hAnsi="宋体" w:eastAsia="仿宋_GB2312"/>
          <w:sz w:val="24"/>
        </w:rPr>
        <w:t>组织的</w:t>
      </w:r>
      <w:r>
        <w:rPr>
          <w:rFonts w:hint="eastAsia" w:ascii="仿宋_GB2312" w:hAnsi="宋体" w:eastAsia="仿宋_GB2312"/>
          <w:sz w:val="24"/>
          <w:u w:val="single"/>
        </w:rPr>
        <w:t>嵊州市教育体育局多媒体设备采购项目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spacing w:line="440" w:lineRule="exact"/>
        <w:ind w:right="720"/>
        <w:jc w:val="right"/>
        <w:rPr>
          <w:rFonts w:ascii="仿宋_GB2312" w:hAnsi="宋体" w:eastAsia="仿宋_GB2312"/>
          <w:sz w:val="24"/>
        </w:rPr>
      </w:pPr>
    </w:p>
    <w:p>
      <w:pPr>
        <w:spacing w:line="440" w:lineRule="exact"/>
        <w:ind w:right="720"/>
        <w:jc w:val="right"/>
        <w:rPr>
          <w:rFonts w:ascii="仿宋_GB2312" w:hAnsi="宋体" w:eastAsia="仿宋_GB2312"/>
          <w:sz w:val="24"/>
        </w:rPr>
      </w:pPr>
    </w:p>
    <w:p>
      <w:pPr>
        <w:pageBreakBefore/>
        <w:spacing w:line="440" w:lineRule="exact"/>
        <w:ind w:right="-47"/>
        <w:jc w:val="left"/>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营业执照（或事业法人登记证或其他登记证明材料）（复印件）；2.财务报表资料文件（2021年度资产负债表等财务报表资料文件(新成立的公司，提供情况说明，格式自拟)）；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嵊州市教育体育局</w:t>
      </w:r>
      <w:r>
        <w:rPr>
          <w:rFonts w:hint="eastAsia" w:ascii="仿宋_GB2312" w:hAnsi="仿宋_GB2312" w:eastAsia="仿宋_GB2312" w:cs="仿宋_GB2312"/>
          <w:sz w:val="24"/>
        </w:rPr>
        <w:t>、嵊州市公共资源交易中心</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我方郑重承诺，我方具有履行嵊州市教育体育局多媒体设备采购项目（招标编号:2022-04合同所必需的设备和专业技术能力。如中标，我方将保证合同顺利履行。</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  日</w:t>
      </w:r>
    </w:p>
    <w:p>
      <w:pPr>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kern w:val="0"/>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7、重大违法记录的声明</w:t>
      </w:r>
    </w:p>
    <w:p>
      <w:pPr>
        <w:snapToGrid w:val="0"/>
        <w:spacing w:before="156" w:beforeLines="50" w:line="360" w:lineRule="auto"/>
        <w:rPr>
          <w:rFonts w:ascii="仿宋_GB2312" w:hAnsi="仿宋_GB2312" w:eastAsia="仿宋_GB2312" w:cs="仿宋_GB2312"/>
          <w:kern w:val="0"/>
          <w:sz w:val="24"/>
        </w:rPr>
      </w:pPr>
      <w:r>
        <w:rPr>
          <w:rFonts w:hint="eastAsia" w:ascii="仿宋" w:hAnsi="仿宋" w:eastAsia="仿宋" w:cs="仿宋_GB2312"/>
          <w:sz w:val="24"/>
        </w:rPr>
        <w:t>嵊州市教育体育局</w:t>
      </w:r>
      <w:r>
        <w:rPr>
          <w:rFonts w:hint="eastAsia" w:ascii="仿宋_GB2312" w:hAnsi="仿宋_GB2312" w:eastAsia="仿宋_GB2312" w:cs="仿宋_GB2312"/>
          <w:sz w:val="24"/>
        </w:rPr>
        <w:t>、嵊州市公共资源交易中心</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没有重大违法记录；也</w:t>
      </w:r>
      <w:r>
        <w:rPr>
          <w:rFonts w:hint="eastAsia" w:ascii="仿宋_GB2312" w:hAnsi="仿宋_GB2312" w:eastAsia="仿宋_GB2312"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8、特定资格条件要求的资质文件（复印件）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9、非本地投标人售后服务机构证明材料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（由非本地投标人根据采购需求及招标文件要求编制）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6"/>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签订日期</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采购单位名称</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注：投标人可按上述的格式自行编制，须随表提交相应的合同复印件和成交通知书（含公开招标、网上询价、网上超市等类型）并注明页码。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6"/>
        <w:ind w:firstLine="0"/>
        <w:jc w:val="both"/>
        <w:rPr>
          <w:rFonts w:hAnsi="仿宋_GB2312" w:cs="仿宋_GB2312"/>
        </w:rPr>
      </w:pPr>
    </w:p>
    <w:p>
      <w:pPr>
        <w:pStyle w:val="196"/>
        <w:pageBreakBefore/>
        <w:ind w:firstLine="0"/>
        <w:jc w:val="both"/>
        <w:rPr>
          <w:rFonts w:hAnsi="仿宋_GB2312" w:cs="仿宋_GB2312"/>
        </w:rPr>
      </w:pPr>
      <w:r>
        <w:rPr>
          <w:rFonts w:hint="eastAsia" w:hAnsi="仿宋_GB2312" w:cs="仿宋_GB2312"/>
        </w:rPr>
        <w:t>11、廉政承诺书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 w:hAnsi="仿宋" w:eastAsia="仿宋" w:cs="仿宋_GB2312"/>
          <w:sz w:val="24"/>
        </w:rPr>
        <w:t>嵊州市教育体育局</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型号</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 w:hAnsi="仿宋" w:eastAsia="仿宋"/>
          <w:b/>
          <w:spacing w:val="6"/>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36.85pt;width:381.9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r>
        <w:rPr>
          <w:rFonts w:ascii="仿宋_GB2312" w:hAnsi="仿宋_GB2312" w:eastAsia="仿宋_GB2312" w:cs="仿宋_GB2312"/>
          <w:b/>
          <w:kern w:val="0"/>
          <w:sz w:val="28"/>
          <w:szCs w:val="28"/>
        </w:rPr>
        <w:object>
          <v:shape id="_x0000_i1027" o:spt="75" type="#_x0000_t75" style="height:36.85pt;width:381.3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14、组织实施方案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napToGrid w:val="0"/>
        <w:spacing w:line="360" w:lineRule="auto"/>
        <w:rPr>
          <w:rFonts w:ascii="仿宋_GB2312" w:hAnsi="仿宋_GB2312" w:eastAsia="仿宋_GB2312" w:cs="仿宋_GB2312"/>
          <w:kern w:val="0"/>
          <w:sz w:val="24"/>
          <w:lang w:val="zh-CN"/>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15、售后服务方案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napToGrid w:val="0"/>
        <w:spacing w:line="360" w:lineRule="auto"/>
        <w:rPr>
          <w:rFonts w:ascii="仿宋_GB2312" w:hAnsi="仿宋_GB2312" w:eastAsia="仿宋_GB2312" w:cs="仿宋_GB2312"/>
          <w:kern w:val="0"/>
          <w:sz w:val="24"/>
          <w:lang w:val="zh-CN"/>
        </w:rPr>
      </w:pPr>
    </w:p>
    <w:p>
      <w:pPr>
        <w:snapToGrid w:val="0"/>
        <w:spacing w:line="360" w:lineRule="auto"/>
        <w:rPr>
          <w:rFonts w:ascii="仿宋_GB2312" w:hAnsi="仿宋_GB2312" w:eastAsia="仿宋_GB2312" w:cs="仿宋_GB2312"/>
          <w:kern w:val="0"/>
          <w:sz w:val="24"/>
          <w:lang w:val="zh-CN"/>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jc w:val="center"/>
        <w:rPr>
          <w:rFonts w:ascii="仿宋_GB2312" w:hAnsi="仿宋" w:eastAsia="仿宋_GB2312" w:cs="仿宋"/>
          <w:b/>
          <w:bCs/>
          <w:sz w:val="32"/>
          <w:szCs w:val="32"/>
        </w:rPr>
      </w:pPr>
      <w:r>
        <w:rPr>
          <w:rFonts w:hint="eastAsia" w:ascii="仿宋_GB2312" w:hAnsi="仿宋" w:eastAsia="仿宋_GB2312" w:cs="仿宋"/>
          <w:b/>
          <w:bCs/>
          <w:sz w:val="32"/>
          <w:szCs w:val="32"/>
        </w:rPr>
        <w:t>质疑函范本</w:t>
      </w:r>
    </w:p>
    <w:p>
      <w:pPr>
        <w:adjustRightInd w:val="0"/>
        <w:snapToGrid w:val="0"/>
        <w:spacing w:before="312" w:beforeLines="100" w:line="360" w:lineRule="auto"/>
        <w:rPr>
          <w:rFonts w:ascii="仿宋_GB2312" w:hAnsi="黑体" w:eastAsia="仿宋_GB2312" w:cs="仿宋"/>
          <w:bCs/>
          <w:sz w:val="24"/>
        </w:rPr>
      </w:pPr>
      <w:r>
        <w:rPr>
          <w:rFonts w:hint="eastAsia" w:ascii="仿宋_GB2312" w:hAnsi="黑体" w:eastAsia="仿宋_GB2312" w:cs="仿宋"/>
          <w:bCs/>
          <w:sz w:val="24"/>
        </w:rPr>
        <w:t>一、质疑供应商基本信息</w:t>
      </w: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地址：邮编：</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联系人：联系电话：</w:t>
      </w: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地址：邮编：</w:t>
      </w:r>
    </w:p>
    <w:p>
      <w:pPr>
        <w:adjustRightInd w:val="0"/>
        <w:snapToGrid w:val="0"/>
        <w:spacing w:line="360" w:lineRule="auto"/>
        <w:rPr>
          <w:rFonts w:ascii="仿宋_GB2312" w:hAnsi="黑体" w:eastAsia="仿宋_GB2312" w:cs="仿宋"/>
          <w:bCs/>
          <w:sz w:val="24"/>
        </w:rPr>
      </w:pPr>
      <w:r>
        <w:rPr>
          <w:rFonts w:hint="eastAsia" w:ascii="仿宋_GB2312" w:hAnsi="黑体" w:eastAsia="仿宋_GB2312" w:cs="仿宋"/>
          <w:bCs/>
          <w:sz w:val="24"/>
        </w:rPr>
        <w:t>二、质疑项目基本情况</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质疑项目的编号：包号：</w:t>
      </w: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p>
    <w:p>
      <w:pPr>
        <w:adjustRightInd w:val="0"/>
        <w:snapToGrid w:val="0"/>
        <w:spacing w:line="360" w:lineRule="auto"/>
        <w:rPr>
          <w:rFonts w:ascii="仿宋_GB2312" w:hAnsi="黑体" w:eastAsia="仿宋_GB2312" w:cs="仿宋"/>
          <w:bCs/>
          <w:sz w:val="24"/>
        </w:rPr>
      </w:pPr>
      <w:r>
        <w:rPr>
          <w:rFonts w:hint="eastAsia" w:ascii="仿宋_GB2312" w:hAnsi="黑体" w:eastAsia="仿宋_GB2312" w:cs="仿宋"/>
          <w:bCs/>
          <w:sz w:val="24"/>
        </w:rPr>
        <w:t>三、质疑事项具体内容</w:t>
      </w: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p>
    <w:p>
      <w:pPr>
        <w:adjustRightInd w:val="0"/>
        <w:snapToGrid w:val="0"/>
        <w:spacing w:line="360" w:lineRule="auto"/>
        <w:rPr>
          <w:rFonts w:ascii="仿宋_GB2312" w:hAnsi="仿宋" w:eastAsia="仿宋_GB2312" w:cs="仿宋"/>
          <w:sz w:val="24"/>
          <w:u w:val="dotted"/>
        </w:rPr>
      </w:pP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adjustRightInd w:val="0"/>
        <w:snapToGrid w:val="0"/>
        <w:spacing w:line="360" w:lineRule="auto"/>
        <w:rPr>
          <w:rFonts w:ascii="仿宋_GB2312" w:hAnsi="黑体" w:eastAsia="仿宋_GB2312" w:cs="仿宋"/>
          <w:bCs/>
          <w:sz w:val="24"/>
        </w:rPr>
      </w:pPr>
      <w:r>
        <w:rPr>
          <w:rFonts w:hint="eastAsia" w:ascii="仿宋_GB2312" w:hAnsi="黑体" w:eastAsia="仿宋_GB2312" w:cs="仿宋"/>
          <w:bCs/>
          <w:sz w:val="24"/>
        </w:rPr>
        <w:t>四、与质疑事项相关的质疑请求</w:t>
      </w:r>
    </w:p>
    <w:p>
      <w:pPr>
        <w:adjustRightInd w:val="0"/>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p>
    <w:p>
      <w:pPr>
        <w:rPr>
          <w:rFonts w:ascii="仿宋_GB2312" w:eastAsia="仿宋_GB2312"/>
          <w:sz w:val="24"/>
        </w:rPr>
      </w:pPr>
      <w:r>
        <w:rPr>
          <w:rFonts w:hint="eastAsia" w:ascii="仿宋_GB2312" w:eastAsia="仿宋_GB2312"/>
          <w:sz w:val="24"/>
        </w:rPr>
        <w:t xml:space="preserve">签字(签章)：                   公章：                      </w:t>
      </w:r>
    </w:p>
    <w:p>
      <w:pPr>
        <w:rPr>
          <w:rFonts w:ascii="仿宋_GB2312" w:eastAsia="仿宋_GB2312"/>
          <w:sz w:val="24"/>
        </w:rPr>
      </w:pPr>
      <w:r>
        <w:rPr>
          <w:rFonts w:hint="eastAsia" w:ascii="仿宋_GB2312" w:eastAsia="仿宋_GB2312"/>
          <w:sz w:val="24"/>
        </w:rPr>
        <w:t xml:space="preserve">日期：    </w:t>
      </w:r>
    </w:p>
    <w:p>
      <w:pPr>
        <w:adjustRightInd w:val="0"/>
        <w:snapToGrid w:val="0"/>
        <w:spacing w:line="360" w:lineRule="auto"/>
        <w:rPr>
          <w:rFonts w:ascii="仿宋_GB2312" w:hAnsi="仿宋" w:eastAsia="仿宋_GB2312" w:cs="仿宋"/>
          <w:sz w:val="24"/>
        </w:rPr>
      </w:pPr>
    </w:p>
    <w:p>
      <w:pPr>
        <w:adjustRightInd w:val="0"/>
        <w:snapToGrid w:val="0"/>
        <w:spacing w:line="360" w:lineRule="auto"/>
        <w:rPr>
          <w:rFonts w:ascii="仿宋_GB2312" w:hAnsi="仿宋" w:eastAsia="仿宋_GB2312" w:cs="仿宋"/>
          <w:sz w:val="24"/>
        </w:rPr>
      </w:pPr>
    </w:p>
    <w:p>
      <w:pPr>
        <w:jc w:val="center"/>
        <w:rPr>
          <w:rFonts w:ascii="仿宋_GB2312" w:hAnsi="仿宋" w:eastAsia="仿宋_GB2312" w:cs="仿宋"/>
          <w:b/>
          <w:bCs/>
          <w:sz w:val="24"/>
        </w:rPr>
      </w:pPr>
    </w:p>
    <w:p>
      <w:pPr>
        <w:jc w:val="center"/>
        <w:rPr>
          <w:rFonts w:ascii="仿宋_GB2312" w:hAnsi="仿宋" w:eastAsia="仿宋_GB2312" w:cs="仿宋"/>
          <w:b/>
          <w:bCs/>
          <w:sz w:val="24"/>
        </w:rPr>
      </w:pPr>
    </w:p>
    <w:p>
      <w:pPr>
        <w:jc w:val="center"/>
        <w:rPr>
          <w:rFonts w:ascii="仿宋_GB2312" w:hAnsi="仿宋" w:eastAsia="仿宋_GB2312" w:cs="仿宋"/>
          <w:b/>
          <w:bCs/>
          <w:sz w:val="24"/>
        </w:rPr>
      </w:pPr>
    </w:p>
    <w:p>
      <w:pPr>
        <w:rPr>
          <w:rFonts w:ascii="仿宋_GB2312" w:hAnsi="黑体" w:eastAsia="仿宋_GB2312"/>
          <w:b/>
          <w:sz w:val="24"/>
        </w:rPr>
      </w:pPr>
    </w:p>
    <w:p>
      <w:pPr>
        <w:rPr>
          <w:rFonts w:ascii="仿宋_GB2312" w:hAnsi="黑体" w:eastAsia="仿宋_GB2312"/>
          <w:b/>
          <w:sz w:val="24"/>
        </w:rPr>
      </w:pPr>
      <w:r>
        <w:rPr>
          <w:rFonts w:hint="eastAsia" w:ascii="仿宋_GB2312" w:hAnsi="黑体" w:eastAsia="仿宋_GB2312"/>
          <w:b/>
          <w:sz w:val="24"/>
        </w:rPr>
        <w:t>质疑函制作说明：</w:t>
      </w:r>
    </w:p>
    <w:p>
      <w:pPr>
        <w:widowControl/>
        <w:ind w:firstLine="480" w:firstLineChars="200"/>
        <w:jc w:val="left"/>
        <w:rPr>
          <w:rFonts w:ascii="仿宋_GB2312" w:eastAsia="仿宋_GB2312"/>
          <w:sz w:val="24"/>
        </w:rPr>
      </w:pPr>
      <w:r>
        <w:rPr>
          <w:rFonts w:hint="eastAsia" w:ascii="仿宋_GB2312" w:eastAsia="仿宋_GB2312"/>
          <w:sz w:val="24"/>
        </w:rPr>
        <w:t>1.供应商提出质疑时，应提交质疑函和必要的证明材料。</w:t>
      </w:r>
    </w:p>
    <w:p>
      <w:pPr>
        <w:widowControl/>
        <w:ind w:firstLine="480" w:firstLineChars="200"/>
        <w:jc w:val="left"/>
        <w:rPr>
          <w:rFonts w:ascii="仿宋_GB2312" w:eastAsia="仿宋_GB2312"/>
          <w:sz w:val="24"/>
        </w:rPr>
      </w:pPr>
      <w:r>
        <w:rPr>
          <w:rFonts w:hint="eastAsia" w:ascii="仿宋_GB2312" w:eastAsia="仿宋_GB2312"/>
          <w:sz w:val="24"/>
        </w:rPr>
        <w:t>2.质疑供应商若委托代理人进行质疑的，质疑函应按要求列明“授权代表”的有关内容，并在附件中提交由质疑</w:t>
      </w:r>
      <w:r>
        <w:rPr>
          <w:rFonts w:hint="eastAsia" w:ascii="仿宋_GB2312" w:hAnsi="宋体" w:eastAsia="仿宋_GB2312" w:cs="宋体"/>
          <w:kern w:val="0"/>
          <w:sz w:val="24"/>
        </w:rPr>
        <w:t>供应商签署的授权委托书。授权委托书应载明代理人的姓名或者名称、代理事项、具体权限、期限和相关事项。</w:t>
      </w:r>
    </w:p>
    <w:p>
      <w:pPr>
        <w:widowControl/>
        <w:ind w:firstLine="480" w:firstLineChars="200"/>
        <w:jc w:val="left"/>
        <w:rPr>
          <w:rFonts w:ascii="仿宋_GB2312" w:eastAsia="仿宋_GB2312"/>
          <w:sz w:val="24"/>
        </w:rPr>
      </w:pPr>
      <w:r>
        <w:rPr>
          <w:rFonts w:hint="eastAsia" w:ascii="仿宋_GB2312" w:eastAsia="仿宋_GB2312"/>
          <w:sz w:val="24"/>
        </w:rPr>
        <w:t>3.质疑供应商若对项目的某一分包进行质疑，质疑函中应列明具体分包号。</w:t>
      </w:r>
    </w:p>
    <w:p>
      <w:pPr>
        <w:widowControl/>
        <w:ind w:firstLine="480" w:firstLineChars="200"/>
        <w:jc w:val="left"/>
        <w:rPr>
          <w:rFonts w:ascii="仿宋_GB2312" w:eastAsia="仿宋_GB2312"/>
          <w:sz w:val="24"/>
        </w:rPr>
      </w:pPr>
      <w:r>
        <w:rPr>
          <w:rFonts w:hint="eastAsia" w:ascii="仿宋_GB2312" w:eastAsia="仿宋_GB2312"/>
          <w:sz w:val="24"/>
        </w:rPr>
        <w:t>4.质疑函的质疑事项应具体、明确，并有必要的事实依据和法律依据。</w:t>
      </w:r>
    </w:p>
    <w:p>
      <w:pPr>
        <w:widowControl/>
        <w:ind w:firstLine="480" w:firstLineChars="200"/>
        <w:jc w:val="left"/>
        <w:rPr>
          <w:rFonts w:ascii="仿宋_GB2312" w:eastAsia="仿宋_GB2312"/>
          <w:sz w:val="24"/>
        </w:rPr>
      </w:pPr>
      <w:r>
        <w:rPr>
          <w:rFonts w:hint="eastAsia" w:ascii="仿宋_GB2312" w:eastAsia="仿宋_GB2312"/>
          <w:sz w:val="24"/>
        </w:rPr>
        <w:t>5.质疑函的质疑请求应与质疑事项相关。</w:t>
      </w:r>
    </w:p>
    <w:p>
      <w:pPr>
        <w:widowControl/>
        <w:ind w:firstLine="480" w:firstLineChars="200"/>
        <w:jc w:val="left"/>
        <w:rPr>
          <w:rFonts w:ascii="仿宋_GB2312" w:eastAsia="仿宋_GB2312"/>
          <w:sz w:val="24"/>
        </w:rPr>
      </w:pPr>
      <w:r>
        <w:rPr>
          <w:rFonts w:hint="eastAsia" w:ascii="仿宋_GB2312" w:eastAsia="仿宋_GB2312"/>
          <w:sz w:val="24"/>
        </w:rPr>
        <w:t>6.质疑供应商为自然人的，质疑函应由本人签字；质疑供应商为法人或者其他组织的，质疑函应由法定代表人、主要负责人，或者其授权代表签字或者盖章，并加盖公章。</w:t>
      </w:r>
    </w:p>
    <w:p>
      <w:pPr>
        <w:widowControl/>
        <w:ind w:firstLine="480" w:firstLineChars="200"/>
        <w:jc w:val="left"/>
        <w:rPr>
          <w:rFonts w:ascii="仿宋_GB2312" w:eastAsia="仿宋_GB2312"/>
          <w:sz w:val="24"/>
        </w:rPr>
      </w:pPr>
    </w:p>
    <w:p>
      <w:pPr>
        <w:spacing w:line="360" w:lineRule="auto"/>
        <w:rPr>
          <w:rFonts w:ascii="仿宋_GB2312" w:hAnsi="仿宋_GB2312" w:eastAsia="仿宋_GB2312" w:cs="仿宋_GB2312"/>
          <w:kern w:val="0"/>
          <w:sz w:val="24"/>
        </w:rPr>
      </w:pPr>
    </w:p>
    <w:p>
      <w:pPr>
        <w:spacing w:line="360" w:lineRule="auto"/>
        <w:rPr>
          <w:rFonts w:ascii="仿宋_GB2312" w:hAnsi="仿宋_GB2312" w:eastAsia="仿宋_GB2312" w:cs="仿宋_GB2312"/>
          <w:kern w:val="0"/>
          <w:sz w:val="24"/>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0"/>
      </w:rPr>
    </w:pPr>
    <w:r>
      <w:rPr>
        <w:rStyle w:val="50"/>
      </w:rPr>
      <w:fldChar w:fldCharType="begin"/>
    </w:r>
    <w:r>
      <w:rPr>
        <w:rStyle w:val="50"/>
      </w:rPr>
      <w:instrText xml:space="preserve">PAGE  </w:instrText>
    </w:r>
    <w:r>
      <w:rPr>
        <w:rStyle w:val="50"/>
      </w:rPr>
      <w:fldChar w:fldCharType="end"/>
    </w:r>
  </w:p>
  <w:p>
    <w:pPr>
      <w:pStyle w:val="3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both"/>
      <w:rPr>
        <w:rFonts w:hint="eastAsia" w:eastAsia="宋体"/>
        <w:lang w:val="en-US" w:eastAsia="zh-CN"/>
      </w:rPr>
    </w:pPr>
    <w:r>
      <w:rPr>
        <w:rFonts w:hint="eastAsia"/>
      </w:rPr>
      <w:t>嵊州市公共资源交易中心                                                       招标文件编号:2022-0</w:t>
    </w:r>
    <w:r>
      <w:rPr>
        <w:rFonts w:hint="eastAsia"/>
        <w:lang w:val="en-US" w:eastAsia="zh-CN"/>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9DD69F"/>
    <w:multiLevelType w:val="singleLevel"/>
    <w:tmpl w:val="DB9DD69F"/>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183D17D5"/>
    <w:multiLevelType w:val="multilevel"/>
    <w:tmpl w:val="183D17D5"/>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AE3BF9"/>
    <w:multiLevelType w:val="multilevel"/>
    <w:tmpl w:val="38AE3BF9"/>
    <w:lvl w:ilvl="0" w:tentative="0">
      <w:start w:val="1"/>
      <w:numFmt w:val="bullet"/>
      <w:pStyle w:val="290"/>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511943D3"/>
    <w:multiLevelType w:val="singleLevel"/>
    <w:tmpl w:val="511943D3"/>
    <w:lvl w:ilvl="0" w:tentative="0">
      <w:start w:val="1"/>
      <w:numFmt w:val="decimal"/>
      <w:suff w:val="nothing"/>
      <w:lvlText w:val="（%1）"/>
      <w:lvlJc w:val="left"/>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4"/>
  </w:num>
  <w:num w:numId="6">
    <w:abstractNumId w:val="8"/>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xYjc0NWMxY2NhNTI4ZmIyN2MzZmMyNTZjNzQ1YzQifQ=="/>
  </w:docVars>
  <w:rsids>
    <w:rsidRoot w:val="00417C8A"/>
    <w:rsid w:val="00002EF8"/>
    <w:rsid w:val="00003B69"/>
    <w:rsid w:val="00005125"/>
    <w:rsid w:val="00010C9A"/>
    <w:rsid w:val="00010FC1"/>
    <w:rsid w:val="0001278F"/>
    <w:rsid w:val="0002045E"/>
    <w:rsid w:val="00021D87"/>
    <w:rsid w:val="0002203D"/>
    <w:rsid w:val="0002468D"/>
    <w:rsid w:val="00025A9F"/>
    <w:rsid w:val="00026762"/>
    <w:rsid w:val="00027515"/>
    <w:rsid w:val="00031F75"/>
    <w:rsid w:val="00032922"/>
    <w:rsid w:val="000329A7"/>
    <w:rsid w:val="00033D7B"/>
    <w:rsid w:val="000354C7"/>
    <w:rsid w:val="000402F5"/>
    <w:rsid w:val="00040A03"/>
    <w:rsid w:val="00047118"/>
    <w:rsid w:val="0005172F"/>
    <w:rsid w:val="000517D0"/>
    <w:rsid w:val="00051C47"/>
    <w:rsid w:val="000535F4"/>
    <w:rsid w:val="00056199"/>
    <w:rsid w:val="00056713"/>
    <w:rsid w:val="0005700A"/>
    <w:rsid w:val="0006049D"/>
    <w:rsid w:val="0006344A"/>
    <w:rsid w:val="000643A5"/>
    <w:rsid w:val="00065197"/>
    <w:rsid w:val="000657C6"/>
    <w:rsid w:val="00065EFB"/>
    <w:rsid w:val="00067FB2"/>
    <w:rsid w:val="00074373"/>
    <w:rsid w:val="00075850"/>
    <w:rsid w:val="0007656E"/>
    <w:rsid w:val="000812D0"/>
    <w:rsid w:val="000822F8"/>
    <w:rsid w:val="00082DC1"/>
    <w:rsid w:val="00083E93"/>
    <w:rsid w:val="00083EB1"/>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4A4F"/>
    <w:rsid w:val="000E5C9B"/>
    <w:rsid w:val="000E6F8C"/>
    <w:rsid w:val="000E72A0"/>
    <w:rsid w:val="000F51A7"/>
    <w:rsid w:val="000F5EF4"/>
    <w:rsid w:val="000F7FA8"/>
    <w:rsid w:val="001023D9"/>
    <w:rsid w:val="00103629"/>
    <w:rsid w:val="00103B47"/>
    <w:rsid w:val="00104327"/>
    <w:rsid w:val="00104663"/>
    <w:rsid w:val="00104A07"/>
    <w:rsid w:val="0010763D"/>
    <w:rsid w:val="00111E93"/>
    <w:rsid w:val="00112B08"/>
    <w:rsid w:val="001138D1"/>
    <w:rsid w:val="00114BF9"/>
    <w:rsid w:val="00114C81"/>
    <w:rsid w:val="00115363"/>
    <w:rsid w:val="00116EDA"/>
    <w:rsid w:val="00117D66"/>
    <w:rsid w:val="0012018C"/>
    <w:rsid w:val="00120D86"/>
    <w:rsid w:val="001259A5"/>
    <w:rsid w:val="001259AD"/>
    <w:rsid w:val="00125D70"/>
    <w:rsid w:val="00132EE2"/>
    <w:rsid w:val="001345B3"/>
    <w:rsid w:val="0013527E"/>
    <w:rsid w:val="00135C35"/>
    <w:rsid w:val="00137525"/>
    <w:rsid w:val="0014242C"/>
    <w:rsid w:val="00142B6B"/>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340C"/>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766"/>
    <w:rsid w:val="00251888"/>
    <w:rsid w:val="00251EE7"/>
    <w:rsid w:val="0025660E"/>
    <w:rsid w:val="00256A92"/>
    <w:rsid w:val="0025749B"/>
    <w:rsid w:val="00260A0D"/>
    <w:rsid w:val="00262E82"/>
    <w:rsid w:val="00264B31"/>
    <w:rsid w:val="00264FFB"/>
    <w:rsid w:val="00266447"/>
    <w:rsid w:val="00267D7C"/>
    <w:rsid w:val="00270E20"/>
    <w:rsid w:val="00271127"/>
    <w:rsid w:val="00271324"/>
    <w:rsid w:val="00274B01"/>
    <w:rsid w:val="00275F7B"/>
    <w:rsid w:val="00282A60"/>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5060"/>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28C3"/>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4C25"/>
    <w:rsid w:val="003F77E0"/>
    <w:rsid w:val="00400057"/>
    <w:rsid w:val="00400B4D"/>
    <w:rsid w:val="004014D1"/>
    <w:rsid w:val="00403FEC"/>
    <w:rsid w:val="00407D88"/>
    <w:rsid w:val="004109FD"/>
    <w:rsid w:val="0041394C"/>
    <w:rsid w:val="00413B7A"/>
    <w:rsid w:val="00417C8A"/>
    <w:rsid w:val="0042136D"/>
    <w:rsid w:val="00422CD1"/>
    <w:rsid w:val="004236B6"/>
    <w:rsid w:val="00424C70"/>
    <w:rsid w:val="0042557D"/>
    <w:rsid w:val="00426003"/>
    <w:rsid w:val="00427A2E"/>
    <w:rsid w:val="00427BA5"/>
    <w:rsid w:val="004350B7"/>
    <w:rsid w:val="0043766D"/>
    <w:rsid w:val="00441896"/>
    <w:rsid w:val="00442935"/>
    <w:rsid w:val="0044422F"/>
    <w:rsid w:val="00445C1C"/>
    <w:rsid w:val="00447789"/>
    <w:rsid w:val="004511A0"/>
    <w:rsid w:val="00451D55"/>
    <w:rsid w:val="00452AD3"/>
    <w:rsid w:val="004540C2"/>
    <w:rsid w:val="00454AD4"/>
    <w:rsid w:val="00457231"/>
    <w:rsid w:val="00457BF2"/>
    <w:rsid w:val="004600A6"/>
    <w:rsid w:val="00460793"/>
    <w:rsid w:val="00461637"/>
    <w:rsid w:val="00463E5C"/>
    <w:rsid w:val="00464359"/>
    <w:rsid w:val="00465D0D"/>
    <w:rsid w:val="00467CFF"/>
    <w:rsid w:val="00470B6E"/>
    <w:rsid w:val="0047117D"/>
    <w:rsid w:val="00471407"/>
    <w:rsid w:val="00471DA5"/>
    <w:rsid w:val="00472E4E"/>
    <w:rsid w:val="0047483C"/>
    <w:rsid w:val="00474BED"/>
    <w:rsid w:val="00476C0B"/>
    <w:rsid w:val="00476D23"/>
    <w:rsid w:val="00477EFE"/>
    <w:rsid w:val="004817DB"/>
    <w:rsid w:val="004832BC"/>
    <w:rsid w:val="00485E04"/>
    <w:rsid w:val="00486B01"/>
    <w:rsid w:val="00487465"/>
    <w:rsid w:val="004939A7"/>
    <w:rsid w:val="004946C6"/>
    <w:rsid w:val="00497699"/>
    <w:rsid w:val="00497DB2"/>
    <w:rsid w:val="004A0174"/>
    <w:rsid w:val="004A236E"/>
    <w:rsid w:val="004A3418"/>
    <w:rsid w:val="004A403F"/>
    <w:rsid w:val="004A51BA"/>
    <w:rsid w:val="004A5DF1"/>
    <w:rsid w:val="004A6677"/>
    <w:rsid w:val="004A7A78"/>
    <w:rsid w:val="004A7FD7"/>
    <w:rsid w:val="004B3B15"/>
    <w:rsid w:val="004B5136"/>
    <w:rsid w:val="004B5B9E"/>
    <w:rsid w:val="004C0238"/>
    <w:rsid w:val="004C0EE6"/>
    <w:rsid w:val="004C3EFB"/>
    <w:rsid w:val="004C40D8"/>
    <w:rsid w:val="004C5147"/>
    <w:rsid w:val="004C6D62"/>
    <w:rsid w:val="004D0304"/>
    <w:rsid w:val="004D0DB1"/>
    <w:rsid w:val="004D0EA8"/>
    <w:rsid w:val="004D103A"/>
    <w:rsid w:val="004D2D24"/>
    <w:rsid w:val="004D314A"/>
    <w:rsid w:val="004D4938"/>
    <w:rsid w:val="004D5FE6"/>
    <w:rsid w:val="004D609E"/>
    <w:rsid w:val="004E0195"/>
    <w:rsid w:val="004E05D9"/>
    <w:rsid w:val="004E0E2C"/>
    <w:rsid w:val="004E1AB8"/>
    <w:rsid w:val="004E2D4B"/>
    <w:rsid w:val="004E4899"/>
    <w:rsid w:val="004E7CD7"/>
    <w:rsid w:val="004F0164"/>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A74"/>
    <w:rsid w:val="00527E1C"/>
    <w:rsid w:val="005303EA"/>
    <w:rsid w:val="00532937"/>
    <w:rsid w:val="005351C1"/>
    <w:rsid w:val="00536FBF"/>
    <w:rsid w:val="0054018C"/>
    <w:rsid w:val="00544130"/>
    <w:rsid w:val="005459FE"/>
    <w:rsid w:val="00545F40"/>
    <w:rsid w:val="00553FE7"/>
    <w:rsid w:val="0055485E"/>
    <w:rsid w:val="0055544C"/>
    <w:rsid w:val="00555780"/>
    <w:rsid w:val="00556840"/>
    <w:rsid w:val="00557737"/>
    <w:rsid w:val="00557AC3"/>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6BE8"/>
    <w:rsid w:val="005A7A4A"/>
    <w:rsid w:val="005B143A"/>
    <w:rsid w:val="005B180C"/>
    <w:rsid w:val="005C2908"/>
    <w:rsid w:val="005C30CF"/>
    <w:rsid w:val="005C3154"/>
    <w:rsid w:val="005C3A22"/>
    <w:rsid w:val="005C54A7"/>
    <w:rsid w:val="005C6EE6"/>
    <w:rsid w:val="005C6F10"/>
    <w:rsid w:val="005D0155"/>
    <w:rsid w:val="005D2F62"/>
    <w:rsid w:val="005D375C"/>
    <w:rsid w:val="005D6575"/>
    <w:rsid w:val="005D70ED"/>
    <w:rsid w:val="005E1E51"/>
    <w:rsid w:val="005E282B"/>
    <w:rsid w:val="005E33BD"/>
    <w:rsid w:val="005E68E7"/>
    <w:rsid w:val="005F510E"/>
    <w:rsid w:val="005F5691"/>
    <w:rsid w:val="005F6A6E"/>
    <w:rsid w:val="005F78A5"/>
    <w:rsid w:val="006029F2"/>
    <w:rsid w:val="00606ED5"/>
    <w:rsid w:val="006070BD"/>
    <w:rsid w:val="006073C6"/>
    <w:rsid w:val="00607E60"/>
    <w:rsid w:val="006107F3"/>
    <w:rsid w:val="006120C0"/>
    <w:rsid w:val="00615BAF"/>
    <w:rsid w:val="00617775"/>
    <w:rsid w:val="00621878"/>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08D4"/>
    <w:rsid w:val="00665466"/>
    <w:rsid w:val="00665C19"/>
    <w:rsid w:val="00665CBD"/>
    <w:rsid w:val="00671A32"/>
    <w:rsid w:val="00675C4B"/>
    <w:rsid w:val="0067762D"/>
    <w:rsid w:val="00680B4E"/>
    <w:rsid w:val="006839B6"/>
    <w:rsid w:val="006843E1"/>
    <w:rsid w:val="0068671B"/>
    <w:rsid w:val="00686F48"/>
    <w:rsid w:val="006872D9"/>
    <w:rsid w:val="00687DA3"/>
    <w:rsid w:val="006934A1"/>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0D0"/>
    <w:rsid w:val="006F3A0F"/>
    <w:rsid w:val="007014C0"/>
    <w:rsid w:val="00702458"/>
    <w:rsid w:val="007047D8"/>
    <w:rsid w:val="00707395"/>
    <w:rsid w:val="007122EB"/>
    <w:rsid w:val="007215CE"/>
    <w:rsid w:val="00721BF4"/>
    <w:rsid w:val="007266EE"/>
    <w:rsid w:val="0072764B"/>
    <w:rsid w:val="00727936"/>
    <w:rsid w:val="00727E2C"/>
    <w:rsid w:val="00727F6F"/>
    <w:rsid w:val="007327FF"/>
    <w:rsid w:val="00733171"/>
    <w:rsid w:val="007402C2"/>
    <w:rsid w:val="007402D5"/>
    <w:rsid w:val="00740EED"/>
    <w:rsid w:val="00741976"/>
    <w:rsid w:val="00741F19"/>
    <w:rsid w:val="00741F8E"/>
    <w:rsid w:val="007435B2"/>
    <w:rsid w:val="00743C5C"/>
    <w:rsid w:val="00747C21"/>
    <w:rsid w:val="0075094E"/>
    <w:rsid w:val="00751DF3"/>
    <w:rsid w:val="00752F32"/>
    <w:rsid w:val="00757BAC"/>
    <w:rsid w:val="0076108E"/>
    <w:rsid w:val="00762B5C"/>
    <w:rsid w:val="00771530"/>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5558"/>
    <w:rsid w:val="00797407"/>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39A"/>
    <w:rsid w:val="00834788"/>
    <w:rsid w:val="00840AB3"/>
    <w:rsid w:val="008424CD"/>
    <w:rsid w:val="00842C80"/>
    <w:rsid w:val="00844F41"/>
    <w:rsid w:val="008457C1"/>
    <w:rsid w:val="0084613D"/>
    <w:rsid w:val="00850E6B"/>
    <w:rsid w:val="00852E88"/>
    <w:rsid w:val="008540A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17D1"/>
    <w:rsid w:val="008A251A"/>
    <w:rsid w:val="008A5161"/>
    <w:rsid w:val="008A6135"/>
    <w:rsid w:val="008A7376"/>
    <w:rsid w:val="008B22E2"/>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242"/>
    <w:rsid w:val="008E4B80"/>
    <w:rsid w:val="008E6364"/>
    <w:rsid w:val="008F03D5"/>
    <w:rsid w:val="008F07DF"/>
    <w:rsid w:val="00900D76"/>
    <w:rsid w:val="0090287D"/>
    <w:rsid w:val="00906681"/>
    <w:rsid w:val="009073A1"/>
    <w:rsid w:val="00907AE2"/>
    <w:rsid w:val="00907BAD"/>
    <w:rsid w:val="00910AEC"/>
    <w:rsid w:val="00911FE1"/>
    <w:rsid w:val="00912BD2"/>
    <w:rsid w:val="009131EA"/>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1F51"/>
    <w:rsid w:val="009424E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4E09"/>
    <w:rsid w:val="00995623"/>
    <w:rsid w:val="0099775A"/>
    <w:rsid w:val="00997ACE"/>
    <w:rsid w:val="009A2940"/>
    <w:rsid w:val="009A373E"/>
    <w:rsid w:val="009A5E9D"/>
    <w:rsid w:val="009A728E"/>
    <w:rsid w:val="009A74ED"/>
    <w:rsid w:val="009B0779"/>
    <w:rsid w:val="009B19AA"/>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6520"/>
    <w:rsid w:val="009D744F"/>
    <w:rsid w:val="009E1AA0"/>
    <w:rsid w:val="009E3C73"/>
    <w:rsid w:val="009E4458"/>
    <w:rsid w:val="009E6D86"/>
    <w:rsid w:val="009E7112"/>
    <w:rsid w:val="009F1B31"/>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00A"/>
    <w:rsid w:val="00AC2B19"/>
    <w:rsid w:val="00AC3A1C"/>
    <w:rsid w:val="00AC4A89"/>
    <w:rsid w:val="00AC60E0"/>
    <w:rsid w:val="00AC6CEC"/>
    <w:rsid w:val="00AC7411"/>
    <w:rsid w:val="00AD0DBF"/>
    <w:rsid w:val="00AD6ACB"/>
    <w:rsid w:val="00AE1B40"/>
    <w:rsid w:val="00AE2ED6"/>
    <w:rsid w:val="00AF039F"/>
    <w:rsid w:val="00AF4A99"/>
    <w:rsid w:val="00AF6325"/>
    <w:rsid w:val="00AF7A6A"/>
    <w:rsid w:val="00B00F7A"/>
    <w:rsid w:val="00B012D5"/>
    <w:rsid w:val="00B0332B"/>
    <w:rsid w:val="00B05E7D"/>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0CF"/>
    <w:rsid w:val="00B34302"/>
    <w:rsid w:val="00B36043"/>
    <w:rsid w:val="00B37734"/>
    <w:rsid w:val="00B37BCC"/>
    <w:rsid w:val="00B41870"/>
    <w:rsid w:val="00B43301"/>
    <w:rsid w:val="00B44816"/>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D4F3F"/>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36E9"/>
    <w:rsid w:val="00C55889"/>
    <w:rsid w:val="00C55E95"/>
    <w:rsid w:val="00C62563"/>
    <w:rsid w:val="00C6395F"/>
    <w:rsid w:val="00C649BC"/>
    <w:rsid w:val="00C64C3E"/>
    <w:rsid w:val="00C65CE1"/>
    <w:rsid w:val="00C66128"/>
    <w:rsid w:val="00C66BD5"/>
    <w:rsid w:val="00C66EE6"/>
    <w:rsid w:val="00C66FCB"/>
    <w:rsid w:val="00C670AB"/>
    <w:rsid w:val="00C71D3E"/>
    <w:rsid w:val="00C721C3"/>
    <w:rsid w:val="00C80DB1"/>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4681"/>
    <w:rsid w:val="00CB7229"/>
    <w:rsid w:val="00CC1D36"/>
    <w:rsid w:val="00CC4095"/>
    <w:rsid w:val="00CC5BDB"/>
    <w:rsid w:val="00CC6070"/>
    <w:rsid w:val="00CC718E"/>
    <w:rsid w:val="00CD1CAB"/>
    <w:rsid w:val="00CD3770"/>
    <w:rsid w:val="00CD3E5C"/>
    <w:rsid w:val="00CD74F8"/>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168D"/>
    <w:rsid w:val="00DC33B6"/>
    <w:rsid w:val="00DC63F9"/>
    <w:rsid w:val="00DC65F6"/>
    <w:rsid w:val="00DD29D3"/>
    <w:rsid w:val="00DD4B24"/>
    <w:rsid w:val="00DD5651"/>
    <w:rsid w:val="00DD6196"/>
    <w:rsid w:val="00DE0E2E"/>
    <w:rsid w:val="00DE12F4"/>
    <w:rsid w:val="00DE1DFC"/>
    <w:rsid w:val="00DE208C"/>
    <w:rsid w:val="00DE49A9"/>
    <w:rsid w:val="00DE53B2"/>
    <w:rsid w:val="00DE6B52"/>
    <w:rsid w:val="00DE70D7"/>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26943"/>
    <w:rsid w:val="00E34C20"/>
    <w:rsid w:val="00E35D90"/>
    <w:rsid w:val="00E3742A"/>
    <w:rsid w:val="00E4159A"/>
    <w:rsid w:val="00E42DE4"/>
    <w:rsid w:val="00E45EE2"/>
    <w:rsid w:val="00E46623"/>
    <w:rsid w:val="00E4774E"/>
    <w:rsid w:val="00E51C1B"/>
    <w:rsid w:val="00E56E61"/>
    <w:rsid w:val="00E57296"/>
    <w:rsid w:val="00E6080E"/>
    <w:rsid w:val="00E622B2"/>
    <w:rsid w:val="00E633B5"/>
    <w:rsid w:val="00E644CD"/>
    <w:rsid w:val="00E65A9B"/>
    <w:rsid w:val="00E715C6"/>
    <w:rsid w:val="00E720E4"/>
    <w:rsid w:val="00E7370C"/>
    <w:rsid w:val="00E73E15"/>
    <w:rsid w:val="00E775D2"/>
    <w:rsid w:val="00E8010C"/>
    <w:rsid w:val="00E80AE9"/>
    <w:rsid w:val="00E85789"/>
    <w:rsid w:val="00E87A62"/>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D7A3F"/>
    <w:rsid w:val="00EE06ED"/>
    <w:rsid w:val="00EE232E"/>
    <w:rsid w:val="00EE4212"/>
    <w:rsid w:val="00EE54FE"/>
    <w:rsid w:val="00EE55D8"/>
    <w:rsid w:val="00EE5E15"/>
    <w:rsid w:val="00EF011C"/>
    <w:rsid w:val="00EF1A94"/>
    <w:rsid w:val="00EF20FA"/>
    <w:rsid w:val="00EF52D6"/>
    <w:rsid w:val="00EF7E5B"/>
    <w:rsid w:val="00F00B43"/>
    <w:rsid w:val="00F0162F"/>
    <w:rsid w:val="00F01C96"/>
    <w:rsid w:val="00F0661F"/>
    <w:rsid w:val="00F12CBB"/>
    <w:rsid w:val="00F1355C"/>
    <w:rsid w:val="00F226E8"/>
    <w:rsid w:val="00F2566F"/>
    <w:rsid w:val="00F30D38"/>
    <w:rsid w:val="00F30E51"/>
    <w:rsid w:val="00F31AD0"/>
    <w:rsid w:val="00F33527"/>
    <w:rsid w:val="00F3506F"/>
    <w:rsid w:val="00F35DF7"/>
    <w:rsid w:val="00F37942"/>
    <w:rsid w:val="00F37F36"/>
    <w:rsid w:val="00F41632"/>
    <w:rsid w:val="00F42267"/>
    <w:rsid w:val="00F454C9"/>
    <w:rsid w:val="00F5002B"/>
    <w:rsid w:val="00F502E8"/>
    <w:rsid w:val="00F51AF2"/>
    <w:rsid w:val="00F5295B"/>
    <w:rsid w:val="00F55C7F"/>
    <w:rsid w:val="00F564F6"/>
    <w:rsid w:val="00F56AD8"/>
    <w:rsid w:val="00F57CCC"/>
    <w:rsid w:val="00F601E7"/>
    <w:rsid w:val="00F6137E"/>
    <w:rsid w:val="00F63771"/>
    <w:rsid w:val="00F6386C"/>
    <w:rsid w:val="00F63922"/>
    <w:rsid w:val="00F673BD"/>
    <w:rsid w:val="00F675E2"/>
    <w:rsid w:val="00F70C83"/>
    <w:rsid w:val="00F75E0E"/>
    <w:rsid w:val="00F76826"/>
    <w:rsid w:val="00F76A15"/>
    <w:rsid w:val="00F77A72"/>
    <w:rsid w:val="00F8143A"/>
    <w:rsid w:val="00F825E8"/>
    <w:rsid w:val="00F82E38"/>
    <w:rsid w:val="00F83C52"/>
    <w:rsid w:val="00F83D25"/>
    <w:rsid w:val="00F849A3"/>
    <w:rsid w:val="00F84A1B"/>
    <w:rsid w:val="00F85561"/>
    <w:rsid w:val="00F85A41"/>
    <w:rsid w:val="00F87DA7"/>
    <w:rsid w:val="00F90A9D"/>
    <w:rsid w:val="00F92229"/>
    <w:rsid w:val="00F942DD"/>
    <w:rsid w:val="00F94983"/>
    <w:rsid w:val="00F94ADC"/>
    <w:rsid w:val="00F97C8E"/>
    <w:rsid w:val="00F97E58"/>
    <w:rsid w:val="00FA0AAD"/>
    <w:rsid w:val="00FA1DC1"/>
    <w:rsid w:val="00FA791B"/>
    <w:rsid w:val="00FB0DEE"/>
    <w:rsid w:val="00FB0E70"/>
    <w:rsid w:val="00FB1EB6"/>
    <w:rsid w:val="00FB1F05"/>
    <w:rsid w:val="00FB2CE2"/>
    <w:rsid w:val="00FB3989"/>
    <w:rsid w:val="00FB5FF6"/>
    <w:rsid w:val="00FB67DD"/>
    <w:rsid w:val="00FB748E"/>
    <w:rsid w:val="00FC02C4"/>
    <w:rsid w:val="00FC066F"/>
    <w:rsid w:val="00FC33BC"/>
    <w:rsid w:val="00FC5B79"/>
    <w:rsid w:val="00FC7905"/>
    <w:rsid w:val="00FD0273"/>
    <w:rsid w:val="00FD32EF"/>
    <w:rsid w:val="00FD4F36"/>
    <w:rsid w:val="00FE2461"/>
    <w:rsid w:val="00FE5E89"/>
    <w:rsid w:val="00FE7260"/>
    <w:rsid w:val="00FF0866"/>
    <w:rsid w:val="00FF0CA9"/>
    <w:rsid w:val="00FF724C"/>
    <w:rsid w:val="00FF7BD2"/>
    <w:rsid w:val="0160084E"/>
    <w:rsid w:val="01D809DA"/>
    <w:rsid w:val="02EE3C38"/>
    <w:rsid w:val="047020E1"/>
    <w:rsid w:val="04A0363B"/>
    <w:rsid w:val="050D4849"/>
    <w:rsid w:val="05832D5D"/>
    <w:rsid w:val="061331AE"/>
    <w:rsid w:val="0772129E"/>
    <w:rsid w:val="077520F8"/>
    <w:rsid w:val="09CA6405"/>
    <w:rsid w:val="0A073F5D"/>
    <w:rsid w:val="0B197C69"/>
    <w:rsid w:val="0B1C3A38"/>
    <w:rsid w:val="0B6F50D6"/>
    <w:rsid w:val="0C3C3C66"/>
    <w:rsid w:val="0DF547FC"/>
    <w:rsid w:val="103709CC"/>
    <w:rsid w:val="11AD363C"/>
    <w:rsid w:val="123829DB"/>
    <w:rsid w:val="14471B75"/>
    <w:rsid w:val="15AC2564"/>
    <w:rsid w:val="169E52BE"/>
    <w:rsid w:val="17284747"/>
    <w:rsid w:val="177B5642"/>
    <w:rsid w:val="19080538"/>
    <w:rsid w:val="1BF603FD"/>
    <w:rsid w:val="1C4457E0"/>
    <w:rsid w:val="1DC21FC9"/>
    <w:rsid w:val="1E4B14A4"/>
    <w:rsid w:val="1EC57AEB"/>
    <w:rsid w:val="1F3E7747"/>
    <w:rsid w:val="1FB674A0"/>
    <w:rsid w:val="210A2DE2"/>
    <w:rsid w:val="227E0BA8"/>
    <w:rsid w:val="231869C0"/>
    <w:rsid w:val="237325A6"/>
    <w:rsid w:val="248363AB"/>
    <w:rsid w:val="249400B8"/>
    <w:rsid w:val="24AA6B7F"/>
    <w:rsid w:val="25C07C71"/>
    <w:rsid w:val="25D0734D"/>
    <w:rsid w:val="273805A1"/>
    <w:rsid w:val="29253080"/>
    <w:rsid w:val="29B03871"/>
    <w:rsid w:val="2B2A4CD2"/>
    <w:rsid w:val="2BA91FA1"/>
    <w:rsid w:val="2BB974A6"/>
    <w:rsid w:val="2C546CE8"/>
    <w:rsid w:val="2C8B4122"/>
    <w:rsid w:val="2E222102"/>
    <w:rsid w:val="2F1F0986"/>
    <w:rsid w:val="317B29B7"/>
    <w:rsid w:val="34FC3E4E"/>
    <w:rsid w:val="351A1AE7"/>
    <w:rsid w:val="35AE0E2F"/>
    <w:rsid w:val="35D43E02"/>
    <w:rsid w:val="35E05169"/>
    <w:rsid w:val="365A5908"/>
    <w:rsid w:val="36FA25D0"/>
    <w:rsid w:val="38A10829"/>
    <w:rsid w:val="38CD161E"/>
    <w:rsid w:val="39363588"/>
    <w:rsid w:val="3A1D3923"/>
    <w:rsid w:val="3AA12967"/>
    <w:rsid w:val="3AF31C72"/>
    <w:rsid w:val="3B345644"/>
    <w:rsid w:val="3BAB6D11"/>
    <w:rsid w:val="3C9A142D"/>
    <w:rsid w:val="3EEE4289"/>
    <w:rsid w:val="3F8769CB"/>
    <w:rsid w:val="42170A45"/>
    <w:rsid w:val="42D12FED"/>
    <w:rsid w:val="435C016E"/>
    <w:rsid w:val="43725651"/>
    <w:rsid w:val="45941E41"/>
    <w:rsid w:val="45AA0F97"/>
    <w:rsid w:val="46A05519"/>
    <w:rsid w:val="47121270"/>
    <w:rsid w:val="471D6FE0"/>
    <w:rsid w:val="478D4315"/>
    <w:rsid w:val="489F0E4D"/>
    <w:rsid w:val="48B910A2"/>
    <w:rsid w:val="48CC1A93"/>
    <w:rsid w:val="49271B0E"/>
    <w:rsid w:val="49875F22"/>
    <w:rsid w:val="49D35E4A"/>
    <w:rsid w:val="4A575D4B"/>
    <w:rsid w:val="4C177328"/>
    <w:rsid w:val="4DF47921"/>
    <w:rsid w:val="4EBA2924"/>
    <w:rsid w:val="4F786DF7"/>
    <w:rsid w:val="4FA85327"/>
    <w:rsid w:val="5024065B"/>
    <w:rsid w:val="50AF6190"/>
    <w:rsid w:val="51C9470D"/>
    <w:rsid w:val="53090BCE"/>
    <w:rsid w:val="55261830"/>
    <w:rsid w:val="55B0753C"/>
    <w:rsid w:val="56753CBB"/>
    <w:rsid w:val="570A19A7"/>
    <w:rsid w:val="58C048C7"/>
    <w:rsid w:val="5B9D7EDB"/>
    <w:rsid w:val="5D4B6E32"/>
    <w:rsid w:val="5E845967"/>
    <w:rsid w:val="5EEE3F19"/>
    <w:rsid w:val="61B10945"/>
    <w:rsid w:val="62F35FA1"/>
    <w:rsid w:val="632C5010"/>
    <w:rsid w:val="634B193A"/>
    <w:rsid w:val="63E458EA"/>
    <w:rsid w:val="64F53130"/>
    <w:rsid w:val="654C7DBC"/>
    <w:rsid w:val="65BA4B55"/>
    <w:rsid w:val="65FC33BF"/>
    <w:rsid w:val="697B7601"/>
    <w:rsid w:val="6A183A5C"/>
    <w:rsid w:val="6A586CFB"/>
    <w:rsid w:val="6AFD1920"/>
    <w:rsid w:val="6B0868C7"/>
    <w:rsid w:val="6DE62AE6"/>
    <w:rsid w:val="6ED47B86"/>
    <w:rsid w:val="6FD32CF2"/>
    <w:rsid w:val="6FE06CEC"/>
    <w:rsid w:val="708E730A"/>
    <w:rsid w:val="70BC17A4"/>
    <w:rsid w:val="71013DE5"/>
    <w:rsid w:val="72C37A54"/>
    <w:rsid w:val="72E87C49"/>
    <w:rsid w:val="739377A8"/>
    <w:rsid w:val="745C1FFB"/>
    <w:rsid w:val="75376144"/>
    <w:rsid w:val="75512651"/>
    <w:rsid w:val="77C948CA"/>
    <w:rsid w:val="78C4665E"/>
    <w:rsid w:val="78D67BCB"/>
    <w:rsid w:val="78F65F6E"/>
    <w:rsid w:val="79B24069"/>
    <w:rsid w:val="7AA73CAE"/>
    <w:rsid w:val="7ACE4206"/>
    <w:rsid w:val="7B541514"/>
    <w:rsid w:val="7C394BF4"/>
    <w:rsid w:val="7CEA3B0F"/>
    <w:rsid w:val="7CFC202C"/>
    <w:rsid w:val="7EC554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qFormat="1" w:unhideWhenUsed="0" w:uiPriority="39" w:semiHidden="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5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5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6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61"/>
    <w:qFormat/>
    <w:uiPriority w:val="9"/>
    <w:pPr>
      <w:keepNext/>
      <w:widowControl/>
      <w:numPr>
        <w:ilvl w:val="0"/>
        <w:numId w:val="4"/>
      </w:numPr>
      <w:jc w:val="left"/>
      <w:outlineLvl w:val="4"/>
    </w:pPr>
    <w:rPr>
      <w:kern w:val="0"/>
      <w:sz w:val="24"/>
      <w:szCs w:val="20"/>
    </w:rPr>
  </w:style>
  <w:style w:type="paragraph" w:styleId="10">
    <w:name w:val="heading 6"/>
    <w:basedOn w:val="1"/>
    <w:next w:val="1"/>
    <w:link w:val="62"/>
    <w:qFormat/>
    <w:uiPriority w:val="9"/>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204"/>
    <w:qFormat/>
    <w:uiPriority w:val="0"/>
    <w:pPr>
      <w:spacing w:after="120" w:line="240" w:lineRule="auto"/>
      <w:ind w:firstLine="420" w:firstLineChars="100"/>
    </w:pPr>
    <w:rPr>
      <w:rFonts w:eastAsia="宋体"/>
      <w:sz w:val="21"/>
    </w:rPr>
  </w:style>
  <w:style w:type="paragraph" w:styleId="3">
    <w:name w:val="Body Text"/>
    <w:basedOn w:val="1"/>
    <w:next w:val="2"/>
    <w:link w:val="87"/>
    <w:qFormat/>
    <w:uiPriority w:val="99"/>
    <w:pPr>
      <w:spacing w:line="360" w:lineRule="auto"/>
    </w:pPr>
    <w:rPr>
      <w:rFonts w:eastAsia="仿宋_GB2312"/>
      <w:sz w:val="28"/>
    </w:rPr>
  </w:style>
  <w:style w:type="paragraph" w:styleId="7">
    <w:name w:val="Normal Indent"/>
    <w:basedOn w:val="1"/>
    <w:link w:val="56"/>
    <w:qFormat/>
    <w:uiPriority w:val="0"/>
    <w:pPr>
      <w:ind w:firstLine="420" w:firstLineChars="200"/>
    </w:pPr>
  </w:style>
  <w:style w:type="paragraph" w:styleId="14">
    <w:name w:val="toc 7"/>
    <w:basedOn w:val="1"/>
    <w:next w:val="1"/>
    <w:qFormat/>
    <w:uiPriority w:val="39"/>
    <w:pPr>
      <w:ind w:left="2520" w:leftChars="1200"/>
    </w:pPr>
    <w:rPr>
      <w:rFonts w:ascii="Calibri" w:hAnsi="Calibri" w:cs="宋体"/>
      <w:szCs w:val="22"/>
    </w:r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table of authorities"/>
    <w:basedOn w:val="1"/>
    <w:next w:val="1"/>
    <w:qFormat/>
    <w:uiPriority w:val="0"/>
    <w:pPr>
      <w:ind w:left="420" w:leftChars="200"/>
    </w:pPr>
    <w:rPr>
      <w:rFonts w:ascii="Calibri" w:hAnsi="Calibri" w:cs="宋体"/>
      <w:szCs w:val="22"/>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qFormat/>
    <w:uiPriority w:val="0"/>
    <w:pPr>
      <w:spacing w:line="360" w:lineRule="auto"/>
      <w:jc w:val="center"/>
    </w:pPr>
    <w:rPr>
      <w:rFonts w:ascii="Calibri" w:hAnsi="Calibri"/>
      <w:sz w:val="20"/>
      <w:szCs w:val="20"/>
    </w:rPr>
  </w:style>
  <w:style w:type="paragraph" w:styleId="19">
    <w:name w:val="Document Map"/>
    <w:basedOn w:val="1"/>
    <w:link w:val="122"/>
    <w:semiHidden/>
    <w:qFormat/>
    <w:uiPriority w:val="0"/>
    <w:pPr>
      <w:shd w:val="clear" w:color="auto" w:fill="000080"/>
    </w:pPr>
  </w:style>
  <w:style w:type="paragraph" w:styleId="20">
    <w:name w:val="annotation text"/>
    <w:basedOn w:val="1"/>
    <w:link w:val="74"/>
    <w:qFormat/>
    <w:uiPriority w:val="0"/>
    <w:pPr>
      <w:jc w:val="left"/>
    </w:pPr>
  </w:style>
  <w:style w:type="paragraph" w:styleId="21">
    <w:name w:val="Body Text Indent"/>
    <w:basedOn w:val="1"/>
    <w:next w:val="1"/>
    <w:link w:val="68"/>
    <w:qFormat/>
    <w:uiPriority w:val="99"/>
    <w:pPr>
      <w:spacing w:after="120"/>
      <w:ind w:left="420" w:leftChars="200"/>
    </w:pPr>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List 2"/>
    <w:basedOn w:val="1"/>
    <w:qFormat/>
    <w:uiPriority w:val="0"/>
    <w:pPr>
      <w:ind w:left="100" w:leftChars="200" w:hanging="200" w:hangingChars="200"/>
    </w:pPr>
    <w:rPr>
      <w:rFonts w:ascii="等线" w:hAnsi="等线" w:eastAsia="宋体-简"/>
      <w:sz w:val="24"/>
    </w:rPr>
  </w:style>
  <w:style w:type="paragraph" w:styleId="24">
    <w:name w:val="Block Text"/>
    <w:basedOn w:val="1"/>
    <w:qFormat/>
    <w:uiPriority w:val="0"/>
    <w:pPr>
      <w:spacing w:before="120" w:line="360" w:lineRule="auto"/>
      <w:ind w:left="824" w:right="202"/>
    </w:pPr>
    <w:rPr>
      <w:rFonts w:ascii="宋体" w:hAnsi="宋体"/>
      <w:sz w:val="24"/>
      <w:szCs w:val="21"/>
    </w:rPr>
  </w:style>
  <w:style w:type="paragraph" w:styleId="25">
    <w:name w:val="index 4"/>
    <w:basedOn w:val="1"/>
    <w:next w:val="1"/>
    <w:unhideWhenUsed/>
    <w:qFormat/>
    <w:uiPriority w:val="99"/>
    <w:pPr>
      <w:ind w:left="600" w:leftChars="600"/>
    </w:pPr>
  </w:style>
  <w:style w:type="paragraph" w:styleId="26">
    <w:name w:val="toc 3"/>
    <w:basedOn w:val="1"/>
    <w:next w:val="1"/>
    <w:unhideWhenUsed/>
    <w:qFormat/>
    <w:uiPriority w:val="0"/>
    <w:pPr>
      <w:ind w:left="840" w:leftChars="400"/>
    </w:pPr>
    <w:rPr>
      <w:rFonts w:ascii="Calibri" w:hAnsi="Calibri"/>
      <w:szCs w:val="22"/>
    </w:rPr>
  </w:style>
  <w:style w:type="paragraph" w:styleId="27">
    <w:name w:val="Plain Text"/>
    <w:basedOn w:val="1"/>
    <w:link w:val="66"/>
    <w:qFormat/>
    <w:uiPriority w:val="0"/>
    <w:rPr>
      <w:rFonts w:ascii="宋体" w:hAnsi="Courier New"/>
      <w:szCs w:val="20"/>
    </w:rPr>
  </w:style>
  <w:style w:type="paragraph" w:styleId="28">
    <w:name w:val="Date"/>
    <w:basedOn w:val="1"/>
    <w:next w:val="1"/>
    <w:link w:val="69"/>
    <w:qFormat/>
    <w:uiPriority w:val="99"/>
    <w:rPr>
      <w:rFonts w:ascii="楷体_GB2312" w:eastAsia="楷体_GB2312"/>
      <w:b/>
      <w:sz w:val="28"/>
      <w:szCs w:val="20"/>
    </w:rPr>
  </w:style>
  <w:style w:type="paragraph" w:styleId="29">
    <w:name w:val="Body Text Indent 2"/>
    <w:basedOn w:val="1"/>
    <w:link w:val="83"/>
    <w:qFormat/>
    <w:uiPriority w:val="99"/>
    <w:pPr>
      <w:spacing w:after="120" w:line="480" w:lineRule="auto"/>
      <w:ind w:left="420" w:leftChars="200"/>
    </w:pPr>
  </w:style>
  <w:style w:type="paragraph" w:styleId="30">
    <w:name w:val="Balloon Text"/>
    <w:basedOn w:val="1"/>
    <w:link w:val="200"/>
    <w:qFormat/>
    <w:uiPriority w:val="99"/>
    <w:rPr>
      <w:sz w:val="18"/>
      <w:szCs w:val="18"/>
    </w:rPr>
  </w:style>
  <w:style w:type="paragraph" w:styleId="31">
    <w:name w:val="footer"/>
    <w:basedOn w:val="1"/>
    <w:link w:val="71"/>
    <w:qFormat/>
    <w:uiPriority w:val="99"/>
    <w:pPr>
      <w:tabs>
        <w:tab w:val="center" w:pos="4153"/>
        <w:tab w:val="right" w:pos="8306"/>
      </w:tabs>
      <w:snapToGrid w:val="0"/>
      <w:jc w:val="left"/>
    </w:pPr>
    <w:rPr>
      <w:sz w:val="18"/>
      <w:szCs w:val="18"/>
    </w:rPr>
  </w:style>
  <w:style w:type="paragraph" w:styleId="32">
    <w:name w:val="header"/>
    <w:basedOn w:val="1"/>
    <w:link w:val="70"/>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semiHidden/>
    <w:qFormat/>
    <w:uiPriority w:val="0"/>
  </w:style>
  <w:style w:type="paragraph" w:styleId="34">
    <w:name w:val="toc 4"/>
    <w:basedOn w:val="1"/>
    <w:next w:val="1"/>
    <w:semiHidden/>
    <w:qFormat/>
    <w:uiPriority w:val="0"/>
    <w:pPr>
      <w:tabs>
        <w:tab w:val="right" w:leader="dot" w:pos="8314"/>
      </w:tabs>
      <w:ind w:firstLine="588" w:firstLineChars="245"/>
    </w:pPr>
  </w:style>
  <w:style w:type="paragraph" w:styleId="35">
    <w:name w:val="toc 6"/>
    <w:basedOn w:val="1"/>
    <w:next w:val="1"/>
    <w:qFormat/>
    <w:uiPriority w:val="0"/>
    <w:pPr>
      <w:ind w:left="2100" w:leftChars="1000"/>
    </w:pPr>
  </w:style>
  <w:style w:type="paragraph" w:styleId="36">
    <w:name w:val="Body Text Indent 3"/>
    <w:basedOn w:val="1"/>
    <w:link w:val="201"/>
    <w:qFormat/>
    <w:uiPriority w:val="0"/>
    <w:pPr>
      <w:spacing w:after="120"/>
      <w:ind w:left="420" w:leftChars="200"/>
    </w:pPr>
    <w:rPr>
      <w:sz w:val="16"/>
      <w:szCs w:val="16"/>
    </w:rPr>
  </w:style>
  <w:style w:type="paragraph" w:styleId="37">
    <w:name w:val="toc 2"/>
    <w:basedOn w:val="1"/>
    <w:next w:val="1"/>
    <w:semiHidden/>
    <w:qFormat/>
    <w:uiPriority w:val="0"/>
    <w:pPr>
      <w:ind w:left="420" w:leftChars="200"/>
    </w:pPr>
  </w:style>
  <w:style w:type="paragraph" w:styleId="38">
    <w:name w:val="Body Text 2"/>
    <w:basedOn w:val="1"/>
    <w:link w:val="75"/>
    <w:qFormat/>
    <w:uiPriority w:val="99"/>
    <w:pPr>
      <w:widowControl/>
      <w:spacing w:afterLines="50" w:line="216" w:lineRule="auto"/>
      <w:jc w:val="center"/>
    </w:pPr>
    <w:rPr>
      <w:rFonts w:ascii="隶书" w:eastAsia="隶书"/>
      <w:bCs/>
      <w:kern w:val="0"/>
      <w:sz w:val="72"/>
      <w:szCs w:val="84"/>
    </w:rPr>
  </w:style>
  <w:style w:type="paragraph" w:styleId="39">
    <w:name w:val="List Continue 2"/>
    <w:basedOn w:val="1"/>
    <w:qFormat/>
    <w:uiPriority w:val="0"/>
    <w:pPr>
      <w:spacing w:after="120"/>
      <w:ind w:left="840" w:leftChars="400"/>
    </w:pPr>
  </w:style>
  <w:style w:type="paragraph" w:styleId="40">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1">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2">
    <w:name w:val="index 1"/>
    <w:basedOn w:val="1"/>
    <w:next w:val="1"/>
    <w:semiHidden/>
    <w:qFormat/>
    <w:uiPriority w:val="0"/>
    <w:pPr>
      <w:spacing w:line="320" w:lineRule="exact"/>
    </w:pPr>
    <w:rPr>
      <w:b/>
      <w:snapToGrid w:val="0"/>
      <w:color w:val="FF6600"/>
      <w:kern w:val="0"/>
      <w:sz w:val="18"/>
      <w:szCs w:val="21"/>
    </w:rPr>
  </w:style>
  <w:style w:type="paragraph" w:styleId="43">
    <w:name w:val="Title"/>
    <w:basedOn w:val="1"/>
    <w:next w:val="1"/>
    <w:link w:val="177"/>
    <w:qFormat/>
    <w:uiPriority w:val="0"/>
    <w:pPr>
      <w:adjustRightInd w:val="0"/>
      <w:spacing w:before="240" w:after="60"/>
      <w:jc w:val="center"/>
      <w:outlineLvl w:val="0"/>
    </w:pPr>
    <w:rPr>
      <w:rFonts w:ascii="Calibri Light" w:hAnsi="Calibri Light"/>
      <w:b/>
      <w:bCs/>
      <w:sz w:val="32"/>
      <w:szCs w:val="32"/>
    </w:rPr>
  </w:style>
  <w:style w:type="paragraph" w:styleId="44">
    <w:name w:val="annotation subject"/>
    <w:basedOn w:val="20"/>
    <w:next w:val="20"/>
    <w:link w:val="203"/>
    <w:qFormat/>
    <w:uiPriority w:val="99"/>
    <w:pPr>
      <w:widowControl/>
      <w:spacing w:afterLines="50"/>
    </w:pPr>
    <w:rPr>
      <w:b/>
      <w:bCs/>
      <w:kern w:val="0"/>
      <w:sz w:val="24"/>
      <w:szCs w:val="20"/>
    </w:rPr>
  </w:style>
  <w:style w:type="paragraph" w:styleId="45">
    <w:name w:val="Body Text First Indent 2"/>
    <w:basedOn w:val="21"/>
    <w:next w:val="2"/>
    <w:link w:val="205"/>
    <w:qFormat/>
    <w:uiPriority w:val="99"/>
    <w:pPr>
      <w:ind w:firstLine="420" w:firstLineChars="200"/>
    </w:pPr>
  </w:style>
  <w:style w:type="table" w:styleId="47">
    <w:name w:val="Table Grid"/>
    <w:basedOn w:val="4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99"/>
    <w:rPr>
      <w:color w:val="800080"/>
      <w:u w:val="single"/>
    </w:rPr>
  </w:style>
  <w:style w:type="character" w:styleId="52">
    <w:name w:val="Emphasis"/>
    <w:qFormat/>
    <w:uiPriority w:val="0"/>
    <w:rPr>
      <w:color w:val="CC0000"/>
    </w:rPr>
  </w:style>
  <w:style w:type="character" w:styleId="53">
    <w:name w:val="Hyperlink"/>
    <w:qFormat/>
    <w:uiPriority w:val="99"/>
    <w:rPr>
      <w:color w:val="0000FF"/>
      <w:u w:val="single"/>
    </w:rPr>
  </w:style>
  <w:style w:type="character" w:styleId="54">
    <w:name w:val="annotation reference"/>
    <w:qFormat/>
    <w:uiPriority w:val="0"/>
    <w:rPr>
      <w:sz w:val="21"/>
      <w:szCs w:val="21"/>
    </w:rPr>
  </w:style>
  <w:style w:type="character" w:customStyle="1" w:styleId="55">
    <w:name w:val="标题 1 Char"/>
    <w:link w:val="4"/>
    <w:qFormat/>
    <w:uiPriority w:val="0"/>
    <w:rPr>
      <w:rFonts w:eastAsia="仿宋_GB2312"/>
      <w:b/>
      <w:kern w:val="44"/>
      <w:sz w:val="44"/>
      <w:lang w:val="en-US" w:eastAsia="zh-CN" w:bidi="ar-SA"/>
    </w:rPr>
  </w:style>
  <w:style w:type="character" w:customStyle="1" w:styleId="56">
    <w:name w:val="正文缩进 Char"/>
    <w:link w:val="7"/>
    <w:qFormat/>
    <w:uiPriority w:val="0"/>
    <w:rPr>
      <w:rFonts w:eastAsia="宋体"/>
      <w:kern w:val="2"/>
      <w:sz w:val="21"/>
      <w:szCs w:val="24"/>
      <w:lang w:val="en-US" w:eastAsia="zh-CN" w:bidi="ar-SA"/>
    </w:rPr>
  </w:style>
  <w:style w:type="paragraph" w:customStyle="1" w:styleId="57">
    <w:name w:val="_Style 15"/>
    <w:basedOn w:val="1"/>
    <w:qFormat/>
    <w:uiPriority w:val="0"/>
    <w:rPr>
      <w:rFonts w:ascii="Tahoma" w:hAnsi="Tahoma"/>
      <w:sz w:val="24"/>
      <w:szCs w:val="20"/>
    </w:rPr>
  </w:style>
  <w:style w:type="character" w:customStyle="1" w:styleId="58">
    <w:name w:val="标题 2 Char"/>
    <w:link w:val="5"/>
    <w:qFormat/>
    <w:uiPriority w:val="0"/>
    <w:rPr>
      <w:rFonts w:ascii="Arial" w:hAnsi="Arial" w:eastAsia="黑体"/>
      <w:b/>
      <w:kern w:val="2"/>
      <w:sz w:val="32"/>
      <w:lang w:val="en-US" w:eastAsia="zh-CN" w:bidi="ar-SA"/>
    </w:rPr>
  </w:style>
  <w:style w:type="character" w:customStyle="1" w:styleId="59">
    <w:name w:val="标题 3 Char"/>
    <w:link w:val="6"/>
    <w:qFormat/>
    <w:uiPriority w:val="0"/>
    <w:rPr>
      <w:rFonts w:eastAsia="仿宋_GB2312"/>
      <w:b/>
      <w:kern w:val="2"/>
      <w:sz w:val="32"/>
      <w:lang w:val="en-US" w:eastAsia="zh-CN" w:bidi="ar-SA"/>
    </w:rPr>
  </w:style>
  <w:style w:type="character" w:customStyle="1" w:styleId="60">
    <w:name w:val="标题 4 Char1"/>
    <w:link w:val="8"/>
    <w:qFormat/>
    <w:uiPriority w:val="0"/>
    <w:rPr>
      <w:rFonts w:ascii="Arial" w:hAnsi="Arial" w:eastAsia="黑体"/>
      <w:b/>
      <w:kern w:val="2"/>
      <w:sz w:val="28"/>
      <w:lang w:val="en-US" w:eastAsia="zh-CN" w:bidi="ar-SA"/>
    </w:rPr>
  </w:style>
  <w:style w:type="character" w:customStyle="1" w:styleId="61">
    <w:name w:val="标题 5 Char1"/>
    <w:link w:val="9"/>
    <w:qFormat/>
    <w:uiPriority w:val="0"/>
    <w:rPr>
      <w:rFonts w:eastAsia="宋体"/>
      <w:sz w:val="24"/>
      <w:lang w:val="en-US" w:eastAsia="zh-CN" w:bidi="ar-SA"/>
    </w:rPr>
  </w:style>
  <w:style w:type="character" w:customStyle="1" w:styleId="62">
    <w:name w:val="标题 6 Char1"/>
    <w:link w:val="10"/>
    <w:qFormat/>
    <w:uiPriority w:val="0"/>
    <w:rPr>
      <w:rFonts w:ascii="宋体" w:hAnsi="Arial" w:eastAsia="宋体"/>
      <w:sz w:val="24"/>
      <w:lang w:val="en-US" w:eastAsia="zh-CN" w:bidi="ar-SA"/>
    </w:rPr>
  </w:style>
  <w:style w:type="character" w:customStyle="1" w:styleId="63">
    <w:name w:val="标题 7 Char1"/>
    <w:link w:val="11"/>
    <w:qFormat/>
    <w:uiPriority w:val="0"/>
    <w:rPr>
      <w:rFonts w:ascii="宋体" w:hAnsi="Arial" w:eastAsia="宋体"/>
      <w:b/>
      <w:sz w:val="24"/>
      <w:lang w:val="en-US" w:eastAsia="zh-CN" w:bidi="ar-SA"/>
    </w:rPr>
  </w:style>
  <w:style w:type="character" w:customStyle="1" w:styleId="64">
    <w:name w:val="标题 8 Char1"/>
    <w:link w:val="12"/>
    <w:qFormat/>
    <w:uiPriority w:val="0"/>
    <w:rPr>
      <w:rFonts w:ascii="Arial" w:hAnsi="Arial" w:eastAsia="黑体"/>
      <w:sz w:val="24"/>
      <w:lang w:val="en-US" w:eastAsia="zh-CN" w:bidi="ar-SA"/>
    </w:rPr>
  </w:style>
  <w:style w:type="character" w:customStyle="1" w:styleId="65">
    <w:name w:val="标题 9 Char1"/>
    <w:link w:val="13"/>
    <w:qFormat/>
    <w:uiPriority w:val="0"/>
    <w:rPr>
      <w:rFonts w:ascii="Arial" w:hAnsi="Arial" w:eastAsia="黑体"/>
      <w:sz w:val="24"/>
      <w:lang w:val="en-US" w:eastAsia="zh-CN" w:bidi="ar-SA"/>
    </w:rPr>
  </w:style>
  <w:style w:type="character" w:customStyle="1" w:styleId="66">
    <w:name w:val="纯文本 Char"/>
    <w:link w:val="27"/>
    <w:qFormat/>
    <w:uiPriority w:val="0"/>
    <w:rPr>
      <w:rFonts w:ascii="宋体" w:hAnsi="Courier New" w:eastAsia="宋体"/>
      <w:kern w:val="2"/>
      <w:sz w:val="21"/>
      <w:lang w:val="en-US" w:eastAsia="zh-CN" w:bidi="ar-SA"/>
    </w:rPr>
  </w:style>
  <w:style w:type="paragraph" w:customStyle="1" w:styleId="67">
    <w:name w:val="表正文"/>
    <w:basedOn w:val="1"/>
    <w:next w:val="27"/>
    <w:qFormat/>
    <w:uiPriority w:val="0"/>
    <w:rPr>
      <w:rFonts w:ascii="宋体" w:hAnsi="Courier New"/>
      <w:szCs w:val="20"/>
    </w:rPr>
  </w:style>
  <w:style w:type="character" w:customStyle="1" w:styleId="68">
    <w:name w:val="正文文本缩进 Char"/>
    <w:link w:val="21"/>
    <w:qFormat/>
    <w:uiPriority w:val="99"/>
    <w:rPr>
      <w:rFonts w:eastAsia="宋体"/>
      <w:kern w:val="2"/>
      <w:sz w:val="21"/>
      <w:szCs w:val="24"/>
      <w:lang w:val="en-US" w:eastAsia="zh-CN" w:bidi="ar-SA"/>
    </w:rPr>
  </w:style>
  <w:style w:type="character" w:customStyle="1" w:styleId="69">
    <w:name w:val="日期 Char2"/>
    <w:link w:val="28"/>
    <w:qFormat/>
    <w:uiPriority w:val="0"/>
    <w:rPr>
      <w:rFonts w:ascii="楷体_GB2312" w:eastAsia="楷体_GB2312"/>
      <w:b/>
      <w:kern w:val="2"/>
      <w:sz w:val="28"/>
      <w:lang w:val="en-US" w:eastAsia="zh-CN" w:bidi="ar-SA"/>
    </w:rPr>
  </w:style>
  <w:style w:type="character" w:customStyle="1" w:styleId="70">
    <w:name w:val="页眉 Char1"/>
    <w:link w:val="32"/>
    <w:qFormat/>
    <w:uiPriority w:val="0"/>
    <w:rPr>
      <w:rFonts w:eastAsia="宋体"/>
      <w:kern w:val="2"/>
      <w:sz w:val="18"/>
      <w:szCs w:val="18"/>
      <w:lang w:val="en-US" w:eastAsia="zh-CN" w:bidi="ar-SA"/>
    </w:rPr>
  </w:style>
  <w:style w:type="character" w:customStyle="1" w:styleId="71">
    <w:name w:val="页脚 Char"/>
    <w:link w:val="31"/>
    <w:qFormat/>
    <w:locked/>
    <w:uiPriority w:val="99"/>
    <w:rPr>
      <w:rFonts w:eastAsia="宋体"/>
      <w:kern w:val="2"/>
      <w:sz w:val="18"/>
      <w:szCs w:val="18"/>
      <w:lang w:val="en-US" w:eastAsia="zh-CN" w:bidi="ar-SA"/>
    </w:rPr>
  </w:style>
  <w:style w:type="paragraph" w:customStyle="1" w:styleId="72">
    <w:name w:val="正文段"/>
    <w:basedOn w:val="1"/>
    <w:link w:val="73"/>
    <w:qFormat/>
    <w:uiPriority w:val="0"/>
    <w:pPr>
      <w:widowControl/>
      <w:snapToGrid w:val="0"/>
      <w:spacing w:afterLines="50"/>
      <w:ind w:firstLine="200" w:firstLineChars="200"/>
    </w:pPr>
    <w:rPr>
      <w:kern w:val="0"/>
      <w:sz w:val="24"/>
      <w:szCs w:val="20"/>
    </w:rPr>
  </w:style>
  <w:style w:type="character" w:customStyle="1" w:styleId="73">
    <w:name w:val="正文段 Char"/>
    <w:link w:val="72"/>
    <w:qFormat/>
    <w:uiPriority w:val="0"/>
    <w:rPr>
      <w:rFonts w:eastAsia="宋体"/>
      <w:sz w:val="24"/>
      <w:lang w:val="en-US" w:eastAsia="zh-CN" w:bidi="ar-SA"/>
    </w:rPr>
  </w:style>
  <w:style w:type="character" w:customStyle="1" w:styleId="74">
    <w:name w:val="批注文字 Char1"/>
    <w:link w:val="20"/>
    <w:qFormat/>
    <w:uiPriority w:val="0"/>
    <w:rPr>
      <w:rFonts w:eastAsia="宋体"/>
      <w:kern w:val="2"/>
      <w:sz w:val="21"/>
      <w:szCs w:val="24"/>
      <w:lang w:val="en-US" w:eastAsia="zh-CN" w:bidi="ar-SA"/>
    </w:rPr>
  </w:style>
  <w:style w:type="character" w:customStyle="1" w:styleId="75">
    <w:name w:val="正文文本 2 Char1"/>
    <w:link w:val="38"/>
    <w:qFormat/>
    <w:uiPriority w:val="0"/>
    <w:rPr>
      <w:rFonts w:ascii="隶书" w:eastAsia="隶书"/>
      <w:bCs/>
      <w:sz w:val="72"/>
      <w:szCs w:val="84"/>
      <w:lang w:val="en-US" w:eastAsia="zh-CN" w:bidi="ar-SA"/>
    </w:rPr>
  </w:style>
  <w:style w:type="paragraph" w:customStyle="1" w:styleId="76">
    <w:name w:val="Char"/>
    <w:basedOn w:val="1"/>
    <w:qFormat/>
    <w:uiPriority w:val="0"/>
    <w:rPr>
      <w:rFonts w:ascii="仿宋_GB2312" w:eastAsia="仿宋_GB2312"/>
      <w:b/>
      <w:sz w:val="32"/>
      <w:szCs w:val="32"/>
    </w:rPr>
  </w:style>
  <w:style w:type="paragraph" w:customStyle="1" w:styleId="77">
    <w:name w:val="Table Text"/>
    <w:link w:val="78"/>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qFormat/>
    <w:uiPriority w:val="0"/>
    <w:rPr>
      <w:rFonts w:ascii="Arial" w:hAnsi="Arial"/>
      <w:sz w:val="18"/>
      <w:lang w:val="en-US" w:eastAsia="zh-CN" w:bidi="ar-SA"/>
    </w:rPr>
  </w:style>
  <w:style w:type="character" w:customStyle="1" w:styleId="79">
    <w:name w:val="正文（缩进2汉字） Char"/>
    <w:link w:val="80"/>
    <w:qFormat/>
    <w:uiPriority w:val="0"/>
    <w:rPr>
      <w:rFonts w:ascii="宋体"/>
      <w:kern w:val="2"/>
      <w:sz w:val="21"/>
      <w:lang w:bidi="ar-SA"/>
    </w:rPr>
  </w:style>
  <w:style w:type="paragraph" w:customStyle="1" w:styleId="80">
    <w:name w:val="正文（缩进2汉字）"/>
    <w:basedOn w:val="1"/>
    <w:link w:val="7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qFormat/>
    <w:uiPriority w:val="0"/>
    <w:pPr>
      <w:tabs>
        <w:tab w:val="left" w:pos="432"/>
      </w:tabs>
      <w:spacing w:beforeLines="50" w:afterLines="50"/>
      <w:ind w:left="432" w:hanging="432"/>
      <w:jc w:val="center"/>
    </w:pPr>
    <w:rPr>
      <w:sz w:val="24"/>
    </w:rPr>
  </w:style>
  <w:style w:type="paragraph" w:customStyle="1" w:styleId="82">
    <w:name w:val="模板普通正文"/>
    <w:basedOn w:val="21"/>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9"/>
    <w:qFormat/>
    <w:locked/>
    <w:uiPriority w:val="0"/>
    <w:rPr>
      <w:rFonts w:eastAsia="宋体"/>
      <w:kern w:val="2"/>
      <w:sz w:val="21"/>
      <w:szCs w:val="24"/>
      <w:lang w:val="en-US" w:eastAsia="zh-CN" w:bidi="ar-SA"/>
    </w:rPr>
  </w:style>
  <w:style w:type="paragraph" w:customStyle="1" w:styleId="84">
    <w:name w:val="缺省文本"/>
    <w:basedOn w:val="1"/>
    <w:qFormat/>
    <w:uiPriority w:val="0"/>
    <w:pPr>
      <w:autoSpaceDE w:val="0"/>
      <w:autoSpaceDN w:val="0"/>
      <w:adjustRightInd w:val="0"/>
      <w:jc w:val="left"/>
    </w:pPr>
    <w:rPr>
      <w:kern w:val="0"/>
      <w:sz w:val="24"/>
    </w:rPr>
  </w:style>
  <w:style w:type="paragraph" w:customStyle="1" w:styleId="85">
    <w:name w:val="WW-正文文字缩进 2"/>
    <w:basedOn w:val="1"/>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qFormat/>
    <w:uiPriority w:val="0"/>
    <w:rPr>
      <w:rFonts w:ascii="Tahoma" w:hAnsi="Tahoma"/>
      <w:sz w:val="24"/>
      <w:szCs w:val="20"/>
    </w:rPr>
  </w:style>
  <w:style w:type="character" w:customStyle="1" w:styleId="87">
    <w:name w:val="正文文本 Char1"/>
    <w:link w:val="3"/>
    <w:qFormat/>
    <w:locked/>
    <w:uiPriority w:val="0"/>
    <w:rPr>
      <w:rFonts w:eastAsia="仿宋_GB2312"/>
      <w:kern w:val="2"/>
      <w:sz w:val="28"/>
      <w:szCs w:val="24"/>
      <w:lang w:val="en-US" w:eastAsia="zh-CN" w:bidi="ar-SA"/>
    </w:rPr>
  </w:style>
  <w:style w:type="paragraph" w:customStyle="1" w:styleId="88">
    <w:name w:val="项目排列"/>
    <w:basedOn w:val="1"/>
    <w:link w:val="89"/>
    <w:qFormat/>
    <w:uiPriority w:val="0"/>
    <w:pPr>
      <w:tabs>
        <w:tab w:val="left" w:pos="900"/>
      </w:tabs>
      <w:spacing w:beforeLines="50" w:afterLines="50" w:line="300" w:lineRule="auto"/>
      <w:ind w:left="900" w:hanging="420"/>
    </w:pPr>
    <w:rPr>
      <w:sz w:val="24"/>
    </w:rPr>
  </w:style>
  <w:style w:type="character" w:customStyle="1" w:styleId="89">
    <w:name w:val="项目排列 Char"/>
    <w:link w:val="88"/>
    <w:qFormat/>
    <w:uiPriority w:val="0"/>
    <w:rPr>
      <w:kern w:val="2"/>
      <w:sz w:val="24"/>
      <w:szCs w:val="24"/>
    </w:rPr>
  </w:style>
  <w:style w:type="character" w:customStyle="1" w:styleId="90">
    <w:name w:val="style21"/>
    <w:qFormat/>
    <w:uiPriority w:val="0"/>
    <w:rPr>
      <w:sz w:val="15"/>
      <w:szCs w:val="15"/>
    </w:rPr>
  </w:style>
  <w:style w:type="paragraph" w:customStyle="1" w:styleId="9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qFormat/>
    <w:uiPriority w:val="0"/>
    <w:rPr>
      <w:szCs w:val="20"/>
    </w:rPr>
  </w:style>
  <w:style w:type="paragraph" w:customStyle="1" w:styleId="94">
    <w:name w:val="列出段落1"/>
    <w:basedOn w:val="1"/>
    <w:qFormat/>
    <w:uiPriority w:val="99"/>
    <w:pPr>
      <w:ind w:firstLine="420" w:firstLineChars="200"/>
    </w:pPr>
    <w:rPr>
      <w:rFonts w:ascii="Calibri" w:hAnsi="Calibri"/>
      <w:szCs w:val="22"/>
    </w:rPr>
  </w:style>
  <w:style w:type="paragraph" w:customStyle="1" w:styleId="95">
    <w:name w:val="默认段落字体 Para Char Char Char Char"/>
    <w:basedOn w:val="1"/>
    <w:qFormat/>
    <w:uiPriority w:val="0"/>
  </w:style>
  <w:style w:type="paragraph" w:customStyle="1" w:styleId="96">
    <w:name w:val="Char Char Char1 Char Char Char1 Char Char Char Char"/>
    <w:basedOn w:val="1"/>
    <w:qFormat/>
    <w:uiPriority w:val="0"/>
  </w:style>
  <w:style w:type="character" w:customStyle="1" w:styleId="97">
    <w:name w:val="font1"/>
    <w:qFormat/>
    <w:uiPriority w:val="0"/>
    <w:rPr>
      <w:color w:val="999999"/>
      <w:sz w:val="18"/>
      <w:szCs w:val="18"/>
      <w:u w:val="none"/>
    </w:rPr>
  </w:style>
  <w:style w:type="paragraph" w:customStyle="1" w:styleId="9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qFormat/>
    <w:uiPriority w:val="0"/>
    <w:rPr>
      <w:rFonts w:ascii="Tahoma" w:hAnsi="Tahoma"/>
      <w:sz w:val="24"/>
      <w:szCs w:val="20"/>
    </w:rPr>
  </w:style>
  <w:style w:type="character" w:customStyle="1" w:styleId="100">
    <w:name w:val="apple-style-span"/>
    <w:basedOn w:val="48"/>
    <w:qFormat/>
    <w:uiPriority w:val="0"/>
  </w:style>
  <w:style w:type="paragraph" w:customStyle="1" w:styleId="101">
    <w:name w:val="正文无缩进"/>
    <w:basedOn w:val="1"/>
    <w:link w:val="102"/>
    <w:qFormat/>
    <w:uiPriority w:val="0"/>
    <w:pPr>
      <w:spacing w:line="360" w:lineRule="auto"/>
    </w:pPr>
    <w:rPr>
      <w:rFonts w:ascii="宋体"/>
      <w:color w:val="000000"/>
      <w:sz w:val="24"/>
    </w:rPr>
  </w:style>
  <w:style w:type="character" w:customStyle="1" w:styleId="102">
    <w:name w:val="正文无缩进 Char"/>
    <w:link w:val="101"/>
    <w:qFormat/>
    <w:uiPriority w:val="0"/>
    <w:rPr>
      <w:rFonts w:ascii="宋体" w:eastAsia="宋体"/>
      <w:color w:val="000000"/>
      <w:kern w:val="2"/>
      <w:sz w:val="24"/>
      <w:szCs w:val="24"/>
      <w:lang w:val="en-US" w:eastAsia="zh-CN" w:bidi="ar-SA"/>
    </w:rPr>
  </w:style>
  <w:style w:type="paragraph" w:customStyle="1" w:styleId="10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8"/>
    <w:qFormat/>
    <w:uiPriority w:val="0"/>
  </w:style>
  <w:style w:type="paragraph" w:customStyle="1" w:styleId="10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6">
    <w:name w:val="表格 Char Char"/>
    <w:link w:val="107"/>
    <w:qFormat/>
    <w:locked/>
    <w:uiPriority w:val="0"/>
    <w:rPr>
      <w:rFonts w:ascii="宋体" w:hAnsi="宋体" w:eastAsia="宋体"/>
      <w:lang w:val="en-US" w:eastAsia="zh-CN" w:bidi="ar-SA"/>
    </w:rPr>
  </w:style>
  <w:style w:type="paragraph" w:customStyle="1" w:styleId="107">
    <w:name w:val="表格"/>
    <w:basedOn w:val="1"/>
    <w:link w:val="106"/>
    <w:qFormat/>
    <w:uiPriority w:val="0"/>
    <w:pPr>
      <w:snapToGrid w:val="0"/>
      <w:ind w:firstLine="42" w:firstLineChars="21"/>
    </w:pPr>
    <w:rPr>
      <w:rFonts w:ascii="宋体" w:hAnsi="宋体"/>
      <w:kern w:val="0"/>
      <w:sz w:val="20"/>
      <w:szCs w:val="20"/>
    </w:rPr>
  </w:style>
  <w:style w:type="paragraph" w:customStyle="1" w:styleId="10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qFormat/>
    <w:uiPriority w:val="0"/>
    <w:pPr>
      <w:widowControl/>
      <w:spacing w:after="160" w:line="240" w:lineRule="exact"/>
      <w:jc w:val="left"/>
    </w:pPr>
  </w:style>
  <w:style w:type="character" w:customStyle="1" w:styleId="110">
    <w:name w:val="Char Char"/>
    <w:qFormat/>
    <w:uiPriority w:val="0"/>
    <w:rPr>
      <w:rFonts w:hint="eastAsia" w:ascii="宋体" w:hAnsi="Courier New" w:eastAsia="宋体"/>
      <w:kern w:val="2"/>
      <w:sz w:val="21"/>
      <w:lang w:val="en-US" w:eastAsia="zh-CN" w:bidi="ar-SA"/>
    </w:rPr>
  </w:style>
  <w:style w:type="character" w:customStyle="1" w:styleId="111">
    <w:name w:val="style51"/>
    <w:qFormat/>
    <w:uiPriority w:val="0"/>
    <w:rPr>
      <w:sz w:val="21"/>
      <w:szCs w:val="21"/>
    </w:rPr>
  </w:style>
  <w:style w:type="paragraph" w:customStyle="1" w:styleId="11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qFormat/>
    <w:uiPriority w:val="0"/>
    <w:pPr>
      <w:spacing w:line="360" w:lineRule="auto"/>
      <w:ind w:firstLine="480" w:firstLineChars="200"/>
    </w:pPr>
    <w:rPr>
      <w:rFonts w:cs="宋体"/>
      <w:sz w:val="24"/>
      <w:szCs w:val="20"/>
    </w:rPr>
  </w:style>
  <w:style w:type="character" w:customStyle="1" w:styleId="114">
    <w:name w:val="标准文本 Char"/>
    <w:link w:val="113"/>
    <w:qFormat/>
    <w:uiPriority w:val="0"/>
    <w:rPr>
      <w:rFonts w:eastAsia="宋体" w:cs="宋体"/>
      <w:kern w:val="2"/>
      <w:sz w:val="24"/>
      <w:lang w:val="en-US" w:eastAsia="zh-CN" w:bidi="ar-SA"/>
    </w:rPr>
  </w:style>
  <w:style w:type="paragraph" w:customStyle="1" w:styleId="11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6">
    <w:name w:val="自定义正文"/>
    <w:basedOn w:val="1"/>
    <w:link w:val="117"/>
    <w:qFormat/>
    <w:uiPriority w:val="0"/>
    <w:pPr>
      <w:spacing w:line="480" w:lineRule="exact"/>
      <w:ind w:firstLine="200" w:firstLineChars="200"/>
      <w:jc w:val="left"/>
    </w:pPr>
    <w:rPr>
      <w:rFonts w:ascii="仿宋_GB2312" w:eastAsia="仿宋_GB2312"/>
      <w:sz w:val="28"/>
    </w:rPr>
  </w:style>
  <w:style w:type="character" w:customStyle="1" w:styleId="117">
    <w:name w:val="自定义正文 Char"/>
    <w:link w:val="116"/>
    <w:qFormat/>
    <w:uiPriority w:val="0"/>
    <w:rPr>
      <w:rFonts w:ascii="仿宋_GB2312" w:eastAsia="仿宋_GB2312"/>
      <w:kern w:val="2"/>
      <w:sz w:val="28"/>
      <w:szCs w:val="24"/>
      <w:lang w:val="en-US" w:eastAsia="zh-CN" w:bidi="ar-SA"/>
    </w:rPr>
  </w:style>
  <w:style w:type="paragraph" w:customStyle="1" w:styleId="11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9">
    <w:name w:val="自定义表格文字"/>
    <w:basedOn w:val="1"/>
    <w:qFormat/>
    <w:uiPriority w:val="0"/>
    <w:pPr>
      <w:spacing w:before="60" w:after="60" w:line="320" w:lineRule="exact"/>
      <w:jc w:val="left"/>
    </w:pPr>
    <w:rPr>
      <w:rFonts w:ascii="宋体" w:eastAsia="楷体_GB2312"/>
    </w:rPr>
  </w:style>
  <w:style w:type="paragraph" w:customStyle="1" w:styleId="12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2">
    <w:name w:val="文档结构图 Char"/>
    <w:link w:val="19"/>
    <w:semiHidden/>
    <w:qFormat/>
    <w:uiPriority w:val="0"/>
    <w:rPr>
      <w:rFonts w:eastAsia="宋体"/>
      <w:kern w:val="2"/>
      <w:sz w:val="21"/>
      <w:szCs w:val="24"/>
      <w:lang w:val="en-US" w:eastAsia="zh-CN" w:bidi="ar-SA"/>
    </w:rPr>
  </w:style>
  <w:style w:type="character" w:customStyle="1" w:styleId="123">
    <w:name w:val="Char Char12"/>
    <w:qFormat/>
    <w:uiPriority w:val="0"/>
    <w:rPr>
      <w:rFonts w:ascii="宋体" w:hAnsi="Courier New" w:eastAsia="宋体"/>
      <w:kern w:val="2"/>
      <w:sz w:val="21"/>
      <w:lang w:val="en-US" w:eastAsia="zh-CN" w:bidi="ar-SA"/>
    </w:rPr>
  </w:style>
  <w:style w:type="character" w:customStyle="1" w:styleId="124">
    <w:name w:val="H4 Char"/>
    <w:qFormat/>
    <w:uiPriority w:val="0"/>
    <w:rPr>
      <w:rFonts w:ascii="宋体" w:hAnsi="宋体" w:eastAsia="黑体"/>
      <w:b/>
      <w:bCs/>
      <w:color w:val="000000"/>
      <w:spacing w:val="-4"/>
      <w:kern w:val="2"/>
      <w:sz w:val="24"/>
      <w:szCs w:val="30"/>
      <w:lang w:val="en-US" w:eastAsia="zh-CN" w:bidi="ar-SA"/>
    </w:rPr>
  </w:style>
  <w:style w:type="character" w:customStyle="1" w:styleId="125">
    <w:name w:val="H5 Char"/>
    <w:qFormat/>
    <w:uiPriority w:val="0"/>
    <w:rPr>
      <w:rFonts w:ascii="Arial" w:hAnsi="Arial" w:eastAsia="宋体"/>
      <w:sz w:val="24"/>
      <w:lang w:val="en-US" w:eastAsia="zh-CN" w:bidi="ar-SA"/>
    </w:rPr>
  </w:style>
  <w:style w:type="character" w:customStyle="1" w:styleId="126">
    <w:name w:val="Char Char8"/>
    <w:qFormat/>
    <w:uiPriority w:val="0"/>
    <w:rPr>
      <w:rFonts w:ascii="宋体" w:eastAsia="宋体"/>
      <w:kern w:val="2"/>
      <w:sz w:val="28"/>
      <w:lang w:val="en-US" w:eastAsia="zh-CN" w:bidi="ar-SA"/>
    </w:rPr>
  </w:style>
  <w:style w:type="character" w:customStyle="1" w:styleId="127">
    <w:name w:val="Char Char7"/>
    <w:qFormat/>
    <w:uiPriority w:val="0"/>
    <w:rPr>
      <w:rFonts w:eastAsia="仿宋_GB2312"/>
      <w:kern w:val="2"/>
      <w:sz w:val="24"/>
      <w:szCs w:val="24"/>
      <w:lang w:val="en-US" w:eastAsia="zh-CN" w:bidi="ar-SA"/>
    </w:rPr>
  </w:style>
  <w:style w:type="paragraph" w:customStyle="1" w:styleId="128">
    <w:name w:val="表内文字"/>
    <w:basedOn w:val="1"/>
    <w:qFormat/>
    <w:uiPriority w:val="0"/>
    <w:pPr>
      <w:jc w:val="center"/>
    </w:pPr>
    <w:rPr>
      <w:color w:val="FF0000"/>
      <w:kern w:val="0"/>
      <w:sz w:val="24"/>
    </w:rPr>
  </w:style>
  <w:style w:type="character" w:customStyle="1" w:styleId="129">
    <w:name w:val="Char Char3"/>
    <w:qFormat/>
    <w:uiPriority w:val="0"/>
    <w:rPr>
      <w:rFonts w:eastAsia="仿宋_GB2312"/>
      <w:kern w:val="2"/>
      <w:sz w:val="28"/>
      <w:szCs w:val="24"/>
      <w:lang w:val="en-US" w:eastAsia="zh-CN" w:bidi="ar-SA"/>
    </w:rPr>
  </w:style>
  <w:style w:type="paragraph" w:customStyle="1" w:styleId="13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4">
    <w:name w:val="项目1"/>
    <w:basedOn w:val="1"/>
    <w:qFormat/>
    <w:uiPriority w:val="0"/>
    <w:pPr>
      <w:tabs>
        <w:tab w:val="left" w:pos="840"/>
      </w:tabs>
      <w:spacing w:after="60"/>
      <w:ind w:left="840" w:hanging="420"/>
    </w:pPr>
    <w:rPr>
      <w:rFonts w:ascii="宋体"/>
      <w:spacing w:val="4"/>
      <w:szCs w:val="20"/>
    </w:rPr>
  </w:style>
  <w:style w:type="paragraph" w:customStyle="1" w:styleId="135">
    <w:name w:val="编10号"/>
    <w:basedOn w:val="1"/>
    <w:qFormat/>
    <w:uiPriority w:val="0"/>
    <w:pPr>
      <w:tabs>
        <w:tab w:val="left" w:pos="1620"/>
      </w:tabs>
      <w:ind w:left="1620" w:hanging="360"/>
    </w:pPr>
  </w:style>
  <w:style w:type="paragraph" w:customStyle="1" w:styleId="136">
    <w:name w:val="段"/>
    <w:basedOn w:val="1"/>
    <w:qFormat/>
    <w:uiPriority w:val="0"/>
    <w:pPr>
      <w:ind w:firstLine="425"/>
    </w:pPr>
    <w:rPr>
      <w:rFonts w:ascii="宋体"/>
      <w:szCs w:val="20"/>
    </w:rPr>
  </w:style>
  <w:style w:type="paragraph" w:customStyle="1" w:styleId="137">
    <w:name w:val="Char Char Char Char"/>
    <w:basedOn w:val="1"/>
    <w:qFormat/>
    <w:uiPriority w:val="0"/>
    <w:pPr>
      <w:widowControl/>
      <w:spacing w:after="160" w:line="240" w:lineRule="exact"/>
      <w:jc w:val="left"/>
    </w:pPr>
    <w:rPr>
      <w:kern w:val="0"/>
      <w:sz w:val="24"/>
    </w:rPr>
  </w:style>
  <w:style w:type="paragraph" w:customStyle="1" w:styleId="13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9">
    <w:name w:val="bulletintext1"/>
    <w:qFormat/>
    <w:uiPriority w:val="0"/>
    <w:rPr>
      <w:rFonts w:hint="eastAsia" w:ascii="宋体" w:hAnsi="宋体" w:eastAsia="宋体"/>
      <w:sz w:val="18"/>
      <w:szCs w:val="18"/>
    </w:rPr>
  </w:style>
  <w:style w:type="paragraph" w:customStyle="1" w:styleId="140">
    <w:name w:val="Char1 Char Char Char Char Char Char"/>
    <w:basedOn w:val="1"/>
    <w:qFormat/>
    <w:uiPriority w:val="0"/>
    <w:rPr>
      <w:rFonts w:ascii="Tahoma" w:hAnsi="Tahoma"/>
      <w:sz w:val="24"/>
      <w:szCs w:val="20"/>
    </w:rPr>
  </w:style>
  <w:style w:type="paragraph" w:customStyle="1" w:styleId="141">
    <w:name w:val="Char Char2 Char Char Char Char"/>
    <w:basedOn w:val="19"/>
    <w:qFormat/>
    <w:uiPriority w:val="0"/>
    <w:rPr>
      <w:rFonts w:ascii="Tahoma" w:hAnsi="Tahoma"/>
      <w:sz w:val="24"/>
    </w:rPr>
  </w:style>
  <w:style w:type="paragraph" w:customStyle="1" w:styleId="142">
    <w:name w:val="Char Char Char"/>
    <w:basedOn w:val="19"/>
    <w:qFormat/>
    <w:uiPriority w:val="0"/>
    <w:rPr>
      <w:rFonts w:ascii="Tahoma" w:hAnsi="Tahoma"/>
      <w:sz w:val="24"/>
    </w:rPr>
  </w:style>
  <w:style w:type="paragraph" w:customStyle="1" w:styleId="143">
    <w:name w:val="正文缩进 New"/>
    <w:basedOn w:val="1"/>
    <w:qFormat/>
    <w:uiPriority w:val="0"/>
    <w:pPr>
      <w:ind w:firstLine="420" w:firstLineChars="200"/>
    </w:pPr>
    <w:rPr>
      <w:szCs w:val="20"/>
    </w:rPr>
  </w:style>
  <w:style w:type="paragraph" w:customStyle="1" w:styleId="14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5">
    <w:name w:val="tpc_content1"/>
    <w:qFormat/>
    <w:uiPriority w:val="0"/>
    <w:rPr>
      <w:sz w:val="20"/>
      <w:szCs w:val="20"/>
    </w:rPr>
  </w:style>
  <w:style w:type="character" w:customStyle="1" w:styleId="146">
    <w:name w:val="Char Char11"/>
    <w:qFormat/>
    <w:uiPriority w:val="0"/>
    <w:rPr>
      <w:b/>
      <w:kern w:val="44"/>
      <w:sz w:val="44"/>
    </w:rPr>
  </w:style>
  <w:style w:type="character" w:customStyle="1" w:styleId="147">
    <w:name w:val="Char Char10"/>
    <w:qFormat/>
    <w:uiPriority w:val="0"/>
    <w:rPr>
      <w:b/>
      <w:kern w:val="2"/>
      <w:sz w:val="28"/>
      <w:szCs w:val="28"/>
    </w:rPr>
  </w:style>
  <w:style w:type="character" w:customStyle="1" w:styleId="148">
    <w:name w:val="Char Char9"/>
    <w:qFormat/>
    <w:uiPriority w:val="0"/>
    <w:rPr>
      <w:b/>
      <w:kern w:val="2"/>
      <w:sz w:val="24"/>
      <w:szCs w:val="24"/>
    </w:rPr>
  </w:style>
  <w:style w:type="paragraph" w:customStyle="1" w:styleId="149">
    <w:name w:val="Char Char Char 字元 字元"/>
    <w:basedOn w:val="1"/>
    <w:qFormat/>
    <w:uiPriority w:val="0"/>
    <w:pPr>
      <w:spacing w:line="360" w:lineRule="auto"/>
      <w:ind w:firstLine="200" w:firstLineChars="200"/>
    </w:pPr>
    <w:rPr>
      <w:szCs w:val="20"/>
    </w:rPr>
  </w:style>
  <w:style w:type="paragraph" w:customStyle="1" w:styleId="15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2">
    <w:name w:val="style11"/>
    <w:qFormat/>
    <w:uiPriority w:val="0"/>
    <w:rPr>
      <w:b/>
      <w:bCs/>
      <w:color w:val="FF0000"/>
    </w:rPr>
  </w:style>
  <w:style w:type="character" w:customStyle="1" w:styleId="153">
    <w:name w:val="info"/>
    <w:basedOn w:val="48"/>
    <w:qFormat/>
    <w:uiPriority w:val="0"/>
  </w:style>
  <w:style w:type="paragraph" w:customStyle="1" w:styleId="154">
    <w:name w:val="样式 正文缩进 + 首行缩进:  2 字符"/>
    <w:basedOn w:val="7"/>
    <w:link w:val="155"/>
    <w:qFormat/>
    <w:uiPriority w:val="0"/>
    <w:pPr>
      <w:spacing w:line="360" w:lineRule="auto"/>
      <w:ind w:firstLine="480"/>
    </w:pPr>
    <w:rPr>
      <w:rFonts w:ascii="宋体" w:hAnsi="宋体"/>
      <w:color w:val="000000"/>
      <w:kern w:val="0"/>
      <w:sz w:val="24"/>
      <w:szCs w:val="20"/>
    </w:rPr>
  </w:style>
  <w:style w:type="character" w:customStyle="1" w:styleId="155">
    <w:name w:val="样式 正文缩进 + 首行缩进:  2 字符 Char"/>
    <w:link w:val="154"/>
    <w:qFormat/>
    <w:locked/>
    <w:uiPriority w:val="0"/>
    <w:rPr>
      <w:rFonts w:ascii="宋体" w:hAnsi="宋体" w:eastAsia="宋体"/>
      <w:color w:val="000000"/>
      <w:sz w:val="24"/>
      <w:lang w:bidi="ar-SA"/>
    </w:rPr>
  </w:style>
  <w:style w:type="paragraph" w:customStyle="1" w:styleId="156">
    <w:name w:val="正文2"/>
    <w:basedOn w:val="1"/>
    <w:link w:val="157"/>
    <w:qFormat/>
    <w:uiPriority w:val="0"/>
    <w:pPr>
      <w:spacing w:before="156" w:line="360" w:lineRule="auto"/>
      <w:ind w:firstLine="510" w:firstLineChars="200"/>
    </w:pPr>
    <w:rPr>
      <w:sz w:val="24"/>
      <w:szCs w:val="20"/>
    </w:rPr>
  </w:style>
  <w:style w:type="character" w:customStyle="1" w:styleId="157">
    <w:name w:val="正文2 Char"/>
    <w:link w:val="156"/>
    <w:qFormat/>
    <w:uiPriority w:val="0"/>
    <w:rPr>
      <w:rFonts w:eastAsia="宋体"/>
      <w:kern w:val="2"/>
      <w:sz w:val="24"/>
      <w:lang w:val="en-US" w:eastAsia="zh-CN" w:bidi="ar-SA"/>
    </w:rPr>
  </w:style>
  <w:style w:type="paragraph" w:customStyle="1" w:styleId="158">
    <w:name w:val="p0"/>
    <w:basedOn w:val="1"/>
    <w:qFormat/>
    <w:uiPriority w:val="0"/>
    <w:pPr>
      <w:widowControl/>
    </w:pPr>
    <w:rPr>
      <w:kern w:val="0"/>
      <w:szCs w:val="21"/>
    </w:rPr>
  </w:style>
  <w:style w:type="character" w:customStyle="1" w:styleId="159">
    <w:name w:val="param-name"/>
    <w:basedOn w:val="48"/>
    <w:qFormat/>
    <w:uiPriority w:val="0"/>
  </w:style>
  <w:style w:type="character" w:customStyle="1" w:styleId="160">
    <w:name w:val="日期 Char"/>
    <w:qFormat/>
    <w:uiPriority w:val="99"/>
    <w:rPr>
      <w:rFonts w:ascii="楷体_GB2312" w:eastAsia="楷体_GB2312"/>
      <w:b/>
      <w:kern w:val="2"/>
      <w:sz w:val="28"/>
      <w:lang w:val="en-US" w:eastAsia="zh-CN" w:bidi="ar-SA"/>
    </w:rPr>
  </w:style>
  <w:style w:type="character" w:customStyle="1" w:styleId="161">
    <w:name w:val="标题 4 Char"/>
    <w:qFormat/>
    <w:uiPriority w:val="9"/>
    <w:rPr>
      <w:rFonts w:ascii="Arial" w:hAnsi="Arial" w:eastAsia="黑体"/>
      <w:b/>
      <w:kern w:val="2"/>
      <w:sz w:val="28"/>
      <w:lang w:val="en-US" w:eastAsia="zh-CN" w:bidi="ar-SA"/>
    </w:rPr>
  </w:style>
  <w:style w:type="character" w:customStyle="1" w:styleId="162">
    <w:name w:val="标题 6 Char"/>
    <w:qFormat/>
    <w:uiPriority w:val="0"/>
    <w:rPr>
      <w:rFonts w:ascii="宋体" w:hAnsi="Arial" w:eastAsia="宋体"/>
      <w:sz w:val="24"/>
      <w:lang w:val="en-US" w:eastAsia="zh-CN" w:bidi="ar-SA"/>
    </w:rPr>
  </w:style>
  <w:style w:type="character" w:customStyle="1" w:styleId="163">
    <w:name w:val="标题 8 Char"/>
    <w:qFormat/>
    <w:uiPriority w:val="0"/>
    <w:rPr>
      <w:rFonts w:ascii="Arial" w:hAnsi="Arial" w:eastAsia="黑体"/>
      <w:sz w:val="24"/>
      <w:lang w:val="en-US" w:eastAsia="zh-CN" w:bidi="ar-SA"/>
    </w:rPr>
  </w:style>
  <w:style w:type="character" w:customStyle="1" w:styleId="164">
    <w:name w:val="标题 9 Char"/>
    <w:qFormat/>
    <w:uiPriority w:val="0"/>
    <w:rPr>
      <w:rFonts w:ascii="Arial" w:hAnsi="Arial" w:eastAsia="黑体"/>
      <w:sz w:val="24"/>
      <w:lang w:val="en-US" w:eastAsia="zh-CN" w:bidi="ar-SA"/>
    </w:rPr>
  </w:style>
  <w:style w:type="character" w:customStyle="1" w:styleId="165">
    <w:name w:val="标题 5 Char"/>
    <w:qFormat/>
    <w:uiPriority w:val="0"/>
    <w:rPr>
      <w:rFonts w:eastAsia="宋体"/>
      <w:sz w:val="24"/>
      <w:lang w:val="en-US" w:eastAsia="zh-CN" w:bidi="ar-SA"/>
    </w:rPr>
  </w:style>
  <w:style w:type="character" w:customStyle="1" w:styleId="166">
    <w:name w:val="正文文本 Char"/>
    <w:qFormat/>
    <w:locked/>
    <w:uiPriority w:val="0"/>
    <w:rPr>
      <w:rFonts w:eastAsia="仿宋_GB2312"/>
      <w:kern w:val="2"/>
      <w:sz w:val="28"/>
      <w:szCs w:val="24"/>
      <w:lang w:val="en-US" w:eastAsia="zh-CN" w:bidi="ar-SA"/>
    </w:rPr>
  </w:style>
  <w:style w:type="character" w:customStyle="1" w:styleId="167">
    <w:name w:val="正文文本缩进 2 Char"/>
    <w:qFormat/>
    <w:locked/>
    <w:uiPriority w:val="99"/>
    <w:rPr>
      <w:rFonts w:eastAsia="宋体"/>
      <w:kern w:val="2"/>
      <w:sz w:val="21"/>
      <w:szCs w:val="24"/>
      <w:lang w:val="en-US" w:eastAsia="zh-CN" w:bidi="ar-SA"/>
    </w:rPr>
  </w:style>
  <w:style w:type="character" w:customStyle="1" w:styleId="168">
    <w:name w:val="正文文本 2 Char"/>
    <w:qFormat/>
    <w:uiPriority w:val="99"/>
    <w:rPr>
      <w:rFonts w:ascii="隶书" w:eastAsia="隶书"/>
      <w:bCs/>
      <w:sz w:val="72"/>
      <w:szCs w:val="84"/>
      <w:lang w:val="en-US" w:eastAsia="zh-CN" w:bidi="ar-SA"/>
    </w:rPr>
  </w:style>
  <w:style w:type="character" w:customStyle="1" w:styleId="169">
    <w:name w:val="标题 7 Char"/>
    <w:qFormat/>
    <w:uiPriority w:val="0"/>
    <w:rPr>
      <w:rFonts w:ascii="宋体" w:hAnsi="Arial" w:eastAsia="宋体"/>
      <w:b/>
      <w:sz w:val="24"/>
      <w:lang w:val="en-US" w:eastAsia="zh-CN" w:bidi="ar-SA"/>
    </w:rPr>
  </w:style>
  <w:style w:type="character" w:customStyle="1" w:styleId="170">
    <w:name w:val="页眉 Char"/>
    <w:qFormat/>
    <w:uiPriority w:val="99"/>
    <w:rPr>
      <w:rFonts w:eastAsia="宋体"/>
      <w:kern w:val="2"/>
      <w:sz w:val="18"/>
      <w:szCs w:val="18"/>
      <w:lang w:val="en-US" w:eastAsia="zh-CN" w:bidi="ar-SA"/>
    </w:rPr>
  </w:style>
  <w:style w:type="character" w:customStyle="1" w:styleId="171">
    <w:name w:val="批注文字 Char"/>
    <w:qFormat/>
    <w:uiPriority w:val="99"/>
    <w:rPr>
      <w:rFonts w:eastAsia="宋体"/>
      <w:kern w:val="2"/>
      <w:sz w:val="21"/>
      <w:szCs w:val="24"/>
      <w:lang w:val="en-US" w:eastAsia="zh-CN" w:bidi="ar-SA"/>
    </w:rPr>
  </w:style>
  <w:style w:type="character" w:customStyle="1" w:styleId="172">
    <w:name w:val="汇视源正文 Char"/>
    <w:link w:val="173"/>
    <w:qFormat/>
    <w:uiPriority w:val="0"/>
    <w:rPr>
      <w:rFonts w:cs="宋体"/>
      <w:kern w:val="2"/>
      <w:sz w:val="24"/>
      <w:lang w:val="en-US" w:eastAsia="zh-CN" w:bidi="ar-SA"/>
    </w:rPr>
  </w:style>
  <w:style w:type="paragraph" w:customStyle="1" w:styleId="173">
    <w:name w:val="汇视源正文"/>
    <w:link w:val="17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4">
    <w:name w:val="样式 列表编号 + 段后: 0.5 行"/>
    <w:basedOn w:val="17"/>
    <w:qFormat/>
    <w:uiPriority w:val="0"/>
    <w:pPr>
      <w:tabs>
        <w:tab w:val="left" w:pos="840"/>
      </w:tabs>
      <w:spacing w:afterLines="0"/>
      <w:ind w:left="425" w:hanging="425"/>
    </w:pPr>
    <w:rPr>
      <w:rFonts w:cs="宋体"/>
    </w:rPr>
  </w:style>
  <w:style w:type="paragraph" w:customStyle="1" w:styleId="17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6">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7">
    <w:name w:val="标题 Char"/>
    <w:link w:val="43"/>
    <w:qFormat/>
    <w:locked/>
    <w:uiPriority w:val="0"/>
    <w:rPr>
      <w:rFonts w:ascii="Calibri Light" w:hAnsi="Calibri Light" w:eastAsia="宋体"/>
      <w:b/>
      <w:bCs/>
      <w:kern w:val="2"/>
      <w:sz w:val="32"/>
      <w:szCs w:val="32"/>
      <w:lang w:val="en-US" w:eastAsia="zh-CN" w:bidi="ar-SA"/>
    </w:rPr>
  </w:style>
  <w:style w:type="character" w:customStyle="1" w:styleId="178">
    <w:name w:val="Date Char"/>
    <w:qFormat/>
    <w:locked/>
    <w:uiPriority w:val="0"/>
    <w:rPr>
      <w:rFonts w:ascii="宋体"/>
      <w:sz w:val="21"/>
      <w:lang w:val="zh-CN"/>
    </w:rPr>
  </w:style>
  <w:style w:type="character" w:customStyle="1" w:styleId="179">
    <w:name w:val="Normal Indent Char"/>
    <w:qFormat/>
    <w:locked/>
    <w:uiPriority w:val="0"/>
    <w:rPr>
      <w:rFonts w:ascii="宋体" w:eastAsia="宋体"/>
      <w:snapToGrid w:val="0"/>
      <w:color w:val="000000"/>
      <w:kern w:val="28"/>
      <w:sz w:val="28"/>
    </w:rPr>
  </w:style>
  <w:style w:type="character" w:customStyle="1" w:styleId="180">
    <w:name w:val="Plain Text Char"/>
    <w:qFormat/>
    <w:locked/>
    <w:uiPriority w:val="0"/>
    <w:rPr>
      <w:rFonts w:ascii="宋体" w:hAnsi="Courier New" w:eastAsia="宋体"/>
      <w:snapToGrid w:val="0"/>
      <w:sz w:val="21"/>
    </w:rPr>
  </w:style>
  <w:style w:type="character" w:customStyle="1" w:styleId="181">
    <w:name w:val="日期 Char1"/>
    <w:qFormat/>
    <w:uiPriority w:val="0"/>
    <w:rPr>
      <w:rFonts w:ascii="Times New Roman" w:hAnsi="Times New Roman" w:eastAsia="宋体" w:cs="Times New Roman"/>
      <w:sz w:val="24"/>
      <w:szCs w:val="24"/>
    </w:rPr>
  </w:style>
  <w:style w:type="character" w:customStyle="1" w:styleId="182">
    <w:name w:val="纯文本 Char1"/>
    <w:qFormat/>
    <w:uiPriority w:val="99"/>
    <w:rPr>
      <w:rFonts w:ascii="宋体" w:hAnsi="Courier New" w:eastAsia="宋体" w:cs="Courier New"/>
      <w:sz w:val="21"/>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3"/>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8"/>
    <w:link w:val="30"/>
    <w:qFormat/>
    <w:uiPriority w:val="99"/>
    <w:rPr>
      <w:kern w:val="2"/>
      <w:sz w:val="18"/>
      <w:szCs w:val="18"/>
    </w:rPr>
  </w:style>
  <w:style w:type="character" w:customStyle="1" w:styleId="201">
    <w:name w:val="正文文本缩进 3 Char"/>
    <w:basedOn w:val="48"/>
    <w:link w:val="36"/>
    <w:qFormat/>
    <w:uiPriority w:val="0"/>
    <w:rPr>
      <w:kern w:val="2"/>
      <w:sz w:val="16"/>
      <w:szCs w:val="16"/>
    </w:rPr>
  </w:style>
  <w:style w:type="character" w:customStyle="1" w:styleId="202">
    <w:name w:val="HTML 预设格式 Char"/>
    <w:basedOn w:val="48"/>
    <w:link w:val="40"/>
    <w:qFormat/>
    <w:uiPriority w:val="0"/>
    <w:rPr>
      <w:rFonts w:ascii="黑体" w:hAnsi="Courier New" w:eastAsia="黑体" w:cs="Courier New"/>
    </w:rPr>
  </w:style>
  <w:style w:type="character" w:customStyle="1" w:styleId="203">
    <w:name w:val="批注主题 Char"/>
    <w:basedOn w:val="171"/>
    <w:link w:val="44"/>
    <w:qFormat/>
    <w:uiPriority w:val="99"/>
    <w:rPr>
      <w:rFonts w:eastAsia="宋体"/>
      <w:b/>
      <w:bCs/>
      <w:kern w:val="2"/>
      <w:sz w:val="24"/>
      <w:szCs w:val="24"/>
      <w:lang w:val="en-US" w:eastAsia="zh-CN" w:bidi="ar-SA"/>
    </w:rPr>
  </w:style>
  <w:style w:type="character" w:customStyle="1" w:styleId="204">
    <w:name w:val="正文首行缩进 Char"/>
    <w:basedOn w:val="166"/>
    <w:link w:val="2"/>
    <w:qFormat/>
    <w:uiPriority w:val="0"/>
    <w:rPr>
      <w:rFonts w:eastAsia="仿宋_GB2312"/>
      <w:kern w:val="2"/>
      <w:sz w:val="21"/>
      <w:szCs w:val="24"/>
      <w:lang w:val="en-US" w:eastAsia="zh-CN" w:bidi="ar-SA"/>
    </w:rPr>
  </w:style>
  <w:style w:type="character" w:customStyle="1" w:styleId="205">
    <w:name w:val="正文首行缩进 2 Char"/>
    <w:basedOn w:val="68"/>
    <w:link w:val="45"/>
    <w:qFormat/>
    <w:uiPriority w:val="99"/>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99"/>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8"/>
    <w:qFormat/>
    <w:uiPriority w:val="0"/>
    <w:rPr>
      <w:rFonts w:hint="eastAsia" w:ascii="宋体" w:hAnsi="宋体" w:eastAsia="宋体" w:cs="宋体"/>
      <w:color w:val="000000"/>
      <w:sz w:val="22"/>
      <w:szCs w:val="22"/>
      <w:u w:val="none"/>
    </w:rPr>
  </w:style>
  <w:style w:type="character" w:customStyle="1" w:styleId="268">
    <w:name w:val="font11"/>
    <w:basedOn w:val="48"/>
    <w:qFormat/>
    <w:uiPriority w:val="0"/>
    <w:rPr>
      <w:rFonts w:hint="eastAsia" w:ascii="宋体" w:hAnsi="宋体" w:eastAsia="宋体" w:cs="宋体"/>
      <w:color w:val="FF0000"/>
      <w:sz w:val="22"/>
      <w:szCs w:val="22"/>
      <w:u w:val="none"/>
    </w:rPr>
  </w:style>
  <w:style w:type="character" w:customStyle="1" w:styleId="269">
    <w:name w:val="font41"/>
    <w:basedOn w:val="48"/>
    <w:qFormat/>
    <w:uiPriority w:val="0"/>
    <w:rPr>
      <w:rFonts w:hint="default" w:ascii="等线" w:hAnsi="等线" w:eastAsia="等线" w:cs="等线"/>
      <w:color w:val="FF0000"/>
      <w:sz w:val="22"/>
      <w:szCs w:val="22"/>
      <w:u w:val="none"/>
    </w:rPr>
  </w:style>
  <w:style w:type="character" w:customStyle="1" w:styleId="270">
    <w:name w:val="font21"/>
    <w:basedOn w:val="48"/>
    <w:qFormat/>
    <w:uiPriority w:val="0"/>
    <w:rPr>
      <w:rFonts w:hint="default" w:ascii="等线" w:hAnsi="等线" w:eastAsia="等线" w:cs="等线"/>
      <w:color w:val="000000"/>
      <w:sz w:val="22"/>
      <w:szCs w:val="22"/>
      <w:u w:val="none"/>
    </w:rPr>
  </w:style>
  <w:style w:type="character" w:customStyle="1" w:styleId="271">
    <w:name w:val="font51"/>
    <w:basedOn w:val="48"/>
    <w:qFormat/>
    <w:uiPriority w:val="0"/>
    <w:rPr>
      <w:rFonts w:hint="default" w:ascii="等线" w:hAnsi="等线" w:eastAsia="等线" w:cs="等线"/>
      <w:color w:val="FF0000"/>
      <w:sz w:val="22"/>
      <w:szCs w:val="22"/>
      <w:u w:val="none"/>
    </w:rPr>
  </w:style>
  <w:style w:type="character" w:customStyle="1" w:styleId="272">
    <w:name w:val="font61"/>
    <w:basedOn w:val="48"/>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8"/>
    <w:semiHidden/>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8"/>
    <w:qFormat/>
    <w:uiPriority w:val="0"/>
  </w:style>
  <w:style w:type="paragraph" w:customStyle="1" w:styleId="28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82">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3">
    <w:name w:val="首行缩进"/>
    <w:basedOn w:val="1"/>
    <w:qFormat/>
    <w:uiPriority w:val="99"/>
    <w:pPr>
      <w:widowControl/>
      <w:tabs>
        <w:tab w:val="left" w:pos="0"/>
        <w:tab w:val="left" w:pos="360"/>
        <w:tab w:val="left" w:pos="822"/>
      </w:tabs>
      <w:snapToGrid w:val="0"/>
      <w:spacing w:before="40" w:after="40" w:line="300" w:lineRule="atLeast"/>
    </w:pPr>
    <w:rPr>
      <w:rFonts w:ascii="Arial" w:hAnsi="Arial"/>
    </w:rPr>
  </w:style>
  <w:style w:type="character" w:customStyle="1" w:styleId="284">
    <w:name w:val="内容序号（N） Char"/>
    <w:link w:val="285"/>
    <w:qFormat/>
    <w:uiPriority w:val="0"/>
    <w:rPr>
      <w:rFonts w:ascii="宋体" w:hAnsi="宋体"/>
      <w:sz w:val="24"/>
      <w:szCs w:val="28"/>
    </w:rPr>
  </w:style>
  <w:style w:type="paragraph" w:customStyle="1" w:styleId="285">
    <w:name w:val="内容序号（N）"/>
    <w:basedOn w:val="92"/>
    <w:link w:val="284"/>
    <w:qFormat/>
    <w:uiPriority w:val="0"/>
    <w:pPr>
      <w:widowControl w:val="0"/>
      <w:tabs>
        <w:tab w:val="left" w:pos="1134"/>
      </w:tabs>
      <w:spacing w:after="0" w:line="360" w:lineRule="auto"/>
      <w:ind w:left="0"/>
      <w:contextualSpacing w:val="0"/>
      <w:jc w:val="both"/>
    </w:pPr>
    <w:rPr>
      <w:rFonts w:ascii="宋体" w:hAnsi="宋体"/>
      <w:sz w:val="24"/>
      <w:szCs w:val="28"/>
    </w:rPr>
  </w:style>
  <w:style w:type="character" w:customStyle="1" w:styleId="286">
    <w:name w:val="font121"/>
    <w:qFormat/>
    <w:uiPriority w:val="0"/>
    <w:rPr>
      <w:rFonts w:hint="eastAsia" w:ascii="宋体" w:hAnsi="宋体" w:eastAsia="宋体" w:cs="宋体"/>
      <w:color w:val="000000"/>
      <w:sz w:val="24"/>
      <w:szCs w:val="24"/>
      <w:u w:val="none"/>
    </w:rPr>
  </w:style>
  <w:style w:type="character" w:customStyle="1" w:styleId="287">
    <w:name w:val="纯文本 字符"/>
    <w:qFormat/>
    <w:uiPriority w:val="0"/>
    <w:rPr>
      <w:rFonts w:ascii="宋体" w:hAnsi="Courier New"/>
      <w:kern w:val="2"/>
      <w:sz w:val="21"/>
    </w:rPr>
  </w:style>
  <w:style w:type="character" w:customStyle="1" w:styleId="288">
    <w:name w:val="正文文本缩进 2 字符"/>
    <w:qFormat/>
    <w:uiPriority w:val="0"/>
    <w:rPr>
      <w:rFonts w:ascii="Times New Roman" w:hAnsi="Times New Roman"/>
      <w:color w:val="FF0000"/>
      <w:kern w:val="2"/>
      <w:sz w:val="24"/>
      <w:szCs w:val="24"/>
    </w:rPr>
  </w:style>
  <w:style w:type="paragraph" w:styleId="289">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0">
    <w:name w:val="Bullet - Table LeveL 2"/>
    <w:basedOn w:val="1"/>
    <w:qFormat/>
    <w:uiPriority w:val="0"/>
    <w:pPr>
      <w:numPr>
        <w:ilvl w:val="0"/>
        <w:numId w:val="5"/>
      </w:numPr>
      <w:ind w:firstLine="0"/>
    </w:pPr>
    <w:rPr>
      <w:rFonts w:ascii="Arial" w:hAnsi="Arial" w:eastAsia="PMingLiU"/>
      <w:kern w:val="0"/>
      <w:sz w:val="20"/>
      <w:szCs w:val="20"/>
      <w:lang w:eastAsia="en-US"/>
    </w:rPr>
  </w:style>
  <w:style w:type="paragraph" w:customStyle="1" w:styleId="291">
    <w:name w:val="文本正文"/>
    <w:basedOn w:val="1"/>
    <w:qFormat/>
    <w:uiPriority w:val="0"/>
    <w:pPr>
      <w:spacing w:before="156" w:after="156" w:line="360" w:lineRule="auto"/>
      <w:ind w:firstLine="480"/>
    </w:pPr>
    <w:rPr>
      <w:color w:val="000000"/>
    </w:rPr>
  </w:style>
  <w:style w:type="paragraph" w:customStyle="1" w:styleId="292">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293">
    <w:name w:val="正文首行缩进 21"/>
    <w:basedOn w:val="1"/>
    <w:qFormat/>
    <w:uiPriority w:val="0"/>
    <w:pPr>
      <w:spacing w:after="120"/>
      <w:ind w:left="420" w:leftChars="200" w:firstLine="420"/>
    </w:pPr>
    <w:rPr>
      <w:rFonts w:cs="宋体"/>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01906-8559-4B62-A2B2-E788CC5F42E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37291</Words>
  <Characters>39860</Characters>
  <Lines>308</Lines>
  <Paragraphs>86</Paragraphs>
  <TotalTime>2</TotalTime>
  <ScaleCrop>false</ScaleCrop>
  <LinksUpToDate>false</LinksUpToDate>
  <CharactersWithSpaces>41936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2022-07-08T08:06:00Z</dcterms:created>
  <dc:creator>USER</dc:creator>
  <cp:lastModifiedBy>Administrator</cp:lastModifiedBy>
  <cp:lastPrinted>2022-07-08T03:32:00Z</cp:lastPrinted>
  <dcterms:modified xsi:type="dcterms:W3CDTF">2022-07-12T02:17:32Z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29ECF0030B7745C88244DE9D3547DE90</vt:lpwstr>
  </property>
</Properties>
</file>