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rPr>
      </w:pPr>
      <w:bookmarkStart w:id="276" w:name="_GoBack"/>
      <w:bookmarkEnd w:id="276"/>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center"/>
        <w:rPr>
          <w:rFonts w:hint="eastAsia" w:ascii="方正小标宋简体" w:eastAsia="方正小标宋简体"/>
          <w:b/>
          <w:bCs/>
          <w:sz w:val="44"/>
          <w:szCs w:val="44"/>
        </w:rPr>
      </w:pPr>
      <w:r>
        <w:rPr>
          <w:rFonts w:hint="eastAsia" w:ascii="方正小标宋简体" w:eastAsia="方正小标宋简体"/>
          <w:b/>
          <w:bCs/>
          <w:color w:val="000000"/>
          <w:sz w:val="44"/>
          <w:szCs w:val="44"/>
        </w:rPr>
        <w:t>嵊州市雪亮工程之应急无线通信系统项目</w:t>
      </w:r>
    </w:p>
    <w:p>
      <w:pPr>
        <w:jc w:val="center"/>
        <w:rPr>
          <w:rFonts w:hint="eastAsia"/>
          <w:sz w:val="36"/>
        </w:rPr>
      </w:pPr>
      <w:r>
        <w:rPr>
          <w:rFonts w:hint="eastAsia"/>
          <w:b/>
          <w:sz w:val="36"/>
        </w:rPr>
        <w:t xml:space="preserve">   </w:t>
      </w:r>
      <w:r>
        <w:rPr>
          <w:rFonts w:hint="eastAsia"/>
          <w:sz w:val="36"/>
        </w:rPr>
        <w:t>（政府采购SZC2019-11）</w:t>
      </w:r>
    </w:p>
    <w:p>
      <w:pPr>
        <w:spacing w:line="180" w:lineRule="atLeast"/>
        <w:ind w:left="1953" w:leftChars="-203" w:right="-1" w:hanging="2440" w:hangingChars="678"/>
        <w:jc w:val="center"/>
        <w:rPr>
          <w:rFonts w:hint="eastAsia"/>
          <w:sz w:val="36"/>
        </w:rPr>
      </w:pPr>
    </w:p>
    <w:p>
      <w:pPr>
        <w:jc w:val="center"/>
        <w:rPr>
          <w:rFonts w:hint="eastAsia"/>
          <w:sz w:val="44"/>
        </w:rPr>
      </w:pPr>
    </w:p>
    <w:p>
      <w:pPr>
        <w:jc w:val="center"/>
        <w:rPr>
          <w:rFonts w:hint="eastAsia"/>
          <w:b/>
          <w:w w:val="150"/>
          <w:sz w:val="44"/>
        </w:rPr>
      </w:pPr>
      <w:r>
        <w:rPr>
          <w:rFonts w:hint="eastAsia" w:eastAsia="隶书"/>
          <w:b/>
          <w:w w:val="150"/>
          <w:sz w:val="44"/>
        </w:rPr>
        <w:t>招</w:t>
      </w:r>
    </w:p>
    <w:p>
      <w:pPr>
        <w:jc w:val="center"/>
        <w:rPr>
          <w:rFonts w:hint="eastAsia"/>
          <w:sz w:val="44"/>
        </w:rPr>
      </w:pPr>
    </w:p>
    <w:p>
      <w:pPr>
        <w:jc w:val="center"/>
        <w:rPr>
          <w:rFonts w:hint="eastAsia" w:eastAsia="隶书"/>
          <w:sz w:val="44"/>
        </w:rPr>
      </w:pPr>
      <w:r>
        <w:rPr>
          <w:rFonts w:hint="eastAsia" w:eastAsia="隶书"/>
          <w:b/>
          <w:w w:val="150"/>
          <w:sz w:val="44"/>
        </w:rPr>
        <w:t>标</w:t>
      </w:r>
    </w:p>
    <w:p>
      <w:pPr>
        <w:jc w:val="center"/>
        <w:rPr>
          <w:sz w:val="44"/>
        </w:rPr>
      </w:pPr>
    </w:p>
    <w:p>
      <w:pPr>
        <w:jc w:val="center"/>
        <w:rPr>
          <w:rFonts w:hint="eastAsia" w:eastAsia="隶书"/>
          <w:b/>
          <w:sz w:val="44"/>
        </w:rPr>
      </w:pPr>
      <w:r>
        <w:rPr>
          <w:rFonts w:hint="eastAsia" w:eastAsia="隶书"/>
          <w:b/>
          <w:w w:val="150"/>
          <w:sz w:val="44"/>
        </w:rPr>
        <w:t>文</w:t>
      </w:r>
    </w:p>
    <w:p>
      <w:pPr>
        <w:jc w:val="center"/>
        <w:rPr>
          <w:sz w:val="44"/>
        </w:rPr>
      </w:pPr>
    </w:p>
    <w:p>
      <w:pPr>
        <w:jc w:val="center"/>
        <w:rPr>
          <w:rFonts w:hint="eastAsia"/>
          <w:sz w:val="44"/>
        </w:rPr>
      </w:pPr>
      <w:r>
        <w:rPr>
          <w:rFonts w:hint="eastAsia" w:eastAsia="隶书"/>
          <w:b/>
          <w:w w:val="150"/>
          <w:sz w:val="44"/>
        </w:rPr>
        <w:t>件</w:t>
      </w:r>
    </w:p>
    <w:p>
      <w:pPr>
        <w:jc w:val="center"/>
        <w:rPr>
          <w:rFonts w:hint="eastAsia"/>
          <w:sz w:val="44"/>
        </w:rPr>
      </w:pPr>
    </w:p>
    <w:p>
      <w:pPr>
        <w:rPr>
          <w:rFonts w:hint="eastAsia"/>
          <w:sz w:val="44"/>
        </w:rPr>
      </w:pPr>
    </w:p>
    <w:p>
      <w:pPr>
        <w:spacing w:line="360" w:lineRule="auto"/>
        <w:jc w:val="center"/>
        <w:rPr>
          <w:rFonts w:hint="eastAsia" w:ascii="楷体_GB2312" w:eastAsia="楷体_GB2312"/>
          <w:b/>
          <w:sz w:val="36"/>
        </w:rPr>
      </w:pPr>
      <w:r>
        <w:rPr>
          <w:rFonts w:hint="eastAsia" w:ascii="楷体_GB2312" w:eastAsia="楷体_GB2312"/>
          <w:b/>
          <w:sz w:val="36"/>
        </w:rPr>
        <w:t>嵊州市公共资源交易中心</w:t>
      </w:r>
    </w:p>
    <w:p>
      <w:pPr>
        <w:spacing w:line="360" w:lineRule="auto"/>
        <w:jc w:val="center"/>
        <w:rPr>
          <w:rFonts w:hint="eastAsia" w:ascii="楷体_GB2312" w:eastAsia="楷体_GB2312"/>
          <w:b/>
          <w:sz w:val="36"/>
        </w:rPr>
      </w:pPr>
      <w:r>
        <w:rPr>
          <w:rFonts w:hint="eastAsia" w:ascii="楷体_GB2312" w:eastAsia="楷体_GB2312"/>
          <w:b/>
          <w:sz w:val="36"/>
        </w:rPr>
        <w:t>嵊州市公安局</w:t>
      </w:r>
    </w:p>
    <w:p>
      <w:pPr>
        <w:spacing w:line="360" w:lineRule="auto"/>
        <w:jc w:val="center"/>
        <w:rPr>
          <w:rFonts w:hint="eastAsia" w:ascii="楷体_GB2312" w:eastAsia="楷体_GB2312"/>
          <w:b/>
          <w:sz w:val="36"/>
        </w:rPr>
      </w:pPr>
    </w:p>
    <w:p>
      <w:pPr>
        <w:spacing w:line="360" w:lineRule="auto"/>
        <w:jc w:val="center"/>
        <w:rPr>
          <w:rFonts w:hint="eastAsia" w:ascii="楷体_GB2312" w:eastAsia="楷体_GB2312"/>
          <w:b/>
          <w:sz w:val="36"/>
        </w:rPr>
      </w:pPr>
      <w:r>
        <w:rPr>
          <w:rFonts w:hint="eastAsia" w:ascii="楷体_GB2312" w:eastAsia="楷体_GB2312"/>
          <w:b/>
          <w:sz w:val="36"/>
        </w:rPr>
        <w:t>2019年5月</w:t>
      </w:r>
    </w:p>
    <w:p>
      <w:pPr>
        <w:spacing w:line="360" w:lineRule="auto"/>
        <w:jc w:val="center"/>
        <w:rPr>
          <w:rFonts w:hint="eastAsia" w:ascii="楷体_GB2312" w:eastAsia="楷体_GB2312"/>
          <w:b/>
          <w:sz w:val="36"/>
        </w:rPr>
      </w:pPr>
    </w:p>
    <w:p>
      <w:pPr>
        <w:spacing w:line="360" w:lineRule="auto"/>
        <w:jc w:val="center"/>
        <w:rPr>
          <w:rFonts w:hint="eastAsia" w:ascii="楷体_GB2312" w:eastAsia="楷体_GB2312"/>
          <w:b/>
          <w:sz w:val="36"/>
        </w:rPr>
      </w:pPr>
    </w:p>
    <w:p>
      <w:pPr>
        <w:tabs>
          <w:tab w:val="left" w:pos="6675"/>
        </w:tabs>
        <w:jc w:val="center"/>
        <w:rPr>
          <w:b/>
        </w:rPr>
      </w:pPr>
      <w:r>
        <w:rPr>
          <w:b/>
          <w:sz w:val="36"/>
          <w:szCs w:val="36"/>
        </w:rPr>
        <w:t>目   录</w:t>
      </w:r>
    </w:p>
    <w:p>
      <w:pPr>
        <w:pStyle w:val="54"/>
        <w:tabs>
          <w:tab w:val="right" w:leader="dot" w:pos="8495"/>
        </w:tabs>
        <w:rPr>
          <w:sz w:val="28"/>
          <w:szCs w:val="28"/>
          <w:lang/>
        </w:rPr>
      </w:pPr>
      <w:r>
        <w:fldChar w:fldCharType="begin"/>
      </w:r>
      <w:r>
        <w:instrText xml:space="preserve"> TOC \o "1-3" \h \z \u </w:instrText>
      </w:r>
      <w:r>
        <w:fldChar w:fldCharType="separate"/>
      </w:r>
      <w:r>
        <w:rPr>
          <w:sz w:val="28"/>
          <w:szCs w:val="28"/>
          <w:lang/>
        </w:rPr>
        <w:fldChar w:fldCharType="begin"/>
      </w:r>
      <w:r>
        <w:rPr>
          <w:rStyle w:val="85"/>
          <w:sz w:val="28"/>
          <w:szCs w:val="28"/>
          <w:lang/>
        </w:rPr>
        <w:instrText xml:space="preserve"> </w:instrText>
      </w:r>
      <w:r>
        <w:rPr>
          <w:sz w:val="28"/>
          <w:szCs w:val="28"/>
          <w:lang/>
        </w:rPr>
        <w:instrText xml:space="preserve">HYPERLINK \l "_Toc528046843"</w:instrText>
      </w:r>
      <w:r>
        <w:rPr>
          <w:rStyle w:val="85"/>
          <w:sz w:val="28"/>
          <w:szCs w:val="28"/>
          <w:lang/>
        </w:rPr>
        <w:instrText xml:space="preserve"> </w:instrText>
      </w:r>
      <w:r>
        <w:rPr>
          <w:sz w:val="28"/>
          <w:szCs w:val="28"/>
          <w:lang/>
        </w:rPr>
        <w:fldChar w:fldCharType="separate"/>
      </w:r>
      <w:r>
        <w:rPr>
          <w:rStyle w:val="85"/>
          <w:rFonts w:hint="eastAsia" w:ascii="宋体" w:hAnsi="Calibri"/>
          <w:kern w:val="0"/>
          <w:sz w:val="28"/>
          <w:szCs w:val="28"/>
          <w:lang/>
        </w:rPr>
        <w:t>第一部分</w:t>
      </w:r>
      <w:r>
        <w:rPr>
          <w:rStyle w:val="85"/>
          <w:rFonts w:hint="eastAsia" w:ascii="宋体" w:hAnsi="Calibri"/>
          <w:kern w:val="0"/>
          <w:sz w:val="28"/>
          <w:szCs w:val="28"/>
          <w:lang w:val="en-US" w:eastAsia="zh-CN"/>
        </w:rPr>
        <w:t xml:space="preserve"> </w:t>
      </w:r>
      <w:r>
        <w:rPr>
          <w:rStyle w:val="85"/>
          <w:rFonts w:hint="eastAsia" w:ascii="宋体" w:hAnsi="Calibri"/>
          <w:kern w:val="0"/>
          <w:sz w:val="28"/>
          <w:szCs w:val="28"/>
          <w:lang/>
        </w:rPr>
        <w:t>招标公告</w:t>
      </w:r>
      <w:r>
        <w:rPr>
          <w:sz w:val="28"/>
          <w:szCs w:val="28"/>
          <w:lang/>
        </w:rPr>
        <w:fldChar w:fldCharType="end"/>
      </w:r>
    </w:p>
    <w:p>
      <w:pPr>
        <w:rPr>
          <w:sz w:val="28"/>
          <w:szCs w:val="28"/>
          <w:lang/>
        </w:rPr>
      </w:pPr>
    </w:p>
    <w:p>
      <w:pPr>
        <w:pStyle w:val="54"/>
        <w:tabs>
          <w:tab w:val="right" w:leader="dot" w:pos="8495"/>
        </w:tabs>
        <w:rPr>
          <w:rFonts w:ascii="Calibri" w:hAnsi="Calibri"/>
          <w:b w:val="0"/>
          <w:bCs w:val="0"/>
          <w:caps w:val="0"/>
          <w:sz w:val="28"/>
          <w:szCs w:val="28"/>
          <w:lang/>
        </w:rPr>
      </w:pPr>
      <w:r>
        <w:rPr>
          <w:sz w:val="28"/>
          <w:szCs w:val="28"/>
          <w:lang/>
        </w:rPr>
        <w:fldChar w:fldCharType="begin"/>
      </w:r>
      <w:r>
        <w:rPr>
          <w:rStyle w:val="85"/>
          <w:sz w:val="28"/>
          <w:szCs w:val="28"/>
          <w:lang/>
        </w:rPr>
        <w:instrText xml:space="preserve"> </w:instrText>
      </w:r>
      <w:r>
        <w:rPr>
          <w:sz w:val="28"/>
          <w:szCs w:val="28"/>
          <w:lang/>
        </w:rPr>
        <w:instrText xml:space="preserve">HYPERLINK \l "_Toc528046844"</w:instrText>
      </w:r>
      <w:r>
        <w:rPr>
          <w:rStyle w:val="85"/>
          <w:sz w:val="28"/>
          <w:szCs w:val="28"/>
          <w:lang/>
        </w:rPr>
        <w:instrText xml:space="preserve"> </w:instrText>
      </w:r>
      <w:r>
        <w:rPr>
          <w:sz w:val="28"/>
          <w:szCs w:val="28"/>
          <w:lang/>
        </w:rPr>
        <w:fldChar w:fldCharType="separate"/>
      </w:r>
      <w:r>
        <w:rPr>
          <w:rStyle w:val="85"/>
          <w:rFonts w:hint="eastAsia" w:ascii="宋体" w:hAnsi="Calibri"/>
          <w:kern w:val="0"/>
          <w:sz w:val="28"/>
          <w:szCs w:val="28"/>
          <w:lang/>
        </w:rPr>
        <w:t>第二部分</w:t>
      </w:r>
      <w:r>
        <w:rPr>
          <w:rStyle w:val="85"/>
          <w:rFonts w:ascii="宋体" w:hAnsi="Calibri"/>
          <w:kern w:val="0"/>
          <w:sz w:val="28"/>
          <w:szCs w:val="28"/>
          <w:lang/>
        </w:rPr>
        <w:t xml:space="preserve"> </w:t>
      </w:r>
      <w:r>
        <w:rPr>
          <w:rStyle w:val="85"/>
          <w:rFonts w:hint="eastAsia" w:ascii="宋体" w:hAnsi="Calibri"/>
          <w:kern w:val="0"/>
          <w:sz w:val="28"/>
          <w:szCs w:val="28"/>
          <w:lang/>
        </w:rPr>
        <w:t>投标须知</w:t>
      </w:r>
      <w:r>
        <w:rPr>
          <w:sz w:val="28"/>
          <w:szCs w:val="28"/>
          <w:lang/>
        </w:rPr>
        <w:fldChar w:fldCharType="end"/>
      </w:r>
    </w:p>
    <w:p>
      <w:pPr>
        <w:pStyle w:val="66"/>
        <w:tabs>
          <w:tab w:val="right" w:leader="dot" w:pos="8495"/>
        </w:tabs>
        <w:rPr>
          <w:rFonts w:ascii="Calibri" w:hAnsi="Calibri"/>
          <w:smallCaps w:val="0"/>
          <w:sz w:val="28"/>
          <w:szCs w:val="28"/>
          <w:lang/>
        </w:rPr>
      </w:pPr>
    </w:p>
    <w:p>
      <w:pPr>
        <w:pStyle w:val="54"/>
        <w:tabs>
          <w:tab w:val="right" w:leader="dot" w:pos="8495"/>
        </w:tabs>
        <w:rPr>
          <w:sz w:val="28"/>
          <w:szCs w:val="28"/>
          <w:lang/>
        </w:rPr>
      </w:pPr>
      <w:r>
        <w:rPr>
          <w:sz w:val="28"/>
          <w:szCs w:val="28"/>
          <w:lang/>
        </w:rPr>
        <w:fldChar w:fldCharType="begin"/>
      </w:r>
      <w:r>
        <w:rPr>
          <w:rStyle w:val="85"/>
          <w:sz w:val="28"/>
          <w:szCs w:val="28"/>
          <w:lang/>
        </w:rPr>
        <w:instrText xml:space="preserve"> </w:instrText>
      </w:r>
      <w:r>
        <w:rPr>
          <w:sz w:val="28"/>
          <w:szCs w:val="28"/>
          <w:lang/>
        </w:rPr>
        <w:instrText xml:space="preserve">HYPERLINK \l "_Toc528046854"</w:instrText>
      </w:r>
      <w:r>
        <w:rPr>
          <w:rStyle w:val="85"/>
          <w:sz w:val="28"/>
          <w:szCs w:val="28"/>
          <w:lang/>
        </w:rPr>
        <w:instrText xml:space="preserve"> </w:instrText>
      </w:r>
      <w:r>
        <w:rPr>
          <w:sz w:val="28"/>
          <w:szCs w:val="28"/>
          <w:lang/>
        </w:rPr>
        <w:fldChar w:fldCharType="separate"/>
      </w:r>
      <w:r>
        <w:rPr>
          <w:rStyle w:val="85"/>
          <w:rFonts w:hint="eastAsia" w:ascii="宋体" w:hAnsi="Calibri"/>
          <w:kern w:val="0"/>
          <w:sz w:val="28"/>
          <w:szCs w:val="28"/>
          <w:lang/>
        </w:rPr>
        <w:t>第三部分</w:t>
      </w:r>
      <w:r>
        <w:rPr>
          <w:rStyle w:val="85"/>
          <w:rFonts w:ascii="宋体" w:hAnsi="Calibri"/>
          <w:kern w:val="0"/>
          <w:sz w:val="28"/>
          <w:szCs w:val="28"/>
          <w:lang/>
        </w:rPr>
        <w:t xml:space="preserve"> </w:t>
      </w:r>
      <w:r>
        <w:rPr>
          <w:rStyle w:val="85"/>
          <w:rFonts w:hint="eastAsia" w:ascii="宋体" w:hAnsi="Calibri"/>
          <w:kern w:val="0"/>
          <w:sz w:val="28"/>
          <w:szCs w:val="28"/>
          <w:lang/>
        </w:rPr>
        <w:t>合同文本</w:t>
      </w:r>
      <w:r>
        <w:rPr>
          <w:sz w:val="28"/>
          <w:szCs w:val="28"/>
          <w:lang/>
        </w:rPr>
        <w:fldChar w:fldCharType="end"/>
      </w:r>
    </w:p>
    <w:p>
      <w:pPr>
        <w:rPr>
          <w:lang/>
        </w:rPr>
      </w:pPr>
    </w:p>
    <w:p>
      <w:pPr>
        <w:pStyle w:val="54"/>
        <w:tabs>
          <w:tab w:val="right" w:leader="dot" w:pos="8495"/>
        </w:tabs>
        <w:rPr>
          <w:rStyle w:val="85"/>
          <w:rFonts w:hint="eastAsia" w:ascii="宋体" w:hAnsi="Calibri"/>
          <w:kern w:val="0"/>
          <w:sz w:val="28"/>
          <w:szCs w:val="28"/>
          <w:lang/>
        </w:rPr>
      </w:pPr>
      <w:r>
        <w:rPr>
          <w:rFonts w:hint="eastAsia" w:ascii="宋体" w:hAnsi="Calibri"/>
          <w:kern w:val="0"/>
          <w:sz w:val="28"/>
          <w:szCs w:val="28"/>
          <w:lang/>
        </w:rPr>
        <w:fldChar w:fldCharType="begin"/>
      </w:r>
      <w:r>
        <w:rPr>
          <w:rStyle w:val="85"/>
          <w:rFonts w:hint="eastAsia" w:ascii="宋体" w:hAnsi="Calibri"/>
          <w:kern w:val="0"/>
          <w:sz w:val="28"/>
          <w:szCs w:val="28"/>
          <w:lang/>
        </w:rPr>
        <w:instrText xml:space="preserve"> HYPERLINK \l "_Toc528046855" </w:instrText>
      </w:r>
      <w:r>
        <w:rPr>
          <w:rFonts w:hint="eastAsia" w:ascii="宋体" w:hAnsi="Calibri"/>
          <w:kern w:val="0"/>
          <w:sz w:val="28"/>
          <w:szCs w:val="28"/>
          <w:lang/>
        </w:rPr>
        <w:fldChar w:fldCharType="separate"/>
      </w:r>
      <w:r>
        <w:rPr>
          <w:rStyle w:val="85"/>
          <w:rFonts w:hint="eastAsia" w:ascii="宋体" w:hAnsi="Calibri"/>
          <w:kern w:val="0"/>
          <w:sz w:val="28"/>
          <w:szCs w:val="28"/>
          <w:lang/>
        </w:rPr>
        <w:t>第四部分 投标文件格式</w:t>
      </w:r>
      <w:r>
        <w:rPr>
          <w:rFonts w:hint="eastAsia" w:ascii="宋体" w:hAnsi="Calibri"/>
          <w:kern w:val="0"/>
          <w:sz w:val="28"/>
          <w:szCs w:val="28"/>
          <w:lang/>
        </w:rPr>
        <w:fldChar w:fldCharType="end"/>
      </w:r>
    </w:p>
    <w:p>
      <w:pPr>
        <w:pStyle w:val="54"/>
        <w:tabs>
          <w:tab w:val="right" w:leader="dot" w:pos="8495"/>
        </w:tabs>
        <w:rPr>
          <w:rStyle w:val="85"/>
          <w:rFonts w:hint="eastAsia" w:ascii="宋体" w:hAnsi="Calibri"/>
          <w:kern w:val="0"/>
          <w:sz w:val="28"/>
          <w:szCs w:val="28"/>
          <w:lang/>
        </w:rPr>
      </w:pPr>
    </w:p>
    <w:p>
      <w:pPr>
        <w:pStyle w:val="54"/>
        <w:tabs>
          <w:tab w:val="right" w:leader="dot" w:pos="8495"/>
        </w:tabs>
        <w:rPr>
          <w:rStyle w:val="85"/>
          <w:rFonts w:hint="eastAsia" w:ascii="宋体" w:hAnsi="Calibri"/>
          <w:kern w:val="0"/>
          <w:sz w:val="28"/>
          <w:szCs w:val="28"/>
          <w:lang/>
        </w:rPr>
      </w:pPr>
      <w:r>
        <w:rPr>
          <w:rFonts w:hint="eastAsia" w:ascii="宋体" w:hAnsi="Calibri"/>
          <w:kern w:val="0"/>
          <w:sz w:val="28"/>
          <w:szCs w:val="28"/>
          <w:lang/>
        </w:rPr>
        <w:fldChar w:fldCharType="begin"/>
      </w:r>
      <w:r>
        <w:rPr>
          <w:rStyle w:val="85"/>
          <w:rFonts w:hint="eastAsia" w:ascii="宋体" w:hAnsi="Calibri"/>
          <w:kern w:val="0"/>
          <w:sz w:val="28"/>
          <w:szCs w:val="28"/>
          <w:lang/>
        </w:rPr>
        <w:instrText xml:space="preserve"> HYPERLINK \l "_Toc528046871" </w:instrText>
      </w:r>
      <w:r>
        <w:rPr>
          <w:rFonts w:hint="eastAsia" w:ascii="宋体" w:hAnsi="Calibri"/>
          <w:kern w:val="0"/>
          <w:sz w:val="28"/>
          <w:szCs w:val="28"/>
          <w:lang/>
        </w:rPr>
        <w:fldChar w:fldCharType="separate"/>
      </w:r>
      <w:r>
        <w:rPr>
          <w:rStyle w:val="85"/>
          <w:rFonts w:hint="eastAsia" w:ascii="宋体" w:hAnsi="Calibri"/>
          <w:kern w:val="0"/>
          <w:sz w:val="28"/>
          <w:szCs w:val="28"/>
          <w:lang/>
        </w:rPr>
        <w:t>第五部分 评标办法</w:t>
      </w:r>
      <w:r>
        <w:rPr>
          <w:rFonts w:hint="eastAsia" w:ascii="宋体" w:hAnsi="Calibri"/>
          <w:kern w:val="0"/>
          <w:sz w:val="28"/>
          <w:szCs w:val="28"/>
          <w:lang/>
        </w:rPr>
        <w:fldChar w:fldCharType="end"/>
      </w:r>
    </w:p>
    <w:p>
      <w:pPr>
        <w:pStyle w:val="54"/>
        <w:tabs>
          <w:tab w:val="right" w:leader="dot" w:pos="8495"/>
        </w:tabs>
        <w:rPr>
          <w:rStyle w:val="85"/>
          <w:rFonts w:hint="eastAsia" w:ascii="宋体" w:hAnsi="Calibri"/>
          <w:kern w:val="0"/>
          <w:sz w:val="28"/>
          <w:szCs w:val="28"/>
          <w:lang/>
        </w:rPr>
      </w:pPr>
    </w:p>
    <w:p>
      <w:pPr>
        <w:pStyle w:val="54"/>
        <w:tabs>
          <w:tab w:val="right" w:leader="dot" w:pos="8495"/>
        </w:tabs>
        <w:rPr>
          <w:rFonts w:ascii="Calibri" w:hAnsi="Calibri"/>
          <w:b w:val="0"/>
          <w:bCs w:val="0"/>
          <w:caps w:val="0"/>
          <w:sz w:val="21"/>
          <w:szCs w:val="22"/>
          <w:lang/>
        </w:rPr>
      </w:pPr>
      <w:r>
        <w:rPr>
          <w:rFonts w:hint="eastAsia" w:ascii="宋体" w:hAnsi="Calibri"/>
          <w:kern w:val="0"/>
          <w:sz w:val="28"/>
          <w:szCs w:val="28"/>
          <w:lang/>
        </w:rPr>
        <w:fldChar w:fldCharType="begin"/>
      </w:r>
      <w:r>
        <w:rPr>
          <w:rStyle w:val="85"/>
          <w:rFonts w:hint="eastAsia" w:ascii="宋体" w:hAnsi="Calibri"/>
          <w:kern w:val="0"/>
          <w:sz w:val="28"/>
          <w:szCs w:val="28"/>
          <w:lang/>
        </w:rPr>
        <w:instrText xml:space="preserve"> HYPERLINK \l "_Toc528046876" </w:instrText>
      </w:r>
      <w:r>
        <w:rPr>
          <w:rFonts w:hint="eastAsia" w:ascii="宋体" w:hAnsi="Calibri"/>
          <w:kern w:val="0"/>
          <w:sz w:val="28"/>
          <w:szCs w:val="28"/>
          <w:lang/>
        </w:rPr>
        <w:fldChar w:fldCharType="separate"/>
      </w:r>
      <w:r>
        <w:rPr>
          <w:rStyle w:val="85"/>
          <w:rFonts w:hint="eastAsia" w:ascii="宋体" w:hAnsi="Calibri"/>
          <w:kern w:val="0"/>
          <w:sz w:val="28"/>
          <w:szCs w:val="28"/>
          <w:lang/>
        </w:rPr>
        <w:t>第六部分 招标项目说明和要求</w:t>
      </w:r>
      <w:r>
        <w:rPr>
          <w:rFonts w:hint="eastAsia" w:ascii="宋体" w:hAnsi="Calibri"/>
          <w:kern w:val="0"/>
          <w:sz w:val="28"/>
          <w:szCs w:val="28"/>
          <w:lang/>
        </w:rPr>
        <w:fldChar w:fldCharType="end"/>
      </w:r>
    </w:p>
    <w:p>
      <w:r>
        <w:rPr>
          <w:b/>
          <w:bCs/>
          <w:lang w:val="zh-CN"/>
        </w:rPr>
        <w:fldChar w:fldCharType="end"/>
      </w:r>
    </w:p>
    <w:p>
      <w:pPr>
        <w:tabs>
          <w:tab w:val="left" w:pos="5843"/>
        </w:tabs>
        <w:rPr>
          <w:rFonts w:hint="eastAsia"/>
        </w:rPr>
      </w:pPr>
      <w:r>
        <w:rPr>
          <w:rFonts w:hint="eastAsia"/>
        </w:rPr>
        <w:tab/>
      </w:r>
    </w:p>
    <w:p>
      <w:pPr>
        <w:spacing w:line="360" w:lineRule="auto"/>
        <w:jc w:val="center"/>
        <w:rPr>
          <w:rFonts w:hint="eastAsia" w:ascii="楷体_GB2312" w:eastAsia="楷体_GB2312"/>
          <w:b/>
          <w:sz w:val="36"/>
        </w:rPr>
      </w:pPr>
    </w:p>
    <w:p>
      <w:pPr>
        <w:pStyle w:val="2"/>
        <w:rPr>
          <w:sz w:val="32"/>
          <w:szCs w:val="32"/>
        </w:rPr>
      </w:pPr>
      <w:bookmarkStart w:id="0" w:name="用户单位名称"/>
      <w:bookmarkEnd w:id="0"/>
      <w:bookmarkStart w:id="1" w:name="_Toc105829294"/>
      <w:bookmarkStart w:id="2" w:name="_Toc180555915"/>
      <w:r>
        <w:br w:type="page"/>
      </w:r>
      <w:bookmarkEnd w:id="1"/>
      <w:bookmarkEnd w:id="2"/>
      <w:bookmarkStart w:id="3" w:name="_Toc458419332"/>
      <w:bookmarkStart w:id="4" w:name="_Toc367370360"/>
      <w:bookmarkStart w:id="5" w:name="_Toc528046843"/>
      <w:r>
        <w:rPr>
          <w:rFonts w:ascii="宋体" w:hAnsi="Calibri" w:eastAsia="宋体"/>
          <w:b w:val="0"/>
          <w:color w:val="000000"/>
          <w:kern w:val="0"/>
          <w:sz w:val="36"/>
        </w:rPr>
        <w:t>第</w:t>
      </w:r>
      <w:r>
        <w:rPr>
          <w:rFonts w:hint="eastAsia" w:ascii="宋体" w:hAnsi="Calibri" w:eastAsia="宋体"/>
          <w:b w:val="0"/>
          <w:color w:val="000000"/>
          <w:kern w:val="0"/>
          <w:sz w:val="36"/>
        </w:rPr>
        <w:t>一</w:t>
      </w:r>
      <w:r>
        <w:rPr>
          <w:rFonts w:ascii="宋体" w:hAnsi="Calibri" w:eastAsia="宋体"/>
          <w:b w:val="0"/>
          <w:color w:val="000000"/>
          <w:kern w:val="0"/>
          <w:sz w:val="36"/>
        </w:rPr>
        <w:t>部分</w:t>
      </w:r>
      <w:bookmarkEnd w:id="3"/>
      <w:bookmarkEnd w:id="4"/>
      <w:bookmarkStart w:id="6" w:name="_Toc367370361"/>
      <w:r>
        <w:rPr>
          <w:rFonts w:ascii="宋体" w:hAnsi="Calibri" w:eastAsia="宋体"/>
          <w:b w:val="0"/>
          <w:color w:val="000000"/>
          <w:kern w:val="0"/>
          <w:sz w:val="36"/>
        </w:rPr>
        <w:t>嵊州市公共资源交易中心政府采购招标公告</w:t>
      </w:r>
      <w:bookmarkEnd w:id="5"/>
      <w:bookmarkEnd w:id="6"/>
    </w:p>
    <w:p>
      <w:pPr>
        <w:adjustRightInd w:val="0"/>
        <w:snapToGrid w:val="0"/>
        <w:spacing w:line="300" w:lineRule="auto"/>
        <w:jc w:val="center"/>
        <w:rPr>
          <w:rFonts w:hint="eastAsia"/>
        </w:rPr>
      </w:pPr>
      <w:r>
        <w:rPr>
          <w:rFonts w:hint="eastAsia" w:ascii="仿宋_GB2312" w:eastAsia="仿宋_GB2312"/>
        </w:rPr>
        <w:t xml:space="preserve">   </w:t>
      </w:r>
      <w:r>
        <w:rPr>
          <w:rFonts w:hint="eastAsia"/>
        </w:rPr>
        <w:t xml:space="preserve"> (政府采购SZC2019-11)</w:t>
      </w:r>
    </w:p>
    <w:p>
      <w:pPr>
        <w:adjustRightInd w:val="0"/>
        <w:snapToGrid w:val="0"/>
        <w:spacing w:line="300" w:lineRule="auto"/>
        <w:jc w:val="center"/>
        <w:rPr>
          <w:rFonts w:hint="eastAsia" w:eastAsia="黑体"/>
        </w:rPr>
      </w:pPr>
    </w:p>
    <w:p>
      <w:pPr>
        <w:autoSpaceDE w:val="0"/>
        <w:autoSpaceDN w:val="0"/>
        <w:spacing w:line="480" w:lineRule="exact"/>
        <w:ind w:firstLine="504" w:firstLineChars="200"/>
        <w:textAlignment w:val="bottom"/>
        <w:rPr>
          <w:rFonts w:ascii="宋体" w:hAnsi="宋体"/>
          <w:spacing w:val="6"/>
        </w:rPr>
      </w:pPr>
      <w:r>
        <w:rPr>
          <w:rFonts w:ascii="宋体" w:hAnsi="宋体"/>
          <w:spacing w:val="6"/>
        </w:rPr>
        <w:t>根据《中华人民共和国政府采购法》、财政部《政府采购货物</w:t>
      </w:r>
      <w:r>
        <w:rPr>
          <w:rFonts w:hint="eastAsia" w:ascii="宋体" w:hAnsi="宋体"/>
          <w:spacing w:val="6"/>
          <w:lang w:eastAsia="zh-CN"/>
        </w:rPr>
        <w:t>和</w:t>
      </w:r>
      <w:r>
        <w:rPr>
          <w:rFonts w:ascii="宋体" w:hAnsi="宋体"/>
          <w:spacing w:val="6"/>
        </w:rPr>
        <w:t>服务招标投标管理办法》</w:t>
      </w:r>
      <w:r>
        <w:rPr>
          <w:rFonts w:hint="eastAsia" w:ascii="宋体" w:hAnsi="宋体"/>
          <w:spacing w:val="6"/>
        </w:rPr>
        <w:t>等法律规定</w:t>
      </w:r>
      <w:r>
        <w:rPr>
          <w:rFonts w:ascii="宋体" w:hAnsi="宋体"/>
          <w:spacing w:val="6"/>
        </w:rPr>
        <w:t>，</w:t>
      </w:r>
      <w:r>
        <w:rPr>
          <w:color w:val="000000"/>
        </w:rPr>
        <w:t>嵊州市</w:t>
      </w:r>
      <w:r>
        <w:rPr>
          <w:rFonts w:hint="eastAsia"/>
          <w:color w:val="000000"/>
        </w:rPr>
        <w:t>公共资源交易中心</w:t>
      </w:r>
      <w:r>
        <w:rPr>
          <w:color w:val="000000"/>
        </w:rPr>
        <w:t>受</w:t>
      </w:r>
      <w:r>
        <w:rPr>
          <w:rFonts w:hint="eastAsia"/>
          <w:color w:val="000000"/>
        </w:rPr>
        <w:t>嵊州市公安局</w:t>
      </w:r>
      <w:r>
        <w:rPr>
          <w:color w:val="000000"/>
        </w:rPr>
        <w:t>委托，对</w:t>
      </w:r>
      <w:r>
        <w:rPr>
          <w:rFonts w:hint="eastAsia" w:ascii="宋体" w:hAnsi="宋体"/>
          <w:bCs/>
          <w:iCs/>
        </w:rPr>
        <w:t>嵊州市雪亮工程之应急无线通信系统项目</w:t>
      </w:r>
      <w:r>
        <w:t>进行</w:t>
      </w:r>
      <w:r>
        <w:rPr>
          <w:color w:val="000000"/>
        </w:rPr>
        <w:t>公开招标采购，现将有关事项公告如下</w:t>
      </w:r>
      <w:r>
        <w:rPr>
          <w:rFonts w:ascii="宋体" w:hAnsi="宋体"/>
          <w:spacing w:val="6"/>
        </w:rPr>
        <w:t xml:space="preserve">： </w:t>
      </w:r>
    </w:p>
    <w:p>
      <w:pPr>
        <w:spacing w:line="360" w:lineRule="auto"/>
        <w:ind w:left="240" w:leftChars="100" w:firstLine="252" w:firstLineChars="100"/>
        <w:rPr>
          <w:rFonts w:hint="eastAsia" w:ascii="宋体" w:hAnsi="宋体"/>
          <w:spacing w:val="6"/>
        </w:rPr>
      </w:pPr>
      <w:r>
        <w:rPr>
          <w:rFonts w:hint="eastAsia" w:ascii="宋体" w:hAnsi="宋体"/>
          <w:spacing w:val="6"/>
        </w:rPr>
        <w:t>一、采购代理机构：嵊州市公共资源交易中心</w:t>
      </w:r>
    </w:p>
    <w:p>
      <w:pPr>
        <w:spacing w:line="360" w:lineRule="auto"/>
        <w:ind w:left="240" w:leftChars="100" w:firstLine="252" w:firstLineChars="100"/>
        <w:rPr>
          <w:rFonts w:hint="eastAsia" w:ascii="宋体" w:hAnsi="宋体"/>
          <w:spacing w:val="6"/>
        </w:rPr>
      </w:pPr>
      <w:r>
        <w:rPr>
          <w:rFonts w:hint="eastAsia" w:ascii="宋体" w:hAnsi="宋体"/>
          <w:spacing w:val="6"/>
        </w:rPr>
        <w:t>二、采购人：</w:t>
      </w:r>
      <w:r>
        <w:rPr>
          <w:rFonts w:hint="eastAsia" w:ascii="宋体" w:hAnsi="宋体"/>
          <w:bCs/>
          <w:iCs/>
        </w:rPr>
        <w:t>嵊州市公安局</w:t>
      </w:r>
    </w:p>
    <w:p>
      <w:pPr>
        <w:spacing w:line="360" w:lineRule="auto"/>
        <w:ind w:firstLine="504" w:firstLineChars="200"/>
        <w:rPr>
          <w:rFonts w:hint="eastAsia"/>
        </w:rPr>
      </w:pPr>
      <w:r>
        <w:rPr>
          <w:rFonts w:hint="eastAsia" w:ascii="宋体" w:hAnsi="宋体"/>
          <w:spacing w:val="6"/>
        </w:rPr>
        <w:t>三、采购项目：</w:t>
      </w:r>
      <w:r>
        <w:rPr>
          <w:rFonts w:hint="eastAsia" w:ascii="宋体" w:hAnsi="宋体"/>
          <w:bCs/>
          <w:iCs/>
        </w:rPr>
        <w:t>嵊州市雪亮工程之应急无线通信系统项目</w:t>
      </w:r>
    </w:p>
    <w:p>
      <w:pPr>
        <w:spacing w:line="420" w:lineRule="exact"/>
        <w:ind w:firstLine="504" w:firstLineChars="200"/>
        <w:rPr>
          <w:rFonts w:hint="eastAsia" w:ascii="宋体" w:hAnsi="宋体"/>
          <w:spacing w:val="6"/>
        </w:rPr>
      </w:pPr>
      <w:r>
        <w:rPr>
          <w:rFonts w:hint="eastAsia" w:ascii="宋体" w:hAnsi="宋体"/>
          <w:spacing w:val="6"/>
        </w:rPr>
        <w:t>四、采购内容：</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620"/>
        <w:gridCol w:w="1665"/>
        <w:gridCol w:w="129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5" w:hRule="atLeast"/>
          <w:jc w:val="center"/>
        </w:trPr>
        <w:tc>
          <w:tcPr>
            <w:tcW w:w="766" w:type="dxa"/>
            <w:noWrap w:val="0"/>
            <w:vAlign w:val="center"/>
          </w:tcPr>
          <w:p>
            <w:pPr>
              <w:jc w:val="center"/>
              <w:rPr>
                <w:rFonts w:ascii="宋体" w:hAnsi="宋体"/>
              </w:rPr>
            </w:pPr>
            <w:r>
              <w:rPr>
                <w:rFonts w:ascii="宋体" w:hAnsi="宋体"/>
              </w:rPr>
              <w:t>序号</w:t>
            </w:r>
          </w:p>
        </w:tc>
        <w:tc>
          <w:tcPr>
            <w:tcW w:w="4620" w:type="dxa"/>
            <w:noWrap w:val="0"/>
            <w:vAlign w:val="center"/>
          </w:tcPr>
          <w:p>
            <w:pPr>
              <w:jc w:val="center"/>
              <w:rPr>
                <w:rFonts w:ascii="宋体" w:hAnsi="宋体"/>
              </w:rPr>
            </w:pPr>
            <w:r>
              <w:rPr>
                <w:rFonts w:hint="eastAsia" w:ascii="宋体" w:hAnsi="宋体"/>
              </w:rPr>
              <w:t>内容</w:t>
            </w:r>
          </w:p>
        </w:tc>
        <w:tc>
          <w:tcPr>
            <w:tcW w:w="1665" w:type="dxa"/>
            <w:noWrap w:val="0"/>
            <w:vAlign w:val="center"/>
          </w:tcPr>
          <w:p>
            <w:pPr>
              <w:jc w:val="center"/>
              <w:rPr>
                <w:rFonts w:hint="eastAsia" w:ascii="宋体" w:hAnsi="宋体"/>
              </w:rPr>
            </w:pPr>
            <w:r>
              <w:rPr>
                <w:rFonts w:hint="eastAsia" w:ascii="宋体" w:hAnsi="宋体"/>
              </w:rPr>
              <w:t>设备参数</w:t>
            </w:r>
          </w:p>
        </w:tc>
        <w:tc>
          <w:tcPr>
            <w:tcW w:w="1290" w:type="dxa"/>
            <w:noWrap w:val="0"/>
            <w:vAlign w:val="center"/>
          </w:tcPr>
          <w:p>
            <w:pPr>
              <w:jc w:val="center"/>
              <w:rPr>
                <w:rFonts w:hint="eastAsia" w:ascii="宋体" w:hAnsi="宋体"/>
              </w:rPr>
            </w:pPr>
            <w:r>
              <w:rPr>
                <w:rFonts w:ascii="宋体" w:hAnsi="宋体"/>
              </w:rPr>
              <w:t>数量</w:t>
            </w:r>
            <w:r>
              <w:rPr>
                <w:rFonts w:hint="eastAsia" w:ascii="宋体" w:hAnsi="宋体"/>
              </w:rPr>
              <w:t>（项）</w:t>
            </w:r>
          </w:p>
        </w:tc>
        <w:tc>
          <w:tcPr>
            <w:tcW w:w="1515" w:type="dxa"/>
            <w:noWrap w:val="0"/>
            <w:vAlign w:val="center"/>
          </w:tcPr>
          <w:p>
            <w:pPr>
              <w:jc w:val="center"/>
              <w:rPr>
                <w:rFonts w:hint="eastAsia" w:ascii="宋体" w:hAnsi="宋体"/>
              </w:rPr>
            </w:pPr>
            <w:r>
              <w:rPr>
                <w:rFonts w:hint="eastAsia" w:ascii="宋体" w:hAnsi="宋体"/>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4" w:hRule="atLeast"/>
          <w:jc w:val="center"/>
        </w:trPr>
        <w:tc>
          <w:tcPr>
            <w:tcW w:w="766" w:type="dxa"/>
            <w:noWrap w:val="0"/>
            <w:vAlign w:val="center"/>
          </w:tcPr>
          <w:p>
            <w:pPr>
              <w:jc w:val="center"/>
              <w:rPr>
                <w:rFonts w:ascii="宋体" w:hAnsi="宋体"/>
              </w:rPr>
            </w:pPr>
            <w:r>
              <w:rPr>
                <w:rFonts w:hint="eastAsia" w:ascii="宋体" w:hAnsi="宋体"/>
              </w:rPr>
              <w:t>1</w:t>
            </w:r>
          </w:p>
        </w:tc>
        <w:tc>
          <w:tcPr>
            <w:tcW w:w="4620" w:type="dxa"/>
            <w:noWrap w:val="0"/>
            <w:vAlign w:val="center"/>
          </w:tcPr>
          <w:p>
            <w:pPr>
              <w:jc w:val="center"/>
              <w:rPr>
                <w:rFonts w:hint="eastAsia" w:ascii="宋体" w:hAnsi="宋体"/>
              </w:rPr>
            </w:pPr>
            <w:r>
              <w:rPr>
                <w:rFonts w:hint="eastAsia" w:ascii="宋体" w:hAnsi="宋体"/>
                <w:bCs/>
                <w:iCs/>
              </w:rPr>
              <w:t>嵊州市雪亮工程之应急无线通信系统项目</w:t>
            </w:r>
          </w:p>
        </w:tc>
        <w:tc>
          <w:tcPr>
            <w:tcW w:w="1665" w:type="dxa"/>
            <w:noWrap w:val="0"/>
            <w:vAlign w:val="center"/>
          </w:tcPr>
          <w:p>
            <w:pPr>
              <w:jc w:val="center"/>
              <w:rPr>
                <w:rFonts w:hint="eastAsia" w:ascii="宋体" w:hAnsi="宋体"/>
              </w:rPr>
            </w:pPr>
            <w:r>
              <w:rPr>
                <w:rFonts w:hint="eastAsia" w:ascii="宋体" w:hAnsi="宋体"/>
              </w:rPr>
              <w:t>详见明细清单</w:t>
            </w:r>
          </w:p>
        </w:tc>
        <w:tc>
          <w:tcPr>
            <w:tcW w:w="1290" w:type="dxa"/>
            <w:noWrap w:val="0"/>
            <w:vAlign w:val="center"/>
          </w:tcPr>
          <w:p>
            <w:pPr>
              <w:jc w:val="center"/>
              <w:rPr>
                <w:rFonts w:ascii="宋体" w:hAnsi="宋体"/>
              </w:rPr>
            </w:pPr>
            <w:r>
              <w:rPr>
                <w:rFonts w:hint="eastAsia" w:ascii="宋体" w:hAnsi="宋体"/>
              </w:rPr>
              <w:t>1</w:t>
            </w:r>
          </w:p>
        </w:tc>
        <w:tc>
          <w:tcPr>
            <w:tcW w:w="1515" w:type="dxa"/>
            <w:noWrap w:val="0"/>
            <w:vAlign w:val="center"/>
          </w:tcPr>
          <w:p>
            <w:pPr>
              <w:jc w:val="center"/>
              <w:rPr>
                <w:rFonts w:hint="eastAsia" w:ascii="宋体" w:hAnsi="宋体"/>
              </w:rPr>
            </w:pPr>
            <w:r>
              <w:rPr>
                <w:rFonts w:hint="eastAsia" w:ascii="宋体" w:hAnsi="宋体"/>
              </w:rPr>
              <w:t>8500000.00</w:t>
            </w:r>
          </w:p>
        </w:tc>
      </w:tr>
    </w:tbl>
    <w:p>
      <w:pPr>
        <w:spacing w:line="420" w:lineRule="exact"/>
        <w:ind w:firstLine="440" w:firstLineChars="200"/>
        <w:rPr>
          <w:rFonts w:hint="eastAsia" w:ascii="宋体" w:hAnsi="宋体"/>
          <w:bCs/>
          <w:sz w:val="22"/>
        </w:rPr>
      </w:pPr>
    </w:p>
    <w:p>
      <w:pPr>
        <w:spacing w:line="360" w:lineRule="auto"/>
        <w:ind w:left="240" w:leftChars="100" w:firstLine="240" w:firstLineChars="100"/>
        <w:rPr>
          <w:rFonts w:hint="eastAsia" w:ascii="宋体" w:hAnsi="宋体"/>
          <w:bCs/>
          <w:iCs/>
        </w:rPr>
      </w:pPr>
      <w:r>
        <w:rPr>
          <w:rFonts w:hint="eastAsia" w:ascii="宋体" w:hAnsi="宋体"/>
          <w:bCs/>
          <w:iCs/>
        </w:rPr>
        <w:t>五、采购方式：公开招标</w:t>
      </w:r>
    </w:p>
    <w:p>
      <w:pPr>
        <w:spacing w:line="360" w:lineRule="auto"/>
        <w:ind w:firstLine="480" w:firstLineChars="200"/>
        <w:rPr>
          <w:rFonts w:hint="eastAsia" w:ascii="宋体" w:hAnsi="宋体"/>
          <w:spacing w:val="6"/>
        </w:rPr>
      </w:pPr>
      <w:r>
        <w:rPr>
          <w:rFonts w:hint="eastAsia" w:ascii="宋体" w:hAnsi="宋体"/>
          <w:bCs/>
          <w:iCs/>
        </w:rPr>
        <w:t>六、投标资格：</w:t>
      </w:r>
    </w:p>
    <w:p>
      <w:pPr>
        <w:autoSpaceDE w:val="0"/>
        <w:autoSpaceDN w:val="0"/>
        <w:spacing w:line="480" w:lineRule="exact"/>
        <w:ind w:firstLine="504" w:firstLineChars="200"/>
        <w:textAlignment w:val="bottom"/>
        <w:rPr>
          <w:rFonts w:hint="eastAsia" w:ascii="宋体" w:hAnsi="宋体"/>
          <w:spacing w:val="6"/>
        </w:rPr>
      </w:pPr>
      <w:r>
        <w:rPr>
          <w:rFonts w:ascii="宋体" w:hAnsi="宋体"/>
          <w:spacing w:val="6"/>
        </w:rPr>
        <w:t>1</w:t>
      </w:r>
      <w:r>
        <w:rPr>
          <w:rFonts w:hint="eastAsia" w:ascii="宋体" w:hAnsi="宋体"/>
          <w:spacing w:val="6"/>
        </w:rPr>
        <w:t>、符合《中华人民共和国政府采购法》第二十二条的资格条件要求；</w:t>
      </w:r>
    </w:p>
    <w:p>
      <w:pPr>
        <w:autoSpaceDE w:val="0"/>
        <w:autoSpaceDN w:val="0"/>
        <w:spacing w:line="480" w:lineRule="exact"/>
        <w:ind w:firstLine="480" w:firstLineChars="200"/>
        <w:textAlignment w:val="bottom"/>
        <w:rPr>
          <w:rFonts w:hint="eastAsia" w:ascii="宋体" w:hAnsi="宋体"/>
        </w:rPr>
      </w:pPr>
      <w:r>
        <w:rPr>
          <w:rFonts w:hint="eastAsia" w:ascii="宋体" w:hAnsi="宋体"/>
          <w:szCs w:val="21"/>
        </w:rPr>
        <w:t>2、</w:t>
      </w:r>
      <w:r>
        <w:rPr>
          <w:rFonts w:hint="eastAsia" w:ascii="宋体" w:hAnsi="宋体"/>
        </w:rPr>
        <w:t>有本采购项目相应的经营范围和资格，有承担民事责任和履行合同能力的独立法人企业；</w:t>
      </w:r>
    </w:p>
    <w:p>
      <w:pPr>
        <w:autoSpaceDE w:val="0"/>
        <w:autoSpaceDN w:val="0"/>
        <w:spacing w:line="480" w:lineRule="exact"/>
        <w:ind w:firstLine="480" w:firstLineChars="200"/>
        <w:textAlignment w:val="bottom"/>
        <w:rPr>
          <w:rFonts w:hint="eastAsia" w:ascii="宋体" w:hAnsi="宋体"/>
          <w:szCs w:val="21"/>
        </w:rPr>
      </w:pPr>
      <w:r>
        <w:rPr>
          <w:rFonts w:hint="eastAsia" w:ascii="宋体" w:hAnsi="宋体"/>
        </w:rPr>
        <w:t>3、</w:t>
      </w:r>
      <w:r>
        <w:rPr>
          <w:rFonts w:hint="eastAsia" w:ascii="宋体" w:hAnsi="宋体"/>
          <w:szCs w:val="21"/>
        </w:rPr>
        <w:t>本项目谢绝联合体投标。</w:t>
      </w:r>
    </w:p>
    <w:p>
      <w:pPr>
        <w:spacing w:line="360" w:lineRule="auto"/>
        <w:ind w:firstLine="504" w:firstLineChars="200"/>
        <w:rPr>
          <w:rFonts w:ascii="宋体" w:hAnsi="宋体"/>
          <w:spacing w:val="6"/>
        </w:rPr>
      </w:pPr>
      <w:r>
        <w:rPr>
          <w:rFonts w:hint="eastAsia" w:ascii="宋体" w:hAnsi="宋体"/>
          <w:spacing w:val="6"/>
        </w:rPr>
        <w:t>七、</w:t>
      </w:r>
      <w:r>
        <w:rPr>
          <w:rFonts w:hint="eastAsia" w:ascii="宋体" w:hAnsi="宋体"/>
          <w:kern w:val="0"/>
        </w:rPr>
        <w:t>报名及招标文件获取：</w:t>
      </w:r>
    </w:p>
    <w:p>
      <w:pPr>
        <w:spacing w:line="360" w:lineRule="auto"/>
        <w:ind w:firstLine="480" w:firstLineChars="200"/>
        <w:rPr>
          <w:rFonts w:hint="eastAsia" w:ascii="宋体" w:hAnsi="宋体" w:cs="宋体"/>
        </w:rPr>
      </w:pPr>
      <w:r>
        <w:rPr>
          <w:rFonts w:ascii="宋体" w:hAnsi="宋体" w:cs="宋体"/>
        </w:rPr>
        <w:t>1</w:t>
      </w:r>
      <w:r>
        <w:rPr>
          <w:rFonts w:hint="eastAsia" w:ascii="宋体" w:hAnsi="宋体" w:cs="宋体"/>
        </w:rPr>
        <w:t>.</w:t>
      </w:r>
      <w:r>
        <w:rPr>
          <w:rFonts w:ascii="宋体" w:hAnsi="宋体" w:cs="宋体"/>
        </w:rPr>
        <w:t>报名</w:t>
      </w:r>
      <w:r>
        <w:rPr>
          <w:rFonts w:hint="eastAsia" w:ascii="宋体" w:hAnsi="宋体" w:cs="宋体"/>
        </w:rPr>
        <w:t>时间</w:t>
      </w:r>
      <w:r>
        <w:rPr>
          <w:rFonts w:ascii="宋体" w:hAnsi="宋体" w:cs="宋体"/>
        </w:rPr>
        <w:t>：</w:t>
      </w:r>
      <w:r>
        <w:rPr>
          <w:rFonts w:hint="eastAsia" w:ascii="宋体" w:hAnsi="宋体" w:cs="宋体"/>
        </w:rPr>
        <w:t>2019</w:t>
      </w:r>
      <w:r>
        <w:rPr>
          <w:rFonts w:hint="eastAsia" w:ascii="宋体" w:hAnsi="宋体"/>
          <w:kern w:val="0"/>
          <w:szCs w:val="22"/>
        </w:rPr>
        <w:t>年5月</w:t>
      </w:r>
      <w:r>
        <w:rPr>
          <w:rFonts w:hint="eastAsia" w:ascii="宋体" w:hAnsi="宋体"/>
          <w:kern w:val="0"/>
          <w:szCs w:val="22"/>
          <w:lang w:val="en-US" w:eastAsia="zh-CN"/>
        </w:rPr>
        <w:t>17</w:t>
      </w:r>
      <w:r>
        <w:rPr>
          <w:rFonts w:hint="eastAsia" w:ascii="宋体" w:hAnsi="宋体"/>
          <w:kern w:val="0"/>
          <w:szCs w:val="22"/>
        </w:rPr>
        <w:t>日 至 2019年5月</w:t>
      </w:r>
      <w:r>
        <w:rPr>
          <w:rFonts w:hint="eastAsia" w:ascii="宋体" w:hAnsi="宋体"/>
          <w:kern w:val="0"/>
          <w:szCs w:val="22"/>
          <w:lang w:val="en-US" w:eastAsia="zh-CN"/>
        </w:rPr>
        <w:t>24</w:t>
      </w:r>
      <w:r>
        <w:rPr>
          <w:rFonts w:hint="eastAsia" w:ascii="宋体" w:hAnsi="宋体"/>
          <w:kern w:val="0"/>
          <w:szCs w:val="22"/>
        </w:rPr>
        <w:t>日上午8:3</w:t>
      </w:r>
      <w:r>
        <w:rPr>
          <w:rFonts w:ascii="宋体" w:hAnsi="宋体" w:cs="宋体"/>
        </w:rPr>
        <w:t>0</w:t>
      </w:r>
      <w:r>
        <w:rPr>
          <w:rFonts w:hint="eastAsia" w:ascii="宋体" w:hAnsi="宋体" w:cs="宋体"/>
        </w:rPr>
        <w:t>-</w:t>
      </w:r>
      <w:r>
        <w:rPr>
          <w:rFonts w:ascii="宋体" w:hAnsi="宋体" w:cs="宋体"/>
        </w:rPr>
        <w:t>1</w:t>
      </w:r>
      <w:r>
        <w:rPr>
          <w:rFonts w:hint="eastAsia" w:ascii="宋体" w:hAnsi="宋体" w:cs="宋体"/>
        </w:rPr>
        <w:t>2</w:t>
      </w:r>
      <w:r>
        <w:rPr>
          <w:rFonts w:ascii="宋体" w:hAnsi="宋体" w:cs="宋体"/>
        </w:rPr>
        <w:t>:</w:t>
      </w:r>
      <w:r>
        <w:rPr>
          <w:rFonts w:hint="eastAsia" w:ascii="宋体" w:hAnsi="宋体" w:cs="宋体"/>
        </w:rPr>
        <w:t>0</w:t>
      </w:r>
      <w:r>
        <w:rPr>
          <w:rFonts w:ascii="宋体" w:hAnsi="宋体" w:cs="宋体"/>
        </w:rPr>
        <w:t>0</w:t>
      </w:r>
      <w:r>
        <w:rPr>
          <w:rFonts w:hint="eastAsia" w:ascii="宋体" w:hAnsi="宋体" w:cs="宋体"/>
        </w:rPr>
        <w:t>时整</w:t>
      </w:r>
      <w:r>
        <w:rPr>
          <w:rFonts w:ascii="宋体" w:hAnsi="宋体" w:cs="宋体"/>
        </w:rPr>
        <w:t>；下午14:</w:t>
      </w:r>
      <w:r>
        <w:rPr>
          <w:rFonts w:hint="eastAsia" w:ascii="宋体" w:hAnsi="宋体" w:cs="宋体"/>
        </w:rPr>
        <w:t>3</w:t>
      </w:r>
      <w:r>
        <w:rPr>
          <w:rFonts w:ascii="宋体" w:hAnsi="宋体" w:cs="宋体"/>
        </w:rPr>
        <w:t>0</w:t>
      </w:r>
      <w:r>
        <w:rPr>
          <w:rFonts w:hint="eastAsia" w:ascii="宋体" w:hAnsi="宋体" w:cs="宋体"/>
        </w:rPr>
        <w:t>-1</w:t>
      </w:r>
      <w:r>
        <w:rPr>
          <w:rFonts w:ascii="宋体" w:hAnsi="宋体" w:cs="宋体"/>
        </w:rPr>
        <w:t>7:</w:t>
      </w:r>
      <w:r>
        <w:rPr>
          <w:rFonts w:hint="eastAsia" w:ascii="宋体" w:hAnsi="宋体" w:cs="宋体"/>
        </w:rPr>
        <w:t>3</w:t>
      </w:r>
      <w:r>
        <w:rPr>
          <w:rFonts w:ascii="宋体" w:hAnsi="宋体" w:cs="宋体"/>
        </w:rPr>
        <w:t>0</w:t>
      </w:r>
      <w:r>
        <w:rPr>
          <w:rFonts w:hint="eastAsia" w:ascii="宋体" w:hAnsi="宋体" w:cs="宋体"/>
        </w:rPr>
        <w:t>时整</w:t>
      </w:r>
      <w:r>
        <w:rPr>
          <w:rFonts w:ascii="宋体" w:hAnsi="宋体" w:cs="宋体"/>
        </w:rPr>
        <w:t>(双休日及法定节假日除外）</w:t>
      </w:r>
      <w:r>
        <w:rPr>
          <w:rFonts w:hint="eastAsia" w:ascii="宋体" w:hAnsi="宋体" w:cs="宋体"/>
        </w:rPr>
        <w:t>。</w:t>
      </w:r>
    </w:p>
    <w:p>
      <w:pPr>
        <w:spacing w:line="360" w:lineRule="auto"/>
        <w:ind w:firstLine="480" w:firstLineChars="200"/>
        <w:rPr>
          <w:rFonts w:hint="eastAsia" w:ascii="宋体" w:hAnsi="宋体" w:cs="宋体"/>
        </w:rPr>
      </w:pPr>
      <w:r>
        <w:rPr>
          <w:rFonts w:hint="eastAsia" w:ascii="宋体" w:hAnsi="宋体" w:cs="宋体"/>
        </w:rPr>
        <w:t>2.</w:t>
      </w:r>
      <w:r>
        <w:rPr>
          <w:rFonts w:ascii="宋体" w:hAnsi="宋体" w:cs="宋体"/>
        </w:rPr>
        <w:t>网上</w:t>
      </w:r>
      <w:r>
        <w:rPr>
          <w:rFonts w:hint="eastAsia" w:ascii="宋体" w:hAnsi="宋体" w:cs="宋体"/>
        </w:rPr>
        <w:t>在线</w:t>
      </w:r>
      <w:r>
        <w:rPr>
          <w:rFonts w:ascii="宋体" w:hAnsi="宋体" w:cs="宋体"/>
        </w:rPr>
        <w:t>报名。网上报名网站为</w:t>
      </w:r>
      <w:r>
        <w:rPr>
          <w:rFonts w:hint="eastAsia" w:ascii="宋体" w:hAnsi="宋体" w:cs="宋体"/>
        </w:rPr>
        <w:t>浙江政府采购云平台</w:t>
      </w:r>
      <w:r>
        <w:rPr>
          <w:rFonts w:ascii="宋体" w:hAnsi="宋体" w:cs="宋体"/>
        </w:rPr>
        <w:t>，网址</w:t>
      </w:r>
      <w:r>
        <w:rPr>
          <w:rFonts w:ascii="宋体" w:hAnsi="宋体" w:cs="宋体"/>
        </w:rPr>
        <w:fldChar w:fldCharType="begin"/>
      </w:r>
      <w:r>
        <w:rPr>
          <w:rFonts w:ascii="宋体" w:hAnsi="宋体" w:cs="宋体"/>
        </w:rPr>
        <w:instrText xml:space="preserve"> HYPERLINK "http://www.</w:instrText>
      </w:r>
      <w:r>
        <w:rPr>
          <w:rFonts w:hint="eastAsia" w:ascii="宋体" w:hAnsi="宋体" w:cs="宋体"/>
        </w:rPr>
        <w:instrText xml:space="preserve">zcy</w:instrText>
      </w:r>
      <w:r>
        <w:rPr>
          <w:rFonts w:ascii="宋体" w:hAnsi="宋体" w:cs="宋体"/>
        </w:rPr>
        <w:instrText xml:space="preserve">.gov.cn/" </w:instrText>
      </w:r>
      <w:r>
        <w:rPr>
          <w:rFonts w:ascii="宋体" w:hAnsi="宋体" w:cs="宋体"/>
        </w:rPr>
        <w:fldChar w:fldCharType="separate"/>
      </w:r>
      <w:r>
        <w:rPr>
          <w:rStyle w:val="85"/>
          <w:rFonts w:ascii="宋体" w:hAnsi="宋体" w:cs="宋体"/>
        </w:rPr>
        <w:t>http://www.</w:t>
      </w:r>
      <w:r>
        <w:rPr>
          <w:rStyle w:val="85"/>
          <w:rFonts w:hint="eastAsia" w:ascii="宋体" w:hAnsi="宋体" w:cs="宋体"/>
        </w:rPr>
        <w:t>zcy</w:t>
      </w:r>
      <w:r>
        <w:rPr>
          <w:rStyle w:val="85"/>
          <w:rFonts w:ascii="宋体" w:hAnsi="宋体" w:cs="宋体"/>
        </w:rPr>
        <w:t>.gov.cn/</w:t>
      </w:r>
      <w:r>
        <w:rPr>
          <w:rFonts w:ascii="宋体" w:hAnsi="宋体" w:cs="宋体"/>
        </w:rPr>
        <w:fldChar w:fldCharType="end"/>
      </w:r>
      <w:r>
        <w:rPr>
          <w:rFonts w:ascii="宋体" w:hAnsi="宋体" w:cs="宋体"/>
        </w:rPr>
        <w:t>。</w:t>
      </w:r>
    </w:p>
    <w:p>
      <w:pPr>
        <w:spacing w:line="360" w:lineRule="auto"/>
        <w:ind w:firstLine="480" w:firstLineChars="200"/>
        <w:rPr>
          <w:rFonts w:hint="eastAsia" w:ascii="宋体" w:hAnsi="宋体" w:cs="宋体"/>
        </w:rPr>
      </w:pPr>
      <w:r>
        <w:rPr>
          <w:rFonts w:hint="eastAsia" w:ascii="宋体" w:hAnsi="宋体" w:cs="宋体"/>
        </w:rPr>
        <w:t>3. 招标文件及更正补充公告请自行登录浙江政府采购网或嵊州市公共资源交易网并下载。</w:t>
      </w:r>
    </w:p>
    <w:p>
      <w:pPr>
        <w:spacing w:line="360" w:lineRule="auto"/>
        <w:ind w:firstLine="480" w:firstLineChars="200"/>
        <w:rPr>
          <w:rFonts w:hint="eastAsia" w:ascii="宋体" w:hAnsi="宋体" w:cs="宋体"/>
          <w:szCs w:val="22"/>
        </w:rPr>
      </w:pPr>
      <w:r>
        <w:rPr>
          <w:rFonts w:hint="eastAsia" w:ascii="宋体" w:hAnsi="宋体" w:cs="宋体"/>
          <w:szCs w:val="22"/>
        </w:rPr>
        <w:t>4.提示：</w:t>
      </w:r>
    </w:p>
    <w:p>
      <w:pPr>
        <w:spacing w:line="360" w:lineRule="auto"/>
        <w:ind w:firstLine="480" w:firstLineChars="200"/>
        <w:rPr>
          <w:rFonts w:hint="eastAsia" w:ascii="宋体" w:hAnsi="宋体" w:cs="宋体"/>
          <w:szCs w:val="22"/>
        </w:rPr>
      </w:pPr>
      <w:r>
        <w:rPr>
          <w:rFonts w:hint="eastAsia" w:ascii="宋体" w:hAnsi="宋体" w:cs="宋体"/>
          <w:szCs w:val="22"/>
        </w:rPr>
        <w:t>（1）采购机构将拒绝接受非报名供应商的投标文件。</w:t>
      </w:r>
    </w:p>
    <w:p>
      <w:pPr>
        <w:spacing w:line="360" w:lineRule="auto"/>
        <w:ind w:firstLine="480" w:firstLineChars="200"/>
        <w:rPr>
          <w:rFonts w:ascii="宋体" w:hAnsi="宋体" w:cs="宋体"/>
          <w:szCs w:val="22"/>
        </w:rPr>
      </w:pPr>
      <w:r>
        <w:rPr>
          <w:rFonts w:hint="eastAsia" w:ascii="宋体" w:hAnsi="宋体" w:cs="宋体"/>
          <w:szCs w:val="22"/>
        </w:rPr>
        <w:t>（2）报名截止时间之后有潜在供应商提出要求获取采购文件的，允许在2019年</w:t>
      </w:r>
      <w:r>
        <w:rPr>
          <w:rFonts w:hint="eastAsia" w:ascii="宋体" w:hAnsi="宋体" w:cs="宋体"/>
          <w:color w:val="FF0000"/>
          <w:szCs w:val="22"/>
        </w:rPr>
        <w:t xml:space="preserve"> </w:t>
      </w:r>
      <w:r>
        <w:rPr>
          <w:rFonts w:hint="eastAsia" w:ascii="宋体" w:hAnsi="宋体" w:cs="宋体"/>
          <w:color w:val="auto"/>
          <w:szCs w:val="22"/>
        </w:rPr>
        <w:t xml:space="preserve"> </w:t>
      </w:r>
      <w:r>
        <w:rPr>
          <w:rFonts w:hint="eastAsia" w:ascii="宋体" w:hAnsi="宋体" w:cs="宋体"/>
          <w:color w:val="auto"/>
          <w:szCs w:val="22"/>
          <w:lang w:val="en-US" w:eastAsia="zh-CN"/>
        </w:rPr>
        <w:t>6</w:t>
      </w:r>
      <w:r>
        <w:rPr>
          <w:rFonts w:hint="eastAsia" w:ascii="宋体" w:hAnsi="宋体" w:cs="宋体"/>
          <w:color w:val="auto"/>
          <w:szCs w:val="22"/>
        </w:rPr>
        <w:t>月</w:t>
      </w:r>
      <w:r>
        <w:rPr>
          <w:rFonts w:hint="eastAsia" w:ascii="宋体" w:hAnsi="宋体" w:cs="宋体"/>
          <w:color w:val="auto"/>
          <w:szCs w:val="22"/>
          <w:lang w:val="en-US" w:eastAsia="zh-CN"/>
        </w:rPr>
        <w:t>5</w:t>
      </w:r>
      <w:r>
        <w:rPr>
          <w:rFonts w:hint="eastAsia" w:ascii="宋体" w:hAnsi="宋体" w:cs="宋体"/>
          <w:color w:val="auto"/>
          <w:szCs w:val="22"/>
        </w:rPr>
        <w:t xml:space="preserve"> 日16:30时之前获取</w:t>
      </w:r>
      <w:r>
        <w:rPr>
          <w:rFonts w:hint="eastAsia" w:ascii="宋体" w:hAnsi="宋体" w:cs="宋体"/>
          <w:szCs w:val="22"/>
        </w:rPr>
        <w:t>，如对采购文件有异议应当自报名截止之日起计算，在七个工作日之内并于采购响应截止时间之前以书面形式向集中采购机构提出。</w:t>
      </w:r>
    </w:p>
    <w:p>
      <w:pPr>
        <w:spacing w:line="360" w:lineRule="auto"/>
        <w:ind w:firstLine="504" w:firstLineChars="200"/>
        <w:rPr>
          <w:rFonts w:hint="eastAsia"/>
        </w:rPr>
      </w:pPr>
      <w:r>
        <w:rPr>
          <w:rFonts w:hint="eastAsia" w:ascii="宋体" w:hAnsi="宋体"/>
          <w:spacing w:val="6"/>
        </w:rPr>
        <w:t>八、</w:t>
      </w:r>
      <w:r>
        <w:rPr>
          <w:rFonts w:hint="eastAsia" w:ascii="宋体" w:hAnsi="宋体" w:cs="宋体"/>
          <w:kern w:val="0"/>
        </w:rPr>
        <w:t>投标保证金：无</w:t>
      </w:r>
    </w:p>
    <w:p>
      <w:pPr>
        <w:spacing w:line="360" w:lineRule="auto"/>
        <w:ind w:firstLine="480" w:firstLineChars="200"/>
        <w:rPr>
          <w:rFonts w:hint="eastAsia"/>
          <w:kern w:val="0"/>
        </w:rPr>
      </w:pPr>
      <w:r>
        <w:rPr>
          <w:rFonts w:hint="eastAsia"/>
          <w:kern w:val="0"/>
        </w:rPr>
        <w:t>九、投标文件提交：</w:t>
      </w:r>
    </w:p>
    <w:p>
      <w:pPr>
        <w:spacing w:line="360" w:lineRule="auto"/>
        <w:ind w:firstLine="480" w:firstLineChars="200"/>
        <w:rPr>
          <w:rFonts w:hint="eastAsia"/>
          <w:kern w:val="0"/>
        </w:rPr>
      </w:pPr>
      <w:r>
        <w:rPr>
          <w:rFonts w:hint="eastAsia"/>
          <w:kern w:val="0"/>
        </w:rPr>
        <w:t>投标人须于2019年6 月</w:t>
      </w:r>
      <w:r>
        <w:rPr>
          <w:rFonts w:hint="eastAsia"/>
          <w:kern w:val="0"/>
          <w:lang w:val="en-US" w:eastAsia="zh-CN"/>
        </w:rPr>
        <w:t>6</w:t>
      </w:r>
      <w:r>
        <w:rPr>
          <w:rFonts w:hint="eastAsia"/>
          <w:kern w:val="0"/>
        </w:rPr>
        <w:t>日上午9:30时前将投标文件密封送达</w:t>
      </w:r>
      <w:r>
        <w:rPr>
          <w:kern w:val="0"/>
        </w:rPr>
        <w:t>嵊州市公共资源交易中心</w:t>
      </w:r>
      <w:r>
        <w:rPr>
          <w:rFonts w:hint="eastAsia"/>
          <w:kern w:val="0"/>
        </w:rPr>
        <w:t>(官河南路699号国际会展中心北楼三楼)，逾期送达或未密封将拒绝接收。</w:t>
      </w:r>
    </w:p>
    <w:p>
      <w:pPr>
        <w:spacing w:line="360" w:lineRule="auto"/>
        <w:ind w:firstLine="480" w:firstLineChars="200"/>
        <w:rPr>
          <w:rFonts w:hint="eastAsia"/>
          <w:kern w:val="0"/>
        </w:rPr>
      </w:pPr>
      <w:r>
        <w:rPr>
          <w:rFonts w:hint="eastAsia"/>
          <w:kern w:val="0"/>
        </w:rPr>
        <w:t>十、开标时间和地点：</w:t>
      </w:r>
    </w:p>
    <w:p>
      <w:pPr>
        <w:spacing w:line="360" w:lineRule="auto"/>
        <w:ind w:firstLine="480" w:firstLineChars="200"/>
        <w:rPr>
          <w:rFonts w:hint="eastAsia"/>
          <w:kern w:val="0"/>
        </w:rPr>
      </w:pPr>
      <w:r>
        <w:rPr>
          <w:rFonts w:hint="eastAsia"/>
          <w:kern w:val="0"/>
        </w:rPr>
        <w:t>时间：2019年6月</w:t>
      </w:r>
      <w:r>
        <w:rPr>
          <w:rFonts w:hint="eastAsia"/>
          <w:kern w:val="0"/>
          <w:lang w:val="en-US" w:eastAsia="zh-CN"/>
        </w:rPr>
        <w:t>6</w:t>
      </w:r>
      <w:r>
        <w:rPr>
          <w:rFonts w:hint="eastAsia"/>
          <w:kern w:val="0"/>
        </w:rPr>
        <w:t>日上午9:30时整。</w:t>
      </w:r>
    </w:p>
    <w:p>
      <w:pPr>
        <w:spacing w:line="360" w:lineRule="auto"/>
        <w:ind w:firstLine="480" w:firstLineChars="200"/>
        <w:rPr>
          <w:kern w:val="0"/>
        </w:rPr>
      </w:pPr>
      <w:r>
        <w:rPr>
          <w:rFonts w:hint="eastAsia"/>
          <w:kern w:val="0"/>
        </w:rPr>
        <w:t>地点：</w:t>
      </w:r>
      <w:r>
        <w:rPr>
          <w:kern w:val="0"/>
        </w:rPr>
        <w:t>嵊州市公共资源交易中心</w:t>
      </w:r>
      <w:r>
        <w:rPr>
          <w:rFonts w:hint="eastAsia"/>
          <w:kern w:val="0"/>
        </w:rPr>
        <w:t>(官河南路699号国际会展中心北楼三楼)。</w:t>
      </w:r>
    </w:p>
    <w:p>
      <w:pPr>
        <w:spacing w:line="360" w:lineRule="auto"/>
        <w:ind w:firstLine="504" w:firstLineChars="200"/>
        <w:rPr>
          <w:rFonts w:hint="eastAsia" w:ascii="宋体" w:hAnsi="宋体"/>
          <w:kern w:val="0"/>
        </w:rPr>
      </w:pPr>
      <w:r>
        <w:rPr>
          <w:rFonts w:hint="eastAsia" w:ascii="宋体" w:hAnsi="宋体"/>
          <w:spacing w:val="6"/>
        </w:rPr>
        <w:t>十一、</w:t>
      </w:r>
      <w:r>
        <w:rPr>
          <w:rFonts w:hint="eastAsia" w:ascii="宋体" w:hAnsi="宋体"/>
          <w:kern w:val="0"/>
        </w:rPr>
        <w:t>业务咨询：</w:t>
      </w:r>
    </w:p>
    <w:p>
      <w:pPr>
        <w:spacing w:line="360" w:lineRule="auto"/>
        <w:ind w:firstLine="480" w:firstLineChars="200"/>
        <w:rPr>
          <w:rFonts w:hint="eastAsia"/>
          <w:kern w:val="0"/>
        </w:rPr>
      </w:pPr>
      <w:r>
        <w:rPr>
          <w:rFonts w:hint="eastAsia"/>
          <w:kern w:val="0"/>
        </w:rPr>
        <w:t>交易中心联系人：倪老师、潘老师、谢老师   联系电话及传真：0575-83360392</w:t>
      </w:r>
    </w:p>
    <w:p>
      <w:pPr>
        <w:spacing w:line="360" w:lineRule="auto"/>
        <w:ind w:firstLine="504" w:firstLineChars="200"/>
        <w:rPr>
          <w:rFonts w:hint="eastAsia"/>
          <w:kern w:val="0"/>
        </w:rPr>
      </w:pPr>
      <w:r>
        <w:rPr>
          <w:rFonts w:hint="eastAsia" w:ascii="宋体" w:hAnsi="宋体"/>
          <w:spacing w:val="6"/>
        </w:rPr>
        <w:t>采购单位联系人及联系电话：</w:t>
      </w:r>
      <w:r>
        <w:rPr>
          <w:rFonts w:hint="eastAsia" w:cs="宋体"/>
        </w:rPr>
        <w:t xml:space="preserve">  </w:t>
      </w:r>
      <w:r>
        <w:rPr>
          <w:rFonts w:hint="eastAsia" w:ascii="宋体" w:hAnsi="宋体"/>
          <w:kern w:val="0"/>
        </w:rPr>
        <w:t>蒋先生</w:t>
      </w:r>
      <w:r>
        <w:rPr>
          <w:rFonts w:ascii="宋体" w:hAnsi="宋体"/>
          <w:kern w:val="0"/>
        </w:rPr>
        <w:t xml:space="preserve">  </w:t>
      </w:r>
      <w:r>
        <w:rPr>
          <w:rFonts w:hint="eastAsia" w:ascii="宋体" w:hAnsi="宋体"/>
          <w:kern w:val="0"/>
        </w:rPr>
        <w:t>电话：</w:t>
      </w:r>
      <w:r>
        <w:rPr>
          <w:rFonts w:ascii="宋体" w:hAnsi="宋体"/>
          <w:kern w:val="0"/>
        </w:rPr>
        <w:t>0575-83</w:t>
      </w:r>
      <w:r>
        <w:rPr>
          <w:rFonts w:hint="eastAsia" w:ascii="宋体" w:hAnsi="宋体"/>
          <w:kern w:val="0"/>
        </w:rPr>
        <w:t>135265</w:t>
      </w:r>
      <w:r>
        <w:rPr>
          <w:rFonts w:hint="eastAsia"/>
          <w:kern w:val="0"/>
        </w:rPr>
        <w:t xml:space="preserve"> </w:t>
      </w:r>
    </w:p>
    <w:p>
      <w:pPr>
        <w:spacing w:line="360" w:lineRule="auto"/>
        <w:ind w:firstLine="480" w:firstLineChars="200"/>
        <w:rPr>
          <w:rFonts w:hint="eastAsia"/>
        </w:rPr>
      </w:pPr>
      <w:r>
        <w:rPr>
          <w:rFonts w:hint="eastAsia"/>
        </w:rPr>
        <w:t>十二、其他事项：</w:t>
      </w:r>
    </w:p>
    <w:p>
      <w:pPr>
        <w:spacing w:line="360" w:lineRule="auto"/>
        <w:ind w:firstLine="480" w:firstLineChars="200"/>
        <w:rPr>
          <w:rFonts w:hint="eastAsia"/>
        </w:rPr>
      </w:pPr>
      <w:r>
        <w:rPr>
          <w:rFonts w:hint="eastAsia"/>
        </w:rPr>
        <w:t>根据《浙江省政府采购供应商注册登记和诚信管理暂行办法》，中标（成交）的供应商，须申请加入“浙江省政府采购供应商库”；请供应商及时登入“浙江政府采购” 网进行登记注册。</w:t>
      </w:r>
    </w:p>
    <w:p>
      <w:pPr>
        <w:tabs>
          <w:tab w:val="left" w:pos="1560"/>
        </w:tabs>
        <w:spacing w:line="360" w:lineRule="auto"/>
        <w:ind w:left="-60" w:leftChars="-25" w:firstLine="5760" w:firstLineChars="2400"/>
        <w:rPr>
          <w:rFonts w:hint="eastAsia"/>
        </w:rPr>
      </w:pPr>
    </w:p>
    <w:p>
      <w:pPr>
        <w:tabs>
          <w:tab w:val="left" w:pos="1560"/>
        </w:tabs>
        <w:spacing w:line="360" w:lineRule="auto"/>
        <w:ind w:left="-60" w:leftChars="-25" w:firstLine="5760" w:firstLineChars="2400"/>
        <w:rPr>
          <w:rFonts w:hint="eastAsia"/>
        </w:rPr>
      </w:pPr>
      <w:r>
        <w:rPr>
          <w:rFonts w:hint="eastAsia"/>
        </w:rPr>
        <w:t>嵊州市公共资源交易中心</w:t>
      </w:r>
    </w:p>
    <w:p>
      <w:pPr>
        <w:pStyle w:val="46"/>
        <w:ind w:left="112" w:leftChars="47" w:firstLine="3952" w:firstLineChars="1647"/>
        <w:jc w:val="center"/>
        <w:rPr>
          <w:rFonts w:hint="eastAsia" w:ascii="Times New Roman" w:eastAsia="宋体"/>
          <w:sz w:val="24"/>
        </w:rPr>
      </w:pPr>
      <w:r>
        <w:rPr>
          <w:rFonts w:hint="eastAsia" w:ascii="宋体" w:hAnsi="宋体" w:eastAsia="宋体"/>
          <w:sz w:val="24"/>
          <w:szCs w:val="24"/>
        </w:rPr>
        <w:t xml:space="preserve">      </w:t>
      </w:r>
      <w:r>
        <w:rPr>
          <w:rFonts w:hint="eastAsia" w:ascii="Times New Roman" w:eastAsia="宋体"/>
          <w:kern w:val="2"/>
          <w:sz w:val="24"/>
        </w:rPr>
        <w:t xml:space="preserve"> 2019年5月</w:t>
      </w:r>
      <w:r>
        <w:rPr>
          <w:rFonts w:hint="eastAsia" w:ascii="Times New Roman" w:eastAsia="宋体"/>
          <w:kern w:val="2"/>
          <w:sz w:val="24"/>
          <w:lang w:val="en-US" w:eastAsia="zh-CN"/>
        </w:rPr>
        <w:t>17</w:t>
      </w:r>
      <w:r>
        <w:rPr>
          <w:rFonts w:hint="eastAsia" w:ascii="Times New Roman" w:eastAsia="宋体"/>
          <w:kern w:val="2"/>
          <w:sz w:val="24"/>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pageBreakBefore/>
        <w:widowControl/>
        <w:tabs>
          <w:tab w:val="left" w:pos="478"/>
        </w:tabs>
        <w:autoSpaceDE w:val="0"/>
        <w:autoSpaceDN w:val="0"/>
        <w:spacing w:before="240" w:after="120" w:line="360" w:lineRule="auto"/>
        <w:ind w:left="478" w:hanging="960"/>
        <w:rPr>
          <w:rFonts w:ascii="宋体" w:hAnsi="Calibri" w:eastAsia="宋体"/>
          <w:b w:val="0"/>
          <w:color w:val="000000"/>
          <w:kern w:val="0"/>
          <w:sz w:val="36"/>
        </w:rPr>
      </w:pPr>
      <w:bookmarkStart w:id="7" w:name="_Toc226337757"/>
      <w:bookmarkStart w:id="8" w:name="_Toc248065035"/>
      <w:bookmarkStart w:id="9" w:name="_Toc304551309"/>
      <w:bookmarkStart w:id="10" w:name="_Toc456345897"/>
      <w:bookmarkStart w:id="11" w:name="_Toc180555916"/>
      <w:bookmarkStart w:id="12" w:name="_Toc528046844"/>
      <w:bookmarkStart w:id="13" w:name="_Toc458419333"/>
      <w:r>
        <w:rPr>
          <w:rFonts w:ascii="宋体" w:hAnsi="Calibri" w:eastAsia="宋体"/>
          <w:b w:val="0"/>
          <w:color w:val="000000"/>
          <w:kern w:val="0"/>
          <w:sz w:val="36"/>
        </w:rPr>
        <w:t>第二部分 投标须知</w:t>
      </w:r>
      <w:bookmarkEnd w:id="7"/>
      <w:bookmarkEnd w:id="8"/>
      <w:bookmarkEnd w:id="9"/>
      <w:bookmarkEnd w:id="10"/>
      <w:bookmarkEnd w:id="11"/>
      <w:bookmarkEnd w:id="12"/>
      <w:bookmarkEnd w:id="13"/>
    </w:p>
    <w:p>
      <w:pPr>
        <w:pStyle w:val="3"/>
        <w:rPr>
          <w:rFonts w:hint="eastAsia" w:ascii="宋体" w:hAnsi="Calibri" w:eastAsia="宋体"/>
          <w:color w:val="000000"/>
          <w:kern w:val="0"/>
          <w:sz w:val="32"/>
          <w:szCs w:val="32"/>
        </w:rPr>
      </w:pPr>
      <w:bookmarkStart w:id="14" w:name="_Toc304551310"/>
      <w:bookmarkStart w:id="15" w:name="_Toc248065036"/>
      <w:bookmarkStart w:id="16" w:name="_Toc528046845"/>
      <w:bookmarkStart w:id="17" w:name="_Toc456345898"/>
      <w:bookmarkStart w:id="18" w:name="_Toc180555917"/>
      <w:bookmarkStart w:id="19" w:name="_Toc226337758"/>
      <w:bookmarkStart w:id="20" w:name="_Toc458419334"/>
      <w:r>
        <w:rPr>
          <w:rFonts w:hint="eastAsia" w:ascii="宋体" w:hAnsi="Calibri" w:eastAsia="宋体"/>
          <w:color w:val="000000"/>
          <w:kern w:val="0"/>
          <w:sz w:val="32"/>
          <w:szCs w:val="32"/>
        </w:rPr>
        <w:t>一、投标须知前附表</w:t>
      </w:r>
      <w:bookmarkEnd w:id="14"/>
      <w:bookmarkEnd w:id="15"/>
      <w:bookmarkEnd w:id="16"/>
      <w:bookmarkEnd w:id="17"/>
      <w:bookmarkEnd w:id="18"/>
      <w:bookmarkEnd w:id="19"/>
      <w:bookmarkEnd w:id="20"/>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1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jc w:val="center"/>
        </w:trPr>
        <w:tc>
          <w:tcPr>
            <w:tcW w:w="90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序号</w:t>
            </w:r>
          </w:p>
        </w:tc>
        <w:tc>
          <w:tcPr>
            <w:tcW w:w="171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项  目</w:t>
            </w:r>
          </w:p>
        </w:tc>
        <w:tc>
          <w:tcPr>
            <w:tcW w:w="783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编    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jc w:val="center"/>
        </w:trPr>
        <w:tc>
          <w:tcPr>
            <w:tcW w:w="90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1</w:t>
            </w:r>
          </w:p>
        </w:tc>
        <w:tc>
          <w:tcPr>
            <w:tcW w:w="171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概  况</w:t>
            </w:r>
          </w:p>
        </w:tc>
        <w:tc>
          <w:tcPr>
            <w:tcW w:w="7830" w:type="dxa"/>
            <w:noWrap w:val="0"/>
            <w:vAlign w:val="center"/>
          </w:tcPr>
          <w:p>
            <w:pPr>
              <w:snapToGrid w:val="0"/>
              <w:spacing w:line="460" w:lineRule="exact"/>
              <w:rPr>
                <w:rFonts w:hint="eastAsia" w:ascii="宋体" w:hAnsi="宋体"/>
                <w:color w:val="000000"/>
                <w:szCs w:val="24"/>
              </w:rPr>
            </w:pPr>
            <w:r>
              <w:rPr>
                <w:rFonts w:hint="eastAsia" w:ascii="宋体" w:hAnsi="宋体"/>
                <w:color w:val="000000"/>
                <w:szCs w:val="24"/>
              </w:rPr>
              <w:t>项目名称：</w:t>
            </w:r>
            <w:r>
              <w:rPr>
                <w:rFonts w:hint="eastAsia" w:ascii="宋体" w:hAnsi="宋体"/>
                <w:bCs/>
                <w:iCs/>
              </w:rPr>
              <w:t>嵊州市雪亮工程之应急无线通信系统项目</w:t>
            </w:r>
          </w:p>
          <w:p>
            <w:pPr>
              <w:snapToGrid w:val="0"/>
              <w:spacing w:line="460" w:lineRule="exact"/>
              <w:rPr>
                <w:rFonts w:hint="eastAsia" w:ascii="宋体" w:hAnsi="宋体"/>
                <w:color w:val="000000"/>
                <w:szCs w:val="24"/>
              </w:rPr>
            </w:pPr>
            <w:r>
              <w:rPr>
                <w:rFonts w:hint="eastAsia" w:ascii="宋体" w:hAnsi="宋体"/>
                <w:color w:val="000000"/>
                <w:szCs w:val="24"/>
              </w:rPr>
              <w:t>建设地点：</w:t>
            </w:r>
            <w:r>
              <w:rPr>
                <w:rFonts w:hint="eastAsia" w:ascii="宋体" w:hAnsi="宋体"/>
                <w:bCs/>
                <w:iCs/>
              </w:rPr>
              <w:t>嵊州市公安局及其指定地点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jc w:val="center"/>
        </w:trPr>
        <w:tc>
          <w:tcPr>
            <w:tcW w:w="90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2</w:t>
            </w:r>
          </w:p>
        </w:tc>
        <w:tc>
          <w:tcPr>
            <w:tcW w:w="1710" w:type="dxa"/>
            <w:noWrap w:val="0"/>
            <w:vAlign w:val="center"/>
          </w:tcPr>
          <w:p>
            <w:pPr>
              <w:snapToGrid w:val="0"/>
              <w:spacing w:line="460" w:lineRule="exact"/>
              <w:rPr>
                <w:rFonts w:hint="eastAsia" w:ascii="宋体" w:hAnsi="宋体"/>
                <w:color w:val="000000"/>
                <w:szCs w:val="24"/>
              </w:rPr>
            </w:pPr>
            <w:r>
              <w:rPr>
                <w:rFonts w:hint="eastAsia" w:ascii="宋体" w:hAnsi="宋体"/>
                <w:color w:val="000000"/>
                <w:szCs w:val="24"/>
              </w:rPr>
              <w:t>投标文件份数</w:t>
            </w:r>
          </w:p>
        </w:tc>
        <w:tc>
          <w:tcPr>
            <w:tcW w:w="7830" w:type="dxa"/>
            <w:noWrap w:val="0"/>
            <w:vAlign w:val="center"/>
          </w:tcPr>
          <w:p>
            <w:pPr>
              <w:snapToGrid w:val="0"/>
              <w:spacing w:line="460" w:lineRule="exact"/>
              <w:rPr>
                <w:rFonts w:hint="eastAsia" w:ascii="宋体" w:hAnsi="宋体"/>
                <w:color w:val="000000"/>
                <w:szCs w:val="24"/>
              </w:rPr>
            </w:pPr>
            <w:r>
              <w:rPr>
                <w:rFonts w:hint="eastAsia" w:ascii="宋体" w:hAnsi="宋体"/>
                <w:color w:val="000000"/>
                <w:szCs w:val="24"/>
              </w:rPr>
              <w:t>正本壹份，副本伍份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7" w:hRule="atLeast"/>
          <w:jc w:val="center"/>
        </w:trPr>
        <w:tc>
          <w:tcPr>
            <w:tcW w:w="90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3</w:t>
            </w:r>
          </w:p>
        </w:tc>
        <w:tc>
          <w:tcPr>
            <w:tcW w:w="1710" w:type="dxa"/>
            <w:noWrap w:val="0"/>
            <w:vAlign w:val="center"/>
          </w:tcPr>
          <w:p>
            <w:pPr>
              <w:snapToGrid w:val="0"/>
              <w:spacing w:line="460" w:lineRule="exact"/>
              <w:rPr>
                <w:rFonts w:hint="eastAsia" w:ascii="宋体" w:hAnsi="宋体"/>
                <w:color w:val="000000"/>
                <w:szCs w:val="24"/>
              </w:rPr>
            </w:pPr>
            <w:r>
              <w:rPr>
                <w:rFonts w:hint="eastAsia" w:ascii="宋体" w:hAnsi="宋体"/>
                <w:color w:val="000000"/>
                <w:szCs w:val="24"/>
              </w:rPr>
              <w:t>投标有效期</w:t>
            </w:r>
          </w:p>
        </w:tc>
        <w:tc>
          <w:tcPr>
            <w:tcW w:w="7830" w:type="dxa"/>
            <w:noWrap w:val="0"/>
            <w:vAlign w:val="center"/>
          </w:tcPr>
          <w:p>
            <w:pPr>
              <w:snapToGrid w:val="0"/>
              <w:spacing w:line="460" w:lineRule="exact"/>
              <w:rPr>
                <w:rFonts w:hint="eastAsia" w:ascii="宋体" w:hAnsi="宋体"/>
                <w:color w:val="000000"/>
                <w:szCs w:val="24"/>
              </w:rPr>
            </w:pPr>
            <w:r>
              <w:rPr>
                <w:rFonts w:hint="eastAsia" w:ascii="宋体" w:hAnsi="宋体"/>
                <w:color w:val="000000"/>
                <w:szCs w:val="24"/>
              </w:rPr>
              <w:t>投标截止时间后90天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6" w:hRule="atLeast"/>
          <w:jc w:val="center"/>
        </w:trPr>
        <w:tc>
          <w:tcPr>
            <w:tcW w:w="90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4</w:t>
            </w:r>
          </w:p>
        </w:tc>
        <w:tc>
          <w:tcPr>
            <w:tcW w:w="171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保 证 金</w:t>
            </w:r>
          </w:p>
        </w:tc>
        <w:tc>
          <w:tcPr>
            <w:tcW w:w="7830" w:type="dxa"/>
            <w:noWrap w:val="0"/>
            <w:vAlign w:val="center"/>
          </w:tcPr>
          <w:p>
            <w:pPr>
              <w:snapToGrid w:val="0"/>
              <w:spacing w:line="460" w:lineRule="exact"/>
              <w:rPr>
                <w:rFonts w:hint="eastAsia" w:ascii="宋体" w:hAnsi="宋体"/>
              </w:rPr>
            </w:pPr>
            <w:r>
              <w:rPr>
                <w:rFonts w:hint="eastAsia" w:ascii="宋体" w:hAnsi="宋体"/>
                <w:color w:val="000000"/>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3" w:hRule="atLeast"/>
          <w:jc w:val="center"/>
        </w:trPr>
        <w:tc>
          <w:tcPr>
            <w:tcW w:w="90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5</w:t>
            </w:r>
          </w:p>
        </w:tc>
        <w:tc>
          <w:tcPr>
            <w:tcW w:w="171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质</w:t>
            </w:r>
            <w:r>
              <w:rPr>
                <w:rFonts w:ascii="宋体" w:hAnsi="宋体"/>
              </w:rPr>
              <w:t xml:space="preserve"> 疑 时 间</w:t>
            </w:r>
          </w:p>
        </w:tc>
        <w:tc>
          <w:tcPr>
            <w:tcW w:w="7830" w:type="dxa"/>
            <w:noWrap w:val="0"/>
            <w:vAlign w:val="center"/>
          </w:tcPr>
          <w:p>
            <w:pPr>
              <w:snapToGrid w:val="0"/>
              <w:spacing w:line="460" w:lineRule="exact"/>
              <w:rPr>
                <w:rFonts w:hint="eastAsia" w:ascii="宋体" w:hAnsi="宋体"/>
              </w:rPr>
            </w:pPr>
            <w:r>
              <w:rPr>
                <w:rFonts w:hint="eastAsia" w:ascii="宋体" w:hAnsi="宋体"/>
                <w:color w:val="000000"/>
                <w:szCs w:val="24"/>
              </w:rPr>
              <w:t>投标人如对招标文件有异议，</w:t>
            </w:r>
            <w:r>
              <w:rPr>
                <w:rFonts w:hint="eastAsia" w:ascii="宋体" w:hAnsi="宋体"/>
              </w:rPr>
              <w:t>应当于2019</w:t>
            </w:r>
            <w:r>
              <w:rPr>
                <w:rFonts w:hint="eastAsia" w:ascii="宋体" w:hAnsi="宋体"/>
                <w:color w:val="auto"/>
              </w:rPr>
              <w:t>年</w:t>
            </w:r>
            <w:r>
              <w:rPr>
                <w:rFonts w:hint="eastAsia" w:ascii="宋体" w:hAnsi="宋体"/>
                <w:color w:val="auto"/>
                <w:lang w:val="en-US" w:eastAsia="zh-CN"/>
              </w:rPr>
              <w:t>6</w:t>
            </w:r>
            <w:r>
              <w:rPr>
                <w:rFonts w:hint="eastAsia" w:ascii="宋体" w:hAnsi="宋体"/>
                <w:color w:val="auto"/>
              </w:rPr>
              <w:t>月4日下</w:t>
            </w:r>
            <w:r>
              <w:rPr>
                <w:rFonts w:hint="eastAsia" w:ascii="宋体" w:hAnsi="宋体"/>
              </w:rPr>
              <w:t>午5:00前，以书面形式向招标采购单位提出，逾期不予受理。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jc w:val="center"/>
        </w:trPr>
        <w:tc>
          <w:tcPr>
            <w:tcW w:w="90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6</w:t>
            </w:r>
          </w:p>
        </w:tc>
        <w:tc>
          <w:tcPr>
            <w:tcW w:w="171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投标文件送达时间和地点</w:t>
            </w:r>
          </w:p>
        </w:tc>
        <w:tc>
          <w:tcPr>
            <w:tcW w:w="7830" w:type="dxa"/>
            <w:noWrap w:val="0"/>
            <w:vAlign w:val="center"/>
          </w:tcPr>
          <w:p>
            <w:pPr>
              <w:snapToGrid w:val="0"/>
              <w:spacing w:line="460" w:lineRule="exact"/>
              <w:rPr>
                <w:rFonts w:hint="eastAsia" w:ascii="宋体" w:hAnsi="宋体"/>
                <w:szCs w:val="24"/>
              </w:rPr>
            </w:pPr>
            <w:r>
              <w:rPr>
                <w:rFonts w:hint="eastAsia"/>
                <w:kern w:val="0"/>
              </w:rPr>
              <w:t>2019年6月</w:t>
            </w:r>
            <w:r>
              <w:rPr>
                <w:rFonts w:hint="eastAsia"/>
                <w:kern w:val="0"/>
                <w:lang w:val="en-US" w:eastAsia="zh-CN"/>
              </w:rPr>
              <w:t>6</w:t>
            </w:r>
            <w:r>
              <w:rPr>
                <w:rFonts w:hint="eastAsia"/>
                <w:kern w:val="0"/>
              </w:rPr>
              <w:t>日上午9:30时</w:t>
            </w:r>
            <w:r>
              <w:rPr>
                <w:rFonts w:hint="eastAsia" w:ascii="宋体" w:hAnsi="宋体"/>
                <w:szCs w:val="24"/>
              </w:rPr>
              <w:t>前；</w:t>
            </w:r>
          </w:p>
          <w:p>
            <w:pPr>
              <w:snapToGrid w:val="0"/>
              <w:spacing w:line="460" w:lineRule="exact"/>
              <w:rPr>
                <w:rFonts w:hint="eastAsia" w:ascii="宋体" w:hAnsi="宋体"/>
              </w:rPr>
            </w:pPr>
            <w:r>
              <w:rPr>
                <w:rFonts w:hint="eastAsia" w:ascii="宋体" w:hAnsi="宋体"/>
                <w:szCs w:val="24"/>
              </w:rPr>
              <w:t>嵊州市公共资源交易中心</w:t>
            </w:r>
            <w:r>
              <w:rPr>
                <w:rFonts w:hint="eastAsia"/>
                <w:kern w:val="0"/>
              </w:rPr>
              <w:t>(官河南路699号国际会展中心北楼三楼)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jc w:val="center"/>
        </w:trPr>
        <w:tc>
          <w:tcPr>
            <w:tcW w:w="90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7</w:t>
            </w:r>
          </w:p>
        </w:tc>
        <w:tc>
          <w:tcPr>
            <w:tcW w:w="171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投标截止时间</w:t>
            </w:r>
          </w:p>
        </w:tc>
        <w:tc>
          <w:tcPr>
            <w:tcW w:w="7830" w:type="dxa"/>
            <w:noWrap w:val="0"/>
            <w:vAlign w:val="center"/>
          </w:tcPr>
          <w:p>
            <w:pPr>
              <w:autoSpaceDE w:val="0"/>
              <w:autoSpaceDN w:val="0"/>
              <w:snapToGrid w:val="0"/>
              <w:textAlignment w:val="bottom"/>
              <w:rPr>
                <w:rFonts w:ascii="宋体" w:hAnsi="宋体"/>
              </w:rPr>
            </w:pPr>
            <w:r>
              <w:rPr>
                <w:rFonts w:hint="eastAsia"/>
                <w:kern w:val="0"/>
              </w:rPr>
              <w:t>2019年6月</w:t>
            </w:r>
            <w:r>
              <w:rPr>
                <w:rFonts w:hint="eastAsia"/>
                <w:kern w:val="0"/>
                <w:lang w:val="en-US" w:eastAsia="zh-CN"/>
              </w:rPr>
              <w:t>6</w:t>
            </w:r>
            <w:r>
              <w:rPr>
                <w:rFonts w:hint="eastAsia"/>
                <w:kern w:val="0"/>
              </w:rPr>
              <w:t>日上午9:30时</w:t>
            </w:r>
            <w:r>
              <w:rPr>
                <w:rFonts w:hint="eastAsia" w:ascii="宋体" w:hAnsi="宋体"/>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4" w:hRule="atLeast"/>
          <w:jc w:val="center"/>
        </w:trPr>
        <w:tc>
          <w:tcPr>
            <w:tcW w:w="90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8</w:t>
            </w:r>
          </w:p>
        </w:tc>
        <w:tc>
          <w:tcPr>
            <w:tcW w:w="1710" w:type="dxa"/>
            <w:noWrap w:val="0"/>
            <w:vAlign w:val="center"/>
          </w:tcPr>
          <w:p>
            <w:pPr>
              <w:autoSpaceDE w:val="0"/>
              <w:autoSpaceDN w:val="0"/>
              <w:snapToGrid w:val="0"/>
              <w:spacing w:line="360" w:lineRule="auto"/>
              <w:jc w:val="center"/>
              <w:textAlignment w:val="bottom"/>
              <w:rPr>
                <w:rFonts w:hint="eastAsia" w:ascii="宋体" w:hAnsi="宋体"/>
              </w:rPr>
            </w:pPr>
            <w:r>
              <w:rPr>
                <w:rFonts w:hint="eastAsia" w:ascii="宋体" w:hAnsi="宋体"/>
              </w:rPr>
              <w:t>开  标</w:t>
            </w:r>
          </w:p>
        </w:tc>
        <w:tc>
          <w:tcPr>
            <w:tcW w:w="7830" w:type="dxa"/>
            <w:noWrap w:val="0"/>
            <w:vAlign w:val="center"/>
          </w:tcPr>
          <w:p>
            <w:pPr>
              <w:snapToGrid w:val="0"/>
              <w:spacing w:line="460" w:lineRule="exact"/>
              <w:rPr>
                <w:rFonts w:hint="eastAsia" w:ascii="宋体" w:hAnsi="宋体"/>
                <w:szCs w:val="24"/>
              </w:rPr>
            </w:pPr>
            <w:r>
              <w:rPr>
                <w:rFonts w:hint="eastAsia" w:ascii="宋体" w:hAnsi="宋体"/>
                <w:szCs w:val="24"/>
              </w:rPr>
              <w:t>时间：</w:t>
            </w:r>
            <w:r>
              <w:rPr>
                <w:rFonts w:hint="eastAsia"/>
                <w:kern w:val="0"/>
              </w:rPr>
              <w:t>2019年6月</w:t>
            </w:r>
            <w:r>
              <w:rPr>
                <w:rFonts w:hint="eastAsia"/>
                <w:kern w:val="0"/>
                <w:lang w:val="en-US" w:eastAsia="zh-CN"/>
              </w:rPr>
              <w:t>6</w:t>
            </w:r>
            <w:r>
              <w:rPr>
                <w:rFonts w:hint="eastAsia"/>
                <w:kern w:val="0"/>
              </w:rPr>
              <w:t>日上午9:30时</w:t>
            </w:r>
            <w:r>
              <w:rPr>
                <w:rFonts w:hint="eastAsia" w:ascii="宋体" w:hAnsi="宋体"/>
                <w:szCs w:val="24"/>
              </w:rPr>
              <w:t>整。</w:t>
            </w:r>
          </w:p>
          <w:p>
            <w:pPr>
              <w:snapToGrid w:val="0"/>
              <w:spacing w:line="460" w:lineRule="exact"/>
              <w:rPr>
                <w:rFonts w:hint="eastAsia" w:ascii="宋体" w:hAnsi="宋体"/>
                <w:szCs w:val="24"/>
              </w:rPr>
            </w:pPr>
            <w:r>
              <w:rPr>
                <w:rFonts w:hint="eastAsia" w:ascii="宋体" w:hAnsi="宋体"/>
                <w:szCs w:val="24"/>
              </w:rPr>
              <w:t>地点：嵊州市公共资源交易中心</w:t>
            </w:r>
            <w:r>
              <w:rPr>
                <w:rFonts w:hint="eastAsia"/>
                <w:kern w:val="0"/>
              </w:rPr>
              <w:t>(官河南路699号国际会展中心北楼三楼)</w:t>
            </w:r>
            <w:r>
              <w:rPr>
                <w:rFonts w:hint="eastAsia" w:ascii="宋体" w:hAnsi="宋体"/>
                <w:szCs w:val="24"/>
              </w:rPr>
              <w:t>。投标人法定代表人或其授权委托代理人须随带本人有效身份证准时到场参加开标。</w:t>
            </w:r>
            <w:r>
              <w:rPr>
                <w:rFonts w:hint="eastAsia" w:ascii="宋体" w:hAnsi="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72" w:hRule="atLeast"/>
          <w:jc w:val="center"/>
        </w:trPr>
        <w:tc>
          <w:tcPr>
            <w:tcW w:w="900" w:type="dxa"/>
            <w:tcBorders>
              <w:bottom w:val="single" w:color="auto" w:sz="4" w:space="0"/>
            </w:tcBorders>
            <w:noWrap w:val="0"/>
            <w:vAlign w:val="center"/>
          </w:tcPr>
          <w:p>
            <w:pPr>
              <w:autoSpaceDE w:val="0"/>
              <w:autoSpaceDN w:val="0"/>
              <w:adjustRightInd w:val="0"/>
              <w:snapToGrid w:val="0"/>
              <w:spacing w:line="360" w:lineRule="auto"/>
              <w:jc w:val="center"/>
              <w:rPr>
                <w:rFonts w:hint="eastAsia" w:ascii="宋体" w:hAnsi="宋体"/>
                <w:kern w:val="0"/>
                <w:lang w:val="zh-CN"/>
              </w:rPr>
            </w:pPr>
            <w:r>
              <w:rPr>
                <w:rFonts w:hint="eastAsia" w:ascii="宋体" w:hAnsi="宋体"/>
                <w:kern w:val="0"/>
                <w:lang w:val="zh-CN"/>
              </w:rPr>
              <w:t>9</w:t>
            </w:r>
          </w:p>
        </w:tc>
        <w:tc>
          <w:tcPr>
            <w:tcW w:w="1710" w:type="dxa"/>
            <w:tcBorders>
              <w:bottom w:val="single" w:color="auto" w:sz="4" w:space="0"/>
            </w:tcBorders>
            <w:noWrap w:val="0"/>
            <w:vAlign w:val="center"/>
          </w:tcPr>
          <w:p>
            <w:pPr>
              <w:autoSpaceDE w:val="0"/>
              <w:autoSpaceDN w:val="0"/>
              <w:snapToGrid w:val="0"/>
              <w:spacing w:line="360" w:lineRule="auto"/>
              <w:textAlignment w:val="bottom"/>
              <w:rPr>
                <w:rFonts w:ascii="宋体" w:hAnsi="宋体"/>
              </w:rPr>
            </w:pPr>
            <w:r>
              <w:rPr>
                <w:rFonts w:hint="eastAsia" w:ascii="宋体" w:hAnsi="宋体"/>
              </w:rPr>
              <w:t>讲标或询标</w:t>
            </w:r>
          </w:p>
        </w:tc>
        <w:tc>
          <w:tcPr>
            <w:tcW w:w="7830" w:type="dxa"/>
            <w:tcBorders>
              <w:bottom w:val="single" w:color="auto" w:sz="4" w:space="0"/>
            </w:tcBorders>
            <w:noWrap w:val="0"/>
            <w:vAlign w:val="center"/>
          </w:tcPr>
          <w:p>
            <w:pPr>
              <w:snapToGrid w:val="0"/>
              <w:spacing w:line="460" w:lineRule="exact"/>
              <w:rPr>
                <w:rFonts w:ascii="宋体" w:hAnsi="宋体"/>
              </w:rPr>
            </w:pPr>
            <w:r>
              <w:rPr>
                <w:rFonts w:hint="eastAsia" w:ascii="宋体" w:hAnsi="宋体"/>
                <w:color w:val="000000"/>
                <w:szCs w:val="24"/>
              </w:rPr>
              <w:t>如评标有需要，各投标人需准备并接受评委询标，询标次序按开标时的签到顺序进行。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58" w:hRule="atLeast"/>
          <w:jc w:val="center"/>
        </w:trPr>
        <w:tc>
          <w:tcPr>
            <w:tcW w:w="900" w:type="dxa"/>
            <w:tcBorders>
              <w:top w:val="single" w:color="auto" w:sz="4" w:space="0"/>
            </w:tcBorders>
            <w:noWrap w:val="0"/>
            <w:vAlign w:val="center"/>
          </w:tcPr>
          <w:p>
            <w:pPr>
              <w:autoSpaceDE w:val="0"/>
              <w:autoSpaceDN w:val="0"/>
              <w:snapToGrid w:val="0"/>
              <w:spacing w:line="360" w:lineRule="auto"/>
              <w:ind w:firstLine="240" w:firstLineChars="100"/>
              <w:textAlignment w:val="bottom"/>
              <w:rPr>
                <w:rFonts w:hint="eastAsia" w:ascii="宋体" w:hAnsi="宋体"/>
                <w:szCs w:val="22"/>
              </w:rPr>
            </w:pPr>
            <w:r>
              <w:rPr>
                <w:rFonts w:hint="eastAsia" w:ascii="宋体" w:hAnsi="宋体"/>
                <w:szCs w:val="22"/>
              </w:rPr>
              <w:t>10</w:t>
            </w:r>
          </w:p>
        </w:tc>
        <w:tc>
          <w:tcPr>
            <w:tcW w:w="1710" w:type="dxa"/>
            <w:tcBorders>
              <w:top w:val="single" w:color="auto" w:sz="4" w:space="0"/>
            </w:tcBorders>
            <w:noWrap w:val="0"/>
            <w:vAlign w:val="center"/>
          </w:tcPr>
          <w:p>
            <w:pPr>
              <w:autoSpaceDE w:val="0"/>
              <w:autoSpaceDN w:val="0"/>
              <w:snapToGrid w:val="0"/>
              <w:spacing w:line="360" w:lineRule="auto"/>
              <w:textAlignment w:val="bottom"/>
              <w:rPr>
                <w:rFonts w:hint="eastAsia" w:ascii="宋体" w:hAnsi="宋体"/>
                <w:szCs w:val="22"/>
              </w:rPr>
            </w:pPr>
            <w:r>
              <w:rPr>
                <w:rFonts w:hint="eastAsia" w:ascii="宋体" w:hAnsi="宋体"/>
                <w:szCs w:val="22"/>
              </w:rPr>
              <w:t>现场踏堪</w:t>
            </w:r>
          </w:p>
        </w:tc>
        <w:tc>
          <w:tcPr>
            <w:tcW w:w="7830" w:type="dxa"/>
            <w:tcBorders>
              <w:top w:val="single" w:color="auto" w:sz="4" w:space="0"/>
            </w:tcBorders>
            <w:noWrap w:val="0"/>
            <w:vAlign w:val="center"/>
          </w:tcPr>
          <w:p>
            <w:pPr>
              <w:autoSpaceDE w:val="0"/>
              <w:autoSpaceDN w:val="0"/>
              <w:snapToGrid w:val="0"/>
              <w:spacing w:line="360" w:lineRule="auto"/>
              <w:textAlignment w:val="bottom"/>
              <w:rPr>
                <w:rFonts w:hint="eastAsia" w:ascii="宋体" w:hAnsi="宋体"/>
                <w:szCs w:val="22"/>
              </w:rPr>
            </w:pPr>
            <w:r>
              <w:rPr>
                <w:rFonts w:hint="eastAsia" w:ascii="宋体" w:hAnsi="宋体"/>
                <w:color w:val="auto"/>
                <w:szCs w:val="22"/>
              </w:rPr>
              <w:t>需要在投标前自行对嵊州市范围内基站信号进行电测，并形成电测报告。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33" w:hRule="atLeast"/>
          <w:jc w:val="center"/>
        </w:trPr>
        <w:tc>
          <w:tcPr>
            <w:tcW w:w="900" w:type="dxa"/>
            <w:noWrap w:val="0"/>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11</w:t>
            </w:r>
          </w:p>
        </w:tc>
        <w:tc>
          <w:tcPr>
            <w:tcW w:w="1710" w:type="dxa"/>
            <w:noWrap w:val="0"/>
            <w:vAlign w:val="center"/>
          </w:tcPr>
          <w:p>
            <w:pPr>
              <w:autoSpaceDE w:val="0"/>
              <w:autoSpaceDN w:val="0"/>
              <w:snapToGrid w:val="0"/>
              <w:spacing w:line="360" w:lineRule="auto"/>
              <w:textAlignment w:val="bottom"/>
              <w:rPr>
                <w:rFonts w:hint="eastAsia" w:ascii="宋体" w:hAnsi="宋体"/>
              </w:rPr>
            </w:pPr>
            <w:r>
              <w:rPr>
                <w:rFonts w:hint="eastAsia" w:ascii="宋体" w:hAnsi="宋体"/>
                <w:color w:val="000000"/>
                <w:szCs w:val="24"/>
              </w:rPr>
              <w:t>进口产品</w:t>
            </w:r>
          </w:p>
        </w:tc>
        <w:tc>
          <w:tcPr>
            <w:tcW w:w="7830" w:type="dxa"/>
            <w:noWrap w:val="0"/>
            <w:vAlign w:val="center"/>
          </w:tcPr>
          <w:p>
            <w:pPr>
              <w:snapToGrid w:val="0"/>
              <w:spacing w:line="460" w:lineRule="exact"/>
              <w:rPr>
                <w:rFonts w:hint="eastAsia" w:ascii="宋体" w:hAnsi="宋体"/>
                <w:szCs w:val="24"/>
              </w:rPr>
            </w:pPr>
            <w:r>
              <w:rPr>
                <w:rFonts w:hint="eastAsia" w:ascii="宋体" w:hAnsi="宋体"/>
                <w:color w:val="000000"/>
                <w:szCs w:val="24"/>
              </w:rPr>
              <w:t>本项目不采购进口产品，供应商所提供的货物和服务须在我国境内合法生产、销售。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33" w:hRule="atLeast"/>
          <w:jc w:val="center"/>
        </w:trPr>
        <w:tc>
          <w:tcPr>
            <w:tcW w:w="900" w:type="dxa"/>
            <w:noWrap w:val="0"/>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12</w:t>
            </w:r>
          </w:p>
        </w:tc>
        <w:tc>
          <w:tcPr>
            <w:tcW w:w="1710" w:type="dxa"/>
            <w:noWrap w:val="0"/>
            <w:vAlign w:val="center"/>
          </w:tcPr>
          <w:p>
            <w:pPr>
              <w:autoSpaceDE w:val="0"/>
              <w:autoSpaceDN w:val="0"/>
              <w:snapToGrid w:val="0"/>
              <w:spacing w:line="360" w:lineRule="auto"/>
              <w:textAlignment w:val="bottom"/>
              <w:rPr>
                <w:rFonts w:hint="eastAsia" w:ascii="宋体" w:hAnsi="宋体"/>
              </w:rPr>
            </w:pPr>
            <w:r>
              <w:rPr>
                <w:rFonts w:hint="eastAsia" w:ascii="宋体" w:hAnsi="宋体"/>
                <w:color w:val="000000"/>
                <w:szCs w:val="24"/>
              </w:rPr>
              <w:t>节能环保要求</w:t>
            </w:r>
          </w:p>
        </w:tc>
        <w:tc>
          <w:tcPr>
            <w:tcW w:w="7830" w:type="dxa"/>
            <w:noWrap w:val="0"/>
            <w:vAlign w:val="center"/>
          </w:tcPr>
          <w:p>
            <w:pPr>
              <w:snapToGrid w:val="0"/>
              <w:spacing w:line="460" w:lineRule="exact"/>
              <w:rPr>
                <w:rFonts w:hint="eastAsia" w:ascii="宋体" w:hAnsi="宋体"/>
                <w:szCs w:val="24"/>
              </w:rPr>
            </w:pPr>
            <w:r>
              <w:rPr>
                <w:rFonts w:hint="eastAsia" w:ascii="宋体" w:hAnsi="宋体"/>
                <w:color w:val="000000"/>
                <w:szCs w:val="24"/>
              </w:rPr>
              <w:t>按照《关于调整优化节能产品、环境标志产品政府采购执行机制的通知》（财库〔2019〕9号）的要求执行，供应商在投标文件中提供国家市场监管总局确定的认证机构出具的、处于有效期之内的节能产品、环境标志产品认证证书，并提供国家市场监管总局节能产品、环境标志产品认证结果信息发布平台查询结果截图及查询网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33" w:hRule="atLeast"/>
          <w:jc w:val="center"/>
        </w:trPr>
        <w:tc>
          <w:tcPr>
            <w:tcW w:w="900" w:type="dxa"/>
            <w:noWrap w:val="0"/>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13</w:t>
            </w:r>
          </w:p>
        </w:tc>
        <w:tc>
          <w:tcPr>
            <w:tcW w:w="1710" w:type="dxa"/>
            <w:noWrap w:val="0"/>
            <w:vAlign w:val="center"/>
          </w:tcPr>
          <w:p>
            <w:pPr>
              <w:autoSpaceDE w:val="0"/>
              <w:autoSpaceDN w:val="0"/>
              <w:snapToGrid w:val="0"/>
              <w:spacing w:line="360" w:lineRule="auto"/>
              <w:textAlignment w:val="bottom"/>
              <w:rPr>
                <w:rFonts w:hint="eastAsia" w:ascii="宋体" w:hAnsi="宋体"/>
              </w:rPr>
            </w:pPr>
            <w:r>
              <w:rPr>
                <w:rFonts w:hint="eastAsia" w:ascii="宋体" w:hAnsi="宋体"/>
                <w:color w:val="000000"/>
                <w:szCs w:val="24"/>
              </w:rPr>
              <w:t>支持中小企业</w:t>
            </w:r>
          </w:p>
        </w:tc>
        <w:tc>
          <w:tcPr>
            <w:tcW w:w="7830" w:type="dxa"/>
            <w:noWrap w:val="0"/>
            <w:vAlign w:val="center"/>
          </w:tcPr>
          <w:p>
            <w:pPr>
              <w:snapToGrid w:val="0"/>
              <w:spacing w:line="460" w:lineRule="exact"/>
              <w:rPr>
                <w:rFonts w:hint="eastAsia" w:ascii="宋体" w:hAnsi="宋体"/>
                <w:color w:val="000000"/>
                <w:szCs w:val="24"/>
              </w:rPr>
            </w:pPr>
            <w:r>
              <w:rPr>
                <w:rFonts w:hint="eastAsia" w:ascii="宋体" w:hAnsi="宋体"/>
                <w:color w:val="000000"/>
                <w:szCs w:val="24"/>
              </w:rPr>
              <w:t>价格扣除：根据工信部等部委发布的《关于印发中小企业划型标准规定的通知》（工信部联企业〔2011〕300号），根据具体品目确定相应标准。符合上述条件的中小微型企业应按照招标文件附件1的格式要求提供《中小企业声明函》、《中小企业资格确认意见书》。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460" w:lineRule="exact"/>
              <w:rPr>
                <w:rFonts w:hint="eastAsia" w:ascii="宋体" w:hAnsi="宋体"/>
                <w:color w:val="000000"/>
                <w:szCs w:val="24"/>
              </w:rPr>
            </w:pPr>
            <w:r>
              <w:rPr>
                <w:rFonts w:hint="eastAsia" w:ascii="宋体" w:hAnsi="宋体"/>
                <w:color w:val="000000"/>
                <w:szCs w:val="24"/>
              </w:rPr>
              <w:t>根据财政部发布的《政府采购促进中小企业发展暂行办法》规定，对于非专门面向此类企业的项目，对小型和微型企业产品的投标价格给予6 %的扣除，用扣除后的价格参与评审。</w:t>
            </w:r>
          </w:p>
          <w:p>
            <w:pPr>
              <w:snapToGrid w:val="0"/>
              <w:spacing w:line="460" w:lineRule="exact"/>
              <w:rPr>
                <w:rFonts w:hint="eastAsia" w:ascii="宋体" w:hAnsi="宋体"/>
                <w:color w:val="000000"/>
                <w:szCs w:val="24"/>
              </w:rPr>
            </w:pPr>
            <w:r>
              <w:rPr>
                <w:rFonts w:hint="eastAsia" w:ascii="宋体" w:hAnsi="宋体"/>
                <w:color w:val="000000"/>
                <w:szCs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autoSpaceDE w:val="0"/>
              <w:autoSpaceDN w:val="0"/>
              <w:snapToGrid w:val="0"/>
              <w:textAlignment w:val="bottom"/>
              <w:rPr>
                <w:rFonts w:hint="eastAsia" w:ascii="宋体" w:hAnsi="宋体"/>
                <w:szCs w:val="24"/>
              </w:rPr>
            </w:pPr>
            <w:r>
              <w:rPr>
                <w:rFonts w:hint="eastAsia" w:ascii="宋体" w:hAnsi="宋体"/>
                <w:color w:val="000000"/>
                <w:szCs w:val="24"/>
              </w:rPr>
              <w:t>联合体各方均为小型、微型企业的，联合体视同为小型、微型企业。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33" w:hRule="atLeast"/>
          <w:jc w:val="center"/>
        </w:trPr>
        <w:tc>
          <w:tcPr>
            <w:tcW w:w="900" w:type="dxa"/>
            <w:vMerge w:val="restart"/>
            <w:noWrap w:val="0"/>
            <w:vAlign w:val="center"/>
          </w:tcPr>
          <w:p>
            <w:pPr>
              <w:autoSpaceDE w:val="0"/>
              <w:autoSpaceDN w:val="0"/>
              <w:adjustRightInd w:val="0"/>
              <w:snapToGrid w:val="0"/>
              <w:spacing w:line="360" w:lineRule="auto"/>
              <w:jc w:val="center"/>
              <w:rPr>
                <w:rFonts w:ascii="宋体" w:hAnsi="宋体"/>
                <w:kern w:val="0"/>
              </w:rPr>
            </w:pPr>
            <w:r>
              <w:rPr>
                <w:rFonts w:hint="eastAsia" w:ascii="宋体" w:hAnsi="宋体"/>
                <w:kern w:val="0"/>
              </w:rPr>
              <w:t>14</w:t>
            </w:r>
          </w:p>
        </w:tc>
        <w:tc>
          <w:tcPr>
            <w:tcW w:w="1710" w:type="dxa"/>
            <w:vMerge w:val="restart"/>
            <w:noWrap w:val="0"/>
            <w:vAlign w:val="center"/>
          </w:tcPr>
          <w:p>
            <w:pPr>
              <w:autoSpaceDE w:val="0"/>
              <w:autoSpaceDN w:val="0"/>
              <w:snapToGrid w:val="0"/>
              <w:spacing w:line="360" w:lineRule="auto"/>
              <w:textAlignment w:val="bottom"/>
              <w:rPr>
                <w:rFonts w:hint="eastAsia" w:ascii="宋体" w:hAnsi="宋体"/>
                <w:color w:val="000000"/>
                <w:szCs w:val="24"/>
              </w:rPr>
            </w:pPr>
            <w:r>
              <w:rPr>
                <w:rFonts w:hint="eastAsia" w:ascii="宋体" w:hAnsi="宋体"/>
                <w:color w:val="000000"/>
                <w:szCs w:val="24"/>
              </w:rPr>
              <w:t>投标人信用信息事项</w:t>
            </w:r>
          </w:p>
        </w:tc>
        <w:tc>
          <w:tcPr>
            <w:tcW w:w="7830" w:type="dxa"/>
            <w:noWrap w:val="0"/>
            <w:vAlign w:val="center"/>
          </w:tcPr>
          <w:p>
            <w:pPr>
              <w:snapToGrid w:val="0"/>
              <w:spacing w:line="460" w:lineRule="exact"/>
              <w:rPr>
                <w:rFonts w:hint="eastAsia" w:ascii="宋体" w:hAnsi="宋体"/>
                <w:color w:val="000000"/>
                <w:szCs w:val="24"/>
              </w:rPr>
            </w:pPr>
            <w:r>
              <w:rPr>
                <w:rFonts w:hint="eastAsia" w:ascii="宋体" w:hAnsi="宋体"/>
                <w:color w:val="000000"/>
                <w:szCs w:val="24"/>
              </w:rPr>
              <w:t>信用信息查询渠道及截止时间：项目评审组织人员将通过“信用中国”网站(www.creditchina.gov.cn)、中国政府采购网(www.ccgp.gov.cn)渠道查询投标人投标截止时间前的信用记录。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33" w:hRule="atLeast"/>
          <w:jc w:val="center"/>
        </w:trPr>
        <w:tc>
          <w:tcPr>
            <w:tcW w:w="900" w:type="dxa"/>
            <w:vMerge w:val="continue"/>
            <w:noWrap w:val="0"/>
            <w:vAlign w:val="center"/>
          </w:tcPr>
          <w:p>
            <w:pPr>
              <w:autoSpaceDE w:val="0"/>
              <w:autoSpaceDN w:val="0"/>
              <w:adjustRightInd w:val="0"/>
              <w:snapToGrid w:val="0"/>
              <w:spacing w:line="360" w:lineRule="auto"/>
              <w:jc w:val="center"/>
              <w:rPr>
                <w:rFonts w:hint="eastAsia" w:ascii="宋体" w:hAnsi="宋体"/>
                <w:kern w:val="0"/>
              </w:rPr>
            </w:pPr>
          </w:p>
        </w:tc>
        <w:tc>
          <w:tcPr>
            <w:tcW w:w="1710" w:type="dxa"/>
            <w:vMerge w:val="continue"/>
            <w:noWrap w:val="0"/>
            <w:vAlign w:val="center"/>
          </w:tcPr>
          <w:p>
            <w:pPr>
              <w:autoSpaceDE w:val="0"/>
              <w:autoSpaceDN w:val="0"/>
              <w:snapToGrid w:val="0"/>
              <w:spacing w:line="360" w:lineRule="auto"/>
              <w:textAlignment w:val="bottom"/>
              <w:rPr>
                <w:rFonts w:hint="eastAsia" w:ascii="宋体" w:hAnsi="宋体"/>
                <w:color w:val="000000"/>
                <w:szCs w:val="24"/>
              </w:rPr>
            </w:pPr>
          </w:p>
        </w:tc>
        <w:tc>
          <w:tcPr>
            <w:tcW w:w="7830" w:type="dxa"/>
            <w:noWrap w:val="0"/>
            <w:vAlign w:val="center"/>
          </w:tcPr>
          <w:p>
            <w:pPr>
              <w:snapToGrid w:val="0"/>
              <w:spacing w:line="460" w:lineRule="exact"/>
              <w:rPr>
                <w:rFonts w:hint="eastAsia" w:ascii="宋体" w:hAnsi="宋体"/>
                <w:color w:val="000000"/>
                <w:szCs w:val="24"/>
              </w:rPr>
            </w:pPr>
            <w:r>
              <w:rPr>
                <w:rFonts w:hint="eastAsia" w:ascii="宋体" w:hAnsi="宋体"/>
                <w:color w:val="000000"/>
                <w:szCs w:val="24"/>
              </w:rPr>
              <w:t>信用信息查询记录和证据留存的具体方式：采购人或采购人委托的评审小组或采购代理机构现场查询投标人的信用记录，查询结果经确认后与采购文件一起存档。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33" w:hRule="atLeast"/>
          <w:jc w:val="center"/>
        </w:trPr>
        <w:tc>
          <w:tcPr>
            <w:tcW w:w="900" w:type="dxa"/>
            <w:vMerge w:val="continue"/>
            <w:noWrap w:val="0"/>
            <w:vAlign w:val="center"/>
          </w:tcPr>
          <w:p>
            <w:pPr>
              <w:autoSpaceDE w:val="0"/>
              <w:autoSpaceDN w:val="0"/>
              <w:adjustRightInd w:val="0"/>
              <w:snapToGrid w:val="0"/>
              <w:spacing w:line="360" w:lineRule="auto"/>
              <w:jc w:val="center"/>
              <w:rPr>
                <w:rFonts w:hint="eastAsia" w:ascii="宋体" w:hAnsi="宋体"/>
                <w:kern w:val="0"/>
                <w:lang w:val="zh-CN"/>
              </w:rPr>
            </w:pPr>
          </w:p>
        </w:tc>
        <w:tc>
          <w:tcPr>
            <w:tcW w:w="1710" w:type="dxa"/>
            <w:vMerge w:val="continue"/>
            <w:noWrap w:val="0"/>
            <w:vAlign w:val="center"/>
          </w:tcPr>
          <w:p>
            <w:pPr>
              <w:autoSpaceDE w:val="0"/>
              <w:autoSpaceDN w:val="0"/>
              <w:snapToGrid w:val="0"/>
              <w:spacing w:line="360" w:lineRule="auto"/>
              <w:textAlignment w:val="bottom"/>
              <w:rPr>
                <w:rFonts w:hint="eastAsia" w:ascii="宋体" w:hAnsi="宋体"/>
                <w:color w:val="000000"/>
                <w:szCs w:val="24"/>
              </w:rPr>
            </w:pPr>
          </w:p>
        </w:tc>
        <w:tc>
          <w:tcPr>
            <w:tcW w:w="7830" w:type="dxa"/>
            <w:noWrap w:val="0"/>
            <w:vAlign w:val="center"/>
          </w:tcPr>
          <w:p>
            <w:pPr>
              <w:snapToGrid w:val="0"/>
              <w:spacing w:line="460" w:lineRule="exact"/>
              <w:rPr>
                <w:rFonts w:hint="eastAsia" w:ascii="宋体" w:hAnsi="宋体"/>
                <w:color w:val="000000"/>
                <w:szCs w:val="24"/>
              </w:rPr>
            </w:pPr>
            <w:r>
              <w:rPr>
                <w:rFonts w:hint="eastAsia" w:ascii="宋体" w:hAnsi="宋体"/>
                <w:color w:val="000000"/>
                <w:szCs w:val="24"/>
              </w:rPr>
              <w:t>信用信息的使用规则：经查询列入失信被执行人名单、重大税收违法案件当事人名单、政府采购严重违法失信行为记录名单的投标人的投标文件将被拒绝。</w:t>
            </w:r>
          </w:p>
        </w:tc>
      </w:tr>
    </w:tbl>
    <w:p>
      <w:pPr>
        <w:pStyle w:val="3"/>
        <w:tabs>
          <w:tab w:val="left" w:pos="358"/>
        </w:tabs>
        <w:spacing w:before="400" w:after="0" w:line="360" w:lineRule="auto"/>
        <w:ind w:left="358" w:hanging="420"/>
        <w:rPr>
          <w:rFonts w:ascii="Calibri" w:hAnsi="Calibri" w:eastAsia="宋体"/>
          <w:sz w:val="32"/>
        </w:rPr>
      </w:pPr>
      <w:bookmarkStart w:id="21" w:name="_Toc340322165"/>
      <w:bookmarkStart w:id="22" w:name="_Toc395189877"/>
      <w:bookmarkStart w:id="23" w:name="_Toc528046846"/>
      <w:bookmarkStart w:id="24" w:name="_Toc180555918"/>
      <w:bookmarkStart w:id="25" w:name="_Toc339302126"/>
      <w:bookmarkStart w:id="26" w:name="_Toc340321910"/>
      <w:bookmarkStart w:id="27" w:name="_Toc226337759"/>
      <w:bookmarkStart w:id="28" w:name="_Toc248065037"/>
      <w:bookmarkStart w:id="29" w:name="_Toc304551311"/>
      <w:r>
        <w:rPr>
          <w:rFonts w:hint="eastAsia" w:ascii="Calibri" w:hAnsi="Calibri" w:eastAsia="宋体"/>
          <w:sz w:val="32"/>
        </w:rPr>
        <w:t>二、总则</w:t>
      </w:r>
      <w:bookmarkEnd w:id="21"/>
      <w:bookmarkEnd w:id="22"/>
      <w:bookmarkEnd w:id="23"/>
      <w:bookmarkEnd w:id="24"/>
      <w:bookmarkEnd w:id="25"/>
      <w:bookmarkEnd w:id="26"/>
      <w:bookmarkEnd w:id="27"/>
      <w:bookmarkEnd w:id="28"/>
      <w:bookmarkEnd w:id="29"/>
    </w:p>
    <w:p>
      <w:pPr>
        <w:adjustRightInd w:val="0"/>
        <w:spacing w:line="360" w:lineRule="auto"/>
        <w:ind w:firstLine="480"/>
        <w:rPr>
          <w:rFonts w:hint="eastAsia" w:ascii="宋体" w:hAnsi="宋体"/>
        </w:rPr>
      </w:pPr>
      <w:r>
        <w:rPr>
          <w:rFonts w:hint="eastAsia" w:ascii="宋体" w:hAnsi="宋体"/>
        </w:rPr>
        <w:t>本次招标工作是按照《中华人民共和国政府采购法》、</w:t>
      </w:r>
      <w:r>
        <w:rPr>
          <w:rFonts w:hint="eastAsia"/>
        </w:rPr>
        <w:t>《政府采购货物</w:t>
      </w:r>
      <w:r>
        <w:rPr>
          <w:rFonts w:hint="eastAsia"/>
          <w:lang w:eastAsia="zh-CN"/>
        </w:rPr>
        <w:t>和</w:t>
      </w:r>
      <w:r>
        <w:rPr>
          <w:rFonts w:hint="eastAsia"/>
        </w:rPr>
        <w:t>服务招标投标管理办法》</w:t>
      </w:r>
      <w:r>
        <w:t>(中华人民共和国财政部令 第</w:t>
      </w:r>
      <w:r>
        <w:rPr>
          <w:rFonts w:hint="eastAsia"/>
        </w:rPr>
        <w:t>87</w:t>
      </w:r>
      <w:r>
        <w:t>号</w:t>
      </w:r>
      <w:r>
        <w:rPr>
          <w:rFonts w:hint="eastAsia"/>
        </w:rPr>
        <w:t>)</w:t>
      </w:r>
      <w:r>
        <w:rPr>
          <w:rFonts w:hint="eastAsia" w:ascii="宋体" w:hAnsi="宋体"/>
        </w:rPr>
        <w:t>和相关政策法规组织和实施。</w:t>
      </w:r>
    </w:p>
    <w:p>
      <w:pPr>
        <w:pStyle w:val="4"/>
        <w:spacing w:before="120" w:after="120"/>
        <w:rPr>
          <w:sz w:val="30"/>
          <w:szCs w:val="30"/>
        </w:rPr>
      </w:pPr>
      <w:bookmarkStart w:id="30" w:name="_Toc528046847"/>
      <w:bookmarkStart w:id="31" w:name="_Toc458419336"/>
      <w:r>
        <w:rPr>
          <w:rFonts w:hint="eastAsia"/>
          <w:sz w:val="30"/>
          <w:szCs w:val="30"/>
        </w:rPr>
        <w:t>2.1</w:t>
      </w:r>
      <w:r>
        <w:rPr>
          <w:sz w:val="30"/>
          <w:szCs w:val="30"/>
        </w:rPr>
        <w:t>适用范围</w:t>
      </w:r>
      <w:bookmarkEnd w:id="30"/>
      <w:bookmarkEnd w:id="31"/>
    </w:p>
    <w:p>
      <w:pPr>
        <w:adjustRightInd w:val="0"/>
        <w:spacing w:line="360" w:lineRule="auto"/>
        <w:ind w:firstLine="480" w:firstLineChars="200"/>
        <w:rPr>
          <w:rFonts w:hint="eastAsia" w:ascii="宋体" w:hAnsi="宋体"/>
        </w:rPr>
      </w:pPr>
      <w:r>
        <w:rPr>
          <w:rFonts w:hint="eastAsia" w:ascii="宋体" w:hAnsi="宋体"/>
        </w:rPr>
        <w:t>本招标文件仅适用本次招标范围内的招标内容。</w:t>
      </w:r>
    </w:p>
    <w:p>
      <w:pPr>
        <w:pStyle w:val="4"/>
        <w:spacing w:before="120" w:after="120"/>
        <w:rPr>
          <w:rFonts w:hint="eastAsia"/>
          <w:sz w:val="30"/>
          <w:szCs w:val="30"/>
        </w:rPr>
      </w:pPr>
      <w:bookmarkStart w:id="32" w:name="_Toc458419337"/>
      <w:bookmarkStart w:id="33" w:name="_Toc528046848"/>
      <w:r>
        <w:rPr>
          <w:rFonts w:hint="eastAsia"/>
          <w:sz w:val="30"/>
          <w:szCs w:val="30"/>
        </w:rPr>
        <w:t>2.2定义</w:t>
      </w:r>
      <w:bookmarkEnd w:id="32"/>
      <w:bookmarkEnd w:id="33"/>
    </w:p>
    <w:p>
      <w:pPr>
        <w:spacing w:line="360" w:lineRule="auto"/>
        <w:ind w:firstLine="480" w:firstLineChars="200"/>
        <w:rPr>
          <w:rFonts w:ascii="宋体"/>
        </w:rPr>
      </w:pPr>
      <w:r>
        <w:rPr>
          <w:rFonts w:hint="eastAsia" w:ascii="宋体"/>
        </w:rPr>
        <w:t>招标文件中下列术语应解释为：</w:t>
      </w:r>
    </w:p>
    <w:p>
      <w:pPr>
        <w:spacing w:line="360" w:lineRule="auto"/>
        <w:ind w:firstLine="480" w:firstLineChars="200"/>
        <w:rPr>
          <w:rFonts w:hint="eastAsia" w:ascii="宋体" w:hAnsi="宋体"/>
        </w:rPr>
      </w:pPr>
      <w:r>
        <w:rPr>
          <w:rFonts w:hint="eastAsia" w:ascii="宋体" w:hAnsi="宋体"/>
        </w:rPr>
        <w:t>1)“采购人”系嵊州市公安局。</w:t>
      </w:r>
    </w:p>
    <w:p>
      <w:pPr>
        <w:spacing w:line="360" w:lineRule="auto"/>
        <w:ind w:firstLine="480" w:firstLineChars="200"/>
        <w:rPr>
          <w:rFonts w:hint="eastAsia" w:ascii="宋体" w:hAnsi="宋体"/>
        </w:rPr>
      </w:pPr>
      <w:r>
        <w:rPr>
          <w:rFonts w:hint="eastAsia" w:ascii="宋体" w:hAnsi="宋体"/>
        </w:rPr>
        <w:t>2)“采购代理机构”系指受嵊州市公安局委托招标采购本次项目的嵊州市公共资源交易中心。</w:t>
      </w:r>
    </w:p>
    <w:p>
      <w:pPr>
        <w:spacing w:line="360" w:lineRule="auto"/>
        <w:ind w:firstLine="480" w:firstLineChars="200"/>
        <w:rPr>
          <w:rFonts w:ascii="宋体" w:hAnsi="宋体"/>
        </w:rPr>
      </w:pPr>
      <w:r>
        <w:rPr>
          <w:rFonts w:hint="eastAsia" w:ascii="宋体" w:hAnsi="宋体"/>
        </w:rPr>
        <w:t>3） “投标人”系指向采购人购买招标文件、并向采购人提交投标文件的供应商。</w:t>
      </w:r>
    </w:p>
    <w:p>
      <w:pPr>
        <w:spacing w:line="360" w:lineRule="auto"/>
        <w:ind w:firstLine="480" w:firstLineChars="200"/>
        <w:rPr>
          <w:rFonts w:ascii="宋体" w:hAnsi="宋体"/>
        </w:rPr>
      </w:pPr>
      <w:r>
        <w:rPr>
          <w:rFonts w:hint="eastAsia" w:ascii="宋体" w:hAnsi="宋体"/>
        </w:rPr>
        <w:t>4)“辅助服务”系指《合同文本》中规定由卖方承担的信息系统的提供、运输、安装、调试、技术指导、培训以及其他卖方承诺的类似义务。</w:t>
      </w:r>
    </w:p>
    <w:p>
      <w:pPr>
        <w:spacing w:line="360" w:lineRule="auto"/>
        <w:ind w:left="540"/>
        <w:rPr>
          <w:rFonts w:ascii="宋体" w:hAnsi="宋体"/>
        </w:rPr>
      </w:pPr>
      <w:r>
        <w:rPr>
          <w:rFonts w:hint="eastAsia" w:ascii="宋体" w:hAnsi="宋体"/>
        </w:rPr>
        <w:t>5)“卖方”系指中标并向采购人提供信息系统和服务的投标人。</w:t>
      </w:r>
    </w:p>
    <w:p>
      <w:pPr>
        <w:pStyle w:val="4"/>
        <w:spacing w:before="120" w:after="120"/>
        <w:rPr>
          <w:rFonts w:hint="eastAsia"/>
          <w:sz w:val="30"/>
          <w:szCs w:val="30"/>
        </w:rPr>
      </w:pPr>
      <w:bookmarkStart w:id="34" w:name="_Toc458419338"/>
      <w:bookmarkStart w:id="35" w:name="_Toc528046849"/>
      <w:r>
        <w:rPr>
          <w:rFonts w:hint="eastAsia"/>
          <w:sz w:val="30"/>
          <w:szCs w:val="30"/>
        </w:rPr>
        <w:t>2.3合格的投标人</w:t>
      </w:r>
      <w:bookmarkEnd w:id="34"/>
      <w:bookmarkEnd w:id="35"/>
    </w:p>
    <w:p>
      <w:pPr>
        <w:spacing w:line="360" w:lineRule="auto"/>
        <w:ind w:firstLine="480" w:firstLineChars="200"/>
        <w:rPr>
          <w:rFonts w:hint="eastAsia" w:ascii="宋体" w:hAnsi="宋体" w:cs="宋体"/>
        </w:rPr>
      </w:pPr>
      <w:r>
        <w:rPr>
          <w:rFonts w:hint="eastAsia" w:ascii="宋体" w:hAnsi="宋体" w:cs="宋体"/>
        </w:rPr>
        <w:t>1)符合政府采购法</w:t>
      </w:r>
      <w:r>
        <w:rPr>
          <w:rFonts w:hint="eastAsia" w:ascii="宋体" w:hAnsi="宋体" w:cs="宋体"/>
          <w:lang w:eastAsia="zh-CN"/>
        </w:rPr>
        <w:t>第二十二条</w:t>
      </w:r>
      <w:r>
        <w:rPr>
          <w:rFonts w:hint="eastAsia" w:ascii="宋体" w:hAnsi="宋体" w:cs="宋体"/>
        </w:rPr>
        <w:t>对投标主体的要求；</w:t>
      </w:r>
    </w:p>
    <w:p>
      <w:pPr>
        <w:spacing w:line="360" w:lineRule="auto"/>
        <w:ind w:firstLine="480" w:firstLineChars="200"/>
        <w:rPr>
          <w:rFonts w:hint="eastAsia" w:ascii="宋体" w:hAnsi="宋体" w:cs="宋体"/>
        </w:rPr>
      </w:pPr>
      <w:r>
        <w:rPr>
          <w:rFonts w:hint="eastAsia" w:ascii="宋体" w:hAnsi="宋体" w:cs="宋体"/>
        </w:rPr>
        <w:t>2)在中华人民共和国境内设有固定的经营场所，具有独立法人资格的企业；</w:t>
      </w:r>
    </w:p>
    <w:p>
      <w:pPr>
        <w:spacing w:line="360" w:lineRule="auto"/>
        <w:ind w:firstLine="480" w:firstLineChars="200"/>
        <w:rPr>
          <w:rFonts w:hint="eastAsia" w:ascii="宋体" w:hAnsi="宋体" w:cs="宋体"/>
        </w:rPr>
      </w:pPr>
      <w:r>
        <w:rPr>
          <w:rFonts w:hint="eastAsia" w:ascii="宋体" w:hAnsi="宋体" w:cs="宋体"/>
        </w:rPr>
        <w:t>3)本次招标不允许联合体投标；</w:t>
      </w:r>
    </w:p>
    <w:p>
      <w:pPr>
        <w:spacing w:line="360" w:lineRule="auto"/>
        <w:ind w:firstLine="480" w:firstLineChars="200"/>
        <w:rPr>
          <w:rFonts w:hint="eastAsia" w:ascii="宋体" w:hAnsi="宋体" w:cs="宋体"/>
        </w:rPr>
      </w:pPr>
      <w:r>
        <w:rPr>
          <w:rFonts w:hint="eastAsia" w:ascii="宋体" w:hAnsi="宋体" w:cs="宋体"/>
        </w:rPr>
        <w:t>4)未被政府采购监督管理部门禁止参加政府采购活动的投标人；</w:t>
      </w:r>
    </w:p>
    <w:p>
      <w:pPr>
        <w:spacing w:line="360" w:lineRule="auto"/>
        <w:ind w:firstLine="480" w:firstLineChars="200"/>
        <w:rPr>
          <w:rFonts w:hint="eastAsia" w:ascii="宋体" w:hAnsi="宋体" w:cs="宋体"/>
        </w:rPr>
      </w:pPr>
      <w:r>
        <w:rPr>
          <w:rFonts w:hint="eastAsia" w:ascii="宋体" w:hAnsi="宋体" w:cs="宋体"/>
        </w:rPr>
        <w:t>5)投标人在参加本次投标活动的前三年内，无经相关部门处理过的重大违法纪录；</w:t>
      </w:r>
    </w:p>
    <w:p>
      <w:pPr>
        <w:spacing w:line="360" w:lineRule="auto"/>
        <w:ind w:firstLine="480" w:firstLineChars="200"/>
        <w:rPr>
          <w:rFonts w:hint="eastAsia" w:ascii="宋体" w:hAnsi="宋体" w:cs="宋体"/>
        </w:rPr>
      </w:pPr>
      <w:r>
        <w:rPr>
          <w:rFonts w:hint="eastAsia" w:ascii="宋体" w:hAnsi="宋体" w:cs="宋体"/>
        </w:rPr>
        <w:t>6)投标人必须有很强的相关技术和服务人员队伍，在行业内具有良好的服务口碑；</w:t>
      </w:r>
    </w:p>
    <w:p>
      <w:pPr>
        <w:spacing w:line="360" w:lineRule="auto"/>
        <w:ind w:firstLine="480" w:firstLineChars="200"/>
        <w:rPr>
          <w:rFonts w:hint="eastAsia" w:ascii="宋体" w:hAnsi="宋体" w:cs="宋体"/>
        </w:rPr>
      </w:pPr>
      <w:r>
        <w:rPr>
          <w:rFonts w:hint="eastAsia" w:ascii="宋体" w:hAnsi="宋体" w:cs="宋体"/>
        </w:rPr>
        <w:t>7)投标人应遵守有关的国家法律和法规，具有良好的信誉和商业道德；</w:t>
      </w:r>
    </w:p>
    <w:p>
      <w:pPr>
        <w:spacing w:line="360" w:lineRule="auto"/>
        <w:ind w:firstLine="480" w:firstLineChars="200"/>
        <w:rPr>
          <w:rFonts w:hint="eastAsia" w:ascii="宋体" w:hAnsi="宋体" w:cs="宋体"/>
        </w:rPr>
      </w:pPr>
      <w:r>
        <w:rPr>
          <w:rFonts w:hint="eastAsia" w:ascii="宋体" w:hAnsi="宋体" w:cs="宋体"/>
        </w:rPr>
        <w:t>8)具有履行合同的能力和良好的履行合同记录；</w:t>
      </w:r>
    </w:p>
    <w:p>
      <w:pPr>
        <w:widowControl/>
        <w:spacing w:line="360" w:lineRule="auto"/>
        <w:ind w:firstLine="480" w:firstLineChars="200"/>
        <w:jc w:val="left"/>
      </w:pPr>
      <w:r>
        <w:rPr>
          <w:rFonts w:hint="eastAsia" w:ascii="宋体" w:hAnsi="宋体"/>
        </w:rPr>
        <w:t>9)中标人承诺不转包本项目，必须由中标人自己负责整个项目的需求调研、项目实施和售后服务。</w:t>
      </w:r>
      <w:r>
        <w:rPr>
          <w:rFonts w:ascii="宋体" w:hAnsi="宋体" w:cs="宋体"/>
          <w:szCs w:val="24"/>
        </w:rPr>
        <w:t xml:space="preserve"> </w:t>
      </w:r>
    </w:p>
    <w:p>
      <w:pPr>
        <w:snapToGrid w:val="0"/>
        <w:spacing w:line="360" w:lineRule="auto"/>
        <w:ind w:firstLine="480" w:firstLineChars="200"/>
        <w:jc w:val="left"/>
        <w:rPr>
          <w:rFonts w:hint="eastAsia" w:ascii="宋体" w:hAnsi="宋体" w:cs="宋体"/>
          <w:b/>
        </w:rPr>
      </w:pPr>
      <w:bookmarkStart w:id="36" w:name="_Toc180555919"/>
      <w:bookmarkStart w:id="37" w:name="_Toc226337760"/>
      <w:bookmarkStart w:id="38" w:name="_Toc248065038"/>
      <w:bookmarkStart w:id="39" w:name="_Toc304551312"/>
      <w:r>
        <w:rPr>
          <w:rFonts w:hint="eastAsia" w:ascii="宋体" w:hAnsi="宋体" w:cs="宋体"/>
          <w:b/>
        </w:rPr>
        <w:t>2.4招标方式</w:t>
      </w:r>
    </w:p>
    <w:p>
      <w:pPr>
        <w:snapToGrid w:val="0"/>
        <w:spacing w:line="360" w:lineRule="auto"/>
        <w:ind w:firstLine="480" w:firstLineChars="200"/>
        <w:jc w:val="left"/>
        <w:rPr>
          <w:rFonts w:hint="eastAsia" w:ascii="宋体" w:hAnsi="宋体" w:cs="宋体"/>
        </w:rPr>
      </w:pPr>
      <w:r>
        <w:rPr>
          <w:rFonts w:hint="eastAsia" w:ascii="宋体" w:hAnsi="宋体" w:cs="宋体"/>
        </w:rPr>
        <w:t>1)本次招标采用公开招标方式进行。</w:t>
      </w:r>
    </w:p>
    <w:p>
      <w:pPr>
        <w:snapToGrid w:val="0"/>
        <w:spacing w:line="360" w:lineRule="auto"/>
        <w:ind w:firstLine="480" w:firstLineChars="200"/>
        <w:jc w:val="left"/>
        <w:rPr>
          <w:rFonts w:hint="eastAsia" w:ascii="宋体" w:hAnsi="宋体" w:cs="宋体"/>
        </w:rPr>
      </w:pPr>
      <w:r>
        <w:rPr>
          <w:rFonts w:hint="eastAsia" w:ascii="宋体" w:hAnsi="宋体" w:cs="宋体"/>
        </w:rPr>
        <w:t>2)如投标人或实质性响应招标文件的投标人不足三家时，采购人可重新组织招标或按有关规定经政府采购管理部门批准后的方式实施。</w:t>
      </w:r>
    </w:p>
    <w:p>
      <w:pPr>
        <w:spacing w:line="360" w:lineRule="auto"/>
        <w:ind w:firstLine="480" w:firstLineChars="200"/>
        <w:rPr>
          <w:rFonts w:hint="eastAsia" w:ascii="宋体" w:hAnsi="宋体" w:cs="宋体"/>
        </w:rPr>
      </w:pPr>
      <w:r>
        <w:rPr>
          <w:rFonts w:hint="eastAsia" w:ascii="宋体" w:hAnsi="宋体" w:cs="宋体"/>
        </w:rPr>
        <w:t>3) 本次招标设定最高限价，最高限价为850万元。</w:t>
      </w:r>
    </w:p>
    <w:p>
      <w:pPr>
        <w:spacing w:line="360" w:lineRule="auto"/>
        <w:ind w:firstLine="480" w:firstLineChars="200"/>
        <w:rPr>
          <w:rFonts w:hint="eastAsia" w:ascii="宋体" w:hAnsi="宋体" w:cs="宋体"/>
          <w:b/>
        </w:rPr>
      </w:pPr>
      <w:r>
        <w:rPr>
          <w:rFonts w:hint="eastAsia" w:ascii="宋体" w:hAnsi="宋体" w:cs="宋体"/>
          <w:b/>
        </w:rPr>
        <w:t>2.5投标费用</w:t>
      </w:r>
    </w:p>
    <w:p>
      <w:pPr>
        <w:spacing w:line="360" w:lineRule="auto"/>
        <w:ind w:firstLine="480" w:firstLineChars="200"/>
        <w:rPr>
          <w:rFonts w:hint="eastAsia" w:ascii="宋体" w:hAnsi="宋体" w:cs="宋体"/>
        </w:rPr>
      </w:pPr>
      <w:r>
        <w:rPr>
          <w:rFonts w:hint="eastAsia" w:ascii="宋体" w:hAnsi="宋体" w:cs="宋体"/>
        </w:rPr>
        <w:t>投标人应承担所有与编写和提交投标文件有关的费用，不论投标的结果如何，采购人在任何情况下均无义务和责任承担这些费用。</w:t>
      </w:r>
    </w:p>
    <w:bookmarkEnd w:id="36"/>
    <w:bookmarkEnd w:id="37"/>
    <w:bookmarkEnd w:id="38"/>
    <w:bookmarkEnd w:id="39"/>
    <w:p>
      <w:pPr>
        <w:pStyle w:val="6"/>
        <w:spacing w:line="300" w:lineRule="exact"/>
        <w:ind w:left="718" w:leftChars="75" w:hanging="538"/>
        <w:rPr>
          <w:rFonts w:hint="eastAsia"/>
        </w:rPr>
      </w:pPr>
      <w:bookmarkStart w:id="40" w:name="_Toc339302127"/>
      <w:bookmarkStart w:id="41" w:name="_Toc340321911"/>
      <w:bookmarkStart w:id="42" w:name="_Toc395189878"/>
      <w:bookmarkStart w:id="43" w:name="_Toc340322166"/>
      <w:bookmarkStart w:id="44" w:name="_Toc226337761"/>
      <w:bookmarkStart w:id="45" w:name="_Toc248065039"/>
      <w:bookmarkStart w:id="46" w:name="_Toc180555920"/>
      <w:r>
        <w:rPr>
          <w:rFonts w:hint="eastAsia"/>
        </w:rPr>
        <w:t>三、招标文件</w:t>
      </w:r>
      <w:bookmarkEnd w:id="40"/>
      <w:bookmarkEnd w:id="41"/>
      <w:bookmarkEnd w:id="42"/>
      <w:bookmarkEnd w:id="43"/>
    </w:p>
    <w:p>
      <w:pPr>
        <w:pStyle w:val="6"/>
        <w:spacing w:line="300" w:lineRule="exact"/>
        <w:ind w:left="718" w:leftChars="75" w:hanging="538"/>
        <w:rPr>
          <w:rFonts w:hint="eastAsia"/>
        </w:rPr>
      </w:pPr>
      <w:r>
        <w:rPr>
          <w:rFonts w:hint="eastAsia"/>
        </w:rPr>
        <w:t>3.1招标文件构成</w:t>
      </w:r>
      <w:bookmarkEnd w:id="44"/>
      <w:bookmarkEnd w:id="45"/>
      <w:bookmarkEnd w:id="46"/>
    </w:p>
    <w:p>
      <w:pPr>
        <w:tabs>
          <w:tab w:val="left" w:pos="1260"/>
        </w:tabs>
        <w:spacing w:line="360" w:lineRule="auto"/>
        <w:ind w:firstLine="480" w:firstLineChars="200"/>
        <w:rPr>
          <w:rFonts w:ascii="宋体" w:hAnsi="宋体"/>
        </w:rPr>
      </w:pPr>
      <w:r>
        <w:rPr>
          <w:rFonts w:hint="eastAsia" w:ascii="宋体" w:hAnsi="宋体"/>
        </w:rPr>
        <w:t>3.1.1招标文件用以阐明采购人所需要的信息系统及其辅助服务、招标投标程序和合同条款。招标文件由以下部分组成：</w:t>
      </w:r>
    </w:p>
    <w:p>
      <w:pPr>
        <w:numPr>
          <w:ilvl w:val="1"/>
          <w:numId w:val="1"/>
        </w:numPr>
        <w:tabs>
          <w:tab w:val="left" w:pos="900"/>
        </w:tabs>
        <w:spacing w:line="360" w:lineRule="auto"/>
        <w:ind w:hanging="1140"/>
        <w:rPr>
          <w:rFonts w:hint="eastAsia" w:ascii="宋体"/>
        </w:rPr>
      </w:pPr>
      <w:r>
        <w:rPr>
          <w:rFonts w:hint="eastAsia" w:ascii="宋体"/>
        </w:rPr>
        <w:t>《招标公告》</w:t>
      </w:r>
    </w:p>
    <w:p>
      <w:pPr>
        <w:numPr>
          <w:ilvl w:val="1"/>
          <w:numId w:val="1"/>
        </w:numPr>
        <w:tabs>
          <w:tab w:val="left" w:pos="900"/>
        </w:tabs>
        <w:spacing w:line="360" w:lineRule="auto"/>
        <w:ind w:hanging="1140"/>
        <w:rPr>
          <w:rFonts w:hint="eastAsia" w:ascii="宋体"/>
        </w:rPr>
      </w:pPr>
      <w:r>
        <w:rPr>
          <w:rFonts w:hint="eastAsia" w:ascii="宋体"/>
        </w:rPr>
        <w:t>《投标须知》</w:t>
      </w:r>
    </w:p>
    <w:p>
      <w:pPr>
        <w:numPr>
          <w:ilvl w:val="1"/>
          <w:numId w:val="1"/>
        </w:numPr>
        <w:tabs>
          <w:tab w:val="left" w:pos="900"/>
        </w:tabs>
        <w:spacing w:line="360" w:lineRule="auto"/>
        <w:ind w:hanging="1140"/>
        <w:rPr>
          <w:rFonts w:hint="eastAsia" w:ascii="宋体"/>
        </w:rPr>
      </w:pPr>
      <w:r>
        <w:rPr>
          <w:rFonts w:hint="eastAsia" w:ascii="宋体"/>
        </w:rPr>
        <w:t>《合同文本》</w:t>
      </w:r>
    </w:p>
    <w:p>
      <w:pPr>
        <w:numPr>
          <w:ilvl w:val="1"/>
          <w:numId w:val="1"/>
        </w:numPr>
        <w:tabs>
          <w:tab w:val="left" w:pos="900"/>
        </w:tabs>
        <w:spacing w:line="360" w:lineRule="auto"/>
        <w:ind w:hanging="1140"/>
        <w:rPr>
          <w:rFonts w:hint="eastAsia" w:ascii="宋体"/>
        </w:rPr>
      </w:pPr>
      <w:r>
        <w:rPr>
          <w:rFonts w:hint="eastAsia" w:ascii="宋体"/>
        </w:rPr>
        <w:t>《投标文件格式》</w:t>
      </w:r>
    </w:p>
    <w:p>
      <w:pPr>
        <w:numPr>
          <w:ilvl w:val="1"/>
          <w:numId w:val="1"/>
        </w:numPr>
        <w:tabs>
          <w:tab w:val="left" w:pos="900"/>
        </w:tabs>
        <w:spacing w:line="360" w:lineRule="auto"/>
        <w:ind w:hanging="1140"/>
        <w:rPr>
          <w:rFonts w:hint="eastAsia" w:ascii="宋体"/>
        </w:rPr>
      </w:pPr>
      <w:r>
        <w:rPr>
          <w:rFonts w:hint="eastAsia" w:ascii="宋体"/>
        </w:rPr>
        <w:t>《评标办法》</w:t>
      </w:r>
    </w:p>
    <w:p>
      <w:pPr>
        <w:numPr>
          <w:ilvl w:val="1"/>
          <w:numId w:val="1"/>
        </w:numPr>
        <w:tabs>
          <w:tab w:val="left" w:pos="900"/>
        </w:tabs>
        <w:spacing w:line="360" w:lineRule="auto"/>
        <w:ind w:hanging="1140"/>
        <w:rPr>
          <w:rFonts w:hint="eastAsia" w:ascii="宋体"/>
        </w:rPr>
      </w:pPr>
      <w:r>
        <w:rPr>
          <w:rFonts w:hint="eastAsia" w:ascii="宋体"/>
        </w:rPr>
        <w:t>《</w:t>
      </w:r>
      <w:r>
        <w:rPr>
          <w:rFonts w:hint="eastAsia" w:ascii="宋体"/>
          <w:szCs w:val="22"/>
        </w:rPr>
        <w:t xml:space="preserve">招标项目说明和要求 </w:t>
      </w:r>
      <w:r>
        <w:rPr>
          <w:rFonts w:hint="eastAsia" w:ascii="宋体"/>
        </w:rPr>
        <w:t>》</w:t>
      </w:r>
    </w:p>
    <w:p>
      <w:pPr>
        <w:tabs>
          <w:tab w:val="left" w:pos="1260"/>
        </w:tabs>
        <w:spacing w:line="360" w:lineRule="auto"/>
        <w:ind w:firstLine="480" w:firstLineChars="200"/>
        <w:rPr>
          <w:rFonts w:hint="eastAsia" w:ascii="宋体" w:hAnsi="宋体"/>
        </w:rPr>
      </w:pPr>
      <w:r>
        <w:rPr>
          <w:rFonts w:hint="eastAsia" w:ascii="宋体" w:hAnsi="宋体"/>
        </w:rPr>
        <w:t>3.1.2投标人应认真阅读招标文件中所有的事项、格式、条款和规范要求。如果投标人没有按照招标文件要求提交全部资料，或者投标文件没有对招标文件在各方面作出实质性响应，则投标有可能被拒绝，其风险由投标人自行承担。</w:t>
      </w:r>
    </w:p>
    <w:p>
      <w:pPr>
        <w:pStyle w:val="6"/>
        <w:spacing w:before="0" w:after="0"/>
        <w:ind w:left="718" w:leftChars="75" w:hanging="538"/>
        <w:rPr>
          <w:rFonts w:hint="eastAsia" w:ascii="Times New Roman" w:hAnsi="Times New Roman" w:eastAsia="宋体"/>
          <w:sz w:val="30"/>
          <w:szCs w:val="30"/>
        </w:rPr>
      </w:pPr>
      <w:bookmarkStart w:id="47" w:name="_Toc180555923"/>
      <w:bookmarkStart w:id="48" w:name="_Toc248065042"/>
      <w:bookmarkStart w:id="49" w:name="_Toc226337764"/>
      <w:bookmarkStart w:id="50" w:name="_Toc304551313"/>
      <w:r>
        <w:rPr>
          <w:rFonts w:hint="eastAsia" w:ascii="Times New Roman" w:hAnsi="Times New Roman" w:eastAsia="宋体"/>
          <w:sz w:val="30"/>
          <w:szCs w:val="30"/>
        </w:rPr>
        <w:t>3.2招标文件的澄清</w:t>
      </w:r>
    </w:p>
    <w:p>
      <w:pPr>
        <w:tabs>
          <w:tab w:val="left" w:pos="1260"/>
        </w:tabs>
        <w:spacing w:line="360" w:lineRule="auto"/>
        <w:ind w:firstLine="480" w:firstLineChars="200"/>
        <w:jc w:val="left"/>
        <w:rPr>
          <w:rFonts w:hint="eastAsia" w:ascii="宋体" w:hAnsi="宋体"/>
        </w:rPr>
      </w:pPr>
      <w:r>
        <w:rPr>
          <w:rFonts w:hint="eastAsia" w:ascii="宋体" w:hAnsi="宋体"/>
        </w:rPr>
        <w:t>投标人若有问题需要澄清，应在</w:t>
      </w:r>
      <w:r>
        <w:rPr>
          <w:rFonts w:hint="eastAsia" w:ascii="宋体" w:hAnsi="宋体"/>
          <w:lang w:eastAsia="zh-CN"/>
        </w:rPr>
        <w:t>规定的时间</w:t>
      </w:r>
      <w:r>
        <w:rPr>
          <w:rFonts w:hint="eastAsia" w:ascii="宋体" w:hAnsi="宋体"/>
        </w:rPr>
        <w:t>以书面形式（必须加盖投标人单位公章）向招标采购单位提出澄清要求，招标采购单位将于投标截止时间前将解答内容在浙江政府采购网站</w:t>
      </w:r>
      <w:r>
        <w:rPr>
          <w:rFonts w:hint="eastAsia" w:ascii="宋体" w:hAnsi="宋体"/>
        </w:rPr>
        <w:fldChar w:fldCharType="begin"/>
      </w:r>
      <w:r>
        <w:rPr>
          <w:rFonts w:hint="eastAsia" w:ascii="宋体" w:hAnsi="宋体"/>
        </w:rPr>
        <w:instrText xml:space="preserve"> HYPERLINK "http://www.zjzfcg.gov.cn/new/" </w:instrText>
      </w:r>
      <w:r>
        <w:rPr>
          <w:rFonts w:hint="eastAsia" w:ascii="宋体" w:hAnsi="宋体"/>
        </w:rPr>
        <w:fldChar w:fldCharType="separate"/>
      </w:r>
      <w:r>
        <w:rPr>
          <w:rFonts w:hint="eastAsia" w:ascii="宋体" w:hAnsi="宋体"/>
        </w:rPr>
        <w:t>http://www.zjzfcg.gov.cn/new/</w:t>
      </w:r>
      <w:r>
        <w:rPr>
          <w:rFonts w:hint="eastAsia" w:ascii="宋体" w:hAnsi="宋体"/>
        </w:rPr>
        <w:fldChar w:fldCharType="end"/>
      </w:r>
      <w:r>
        <w:rPr>
          <w:rFonts w:hint="eastAsia" w:ascii="宋体" w:hAnsi="宋体"/>
        </w:rPr>
        <w:t>及嵊州市公共资源交易中心网站http://www.szztb.gov.cn予以公告，并书面通知所有报名投标人，投标人可同时在网站自行查阅。该答复作为招标文件的组成部分，具有约束作用。答复中包括所提问题，但不包括问题的来源。未在规定时间内提出异议的，将视作认同。</w:t>
      </w:r>
    </w:p>
    <w:p>
      <w:pPr>
        <w:pStyle w:val="6"/>
        <w:spacing w:before="0" w:after="0"/>
        <w:ind w:left="718" w:leftChars="75" w:hanging="538"/>
        <w:rPr>
          <w:rFonts w:hint="eastAsia" w:ascii="Times New Roman" w:hAnsi="Times New Roman" w:eastAsia="宋体"/>
          <w:sz w:val="30"/>
          <w:szCs w:val="30"/>
        </w:rPr>
      </w:pPr>
      <w:r>
        <w:rPr>
          <w:rFonts w:hint="eastAsia" w:ascii="Times New Roman" w:hAnsi="Times New Roman" w:eastAsia="宋体"/>
          <w:sz w:val="30"/>
          <w:szCs w:val="30"/>
        </w:rPr>
        <w:t>3.3招标文件的修改</w:t>
      </w:r>
    </w:p>
    <w:p>
      <w:pPr>
        <w:tabs>
          <w:tab w:val="left" w:pos="1260"/>
        </w:tabs>
        <w:spacing w:line="360" w:lineRule="auto"/>
        <w:ind w:firstLine="480" w:firstLineChars="200"/>
        <w:rPr>
          <w:rFonts w:hint="eastAsia" w:ascii="宋体" w:hAnsi="宋体"/>
        </w:rPr>
      </w:pPr>
      <w:r>
        <w:rPr>
          <w:rFonts w:hint="eastAsia" w:ascii="宋体" w:hAnsi="宋体"/>
        </w:rPr>
        <w:t>3.3.1在投标截止时间前规定时间内，招标采购单位有权修改招标文件，修改的文件内容作为招标文件的补充和组成部分，对所有投标人均有约束力。</w:t>
      </w:r>
    </w:p>
    <w:p>
      <w:pPr>
        <w:tabs>
          <w:tab w:val="left" w:pos="1260"/>
        </w:tabs>
        <w:spacing w:line="360" w:lineRule="auto"/>
        <w:ind w:firstLine="480" w:firstLineChars="200"/>
        <w:rPr>
          <w:rFonts w:hint="eastAsia" w:ascii="宋体" w:hAnsi="宋体"/>
          <w:szCs w:val="22"/>
        </w:rPr>
      </w:pPr>
      <w:r>
        <w:rPr>
          <w:rFonts w:hint="eastAsia" w:ascii="宋体" w:hAnsi="宋体"/>
        </w:rPr>
        <w:t>3.3.2对招标文件的修改，招标采购单位将修改内容（补充文件）以更正公告或其他公告的方式于投标文件提交截止时间前在浙江政府采购网站</w:t>
      </w:r>
      <w:r>
        <w:rPr>
          <w:rFonts w:hint="eastAsia" w:ascii="宋体" w:hAnsi="宋体"/>
        </w:rPr>
        <w:fldChar w:fldCharType="begin"/>
      </w:r>
      <w:r>
        <w:rPr>
          <w:rFonts w:hint="eastAsia" w:ascii="宋体" w:hAnsi="宋体"/>
        </w:rPr>
        <w:instrText xml:space="preserve"> HYPERLINK "http://www.zjzfcg.gov.cn/new/" </w:instrText>
      </w:r>
      <w:r>
        <w:rPr>
          <w:rFonts w:hint="eastAsia" w:ascii="宋体" w:hAnsi="宋体"/>
        </w:rPr>
        <w:fldChar w:fldCharType="separate"/>
      </w:r>
      <w:r>
        <w:rPr>
          <w:rFonts w:hint="eastAsia" w:ascii="宋体" w:hAnsi="宋体"/>
        </w:rPr>
        <w:t>http://www.zjzfcg.gov.cn/new/</w:t>
      </w:r>
      <w:r>
        <w:rPr>
          <w:rFonts w:hint="eastAsia" w:ascii="宋体" w:hAnsi="宋体"/>
        </w:rPr>
        <w:fldChar w:fldCharType="end"/>
      </w:r>
      <w:r>
        <w:rPr>
          <w:rFonts w:hint="eastAsia" w:ascii="宋体" w:hAnsi="宋体"/>
        </w:rPr>
        <w:t>及嵊州市公共资源交易中心网站http://www.szztb.gov.cn</w:t>
      </w:r>
      <w:r>
        <w:rPr>
          <w:rFonts w:hint="eastAsia" w:ascii="宋体" w:hAnsi="宋体"/>
          <w:szCs w:val="22"/>
        </w:rPr>
        <w:t>予以公告，并书面通知所有报名的投标人，投标人可在网站自行下载查阅。</w:t>
      </w:r>
    </w:p>
    <w:p>
      <w:pPr>
        <w:tabs>
          <w:tab w:val="left" w:pos="1260"/>
        </w:tabs>
        <w:spacing w:line="360" w:lineRule="auto"/>
        <w:ind w:firstLine="480" w:firstLineChars="200"/>
        <w:jc w:val="left"/>
        <w:rPr>
          <w:rFonts w:hint="eastAsia" w:ascii="宋体" w:hAnsi="宋体"/>
        </w:rPr>
      </w:pPr>
      <w:r>
        <w:rPr>
          <w:rFonts w:hint="eastAsia" w:ascii="宋体" w:hAnsi="宋体"/>
        </w:rPr>
        <w:t xml:space="preserve">3.3.3为使投标人有足够的时间按招标文件的修改要求修正投标文件，采购代理机构可酌情推迟投标的截止时间和开标时间，具体时间将在招标文件的补充文件中予以明确，没有注明更改投标截止时间的视为截止时间不变。 </w:t>
      </w:r>
    </w:p>
    <w:p>
      <w:pPr>
        <w:pStyle w:val="3"/>
        <w:spacing w:before="0" w:after="0"/>
        <w:rPr>
          <w:rFonts w:hint="eastAsia" w:ascii="宋体" w:hAnsi="宋体" w:eastAsia="宋体"/>
          <w:sz w:val="32"/>
          <w:szCs w:val="32"/>
        </w:rPr>
      </w:pPr>
      <w:bookmarkStart w:id="51" w:name="_Toc528046850"/>
      <w:bookmarkStart w:id="52" w:name="_Toc458419340"/>
      <w:bookmarkStart w:id="53" w:name="_Toc456345901"/>
      <w:r>
        <w:rPr>
          <w:rFonts w:hint="eastAsia" w:ascii="宋体" w:hAnsi="宋体" w:eastAsia="宋体"/>
          <w:sz w:val="32"/>
          <w:szCs w:val="32"/>
        </w:rPr>
        <w:t>四、投标文件的编制</w:t>
      </w:r>
      <w:bookmarkEnd w:id="47"/>
      <w:bookmarkEnd w:id="48"/>
      <w:bookmarkEnd w:id="49"/>
      <w:bookmarkEnd w:id="50"/>
      <w:bookmarkEnd w:id="51"/>
      <w:bookmarkEnd w:id="52"/>
      <w:bookmarkEnd w:id="53"/>
    </w:p>
    <w:p>
      <w:pPr>
        <w:pStyle w:val="4"/>
        <w:spacing w:before="120" w:after="120"/>
        <w:rPr>
          <w:rFonts w:hint="eastAsia"/>
          <w:sz w:val="30"/>
          <w:szCs w:val="30"/>
        </w:rPr>
      </w:pPr>
      <w:bookmarkStart w:id="54" w:name="_Toc226337765"/>
      <w:bookmarkStart w:id="55" w:name="_Toc180555924"/>
      <w:bookmarkStart w:id="56" w:name="_Toc248065043"/>
      <w:r>
        <w:rPr>
          <w:rFonts w:hint="eastAsia"/>
          <w:sz w:val="30"/>
          <w:szCs w:val="30"/>
        </w:rPr>
        <w:t>4.1投标的语言及计量单位</w:t>
      </w:r>
      <w:bookmarkEnd w:id="54"/>
      <w:bookmarkEnd w:id="55"/>
      <w:bookmarkEnd w:id="56"/>
    </w:p>
    <w:p>
      <w:pPr>
        <w:tabs>
          <w:tab w:val="left" w:pos="1260"/>
        </w:tabs>
        <w:spacing w:line="360" w:lineRule="auto"/>
        <w:ind w:firstLine="480" w:firstLineChars="200"/>
        <w:rPr>
          <w:rFonts w:hint="eastAsia" w:ascii="宋体" w:hAnsi="宋体"/>
        </w:rPr>
      </w:pPr>
      <w:r>
        <w:rPr>
          <w:rFonts w:hint="eastAsia" w:ascii="宋体" w:hAnsi="宋体"/>
        </w:rPr>
        <w:t>4.1.1投标人提交的投标文件以及投标人与采购人就有关投标的所有来往书面文件均应使用中文。</w:t>
      </w:r>
    </w:p>
    <w:p>
      <w:pPr>
        <w:tabs>
          <w:tab w:val="left" w:pos="1260"/>
        </w:tabs>
        <w:spacing w:line="360" w:lineRule="auto"/>
        <w:ind w:firstLine="480" w:firstLineChars="200"/>
        <w:rPr>
          <w:rFonts w:ascii="宋体" w:hAnsi="宋体"/>
        </w:rPr>
      </w:pPr>
      <w:r>
        <w:rPr>
          <w:rFonts w:hint="eastAsia" w:ascii="宋体" w:hAnsi="宋体"/>
        </w:rPr>
        <w:t>4.1.2除招标文件中有特殊规定外，投标文件中的计量单位一律使用中国法定计量单位。</w:t>
      </w:r>
    </w:p>
    <w:p>
      <w:pPr>
        <w:pStyle w:val="6"/>
        <w:spacing w:before="0" w:after="0"/>
        <w:ind w:left="718" w:leftChars="75" w:hanging="538"/>
        <w:rPr>
          <w:rFonts w:hint="eastAsia" w:ascii="Times New Roman" w:hAnsi="Times New Roman" w:eastAsia="宋体"/>
          <w:sz w:val="30"/>
          <w:szCs w:val="30"/>
        </w:rPr>
      </w:pPr>
      <w:bookmarkStart w:id="57" w:name="_Toc180555925"/>
      <w:bookmarkStart w:id="58" w:name="_Toc248065044"/>
      <w:bookmarkStart w:id="59" w:name="_Toc226337766"/>
      <w:r>
        <w:rPr>
          <w:rFonts w:hint="eastAsia" w:ascii="Times New Roman" w:hAnsi="Times New Roman" w:eastAsia="宋体"/>
          <w:sz w:val="30"/>
          <w:szCs w:val="30"/>
        </w:rPr>
        <w:t>4.2投标文件的构成、编排和装订</w:t>
      </w:r>
      <w:bookmarkEnd w:id="57"/>
      <w:bookmarkEnd w:id="58"/>
      <w:bookmarkEnd w:id="59"/>
    </w:p>
    <w:p>
      <w:pPr>
        <w:tabs>
          <w:tab w:val="left" w:pos="1260"/>
        </w:tabs>
        <w:spacing w:line="360" w:lineRule="auto"/>
        <w:ind w:firstLine="480" w:firstLineChars="200"/>
        <w:rPr>
          <w:rFonts w:hint="eastAsia" w:ascii="宋体" w:hAnsi="宋体" w:cs="宋体"/>
        </w:rPr>
      </w:pPr>
      <w:r>
        <w:rPr>
          <w:rFonts w:hint="eastAsia" w:ascii="宋体" w:hAnsi="宋体" w:cs="宋体"/>
        </w:rPr>
        <w:t>4.2.1 投标人应当按照招标文件的要求编制投标文件。投标文件应对招标文件提出的要求和条件做出实质性响应，并提供下述资料。</w:t>
      </w:r>
    </w:p>
    <w:p>
      <w:pPr>
        <w:tabs>
          <w:tab w:val="left" w:pos="1260"/>
        </w:tabs>
        <w:spacing w:line="360" w:lineRule="auto"/>
        <w:ind w:firstLine="480" w:firstLineChars="200"/>
        <w:rPr>
          <w:rFonts w:hint="eastAsia" w:ascii="宋体" w:hAnsi="宋体" w:cs="宋体"/>
          <w:b/>
        </w:rPr>
      </w:pPr>
      <w:r>
        <w:rPr>
          <w:rFonts w:hint="eastAsia" w:ascii="宋体" w:hAnsi="宋体" w:cs="宋体"/>
          <w:b/>
        </w:rPr>
        <w:t>投标文件由技术资信部分和价格部分二部分组成，须分别装订成册。技术资信部分不得出现报价，否则投标将被拒绝。（以下要求提供的原件和复印件均需加盖投标人公章）。</w:t>
      </w:r>
    </w:p>
    <w:p>
      <w:pPr>
        <w:tabs>
          <w:tab w:val="left" w:pos="1260"/>
        </w:tabs>
        <w:spacing w:line="360" w:lineRule="auto"/>
        <w:ind w:firstLine="480" w:firstLineChars="200"/>
        <w:rPr>
          <w:rFonts w:hint="eastAsia" w:ascii="宋体" w:hAnsi="宋体" w:cs="宋体"/>
          <w:b/>
        </w:rPr>
      </w:pPr>
      <w:r>
        <w:rPr>
          <w:rFonts w:hint="eastAsia" w:ascii="宋体" w:hAnsi="宋体" w:cs="宋体"/>
          <w:b/>
        </w:rPr>
        <w:t>（一）技术资信部分</w:t>
      </w:r>
    </w:p>
    <w:p>
      <w:pPr>
        <w:spacing w:line="360" w:lineRule="auto"/>
        <w:rPr>
          <w:rFonts w:hint="eastAsia" w:ascii="宋体" w:cs="宋体"/>
          <w:b/>
          <w:sz w:val="28"/>
        </w:rPr>
      </w:pPr>
      <w:r>
        <w:rPr>
          <w:rFonts w:hint="eastAsia" w:ascii="宋体" w:cs="宋体"/>
          <w:b/>
          <w:sz w:val="28"/>
        </w:rPr>
        <w:t>1.资信部分</w:t>
      </w:r>
    </w:p>
    <w:p>
      <w:pPr>
        <w:spacing w:line="360" w:lineRule="auto"/>
        <w:ind w:firstLine="480" w:firstLineChars="200"/>
        <w:rPr>
          <w:rFonts w:hint="eastAsia" w:ascii="宋体" w:hAnsi="宋体" w:cs="宋体"/>
          <w:snapToGrid w:val="0"/>
          <w:kern w:val="0"/>
          <w:szCs w:val="24"/>
          <w:lang w:val="zh-CN"/>
        </w:rPr>
      </w:pPr>
      <w:r>
        <w:rPr>
          <w:rFonts w:ascii="宋体" w:hAnsi="宋体" w:cs="宋体"/>
          <w:snapToGrid w:val="0"/>
          <w:kern w:val="0"/>
          <w:szCs w:val="24"/>
          <w:lang w:val="zh-CN"/>
        </w:rPr>
        <w:t xml:space="preserve">1) </w:t>
      </w:r>
      <w:r>
        <w:rPr>
          <w:rFonts w:hint="eastAsia" w:ascii="宋体" w:hAnsi="宋体" w:cs="宋体"/>
          <w:snapToGrid w:val="0"/>
          <w:kern w:val="0"/>
          <w:szCs w:val="24"/>
          <w:lang w:val="zh-CN"/>
        </w:rPr>
        <w:t>投标函（见投标文件格式）；</w:t>
      </w:r>
    </w:p>
    <w:p>
      <w:pPr>
        <w:spacing w:line="360" w:lineRule="auto"/>
        <w:ind w:firstLine="480" w:firstLineChars="200"/>
        <w:rPr>
          <w:rFonts w:hint="eastAsia" w:ascii="宋体" w:hAnsi="宋体" w:cs="宋体"/>
          <w:snapToGrid w:val="0"/>
          <w:kern w:val="0"/>
          <w:szCs w:val="24"/>
          <w:lang w:val="zh-CN"/>
        </w:rPr>
      </w:pPr>
      <w:r>
        <w:rPr>
          <w:rFonts w:ascii="宋体" w:hAnsi="宋体" w:cs="宋体"/>
          <w:snapToGrid w:val="0"/>
          <w:kern w:val="0"/>
          <w:szCs w:val="24"/>
          <w:lang w:val="zh-CN"/>
        </w:rPr>
        <w:t xml:space="preserve">2) </w:t>
      </w:r>
      <w:r>
        <w:rPr>
          <w:rFonts w:hint="eastAsia" w:ascii="宋体" w:hAnsi="宋体" w:cs="宋体"/>
          <w:snapToGrid w:val="0"/>
          <w:kern w:val="0"/>
          <w:szCs w:val="24"/>
          <w:lang w:val="zh-CN"/>
        </w:rPr>
        <w:t>法定代表人授权委托书（见投标文件格式，正本原件，副本可复印件）；</w:t>
      </w:r>
    </w:p>
    <w:p>
      <w:pPr>
        <w:spacing w:line="360" w:lineRule="auto"/>
        <w:ind w:firstLine="480" w:firstLineChars="200"/>
        <w:rPr>
          <w:rFonts w:hint="eastAsia" w:ascii="宋体" w:hAnsi="宋体" w:cs="宋体"/>
          <w:snapToGrid w:val="0"/>
          <w:kern w:val="0"/>
          <w:szCs w:val="24"/>
          <w:lang w:val="zh-CN"/>
        </w:rPr>
      </w:pPr>
      <w:r>
        <w:rPr>
          <w:rFonts w:hint="eastAsia" w:ascii="宋体" w:hAnsi="宋体" w:cs="宋体"/>
          <w:snapToGrid w:val="0"/>
          <w:kern w:val="0"/>
          <w:szCs w:val="24"/>
          <w:lang w:val="zh-CN"/>
        </w:rPr>
        <w:t>3）法定代表人及授权委托人身份证复印件、授权委托人近三个月社保缴纳证明；</w:t>
      </w:r>
    </w:p>
    <w:p>
      <w:pPr>
        <w:spacing w:line="360" w:lineRule="auto"/>
        <w:ind w:firstLine="480" w:firstLineChars="200"/>
        <w:rPr>
          <w:rFonts w:hint="eastAsia" w:ascii="宋体" w:hAnsi="宋体" w:cs="宋体"/>
          <w:snapToGrid w:val="0"/>
          <w:kern w:val="0"/>
          <w:szCs w:val="24"/>
          <w:lang w:val="zh-CN"/>
        </w:rPr>
      </w:pPr>
      <w:r>
        <w:rPr>
          <w:rFonts w:hint="eastAsia" w:ascii="宋体" w:hAnsi="宋体" w:cs="宋体"/>
          <w:snapToGrid w:val="0"/>
          <w:kern w:val="0"/>
          <w:szCs w:val="24"/>
          <w:lang w:val="zh-CN"/>
        </w:rPr>
        <w:t>4）营业执照、税务登记证（复印件加盖公章）；</w:t>
      </w:r>
    </w:p>
    <w:p>
      <w:pPr>
        <w:spacing w:line="360" w:lineRule="auto"/>
        <w:ind w:firstLine="480" w:firstLineChars="200"/>
        <w:rPr>
          <w:rFonts w:hint="eastAsia" w:ascii="宋体" w:hAnsi="宋体" w:cs="宋体"/>
        </w:rPr>
      </w:pPr>
      <w:r>
        <w:rPr>
          <w:rFonts w:hint="eastAsia" w:ascii="宋体" w:hAnsi="宋体" w:cs="宋体"/>
          <w:snapToGrid w:val="0"/>
          <w:kern w:val="0"/>
          <w:szCs w:val="24"/>
          <w:lang w:val="zh-CN"/>
        </w:rPr>
        <w:t>5）供应商市场行</w:t>
      </w:r>
      <w:r>
        <w:rPr>
          <w:rFonts w:hint="eastAsia" w:ascii="宋体" w:hAnsi="宋体" w:cs="宋体"/>
        </w:rPr>
        <w:t>为信誉情况承诺书；</w:t>
      </w:r>
    </w:p>
    <w:p>
      <w:pPr>
        <w:spacing w:line="360" w:lineRule="auto"/>
        <w:ind w:firstLine="480" w:firstLineChars="200"/>
        <w:rPr>
          <w:rFonts w:hint="eastAsia" w:ascii="宋体" w:hAnsi="宋体" w:cs="宋体"/>
          <w:snapToGrid w:val="0"/>
          <w:kern w:val="0"/>
          <w:szCs w:val="24"/>
          <w:lang w:val="zh-CN"/>
        </w:rPr>
      </w:pPr>
      <w:r>
        <w:rPr>
          <w:rFonts w:hint="eastAsia" w:ascii="宋体" w:hAnsi="宋体" w:cs="宋体"/>
        </w:rPr>
        <w:t>6）同类项目业绩表（附合同复印件）；</w:t>
      </w:r>
    </w:p>
    <w:p>
      <w:pPr>
        <w:pStyle w:val="73"/>
        <w:widowControl w:val="0"/>
        <w:autoSpaceDE w:val="0"/>
        <w:autoSpaceDN w:val="0"/>
        <w:adjustRightInd w:val="0"/>
        <w:spacing w:before="0" w:beforeAutospacing="0" w:after="0" w:afterAutospacing="0" w:line="360" w:lineRule="auto"/>
        <w:ind w:firstLine="480" w:firstLineChars="200"/>
      </w:pPr>
      <w:r>
        <w:rPr>
          <w:rFonts w:hint="eastAsia" w:hAnsi="Times New Roman" w:eastAsia="Times New Roman"/>
          <w:sz w:val="24"/>
        </w:rPr>
        <w:t>7</w:t>
      </w:r>
      <w:r>
        <w:rPr>
          <w:rFonts w:hAnsi="Times New Roman" w:eastAsia="Times New Roman"/>
          <w:sz w:val="24"/>
        </w:rPr>
        <w:t>）资信偏离表（</w:t>
      </w:r>
      <w:r>
        <w:rPr>
          <w:rFonts w:hint="eastAsia" w:eastAsia="Times New Roman"/>
          <w:sz w:val="24"/>
        </w:rPr>
        <w:t>如不填写，则视为完全响应招标文件的服务及条款要求）</w:t>
      </w:r>
      <w:r>
        <w:rPr>
          <w:rFonts w:hAnsi="Times New Roman" w:eastAsia="Times New Roman"/>
          <w:sz w:val="24"/>
        </w:rPr>
        <w:t>；</w:t>
      </w:r>
    </w:p>
    <w:p>
      <w:pPr>
        <w:pStyle w:val="73"/>
        <w:widowControl w:val="0"/>
        <w:autoSpaceDE w:val="0"/>
        <w:autoSpaceDN w:val="0"/>
        <w:adjustRightInd w:val="0"/>
        <w:spacing w:before="0" w:beforeAutospacing="0" w:after="0" w:afterAutospacing="0" w:line="360" w:lineRule="auto"/>
        <w:ind w:firstLine="480" w:firstLineChars="200"/>
      </w:pPr>
      <w:r>
        <w:rPr>
          <w:rFonts w:hint="eastAsia" w:hAnsi="Times New Roman" w:eastAsia="Times New Roman"/>
          <w:sz w:val="24"/>
        </w:rPr>
        <w:t>8</w:t>
      </w:r>
      <w:r>
        <w:rPr>
          <w:rFonts w:hAnsi="Times New Roman" w:eastAsia="Times New Roman"/>
          <w:sz w:val="24"/>
        </w:rPr>
        <w:t>）</w:t>
      </w:r>
      <w:r>
        <w:rPr>
          <w:rFonts w:hint="eastAsia" w:eastAsia="Times New Roman"/>
          <w:sz w:val="24"/>
        </w:rPr>
        <w:t>投标人基本情况，参与本项目建设的优势；</w:t>
      </w:r>
    </w:p>
    <w:p>
      <w:pPr>
        <w:pStyle w:val="73"/>
        <w:widowControl w:val="0"/>
        <w:autoSpaceDE w:val="0"/>
        <w:autoSpaceDN w:val="0"/>
        <w:adjustRightInd w:val="0"/>
        <w:spacing w:before="0" w:beforeAutospacing="0" w:after="0" w:afterAutospacing="0" w:line="360" w:lineRule="auto"/>
        <w:ind w:firstLine="480" w:firstLineChars="200"/>
      </w:pPr>
      <w:r>
        <w:rPr>
          <w:rFonts w:hint="eastAsia" w:hAnsi="Times New Roman" w:eastAsia="Times New Roman"/>
          <w:sz w:val="24"/>
        </w:rPr>
        <w:t>9</w:t>
      </w:r>
      <w:r>
        <w:rPr>
          <w:rFonts w:hAnsi="Times New Roman" w:eastAsia="Times New Roman"/>
          <w:sz w:val="24"/>
        </w:rPr>
        <w:t>）</w:t>
      </w:r>
      <w:r>
        <w:rPr>
          <w:rFonts w:hint="eastAsia" w:eastAsia="Times New Roman"/>
          <w:sz w:val="24"/>
        </w:rPr>
        <w:t>企业及产品有关认证证书、获奖情况（如有则提供）；</w:t>
      </w:r>
    </w:p>
    <w:p>
      <w:pPr>
        <w:pStyle w:val="73"/>
        <w:widowControl w:val="0"/>
        <w:autoSpaceDE w:val="0"/>
        <w:autoSpaceDN w:val="0"/>
        <w:adjustRightInd w:val="0"/>
        <w:spacing w:before="0" w:beforeAutospacing="0" w:after="0" w:afterAutospacing="0" w:line="360" w:lineRule="auto"/>
        <w:ind w:firstLine="480" w:firstLineChars="200"/>
      </w:pPr>
      <w:r>
        <w:rPr>
          <w:rFonts w:hint="eastAsia" w:eastAsia="Times New Roman"/>
          <w:sz w:val="24"/>
        </w:rPr>
        <w:t>10）投标人认为</w:t>
      </w:r>
      <w:r>
        <w:rPr>
          <w:rFonts w:hAnsi="Times New Roman" w:eastAsia="Times New Roman"/>
          <w:sz w:val="24"/>
        </w:rPr>
        <w:t>与评分有关的</w:t>
      </w:r>
      <w:r>
        <w:rPr>
          <w:rFonts w:hint="eastAsia" w:eastAsia="Times New Roman"/>
          <w:sz w:val="24"/>
        </w:rPr>
        <w:t>需要提供的其他资料。</w:t>
      </w:r>
    </w:p>
    <w:p>
      <w:pPr>
        <w:spacing w:line="360" w:lineRule="auto"/>
        <w:rPr>
          <w:rFonts w:hint="eastAsia" w:ascii="宋体" w:cs="宋体"/>
          <w:b/>
          <w:sz w:val="28"/>
        </w:rPr>
      </w:pPr>
      <w:r>
        <w:rPr>
          <w:rFonts w:hint="eastAsia" w:ascii="宋体" w:cs="宋体"/>
          <w:b/>
          <w:sz w:val="28"/>
        </w:rPr>
        <w:t>2.技术部分</w:t>
      </w:r>
    </w:p>
    <w:p>
      <w:pPr>
        <w:pStyle w:val="73"/>
        <w:widowControl w:val="0"/>
        <w:autoSpaceDE w:val="0"/>
        <w:autoSpaceDN w:val="0"/>
        <w:adjustRightInd w:val="0"/>
        <w:spacing w:before="0" w:beforeAutospacing="0" w:after="0" w:afterAutospacing="0" w:line="360" w:lineRule="auto"/>
        <w:ind w:firstLine="480" w:firstLineChars="200"/>
      </w:pPr>
      <w:r>
        <w:rPr>
          <w:rFonts w:hint="eastAsia" w:hAnsi="Times New Roman" w:eastAsia="Times New Roman"/>
          <w:sz w:val="24"/>
        </w:rPr>
        <w:t>1</w:t>
      </w:r>
      <w:r>
        <w:rPr>
          <w:rFonts w:hAnsi="Times New Roman" w:eastAsia="Times New Roman"/>
          <w:sz w:val="24"/>
        </w:rPr>
        <w:t>）投标人技术力量，项目组成员情况（项目负责人和项目组成员须提供近三个月社保缴纳证明）；</w:t>
      </w:r>
    </w:p>
    <w:p>
      <w:pPr>
        <w:spacing w:line="360" w:lineRule="auto"/>
        <w:ind w:firstLine="480" w:firstLineChars="200"/>
        <w:rPr>
          <w:rFonts w:hint="eastAsia" w:ascii="宋体" w:hAnsi="宋体" w:cs="宋体"/>
        </w:rPr>
      </w:pPr>
      <w:r>
        <w:rPr>
          <w:rFonts w:hint="eastAsia" w:ascii="宋体" w:hAnsi="宋体" w:cs="宋体"/>
        </w:rPr>
        <w:t>2）投标产品配置清单及数量（见招标内容及技术需求）；</w:t>
      </w:r>
    </w:p>
    <w:p>
      <w:pPr>
        <w:spacing w:line="360" w:lineRule="auto"/>
        <w:ind w:firstLine="480" w:firstLineChars="200"/>
        <w:rPr>
          <w:rFonts w:hint="eastAsia" w:ascii="宋体" w:hAnsi="宋体"/>
          <w:snapToGrid w:val="0"/>
          <w:kern w:val="0"/>
          <w:szCs w:val="24"/>
          <w:lang w:val="zh-CN"/>
        </w:rPr>
      </w:pPr>
      <w:r>
        <w:rPr>
          <w:rFonts w:hint="eastAsia" w:ascii="宋体" w:hAnsi="宋体"/>
        </w:rPr>
        <w:t>3) 投标产品介绍；</w:t>
      </w:r>
      <w:r>
        <w:rPr>
          <w:rFonts w:hint="eastAsia" w:ascii="宋体" w:hAnsi="宋体"/>
          <w:snapToGrid w:val="0"/>
          <w:kern w:val="0"/>
          <w:szCs w:val="24"/>
          <w:lang w:val="zh-CN"/>
        </w:rPr>
        <w:t xml:space="preserve"> </w:t>
      </w:r>
    </w:p>
    <w:p>
      <w:pPr>
        <w:pStyle w:val="73"/>
        <w:widowControl w:val="0"/>
        <w:autoSpaceDE w:val="0"/>
        <w:autoSpaceDN w:val="0"/>
        <w:adjustRightInd w:val="0"/>
        <w:spacing w:before="0" w:beforeAutospacing="0" w:after="0" w:afterAutospacing="0" w:line="360" w:lineRule="auto"/>
        <w:ind w:firstLine="480" w:firstLineChars="200"/>
        <w:rPr>
          <w:rFonts w:hint="eastAsia" w:cs="宋体"/>
          <w:snapToGrid w:val="0"/>
          <w:sz w:val="24"/>
          <w:szCs w:val="24"/>
          <w:lang w:val="zh-CN"/>
        </w:rPr>
      </w:pPr>
      <w:r>
        <w:rPr>
          <w:rFonts w:hint="eastAsia" w:cs="宋体"/>
          <w:snapToGrid w:val="0"/>
          <w:sz w:val="24"/>
          <w:szCs w:val="24"/>
          <w:lang w:val="zh-CN"/>
        </w:rPr>
        <w:t>4</w:t>
      </w:r>
      <w:r>
        <w:rPr>
          <w:rFonts w:cs="宋体"/>
          <w:snapToGrid w:val="0"/>
          <w:sz w:val="24"/>
          <w:szCs w:val="24"/>
          <w:lang w:val="zh-CN"/>
        </w:rPr>
        <w:t>）</w:t>
      </w:r>
      <w:r>
        <w:rPr>
          <w:rFonts w:hint="eastAsia" w:cs="宋体"/>
          <w:snapToGrid w:val="0"/>
          <w:sz w:val="24"/>
          <w:szCs w:val="24"/>
          <w:lang w:val="zh-CN"/>
        </w:rPr>
        <w:t>针对本项目的详细</w:t>
      </w:r>
      <w:r>
        <w:rPr>
          <w:rFonts w:cs="宋体"/>
          <w:snapToGrid w:val="0"/>
          <w:sz w:val="24"/>
          <w:szCs w:val="24"/>
          <w:lang w:val="zh-CN"/>
        </w:rPr>
        <w:t>技术</w:t>
      </w:r>
      <w:r>
        <w:rPr>
          <w:rFonts w:hint="eastAsia" w:cs="宋体"/>
          <w:snapToGrid w:val="0"/>
          <w:sz w:val="24"/>
          <w:szCs w:val="24"/>
          <w:lang w:val="zh-CN"/>
        </w:rPr>
        <w:t>设计</w:t>
      </w:r>
      <w:r>
        <w:rPr>
          <w:rFonts w:cs="宋体"/>
          <w:snapToGrid w:val="0"/>
          <w:sz w:val="24"/>
          <w:szCs w:val="24"/>
          <w:lang w:val="zh-CN"/>
        </w:rPr>
        <w:t>方案；</w:t>
      </w:r>
    </w:p>
    <w:p>
      <w:pPr>
        <w:spacing w:line="360" w:lineRule="auto"/>
        <w:ind w:firstLine="480" w:firstLineChars="200"/>
        <w:rPr>
          <w:rFonts w:hint="eastAsia" w:ascii="宋体" w:hAnsi="宋体" w:cs="宋体"/>
          <w:snapToGrid w:val="0"/>
          <w:kern w:val="0"/>
          <w:szCs w:val="24"/>
          <w:lang w:val="zh-CN"/>
        </w:rPr>
      </w:pPr>
      <w:r>
        <w:rPr>
          <w:rFonts w:hint="eastAsia" w:ascii="宋体" w:hAnsi="宋体" w:cs="宋体"/>
          <w:snapToGrid w:val="0"/>
          <w:kern w:val="0"/>
          <w:szCs w:val="24"/>
          <w:lang w:val="zh-CN"/>
        </w:rPr>
        <w:t>5) 现场基站电测报告（如有则提供）；</w:t>
      </w:r>
    </w:p>
    <w:p>
      <w:pPr>
        <w:spacing w:line="360" w:lineRule="auto"/>
        <w:ind w:firstLine="480" w:firstLineChars="200"/>
        <w:rPr>
          <w:rFonts w:hint="eastAsia" w:ascii="宋体" w:hAnsi="宋体" w:cs="宋体"/>
        </w:rPr>
      </w:pPr>
      <w:r>
        <w:rPr>
          <w:rFonts w:hint="eastAsia" w:ascii="宋体" w:hAnsi="宋体" w:cs="宋体"/>
        </w:rPr>
        <w:t>6）项目实施、培训、验收计划及方案；</w:t>
      </w:r>
    </w:p>
    <w:p>
      <w:pPr>
        <w:spacing w:line="360" w:lineRule="auto"/>
        <w:ind w:firstLine="480" w:firstLineChars="200"/>
        <w:rPr>
          <w:rFonts w:hint="eastAsia" w:ascii="宋体" w:hAnsi="宋体" w:cs="宋体"/>
        </w:rPr>
      </w:pPr>
      <w:r>
        <w:rPr>
          <w:rFonts w:hint="eastAsia" w:ascii="宋体" w:hAnsi="宋体" w:cs="宋体"/>
        </w:rPr>
        <w:t>7）售后服务承诺（包括人员、联系方式和号码等），维护服务方案、措施，应包括日常维护工作机制、维修服务响应方式、时间、故障恢复时间、服务人员配备、系统故障保障措施；</w:t>
      </w:r>
    </w:p>
    <w:p>
      <w:pPr>
        <w:pStyle w:val="73"/>
        <w:widowControl w:val="0"/>
        <w:autoSpaceDE w:val="0"/>
        <w:autoSpaceDN w:val="0"/>
        <w:adjustRightInd w:val="0"/>
        <w:spacing w:before="0" w:beforeAutospacing="0" w:after="0" w:afterAutospacing="0" w:line="360" w:lineRule="auto"/>
        <w:ind w:firstLine="480" w:firstLineChars="200"/>
      </w:pPr>
      <w:r>
        <w:rPr>
          <w:rFonts w:hint="eastAsia" w:hAnsi="Times New Roman"/>
          <w:sz w:val="24"/>
        </w:rPr>
        <w:t>8</w:t>
      </w:r>
      <w:r>
        <w:rPr>
          <w:rFonts w:hAnsi="Times New Roman" w:eastAsia="Times New Roman"/>
          <w:sz w:val="24"/>
        </w:rPr>
        <w:t>）</w:t>
      </w:r>
      <w:r>
        <w:rPr>
          <w:rFonts w:cs="宋体"/>
          <w:snapToGrid w:val="0"/>
          <w:sz w:val="24"/>
          <w:szCs w:val="24"/>
          <w:lang w:val="zh-CN"/>
        </w:rPr>
        <w:t>技术指标偏离表（见投标文件格式，</w:t>
      </w:r>
      <w:r>
        <w:rPr>
          <w:rFonts w:hint="eastAsia" w:cs="宋体"/>
          <w:snapToGrid w:val="0"/>
          <w:sz w:val="24"/>
          <w:szCs w:val="24"/>
          <w:lang w:val="zh-CN"/>
        </w:rPr>
        <w:t>如不填写，则视为完全响应招标文件的服务及条款要求</w:t>
      </w:r>
      <w:r>
        <w:rPr>
          <w:rFonts w:cs="宋体"/>
          <w:snapToGrid w:val="0"/>
          <w:sz w:val="24"/>
          <w:szCs w:val="24"/>
          <w:lang w:val="zh-CN"/>
        </w:rPr>
        <w:t>）；</w:t>
      </w:r>
    </w:p>
    <w:p>
      <w:pPr>
        <w:spacing w:line="360" w:lineRule="auto"/>
        <w:ind w:firstLine="480" w:firstLineChars="200"/>
        <w:rPr>
          <w:rFonts w:hint="eastAsia" w:ascii="宋体" w:hAnsi="宋体" w:cs="宋体"/>
          <w:snapToGrid w:val="0"/>
          <w:kern w:val="0"/>
          <w:szCs w:val="24"/>
          <w:lang w:val="zh-CN"/>
        </w:rPr>
      </w:pPr>
      <w:r>
        <w:rPr>
          <w:rFonts w:hint="eastAsia" w:ascii="宋体" w:hAnsi="宋体" w:cs="宋体"/>
        </w:rPr>
        <w:t xml:space="preserve">9) </w:t>
      </w:r>
      <w:r>
        <w:rPr>
          <w:rFonts w:hint="eastAsia" w:ascii="宋体" w:hAnsi="宋体" w:cs="宋体"/>
          <w:snapToGrid w:val="0"/>
          <w:kern w:val="0"/>
          <w:szCs w:val="24"/>
          <w:lang w:val="zh-CN"/>
        </w:rPr>
        <w:t>投标人承诺给予用户的其他优惠条件，包括付款、技术培训、售后服务、驻场人员、质量保证期等（如有则提供）；</w:t>
      </w:r>
    </w:p>
    <w:p>
      <w:pPr>
        <w:spacing w:line="360" w:lineRule="auto"/>
        <w:ind w:firstLine="480" w:firstLineChars="200"/>
        <w:rPr>
          <w:rFonts w:hint="eastAsia" w:ascii="宋体" w:hAnsi="宋体" w:cs="宋体"/>
        </w:rPr>
      </w:pPr>
      <w:r>
        <w:rPr>
          <w:rFonts w:hint="eastAsia" w:ascii="宋体" w:hAnsi="宋体" w:cs="宋体"/>
        </w:rPr>
        <w:t>10）投标人认为</w:t>
      </w:r>
      <w:r>
        <w:rPr>
          <w:rFonts w:hint="eastAsia" w:cs="宋体"/>
        </w:rPr>
        <w:t>与评分有关的</w:t>
      </w:r>
      <w:r>
        <w:rPr>
          <w:rFonts w:hint="eastAsia" w:ascii="宋体" w:hAnsi="宋体" w:cs="宋体"/>
        </w:rPr>
        <w:t>需要提供的其他资料。</w:t>
      </w:r>
    </w:p>
    <w:p>
      <w:pPr>
        <w:tabs>
          <w:tab w:val="left" w:pos="1260"/>
        </w:tabs>
        <w:spacing w:line="360" w:lineRule="auto"/>
        <w:ind w:firstLine="560" w:firstLineChars="200"/>
        <w:rPr>
          <w:rFonts w:hint="eastAsia" w:ascii="宋体" w:hAnsi="宋体" w:cs="宋体"/>
          <w:b/>
        </w:rPr>
      </w:pPr>
      <w:r>
        <w:rPr>
          <w:rFonts w:hint="eastAsia" w:ascii="宋体" w:hAnsi="宋体" w:cs="宋体"/>
          <w:b/>
          <w:sz w:val="28"/>
          <w:szCs w:val="28"/>
        </w:rPr>
        <w:t>（二）</w:t>
      </w:r>
      <w:r>
        <w:rPr>
          <w:rFonts w:hint="eastAsia" w:ascii="宋体" w:hAnsi="宋体" w:cs="宋体"/>
          <w:b/>
        </w:rPr>
        <w:t>价格部分</w:t>
      </w:r>
    </w:p>
    <w:p>
      <w:pPr>
        <w:tabs>
          <w:tab w:val="left" w:pos="1260"/>
        </w:tabs>
        <w:spacing w:line="360" w:lineRule="auto"/>
        <w:ind w:firstLine="480" w:firstLineChars="200"/>
        <w:rPr>
          <w:rFonts w:hint="eastAsia" w:ascii="宋体" w:hAnsi="宋体" w:cs="宋体"/>
        </w:rPr>
      </w:pPr>
      <w:r>
        <w:rPr>
          <w:rFonts w:hint="eastAsia" w:ascii="宋体" w:hAnsi="宋体" w:cs="宋体"/>
        </w:rPr>
        <w:t>1）开标一览表。开标一览表为在开标仪式上唱标的内容，投标人需按格式填写，统一规格，不得自行增减内容；</w:t>
      </w:r>
    </w:p>
    <w:p>
      <w:pPr>
        <w:tabs>
          <w:tab w:val="left" w:pos="1260"/>
        </w:tabs>
        <w:spacing w:line="360" w:lineRule="auto"/>
        <w:ind w:firstLine="480" w:firstLineChars="200"/>
        <w:rPr>
          <w:rFonts w:hint="eastAsia" w:ascii="宋体" w:hAnsi="宋体" w:cs="宋体"/>
        </w:rPr>
      </w:pPr>
      <w:r>
        <w:rPr>
          <w:rFonts w:hint="eastAsia" w:ascii="宋体" w:hAnsi="宋体" w:cs="宋体"/>
        </w:rPr>
        <w:t>2）投标报价明细表。</w:t>
      </w:r>
    </w:p>
    <w:p>
      <w:pPr>
        <w:snapToGrid w:val="0"/>
        <w:spacing w:line="360" w:lineRule="auto"/>
        <w:ind w:firstLine="480" w:firstLineChars="200"/>
        <w:jc w:val="left"/>
        <w:rPr>
          <w:rFonts w:hint="eastAsia" w:ascii="宋体" w:hAnsi="宋体" w:cs="宋体"/>
          <w:b/>
        </w:rPr>
      </w:pPr>
      <w:r>
        <w:rPr>
          <w:rFonts w:hint="eastAsia" w:ascii="宋体" w:hAnsi="宋体" w:cs="宋体"/>
        </w:rPr>
        <w:t xml:space="preserve">4.2.2 </w:t>
      </w:r>
      <w:r>
        <w:rPr>
          <w:rFonts w:hint="eastAsia" w:ascii="宋体" w:hAnsi="宋体" w:cs="宋体"/>
          <w:b/>
        </w:rPr>
        <w:t>投标人应当对投标文件的技术资信部分、价格部分按以上顺序编排，提供目录，分别装订成册，按下述五5.1的要求密封和标记。装订后的投标文件外形尺寸应统一为A4纸规格。对未经装订的投标文件可能发生的文件散落或缺损，其风险由投标人自行承担。活页装订（是指用卡条、抽杆夹、订书机等形式装订，使标书可以拆卸或者在翻动过程中易脱落的一种装订方式）的投标文件按无效标处理。</w:t>
      </w:r>
    </w:p>
    <w:p>
      <w:pPr>
        <w:snapToGrid w:val="0"/>
        <w:spacing w:line="360" w:lineRule="auto"/>
        <w:ind w:firstLine="480" w:firstLineChars="200"/>
        <w:jc w:val="left"/>
        <w:rPr>
          <w:rFonts w:hint="eastAsia" w:ascii="宋体" w:hAnsi="宋体" w:cs="宋体"/>
          <w:b/>
        </w:rPr>
      </w:pPr>
      <w:r>
        <w:rPr>
          <w:rFonts w:hint="eastAsia" w:ascii="宋体" w:hAnsi="宋体" w:cs="宋体"/>
        </w:rPr>
        <w:t xml:space="preserve">4.2.3 </w:t>
      </w:r>
      <w:r>
        <w:rPr>
          <w:rFonts w:hint="eastAsia" w:ascii="宋体" w:hAnsi="宋体" w:cs="宋体"/>
          <w:b/>
          <w:u w:val="single"/>
        </w:rPr>
        <w:t>法定代表人授权委托书、投标函、开标一览表必须由相应代表人签名并加盖单位公章。</w:t>
      </w:r>
    </w:p>
    <w:p>
      <w:pPr>
        <w:snapToGrid w:val="0"/>
        <w:spacing w:line="360" w:lineRule="auto"/>
        <w:ind w:firstLine="480" w:firstLineChars="200"/>
        <w:jc w:val="left"/>
        <w:rPr>
          <w:rFonts w:hint="eastAsia" w:ascii="宋体" w:hAnsi="宋体" w:cs="宋体"/>
          <w:b/>
        </w:rPr>
      </w:pPr>
      <w:r>
        <w:rPr>
          <w:rFonts w:hint="eastAsia" w:ascii="宋体" w:hAnsi="宋体" w:cs="宋体"/>
        </w:rPr>
        <w:t>4.3 投标函</w:t>
      </w:r>
    </w:p>
    <w:p>
      <w:pPr>
        <w:snapToGrid w:val="0"/>
        <w:spacing w:line="360" w:lineRule="auto"/>
        <w:ind w:firstLine="480" w:firstLineChars="200"/>
        <w:jc w:val="left"/>
        <w:rPr>
          <w:rFonts w:hint="eastAsia" w:ascii="宋体" w:hAnsi="宋体" w:cs="宋体"/>
        </w:rPr>
      </w:pPr>
      <w:r>
        <w:rPr>
          <w:rFonts w:hint="eastAsia" w:ascii="宋体" w:hAnsi="宋体" w:cs="宋体"/>
        </w:rPr>
        <w:t>投标人应按照招标文件中提供的格式完整地填写《投标函》。</w:t>
      </w:r>
    </w:p>
    <w:p>
      <w:pPr>
        <w:snapToGrid w:val="0"/>
        <w:spacing w:line="360" w:lineRule="auto"/>
        <w:ind w:firstLine="480" w:firstLineChars="200"/>
        <w:jc w:val="left"/>
        <w:rPr>
          <w:rFonts w:hint="eastAsia" w:ascii="宋体" w:hAnsi="宋体" w:cs="宋体"/>
        </w:rPr>
      </w:pPr>
      <w:r>
        <w:rPr>
          <w:rFonts w:hint="eastAsia" w:ascii="宋体" w:hAnsi="宋体" w:cs="宋体"/>
        </w:rPr>
        <w:t>4.4 投标报价</w:t>
      </w:r>
    </w:p>
    <w:p>
      <w:pPr>
        <w:snapToGrid w:val="0"/>
        <w:spacing w:line="360" w:lineRule="auto"/>
        <w:ind w:firstLine="480" w:firstLineChars="200"/>
        <w:jc w:val="left"/>
        <w:rPr>
          <w:rFonts w:hint="eastAsia" w:ascii="宋体" w:hAnsi="宋体" w:cs="宋体"/>
        </w:rPr>
      </w:pPr>
      <w:r>
        <w:rPr>
          <w:rFonts w:hint="eastAsia" w:ascii="宋体" w:hAnsi="宋体" w:cs="宋体"/>
        </w:rPr>
        <w:t>4.4.1 投标人应按照招标文件中提供的格式完整地填写开标一览表和报价组成与成本分析。</w:t>
      </w:r>
    </w:p>
    <w:p>
      <w:pPr>
        <w:snapToGrid w:val="0"/>
        <w:spacing w:line="360" w:lineRule="auto"/>
        <w:ind w:firstLine="480" w:firstLineChars="200"/>
        <w:jc w:val="left"/>
        <w:rPr>
          <w:rFonts w:hint="eastAsia" w:ascii="宋体" w:hAnsi="宋体" w:cs="宋体"/>
        </w:rPr>
      </w:pPr>
      <w:r>
        <w:rPr>
          <w:rFonts w:hint="eastAsia" w:ascii="宋体" w:hAnsi="宋体" w:cs="宋体"/>
        </w:rPr>
        <w:t>4.4.2 本次招标只允许有一个报价，有选择的报价将不予接受。</w:t>
      </w:r>
    </w:p>
    <w:p>
      <w:pPr>
        <w:snapToGrid w:val="0"/>
        <w:spacing w:line="360" w:lineRule="auto"/>
        <w:ind w:firstLine="480" w:firstLineChars="200"/>
        <w:jc w:val="left"/>
        <w:rPr>
          <w:rFonts w:hint="eastAsia" w:ascii="宋体" w:hAnsi="宋体" w:cs="宋体"/>
        </w:rPr>
      </w:pPr>
      <w:r>
        <w:rPr>
          <w:rFonts w:hint="eastAsia" w:ascii="宋体" w:hAnsi="宋体" w:cs="宋体"/>
        </w:rPr>
        <w:t>4.4.3 本次招标只有一次投标报价的机会，投标报价为提供全部服务的所有费用。供应商应在各自技术和商务占优势的基础上并充分考虑本项目的重要性，提供对采购人最优惠的投标报价，且应为履行合同的最终价格，其市场风险由投标人承担。</w:t>
      </w:r>
    </w:p>
    <w:p>
      <w:pPr>
        <w:snapToGrid w:val="0"/>
        <w:spacing w:line="360" w:lineRule="auto"/>
        <w:ind w:firstLine="480" w:firstLineChars="200"/>
        <w:jc w:val="left"/>
        <w:rPr>
          <w:rFonts w:hint="eastAsia" w:ascii="宋体" w:hAnsi="宋体" w:cs="宋体"/>
        </w:rPr>
      </w:pPr>
      <w:r>
        <w:rPr>
          <w:rFonts w:hint="eastAsia" w:ascii="宋体" w:hAnsi="宋体" w:cs="宋体"/>
        </w:rPr>
        <w:t>4.4.4 采购人要求分类报价是为了方便评标，但在任何情况下不限制采购人以其认为最合适的条款签订合同的权利。</w:t>
      </w:r>
    </w:p>
    <w:p>
      <w:pPr>
        <w:snapToGrid w:val="0"/>
        <w:spacing w:line="360" w:lineRule="auto"/>
        <w:ind w:firstLine="480" w:firstLineChars="200"/>
        <w:jc w:val="left"/>
        <w:rPr>
          <w:rFonts w:hint="eastAsia" w:ascii="宋体" w:hAnsi="宋体" w:cs="宋体"/>
        </w:rPr>
      </w:pPr>
      <w:r>
        <w:rPr>
          <w:rFonts w:hint="eastAsia" w:ascii="宋体" w:hAnsi="宋体" w:cs="宋体"/>
        </w:rPr>
        <w:t>4.4.5 投标人所报的投标价在合同执行过程中是固定不变的，不得以任何理由予以变更。任何包含价格调整的要求，将被认为是非实质性响应投标而予以拒绝。</w:t>
      </w:r>
    </w:p>
    <w:p>
      <w:pPr>
        <w:snapToGrid w:val="0"/>
        <w:spacing w:line="360" w:lineRule="auto"/>
        <w:ind w:firstLine="480" w:firstLineChars="200"/>
        <w:jc w:val="left"/>
        <w:rPr>
          <w:rFonts w:hint="eastAsia" w:ascii="宋体" w:hAnsi="宋体" w:cs="宋体"/>
        </w:rPr>
      </w:pPr>
      <w:r>
        <w:rPr>
          <w:rFonts w:hint="eastAsia" w:ascii="宋体" w:hAnsi="宋体" w:cs="宋体"/>
        </w:rPr>
        <w:t>4.4.6 最低报价不能作为中标的唯一保证。</w:t>
      </w:r>
    </w:p>
    <w:p>
      <w:pPr>
        <w:snapToGrid w:val="0"/>
        <w:spacing w:line="360" w:lineRule="auto"/>
        <w:ind w:firstLine="480" w:firstLineChars="200"/>
        <w:jc w:val="left"/>
        <w:rPr>
          <w:rFonts w:hint="eastAsia" w:ascii="宋体" w:hAnsi="宋体" w:cs="宋体"/>
        </w:rPr>
      </w:pPr>
      <w:r>
        <w:rPr>
          <w:rFonts w:hint="eastAsia" w:ascii="宋体" w:hAnsi="宋体" w:cs="宋体"/>
        </w:rPr>
        <w:t>4.4.7 供应商须提交总投标价及投标报价说明。</w:t>
      </w:r>
    </w:p>
    <w:p>
      <w:pPr>
        <w:snapToGrid w:val="0"/>
        <w:spacing w:line="360" w:lineRule="auto"/>
        <w:ind w:firstLine="480" w:firstLineChars="200"/>
        <w:jc w:val="left"/>
        <w:rPr>
          <w:rFonts w:hint="eastAsia" w:ascii="宋体" w:hAnsi="宋体" w:cs="宋体"/>
        </w:rPr>
      </w:pPr>
      <w:r>
        <w:rPr>
          <w:rFonts w:hint="eastAsia" w:ascii="宋体" w:hAnsi="宋体" w:cs="宋体"/>
        </w:rPr>
        <w:t>4.4.8 供应商应充分考虑合同执行过程中可能发生的一切费用，并均应计入投标总价。</w:t>
      </w:r>
    </w:p>
    <w:p>
      <w:pPr>
        <w:snapToGrid w:val="0"/>
        <w:spacing w:line="360" w:lineRule="auto"/>
        <w:ind w:firstLine="480" w:firstLineChars="200"/>
        <w:jc w:val="left"/>
        <w:rPr>
          <w:rFonts w:hint="eastAsia" w:ascii="宋体" w:hAnsi="宋体" w:cs="宋体"/>
        </w:rPr>
      </w:pPr>
      <w:r>
        <w:rPr>
          <w:rFonts w:hint="eastAsia" w:ascii="宋体" w:hAnsi="宋体" w:cs="宋体"/>
        </w:rPr>
        <w:t>4.5 投标货币</w:t>
      </w:r>
    </w:p>
    <w:p>
      <w:pPr>
        <w:snapToGrid w:val="0"/>
        <w:spacing w:line="360" w:lineRule="auto"/>
        <w:ind w:firstLine="480" w:firstLineChars="200"/>
        <w:jc w:val="left"/>
        <w:rPr>
          <w:rFonts w:hint="eastAsia" w:ascii="宋体" w:hAnsi="宋体" w:cs="宋体"/>
        </w:rPr>
      </w:pPr>
      <w:r>
        <w:rPr>
          <w:rFonts w:hint="eastAsia" w:ascii="宋体" w:hAnsi="宋体" w:cs="宋体"/>
        </w:rPr>
        <w:t>投标文件中的单价、合价、总价全部采用人民币表示。</w:t>
      </w:r>
    </w:p>
    <w:p>
      <w:pPr>
        <w:tabs>
          <w:tab w:val="left" w:pos="1260"/>
        </w:tabs>
        <w:spacing w:line="360" w:lineRule="auto"/>
        <w:ind w:firstLine="480" w:firstLineChars="200"/>
        <w:rPr>
          <w:rFonts w:hint="eastAsia" w:ascii="宋体" w:hAnsi="宋体" w:cs="宋体"/>
        </w:rPr>
      </w:pPr>
      <w:r>
        <w:rPr>
          <w:rFonts w:hint="eastAsia" w:ascii="宋体" w:hAnsi="宋体" w:cs="宋体"/>
        </w:rPr>
        <w:t>4.6 投标有效期</w:t>
      </w:r>
    </w:p>
    <w:p>
      <w:pPr>
        <w:tabs>
          <w:tab w:val="left" w:pos="1260"/>
        </w:tabs>
        <w:spacing w:line="360" w:lineRule="auto"/>
        <w:ind w:firstLine="480" w:firstLineChars="200"/>
        <w:rPr>
          <w:rFonts w:hint="eastAsia" w:ascii="宋体" w:hAnsi="宋体" w:cs="宋体"/>
        </w:rPr>
      </w:pPr>
      <w:r>
        <w:rPr>
          <w:rFonts w:hint="eastAsia" w:ascii="宋体" w:hAnsi="宋体" w:cs="宋体"/>
        </w:rPr>
        <w:t>4.6.1 投标文件应从投标截止时间起，在《投标须知前附表》中规定的投标有效期内有效。投标有效期比招标文件规定短的可以作为非响应投标而予以拒绝。</w:t>
      </w:r>
    </w:p>
    <w:p>
      <w:pPr>
        <w:tabs>
          <w:tab w:val="left" w:pos="1260"/>
        </w:tabs>
        <w:spacing w:line="360" w:lineRule="auto"/>
        <w:ind w:firstLine="480" w:firstLineChars="200"/>
        <w:rPr>
          <w:rFonts w:hint="eastAsia" w:ascii="宋体" w:hAnsi="宋体" w:cs="宋体"/>
        </w:rPr>
      </w:pPr>
      <w:r>
        <w:rPr>
          <w:rFonts w:hint="eastAsia" w:ascii="宋体" w:hAnsi="宋体" w:cs="宋体"/>
        </w:rPr>
        <w:t>4.6.2 在特殊情况下，在原投标有效期期满之前，采购人可书面征求投标人同意延长投标有效期。</w:t>
      </w:r>
    </w:p>
    <w:p>
      <w:pPr>
        <w:tabs>
          <w:tab w:val="left" w:pos="1260"/>
        </w:tabs>
        <w:spacing w:line="360" w:lineRule="auto"/>
        <w:ind w:firstLine="480" w:firstLineChars="200"/>
        <w:rPr>
          <w:rFonts w:hint="eastAsia" w:ascii="宋体" w:hAnsi="宋体" w:cs="宋体"/>
        </w:rPr>
      </w:pPr>
      <w:r>
        <w:rPr>
          <w:rFonts w:hint="eastAsia" w:ascii="宋体" w:hAnsi="宋体" w:cs="宋体"/>
        </w:rPr>
        <w:t>4.7 投标文件的式样和签署</w:t>
      </w:r>
    </w:p>
    <w:p>
      <w:pPr>
        <w:tabs>
          <w:tab w:val="left" w:pos="1260"/>
        </w:tabs>
        <w:spacing w:line="360" w:lineRule="auto"/>
        <w:ind w:firstLine="480" w:firstLineChars="200"/>
        <w:rPr>
          <w:rFonts w:hint="eastAsia" w:ascii="宋体" w:hAnsi="宋体" w:cs="宋体"/>
        </w:rPr>
      </w:pPr>
      <w:r>
        <w:rPr>
          <w:rFonts w:hint="eastAsia" w:ascii="宋体" w:hAnsi="宋体" w:cs="宋体"/>
        </w:rPr>
        <w:t>4.7.1 投标人应准备壹份正本和伍份副本。每份投标文件须在封面上清楚地标明 “正本”、“副本”的字样，正本和副本内容不符时以正本为准。</w:t>
      </w:r>
    </w:p>
    <w:p>
      <w:pPr>
        <w:tabs>
          <w:tab w:val="left" w:pos="1260"/>
        </w:tabs>
        <w:spacing w:line="360" w:lineRule="auto"/>
        <w:ind w:firstLine="480" w:firstLineChars="200"/>
        <w:rPr>
          <w:rFonts w:ascii="宋体" w:hAnsi="宋体" w:cs="宋体"/>
        </w:rPr>
      </w:pPr>
      <w:r>
        <w:rPr>
          <w:rFonts w:hint="eastAsia" w:ascii="宋体" w:hAnsi="宋体" w:cs="宋体"/>
        </w:rPr>
        <w:t>4.7.2 投标文件的正本和所有的副本均需打印或用不褪色墨水书写，密封处由投标人的法定代表人或授权委托代理人签字和加盖单位公章。如果是由授权委托代理人签署投标相关文件，则必须按招标文件提供的格式出具的《法定代表人授权书》并将其附在投标文件中。投标文件中凡有涂改之处，都应由投标人的法定代表人或授权委托代理人签字和盖公章。</w:t>
      </w:r>
      <w:r>
        <w:rPr>
          <w:rFonts w:ascii="宋体" w:hAnsi="宋体" w:cs="宋体"/>
        </w:rPr>
        <w:t xml:space="preserve"> </w:t>
      </w:r>
    </w:p>
    <w:p>
      <w:pPr>
        <w:pStyle w:val="3"/>
        <w:spacing w:before="0" w:after="0"/>
        <w:rPr>
          <w:rFonts w:hint="eastAsia" w:ascii="宋体" w:hAnsi="宋体" w:eastAsia="宋体"/>
          <w:sz w:val="32"/>
          <w:szCs w:val="32"/>
        </w:rPr>
      </w:pPr>
      <w:bookmarkStart w:id="60" w:name="_Toc304551314"/>
      <w:bookmarkStart w:id="61" w:name="_Toc180555932"/>
      <w:bookmarkStart w:id="62" w:name="_Toc248065051"/>
      <w:bookmarkStart w:id="63" w:name="_Toc226337773"/>
      <w:bookmarkStart w:id="64" w:name="_Toc528046851"/>
      <w:bookmarkStart w:id="65" w:name="_Toc458419341"/>
      <w:bookmarkStart w:id="66" w:name="_Toc456345902"/>
      <w:r>
        <w:rPr>
          <w:rFonts w:hint="eastAsia" w:ascii="宋体" w:hAnsi="宋体" w:eastAsia="宋体"/>
          <w:sz w:val="32"/>
          <w:szCs w:val="32"/>
        </w:rPr>
        <w:t>五、投标文件的递交</w:t>
      </w:r>
      <w:bookmarkEnd w:id="60"/>
      <w:bookmarkEnd w:id="61"/>
      <w:bookmarkEnd w:id="62"/>
      <w:bookmarkEnd w:id="63"/>
      <w:bookmarkEnd w:id="64"/>
      <w:bookmarkEnd w:id="65"/>
      <w:bookmarkEnd w:id="66"/>
    </w:p>
    <w:p>
      <w:pPr>
        <w:pStyle w:val="6"/>
        <w:spacing w:before="0" w:after="0"/>
        <w:ind w:left="718" w:leftChars="75" w:hanging="538"/>
        <w:rPr>
          <w:rFonts w:hint="eastAsia" w:ascii="Times New Roman" w:hAnsi="Times New Roman" w:eastAsia="宋体"/>
          <w:sz w:val="30"/>
          <w:szCs w:val="30"/>
        </w:rPr>
      </w:pPr>
      <w:bookmarkStart w:id="67" w:name="_Toc180555933"/>
      <w:bookmarkStart w:id="68" w:name="_Toc226337774"/>
      <w:bookmarkStart w:id="69" w:name="_Toc248065052"/>
      <w:r>
        <w:rPr>
          <w:rFonts w:hint="eastAsia" w:ascii="Times New Roman" w:hAnsi="Times New Roman" w:eastAsia="宋体"/>
          <w:sz w:val="30"/>
          <w:szCs w:val="30"/>
        </w:rPr>
        <w:t>5.1投标文件的密封和标记</w:t>
      </w:r>
      <w:bookmarkEnd w:id="67"/>
      <w:bookmarkEnd w:id="68"/>
      <w:bookmarkEnd w:id="69"/>
    </w:p>
    <w:p>
      <w:pPr>
        <w:tabs>
          <w:tab w:val="left" w:pos="1260"/>
        </w:tabs>
        <w:spacing w:line="360" w:lineRule="auto"/>
        <w:ind w:firstLine="480" w:firstLineChars="200"/>
        <w:rPr>
          <w:rFonts w:hint="eastAsia" w:ascii="宋体" w:hAnsi="宋体"/>
        </w:rPr>
      </w:pPr>
      <w:bookmarkStart w:id="70" w:name="_Toc180555934"/>
      <w:bookmarkStart w:id="71" w:name="_Toc248065053"/>
      <w:bookmarkStart w:id="72" w:name="_Toc226337775"/>
      <w:r>
        <w:rPr>
          <w:rFonts w:hint="eastAsia" w:ascii="宋体" w:hAnsi="宋体"/>
        </w:rPr>
        <w:t>5.1.1投标文件按技术资信文件、价格文件分别密封包装。技术资信文件袋内装技术资信文件正本一份、副本伍份；价格文件袋内装价格文件正本一份，副本伍份。在密封处由法定代表人或法定代表人授权委托人签字并加盖公章。</w:t>
      </w:r>
      <w:r>
        <w:rPr>
          <w:rFonts w:hint="eastAsia" w:ascii="宋体" w:hAnsi="宋体"/>
          <w:b/>
        </w:rPr>
        <w:t>技术资信文件不得出现价格，</w:t>
      </w:r>
      <w:r>
        <w:rPr>
          <w:rFonts w:hint="eastAsia" w:ascii="宋体" w:hAnsi="宋体"/>
        </w:rPr>
        <w:t>否则以无效标处理。</w:t>
      </w:r>
      <w:r>
        <w:rPr>
          <w:rFonts w:hint="eastAsia" w:ascii="宋体" w:hAnsi="宋体"/>
          <w:b/>
          <w:u w:val="single"/>
        </w:rPr>
        <w:t>活页装订（是指用卡条、抽杆夹、订书机等形式装订，使标书可以拆卸或者在翻动过程中易脱落的一种装订方式）的投标文件按无效标处理。</w:t>
      </w:r>
    </w:p>
    <w:p>
      <w:pPr>
        <w:tabs>
          <w:tab w:val="left" w:pos="1260"/>
        </w:tabs>
        <w:spacing w:line="360" w:lineRule="auto"/>
        <w:ind w:firstLine="480" w:firstLineChars="200"/>
        <w:rPr>
          <w:rFonts w:hint="eastAsia" w:ascii="宋体" w:hAnsi="宋体"/>
        </w:rPr>
      </w:pPr>
      <w:r>
        <w:rPr>
          <w:rFonts w:hint="eastAsia" w:ascii="宋体" w:hAnsi="宋体"/>
        </w:rPr>
        <w:t>5.1.2密封包装均应：</w:t>
      </w:r>
    </w:p>
    <w:p>
      <w:pPr>
        <w:tabs>
          <w:tab w:val="left" w:pos="1260"/>
        </w:tabs>
        <w:spacing w:line="360" w:lineRule="auto"/>
        <w:ind w:firstLine="480" w:firstLineChars="200"/>
        <w:rPr>
          <w:rFonts w:hint="eastAsia" w:ascii="宋体" w:hAnsi="宋体"/>
        </w:rPr>
      </w:pPr>
      <w:r>
        <w:rPr>
          <w:rFonts w:hint="eastAsia" w:ascii="宋体" w:hAnsi="宋体"/>
        </w:rPr>
        <w:t xml:space="preserve">标明招标项目名称和招标编号； </w:t>
      </w:r>
    </w:p>
    <w:p>
      <w:pPr>
        <w:tabs>
          <w:tab w:val="left" w:pos="1260"/>
        </w:tabs>
        <w:spacing w:line="360" w:lineRule="auto"/>
        <w:ind w:firstLine="480" w:firstLineChars="200"/>
        <w:rPr>
          <w:rFonts w:hint="eastAsia" w:ascii="宋体" w:hAnsi="宋体"/>
        </w:rPr>
      </w:pPr>
      <w:r>
        <w:rPr>
          <w:rFonts w:hint="eastAsia" w:ascii="宋体" w:hAnsi="宋体"/>
        </w:rPr>
        <w:t>注明“在开标时间（要写出具体时间）之前不得启封”的字样；</w:t>
      </w:r>
    </w:p>
    <w:p>
      <w:pPr>
        <w:tabs>
          <w:tab w:val="left" w:pos="1260"/>
        </w:tabs>
        <w:spacing w:line="360" w:lineRule="auto"/>
        <w:ind w:firstLine="480" w:firstLineChars="200"/>
        <w:rPr>
          <w:rFonts w:hint="eastAsia" w:ascii="宋体" w:hAnsi="宋体"/>
        </w:rPr>
      </w:pPr>
      <w:r>
        <w:rPr>
          <w:rFonts w:hint="eastAsia" w:ascii="宋体" w:hAnsi="宋体"/>
        </w:rPr>
        <w:t>注明投标人名称；</w:t>
      </w:r>
    </w:p>
    <w:p>
      <w:pPr>
        <w:tabs>
          <w:tab w:val="left" w:pos="1260"/>
        </w:tabs>
        <w:spacing w:line="360" w:lineRule="auto"/>
        <w:ind w:firstLine="480" w:firstLineChars="200"/>
        <w:rPr>
          <w:rFonts w:hint="eastAsia" w:ascii="宋体" w:hAnsi="宋体"/>
        </w:rPr>
      </w:pPr>
      <w:r>
        <w:rPr>
          <w:rFonts w:hint="eastAsia" w:ascii="宋体" w:hAnsi="宋体"/>
        </w:rPr>
        <w:t>封口处加盖投标人公章。</w:t>
      </w:r>
    </w:p>
    <w:p>
      <w:pPr>
        <w:tabs>
          <w:tab w:val="left" w:pos="1260"/>
        </w:tabs>
        <w:spacing w:line="360" w:lineRule="auto"/>
        <w:ind w:firstLine="480" w:firstLineChars="200"/>
        <w:rPr>
          <w:rFonts w:hint="eastAsia" w:ascii="宋体" w:hAnsi="宋体"/>
        </w:rPr>
      </w:pPr>
      <w:r>
        <w:rPr>
          <w:rFonts w:hint="eastAsia" w:ascii="宋体" w:hAnsi="宋体"/>
        </w:rPr>
        <w:t>5.1.3 如果未按上述要求密封和加写标记，采购人对误投或过早启封概不负责，并按无效投标处理。</w:t>
      </w:r>
    </w:p>
    <w:p>
      <w:pPr>
        <w:pStyle w:val="6"/>
        <w:spacing w:before="0" w:after="0"/>
        <w:ind w:left="718" w:leftChars="75" w:hanging="538"/>
        <w:rPr>
          <w:rFonts w:hint="eastAsia" w:ascii="Times New Roman" w:hAnsi="Times New Roman" w:eastAsia="宋体"/>
          <w:sz w:val="30"/>
          <w:szCs w:val="30"/>
        </w:rPr>
      </w:pPr>
      <w:r>
        <w:rPr>
          <w:rFonts w:hint="eastAsia" w:ascii="Times New Roman" w:hAnsi="Times New Roman" w:eastAsia="宋体"/>
          <w:sz w:val="30"/>
          <w:szCs w:val="30"/>
        </w:rPr>
        <w:t>5.2投标截止时间</w:t>
      </w:r>
      <w:bookmarkEnd w:id="70"/>
      <w:bookmarkEnd w:id="71"/>
      <w:bookmarkEnd w:id="72"/>
    </w:p>
    <w:p>
      <w:pPr>
        <w:tabs>
          <w:tab w:val="left" w:pos="1260"/>
        </w:tabs>
        <w:spacing w:line="360" w:lineRule="auto"/>
        <w:ind w:firstLine="480" w:firstLineChars="200"/>
        <w:rPr>
          <w:rFonts w:hint="eastAsia" w:ascii="宋体" w:hAnsi="宋体"/>
        </w:rPr>
      </w:pPr>
      <w:r>
        <w:rPr>
          <w:rFonts w:hint="eastAsia" w:ascii="宋体" w:hAnsi="宋体"/>
        </w:rPr>
        <w:t>5.2.1 投标人必须在《投标须知前附表》规定的投标截止时间前将投标文件送达指定地点。</w:t>
      </w:r>
    </w:p>
    <w:p>
      <w:pPr>
        <w:tabs>
          <w:tab w:val="left" w:pos="1260"/>
        </w:tabs>
        <w:spacing w:line="360" w:lineRule="auto"/>
        <w:ind w:firstLine="480" w:firstLineChars="200"/>
        <w:rPr>
          <w:rFonts w:hint="eastAsia" w:ascii="宋体" w:hAnsi="宋体"/>
        </w:rPr>
      </w:pPr>
      <w:r>
        <w:rPr>
          <w:rFonts w:hint="eastAsia" w:ascii="宋体" w:hAnsi="宋体"/>
        </w:rPr>
        <w:t>5.2.2 在采购人按招标文件规定酌情延长投标截止期的情况下，采购人和投标人受投标截止期制约的所有权利和义务均应延长至新的截止时间。</w:t>
      </w:r>
    </w:p>
    <w:p>
      <w:pPr>
        <w:tabs>
          <w:tab w:val="left" w:pos="1260"/>
        </w:tabs>
        <w:spacing w:line="360" w:lineRule="auto"/>
        <w:ind w:firstLine="480" w:firstLineChars="200"/>
        <w:rPr>
          <w:rFonts w:hint="eastAsia" w:ascii="宋体" w:hAnsi="宋体"/>
        </w:rPr>
      </w:pPr>
      <w:r>
        <w:rPr>
          <w:rFonts w:hint="eastAsia" w:ascii="宋体" w:hAnsi="宋体"/>
        </w:rPr>
        <w:t>5.2.3 在投标截止时间后送达的任何投标文件，采购人将拒绝接收。</w:t>
      </w:r>
    </w:p>
    <w:p>
      <w:pPr>
        <w:pStyle w:val="6"/>
        <w:spacing w:before="0" w:after="0"/>
        <w:ind w:left="718" w:leftChars="75" w:hanging="538"/>
        <w:rPr>
          <w:rFonts w:hint="eastAsia" w:ascii="Times New Roman" w:hAnsi="Times New Roman" w:eastAsia="宋体"/>
          <w:sz w:val="30"/>
          <w:szCs w:val="30"/>
        </w:rPr>
      </w:pPr>
      <w:bookmarkStart w:id="73" w:name="_Toc180555935"/>
      <w:bookmarkStart w:id="74" w:name="_Toc248065054"/>
      <w:bookmarkStart w:id="75" w:name="_Toc226337776"/>
      <w:r>
        <w:rPr>
          <w:rFonts w:hint="eastAsia" w:ascii="Times New Roman" w:hAnsi="Times New Roman" w:eastAsia="宋体"/>
          <w:sz w:val="30"/>
          <w:szCs w:val="30"/>
        </w:rPr>
        <w:t>5.3投标文件的修改和撤回</w:t>
      </w:r>
      <w:bookmarkEnd w:id="73"/>
      <w:bookmarkEnd w:id="74"/>
      <w:bookmarkEnd w:id="75"/>
    </w:p>
    <w:p>
      <w:pPr>
        <w:tabs>
          <w:tab w:val="left" w:pos="1260"/>
        </w:tabs>
        <w:spacing w:line="360" w:lineRule="auto"/>
        <w:ind w:firstLine="480" w:firstLineChars="200"/>
        <w:rPr>
          <w:rFonts w:hint="eastAsia" w:ascii="宋体" w:hAnsi="宋体"/>
        </w:rPr>
      </w:pPr>
      <w:r>
        <w:rPr>
          <w:rFonts w:hint="eastAsia" w:ascii="宋体" w:hAnsi="宋体"/>
        </w:rPr>
        <w:t>5.3.1 投标人在递交投标文件后，可以修改或撤回其投标文件，但修改或撤回的书面通知必须在规定的投标截止期之前送达采购人。</w:t>
      </w:r>
    </w:p>
    <w:p>
      <w:pPr>
        <w:tabs>
          <w:tab w:val="left" w:pos="1260"/>
        </w:tabs>
        <w:spacing w:line="360" w:lineRule="auto"/>
        <w:ind w:firstLine="480" w:firstLineChars="200"/>
        <w:rPr>
          <w:rFonts w:hint="eastAsia" w:ascii="宋体" w:hAnsi="宋体"/>
        </w:rPr>
      </w:pPr>
      <w:r>
        <w:rPr>
          <w:rFonts w:hint="eastAsia" w:ascii="宋体" w:hAnsi="宋体"/>
        </w:rPr>
        <w:t>5.3.2 投标人的修改或撤回通知书应按《投标须知》规定密封、标记和发送，并应在内层封套上加注“修改”或“撤回”字样。</w:t>
      </w:r>
    </w:p>
    <w:p>
      <w:pPr>
        <w:tabs>
          <w:tab w:val="left" w:pos="1260"/>
        </w:tabs>
        <w:spacing w:line="360" w:lineRule="auto"/>
        <w:ind w:firstLine="480" w:firstLineChars="200"/>
        <w:rPr>
          <w:rFonts w:hint="eastAsia" w:ascii="宋体" w:hAnsi="宋体"/>
        </w:rPr>
      </w:pPr>
      <w:r>
        <w:rPr>
          <w:rFonts w:hint="eastAsia" w:ascii="宋体" w:hAnsi="宋体"/>
        </w:rPr>
        <w:t>5.3.3 投标截止后，投标人不得修改或撤回其投标。</w:t>
      </w:r>
    </w:p>
    <w:p>
      <w:pPr>
        <w:pStyle w:val="6"/>
        <w:spacing w:before="0" w:after="0"/>
        <w:ind w:left="718" w:leftChars="75" w:hanging="538"/>
        <w:rPr>
          <w:rFonts w:hint="eastAsia" w:ascii="Times New Roman" w:hAnsi="Times New Roman" w:eastAsia="宋体"/>
          <w:sz w:val="30"/>
          <w:szCs w:val="30"/>
        </w:rPr>
      </w:pPr>
      <w:bookmarkStart w:id="76" w:name="_Toc226337777"/>
      <w:bookmarkStart w:id="77" w:name="_Toc248065055"/>
      <w:bookmarkStart w:id="78" w:name="_Toc180555936"/>
      <w:r>
        <w:rPr>
          <w:rFonts w:hint="eastAsia" w:ascii="Times New Roman" w:hAnsi="Times New Roman" w:eastAsia="宋体"/>
          <w:sz w:val="30"/>
          <w:szCs w:val="30"/>
        </w:rPr>
        <w:t>5.4无效投标</w:t>
      </w:r>
      <w:bookmarkEnd w:id="76"/>
      <w:bookmarkEnd w:id="77"/>
      <w:bookmarkEnd w:id="78"/>
    </w:p>
    <w:p>
      <w:pPr>
        <w:tabs>
          <w:tab w:val="left" w:pos="1260"/>
        </w:tabs>
        <w:spacing w:line="360" w:lineRule="auto"/>
        <w:ind w:firstLine="480" w:firstLineChars="200"/>
        <w:rPr>
          <w:rFonts w:hint="eastAsia" w:ascii="宋体" w:hAnsi="宋体"/>
        </w:rPr>
      </w:pPr>
      <w:r>
        <w:rPr>
          <w:rFonts w:hint="eastAsia" w:ascii="宋体" w:hAnsi="宋体"/>
        </w:rPr>
        <w:t>5.4.1 发生下列情况之一的投标文件被视为无效：</w:t>
      </w:r>
    </w:p>
    <w:p>
      <w:pPr>
        <w:numPr>
          <w:ilvl w:val="0"/>
          <w:numId w:val="2"/>
        </w:numPr>
        <w:spacing w:line="360" w:lineRule="auto"/>
        <w:ind w:left="1080" w:hanging="360"/>
        <w:rPr>
          <w:rFonts w:hint="eastAsia" w:ascii="宋体" w:hAnsi="宋体"/>
        </w:rPr>
      </w:pPr>
      <w:r>
        <w:rPr>
          <w:rFonts w:hint="eastAsia" w:ascii="宋体" w:hAnsi="宋体"/>
        </w:rPr>
        <w:t>在投标截止时间以后送达的投标文件；</w:t>
      </w:r>
    </w:p>
    <w:p>
      <w:pPr>
        <w:numPr>
          <w:ilvl w:val="0"/>
          <w:numId w:val="2"/>
        </w:numPr>
        <w:spacing w:line="360" w:lineRule="auto"/>
        <w:ind w:left="1080" w:hanging="360"/>
        <w:rPr>
          <w:rFonts w:hint="eastAsia" w:ascii="宋体" w:hAnsi="宋体"/>
        </w:rPr>
      </w:pPr>
      <w:r>
        <w:rPr>
          <w:rFonts w:hint="eastAsia" w:ascii="宋体" w:hAnsi="宋体"/>
        </w:rPr>
        <w:t>未按要求密封和标记的投标文件；</w:t>
      </w:r>
    </w:p>
    <w:p>
      <w:pPr>
        <w:numPr>
          <w:ilvl w:val="0"/>
          <w:numId w:val="2"/>
        </w:numPr>
        <w:spacing w:line="360" w:lineRule="auto"/>
        <w:ind w:left="1080" w:hanging="360"/>
        <w:rPr>
          <w:rFonts w:hint="eastAsia" w:ascii="宋体" w:hAnsi="宋体"/>
        </w:rPr>
      </w:pPr>
      <w:r>
        <w:rPr>
          <w:rFonts w:hint="eastAsia" w:ascii="宋体" w:hAnsi="宋体"/>
        </w:rPr>
        <w:t>投标人的投标资格不满足国家有关规定和招标文件的要求；</w:t>
      </w:r>
    </w:p>
    <w:p>
      <w:pPr>
        <w:numPr>
          <w:ilvl w:val="0"/>
          <w:numId w:val="2"/>
        </w:numPr>
        <w:spacing w:line="360" w:lineRule="auto"/>
        <w:ind w:left="1080" w:hanging="360"/>
        <w:rPr>
          <w:rFonts w:hint="eastAsia" w:ascii="宋体" w:hAnsi="宋体"/>
        </w:rPr>
      </w:pPr>
      <w:r>
        <w:rPr>
          <w:rFonts w:hint="eastAsia" w:ascii="宋体" w:hAnsi="宋体"/>
        </w:rPr>
        <w:t>投标文件没有投标人的法定代表人或法定代表人授权委托代理人签字、投标文件应盖公章而未盖公章或盖非公司公章、未装订或活页装订、正副本标书数量不足的、未有效授权、法定代表人授权书填写不完整或有涂改的；</w:t>
      </w:r>
      <w:r>
        <w:rPr>
          <w:rFonts w:ascii="宋体" w:hAnsi="宋体" w:cs="宋体"/>
          <w:szCs w:val="24"/>
        </w:rPr>
        <w:t xml:space="preserve"> </w:t>
      </w:r>
    </w:p>
    <w:p>
      <w:pPr>
        <w:numPr>
          <w:ilvl w:val="0"/>
          <w:numId w:val="2"/>
        </w:numPr>
        <w:spacing w:line="360" w:lineRule="auto"/>
        <w:ind w:left="1080" w:hanging="360"/>
        <w:rPr>
          <w:rFonts w:hint="eastAsia" w:ascii="宋体" w:hAnsi="宋体"/>
        </w:rPr>
      </w:pPr>
      <w:r>
        <w:rPr>
          <w:rFonts w:hint="eastAsia" w:ascii="宋体" w:hAnsi="宋体"/>
        </w:rPr>
        <w:t>投标文件载明的招标项目质保期少于招标文件规定期限的；</w:t>
      </w:r>
    </w:p>
    <w:p>
      <w:pPr>
        <w:numPr>
          <w:ilvl w:val="0"/>
          <w:numId w:val="2"/>
        </w:numPr>
        <w:spacing w:line="360" w:lineRule="auto"/>
        <w:ind w:left="1080" w:hanging="360"/>
        <w:rPr>
          <w:rFonts w:hint="eastAsia" w:ascii="宋体" w:hAnsi="宋体"/>
        </w:rPr>
      </w:pPr>
      <w:r>
        <w:rPr>
          <w:rFonts w:hint="eastAsia" w:ascii="宋体" w:hAnsi="宋体"/>
        </w:rPr>
        <w:t>投标文件未响应招标文件规定的付款方式的；</w:t>
      </w:r>
    </w:p>
    <w:p>
      <w:pPr>
        <w:numPr>
          <w:ilvl w:val="0"/>
          <w:numId w:val="2"/>
        </w:numPr>
        <w:spacing w:line="360" w:lineRule="auto"/>
        <w:ind w:left="1080" w:hanging="360"/>
        <w:rPr>
          <w:rFonts w:hint="eastAsia" w:ascii="宋体" w:hAnsi="宋体"/>
        </w:rPr>
      </w:pPr>
      <w:r>
        <w:rPr>
          <w:rFonts w:hint="eastAsia" w:ascii="宋体" w:hAnsi="宋体"/>
        </w:rPr>
        <w:t>投标产品的技术规范、技术标准明显不符合国家强制性要求的；</w:t>
      </w:r>
    </w:p>
    <w:p>
      <w:pPr>
        <w:numPr>
          <w:ilvl w:val="0"/>
          <w:numId w:val="2"/>
        </w:numPr>
        <w:spacing w:line="360" w:lineRule="auto"/>
        <w:ind w:left="1080" w:hanging="360"/>
        <w:rPr>
          <w:rFonts w:hint="eastAsia" w:ascii="宋体" w:hAnsi="宋体"/>
        </w:rPr>
      </w:pPr>
      <w:r>
        <w:rPr>
          <w:rFonts w:hint="eastAsia" w:ascii="宋体" w:hAnsi="宋体"/>
        </w:rPr>
        <w:t>投标人的法定代表人或其授权代理人未能准时参加开标会议的；</w:t>
      </w:r>
    </w:p>
    <w:p>
      <w:pPr>
        <w:numPr>
          <w:ilvl w:val="0"/>
          <w:numId w:val="2"/>
        </w:numPr>
        <w:spacing w:line="360" w:lineRule="auto"/>
        <w:ind w:left="1080" w:hanging="360"/>
        <w:rPr>
          <w:rFonts w:hint="eastAsia" w:ascii="宋体" w:hAnsi="宋体"/>
        </w:rPr>
      </w:pPr>
      <w:r>
        <w:rPr>
          <w:rFonts w:hint="eastAsia" w:ascii="宋体" w:hAnsi="宋体"/>
        </w:rPr>
        <w:t>投标文件附有采购人不能接受的条款；</w:t>
      </w:r>
    </w:p>
    <w:p>
      <w:pPr>
        <w:numPr>
          <w:ilvl w:val="0"/>
          <w:numId w:val="2"/>
        </w:numPr>
        <w:spacing w:line="360" w:lineRule="auto"/>
        <w:ind w:left="1080" w:hanging="360"/>
        <w:rPr>
          <w:rFonts w:hint="eastAsia" w:ascii="宋体" w:hAnsi="宋体"/>
        </w:rPr>
      </w:pPr>
      <w:r>
        <w:rPr>
          <w:rFonts w:hint="eastAsia" w:ascii="宋体" w:hAnsi="宋体"/>
        </w:rPr>
        <w:t>与招标文件有重大偏离的投标文件；</w:t>
      </w:r>
    </w:p>
    <w:p>
      <w:pPr>
        <w:numPr>
          <w:ilvl w:val="0"/>
          <w:numId w:val="2"/>
        </w:numPr>
        <w:spacing w:line="360" w:lineRule="auto"/>
        <w:ind w:left="1080" w:hanging="360"/>
        <w:rPr>
          <w:rFonts w:hint="eastAsia" w:ascii="宋体" w:hAnsi="宋体"/>
        </w:rPr>
      </w:pPr>
      <w:r>
        <w:rPr>
          <w:rFonts w:hint="eastAsia" w:ascii="宋体" w:hAnsi="宋体"/>
        </w:rPr>
        <w:t>不满足招标文件规定的其他实质性要求的；</w:t>
      </w:r>
    </w:p>
    <w:p>
      <w:pPr>
        <w:numPr>
          <w:ilvl w:val="0"/>
          <w:numId w:val="2"/>
        </w:numPr>
        <w:spacing w:line="360" w:lineRule="auto"/>
        <w:ind w:left="1080" w:hanging="360"/>
        <w:rPr>
          <w:rFonts w:hint="eastAsia" w:ascii="宋体" w:hAnsi="宋体"/>
        </w:rPr>
      </w:pPr>
      <w:r>
        <w:rPr>
          <w:rFonts w:hint="eastAsia" w:ascii="宋体" w:hAnsi="宋体"/>
        </w:rPr>
        <w:t>国家和省另有规定属无效投标文件的。</w:t>
      </w:r>
    </w:p>
    <w:p>
      <w:pPr>
        <w:pStyle w:val="3"/>
        <w:spacing w:before="0" w:after="0"/>
        <w:rPr>
          <w:rFonts w:hint="eastAsia" w:ascii="宋体" w:hAnsi="宋体" w:eastAsia="宋体"/>
          <w:sz w:val="32"/>
          <w:szCs w:val="32"/>
        </w:rPr>
      </w:pPr>
      <w:bookmarkStart w:id="79" w:name="_Toc458419342"/>
      <w:bookmarkStart w:id="80" w:name="_Toc456345903"/>
      <w:bookmarkStart w:id="81" w:name="_Toc304551315"/>
      <w:bookmarkStart w:id="82" w:name="_Toc180555937"/>
      <w:bookmarkStart w:id="83" w:name="_Toc248065056"/>
      <w:bookmarkStart w:id="84" w:name="_Toc226337778"/>
      <w:bookmarkStart w:id="85" w:name="_Toc528046852"/>
      <w:r>
        <w:rPr>
          <w:rFonts w:hint="eastAsia" w:ascii="宋体" w:hAnsi="宋体" w:eastAsia="宋体"/>
          <w:sz w:val="32"/>
          <w:szCs w:val="32"/>
        </w:rPr>
        <w:t>六、开标与评标</w:t>
      </w:r>
      <w:bookmarkEnd w:id="79"/>
      <w:bookmarkEnd w:id="80"/>
      <w:bookmarkEnd w:id="81"/>
      <w:bookmarkEnd w:id="82"/>
      <w:bookmarkEnd w:id="83"/>
      <w:bookmarkEnd w:id="84"/>
      <w:bookmarkEnd w:id="85"/>
    </w:p>
    <w:p>
      <w:pPr>
        <w:pStyle w:val="6"/>
        <w:spacing w:before="0" w:after="0"/>
        <w:ind w:left="718" w:leftChars="75" w:hanging="538"/>
        <w:rPr>
          <w:rFonts w:hint="eastAsia" w:ascii="Times New Roman" w:hAnsi="Times New Roman" w:eastAsia="宋体"/>
          <w:sz w:val="30"/>
          <w:szCs w:val="30"/>
        </w:rPr>
      </w:pPr>
      <w:bookmarkStart w:id="86" w:name="_Toc226337779"/>
      <w:bookmarkStart w:id="87" w:name="_Toc248065057"/>
      <w:bookmarkStart w:id="88" w:name="_Toc180555938"/>
      <w:r>
        <w:rPr>
          <w:rFonts w:hint="eastAsia" w:ascii="Times New Roman" w:hAnsi="Times New Roman" w:eastAsia="宋体"/>
          <w:sz w:val="30"/>
          <w:szCs w:val="30"/>
        </w:rPr>
        <w:t>6.1开标</w:t>
      </w:r>
      <w:bookmarkEnd w:id="86"/>
      <w:bookmarkEnd w:id="87"/>
      <w:bookmarkEnd w:id="88"/>
    </w:p>
    <w:p>
      <w:pPr>
        <w:tabs>
          <w:tab w:val="left" w:pos="1260"/>
        </w:tabs>
        <w:spacing w:line="360" w:lineRule="auto"/>
        <w:ind w:firstLine="480" w:firstLineChars="200"/>
        <w:rPr>
          <w:rFonts w:hint="eastAsia" w:ascii="宋体" w:hAnsi="宋体"/>
        </w:rPr>
      </w:pPr>
      <w:bookmarkStart w:id="89" w:name="_Toc248065058"/>
      <w:bookmarkStart w:id="90" w:name="_Toc180555939"/>
      <w:bookmarkStart w:id="91" w:name="_Toc226337780"/>
      <w:r>
        <w:rPr>
          <w:rFonts w:hint="eastAsia" w:ascii="宋体" w:hAnsi="宋体"/>
        </w:rPr>
        <w:t>6.1.1 招标采购单位将按《投标须知》中规定的时间和地点组织公开开标。投标人应委派法定代表人或委托代理人参加，参加开标的代表应出具其有效身份证明，并签到以证明出席。投标人或其当场推荐的代表检查投标文件密封的完整性。</w:t>
      </w:r>
    </w:p>
    <w:p>
      <w:pPr>
        <w:tabs>
          <w:tab w:val="left" w:pos="1260"/>
        </w:tabs>
        <w:spacing w:line="360" w:lineRule="auto"/>
        <w:ind w:firstLine="480" w:firstLineChars="200"/>
        <w:rPr>
          <w:rFonts w:hint="eastAsia" w:ascii="宋体" w:hAnsi="宋体"/>
        </w:rPr>
      </w:pPr>
      <w:r>
        <w:rPr>
          <w:rFonts w:hint="eastAsia" w:ascii="宋体" w:hAnsi="宋体"/>
        </w:rPr>
        <w:t>6.1.2 开标时，招标采购单位将当众宣读投标人名称、修改和撤回投标的通知以及招标采购单位认为合适的其他内容。工作人员打开各投标人提交的技术资信文件外包装，清点投标文件正本、副本数量，送评标室评审</w:t>
      </w:r>
      <w:r>
        <w:rPr>
          <w:rFonts w:hint="eastAsia" w:ascii="宋体" w:hAnsi="宋体" w:cs="宋体"/>
          <w:szCs w:val="24"/>
        </w:rPr>
        <w:t>。</w:t>
      </w:r>
    </w:p>
    <w:p>
      <w:pPr>
        <w:tabs>
          <w:tab w:val="left" w:pos="1260"/>
        </w:tabs>
        <w:spacing w:line="360" w:lineRule="auto"/>
        <w:ind w:firstLine="480" w:firstLineChars="200"/>
        <w:rPr>
          <w:rFonts w:hint="eastAsia" w:ascii="宋体" w:hAnsi="宋体"/>
        </w:rPr>
      </w:pPr>
      <w:r>
        <w:rPr>
          <w:rFonts w:hint="eastAsia" w:ascii="宋体" w:hAnsi="宋体"/>
        </w:rPr>
        <w:t>6.1.3 按招标文件规定提交了 “撤回”通知的投标文件将不予启封。撤回的投标文件将原封退回投标人。</w:t>
      </w:r>
    </w:p>
    <w:p>
      <w:pPr>
        <w:tabs>
          <w:tab w:val="left" w:pos="1260"/>
        </w:tabs>
        <w:spacing w:line="360" w:lineRule="auto"/>
        <w:ind w:firstLine="480" w:firstLineChars="200"/>
        <w:rPr>
          <w:rFonts w:hint="eastAsia" w:ascii="宋体" w:hAnsi="宋体"/>
        </w:rPr>
      </w:pPr>
      <w:r>
        <w:rPr>
          <w:rFonts w:hint="eastAsia" w:ascii="宋体" w:hAnsi="宋体"/>
        </w:rPr>
        <w:t>6.1.4 在开标时没有启封和读出的投标文件（包括修改书）在评标时将不予考虑。</w:t>
      </w:r>
    </w:p>
    <w:p>
      <w:pPr>
        <w:tabs>
          <w:tab w:val="left" w:pos="1260"/>
        </w:tabs>
        <w:spacing w:line="360" w:lineRule="auto"/>
        <w:ind w:firstLine="480" w:firstLineChars="200"/>
        <w:rPr>
          <w:rFonts w:hint="eastAsia" w:ascii="宋体" w:hAnsi="宋体"/>
        </w:rPr>
      </w:pPr>
      <w:r>
        <w:rPr>
          <w:rFonts w:hint="eastAsia" w:ascii="宋体" w:hAnsi="宋体"/>
        </w:rPr>
        <w:t>6.1.5 采招标采购单位将对开标过程进行记录，开标记录包括按上述规定在开标时宣读的全部内容。投标人的授权代表应在开标现场签到。</w:t>
      </w:r>
    </w:p>
    <w:p>
      <w:pPr>
        <w:pStyle w:val="6"/>
        <w:spacing w:before="0" w:after="0"/>
        <w:ind w:left="718" w:leftChars="75" w:hanging="538"/>
        <w:rPr>
          <w:rFonts w:hint="eastAsia" w:ascii="Times New Roman" w:hAnsi="Times New Roman" w:eastAsia="宋体"/>
          <w:sz w:val="30"/>
          <w:szCs w:val="30"/>
        </w:rPr>
      </w:pPr>
      <w:r>
        <w:rPr>
          <w:rFonts w:hint="eastAsia" w:ascii="Times New Roman" w:hAnsi="Times New Roman" w:eastAsia="宋体"/>
          <w:sz w:val="30"/>
          <w:szCs w:val="30"/>
        </w:rPr>
        <w:t>6.2 评标委员会</w:t>
      </w:r>
      <w:bookmarkEnd w:id="89"/>
      <w:bookmarkEnd w:id="90"/>
      <w:bookmarkEnd w:id="91"/>
    </w:p>
    <w:p>
      <w:pPr>
        <w:tabs>
          <w:tab w:val="left" w:pos="1260"/>
        </w:tabs>
        <w:spacing w:line="360" w:lineRule="auto"/>
        <w:ind w:firstLine="480" w:firstLineChars="200"/>
        <w:rPr>
          <w:rFonts w:hint="eastAsia" w:ascii="宋体" w:hAnsi="宋体"/>
        </w:rPr>
      </w:pPr>
      <w:r>
        <w:rPr>
          <w:rFonts w:hint="eastAsia" w:ascii="宋体" w:hAnsi="宋体"/>
        </w:rPr>
        <w:t>6.2.1 采购人将组建评标委员会，评标委员会由采购人的代表和技术、经济等方面的专家组成，其中，技术、经济等方面的专家不少于评标委员会成员总数的三分之二。</w:t>
      </w:r>
      <w:r>
        <w:rPr>
          <w:rFonts w:ascii="宋体" w:hAnsi="宋体" w:cs="宋体"/>
          <w:szCs w:val="24"/>
        </w:rPr>
        <w:t xml:space="preserve"> </w:t>
      </w:r>
    </w:p>
    <w:p>
      <w:pPr>
        <w:tabs>
          <w:tab w:val="left" w:pos="1260"/>
        </w:tabs>
        <w:spacing w:line="360" w:lineRule="auto"/>
        <w:ind w:firstLine="480" w:firstLineChars="200"/>
        <w:rPr>
          <w:rFonts w:hint="eastAsia" w:ascii="宋体" w:hAnsi="宋体"/>
        </w:rPr>
      </w:pPr>
      <w:r>
        <w:rPr>
          <w:rFonts w:hint="eastAsia" w:ascii="宋体" w:hAnsi="宋体"/>
        </w:rPr>
        <w:t xml:space="preserve">6.2.2 评标委员会负责对投标文件进行评审和比较，并向采购人推荐中标候选人。 </w:t>
      </w:r>
    </w:p>
    <w:p>
      <w:pPr>
        <w:pStyle w:val="6"/>
        <w:spacing w:before="0" w:after="0"/>
        <w:ind w:left="718" w:leftChars="75" w:hanging="538"/>
        <w:rPr>
          <w:rFonts w:hint="eastAsia" w:ascii="Times New Roman" w:hAnsi="Times New Roman" w:eastAsia="宋体"/>
          <w:sz w:val="30"/>
          <w:szCs w:val="30"/>
        </w:rPr>
      </w:pPr>
      <w:bookmarkStart w:id="92" w:name="_Toc248065059"/>
      <w:bookmarkStart w:id="93" w:name="_Toc180555940"/>
      <w:bookmarkStart w:id="94" w:name="_Toc226337781"/>
      <w:r>
        <w:rPr>
          <w:rFonts w:hint="eastAsia" w:ascii="Times New Roman" w:hAnsi="Times New Roman" w:eastAsia="宋体"/>
          <w:sz w:val="30"/>
          <w:szCs w:val="30"/>
        </w:rPr>
        <w:t>6.3投标文件的初审</w:t>
      </w:r>
      <w:bookmarkEnd w:id="92"/>
      <w:bookmarkEnd w:id="93"/>
      <w:bookmarkEnd w:id="94"/>
    </w:p>
    <w:p>
      <w:pPr>
        <w:pStyle w:val="73"/>
        <w:autoSpaceDN w:val="0"/>
        <w:spacing w:before="0" w:beforeAutospacing="0" w:after="0" w:afterAutospacing="0" w:line="360" w:lineRule="auto"/>
        <w:ind w:firstLine="480" w:firstLineChars="200"/>
        <w:jc w:val="both"/>
      </w:pPr>
      <w:bookmarkStart w:id="95" w:name="_Toc180555941"/>
      <w:bookmarkStart w:id="96" w:name="_Toc248065060"/>
      <w:bookmarkStart w:id="97" w:name="_Toc226337782"/>
      <w:r>
        <w:rPr>
          <w:rFonts w:hint="eastAsia" w:eastAsia="Times New Roman"/>
          <w:sz w:val="24"/>
        </w:rPr>
        <w:t>6.3.1采购人代表和招标采购单位工作人员协助评标委员会对投标人的资格和投标文件的完整性、合法性等进行审查。</w:t>
      </w:r>
    </w:p>
    <w:p>
      <w:pPr>
        <w:pStyle w:val="73"/>
        <w:autoSpaceDN w:val="0"/>
        <w:spacing w:before="0" w:beforeAutospacing="0" w:after="0" w:afterAutospacing="0" w:line="360" w:lineRule="auto"/>
        <w:ind w:firstLine="480" w:firstLineChars="200"/>
        <w:jc w:val="both"/>
      </w:pPr>
      <w:r>
        <w:rPr>
          <w:rFonts w:hint="eastAsia" w:eastAsia="Times New Roman"/>
          <w:sz w:val="24"/>
        </w:rPr>
        <w:t>6.3.2在详细评标之前，评标委员会要审查每份投标文件是否实质上响应了招标文件的要求。实质上响应是指投标文件与招标文件要求的全部条款、条件和规格相符，没有重大偏离或保留。评标委员会只根据投标文件本身的内容来判定投标文件的响应性，而不寻求外部的证据。</w:t>
      </w:r>
    </w:p>
    <w:p>
      <w:pPr>
        <w:tabs>
          <w:tab w:val="left" w:pos="1260"/>
        </w:tabs>
        <w:spacing w:line="360" w:lineRule="auto"/>
        <w:ind w:firstLine="480" w:firstLineChars="200"/>
        <w:rPr>
          <w:rFonts w:hint="eastAsia" w:ascii="宋体" w:hAnsi="宋体" w:cs="宋体"/>
        </w:rPr>
      </w:pPr>
      <w:r>
        <w:rPr>
          <w:rFonts w:hint="eastAsia" w:ascii="宋体" w:hAnsi="宋体" w:cs="宋体"/>
        </w:rPr>
        <w:t>6.3.3 对于投标文件中不构成实质性偏差的小的不正规、不一致或不规范，采购人可以接受，但这种接受不能影响评标时投标人之间的相对排序。</w:t>
      </w:r>
    </w:p>
    <w:p>
      <w:pPr>
        <w:tabs>
          <w:tab w:val="left" w:pos="1260"/>
        </w:tabs>
        <w:spacing w:line="360" w:lineRule="auto"/>
        <w:ind w:firstLine="480" w:firstLineChars="200"/>
        <w:rPr>
          <w:rFonts w:hint="eastAsia" w:ascii="宋体" w:hAnsi="宋体" w:cs="宋体"/>
        </w:rPr>
      </w:pPr>
      <w:r>
        <w:rPr>
          <w:rFonts w:hint="eastAsia" w:ascii="宋体" w:hAnsi="宋体" w:cs="宋体"/>
        </w:rPr>
        <w:t>6.3.4 没有实质上响应招标文件要求的投标文件将被拒绝，投标人不得通过修正或撤销不符合要求的偏离或保留从而使其投标成为实质上响应的投标。</w:t>
      </w:r>
    </w:p>
    <w:p>
      <w:pPr>
        <w:tabs>
          <w:tab w:val="left" w:pos="1260"/>
        </w:tabs>
        <w:spacing w:line="360" w:lineRule="auto"/>
        <w:ind w:firstLine="480" w:firstLineChars="200"/>
        <w:rPr>
          <w:rFonts w:hint="eastAsia" w:ascii="宋体" w:hAnsi="宋体" w:cs="宋体"/>
        </w:rPr>
      </w:pPr>
      <w:r>
        <w:rPr>
          <w:rFonts w:hint="eastAsia" w:ascii="宋体" w:hAnsi="宋体" w:cs="宋体"/>
        </w:rPr>
        <w:t>6.3.5 投标文件中如果有计算上或累加上的算术错误，将按以下方法进行修正，投标人应接受并确认这种修正，否则其投标将被拒绝：</w:t>
      </w:r>
    </w:p>
    <w:p>
      <w:pPr>
        <w:numPr>
          <w:ilvl w:val="0"/>
          <w:numId w:val="3"/>
        </w:numPr>
        <w:tabs>
          <w:tab w:val="left" w:pos="1080"/>
        </w:tabs>
        <w:spacing w:line="360" w:lineRule="auto"/>
        <w:ind w:left="720" w:leftChars="300" w:firstLine="0"/>
        <w:rPr>
          <w:rFonts w:hint="eastAsia" w:ascii="宋体" w:hAnsi="宋体" w:cs="宋体"/>
        </w:rPr>
      </w:pPr>
      <w:r>
        <w:rPr>
          <w:rFonts w:hint="eastAsia" w:ascii="宋体" w:hAnsi="宋体" w:cs="宋体"/>
        </w:rPr>
        <w:t>如果单价与数量的乘积和总价不一致时，以单价为准，并修正总价；</w:t>
      </w:r>
    </w:p>
    <w:p>
      <w:pPr>
        <w:numPr>
          <w:ilvl w:val="0"/>
          <w:numId w:val="3"/>
        </w:numPr>
        <w:tabs>
          <w:tab w:val="left" w:pos="1080"/>
        </w:tabs>
        <w:spacing w:line="360" w:lineRule="auto"/>
        <w:ind w:left="720" w:leftChars="300" w:firstLine="0"/>
        <w:rPr>
          <w:rFonts w:hint="eastAsia" w:ascii="宋体" w:hAnsi="宋体" w:cs="宋体"/>
        </w:rPr>
      </w:pPr>
      <w:r>
        <w:rPr>
          <w:rFonts w:hint="eastAsia" w:ascii="宋体" w:hAnsi="宋体" w:cs="宋体"/>
        </w:rPr>
        <w:t>投标文件中开标一览表（报价表）内容与投标文件中投标项目报价明细表内容不一致的，以开标一览表（报价表）为准；</w:t>
      </w:r>
    </w:p>
    <w:p>
      <w:pPr>
        <w:numPr>
          <w:ilvl w:val="0"/>
          <w:numId w:val="3"/>
        </w:numPr>
        <w:tabs>
          <w:tab w:val="left" w:pos="1080"/>
        </w:tabs>
        <w:spacing w:line="360" w:lineRule="auto"/>
        <w:ind w:left="720" w:leftChars="300" w:firstLine="0"/>
        <w:rPr>
          <w:rFonts w:hint="eastAsia" w:ascii="宋体" w:hAnsi="宋体"/>
        </w:rPr>
      </w:pPr>
      <w:r>
        <w:rPr>
          <w:rFonts w:hint="eastAsia" w:ascii="宋体" w:hAnsi="宋体" w:cs="宋体"/>
        </w:rPr>
        <w:t>如果用数字表示的数值和用文字表示的数值不一致，应以文字表示的数值为准；</w:t>
      </w:r>
    </w:p>
    <w:p>
      <w:pPr>
        <w:numPr>
          <w:ilvl w:val="0"/>
          <w:numId w:val="3"/>
        </w:numPr>
        <w:tabs>
          <w:tab w:val="left" w:pos="1080"/>
        </w:tabs>
        <w:spacing w:line="360" w:lineRule="auto"/>
        <w:ind w:left="720" w:leftChars="300" w:firstLine="0"/>
        <w:rPr>
          <w:rFonts w:hint="eastAsia" w:ascii="宋体" w:hAnsi="宋体"/>
        </w:rPr>
      </w:pPr>
      <w:r>
        <w:rPr>
          <w:rFonts w:hint="eastAsia" w:ascii="宋体" w:hAnsi="宋体"/>
        </w:rPr>
        <w:t>上述的算术修正如对采购人造成影响和损害的由投标人承担相应责任。</w:t>
      </w:r>
      <w:r>
        <w:rPr>
          <w:rFonts w:ascii="宋体" w:hAnsi="宋体" w:cs="宋体"/>
          <w:szCs w:val="24"/>
        </w:rPr>
        <w:t xml:space="preserve"> </w:t>
      </w:r>
    </w:p>
    <w:p>
      <w:pPr>
        <w:pStyle w:val="6"/>
        <w:spacing w:before="0" w:after="0"/>
        <w:ind w:left="718" w:leftChars="75" w:hanging="538"/>
        <w:rPr>
          <w:rFonts w:hint="eastAsia" w:ascii="Times New Roman" w:hAnsi="Times New Roman" w:eastAsia="宋体"/>
          <w:sz w:val="30"/>
          <w:szCs w:val="30"/>
        </w:rPr>
      </w:pPr>
      <w:r>
        <w:rPr>
          <w:rFonts w:hint="eastAsia" w:ascii="Times New Roman" w:hAnsi="Times New Roman" w:eastAsia="宋体"/>
          <w:sz w:val="30"/>
          <w:szCs w:val="30"/>
        </w:rPr>
        <w:t>6.4投标文件的澄清</w:t>
      </w:r>
      <w:bookmarkEnd w:id="95"/>
      <w:bookmarkEnd w:id="96"/>
      <w:bookmarkEnd w:id="97"/>
    </w:p>
    <w:p>
      <w:pPr>
        <w:tabs>
          <w:tab w:val="left" w:pos="1260"/>
        </w:tabs>
        <w:spacing w:line="360" w:lineRule="auto"/>
        <w:ind w:firstLine="480" w:firstLineChars="200"/>
        <w:rPr>
          <w:rFonts w:hint="eastAsia" w:ascii="宋体" w:hAnsi="宋体"/>
        </w:rPr>
      </w:pPr>
      <w:r>
        <w:rPr>
          <w:rFonts w:hint="eastAsia" w:ascii="宋体" w:hAnsi="宋体"/>
        </w:rPr>
        <w:t>6.4.1 为有助于对投标文件审查、评价和比较，评标委员会可分别要求投标人对其投标文件中的有关问题进行澄清。投标人应按照采购人通知的时间和地点委派授权代表向评标委员会作出说明或答复。</w:t>
      </w:r>
    </w:p>
    <w:p>
      <w:pPr>
        <w:tabs>
          <w:tab w:val="left" w:pos="1260"/>
        </w:tabs>
        <w:spacing w:line="360" w:lineRule="auto"/>
        <w:ind w:firstLine="480" w:firstLineChars="200"/>
        <w:rPr>
          <w:rFonts w:ascii="宋体" w:hAnsi="宋体"/>
        </w:rPr>
      </w:pPr>
      <w:r>
        <w:rPr>
          <w:rFonts w:hint="eastAsia" w:ascii="宋体" w:hAnsi="宋体"/>
        </w:rPr>
        <w:t>6.4.2 投标人对澄清问题的说明或答复，必要时还应以书面形式提交给采购人，并应由投标人授权代表签字和加盖投标人公章。</w:t>
      </w:r>
    </w:p>
    <w:p>
      <w:pPr>
        <w:tabs>
          <w:tab w:val="left" w:pos="1260"/>
        </w:tabs>
        <w:spacing w:line="360" w:lineRule="auto"/>
        <w:ind w:firstLine="480" w:firstLineChars="200"/>
        <w:rPr>
          <w:rFonts w:ascii="宋体" w:hAnsi="宋体"/>
        </w:rPr>
      </w:pPr>
      <w:r>
        <w:rPr>
          <w:rFonts w:hint="eastAsia" w:ascii="宋体" w:hAnsi="宋体"/>
        </w:rPr>
        <w:t>6.4.3 投标人的澄清文件是其投标文件的组成部分。</w:t>
      </w:r>
    </w:p>
    <w:p>
      <w:pPr>
        <w:tabs>
          <w:tab w:val="left" w:pos="1260"/>
        </w:tabs>
        <w:spacing w:line="360" w:lineRule="auto"/>
        <w:ind w:firstLine="480" w:firstLineChars="200"/>
        <w:rPr>
          <w:rFonts w:ascii="宋体" w:hAnsi="宋体"/>
        </w:rPr>
      </w:pPr>
      <w:r>
        <w:rPr>
          <w:rFonts w:hint="eastAsia" w:ascii="宋体" w:hAnsi="宋体"/>
        </w:rPr>
        <w:t>6.4.4 投标人的澄清不得改变其投标文件的实质性内容。</w:t>
      </w:r>
    </w:p>
    <w:p>
      <w:pPr>
        <w:pStyle w:val="6"/>
        <w:spacing w:before="0" w:after="0"/>
        <w:ind w:left="718" w:leftChars="75" w:hanging="538"/>
        <w:rPr>
          <w:rFonts w:hint="eastAsia" w:ascii="Times New Roman" w:hAnsi="Times New Roman" w:eastAsia="宋体"/>
          <w:sz w:val="30"/>
          <w:szCs w:val="30"/>
        </w:rPr>
      </w:pPr>
      <w:bookmarkStart w:id="98" w:name="_Toc248065061"/>
      <w:bookmarkStart w:id="99" w:name="_Toc226337783"/>
      <w:bookmarkStart w:id="100" w:name="_Toc180555942"/>
      <w:r>
        <w:rPr>
          <w:rFonts w:hint="eastAsia" w:ascii="Times New Roman" w:hAnsi="Times New Roman" w:eastAsia="宋体"/>
          <w:sz w:val="30"/>
          <w:szCs w:val="30"/>
        </w:rPr>
        <w:t>6.5投标文件的评价与比较</w:t>
      </w:r>
      <w:bookmarkEnd w:id="98"/>
      <w:bookmarkEnd w:id="99"/>
      <w:bookmarkEnd w:id="100"/>
    </w:p>
    <w:p>
      <w:pPr>
        <w:tabs>
          <w:tab w:val="left" w:pos="1260"/>
        </w:tabs>
        <w:spacing w:line="360" w:lineRule="auto"/>
        <w:ind w:firstLine="540" w:firstLineChars="225"/>
        <w:rPr>
          <w:rFonts w:hint="eastAsia" w:ascii="宋体" w:hAnsi="宋体"/>
        </w:rPr>
      </w:pPr>
      <w:r>
        <w:rPr>
          <w:rFonts w:hint="eastAsia" w:ascii="宋体" w:hAnsi="宋体"/>
        </w:rPr>
        <w:t>6.5.1评标委员会只对确定为实质上响应招标文件要求的投标文件进行评价和比较。</w:t>
      </w:r>
    </w:p>
    <w:p>
      <w:pPr>
        <w:tabs>
          <w:tab w:val="left" w:pos="1260"/>
        </w:tabs>
        <w:spacing w:line="360" w:lineRule="auto"/>
        <w:ind w:firstLine="540" w:firstLineChars="225"/>
        <w:rPr>
          <w:rFonts w:hint="eastAsia" w:ascii="宋体" w:hAnsi="宋体"/>
        </w:rPr>
      </w:pPr>
      <w:r>
        <w:rPr>
          <w:rFonts w:hint="eastAsia" w:ascii="宋体" w:hAnsi="宋体"/>
        </w:rPr>
        <w:t>6.5.2 评标时除考虑投标人的报价之外，还要考虑下列因素：</w:t>
      </w:r>
    </w:p>
    <w:p>
      <w:pPr>
        <w:numPr>
          <w:ilvl w:val="0"/>
          <w:numId w:val="4"/>
        </w:numPr>
        <w:tabs>
          <w:tab w:val="left" w:pos="1080"/>
        </w:tabs>
        <w:spacing w:line="360" w:lineRule="auto"/>
        <w:ind w:left="1080" w:hanging="360"/>
        <w:rPr>
          <w:rFonts w:hint="eastAsia" w:ascii="宋体" w:cs="宋体"/>
        </w:rPr>
      </w:pPr>
      <w:r>
        <w:rPr>
          <w:rFonts w:hint="eastAsia" w:ascii="宋体" w:cs="宋体"/>
        </w:rPr>
        <w:t>投标人所投产品或服务对标书的全面响应能力；</w:t>
      </w:r>
    </w:p>
    <w:p>
      <w:pPr>
        <w:numPr>
          <w:ilvl w:val="0"/>
          <w:numId w:val="4"/>
        </w:numPr>
        <w:tabs>
          <w:tab w:val="left" w:pos="1080"/>
        </w:tabs>
        <w:spacing w:line="360" w:lineRule="auto"/>
        <w:ind w:left="1080" w:hanging="360"/>
        <w:rPr>
          <w:rFonts w:hint="eastAsia" w:ascii="宋体" w:cs="宋体"/>
        </w:rPr>
      </w:pPr>
      <w:r>
        <w:rPr>
          <w:rFonts w:hint="eastAsia" w:ascii="宋体" w:cs="宋体"/>
        </w:rPr>
        <w:t>投标人方案和产品或服务是否全面适应采购人的实际需要；</w:t>
      </w:r>
    </w:p>
    <w:p>
      <w:pPr>
        <w:numPr>
          <w:ilvl w:val="0"/>
          <w:numId w:val="4"/>
        </w:numPr>
        <w:tabs>
          <w:tab w:val="left" w:pos="1080"/>
        </w:tabs>
        <w:spacing w:line="360" w:lineRule="auto"/>
        <w:ind w:left="1080" w:hanging="360"/>
        <w:rPr>
          <w:rFonts w:hint="eastAsia" w:ascii="宋体" w:cs="宋体"/>
        </w:rPr>
      </w:pPr>
      <w:r>
        <w:rPr>
          <w:rFonts w:hint="eastAsia" w:ascii="宋体" w:cs="宋体"/>
        </w:rPr>
        <w:t>合同履行期和履行能力；</w:t>
      </w:r>
    </w:p>
    <w:p>
      <w:pPr>
        <w:numPr>
          <w:ilvl w:val="0"/>
          <w:numId w:val="4"/>
        </w:numPr>
        <w:tabs>
          <w:tab w:val="left" w:pos="1080"/>
        </w:tabs>
        <w:spacing w:line="360" w:lineRule="auto"/>
        <w:ind w:left="1080" w:hanging="360"/>
        <w:rPr>
          <w:rFonts w:hint="eastAsia" w:ascii="宋体" w:cs="宋体"/>
        </w:rPr>
      </w:pPr>
      <w:r>
        <w:rPr>
          <w:rFonts w:hint="eastAsia" w:ascii="宋体" w:cs="宋体"/>
        </w:rPr>
        <w:t xml:space="preserve">备品、备件和售后服务的情况； </w:t>
      </w:r>
    </w:p>
    <w:p>
      <w:pPr>
        <w:numPr>
          <w:ilvl w:val="0"/>
          <w:numId w:val="4"/>
        </w:numPr>
        <w:tabs>
          <w:tab w:val="left" w:pos="1080"/>
        </w:tabs>
        <w:spacing w:line="360" w:lineRule="auto"/>
        <w:ind w:left="1080" w:hanging="360"/>
        <w:rPr>
          <w:rFonts w:hint="eastAsia" w:ascii="宋体" w:cs="宋体"/>
        </w:rPr>
      </w:pPr>
      <w:r>
        <w:rPr>
          <w:rFonts w:hint="eastAsia" w:ascii="宋体" w:cs="宋体"/>
        </w:rPr>
        <w:t>对招标文件中付款条件的响应性；</w:t>
      </w:r>
    </w:p>
    <w:p>
      <w:pPr>
        <w:numPr>
          <w:ilvl w:val="0"/>
          <w:numId w:val="4"/>
        </w:numPr>
        <w:tabs>
          <w:tab w:val="left" w:pos="1080"/>
        </w:tabs>
        <w:spacing w:line="360" w:lineRule="auto"/>
        <w:ind w:left="1080" w:hanging="360"/>
        <w:rPr>
          <w:rFonts w:hint="eastAsia" w:ascii="宋体" w:cs="宋体"/>
        </w:rPr>
      </w:pPr>
      <w:r>
        <w:rPr>
          <w:rFonts w:hint="eastAsia" w:ascii="宋体" w:cs="宋体"/>
        </w:rPr>
        <w:t>投标人的信誉情况；</w:t>
      </w:r>
    </w:p>
    <w:p>
      <w:pPr>
        <w:numPr>
          <w:ilvl w:val="0"/>
          <w:numId w:val="4"/>
        </w:numPr>
        <w:tabs>
          <w:tab w:val="left" w:pos="1080"/>
        </w:tabs>
        <w:spacing w:line="360" w:lineRule="auto"/>
        <w:ind w:left="1080" w:hanging="360"/>
        <w:rPr>
          <w:rFonts w:hint="eastAsia" w:ascii="宋体" w:cs="宋体"/>
        </w:rPr>
      </w:pPr>
      <w:r>
        <w:rPr>
          <w:rFonts w:hint="eastAsia" w:ascii="宋体" w:cs="宋体"/>
        </w:rPr>
        <w:t>其他特殊因素；</w:t>
      </w:r>
    </w:p>
    <w:p>
      <w:pPr>
        <w:numPr>
          <w:ilvl w:val="0"/>
          <w:numId w:val="4"/>
        </w:numPr>
        <w:tabs>
          <w:tab w:val="left" w:pos="1080"/>
        </w:tabs>
        <w:spacing w:line="360" w:lineRule="auto"/>
        <w:ind w:left="1080" w:hanging="360"/>
        <w:rPr>
          <w:rFonts w:hint="eastAsia" w:ascii="宋体"/>
        </w:rPr>
      </w:pPr>
      <w:r>
        <w:rPr>
          <w:rFonts w:hint="eastAsia" w:ascii="宋体" w:cs="宋体"/>
        </w:rPr>
        <w:t>投标人的综合实力和业绩等。</w:t>
      </w:r>
    </w:p>
    <w:p>
      <w:pPr>
        <w:tabs>
          <w:tab w:val="left" w:pos="1260"/>
        </w:tabs>
        <w:spacing w:line="360" w:lineRule="auto"/>
        <w:ind w:firstLine="540" w:firstLineChars="225"/>
        <w:rPr>
          <w:rFonts w:ascii="宋体" w:hAnsi="宋体"/>
        </w:rPr>
      </w:pPr>
      <w:r>
        <w:rPr>
          <w:rFonts w:hint="eastAsia" w:ascii="宋体" w:hAnsi="宋体"/>
        </w:rPr>
        <w:t>6.5.3 评标委员会根据招标文件中规定的评标方法进行评标，并向采购人提交书面评标报告和推荐中标候选人。</w:t>
      </w:r>
    </w:p>
    <w:p>
      <w:pPr>
        <w:pStyle w:val="6"/>
        <w:spacing w:before="0" w:after="0"/>
        <w:ind w:left="718" w:leftChars="75" w:hanging="538"/>
        <w:rPr>
          <w:rFonts w:hint="eastAsia" w:ascii="Times New Roman" w:hAnsi="Times New Roman" w:eastAsia="宋体"/>
          <w:sz w:val="30"/>
          <w:szCs w:val="30"/>
        </w:rPr>
      </w:pPr>
      <w:bookmarkStart w:id="101" w:name="_Toc226337784"/>
      <w:bookmarkStart w:id="102" w:name="_Toc180555943"/>
      <w:bookmarkStart w:id="103" w:name="_Toc248065062"/>
      <w:r>
        <w:rPr>
          <w:rFonts w:hint="eastAsia" w:ascii="Times New Roman" w:hAnsi="Times New Roman" w:eastAsia="宋体"/>
          <w:sz w:val="30"/>
          <w:szCs w:val="30"/>
        </w:rPr>
        <w:t>6.6评标的有关要求</w:t>
      </w:r>
      <w:bookmarkEnd w:id="101"/>
      <w:bookmarkEnd w:id="102"/>
      <w:bookmarkEnd w:id="103"/>
    </w:p>
    <w:p>
      <w:pPr>
        <w:tabs>
          <w:tab w:val="left" w:pos="1260"/>
        </w:tabs>
        <w:spacing w:line="360" w:lineRule="auto"/>
        <w:ind w:firstLine="540" w:firstLineChars="225"/>
        <w:rPr>
          <w:rFonts w:ascii="宋体" w:hAnsi="宋体"/>
        </w:rPr>
      </w:pPr>
      <w:r>
        <w:rPr>
          <w:rFonts w:hint="eastAsia" w:ascii="宋体" w:hAnsi="宋体"/>
        </w:rPr>
        <w:t>6.6.1 评标过程严格保密。凡是属于审查、澄清、评价和比较有关的资料以及授标建议等，均不得向投标人或其他无关的人员透露。</w:t>
      </w:r>
    </w:p>
    <w:p>
      <w:pPr>
        <w:tabs>
          <w:tab w:val="left" w:pos="1260"/>
        </w:tabs>
        <w:spacing w:line="360" w:lineRule="auto"/>
        <w:ind w:firstLine="540" w:firstLineChars="225"/>
        <w:rPr>
          <w:rFonts w:ascii="宋体" w:hAnsi="宋体"/>
        </w:rPr>
      </w:pPr>
      <w:r>
        <w:rPr>
          <w:rFonts w:hint="eastAsia" w:ascii="宋体" w:hAnsi="宋体"/>
        </w:rPr>
        <w:t>6.6.2投标人在评标过程中所进行的试图影响评标结果的一切不符合法律或招标规定的活动，都可能导致其投标被拒绝。</w:t>
      </w:r>
    </w:p>
    <w:p>
      <w:pPr>
        <w:tabs>
          <w:tab w:val="left" w:pos="1260"/>
        </w:tabs>
        <w:spacing w:line="360" w:lineRule="auto"/>
        <w:ind w:firstLine="540" w:firstLineChars="225"/>
        <w:rPr>
          <w:rFonts w:hint="eastAsia" w:ascii="宋体" w:hAnsi="宋体"/>
        </w:rPr>
      </w:pPr>
      <w:r>
        <w:rPr>
          <w:rFonts w:hint="eastAsia" w:ascii="宋体" w:hAnsi="宋体"/>
        </w:rPr>
        <w:t>6.6.3 采购人和评标委员会均无义务向投标人进行任何有关评标的解释。</w:t>
      </w:r>
    </w:p>
    <w:p>
      <w:pPr>
        <w:pStyle w:val="3"/>
        <w:spacing w:before="0" w:after="0"/>
        <w:rPr>
          <w:rFonts w:hint="eastAsia" w:ascii="宋体" w:hAnsi="宋体" w:eastAsia="宋体"/>
          <w:sz w:val="32"/>
          <w:szCs w:val="32"/>
        </w:rPr>
      </w:pPr>
      <w:bookmarkStart w:id="104" w:name="_Toc304551316"/>
      <w:bookmarkStart w:id="105" w:name="_Toc180555944"/>
      <w:bookmarkStart w:id="106" w:name="_Toc456345904"/>
      <w:bookmarkStart w:id="107" w:name="_Toc458419343"/>
      <w:bookmarkStart w:id="108" w:name="_Toc528046853"/>
      <w:bookmarkStart w:id="109" w:name="_Toc226337785"/>
      <w:bookmarkStart w:id="110" w:name="_Toc248065063"/>
      <w:r>
        <w:rPr>
          <w:rFonts w:hint="eastAsia" w:ascii="宋体" w:hAnsi="宋体" w:eastAsia="宋体"/>
          <w:sz w:val="32"/>
          <w:szCs w:val="32"/>
        </w:rPr>
        <w:t>七、授予合同</w:t>
      </w:r>
      <w:bookmarkEnd w:id="104"/>
      <w:bookmarkEnd w:id="105"/>
      <w:bookmarkEnd w:id="106"/>
      <w:bookmarkEnd w:id="107"/>
      <w:bookmarkEnd w:id="108"/>
      <w:bookmarkEnd w:id="109"/>
      <w:bookmarkEnd w:id="110"/>
    </w:p>
    <w:p>
      <w:pPr>
        <w:numPr>
          <w:ilvl w:val="0"/>
          <w:numId w:val="5"/>
        </w:numPr>
        <w:tabs>
          <w:tab w:val="left" w:pos="1260"/>
        </w:tabs>
        <w:spacing w:line="360" w:lineRule="auto"/>
        <w:rPr>
          <w:rFonts w:hint="eastAsia" w:ascii="宋体" w:hAnsi="宋体"/>
        </w:rPr>
      </w:pPr>
      <w:bookmarkStart w:id="111" w:name="_Toc226337786"/>
      <w:bookmarkStart w:id="112" w:name="_Toc180555945"/>
      <w:bookmarkStart w:id="113" w:name="_Toc248065064"/>
      <w:r>
        <w:rPr>
          <w:rFonts w:hint="eastAsia" w:ascii="宋体" w:hAnsi="宋体"/>
        </w:rPr>
        <w:t>最终审查</w:t>
      </w:r>
    </w:p>
    <w:p>
      <w:pPr>
        <w:numPr>
          <w:ilvl w:val="0"/>
          <w:numId w:val="6"/>
        </w:numPr>
        <w:spacing w:line="360" w:lineRule="auto"/>
        <w:ind w:left="0" w:firstLine="480" w:firstLineChars="200"/>
        <w:jc w:val="left"/>
        <w:rPr>
          <w:rFonts w:hint="eastAsia" w:ascii="宋体" w:hAnsi="宋体"/>
        </w:rPr>
      </w:pPr>
      <w:r>
        <w:rPr>
          <w:rFonts w:hint="eastAsia" w:ascii="宋体" w:hAnsi="宋体"/>
        </w:rPr>
        <w:t>评标结束后，采购人将对进入侯选的投标人进行最终审查。最终审查的主要内容是：投标人履行合同的能力、价格的合理性等。</w:t>
      </w:r>
    </w:p>
    <w:p>
      <w:pPr>
        <w:numPr>
          <w:ilvl w:val="0"/>
          <w:numId w:val="6"/>
        </w:numPr>
        <w:spacing w:line="360" w:lineRule="auto"/>
        <w:ind w:left="0" w:firstLine="480" w:firstLineChars="200"/>
        <w:rPr>
          <w:rFonts w:hint="eastAsia" w:ascii="宋体" w:hAnsi="宋体"/>
        </w:rPr>
      </w:pPr>
      <w:r>
        <w:rPr>
          <w:rFonts w:hint="eastAsia" w:ascii="宋体" w:hAnsi="宋体"/>
        </w:rPr>
        <w:t>最终审查工作如需投标人配合，投标人必须接受。</w:t>
      </w:r>
    </w:p>
    <w:p>
      <w:pPr>
        <w:numPr>
          <w:ilvl w:val="0"/>
          <w:numId w:val="6"/>
        </w:numPr>
        <w:spacing w:line="360" w:lineRule="auto"/>
        <w:ind w:left="0" w:firstLine="480" w:firstLineChars="200"/>
        <w:rPr>
          <w:rFonts w:hint="eastAsia" w:ascii="宋体" w:hAnsi="宋体"/>
        </w:rPr>
      </w:pPr>
      <w:r>
        <w:rPr>
          <w:rFonts w:hint="eastAsia" w:ascii="宋体" w:hAnsi="宋体"/>
        </w:rPr>
        <w:t>采购人在对投标人进行最终审查后，确定预中标人。预中标人是得分最高并通过最终审查的投标人。</w:t>
      </w:r>
    </w:p>
    <w:p>
      <w:pPr>
        <w:numPr>
          <w:ilvl w:val="0"/>
          <w:numId w:val="6"/>
        </w:numPr>
        <w:spacing w:line="360" w:lineRule="auto"/>
        <w:ind w:left="0" w:firstLine="480" w:firstLineChars="200"/>
        <w:rPr>
          <w:rFonts w:hint="eastAsia" w:ascii="宋体" w:hAnsi="宋体"/>
        </w:rPr>
      </w:pPr>
      <w:r>
        <w:rPr>
          <w:rFonts w:hint="eastAsia" w:ascii="宋体" w:hAnsi="宋体"/>
        </w:rPr>
        <w:t>中标条件</w:t>
      </w:r>
    </w:p>
    <w:p>
      <w:pPr>
        <w:numPr>
          <w:ilvl w:val="0"/>
          <w:numId w:val="7"/>
        </w:numPr>
        <w:spacing w:line="360" w:lineRule="auto"/>
        <w:rPr>
          <w:rFonts w:hint="eastAsia" w:ascii="宋体" w:hAnsi="宋体"/>
        </w:rPr>
      </w:pPr>
      <w:r>
        <w:rPr>
          <w:rFonts w:hint="eastAsia" w:ascii="宋体" w:hAnsi="宋体"/>
        </w:rPr>
        <w:t>投标文件符合招标文件要求；</w:t>
      </w:r>
    </w:p>
    <w:p>
      <w:pPr>
        <w:numPr>
          <w:ilvl w:val="0"/>
          <w:numId w:val="7"/>
        </w:numPr>
        <w:spacing w:line="360" w:lineRule="auto"/>
        <w:rPr>
          <w:rFonts w:hint="eastAsia" w:ascii="宋体" w:hAnsi="宋体"/>
        </w:rPr>
      </w:pPr>
      <w:r>
        <w:rPr>
          <w:rFonts w:hint="eastAsia" w:ascii="宋体" w:hAnsi="宋体"/>
        </w:rPr>
        <w:t>投标人有很好的执行合同的能力；</w:t>
      </w:r>
    </w:p>
    <w:p>
      <w:pPr>
        <w:numPr>
          <w:ilvl w:val="0"/>
          <w:numId w:val="7"/>
        </w:numPr>
        <w:spacing w:line="360" w:lineRule="auto"/>
        <w:rPr>
          <w:rFonts w:hint="eastAsia" w:ascii="宋体" w:hAnsi="宋体"/>
        </w:rPr>
      </w:pPr>
      <w:r>
        <w:rPr>
          <w:rFonts w:hint="eastAsia" w:ascii="宋体" w:hAnsi="宋体"/>
        </w:rPr>
        <w:t>投标人能够提供质量技术、商务、价格占综合优势的服务。</w:t>
      </w:r>
    </w:p>
    <w:p>
      <w:pPr>
        <w:pStyle w:val="6"/>
        <w:spacing w:before="0" w:after="0"/>
        <w:ind w:left="718" w:leftChars="75" w:hanging="538"/>
        <w:rPr>
          <w:rFonts w:hint="eastAsia" w:ascii="Times New Roman" w:hAnsi="Times New Roman" w:eastAsia="宋体"/>
          <w:sz w:val="30"/>
          <w:szCs w:val="30"/>
        </w:rPr>
      </w:pPr>
      <w:r>
        <w:rPr>
          <w:rFonts w:hint="eastAsia" w:ascii="Times New Roman" w:hAnsi="Times New Roman" w:eastAsia="宋体"/>
          <w:sz w:val="30"/>
          <w:szCs w:val="30"/>
        </w:rPr>
        <w:t>7.1合同授予标准</w:t>
      </w:r>
      <w:bookmarkEnd w:id="111"/>
      <w:bookmarkEnd w:id="112"/>
      <w:bookmarkEnd w:id="113"/>
    </w:p>
    <w:p>
      <w:pPr>
        <w:tabs>
          <w:tab w:val="left" w:pos="1260"/>
        </w:tabs>
        <w:spacing w:line="360" w:lineRule="auto"/>
        <w:ind w:firstLine="480" w:firstLineChars="200"/>
        <w:rPr>
          <w:rFonts w:hint="eastAsia" w:ascii="宋体" w:hAnsi="宋体"/>
        </w:rPr>
      </w:pPr>
      <w:r>
        <w:rPr>
          <w:rFonts w:hint="eastAsia" w:ascii="宋体" w:hAnsi="宋体"/>
        </w:rPr>
        <w:t>除了《投标须知》规定的情况之外，采购人将根据评标委员会的授标建议，把合同授予实质上响应招标文件要求并且能够完全履行合同义务的投标人。</w:t>
      </w:r>
    </w:p>
    <w:p>
      <w:pPr>
        <w:tabs>
          <w:tab w:val="left" w:pos="1260"/>
        </w:tabs>
        <w:spacing w:line="360" w:lineRule="auto"/>
        <w:ind w:firstLine="480" w:firstLineChars="200"/>
        <w:rPr>
          <w:rFonts w:hint="eastAsia" w:ascii="宋体" w:hAnsi="宋体"/>
        </w:rPr>
      </w:pPr>
      <w:r>
        <w:rPr>
          <w:rFonts w:hint="eastAsia" w:ascii="宋体" w:hAnsi="宋体"/>
        </w:rPr>
        <w:t>7.1.1 得分排名第一的中标候选人为预中标人。</w:t>
      </w:r>
    </w:p>
    <w:p>
      <w:pPr>
        <w:tabs>
          <w:tab w:val="left" w:pos="1260"/>
        </w:tabs>
        <w:spacing w:line="360" w:lineRule="auto"/>
        <w:ind w:firstLine="480" w:firstLineChars="200"/>
        <w:rPr>
          <w:rFonts w:hint="eastAsia" w:ascii="宋体" w:hAnsi="宋体"/>
        </w:rPr>
      </w:pPr>
      <w:r>
        <w:rPr>
          <w:rFonts w:hint="eastAsia" w:ascii="宋体" w:hAnsi="宋体"/>
        </w:rPr>
        <w:t xml:space="preserve">7.1.2 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 </w:t>
      </w:r>
    </w:p>
    <w:p>
      <w:pPr>
        <w:pStyle w:val="6"/>
        <w:spacing w:before="0" w:after="0"/>
        <w:ind w:left="718" w:leftChars="75" w:hanging="538"/>
        <w:rPr>
          <w:rFonts w:hint="eastAsia" w:ascii="Times New Roman" w:hAnsi="Times New Roman" w:eastAsia="宋体"/>
          <w:sz w:val="30"/>
          <w:szCs w:val="30"/>
        </w:rPr>
      </w:pPr>
      <w:bookmarkStart w:id="114" w:name="_Toc248065065"/>
      <w:bookmarkStart w:id="115" w:name="_Toc226337787"/>
      <w:bookmarkStart w:id="116" w:name="_Toc180555946"/>
      <w:r>
        <w:rPr>
          <w:rFonts w:hint="eastAsia" w:ascii="Times New Roman" w:hAnsi="Times New Roman" w:eastAsia="宋体"/>
          <w:sz w:val="30"/>
          <w:szCs w:val="30"/>
        </w:rPr>
        <w:t>7.</w:t>
      </w:r>
      <w:bookmarkEnd w:id="114"/>
      <w:bookmarkEnd w:id="115"/>
      <w:bookmarkEnd w:id="116"/>
      <w:bookmarkStart w:id="117" w:name="_Toc248065067"/>
      <w:bookmarkStart w:id="118" w:name="_Toc180555948"/>
      <w:bookmarkStart w:id="119" w:name="_Toc226337789"/>
      <w:r>
        <w:rPr>
          <w:rFonts w:hint="eastAsia" w:ascii="Times New Roman" w:hAnsi="Times New Roman" w:eastAsia="宋体"/>
          <w:sz w:val="30"/>
          <w:szCs w:val="30"/>
        </w:rPr>
        <w:t>2中标和未中标通知</w:t>
      </w:r>
      <w:bookmarkEnd w:id="117"/>
      <w:bookmarkEnd w:id="118"/>
      <w:bookmarkEnd w:id="119"/>
    </w:p>
    <w:p>
      <w:pPr>
        <w:tabs>
          <w:tab w:val="left" w:pos="1260"/>
        </w:tabs>
        <w:spacing w:line="360" w:lineRule="auto"/>
        <w:ind w:firstLine="480" w:firstLineChars="200"/>
        <w:rPr>
          <w:rFonts w:hint="eastAsia" w:ascii="宋体" w:hAnsi="宋体"/>
        </w:rPr>
      </w:pPr>
      <w:r>
        <w:rPr>
          <w:rFonts w:hint="eastAsia" w:ascii="宋体" w:hAnsi="宋体"/>
        </w:rPr>
        <w:t>7.2.1招标人在投标有效期内根据定标结果，对中标结果在指定媒体上进行公告，公告期</w:t>
      </w:r>
      <w:r>
        <w:rPr>
          <w:rFonts w:ascii="宋体" w:hAnsi="宋体"/>
        </w:rPr>
        <w:t>1</w:t>
      </w:r>
      <w:r>
        <w:rPr>
          <w:rFonts w:hint="eastAsia" w:ascii="宋体" w:hAnsi="宋体"/>
        </w:rPr>
        <w:t>个工作日。公告期内如无异议，采购机构向中标供应商签发中标通知书。</w:t>
      </w:r>
    </w:p>
    <w:p>
      <w:pPr>
        <w:tabs>
          <w:tab w:val="left" w:pos="1260"/>
        </w:tabs>
        <w:spacing w:line="360" w:lineRule="auto"/>
        <w:ind w:firstLine="480" w:firstLineChars="200"/>
        <w:rPr>
          <w:rFonts w:hint="eastAsia" w:ascii="宋体" w:hAnsi="宋体"/>
        </w:rPr>
      </w:pPr>
      <w:r>
        <w:rPr>
          <w:rFonts w:hint="eastAsia" w:ascii="宋体" w:hAnsi="宋体"/>
        </w:rPr>
        <w:t>7.2.2 采购人将通过《浙江政府采购网》发布中标公告，通知其他未中标的投标人。</w:t>
      </w:r>
    </w:p>
    <w:p>
      <w:pPr>
        <w:tabs>
          <w:tab w:val="left" w:pos="1260"/>
        </w:tabs>
        <w:spacing w:line="360" w:lineRule="auto"/>
        <w:ind w:firstLine="480" w:firstLineChars="200"/>
        <w:rPr>
          <w:rFonts w:hint="eastAsia" w:ascii="宋体" w:hAnsi="宋体"/>
        </w:rPr>
      </w:pPr>
      <w:r>
        <w:rPr>
          <w:rFonts w:hint="eastAsia" w:ascii="宋体" w:hAnsi="宋体"/>
        </w:rPr>
        <w:t>7.2.3 所有在开标会上启封并唱出的投标文件都将作为档案保存,不论中标与否，采购人均不退回投标文件。</w:t>
      </w:r>
    </w:p>
    <w:p>
      <w:pPr>
        <w:pStyle w:val="6"/>
        <w:spacing w:before="0" w:after="0"/>
        <w:ind w:left="718" w:leftChars="75" w:hanging="538"/>
        <w:rPr>
          <w:rFonts w:hint="eastAsia" w:ascii="Times New Roman" w:hAnsi="Times New Roman" w:eastAsia="宋体"/>
          <w:sz w:val="30"/>
          <w:szCs w:val="30"/>
        </w:rPr>
      </w:pPr>
      <w:bookmarkStart w:id="120" w:name="_Toc248065068"/>
      <w:bookmarkStart w:id="121" w:name="_Toc180555949"/>
      <w:bookmarkStart w:id="122" w:name="_Toc226337790"/>
      <w:r>
        <w:rPr>
          <w:rFonts w:hint="eastAsia" w:ascii="Times New Roman" w:hAnsi="Times New Roman" w:eastAsia="宋体"/>
          <w:sz w:val="30"/>
          <w:szCs w:val="30"/>
        </w:rPr>
        <w:t>7.3签订合同</w:t>
      </w:r>
      <w:bookmarkEnd w:id="120"/>
      <w:bookmarkEnd w:id="121"/>
      <w:bookmarkEnd w:id="122"/>
    </w:p>
    <w:p>
      <w:pPr>
        <w:tabs>
          <w:tab w:val="left" w:pos="1260"/>
        </w:tabs>
        <w:spacing w:line="360" w:lineRule="auto"/>
        <w:ind w:firstLine="480" w:firstLineChars="200"/>
        <w:rPr>
          <w:rFonts w:hint="eastAsia" w:ascii="宋体" w:hAnsi="宋体"/>
        </w:rPr>
      </w:pPr>
      <w:r>
        <w:rPr>
          <w:rFonts w:ascii="宋体" w:hAnsi="宋体"/>
        </w:rPr>
        <w:t>7.3.1</w:t>
      </w:r>
      <w:r>
        <w:rPr>
          <w:rFonts w:hint="eastAsia" w:ascii="宋体" w:hAnsi="宋体"/>
        </w:rPr>
        <w:t>中标人在收到《中标通知书》后，按照《中标通知书》中规定的时间和地点与采购人签订合同。</w:t>
      </w:r>
    </w:p>
    <w:p>
      <w:pPr>
        <w:tabs>
          <w:tab w:val="left" w:pos="1260"/>
        </w:tabs>
        <w:spacing w:line="360" w:lineRule="auto"/>
        <w:ind w:firstLine="480" w:firstLineChars="200"/>
        <w:rPr>
          <w:rFonts w:hint="eastAsia" w:ascii="宋体" w:hAnsi="宋体"/>
        </w:rPr>
      </w:pPr>
      <w:r>
        <w:rPr>
          <w:rFonts w:ascii="宋体" w:hAnsi="宋体"/>
        </w:rPr>
        <w:t>7.3.</w:t>
      </w:r>
      <w:r>
        <w:rPr>
          <w:rFonts w:hint="eastAsia" w:ascii="宋体" w:hAnsi="宋体"/>
        </w:rPr>
        <w:t>2如果中标人没有按照上述规定签订合同，采购人将取消原中标决定。在此情况下，采购人可将该标授予下一个中标候选人或者重新招标。</w:t>
      </w:r>
    </w:p>
    <w:p>
      <w:pPr>
        <w:pStyle w:val="6"/>
        <w:spacing w:before="0" w:after="0"/>
        <w:ind w:left="718" w:leftChars="75" w:hanging="538"/>
        <w:rPr>
          <w:rFonts w:hint="eastAsia" w:ascii="Times New Roman" w:hAnsi="Times New Roman" w:eastAsia="宋体"/>
          <w:sz w:val="30"/>
          <w:szCs w:val="30"/>
        </w:rPr>
      </w:pPr>
      <w:bookmarkStart w:id="123" w:name="_Toc248065069"/>
      <w:bookmarkStart w:id="124" w:name="_Toc226337791"/>
      <w:bookmarkStart w:id="125" w:name="_Toc180555950"/>
      <w:r>
        <w:rPr>
          <w:rFonts w:hint="eastAsia" w:ascii="Times New Roman" w:hAnsi="Times New Roman" w:eastAsia="宋体"/>
          <w:sz w:val="30"/>
          <w:szCs w:val="30"/>
        </w:rPr>
        <w:t>7.4诚实信用</w:t>
      </w:r>
      <w:bookmarkEnd w:id="123"/>
      <w:bookmarkEnd w:id="124"/>
      <w:bookmarkEnd w:id="125"/>
    </w:p>
    <w:p>
      <w:pPr>
        <w:tabs>
          <w:tab w:val="left" w:pos="1260"/>
        </w:tabs>
        <w:spacing w:line="360" w:lineRule="auto"/>
        <w:ind w:firstLine="480" w:firstLineChars="200"/>
        <w:rPr>
          <w:rFonts w:hint="eastAsia" w:ascii="宋体" w:hAnsi="宋体"/>
        </w:rPr>
      </w:pPr>
      <w:r>
        <w:rPr>
          <w:rFonts w:hint="eastAsia" w:ascii="宋体" w:hAnsi="宋体"/>
        </w:rPr>
        <w:t>7.4.1 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pPr>
        <w:tabs>
          <w:tab w:val="left" w:pos="1260"/>
        </w:tabs>
        <w:spacing w:line="360" w:lineRule="auto"/>
        <w:ind w:firstLine="480" w:firstLineChars="200"/>
        <w:rPr>
          <w:rFonts w:hint="eastAsia" w:ascii="宋体" w:hAnsi="宋体"/>
        </w:rPr>
      </w:pPr>
      <w:r>
        <w:rPr>
          <w:rFonts w:hint="eastAsia" w:ascii="宋体" w:hAnsi="宋体"/>
        </w:rPr>
        <w:t>7.4.2 如果采购人有证据表明投标人在本招标项目的竞争中存在腐败、欺诈或其他严重违背诚信原则的行为，则将拒绝其投标，或中标无效。</w:t>
      </w:r>
    </w:p>
    <w:p>
      <w:pPr>
        <w:tabs>
          <w:tab w:val="left" w:pos="1260"/>
        </w:tabs>
        <w:spacing w:line="360" w:lineRule="auto"/>
        <w:ind w:firstLine="480" w:firstLineChars="200"/>
        <w:rPr>
          <w:rFonts w:hint="eastAsia" w:ascii="宋体" w:hAnsi="宋体"/>
        </w:rPr>
      </w:pPr>
      <w:r>
        <w:rPr>
          <w:rFonts w:hint="eastAsia"/>
        </w:rPr>
        <w:t>7.4.3 如果中标人没有按照招标文件规定签订合同，将报嵊州市政府采购管理部门批准，按照政府采购的有关规定进行处理。</w:t>
      </w:r>
    </w:p>
    <w:p>
      <w:pPr>
        <w:pStyle w:val="2"/>
        <w:keepNext w:val="0"/>
        <w:keepLines w:val="0"/>
        <w:pageBreakBefore/>
        <w:widowControl/>
        <w:tabs>
          <w:tab w:val="left" w:pos="478"/>
        </w:tabs>
        <w:autoSpaceDE w:val="0"/>
        <w:autoSpaceDN w:val="0"/>
        <w:spacing w:before="240" w:after="120" w:line="360" w:lineRule="auto"/>
        <w:ind w:left="478" w:hanging="960"/>
        <w:rPr>
          <w:rFonts w:hint="eastAsia" w:ascii="宋体" w:hAnsi="Calibri" w:eastAsia="宋体"/>
          <w:b w:val="0"/>
          <w:color w:val="000000"/>
          <w:kern w:val="0"/>
          <w:sz w:val="36"/>
        </w:rPr>
      </w:pPr>
      <w:bookmarkStart w:id="126" w:name="_Toc304551317"/>
      <w:bookmarkStart w:id="127" w:name="_Toc528046854"/>
      <w:bookmarkStart w:id="128" w:name="_Toc456345905"/>
      <w:bookmarkStart w:id="129" w:name="_Toc458419362"/>
      <w:r>
        <w:rPr>
          <w:rFonts w:ascii="宋体" w:hAnsi="Calibri" w:eastAsia="宋体"/>
          <w:b w:val="0"/>
          <w:color w:val="000000"/>
          <w:kern w:val="0"/>
          <w:sz w:val="36"/>
        </w:rPr>
        <w:t>第三部分 合同文本</w:t>
      </w:r>
      <w:bookmarkEnd w:id="126"/>
      <w:bookmarkEnd w:id="127"/>
      <w:bookmarkEnd w:id="128"/>
    </w:p>
    <w:p>
      <w:pPr>
        <w:autoSpaceDE w:val="0"/>
        <w:autoSpaceDN w:val="0"/>
        <w:adjustRightInd w:val="0"/>
        <w:spacing w:line="360" w:lineRule="auto"/>
        <w:jc w:val="center"/>
        <w:rPr>
          <w:rFonts w:ascii="宋体" w:hAnsi="宋体"/>
          <w:kern w:val="0"/>
          <w:lang w:val="zh-CN"/>
        </w:rPr>
      </w:pPr>
      <w:r>
        <w:rPr>
          <w:rFonts w:hint="eastAsia" w:ascii="宋体"/>
          <w:sz w:val="36"/>
        </w:rPr>
        <w:t xml:space="preserve">                         </w:t>
      </w:r>
      <w:r>
        <w:rPr>
          <w:rFonts w:hint="eastAsia" w:ascii="宋体" w:hAnsi="宋体"/>
          <w:kern w:val="0"/>
          <w:lang w:val="zh-CN"/>
        </w:rPr>
        <w:t xml:space="preserve"> 合同编号：</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合同各方：</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甲方（采购人）：</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地址：</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邮政编码：</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电话：</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传真：</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联系人：</w:t>
      </w:r>
    </w:p>
    <w:p>
      <w:pPr>
        <w:autoSpaceDE w:val="0"/>
        <w:autoSpaceDN w:val="0"/>
        <w:adjustRightInd w:val="0"/>
        <w:spacing w:line="360" w:lineRule="auto"/>
        <w:ind w:firstLine="480" w:firstLineChars="200"/>
        <w:rPr>
          <w:rFonts w:ascii="宋体" w:hAnsi="宋体"/>
          <w:kern w:val="0"/>
          <w:lang w:val="zh-CN"/>
        </w:rPr>
      </w:pP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乙方（中标人）：</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地址：</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邮政编码：</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电话：</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传真：</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联系人：</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开户银行：</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帐号：</w:t>
      </w:r>
    </w:p>
    <w:p>
      <w:pPr>
        <w:autoSpaceDE w:val="0"/>
        <w:autoSpaceDN w:val="0"/>
        <w:adjustRightInd w:val="0"/>
        <w:spacing w:line="360" w:lineRule="auto"/>
        <w:ind w:firstLine="480" w:firstLineChars="200"/>
        <w:rPr>
          <w:rFonts w:hint="eastAsia" w:ascii="宋体" w:hAnsi="宋体"/>
          <w:kern w:val="0"/>
          <w:lang w:val="zh-CN"/>
        </w:rPr>
      </w:pPr>
    </w:p>
    <w:p>
      <w:pPr>
        <w:autoSpaceDE w:val="0"/>
        <w:autoSpaceDN w:val="0"/>
        <w:adjustRightInd w:val="0"/>
        <w:spacing w:line="360" w:lineRule="auto"/>
        <w:ind w:firstLine="480" w:firstLineChars="200"/>
        <w:rPr>
          <w:rFonts w:hint="eastAsia" w:ascii="宋体" w:hAnsi="宋体"/>
          <w:kern w:val="0"/>
          <w:lang w:val="zh-CN"/>
        </w:rPr>
      </w:pPr>
    </w:p>
    <w:p>
      <w:pPr>
        <w:autoSpaceDE w:val="0"/>
        <w:autoSpaceDN w:val="0"/>
        <w:adjustRightInd w:val="0"/>
        <w:spacing w:line="360" w:lineRule="auto"/>
        <w:ind w:firstLine="480" w:firstLineChars="200"/>
        <w:rPr>
          <w:rFonts w:hint="eastAsia" w:ascii="宋体" w:hAnsi="宋体"/>
          <w:kern w:val="0"/>
          <w:lang w:val="zh-CN"/>
        </w:rPr>
      </w:pPr>
    </w:p>
    <w:p>
      <w:pPr>
        <w:autoSpaceDE w:val="0"/>
        <w:autoSpaceDN w:val="0"/>
        <w:adjustRightInd w:val="0"/>
        <w:spacing w:line="360" w:lineRule="auto"/>
        <w:ind w:firstLine="480" w:firstLineChars="200"/>
        <w:rPr>
          <w:rFonts w:hint="eastAsia" w:ascii="宋体" w:hAnsi="宋体"/>
          <w:kern w:val="0"/>
          <w:lang w:val="zh-CN"/>
        </w:rPr>
      </w:pPr>
    </w:p>
    <w:p>
      <w:pPr>
        <w:autoSpaceDE w:val="0"/>
        <w:autoSpaceDN w:val="0"/>
        <w:adjustRightInd w:val="0"/>
        <w:spacing w:line="360" w:lineRule="auto"/>
        <w:ind w:firstLine="480" w:firstLineChars="200"/>
        <w:rPr>
          <w:rFonts w:hint="eastAsia" w:ascii="宋体" w:hAnsi="宋体"/>
          <w:kern w:val="0"/>
          <w:lang w:val="zh-CN"/>
        </w:rPr>
      </w:pPr>
    </w:p>
    <w:p>
      <w:pPr>
        <w:autoSpaceDE w:val="0"/>
        <w:autoSpaceDN w:val="0"/>
        <w:adjustRightInd w:val="0"/>
        <w:spacing w:line="360" w:lineRule="auto"/>
        <w:ind w:firstLine="480" w:firstLineChars="200"/>
        <w:rPr>
          <w:rFonts w:hint="eastAsia" w:ascii="宋体" w:hAnsi="宋体"/>
          <w:kern w:val="0"/>
          <w:lang w:val="zh-CN"/>
        </w:rPr>
      </w:pPr>
    </w:p>
    <w:p>
      <w:pPr>
        <w:autoSpaceDE w:val="0"/>
        <w:autoSpaceDN w:val="0"/>
        <w:adjustRightInd w:val="0"/>
        <w:spacing w:line="360" w:lineRule="auto"/>
        <w:ind w:firstLine="480" w:firstLineChars="200"/>
        <w:rPr>
          <w:rFonts w:hint="eastAsia" w:ascii="宋体" w:hAnsi="宋体"/>
          <w:kern w:val="0"/>
          <w:lang w:val="zh-CN"/>
        </w:rPr>
      </w:pPr>
    </w:p>
    <w:p>
      <w:pPr>
        <w:autoSpaceDE w:val="0"/>
        <w:autoSpaceDN w:val="0"/>
        <w:adjustRightInd w:val="0"/>
        <w:spacing w:line="360" w:lineRule="auto"/>
        <w:ind w:firstLine="480" w:firstLineChars="200"/>
        <w:rPr>
          <w:rFonts w:hint="eastAsia" w:ascii="宋体" w:hAnsi="宋体"/>
          <w:kern w:val="0"/>
          <w:lang w:val="zh-CN"/>
        </w:rPr>
      </w:pPr>
    </w:p>
    <w:p>
      <w:pPr>
        <w:autoSpaceDE w:val="0"/>
        <w:autoSpaceDN w:val="0"/>
        <w:adjustRightInd w:val="0"/>
        <w:spacing w:line="360" w:lineRule="auto"/>
        <w:ind w:firstLine="480" w:firstLineChars="200"/>
        <w:rPr>
          <w:rFonts w:hint="eastAsia" w:ascii="宋体" w:hAnsi="宋体"/>
          <w:kern w:val="0"/>
          <w:lang w:val="zh-CN"/>
        </w:rPr>
      </w:pPr>
    </w:p>
    <w:p>
      <w:pPr>
        <w:autoSpaceDE w:val="0"/>
        <w:autoSpaceDN w:val="0"/>
        <w:adjustRightInd w:val="0"/>
        <w:spacing w:line="360" w:lineRule="auto"/>
        <w:ind w:firstLine="480" w:firstLineChars="200"/>
        <w:rPr>
          <w:rFonts w:hint="eastAsia" w:ascii="宋体" w:hAnsi="宋体"/>
          <w:kern w:val="0"/>
          <w:lang w:val="zh-CN"/>
        </w:rPr>
      </w:pP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根据《中华人民共和国政府采购法》、《中华人民共和国合同法》之规定，本合同当事人在平等、自愿的基础上，经协商一致，同意按下述条款和条件签署本合同：</w:t>
      </w:r>
    </w:p>
    <w:p>
      <w:pPr>
        <w:pStyle w:val="6"/>
        <w:spacing w:before="0" w:after="0"/>
        <w:ind w:left="718" w:leftChars="75" w:hanging="538"/>
        <w:rPr>
          <w:rFonts w:hint="eastAsia" w:ascii="Times New Roman" w:hAnsi="Times New Roman" w:eastAsia="宋体"/>
          <w:sz w:val="30"/>
          <w:szCs w:val="30"/>
        </w:rPr>
      </w:pPr>
      <w:bookmarkStart w:id="130" w:name="_Toc269217275"/>
      <w:bookmarkStart w:id="131" w:name="_Toc19146"/>
      <w:bookmarkStart w:id="132" w:name="_Toc456345906"/>
      <w:r>
        <w:rPr>
          <w:rFonts w:hint="eastAsia" w:ascii="Times New Roman" w:hAnsi="Times New Roman" w:eastAsia="宋体"/>
          <w:sz w:val="30"/>
          <w:szCs w:val="30"/>
        </w:rPr>
        <w:t>第一条 乙方根据本合同的规定向甲方提供以下产品及服务</w:t>
      </w:r>
      <w:bookmarkEnd w:id="130"/>
      <w:bookmarkEnd w:id="131"/>
      <w:bookmarkEnd w:id="132"/>
    </w:p>
    <w:p>
      <w:pPr>
        <w:spacing w:line="360" w:lineRule="auto"/>
        <w:ind w:right="-28" w:rightChars="-12" w:firstLine="560" w:firstLineChars="200"/>
        <w:jc w:val="left"/>
        <w:rPr>
          <w:rFonts w:hint="eastAsia" w:ascii="宋体" w:hAnsi="宋体"/>
          <w:sz w:val="28"/>
        </w:rPr>
      </w:pPr>
      <w:r>
        <w:rPr>
          <w:rFonts w:hint="eastAsia" w:ascii="宋体" w:hAnsi="宋体"/>
          <w:sz w:val="28"/>
        </w:rPr>
        <w:t>1.1 合同内容</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乙方应严格按照采购文件内容提供项目清单：</w:t>
      </w:r>
    </w:p>
    <w:tbl>
      <w:tblPr>
        <w:tblStyle w:val="78"/>
        <w:tblW w:w="0" w:type="auto"/>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41"/>
        <w:gridCol w:w="3544"/>
        <w:gridCol w:w="851"/>
        <w:gridCol w:w="850"/>
        <w:gridCol w:w="851"/>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13" w:hRule="atLeast"/>
        </w:trPr>
        <w:tc>
          <w:tcPr>
            <w:tcW w:w="720" w:type="dxa"/>
            <w:noWrap w:val="0"/>
            <w:vAlign w:val="center"/>
          </w:tcPr>
          <w:p>
            <w:pPr>
              <w:tabs>
                <w:tab w:val="left" w:pos="720"/>
              </w:tabs>
              <w:spacing w:line="500" w:lineRule="exact"/>
              <w:jc w:val="center"/>
              <w:rPr>
                <w:rFonts w:hint="eastAsia" w:ascii="楷体_GB2312" w:hAnsi="宋体" w:eastAsia="楷体_GB2312"/>
                <w:b/>
                <w:szCs w:val="21"/>
              </w:rPr>
            </w:pPr>
            <w:r>
              <w:rPr>
                <w:rFonts w:hint="eastAsia" w:ascii="楷体_GB2312" w:hAnsi="宋体" w:eastAsia="楷体_GB2312"/>
                <w:b/>
                <w:szCs w:val="21"/>
              </w:rPr>
              <w:t>序号</w:t>
            </w:r>
          </w:p>
        </w:tc>
        <w:tc>
          <w:tcPr>
            <w:tcW w:w="1341" w:type="dxa"/>
            <w:tcBorders>
              <w:right w:val="single" w:color="auto" w:sz="4" w:space="0"/>
            </w:tcBorders>
            <w:noWrap w:val="0"/>
            <w:vAlign w:val="center"/>
          </w:tcPr>
          <w:p>
            <w:pPr>
              <w:tabs>
                <w:tab w:val="left" w:pos="720"/>
              </w:tabs>
              <w:spacing w:line="500" w:lineRule="exact"/>
              <w:ind w:firstLine="235" w:firstLineChars="98"/>
              <w:jc w:val="center"/>
              <w:rPr>
                <w:rFonts w:hint="eastAsia" w:ascii="楷体_GB2312" w:hAnsi="宋体" w:eastAsia="楷体_GB2312"/>
                <w:b/>
                <w:szCs w:val="21"/>
              </w:rPr>
            </w:pPr>
            <w:r>
              <w:rPr>
                <w:rFonts w:hint="eastAsia" w:ascii="楷体_GB2312" w:hAnsi="宋体" w:eastAsia="楷体_GB2312"/>
                <w:b/>
                <w:szCs w:val="21"/>
              </w:rPr>
              <w:t>内容</w:t>
            </w:r>
          </w:p>
        </w:tc>
        <w:tc>
          <w:tcPr>
            <w:tcW w:w="3544" w:type="dxa"/>
            <w:tcBorders>
              <w:left w:val="single" w:color="auto" w:sz="4" w:space="0"/>
            </w:tcBorders>
            <w:noWrap w:val="0"/>
            <w:vAlign w:val="center"/>
          </w:tcPr>
          <w:p>
            <w:pPr>
              <w:tabs>
                <w:tab w:val="left" w:pos="720"/>
              </w:tabs>
              <w:spacing w:line="500" w:lineRule="exact"/>
              <w:jc w:val="center"/>
              <w:rPr>
                <w:rFonts w:hint="eastAsia" w:ascii="楷体_GB2312" w:hAnsi="宋体" w:eastAsia="楷体_GB2312"/>
                <w:b/>
                <w:szCs w:val="21"/>
              </w:rPr>
            </w:pPr>
            <w:r>
              <w:rPr>
                <w:rFonts w:hint="eastAsia" w:ascii="楷体_GB2312" w:hAnsi="宋体" w:eastAsia="楷体_GB2312"/>
                <w:b/>
                <w:szCs w:val="21"/>
              </w:rPr>
              <w:t>主要技术功能</w:t>
            </w:r>
          </w:p>
        </w:tc>
        <w:tc>
          <w:tcPr>
            <w:tcW w:w="851" w:type="dxa"/>
            <w:tcBorders>
              <w:right w:val="single" w:color="auto" w:sz="4" w:space="0"/>
            </w:tcBorders>
            <w:noWrap w:val="0"/>
            <w:vAlign w:val="center"/>
          </w:tcPr>
          <w:p>
            <w:pPr>
              <w:tabs>
                <w:tab w:val="left" w:pos="720"/>
              </w:tabs>
              <w:spacing w:line="500" w:lineRule="exact"/>
              <w:jc w:val="center"/>
              <w:rPr>
                <w:rFonts w:hint="eastAsia" w:ascii="楷体_GB2312" w:hAnsi="宋体" w:eastAsia="楷体_GB2312"/>
                <w:b/>
                <w:szCs w:val="21"/>
              </w:rPr>
            </w:pPr>
            <w:r>
              <w:rPr>
                <w:rFonts w:hint="eastAsia" w:ascii="楷体_GB2312" w:hAnsi="宋体" w:eastAsia="楷体_GB2312"/>
                <w:b/>
                <w:szCs w:val="21"/>
              </w:rPr>
              <w:t>单位</w:t>
            </w:r>
          </w:p>
        </w:tc>
        <w:tc>
          <w:tcPr>
            <w:tcW w:w="850" w:type="dxa"/>
            <w:tcBorders>
              <w:left w:val="single" w:color="auto" w:sz="4" w:space="0"/>
            </w:tcBorders>
            <w:noWrap w:val="0"/>
            <w:vAlign w:val="center"/>
          </w:tcPr>
          <w:p>
            <w:pPr>
              <w:tabs>
                <w:tab w:val="left" w:pos="720"/>
              </w:tabs>
              <w:spacing w:line="500" w:lineRule="exact"/>
              <w:ind w:left="22"/>
              <w:jc w:val="center"/>
              <w:rPr>
                <w:rFonts w:hint="eastAsia" w:ascii="楷体_GB2312" w:hAnsi="宋体" w:eastAsia="楷体_GB2312"/>
                <w:b/>
                <w:szCs w:val="21"/>
              </w:rPr>
            </w:pPr>
            <w:r>
              <w:rPr>
                <w:rFonts w:hint="eastAsia" w:ascii="楷体_GB2312" w:hAnsi="宋体" w:eastAsia="楷体_GB2312"/>
                <w:b/>
                <w:szCs w:val="21"/>
              </w:rPr>
              <w:t>数量</w:t>
            </w:r>
          </w:p>
        </w:tc>
        <w:tc>
          <w:tcPr>
            <w:tcW w:w="851" w:type="dxa"/>
            <w:noWrap w:val="0"/>
            <w:vAlign w:val="center"/>
          </w:tcPr>
          <w:p>
            <w:pPr>
              <w:tabs>
                <w:tab w:val="left" w:pos="720"/>
              </w:tabs>
              <w:spacing w:line="500" w:lineRule="exact"/>
              <w:ind w:firstLine="117" w:firstLineChars="49"/>
              <w:jc w:val="center"/>
              <w:rPr>
                <w:rFonts w:hint="eastAsia" w:ascii="楷体_GB2312" w:hAnsi="宋体" w:eastAsia="楷体_GB2312"/>
                <w:b/>
                <w:szCs w:val="21"/>
              </w:rPr>
            </w:pPr>
            <w:r>
              <w:rPr>
                <w:rFonts w:hint="eastAsia" w:ascii="楷体_GB2312" w:hAnsi="宋体" w:eastAsia="楷体_GB2312"/>
                <w:b/>
                <w:szCs w:val="21"/>
              </w:rPr>
              <w:t>单价</w:t>
            </w:r>
          </w:p>
        </w:tc>
        <w:tc>
          <w:tcPr>
            <w:tcW w:w="1203" w:type="dxa"/>
            <w:noWrap w:val="0"/>
            <w:vAlign w:val="center"/>
          </w:tcPr>
          <w:p>
            <w:pPr>
              <w:tabs>
                <w:tab w:val="left" w:pos="720"/>
              </w:tabs>
              <w:spacing w:line="500" w:lineRule="exact"/>
              <w:ind w:firstLine="240" w:firstLineChars="100"/>
              <w:rPr>
                <w:rFonts w:hint="eastAsia" w:ascii="楷体_GB2312" w:hAnsi="宋体" w:eastAsia="楷体_GB2312"/>
                <w:b/>
                <w:szCs w:val="21"/>
              </w:rPr>
            </w:pPr>
            <w:r>
              <w:rPr>
                <w:rFonts w:hint="eastAsia" w:ascii="楷体_GB2312" w:hAnsi="宋体" w:eastAsia="楷体_GB2312"/>
                <w:b/>
                <w:szCs w:val="21"/>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12" w:hRule="atLeast"/>
        </w:trPr>
        <w:tc>
          <w:tcPr>
            <w:tcW w:w="720" w:type="dxa"/>
            <w:noWrap w:val="0"/>
            <w:vAlign w:val="center"/>
          </w:tcPr>
          <w:p>
            <w:pPr>
              <w:tabs>
                <w:tab w:val="left" w:pos="720"/>
              </w:tabs>
              <w:spacing w:line="500" w:lineRule="exact"/>
              <w:jc w:val="center"/>
              <w:rPr>
                <w:rFonts w:hint="eastAsia" w:ascii="楷体_GB2312" w:hAnsi="宋体" w:eastAsia="楷体_GB2312"/>
                <w:b/>
                <w:szCs w:val="21"/>
              </w:rPr>
            </w:pPr>
          </w:p>
        </w:tc>
        <w:tc>
          <w:tcPr>
            <w:tcW w:w="1341" w:type="dxa"/>
            <w:tcBorders>
              <w:right w:val="single" w:color="auto" w:sz="4" w:space="0"/>
            </w:tcBorders>
            <w:noWrap w:val="0"/>
            <w:vAlign w:val="center"/>
          </w:tcPr>
          <w:p>
            <w:pPr>
              <w:tabs>
                <w:tab w:val="left" w:pos="720"/>
              </w:tabs>
              <w:spacing w:line="500" w:lineRule="exact"/>
              <w:jc w:val="center"/>
              <w:rPr>
                <w:rFonts w:hint="eastAsia" w:ascii="楷体_GB2312" w:hAnsi="宋体" w:eastAsia="楷体_GB2312"/>
                <w:b/>
                <w:szCs w:val="21"/>
              </w:rPr>
            </w:pPr>
          </w:p>
        </w:tc>
        <w:tc>
          <w:tcPr>
            <w:tcW w:w="3544" w:type="dxa"/>
            <w:tcBorders>
              <w:left w:val="single" w:color="auto" w:sz="4" w:space="0"/>
            </w:tcBorders>
            <w:noWrap w:val="0"/>
            <w:vAlign w:val="center"/>
          </w:tcPr>
          <w:p>
            <w:pPr>
              <w:tabs>
                <w:tab w:val="left" w:pos="720"/>
              </w:tabs>
              <w:jc w:val="center"/>
              <w:rPr>
                <w:rFonts w:hint="eastAsia" w:ascii="仿宋_GB2312" w:eastAsia="仿宋_GB2312"/>
                <w:szCs w:val="24"/>
              </w:rPr>
            </w:pPr>
          </w:p>
        </w:tc>
        <w:tc>
          <w:tcPr>
            <w:tcW w:w="851" w:type="dxa"/>
            <w:tcBorders>
              <w:right w:val="single" w:color="auto" w:sz="4" w:space="0"/>
            </w:tcBorders>
            <w:noWrap w:val="0"/>
            <w:vAlign w:val="center"/>
          </w:tcPr>
          <w:p>
            <w:pPr>
              <w:tabs>
                <w:tab w:val="left" w:pos="720"/>
              </w:tabs>
              <w:jc w:val="center"/>
              <w:rPr>
                <w:rFonts w:hint="eastAsia" w:ascii="仿宋_GB2312" w:eastAsia="仿宋_GB2312"/>
                <w:szCs w:val="24"/>
              </w:rPr>
            </w:pPr>
          </w:p>
        </w:tc>
        <w:tc>
          <w:tcPr>
            <w:tcW w:w="850" w:type="dxa"/>
            <w:tcBorders>
              <w:left w:val="single" w:color="auto" w:sz="4" w:space="0"/>
            </w:tcBorders>
            <w:noWrap w:val="0"/>
            <w:vAlign w:val="center"/>
          </w:tcPr>
          <w:p>
            <w:pPr>
              <w:tabs>
                <w:tab w:val="left" w:pos="720"/>
              </w:tabs>
              <w:jc w:val="center"/>
              <w:rPr>
                <w:rFonts w:hint="eastAsia" w:ascii="仿宋_GB2312" w:eastAsia="仿宋_GB2312"/>
                <w:szCs w:val="24"/>
              </w:rPr>
            </w:pPr>
          </w:p>
        </w:tc>
        <w:tc>
          <w:tcPr>
            <w:tcW w:w="851" w:type="dxa"/>
            <w:noWrap w:val="0"/>
            <w:vAlign w:val="center"/>
          </w:tcPr>
          <w:p>
            <w:pPr>
              <w:tabs>
                <w:tab w:val="left" w:pos="720"/>
              </w:tabs>
              <w:jc w:val="center"/>
              <w:rPr>
                <w:rFonts w:hint="eastAsia" w:ascii="仿宋_GB2312" w:eastAsia="仿宋_GB2312"/>
                <w:szCs w:val="24"/>
              </w:rPr>
            </w:pPr>
          </w:p>
        </w:tc>
        <w:tc>
          <w:tcPr>
            <w:tcW w:w="1203" w:type="dxa"/>
            <w:noWrap w:val="0"/>
            <w:vAlign w:val="center"/>
          </w:tcPr>
          <w:p>
            <w:pPr>
              <w:tabs>
                <w:tab w:val="left" w:pos="720"/>
              </w:tabs>
              <w:jc w:val="center"/>
              <w:rPr>
                <w:rFonts w:hint="eastAsia" w:ascii="仿宋_GB2312" w:eastAsia="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69" w:hRule="atLeast"/>
        </w:trPr>
        <w:tc>
          <w:tcPr>
            <w:tcW w:w="720" w:type="dxa"/>
            <w:tcBorders>
              <w:bottom w:val="single" w:color="auto" w:sz="4" w:space="0"/>
            </w:tcBorders>
            <w:noWrap w:val="0"/>
            <w:vAlign w:val="center"/>
          </w:tcPr>
          <w:p>
            <w:pPr>
              <w:tabs>
                <w:tab w:val="left" w:pos="720"/>
              </w:tabs>
              <w:spacing w:line="500" w:lineRule="exact"/>
              <w:jc w:val="center"/>
              <w:rPr>
                <w:rFonts w:hint="eastAsia" w:ascii="楷体_GB2312" w:hAnsi="宋体" w:eastAsia="楷体_GB2312"/>
                <w:b/>
                <w:szCs w:val="21"/>
              </w:rPr>
            </w:pPr>
          </w:p>
        </w:tc>
        <w:tc>
          <w:tcPr>
            <w:tcW w:w="1341" w:type="dxa"/>
            <w:tcBorders>
              <w:bottom w:val="single" w:color="auto" w:sz="4" w:space="0"/>
              <w:right w:val="single" w:color="auto" w:sz="4" w:space="0"/>
            </w:tcBorders>
            <w:noWrap w:val="0"/>
            <w:vAlign w:val="center"/>
          </w:tcPr>
          <w:p>
            <w:pPr>
              <w:tabs>
                <w:tab w:val="left" w:pos="720"/>
              </w:tabs>
              <w:spacing w:line="500" w:lineRule="exact"/>
              <w:jc w:val="center"/>
              <w:rPr>
                <w:rFonts w:hint="eastAsia" w:ascii="楷体_GB2312" w:hAnsi="宋体" w:eastAsia="楷体_GB2312"/>
                <w:b/>
                <w:szCs w:val="21"/>
              </w:rPr>
            </w:pPr>
          </w:p>
        </w:tc>
        <w:tc>
          <w:tcPr>
            <w:tcW w:w="3544" w:type="dxa"/>
            <w:tcBorders>
              <w:left w:val="single" w:color="auto" w:sz="4" w:space="0"/>
              <w:bottom w:val="single" w:color="auto" w:sz="4" w:space="0"/>
            </w:tcBorders>
            <w:noWrap w:val="0"/>
            <w:vAlign w:val="center"/>
          </w:tcPr>
          <w:p>
            <w:pPr>
              <w:tabs>
                <w:tab w:val="left" w:pos="720"/>
              </w:tabs>
              <w:jc w:val="center"/>
              <w:rPr>
                <w:rFonts w:hint="eastAsia" w:ascii="仿宋_GB2312" w:eastAsia="仿宋_GB2312"/>
                <w:szCs w:val="24"/>
              </w:rPr>
            </w:pPr>
          </w:p>
        </w:tc>
        <w:tc>
          <w:tcPr>
            <w:tcW w:w="851" w:type="dxa"/>
            <w:tcBorders>
              <w:bottom w:val="single" w:color="auto" w:sz="4" w:space="0"/>
              <w:right w:val="single" w:color="auto" w:sz="4" w:space="0"/>
            </w:tcBorders>
            <w:noWrap w:val="0"/>
            <w:vAlign w:val="center"/>
          </w:tcPr>
          <w:p>
            <w:pPr>
              <w:tabs>
                <w:tab w:val="left" w:pos="720"/>
              </w:tabs>
              <w:jc w:val="center"/>
              <w:rPr>
                <w:rFonts w:hint="eastAsia" w:ascii="仿宋_GB2312" w:eastAsia="仿宋_GB2312"/>
                <w:szCs w:val="24"/>
              </w:rPr>
            </w:pPr>
          </w:p>
        </w:tc>
        <w:tc>
          <w:tcPr>
            <w:tcW w:w="850" w:type="dxa"/>
            <w:tcBorders>
              <w:left w:val="single" w:color="auto" w:sz="4" w:space="0"/>
              <w:bottom w:val="single" w:color="auto" w:sz="4" w:space="0"/>
            </w:tcBorders>
            <w:noWrap w:val="0"/>
            <w:vAlign w:val="center"/>
          </w:tcPr>
          <w:p>
            <w:pPr>
              <w:tabs>
                <w:tab w:val="left" w:pos="720"/>
              </w:tabs>
              <w:jc w:val="center"/>
              <w:rPr>
                <w:rFonts w:hint="eastAsia" w:ascii="仿宋_GB2312" w:eastAsia="仿宋_GB2312"/>
                <w:szCs w:val="24"/>
              </w:rPr>
            </w:pPr>
          </w:p>
        </w:tc>
        <w:tc>
          <w:tcPr>
            <w:tcW w:w="851" w:type="dxa"/>
            <w:tcBorders>
              <w:bottom w:val="single" w:color="auto" w:sz="4" w:space="0"/>
            </w:tcBorders>
            <w:noWrap w:val="0"/>
            <w:vAlign w:val="center"/>
          </w:tcPr>
          <w:p>
            <w:pPr>
              <w:tabs>
                <w:tab w:val="left" w:pos="720"/>
              </w:tabs>
              <w:jc w:val="center"/>
              <w:rPr>
                <w:rFonts w:hint="eastAsia" w:ascii="仿宋_GB2312" w:eastAsia="仿宋_GB2312"/>
                <w:szCs w:val="24"/>
              </w:rPr>
            </w:pPr>
          </w:p>
        </w:tc>
        <w:tc>
          <w:tcPr>
            <w:tcW w:w="1203" w:type="dxa"/>
            <w:tcBorders>
              <w:bottom w:val="single" w:color="auto" w:sz="4" w:space="0"/>
            </w:tcBorders>
            <w:noWrap w:val="0"/>
            <w:vAlign w:val="center"/>
          </w:tcPr>
          <w:p>
            <w:pPr>
              <w:tabs>
                <w:tab w:val="left" w:pos="720"/>
              </w:tabs>
              <w:jc w:val="center"/>
              <w:rPr>
                <w:rFonts w:hint="eastAsia" w:ascii="仿宋_GB2312" w:eastAsia="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40" w:hRule="atLeast"/>
        </w:trPr>
        <w:tc>
          <w:tcPr>
            <w:tcW w:w="8157" w:type="dxa"/>
            <w:gridSpan w:val="6"/>
            <w:tcBorders>
              <w:top w:val="single" w:color="auto" w:sz="4" w:space="0"/>
              <w:right w:val="single" w:color="auto" w:sz="4" w:space="0"/>
            </w:tcBorders>
            <w:noWrap w:val="0"/>
            <w:vAlign w:val="top"/>
          </w:tcPr>
          <w:p>
            <w:pPr>
              <w:tabs>
                <w:tab w:val="left" w:pos="720"/>
              </w:tabs>
              <w:spacing w:line="500" w:lineRule="exact"/>
              <w:ind w:firstLine="235" w:firstLineChars="98"/>
              <w:rPr>
                <w:rFonts w:hint="eastAsia" w:ascii="楷体_GB2312" w:hAnsi="宋体" w:eastAsia="楷体_GB2312"/>
                <w:b/>
                <w:szCs w:val="21"/>
              </w:rPr>
            </w:pPr>
            <w:r>
              <w:rPr>
                <w:rFonts w:hint="eastAsia" w:ascii="楷体_GB2312" w:hAnsi="宋体" w:eastAsia="楷体_GB2312"/>
                <w:b/>
                <w:szCs w:val="21"/>
              </w:rPr>
              <w:t>总报价合计（万元）：大写</w:t>
            </w:r>
          </w:p>
        </w:tc>
        <w:tc>
          <w:tcPr>
            <w:tcW w:w="1203" w:type="dxa"/>
            <w:tcBorders>
              <w:top w:val="single" w:color="auto" w:sz="4" w:space="0"/>
              <w:left w:val="single" w:color="auto" w:sz="4" w:space="0"/>
            </w:tcBorders>
            <w:noWrap w:val="0"/>
            <w:vAlign w:val="top"/>
          </w:tcPr>
          <w:p>
            <w:pPr>
              <w:tabs>
                <w:tab w:val="left" w:pos="720"/>
              </w:tabs>
              <w:spacing w:line="500" w:lineRule="exact"/>
              <w:rPr>
                <w:rFonts w:hint="eastAsia" w:ascii="楷体_GB2312" w:hAnsi="宋体" w:eastAsia="楷体_GB2312"/>
                <w:b/>
                <w:szCs w:val="21"/>
              </w:rPr>
            </w:pPr>
          </w:p>
        </w:tc>
      </w:tr>
    </w:tbl>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乙方为履行本合同而发生的所有费用均应包含在合同价中，甲方不再另行支付其它任何费用。</w:t>
      </w:r>
    </w:p>
    <w:p>
      <w:pPr>
        <w:pStyle w:val="6"/>
        <w:spacing w:before="0" w:after="0"/>
        <w:ind w:left="718" w:leftChars="75" w:hanging="538"/>
        <w:rPr>
          <w:rFonts w:hint="eastAsia" w:ascii="Times New Roman" w:hAnsi="Times New Roman" w:eastAsia="宋体"/>
          <w:sz w:val="30"/>
          <w:szCs w:val="30"/>
        </w:rPr>
      </w:pPr>
      <w:bookmarkStart w:id="133" w:name="_Toc456345907"/>
      <w:bookmarkStart w:id="134" w:name="_Toc269217276"/>
      <w:bookmarkStart w:id="135" w:name="_Toc15932"/>
      <w:r>
        <w:rPr>
          <w:rFonts w:hint="eastAsia" w:ascii="Times New Roman" w:hAnsi="Times New Roman" w:eastAsia="宋体"/>
          <w:sz w:val="30"/>
          <w:szCs w:val="30"/>
        </w:rPr>
        <w:t>第二条  项目</w:t>
      </w:r>
      <w:bookmarkEnd w:id="133"/>
      <w:bookmarkEnd w:id="134"/>
      <w:bookmarkEnd w:id="135"/>
      <w:r>
        <w:rPr>
          <w:rFonts w:hint="eastAsia" w:ascii="Times New Roman" w:hAnsi="Times New Roman" w:eastAsia="宋体"/>
          <w:sz w:val="30"/>
          <w:szCs w:val="30"/>
        </w:rPr>
        <w:t>工期</w:t>
      </w:r>
    </w:p>
    <w:p>
      <w:pPr>
        <w:spacing w:line="440" w:lineRule="exact"/>
        <w:ind w:firstLine="480" w:firstLineChars="200"/>
        <w:rPr>
          <w:rFonts w:hint="eastAsia" w:ascii="宋体" w:hAnsi="宋体"/>
          <w:color w:val="FF0000"/>
        </w:rPr>
      </w:pPr>
      <w:r>
        <w:rPr>
          <w:rFonts w:ascii="??_GB2312" w:hAnsi="仿宋" w:eastAsia="Times New Roman" w:cs="仿宋"/>
          <w:szCs w:val="24"/>
        </w:rPr>
        <w:t>签订合同</w:t>
      </w:r>
      <w:r>
        <w:rPr>
          <w:rFonts w:ascii="??_GB2312" w:hAnsi="仿宋" w:eastAsia="Times New Roman" w:cs="仿宋"/>
          <w:color w:val="auto"/>
          <w:szCs w:val="24"/>
        </w:rPr>
        <w:t>后</w:t>
      </w:r>
      <w:r>
        <w:rPr>
          <w:rFonts w:hint="eastAsia" w:ascii="??_GB2312" w:hAnsi="仿宋" w:cs="仿宋"/>
          <w:color w:val="auto"/>
          <w:szCs w:val="24"/>
        </w:rPr>
        <w:t>9</w:t>
      </w:r>
      <w:r>
        <w:rPr>
          <w:rFonts w:ascii="??_GB2312" w:hAnsi="仿宋" w:eastAsia="Times New Roman" w:cs="仿宋"/>
          <w:color w:val="auto"/>
          <w:szCs w:val="24"/>
        </w:rPr>
        <w:t>0天内完</w:t>
      </w:r>
      <w:r>
        <w:rPr>
          <w:rFonts w:ascii="??_GB2312" w:hAnsi="仿宋" w:eastAsia="Times New Roman" w:cs="仿宋"/>
          <w:szCs w:val="24"/>
        </w:rPr>
        <w:t>成全部建设任务，并通过</w:t>
      </w:r>
      <w:r>
        <w:rPr>
          <w:rFonts w:hint="eastAsia" w:ascii="??_GB2312" w:hAnsi="仿宋" w:cs="仿宋"/>
          <w:szCs w:val="24"/>
        </w:rPr>
        <w:t>验收</w:t>
      </w:r>
      <w:r>
        <w:rPr>
          <w:rFonts w:ascii="??_GB2312" w:hAnsi="仿宋" w:eastAsia="Times New Roman" w:cs="仿宋"/>
          <w:szCs w:val="24"/>
        </w:rPr>
        <w:t>，并进入1个月的试运行</w:t>
      </w:r>
      <w:r>
        <w:rPr>
          <w:rFonts w:hint="eastAsia" w:ascii="??_GB2312" w:hAnsi="仿宋" w:cs="仿宋"/>
          <w:szCs w:val="24"/>
        </w:rPr>
        <w:t>。</w:t>
      </w:r>
    </w:p>
    <w:p>
      <w:pPr>
        <w:pStyle w:val="6"/>
        <w:spacing w:before="0" w:after="0"/>
        <w:ind w:left="718" w:leftChars="75" w:hanging="538"/>
        <w:rPr>
          <w:rFonts w:hint="eastAsia" w:ascii="Times New Roman" w:hAnsi="Times New Roman" w:eastAsia="宋体"/>
          <w:sz w:val="30"/>
          <w:szCs w:val="30"/>
        </w:rPr>
      </w:pPr>
      <w:bookmarkStart w:id="136" w:name="_Toc269217277"/>
      <w:bookmarkStart w:id="137" w:name="_Toc18663"/>
      <w:bookmarkStart w:id="138" w:name="_Toc456345908"/>
      <w:r>
        <w:rPr>
          <w:rFonts w:hint="eastAsia" w:ascii="Times New Roman" w:hAnsi="Times New Roman" w:eastAsia="宋体"/>
          <w:sz w:val="30"/>
          <w:szCs w:val="30"/>
        </w:rPr>
        <w:t>第三条  质保</w:t>
      </w:r>
      <w:bookmarkEnd w:id="136"/>
      <w:bookmarkEnd w:id="137"/>
      <w:bookmarkEnd w:id="138"/>
    </w:p>
    <w:p>
      <w:pPr>
        <w:pStyle w:val="42"/>
        <w:adjustRightInd w:val="0"/>
        <w:snapToGrid w:val="0"/>
        <w:spacing w:line="460" w:lineRule="exact"/>
        <w:ind w:firstLine="480" w:firstLineChars="200"/>
        <w:rPr>
          <w:rFonts w:hint="eastAsia" w:hAnsi="宋体"/>
          <w:sz w:val="24"/>
          <w:szCs w:val="24"/>
        </w:rPr>
      </w:pPr>
      <w:r>
        <w:rPr>
          <w:rFonts w:hint="eastAsia" w:hAnsi="宋体"/>
          <w:sz w:val="24"/>
          <w:szCs w:val="24"/>
        </w:rPr>
        <w:t>项</w:t>
      </w:r>
      <w:r>
        <w:rPr>
          <w:rFonts w:hint="eastAsia" w:hAnsi="宋体"/>
          <w:color w:val="auto"/>
          <w:sz w:val="24"/>
          <w:szCs w:val="24"/>
        </w:rPr>
        <w:t>目试运行并通过验</w:t>
      </w:r>
      <w:r>
        <w:rPr>
          <w:rFonts w:hint="eastAsia" w:hAnsi="宋体"/>
          <w:sz w:val="24"/>
          <w:szCs w:val="24"/>
        </w:rPr>
        <w:t>收合格后，需提供3年免费维保，免费维护期内应达到如下要求：</w:t>
      </w:r>
    </w:p>
    <w:p>
      <w:pPr>
        <w:pStyle w:val="42"/>
        <w:adjustRightInd w:val="0"/>
        <w:snapToGrid w:val="0"/>
        <w:spacing w:line="460" w:lineRule="exact"/>
        <w:ind w:firstLine="480" w:firstLineChars="200"/>
        <w:rPr>
          <w:rFonts w:hint="eastAsia" w:hAnsi="宋体"/>
          <w:sz w:val="24"/>
          <w:szCs w:val="24"/>
        </w:rPr>
      </w:pPr>
      <w:r>
        <w:rPr>
          <w:rFonts w:hint="eastAsia" w:hAnsi="宋体"/>
          <w:sz w:val="24"/>
          <w:szCs w:val="24"/>
        </w:rPr>
        <w:t>3.1投标人须按照采购人要求，提供上门服务或者其他方式的服务。</w:t>
      </w:r>
    </w:p>
    <w:p>
      <w:pPr>
        <w:pStyle w:val="42"/>
        <w:adjustRightInd w:val="0"/>
        <w:snapToGrid w:val="0"/>
        <w:spacing w:line="460" w:lineRule="exact"/>
        <w:ind w:firstLine="480" w:firstLineChars="200"/>
        <w:rPr>
          <w:rFonts w:hint="eastAsia" w:hAnsi="宋体"/>
          <w:sz w:val="24"/>
          <w:szCs w:val="24"/>
        </w:rPr>
      </w:pPr>
      <w:r>
        <w:rPr>
          <w:rFonts w:hint="eastAsia" w:hAnsi="宋体"/>
          <w:sz w:val="24"/>
          <w:szCs w:val="24"/>
        </w:rPr>
        <w:t>3.2投标人须提供免费的升级、重大安保工作的现场技术支持等的服务，升级方式为上门或远程服务。</w:t>
      </w:r>
    </w:p>
    <w:p>
      <w:pPr>
        <w:pStyle w:val="42"/>
        <w:adjustRightInd w:val="0"/>
        <w:snapToGrid w:val="0"/>
        <w:spacing w:line="460" w:lineRule="exact"/>
        <w:ind w:firstLine="480" w:firstLineChars="200"/>
        <w:rPr>
          <w:rFonts w:hint="eastAsia" w:hAnsi="宋体"/>
          <w:sz w:val="24"/>
          <w:szCs w:val="24"/>
        </w:rPr>
      </w:pPr>
      <w:r>
        <w:rPr>
          <w:rFonts w:hint="eastAsia" w:hAnsi="宋体"/>
          <w:sz w:val="24"/>
          <w:szCs w:val="24"/>
        </w:rPr>
        <w:t>3.3为采购人提供技术支持，其中包括系统维护、跟踪检测，保证投标产品的正常运行。</w:t>
      </w:r>
    </w:p>
    <w:p>
      <w:pPr>
        <w:pStyle w:val="6"/>
        <w:spacing w:before="0" w:after="0"/>
        <w:ind w:left="718" w:leftChars="75" w:hanging="538"/>
        <w:rPr>
          <w:rFonts w:hint="eastAsia" w:ascii="Times New Roman" w:hAnsi="Times New Roman" w:eastAsia="宋体"/>
          <w:sz w:val="30"/>
          <w:szCs w:val="30"/>
        </w:rPr>
      </w:pPr>
      <w:bookmarkStart w:id="139" w:name="_Toc25232"/>
      <w:bookmarkStart w:id="140" w:name="_Toc269217278"/>
      <w:bookmarkStart w:id="141" w:name="_Toc456345909"/>
      <w:r>
        <w:rPr>
          <w:rFonts w:hint="eastAsia" w:ascii="Times New Roman" w:hAnsi="Times New Roman" w:eastAsia="宋体"/>
          <w:sz w:val="30"/>
          <w:szCs w:val="30"/>
        </w:rPr>
        <w:t>第四条  售后服务</w:t>
      </w:r>
      <w:bookmarkEnd w:id="139"/>
      <w:bookmarkEnd w:id="140"/>
      <w:bookmarkEnd w:id="141"/>
    </w:p>
    <w:p>
      <w:pPr>
        <w:pStyle w:val="42"/>
        <w:adjustRightInd w:val="0"/>
        <w:snapToGrid w:val="0"/>
        <w:spacing w:line="460" w:lineRule="exact"/>
        <w:ind w:firstLine="511" w:firstLineChars="213"/>
        <w:rPr>
          <w:rFonts w:hint="eastAsia" w:hAnsi="宋体"/>
          <w:sz w:val="24"/>
          <w:szCs w:val="24"/>
        </w:rPr>
      </w:pPr>
      <w:r>
        <w:rPr>
          <w:rFonts w:hint="eastAsia" w:hAnsi="宋体"/>
          <w:sz w:val="24"/>
          <w:szCs w:val="24"/>
        </w:rPr>
        <w:t>4.1 乙方保证本合同中所提供的系统和服务能符合国家技术规范和质量标准。如与合同不符，甲方（使用方）有权要求改正，乙方需无条件满足，由此产生的一切责任和后果由乙方承担。</w:t>
      </w:r>
    </w:p>
    <w:p>
      <w:pPr>
        <w:pStyle w:val="42"/>
        <w:adjustRightInd w:val="0"/>
        <w:snapToGrid w:val="0"/>
        <w:spacing w:line="460" w:lineRule="exact"/>
        <w:ind w:firstLine="511" w:firstLineChars="213"/>
        <w:rPr>
          <w:rFonts w:hint="eastAsia" w:hAnsi="宋体"/>
          <w:sz w:val="24"/>
          <w:szCs w:val="24"/>
        </w:rPr>
      </w:pPr>
      <w:r>
        <w:rPr>
          <w:rFonts w:hint="eastAsia" w:hAnsi="宋体"/>
          <w:sz w:val="24"/>
          <w:szCs w:val="24"/>
        </w:rPr>
        <w:t>4.2在质保期内因系统本身的质量问题发生故障，乙方应负责免费维护。对达不到技术要求者，根据实际情况，经双方协商决定。</w:t>
      </w:r>
    </w:p>
    <w:p>
      <w:pPr>
        <w:pStyle w:val="42"/>
        <w:adjustRightInd w:val="0"/>
        <w:snapToGrid w:val="0"/>
        <w:spacing w:line="460" w:lineRule="exact"/>
        <w:ind w:firstLine="511" w:firstLineChars="213"/>
        <w:rPr>
          <w:rFonts w:hint="eastAsia" w:hAnsi="宋体"/>
          <w:sz w:val="24"/>
          <w:szCs w:val="24"/>
        </w:rPr>
      </w:pPr>
      <w:r>
        <w:rPr>
          <w:rFonts w:hint="eastAsia" w:hAnsi="宋体"/>
          <w:sz w:val="24"/>
          <w:szCs w:val="24"/>
        </w:rPr>
        <w:t>4.3 在质保期内，乙方应对系统及服务的质量及安全问题负责处理解决并承担一切费用。</w:t>
      </w:r>
    </w:p>
    <w:p>
      <w:pPr>
        <w:autoSpaceDE w:val="0"/>
        <w:autoSpaceDN w:val="0"/>
        <w:adjustRightInd w:val="0"/>
        <w:spacing w:line="360" w:lineRule="auto"/>
        <w:ind w:firstLine="480" w:firstLineChars="200"/>
        <w:rPr>
          <w:rFonts w:hint="eastAsia" w:ascii="宋体" w:hAnsi="宋体"/>
          <w:szCs w:val="24"/>
        </w:rPr>
      </w:pPr>
      <w:r>
        <w:rPr>
          <w:rFonts w:hint="eastAsia" w:ascii="宋体" w:hAnsi="宋体"/>
          <w:szCs w:val="24"/>
        </w:rPr>
        <w:t>4.4 本项目在质保期内免费保修，因人为因素出现的故障不在免费保修范围内。超过保修期，维修时只收维护成本费。</w:t>
      </w:r>
    </w:p>
    <w:p>
      <w:pPr>
        <w:pStyle w:val="6"/>
        <w:spacing w:before="0" w:after="0"/>
        <w:ind w:left="718" w:leftChars="75" w:hanging="538"/>
        <w:rPr>
          <w:rFonts w:ascii="Times New Roman" w:hAnsi="Times New Roman" w:eastAsia="宋体"/>
          <w:sz w:val="30"/>
          <w:szCs w:val="30"/>
        </w:rPr>
      </w:pPr>
      <w:bookmarkStart w:id="142" w:name="_Toc456345910"/>
      <w:r>
        <w:rPr>
          <w:rFonts w:hint="eastAsia" w:ascii="Times New Roman" w:hAnsi="Times New Roman" w:eastAsia="宋体"/>
          <w:sz w:val="30"/>
          <w:szCs w:val="30"/>
        </w:rPr>
        <w:t>第五条  保密要求</w:t>
      </w:r>
      <w:bookmarkEnd w:id="142"/>
    </w:p>
    <w:p>
      <w:pPr>
        <w:pStyle w:val="42"/>
        <w:adjustRightInd w:val="0"/>
        <w:snapToGrid w:val="0"/>
        <w:spacing w:line="460" w:lineRule="exact"/>
        <w:ind w:firstLine="511" w:firstLineChars="213"/>
        <w:rPr>
          <w:rFonts w:hAnsi="宋体"/>
          <w:sz w:val="24"/>
          <w:szCs w:val="24"/>
        </w:rPr>
      </w:pPr>
      <w:r>
        <w:rPr>
          <w:rFonts w:hint="eastAsia" w:hAnsi="宋体"/>
          <w:sz w:val="24"/>
          <w:szCs w:val="24"/>
        </w:rPr>
        <w:t>5.1 在项目开发过程和系统运行过程中，投标人所获得的、有关采购人或属于采购人的商业秘密包括生产管理的方式方法与资料、产品技术资料、客户名单、销售渠道、企业战略及其他被认为是秘密的信息，未经采购人同意，不得泄露给任何第三方。</w:t>
      </w:r>
    </w:p>
    <w:p>
      <w:pPr>
        <w:pStyle w:val="42"/>
        <w:adjustRightInd w:val="0"/>
        <w:snapToGrid w:val="0"/>
        <w:spacing w:line="460" w:lineRule="exact"/>
        <w:ind w:firstLine="511" w:firstLineChars="213"/>
        <w:rPr>
          <w:rFonts w:hAnsi="宋体"/>
          <w:sz w:val="24"/>
          <w:szCs w:val="24"/>
        </w:rPr>
      </w:pPr>
      <w:r>
        <w:rPr>
          <w:rFonts w:hint="eastAsia" w:hAnsi="宋体"/>
          <w:sz w:val="24"/>
          <w:szCs w:val="24"/>
        </w:rPr>
        <w:t>5.2 任何一方为本项目需要，向任何人透露有关资料或信息且认为是其秘密信息，应事先予以注明。</w:t>
      </w:r>
    </w:p>
    <w:p>
      <w:pPr>
        <w:pStyle w:val="42"/>
        <w:adjustRightInd w:val="0"/>
        <w:snapToGrid w:val="0"/>
        <w:spacing w:line="460" w:lineRule="exact"/>
        <w:ind w:firstLine="511" w:firstLineChars="213"/>
        <w:rPr>
          <w:rFonts w:hAnsi="宋体"/>
          <w:sz w:val="24"/>
          <w:szCs w:val="24"/>
        </w:rPr>
      </w:pPr>
      <w:r>
        <w:rPr>
          <w:rFonts w:hint="eastAsia" w:hAnsi="宋体"/>
          <w:sz w:val="24"/>
          <w:szCs w:val="24"/>
        </w:rPr>
        <w:t>5.3 上述秘密信息，投标人只能将该信息用于服务于本项目，而且只能由相应的工程技术人员使用。</w:t>
      </w:r>
    </w:p>
    <w:p>
      <w:pPr>
        <w:pStyle w:val="42"/>
        <w:adjustRightInd w:val="0"/>
        <w:snapToGrid w:val="0"/>
        <w:spacing w:line="460" w:lineRule="exact"/>
        <w:ind w:firstLine="511" w:firstLineChars="213"/>
        <w:rPr>
          <w:rFonts w:hAnsi="宋体"/>
          <w:sz w:val="24"/>
          <w:szCs w:val="24"/>
        </w:rPr>
      </w:pPr>
      <w:r>
        <w:rPr>
          <w:rFonts w:hint="eastAsia" w:hAnsi="宋体"/>
          <w:sz w:val="24"/>
          <w:szCs w:val="24"/>
        </w:rPr>
        <w:t>5.4 投标人应遵循采购人各项安全保密制度和规章，所有信息数据在迁移、处理等过程中严禁私自复制、传输，完成建设任务后，档案信息数据必须物理清除。</w:t>
      </w:r>
    </w:p>
    <w:p>
      <w:pPr>
        <w:pStyle w:val="42"/>
        <w:adjustRightInd w:val="0"/>
        <w:snapToGrid w:val="0"/>
        <w:spacing w:line="460" w:lineRule="exact"/>
        <w:ind w:firstLine="511" w:firstLineChars="213"/>
        <w:rPr>
          <w:rFonts w:hint="eastAsia" w:hAnsi="宋体"/>
          <w:sz w:val="24"/>
          <w:szCs w:val="24"/>
        </w:rPr>
      </w:pPr>
      <w:r>
        <w:rPr>
          <w:rFonts w:hint="eastAsia" w:hAnsi="宋体"/>
          <w:sz w:val="24"/>
          <w:szCs w:val="24"/>
        </w:rPr>
        <w:t>在投标文件中应对该项内容提交书面承诺书，作为签定项目保密合同的依据，并作为合同密不可分的一部分。</w:t>
      </w:r>
    </w:p>
    <w:p>
      <w:pPr>
        <w:pStyle w:val="6"/>
        <w:spacing w:before="0" w:after="0"/>
        <w:ind w:left="718" w:leftChars="75" w:hanging="538"/>
        <w:rPr>
          <w:rFonts w:hint="eastAsia" w:ascii="Times New Roman" w:hAnsi="Times New Roman" w:eastAsia="宋体"/>
          <w:color w:val="auto"/>
          <w:sz w:val="30"/>
          <w:szCs w:val="30"/>
        </w:rPr>
      </w:pPr>
      <w:bookmarkStart w:id="143" w:name="_Toc269217280"/>
      <w:bookmarkStart w:id="144" w:name="_Toc28298"/>
      <w:bookmarkStart w:id="145" w:name="_Toc456345911"/>
      <w:r>
        <w:rPr>
          <w:rFonts w:hint="eastAsia" w:ascii="Times New Roman" w:hAnsi="Times New Roman" w:eastAsia="宋体"/>
          <w:color w:val="auto"/>
          <w:sz w:val="30"/>
          <w:szCs w:val="30"/>
        </w:rPr>
        <w:t>第六条  付款方式</w:t>
      </w:r>
      <w:bookmarkEnd w:id="143"/>
      <w:bookmarkEnd w:id="144"/>
      <w:bookmarkEnd w:id="145"/>
    </w:p>
    <w:p>
      <w:pPr>
        <w:pStyle w:val="42"/>
        <w:adjustRightInd w:val="0"/>
        <w:snapToGrid w:val="0"/>
        <w:spacing w:line="460" w:lineRule="exact"/>
        <w:ind w:firstLine="511" w:firstLineChars="213"/>
        <w:rPr>
          <w:rFonts w:hint="eastAsia" w:hAnsi="宋体" w:eastAsia="宋体"/>
          <w:color w:val="auto"/>
          <w:sz w:val="24"/>
          <w:szCs w:val="24"/>
          <w:lang w:val="en-US" w:eastAsia="zh-CN"/>
        </w:rPr>
      </w:pPr>
      <w:bookmarkStart w:id="146" w:name="_Toc269217281"/>
      <w:bookmarkStart w:id="147" w:name="_Toc28139"/>
      <w:bookmarkStart w:id="148" w:name="_Toc456345912"/>
      <w:r>
        <w:rPr>
          <w:rFonts w:hint="eastAsia" w:hAnsi="宋体"/>
          <w:color w:val="auto"/>
          <w:sz w:val="24"/>
          <w:szCs w:val="24"/>
          <w:lang w:val="zh-CN"/>
        </w:rPr>
        <w:t>6.1合同签订时乙方向甲方支付合同金额的</w:t>
      </w:r>
      <w:r>
        <w:rPr>
          <w:rFonts w:hint="eastAsia" w:hAnsi="宋体"/>
          <w:color w:val="auto"/>
          <w:sz w:val="24"/>
          <w:szCs w:val="24"/>
        </w:rPr>
        <w:t>2%为本项目的履约保证金，验收合格后转为质保金，质保期满后无质量问题7个工作日内（无息）退还</w:t>
      </w:r>
      <w:r>
        <w:rPr>
          <w:rFonts w:hint="eastAsia" w:hAnsi="宋体"/>
          <w:color w:val="auto"/>
          <w:sz w:val="24"/>
          <w:szCs w:val="24"/>
          <w:lang w:eastAsia="zh-CN"/>
        </w:rPr>
        <w:t>。</w:t>
      </w:r>
    </w:p>
    <w:p>
      <w:pPr>
        <w:pStyle w:val="42"/>
        <w:adjustRightInd w:val="0"/>
        <w:snapToGrid w:val="0"/>
        <w:spacing w:line="460" w:lineRule="exact"/>
        <w:ind w:firstLine="511" w:firstLineChars="213"/>
        <w:rPr>
          <w:rFonts w:hint="eastAsia" w:hAnsi="宋体"/>
          <w:color w:val="auto"/>
          <w:sz w:val="24"/>
          <w:szCs w:val="24"/>
        </w:rPr>
      </w:pPr>
      <w:r>
        <w:rPr>
          <w:rFonts w:hint="eastAsia" w:hAnsi="宋体" w:cs="宋体"/>
          <w:color w:val="auto"/>
          <w:kern w:val="0"/>
          <w:sz w:val="24"/>
          <w:szCs w:val="24"/>
        </w:rPr>
        <w:t>6.2</w:t>
      </w:r>
      <w:r>
        <w:rPr>
          <w:rFonts w:hint="eastAsia" w:hAnsi="宋体"/>
          <w:color w:val="auto"/>
          <w:sz w:val="24"/>
          <w:szCs w:val="24"/>
        </w:rPr>
        <w:t>第一阶段：在合同签订以后，主要设备到货经查验，在</w:t>
      </w:r>
      <w:r>
        <w:rPr>
          <w:rFonts w:hint="eastAsia" w:hAnsi="宋体"/>
          <w:color w:val="auto"/>
          <w:sz w:val="24"/>
          <w:szCs w:val="24"/>
          <w:lang w:val="en-US" w:eastAsia="zh-CN"/>
        </w:rPr>
        <w:t>7</w:t>
      </w:r>
      <w:r>
        <w:rPr>
          <w:rFonts w:hint="eastAsia" w:hAnsi="宋体"/>
          <w:color w:val="auto"/>
          <w:sz w:val="24"/>
          <w:szCs w:val="24"/>
        </w:rPr>
        <w:t>个工作日内支付合同总额的40%；</w:t>
      </w:r>
    </w:p>
    <w:p>
      <w:pPr>
        <w:pStyle w:val="42"/>
        <w:adjustRightInd w:val="0"/>
        <w:snapToGrid w:val="0"/>
        <w:spacing w:line="460" w:lineRule="exact"/>
        <w:ind w:firstLine="508" w:firstLineChars="212"/>
        <w:rPr>
          <w:rFonts w:hint="eastAsia" w:hAnsi="宋体"/>
          <w:color w:val="auto"/>
          <w:sz w:val="24"/>
          <w:szCs w:val="24"/>
        </w:rPr>
      </w:pPr>
      <w:r>
        <w:rPr>
          <w:rFonts w:hint="eastAsia" w:hAnsi="宋体"/>
          <w:color w:val="auto"/>
          <w:sz w:val="24"/>
          <w:szCs w:val="24"/>
        </w:rPr>
        <w:t>6.3第二阶段：项目验收合格后</w:t>
      </w:r>
      <w:r>
        <w:rPr>
          <w:rFonts w:hint="eastAsia" w:hAnsi="宋体"/>
          <w:color w:val="auto"/>
          <w:sz w:val="24"/>
          <w:szCs w:val="24"/>
          <w:lang w:val="en-US" w:eastAsia="zh-CN"/>
        </w:rPr>
        <w:t>7</w:t>
      </w:r>
      <w:r>
        <w:rPr>
          <w:rFonts w:hint="eastAsia" w:hAnsi="宋体"/>
          <w:color w:val="auto"/>
          <w:sz w:val="24"/>
          <w:szCs w:val="24"/>
        </w:rPr>
        <w:t>个工作日内支付余款；</w:t>
      </w:r>
    </w:p>
    <w:p>
      <w:pPr>
        <w:pStyle w:val="42"/>
        <w:adjustRightInd w:val="0"/>
        <w:snapToGrid w:val="0"/>
        <w:spacing w:line="460" w:lineRule="exact"/>
        <w:ind w:firstLine="511" w:firstLineChars="213"/>
        <w:rPr>
          <w:rFonts w:hint="eastAsia" w:hAnsi="宋体"/>
          <w:sz w:val="24"/>
          <w:szCs w:val="24"/>
        </w:rPr>
      </w:pPr>
    </w:p>
    <w:p>
      <w:pPr>
        <w:pStyle w:val="6"/>
        <w:spacing w:before="0" w:after="0"/>
        <w:ind w:left="718" w:leftChars="75" w:hanging="538"/>
        <w:rPr>
          <w:rFonts w:hint="eastAsia" w:ascii="Times New Roman" w:hAnsi="Times New Roman" w:eastAsia="宋体"/>
          <w:sz w:val="30"/>
          <w:szCs w:val="30"/>
        </w:rPr>
      </w:pPr>
      <w:r>
        <w:rPr>
          <w:rFonts w:hint="eastAsia" w:ascii="Times New Roman" w:hAnsi="Times New Roman" w:eastAsia="宋体"/>
          <w:sz w:val="30"/>
          <w:szCs w:val="30"/>
        </w:rPr>
        <w:t>第七条  违约责任</w:t>
      </w:r>
      <w:bookmarkEnd w:id="146"/>
      <w:bookmarkEnd w:id="147"/>
      <w:bookmarkEnd w:id="148"/>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6.1 如乙方在合同期间未能达到甲方的招标文件所明示的产品采购要求的，甲方有权中止合同，并要求乙方退还已支付款项。</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6.2 甲方未按约定时间及时付款（有正当理由的除外），每超期一天，甲方支付违约金</w:t>
      </w:r>
      <w:r>
        <w:rPr>
          <w:rFonts w:hint="eastAsia" w:ascii="宋体" w:hAnsi="宋体"/>
          <w:kern w:val="0"/>
        </w:rPr>
        <w:t>5</w:t>
      </w:r>
      <w:r>
        <w:rPr>
          <w:rFonts w:hint="eastAsia" w:ascii="宋体" w:hAnsi="宋体"/>
          <w:kern w:val="0"/>
          <w:lang w:val="zh-CN"/>
        </w:rPr>
        <w:t>00元。</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6.3 乙方未按约定时间完成工程建设（有正当理由的除外），每超期一</w:t>
      </w:r>
      <w:r>
        <w:rPr>
          <w:rFonts w:hint="eastAsia" w:ascii="宋体" w:hAnsi="宋体"/>
          <w:kern w:val="0"/>
          <w:sz w:val="28"/>
          <w:lang w:val="zh-CN"/>
        </w:rPr>
        <w:t>天，</w:t>
      </w:r>
      <w:r>
        <w:rPr>
          <w:rFonts w:hint="eastAsia" w:ascii="宋体" w:hAnsi="宋体"/>
          <w:kern w:val="0"/>
          <w:lang w:val="zh-CN"/>
        </w:rPr>
        <w:t>乙方支付违约金</w:t>
      </w:r>
      <w:r>
        <w:rPr>
          <w:rFonts w:hint="eastAsia" w:ascii="宋体" w:hAnsi="宋体"/>
          <w:kern w:val="0"/>
        </w:rPr>
        <w:t>5</w:t>
      </w:r>
      <w:r>
        <w:rPr>
          <w:rFonts w:hint="eastAsia" w:ascii="宋体" w:hAnsi="宋体"/>
          <w:kern w:val="0"/>
          <w:lang w:val="zh-CN"/>
        </w:rPr>
        <w:t>00元。</w:t>
      </w:r>
    </w:p>
    <w:p>
      <w:pPr>
        <w:pStyle w:val="6"/>
        <w:spacing w:before="0" w:after="0"/>
        <w:ind w:left="718" w:leftChars="75" w:hanging="538"/>
        <w:rPr>
          <w:rFonts w:hint="eastAsia" w:ascii="Times New Roman" w:hAnsi="Times New Roman" w:eastAsia="宋体"/>
          <w:sz w:val="30"/>
          <w:szCs w:val="30"/>
        </w:rPr>
      </w:pPr>
      <w:bookmarkStart w:id="149" w:name="_Toc269217282"/>
      <w:bookmarkStart w:id="150" w:name="_Toc456345913"/>
      <w:bookmarkStart w:id="151" w:name="_Toc15180"/>
      <w:r>
        <w:rPr>
          <w:rFonts w:hint="eastAsia" w:ascii="Times New Roman" w:hAnsi="Times New Roman" w:eastAsia="宋体"/>
          <w:sz w:val="30"/>
          <w:szCs w:val="30"/>
        </w:rPr>
        <w:t>第八条 合同相关文件</w:t>
      </w:r>
      <w:bookmarkEnd w:id="149"/>
      <w:bookmarkEnd w:id="150"/>
      <w:bookmarkEnd w:id="151"/>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有关本次采购项目的采购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pPr>
        <w:pStyle w:val="6"/>
        <w:spacing w:before="0" w:after="0"/>
        <w:ind w:left="718" w:leftChars="75" w:hanging="538"/>
        <w:rPr>
          <w:rFonts w:hint="eastAsia" w:ascii="Times New Roman" w:hAnsi="Times New Roman" w:eastAsia="宋体"/>
          <w:sz w:val="30"/>
          <w:szCs w:val="30"/>
        </w:rPr>
      </w:pPr>
      <w:bookmarkStart w:id="152" w:name="_Toc456345914"/>
      <w:r>
        <w:rPr>
          <w:rFonts w:hint="eastAsia" w:ascii="Times New Roman" w:hAnsi="Times New Roman" w:eastAsia="宋体"/>
          <w:sz w:val="30"/>
          <w:szCs w:val="30"/>
        </w:rPr>
        <w:t>第九条  争议解决</w:t>
      </w:r>
      <w:bookmarkEnd w:id="152"/>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本合同在履行中若发生争议，双方应协商解决。协商不成时，按下列二种方式处理：</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(1)提交绍兴市仲裁委员会仲裁。      (2)依法向人民法院起诉。</w:t>
      </w:r>
    </w:p>
    <w:p>
      <w:pPr>
        <w:pStyle w:val="6"/>
        <w:spacing w:before="0" w:after="0"/>
        <w:ind w:left="718" w:leftChars="75" w:hanging="538"/>
        <w:rPr>
          <w:rFonts w:hint="eastAsia" w:ascii="Times New Roman" w:hAnsi="Times New Roman" w:eastAsia="宋体"/>
          <w:sz w:val="30"/>
          <w:szCs w:val="30"/>
        </w:rPr>
      </w:pPr>
      <w:bookmarkStart w:id="153" w:name="_Toc456345915"/>
      <w:r>
        <w:rPr>
          <w:rFonts w:hint="eastAsia" w:ascii="Times New Roman" w:hAnsi="Times New Roman" w:eastAsia="宋体"/>
          <w:sz w:val="30"/>
          <w:szCs w:val="30"/>
        </w:rPr>
        <w:t>第十条 免责条款</w:t>
      </w:r>
      <w:bookmarkEnd w:id="153"/>
    </w:p>
    <w:p>
      <w:pPr>
        <w:spacing w:line="360" w:lineRule="auto"/>
        <w:ind w:firstLine="480" w:firstLineChars="200"/>
        <w:rPr>
          <w:rFonts w:hint="eastAsia" w:ascii="宋体" w:hAnsi="宋体"/>
        </w:rPr>
      </w:pPr>
      <w:r>
        <w:rPr>
          <w:rFonts w:hint="eastAsia" w:ascii="宋体" w:hAnsi="宋体"/>
        </w:rPr>
        <w:t>因自然灾害和不可抗力因素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pPr>
        <w:pStyle w:val="6"/>
        <w:spacing w:before="0" w:after="0"/>
        <w:ind w:left="718" w:leftChars="75" w:hanging="538"/>
        <w:rPr>
          <w:rFonts w:hint="eastAsia" w:ascii="Times New Roman" w:hAnsi="Times New Roman" w:eastAsia="宋体"/>
          <w:sz w:val="30"/>
          <w:szCs w:val="30"/>
        </w:rPr>
      </w:pPr>
      <w:bookmarkStart w:id="154" w:name="_Toc456345916"/>
      <w:r>
        <w:rPr>
          <w:rFonts w:hint="eastAsia" w:ascii="Times New Roman" w:hAnsi="Times New Roman" w:eastAsia="宋体"/>
          <w:sz w:val="30"/>
          <w:szCs w:val="30"/>
        </w:rPr>
        <w:t>第十一条 协议的有效期限</w:t>
      </w:r>
      <w:bookmarkEnd w:id="154"/>
    </w:p>
    <w:p>
      <w:pPr>
        <w:spacing w:line="360" w:lineRule="auto"/>
        <w:ind w:firstLine="480" w:firstLineChars="200"/>
        <w:rPr>
          <w:rFonts w:hint="eastAsia" w:ascii="宋体" w:hAnsi="宋体"/>
        </w:rPr>
      </w:pPr>
      <w:r>
        <w:rPr>
          <w:rFonts w:hint="eastAsia" w:ascii="宋体" w:hAnsi="宋体"/>
        </w:rPr>
        <w:t>本协议及所含附件自签署之日起有效。</w:t>
      </w:r>
    </w:p>
    <w:p>
      <w:pPr>
        <w:pStyle w:val="6"/>
        <w:spacing w:before="0" w:after="0"/>
        <w:ind w:left="718" w:leftChars="75" w:hanging="538"/>
        <w:rPr>
          <w:rFonts w:hint="eastAsia" w:ascii="Times New Roman" w:hAnsi="Times New Roman" w:eastAsia="宋体"/>
          <w:sz w:val="30"/>
          <w:szCs w:val="30"/>
        </w:rPr>
      </w:pPr>
      <w:bookmarkStart w:id="155" w:name="_Toc456345917"/>
      <w:r>
        <w:rPr>
          <w:rFonts w:hint="eastAsia" w:ascii="Times New Roman" w:hAnsi="Times New Roman" w:eastAsia="宋体"/>
          <w:sz w:val="30"/>
          <w:szCs w:val="30"/>
        </w:rPr>
        <w:t>第十二条  附  则</w:t>
      </w:r>
      <w:bookmarkEnd w:id="155"/>
    </w:p>
    <w:p>
      <w:pPr>
        <w:spacing w:line="360" w:lineRule="auto"/>
        <w:ind w:firstLine="480" w:firstLineChars="200"/>
        <w:rPr>
          <w:rFonts w:hint="eastAsia" w:ascii="宋体" w:hAnsi="宋体"/>
        </w:rPr>
      </w:pPr>
      <w:r>
        <w:rPr>
          <w:rFonts w:hint="eastAsia" w:ascii="宋体" w:hAnsi="宋体"/>
        </w:rPr>
        <w:t>11.1 协议正本条款受国家《合同法》的保护。</w:t>
      </w:r>
    </w:p>
    <w:p>
      <w:pPr>
        <w:spacing w:line="360" w:lineRule="auto"/>
        <w:ind w:firstLine="480" w:firstLineChars="200"/>
        <w:rPr>
          <w:rFonts w:hint="eastAsia" w:ascii="宋体" w:hAnsi="宋体"/>
        </w:rPr>
      </w:pPr>
      <w:r>
        <w:rPr>
          <w:rFonts w:hint="eastAsia" w:ascii="宋体" w:hAnsi="宋体"/>
        </w:rPr>
        <w:t>11.2 未经甲乙双方书面确认，任何一方不得自行变更或修改本协议。</w:t>
      </w:r>
    </w:p>
    <w:p>
      <w:pPr>
        <w:spacing w:line="360" w:lineRule="auto"/>
        <w:ind w:firstLine="480" w:firstLineChars="200"/>
        <w:rPr>
          <w:rFonts w:ascii="宋体" w:hAnsi="宋体"/>
        </w:rPr>
      </w:pPr>
      <w:r>
        <w:rPr>
          <w:rFonts w:hint="eastAsia" w:ascii="宋体" w:hAnsi="宋体"/>
        </w:rPr>
        <w:t>11.3 合同在执行过程中出现的未尽事宜，</w:t>
      </w:r>
      <w:r>
        <w:rPr>
          <w:rFonts w:ascii="宋体" w:hAnsi="宋体"/>
        </w:rPr>
        <w:t>遵照《合同法》有关条文</w:t>
      </w:r>
      <w:r>
        <w:rPr>
          <w:rFonts w:hint="eastAsia" w:ascii="宋体" w:hAnsi="宋体"/>
        </w:rPr>
        <w:t>，双方在不违背本合同和采购（招标）文件的原则下，协商解决，协商结果以书面形式盖章记录在案，作为本合同的附件，具有同等效力。</w:t>
      </w:r>
    </w:p>
    <w:p>
      <w:pPr>
        <w:spacing w:line="360" w:lineRule="auto"/>
        <w:ind w:firstLine="480" w:firstLineChars="200"/>
        <w:rPr>
          <w:rFonts w:hint="eastAsia" w:ascii="宋体" w:hAnsi="宋体"/>
        </w:rPr>
      </w:pPr>
      <w:r>
        <w:rPr>
          <w:rFonts w:hint="eastAsia" w:ascii="宋体" w:hAnsi="宋体"/>
        </w:rPr>
        <w:t>11.4 本协议一式六份，甲乙双方各执二份，</w:t>
      </w:r>
      <w:r>
        <w:rPr>
          <w:rFonts w:hint="eastAsia" w:ascii="宋体" w:hAnsi="宋体"/>
          <w:kern w:val="0"/>
          <w:lang w:val="zh-CN"/>
        </w:rPr>
        <w:t>市公共资源交易中心执一份，市采购办备案一份。合同附件和本合同均具有同等法律效力。</w:t>
      </w:r>
    </w:p>
    <w:p>
      <w:pPr>
        <w:spacing w:line="360" w:lineRule="auto"/>
        <w:ind w:firstLine="480" w:firstLineChars="200"/>
        <w:rPr>
          <w:rFonts w:hint="eastAsia" w:ascii="宋体" w:hAnsi="宋体"/>
        </w:rPr>
      </w:pPr>
      <w:r>
        <w:rPr>
          <w:rFonts w:hint="eastAsia" w:ascii="宋体" w:hAnsi="宋体"/>
        </w:rPr>
        <w:t>本协议自双方法定代表或授权委托人签字并加盖公章之日起生效。</w:t>
      </w:r>
    </w:p>
    <w:p>
      <w:pPr>
        <w:autoSpaceDE w:val="0"/>
        <w:autoSpaceDN w:val="0"/>
        <w:adjustRightInd w:val="0"/>
        <w:spacing w:line="360" w:lineRule="auto"/>
        <w:ind w:firstLine="480" w:firstLineChars="200"/>
        <w:rPr>
          <w:rFonts w:hint="eastAsia" w:ascii="宋体" w:hAnsi="宋体"/>
          <w:kern w:val="0"/>
          <w:lang w:val="zh-CN"/>
        </w:rPr>
      </w:pPr>
      <w:r>
        <w:rPr>
          <w:rFonts w:hint="eastAsia" w:ascii="宋体" w:hAnsi="宋体"/>
          <w:kern w:val="0"/>
          <w:lang w:val="zh-CN"/>
        </w:rPr>
        <w:t>本合同有效期限</w:t>
      </w:r>
      <w:r>
        <w:rPr>
          <w:rFonts w:hint="eastAsia" w:ascii="宋体" w:hAnsi="宋体"/>
          <w:kern w:val="0"/>
        </w:rPr>
        <w:t xml:space="preserve">：  </w:t>
      </w:r>
      <w:r>
        <w:rPr>
          <w:rFonts w:hint="eastAsia" w:ascii="宋体" w:hAnsi="宋体"/>
          <w:kern w:val="0"/>
          <w:lang w:val="zh-CN"/>
        </w:rPr>
        <w:t>年</w:t>
      </w:r>
      <w:r>
        <w:rPr>
          <w:rFonts w:hint="eastAsia" w:ascii="宋体" w:hAnsi="宋体"/>
          <w:kern w:val="0"/>
        </w:rPr>
        <w:t xml:space="preserve"> </w:t>
      </w:r>
      <w:r>
        <w:rPr>
          <w:rFonts w:hint="eastAsia" w:ascii="宋体" w:hAnsi="宋体"/>
          <w:kern w:val="0"/>
          <w:lang w:val="zh-CN"/>
        </w:rPr>
        <w:t>月</w:t>
      </w:r>
      <w:r>
        <w:rPr>
          <w:rFonts w:hint="eastAsia" w:ascii="宋体" w:hAnsi="宋体"/>
          <w:kern w:val="0"/>
        </w:rPr>
        <w:t xml:space="preserve"> </w:t>
      </w:r>
      <w:r>
        <w:rPr>
          <w:rFonts w:hint="eastAsia" w:ascii="宋体" w:hAnsi="宋体"/>
          <w:kern w:val="0"/>
          <w:lang w:val="zh-CN"/>
        </w:rPr>
        <w:t>日至</w:t>
      </w:r>
      <w:r>
        <w:rPr>
          <w:rFonts w:hint="eastAsia" w:ascii="宋体" w:hAnsi="宋体"/>
          <w:kern w:val="0"/>
        </w:rPr>
        <w:t xml:space="preserve">    </w:t>
      </w:r>
      <w:r>
        <w:rPr>
          <w:rFonts w:hint="eastAsia" w:ascii="宋体" w:hAnsi="宋体"/>
          <w:kern w:val="0"/>
          <w:lang w:val="zh-CN"/>
        </w:rPr>
        <w:t>年</w:t>
      </w:r>
      <w:r>
        <w:rPr>
          <w:rFonts w:hint="eastAsia" w:ascii="宋体" w:hAnsi="宋体"/>
          <w:kern w:val="0"/>
        </w:rPr>
        <w:t xml:space="preserve"> </w:t>
      </w:r>
      <w:r>
        <w:rPr>
          <w:rFonts w:hint="eastAsia" w:ascii="宋体" w:hAnsi="宋体"/>
          <w:kern w:val="0"/>
          <w:lang w:val="zh-CN"/>
        </w:rPr>
        <w:t>月</w:t>
      </w:r>
      <w:r>
        <w:rPr>
          <w:rFonts w:hint="eastAsia" w:ascii="宋体" w:hAnsi="宋体"/>
          <w:kern w:val="0"/>
        </w:rPr>
        <w:t xml:space="preserve"> </w:t>
      </w:r>
      <w:r>
        <w:rPr>
          <w:rFonts w:hint="eastAsia" w:ascii="宋体" w:hAnsi="宋体"/>
          <w:kern w:val="0"/>
          <w:lang w:val="zh-CN"/>
        </w:rPr>
        <w:t>日止。自签订之日起生效。</w:t>
      </w:r>
    </w:p>
    <w:p>
      <w:pPr>
        <w:autoSpaceDE w:val="0"/>
        <w:autoSpaceDN w:val="0"/>
        <w:adjustRightInd w:val="0"/>
        <w:spacing w:line="360" w:lineRule="auto"/>
        <w:ind w:firstLine="480" w:firstLineChars="200"/>
        <w:rPr>
          <w:rFonts w:ascii="宋体" w:hAnsi="宋体"/>
          <w:kern w:val="0"/>
          <w:lang w:val="zh-CN"/>
        </w:rPr>
      </w:pPr>
      <w:r>
        <w:rPr>
          <w:rFonts w:ascii="宋体" w:hAnsi="宋体"/>
          <w:kern w:val="0"/>
          <w:lang w:val="zh-CN"/>
        </w:rPr>
        <w:t>签约各方：</w:t>
      </w:r>
    </w:p>
    <w:p>
      <w:pPr>
        <w:autoSpaceDE w:val="0"/>
        <w:autoSpaceDN w:val="0"/>
        <w:adjustRightInd w:val="0"/>
        <w:spacing w:line="360" w:lineRule="auto"/>
        <w:ind w:firstLine="480" w:firstLineChars="200"/>
        <w:rPr>
          <w:rFonts w:ascii="宋体" w:hAnsi="宋体"/>
          <w:kern w:val="0"/>
          <w:lang w:val="zh-CN"/>
        </w:rPr>
      </w:pPr>
      <w:r>
        <w:rPr>
          <w:rFonts w:ascii="宋体" w:hAnsi="宋体"/>
          <w:kern w:val="0"/>
          <w:lang w:val="zh-CN"/>
        </w:rPr>
        <w:t xml:space="preserve">甲方（盖章）：                 </w:t>
      </w:r>
      <w:r>
        <w:rPr>
          <w:rFonts w:hint="eastAsia" w:ascii="宋体" w:hAnsi="宋体"/>
          <w:kern w:val="0"/>
          <w:lang w:val="zh-CN"/>
        </w:rPr>
        <w:t xml:space="preserve">    </w:t>
      </w:r>
      <w:r>
        <w:rPr>
          <w:rFonts w:ascii="宋体" w:hAnsi="宋体"/>
          <w:kern w:val="0"/>
          <w:lang w:val="zh-CN"/>
        </w:rPr>
        <w:t xml:space="preserve">   乙方（盖章）： </w:t>
      </w:r>
    </w:p>
    <w:p>
      <w:pPr>
        <w:autoSpaceDE w:val="0"/>
        <w:autoSpaceDN w:val="0"/>
        <w:adjustRightInd w:val="0"/>
        <w:spacing w:line="360" w:lineRule="auto"/>
        <w:ind w:firstLine="480" w:firstLineChars="200"/>
        <w:rPr>
          <w:rFonts w:ascii="宋体" w:hAnsi="宋体"/>
          <w:kern w:val="0"/>
          <w:lang w:val="zh-CN"/>
        </w:rPr>
      </w:pPr>
      <w:r>
        <w:rPr>
          <w:rFonts w:ascii="宋体" w:hAnsi="宋体"/>
          <w:kern w:val="0"/>
          <w:lang w:val="zh-CN"/>
        </w:rPr>
        <w:t>法定代表人或授权委托人（签章）        法定代表人或授权委托人（签章）</w:t>
      </w:r>
    </w:p>
    <w:p>
      <w:pPr>
        <w:autoSpaceDE w:val="0"/>
        <w:autoSpaceDN w:val="0"/>
        <w:adjustRightInd w:val="0"/>
        <w:spacing w:line="360" w:lineRule="auto"/>
        <w:ind w:firstLine="480" w:firstLineChars="200"/>
        <w:rPr>
          <w:rFonts w:ascii="宋体" w:hAnsi="宋体"/>
          <w:kern w:val="0"/>
          <w:lang w:val="zh-CN"/>
        </w:rPr>
      </w:pPr>
      <w:r>
        <w:rPr>
          <w:rFonts w:ascii="宋体" w:hAnsi="宋体"/>
          <w:kern w:val="0"/>
          <w:lang w:val="zh-CN"/>
        </w:rPr>
        <w:t>合同签订地点：                        合同签订地点：</w:t>
      </w:r>
    </w:p>
    <w:p>
      <w:pPr>
        <w:autoSpaceDE w:val="0"/>
        <w:autoSpaceDN w:val="0"/>
        <w:adjustRightInd w:val="0"/>
        <w:spacing w:line="360" w:lineRule="auto"/>
        <w:ind w:firstLine="480" w:firstLineChars="200"/>
        <w:rPr>
          <w:rFonts w:hint="eastAsia" w:ascii="宋体" w:hAnsi="宋体"/>
          <w:kern w:val="0"/>
          <w:lang w:val="zh-CN"/>
        </w:rPr>
      </w:pPr>
      <w:r>
        <w:rPr>
          <w:rFonts w:ascii="宋体" w:hAnsi="宋体"/>
          <w:kern w:val="0"/>
          <w:lang w:val="zh-CN"/>
        </w:rPr>
        <w:t xml:space="preserve">   </w:t>
      </w:r>
      <w:r>
        <w:rPr>
          <w:rFonts w:hint="eastAsia" w:ascii="宋体" w:hAnsi="宋体"/>
          <w:kern w:val="0"/>
          <w:lang w:val="zh-CN"/>
        </w:rPr>
        <w:t xml:space="preserve">    </w:t>
      </w:r>
      <w:r>
        <w:rPr>
          <w:rFonts w:ascii="宋体" w:hAnsi="宋体"/>
          <w:kern w:val="0"/>
          <w:lang w:val="zh-CN"/>
        </w:rPr>
        <w:t>年  月   日                           年   月   日</w:t>
      </w:r>
    </w:p>
    <w:p>
      <w:pPr>
        <w:autoSpaceDE w:val="0"/>
        <w:autoSpaceDN w:val="0"/>
        <w:adjustRightInd w:val="0"/>
        <w:spacing w:line="360" w:lineRule="auto"/>
        <w:ind w:firstLine="480" w:firstLineChars="200"/>
        <w:rPr>
          <w:rFonts w:hint="eastAsia" w:ascii="宋体" w:hAnsi="宋体"/>
          <w:kern w:val="0"/>
          <w:lang w:val="zh-CN"/>
        </w:rPr>
      </w:pPr>
    </w:p>
    <w:p>
      <w:pPr>
        <w:pStyle w:val="2"/>
        <w:keepNext w:val="0"/>
        <w:keepLines w:val="0"/>
        <w:pageBreakBefore/>
        <w:widowControl/>
        <w:tabs>
          <w:tab w:val="left" w:pos="478"/>
        </w:tabs>
        <w:autoSpaceDE w:val="0"/>
        <w:autoSpaceDN w:val="0"/>
        <w:spacing w:before="240" w:after="120" w:line="360" w:lineRule="auto"/>
        <w:ind w:left="478" w:hanging="960"/>
        <w:rPr>
          <w:rFonts w:ascii="宋体" w:hAnsi="Calibri" w:eastAsia="宋体"/>
          <w:b w:val="0"/>
          <w:color w:val="000000"/>
          <w:kern w:val="0"/>
          <w:sz w:val="36"/>
        </w:rPr>
      </w:pPr>
      <w:bookmarkStart w:id="156" w:name="_Toc528046855"/>
      <w:r>
        <w:rPr>
          <w:rFonts w:ascii="宋体" w:hAnsi="Calibri" w:eastAsia="宋体"/>
          <w:b w:val="0"/>
          <w:color w:val="000000"/>
          <w:kern w:val="0"/>
          <w:sz w:val="36"/>
        </w:rPr>
        <w:t>第四部分 投标文件格式</w:t>
      </w:r>
      <w:bookmarkEnd w:id="129"/>
      <w:bookmarkEnd w:id="156"/>
    </w:p>
    <w:p>
      <w:pPr>
        <w:pStyle w:val="3"/>
        <w:numPr>
          <w:ilvl w:val="0"/>
          <w:numId w:val="8"/>
        </w:numPr>
        <w:tabs>
          <w:tab w:val="left" w:pos="358"/>
        </w:tabs>
        <w:spacing w:before="400" w:after="0" w:line="360" w:lineRule="auto"/>
        <w:ind w:hanging="240"/>
        <w:rPr>
          <w:rFonts w:hint="eastAsia" w:ascii="Times New Roman" w:hAnsi="Times New Roman" w:eastAsia="宋体"/>
          <w:sz w:val="30"/>
          <w:szCs w:val="30"/>
        </w:rPr>
      </w:pPr>
      <w:bookmarkStart w:id="157" w:name="_Toc226337794"/>
      <w:bookmarkStart w:id="158" w:name="_Toc180555952"/>
      <w:bookmarkStart w:id="159" w:name="_Toc248065072"/>
      <w:bookmarkStart w:id="160" w:name="_Toc15061"/>
      <w:bookmarkStart w:id="161" w:name="_Toc456345919"/>
      <w:bookmarkStart w:id="162" w:name="_Toc528046856"/>
      <w:bookmarkStart w:id="163" w:name="_Toc458419363"/>
      <w:r>
        <w:rPr>
          <w:rFonts w:hint="eastAsia" w:ascii="Times New Roman" w:hAnsi="Times New Roman" w:eastAsia="宋体"/>
          <w:sz w:val="30"/>
          <w:szCs w:val="30"/>
        </w:rPr>
        <w:t>投标函</w:t>
      </w:r>
      <w:bookmarkEnd w:id="157"/>
      <w:bookmarkEnd w:id="158"/>
      <w:bookmarkEnd w:id="159"/>
      <w:bookmarkEnd w:id="160"/>
      <w:bookmarkEnd w:id="161"/>
      <w:bookmarkEnd w:id="162"/>
      <w:bookmarkEnd w:id="163"/>
    </w:p>
    <w:p>
      <w:pPr>
        <w:snapToGrid w:val="0"/>
        <w:spacing w:line="300" w:lineRule="auto"/>
        <w:rPr>
          <w:rFonts w:hint="eastAsia" w:ascii="宋体" w:hAnsi="宋体"/>
          <w:bCs/>
        </w:rPr>
      </w:pPr>
      <w:r>
        <w:rPr>
          <w:rFonts w:hint="eastAsia" w:ascii="宋体" w:hAnsi="宋体"/>
          <w:bCs/>
        </w:rPr>
        <w:t>致：嵊州市公共资源交易中心</w:t>
      </w:r>
    </w:p>
    <w:p>
      <w:pPr>
        <w:spacing w:line="440" w:lineRule="exact"/>
        <w:ind w:firstLine="480" w:firstLineChars="200"/>
        <w:rPr>
          <w:rFonts w:hint="eastAsia" w:ascii="宋体" w:hAnsi="宋体"/>
          <w:spacing w:val="6"/>
        </w:rPr>
      </w:pPr>
      <w:r>
        <w:rPr>
          <w:rFonts w:hint="eastAsia" w:ascii="宋体" w:hAnsi="宋体"/>
          <w:bCs/>
        </w:rPr>
        <w:t>根据《</w:t>
      </w:r>
      <w:r>
        <w:rPr>
          <w:rFonts w:hint="eastAsia" w:ascii="宋体" w:hAnsi="宋体"/>
          <w:bCs/>
          <w:iCs/>
        </w:rPr>
        <w:t>嵊州市雪亮工程之应急无线通信系统项目</w:t>
      </w:r>
      <w:r>
        <w:rPr>
          <w:rFonts w:hint="eastAsia" w:ascii="宋体" w:hAnsi="宋体"/>
          <w:bCs/>
        </w:rPr>
        <w:t>》（政府采购SZC2019-11）的招标文件，正式授权下述签字人</w:t>
      </w:r>
      <w:r>
        <w:rPr>
          <w:rFonts w:hint="eastAsia" w:ascii="宋体" w:hAnsi="宋体"/>
          <w:bCs/>
          <w:u w:val="single"/>
        </w:rPr>
        <w:t xml:space="preserve">             </w:t>
      </w:r>
      <w:r>
        <w:rPr>
          <w:rFonts w:hint="eastAsia" w:ascii="宋体" w:hAnsi="宋体"/>
          <w:bCs/>
        </w:rPr>
        <w:t>（姓名和职务，本单位在职职工）代表投标人</w:t>
      </w:r>
      <w:r>
        <w:rPr>
          <w:rFonts w:hint="eastAsia" w:ascii="宋体" w:hAnsi="宋体"/>
          <w:bCs/>
          <w:u w:val="single"/>
        </w:rPr>
        <w:t xml:space="preserve">                         </w:t>
      </w:r>
      <w:r>
        <w:rPr>
          <w:rFonts w:hint="eastAsia" w:ascii="宋体" w:hAnsi="宋体"/>
          <w:bCs/>
        </w:rPr>
        <w:t>（投标单位的名称），提交下述正式文件正本一式壹份，副本一式伍份。</w:t>
      </w:r>
    </w:p>
    <w:p>
      <w:pPr>
        <w:spacing w:line="440" w:lineRule="exact"/>
        <w:ind w:firstLine="480" w:firstLineChars="200"/>
        <w:rPr>
          <w:rFonts w:hint="eastAsia" w:ascii="宋体" w:hAnsi="宋体"/>
          <w:b/>
          <w:bCs/>
        </w:rPr>
      </w:pPr>
      <w:r>
        <w:rPr>
          <w:rFonts w:hint="eastAsia" w:ascii="宋体" w:hAnsi="宋体"/>
          <w:bCs/>
          <w:iCs/>
        </w:rPr>
        <w:t>嵊州市雪亮工程之应急无线通信系统项目</w:t>
      </w:r>
      <w:r>
        <w:rPr>
          <w:rFonts w:hint="eastAsia" w:ascii="宋体" w:hAnsi="宋体"/>
          <w:bCs/>
        </w:rPr>
        <w:t>投标文件</w:t>
      </w:r>
    </w:p>
    <w:p>
      <w:pPr>
        <w:snapToGrid w:val="0"/>
        <w:spacing w:line="300" w:lineRule="auto"/>
        <w:ind w:firstLine="480"/>
        <w:jc w:val="left"/>
        <w:rPr>
          <w:rFonts w:hint="eastAsia" w:ascii="宋体" w:hAnsi="宋体"/>
          <w:bCs/>
        </w:rPr>
      </w:pPr>
      <w:r>
        <w:rPr>
          <w:rFonts w:hint="eastAsia" w:ascii="宋体" w:hAnsi="宋体"/>
          <w:bCs/>
        </w:rPr>
        <w:t>据此函，签字人兹宣布同意如下：</w:t>
      </w:r>
    </w:p>
    <w:p>
      <w:pPr>
        <w:snapToGrid w:val="0"/>
        <w:spacing w:line="300" w:lineRule="auto"/>
        <w:ind w:firstLine="480"/>
        <w:jc w:val="left"/>
        <w:rPr>
          <w:rFonts w:hint="eastAsia" w:ascii="宋体" w:hAnsi="宋体"/>
          <w:bCs/>
        </w:rPr>
      </w:pPr>
      <w:r>
        <w:rPr>
          <w:rFonts w:hint="eastAsia" w:ascii="宋体" w:hAnsi="宋体"/>
          <w:bCs/>
        </w:rPr>
        <w:t>（1）按招标文件规定的</w:t>
      </w:r>
      <w:r>
        <w:rPr>
          <w:rFonts w:hint="eastAsia" w:ascii="宋体" w:hAnsi="宋体"/>
          <w:bCs/>
          <w:iCs/>
        </w:rPr>
        <w:t>嵊州市雪亮工程之应急无线通信系统项目</w:t>
      </w:r>
      <w:r>
        <w:rPr>
          <w:rFonts w:hint="eastAsia" w:ascii="宋体" w:hAnsi="宋体"/>
        </w:rPr>
        <w:t>内容</w:t>
      </w:r>
      <w:r>
        <w:rPr>
          <w:rFonts w:hint="eastAsia" w:ascii="宋体" w:hAnsi="宋体"/>
          <w:bCs/>
        </w:rPr>
        <w:t>投标，并按工期规定交付系统及服务；</w:t>
      </w:r>
    </w:p>
    <w:p>
      <w:pPr>
        <w:snapToGrid w:val="0"/>
        <w:spacing w:line="300" w:lineRule="auto"/>
        <w:ind w:firstLine="480"/>
        <w:jc w:val="left"/>
        <w:rPr>
          <w:rFonts w:hint="eastAsia" w:ascii="宋体" w:hAnsi="宋体"/>
          <w:bCs/>
        </w:rPr>
      </w:pPr>
      <w:r>
        <w:rPr>
          <w:rFonts w:hint="eastAsia" w:ascii="宋体" w:hAnsi="宋体"/>
          <w:bCs/>
        </w:rPr>
        <w:t>（2）同意向贵方提供贵方可能要求的与投标有关的任何证据或资料，保证提供的证书和资料是真实有效的；</w:t>
      </w:r>
    </w:p>
    <w:p>
      <w:pPr>
        <w:snapToGrid w:val="0"/>
        <w:spacing w:line="300" w:lineRule="auto"/>
        <w:ind w:firstLine="480"/>
        <w:jc w:val="left"/>
        <w:rPr>
          <w:rFonts w:hint="eastAsia" w:ascii="宋体" w:hAnsi="宋体"/>
          <w:bCs/>
        </w:rPr>
      </w:pPr>
      <w:r>
        <w:rPr>
          <w:rFonts w:hint="eastAsia" w:ascii="宋体" w:hAnsi="宋体"/>
          <w:bCs/>
        </w:rPr>
        <w:t>（3）一旦我方中标，我方将根据招标文件和中标文件的规定签订合同，严格履行合格的责任和义务，并保证按以上投标文件的承诺实施。</w:t>
      </w:r>
    </w:p>
    <w:p>
      <w:pPr>
        <w:snapToGrid w:val="0"/>
        <w:spacing w:line="300" w:lineRule="auto"/>
        <w:ind w:firstLine="480"/>
        <w:jc w:val="left"/>
        <w:rPr>
          <w:rFonts w:hint="eastAsia" w:ascii="宋体" w:hAnsi="宋体"/>
          <w:bCs/>
        </w:rPr>
      </w:pPr>
      <w:r>
        <w:rPr>
          <w:rFonts w:hint="eastAsia" w:ascii="宋体" w:hAnsi="宋体"/>
          <w:bCs/>
        </w:rPr>
        <w:t>（4）我们同意从规定的开标日期起遵循本投标文件，并在规定的投标有效期满之前均具有约束力。</w:t>
      </w:r>
    </w:p>
    <w:p>
      <w:pPr>
        <w:snapToGrid w:val="0"/>
        <w:spacing w:line="300" w:lineRule="auto"/>
        <w:ind w:firstLine="480"/>
        <w:jc w:val="left"/>
        <w:rPr>
          <w:rFonts w:hint="eastAsia" w:ascii="宋体" w:hAnsi="宋体"/>
          <w:bCs/>
        </w:rPr>
      </w:pPr>
      <w:r>
        <w:rPr>
          <w:rFonts w:hint="eastAsia" w:ascii="宋体" w:hAnsi="宋体"/>
          <w:bCs/>
        </w:rPr>
        <w:t>（5）我们完全理解贵方不一定要接受最低报价的投标或收到的任何投标。</w:t>
      </w:r>
    </w:p>
    <w:p>
      <w:pPr>
        <w:snapToGrid w:val="0"/>
        <w:spacing w:line="300" w:lineRule="auto"/>
        <w:ind w:firstLine="480"/>
        <w:jc w:val="left"/>
        <w:rPr>
          <w:rFonts w:hint="eastAsia" w:ascii="宋体" w:hAnsi="宋体"/>
          <w:bCs/>
        </w:rPr>
      </w:pPr>
      <w:r>
        <w:rPr>
          <w:rFonts w:hint="eastAsia" w:ascii="宋体" w:hAnsi="宋体"/>
          <w:bCs/>
        </w:rPr>
        <w:t>（6）与本投标有关的正式通讯地址为：</w:t>
      </w:r>
    </w:p>
    <w:p>
      <w:pPr>
        <w:snapToGrid w:val="0"/>
        <w:spacing w:line="300" w:lineRule="auto"/>
        <w:ind w:firstLine="480"/>
        <w:jc w:val="left"/>
        <w:rPr>
          <w:rFonts w:hint="eastAsia" w:ascii="宋体" w:hAnsi="宋体"/>
          <w:bCs/>
        </w:rPr>
      </w:pPr>
    </w:p>
    <w:p>
      <w:pPr>
        <w:snapToGrid w:val="0"/>
        <w:spacing w:line="300" w:lineRule="auto"/>
        <w:ind w:firstLine="480"/>
        <w:jc w:val="left"/>
        <w:rPr>
          <w:rFonts w:hint="eastAsia" w:ascii="宋体" w:hAnsi="宋体"/>
          <w:bCs/>
        </w:rPr>
      </w:pPr>
      <w:r>
        <w:rPr>
          <w:rFonts w:hint="eastAsia" w:ascii="宋体" w:hAnsi="宋体"/>
          <w:bCs/>
        </w:rPr>
        <w:t>地  址：</w:t>
      </w:r>
      <w:r>
        <w:rPr>
          <w:rFonts w:hint="eastAsia" w:ascii="宋体" w:hAnsi="宋体"/>
          <w:bCs/>
          <w:u w:val="single"/>
        </w:rPr>
        <w:t xml:space="preserve">                                  </w:t>
      </w:r>
    </w:p>
    <w:p>
      <w:pPr>
        <w:snapToGrid w:val="0"/>
        <w:spacing w:line="300" w:lineRule="auto"/>
        <w:ind w:firstLine="480"/>
        <w:jc w:val="left"/>
        <w:rPr>
          <w:rFonts w:hint="eastAsia" w:ascii="宋体" w:hAnsi="宋体"/>
          <w:bCs/>
        </w:rPr>
      </w:pPr>
      <w:r>
        <w:rPr>
          <w:rFonts w:hint="eastAsia" w:ascii="宋体" w:hAnsi="宋体"/>
          <w:bCs/>
        </w:rPr>
        <w:t>邮  编：</w:t>
      </w:r>
      <w:r>
        <w:rPr>
          <w:rFonts w:hint="eastAsia" w:ascii="宋体" w:hAnsi="宋体"/>
          <w:bCs/>
          <w:u w:val="single"/>
        </w:rPr>
        <w:t xml:space="preserve">                                  </w:t>
      </w:r>
    </w:p>
    <w:p>
      <w:pPr>
        <w:snapToGrid w:val="0"/>
        <w:spacing w:line="300" w:lineRule="auto"/>
        <w:ind w:firstLine="480"/>
        <w:jc w:val="left"/>
        <w:rPr>
          <w:rFonts w:hint="eastAsia" w:ascii="宋体" w:hAnsi="宋体"/>
          <w:bCs/>
        </w:rPr>
      </w:pPr>
      <w:r>
        <w:rPr>
          <w:rFonts w:hint="eastAsia" w:ascii="宋体" w:hAnsi="宋体"/>
          <w:bCs/>
        </w:rPr>
        <w:t>电  话：</w:t>
      </w:r>
      <w:r>
        <w:rPr>
          <w:rFonts w:hint="eastAsia" w:ascii="宋体" w:hAnsi="宋体"/>
          <w:bCs/>
          <w:u w:val="single"/>
        </w:rPr>
        <w:t xml:space="preserve">                                  </w:t>
      </w:r>
    </w:p>
    <w:p>
      <w:pPr>
        <w:snapToGrid w:val="0"/>
        <w:spacing w:line="300" w:lineRule="auto"/>
        <w:ind w:firstLine="480"/>
        <w:jc w:val="left"/>
        <w:rPr>
          <w:rFonts w:hint="eastAsia" w:ascii="宋体" w:hAnsi="宋体"/>
          <w:bCs/>
        </w:rPr>
      </w:pPr>
      <w:r>
        <w:rPr>
          <w:rFonts w:hint="eastAsia" w:ascii="宋体" w:hAnsi="宋体"/>
          <w:bCs/>
        </w:rPr>
        <w:t>法定代表人（签字）：</w:t>
      </w:r>
      <w:r>
        <w:rPr>
          <w:rFonts w:hint="eastAsia" w:ascii="宋体" w:hAnsi="宋体"/>
          <w:bCs/>
          <w:u w:val="single"/>
        </w:rPr>
        <w:t xml:space="preserve">                 </w:t>
      </w:r>
    </w:p>
    <w:p>
      <w:pPr>
        <w:snapToGrid w:val="0"/>
        <w:spacing w:line="300" w:lineRule="auto"/>
        <w:ind w:firstLine="480"/>
        <w:jc w:val="left"/>
        <w:rPr>
          <w:rFonts w:hint="eastAsia" w:ascii="宋体" w:hAnsi="宋体"/>
          <w:bCs/>
        </w:rPr>
      </w:pPr>
      <w:r>
        <w:rPr>
          <w:rFonts w:hint="eastAsia" w:ascii="宋体" w:hAnsi="宋体"/>
          <w:bCs/>
        </w:rPr>
        <w:t>投标单位名称：</w:t>
      </w:r>
      <w:r>
        <w:rPr>
          <w:rFonts w:hint="eastAsia" w:ascii="宋体" w:hAnsi="宋体"/>
          <w:bCs/>
          <w:u w:val="single"/>
        </w:rPr>
        <w:t xml:space="preserve">                            </w:t>
      </w:r>
    </w:p>
    <w:p>
      <w:pPr>
        <w:snapToGrid w:val="0"/>
        <w:spacing w:line="300" w:lineRule="auto"/>
        <w:ind w:firstLine="480"/>
        <w:jc w:val="left"/>
        <w:rPr>
          <w:rFonts w:hint="eastAsia" w:ascii="宋体" w:hAnsi="宋体"/>
          <w:bCs/>
        </w:rPr>
      </w:pPr>
      <w:r>
        <w:rPr>
          <w:rFonts w:hint="eastAsia" w:ascii="宋体" w:hAnsi="宋体"/>
          <w:bCs/>
        </w:rPr>
        <w:t>公  章：</w:t>
      </w:r>
      <w:r>
        <w:rPr>
          <w:rFonts w:hint="eastAsia" w:ascii="宋体" w:hAnsi="宋体"/>
          <w:bCs/>
          <w:u w:val="single"/>
        </w:rPr>
        <w:t xml:space="preserve">                                  </w:t>
      </w:r>
    </w:p>
    <w:p>
      <w:pPr>
        <w:snapToGrid w:val="0"/>
        <w:spacing w:line="300" w:lineRule="auto"/>
        <w:ind w:firstLine="480"/>
        <w:jc w:val="left"/>
        <w:rPr>
          <w:rFonts w:hint="eastAsia" w:ascii="宋体" w:hAnsi="宋体"/>
          <w:bCs/>
        </w:rPr>
      </w:pPr>
      <w:r>
        <w:rPr>
          <w:rFonts w:hint="eastAsia" w:ascii="宋体" w:hAnsi="宋体"/>
          <w:bCs/>
        </w:rPr>
        <w:t>日  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 xml:space="preserve">月 </w:t>
      </w:r>
      <w:r>
        <w:rPr>
          <w:rFonts w:hint="eastAsia" w:ascii="宋体" w:hAnsi="宋体"/>
          <w:bCs/>
          <w:u w:val="single"/>
        </w:rPr>
        <w:t xml:space="preserve">      </w:t>
      </w:r>
      <w:r>
        <w:rPr>
          <w:rFonts w:hint="eastAsia" w:ascii="宋体" w:hAnsi="宋体"/>
          <w:bCs/>
        </w:rPr>
        <w:t>日</w:t>
      </w:r>
    </w:p>
    <w:p>
      <w:pPr>
        <w:snapToGrid w:val="0"/>
        <w:spacing w:line="300" w:lineRule="auto"/>
        <w:ind w:firstLine="480"/>
        <w:jc w:val="left"/>
        <w:rPr>
          <w:rFonts w:hint="eastAsia" w:ascii="宋体" w:hAnsi="宋体"/>
          <w:bCs/>
        </w:rPr>
      </w:pPr>
    </w:p>
    <w:p>
      <w:pPr>
        <w:pStyle w:val="5"/>
        <w:ind w:firstLine="0"/>
        <w:rPr>
          <w:rFonts w:hint="eastAsia"/>
          <w:szCs w:val="24"/>
        </w:rPr>
      </w:pPr>
    </w:p>
    <w:p>
      <w:pPr>
        <w:pStyle w:val="3"/>
        <w:numPr>
          <w:ilvl w:val="0"/>
          <w:numId w:val="8"/>
        </w:numPr>
        <w:tabs>
          <w:tab w:val="left" w:pos="358"/>
        </w:tabs>
        <w:spacing w:before="400" w:after="0" w:line="360" w:lineRule="auto"/>
        <w:ind w:hanging="240"/>
        <w:rPr>
          <w:rFonts w:hint="eastAsia" w:ascii="Times New Roman" w:hAnsi="Times New Roman" w:eastAsia="宋体"/>
          <w:sz w:val="30"/>
          <w:szCs w:val="30"/>
        </w:rPr>
      </w:pPr>
      <w:bookmarkStart w:id="164" w:name="_Toc180555954"/>
      <w:bookmarkStart w:id="165" w:name="_Toc458419364"/>
      <w:bookmarkStart w:id="166" w:name="_Toc528046857"/>
      <w:bookmarkStart w:id="167" w:name="_Toc456345920"/>
      <w:bookmarkStart w:id="168" w:name="_Toc32609"/>
      <w:r>
        <w:rPr>
          <w:rFonts w:hint="eastAsia" w:ascii="Times New Roman" w:hAnsi="Times New Roman" w:eastAsia="宋体"/>
          <w:sz w:val="30"/>
          <w:szCs w:val="30"/>
        </w:rPr>
        <w:t>法定代表人授权书</w:t>
      </w:r>
      <w:bookmarkEnd w:id="164"/>
      <w:bookmarkEnd w:id="165"/>
      <w:bookmarkEnd w:id="166"/>
      <w:bookmarkEnd w:id="167"/>
      <w:bookmarkEnd w:id="168"/>
    </w:p>
    <w:p>
      <w:pPr>
        <w:pStyle w:val="5"/>
        <w:ind w:firstLine="240"/>
        <w:rPr>
          <w:rFonts w:hint="eastAsia"/>
          <w:b/>
          <w:sz w:val="30"/>
          <w:szCs w:val="30"/>
        </w:rPr>
      </w:pPr>
    </w:p>
    <w:p>
      <w:pPr>
        <w:jc w:val="center"/>
        <w:rPr>
          <w:rFonts w:hint="eastAsia"/>
        </w:rPr>
      </w:pPr>
      <w:r>
        <w:rPr>
          <w:rFonts w:hint="eastAsia"/>
        </w:rPr>
        <w:t>法定代表人授权书</w:t>
      </w:r>
    </w:p>
    <w:p>
      <w:pPr>
        <w:jc w:val="center"/>
        <w:rPr>
          <w:rFonts w:hint="eastAsia"/>
        </w:rPr>
      </w:pPr>
    </w:p>
    <w:p>
      <w:pPr>
        <w:rPr>
          <w:rFonts w:hint="eastAsia"/>
        </w:rPr>
      </w:pPr>
    </w:p>
    <w:p>
      <w:pPr>
        <w:ind w:firstLine="120" w:firstLineChars="50"/>
        <w:rPr>
          <w:rFonts w:hint="eastAsia"/>
        </w:rPr>
      </w:pPr>
      <w:r>
        <w:rPr>
          <w:rFonts w:hint="eastAsia"/>
        </w:rPr>
        <w:t>致：__________(招标采购单位名称)</w:t>
      </w:r>
    </w:p>
    <w:p>
      <w:pPr>
        <w:pStyle w:val="33"/>
        <w:spacing w:after="0" w:line="440" w:lineRule="exact"/>
        <w:ind w:left="480" w:firstLine="480" w:firstLineChars="200"/>
        <w:rPr>
          <w:rFonts w:hint="eastAsia" w:hAnsi="宋体"/>
        </w:rPr>
      </w:pPr>
      <w:r>
        <w:rPr>
          <w:rFonts w:hint="eastAsia" w:hAnsi="宋体"/>
        </w:rPr>
        <w:t>我</w:t>
      </w:r>
      <w:r>
        <w:rPr>
          <w:rFonts w:hint="eastAsia" w:hAnsi="宋体"/>
          <w:u w:val="single"/>
        </w:rPr>
        <w:t xml:space="preserve">     </w:t>
      </w:r>
      <w:r>
        <w:rPr>
          <w:rFonts w:hint="eastAsia" w:hAnsi="宋体"/>
        </w:rPr>
        <w:t>（姓名）系</w:t>
      </w:r>
      <w:r>
        <w:rPr>
          <w:rFonts w:hint="eastAsia" w:hAnsi="宋体"/>
          <w:u w:val="single"/>
        </w:rPr>
        <w:t xml:space="preserve">                 </w:t>
      </w:r>
      <w:r>
        <w:rPr>
          <w:rFonts w:hint="eastAsia" w:hAnsi="宋体"/>
        </w:rPr>
        <w:t>（投标人名称）的法定代表人，现授权委托本单位在职职工</w:t>
      </w:r>
      <w:r>
        <w:rPr>
          <w:rFonts w:hint="eastAsia" w:hAnsi="宋体"/>
          <w:u w:val="single"/>
        </w:rPr>
        <w:t xml:space="preserve">      </w:t>
      </w:r>
      <w:r>
        <w:rPr>
          <w:rFonts w:hint="eastAsia" w:hAnsi="宋体"/>
        </w:rPr>
        <w:t>（姓名）以我方的名义参加</w:t>
      </w:r>
      <w:r>
        <w:rPr>
          <w:rFonts w:hint="eastAsia" w:hAnsi="宋体"/>
          <w:u w:val="single"/>
        </w:rPr>
        <w:t xml:space="preserve">          （</w:t>
      </w:r>
      <w:r>
        <w:rPr>
          <w:rFonts w:hint="eastAsia" w:hAnsi="宋体"/>
        </w:rPr>
        <w:t>采购人名称）___________(编号及项目名称)的投标活动，并代表我方全权办理针对上述项目的投标、开标、评标、签约等具体事务和签署相关文件。</w:t>
      </w:r>
    </w:p>
    <w:p>
      <w:pPr>
        <w:pStyle w:val="33"/>
        <w:spacing w:after="0" w:line="440" w:lineRule="exact"/>
        <w:ind w:left="480" w:firstLine="720" w:firstLineChars="300"/>
        <w:rPr>
          <w:rFonts w:hint="eastAsia" w:hAnsi="宋体"/>
        </w:rPr>
      </w:pPr>
      <w:r>
        <w:rPr>
          <w:rFonts w:hint="eastAsia" w:hAnsi="宋体"/>
        </w:rPr>
        <w:t>我方对被授权人的签名事项负全部责任。</w:t>
      </w:r>
    </w:p>
    <w:p>
      <w:pPr>
        <w:pStyle w:val="33"/>
        <w:spacing w:after="0" w:line="440" w:lineRule="exact"/>
        <w:ind w:left="480" w:firstLine="480" w:firstLineChars="200"/>
        <w:rPr>
          <w:rFonts w:hint="eastAsia" w:hAnsi="宋体"/>
        </w:rPr>
      </w:pPr>
      <w:r>
        <w:rPr>
          <w:rFonts w:hint="eastAsia" w:hAnsi="宋体"/>
        </w:rPr>
        <w:t>在撤销授权的书面通知以前，本授权书一直有效。被授权人在授权书有效期内签署的所有文件不因授权的撤销而失效。</w:t>
      </w:r>
    </w:p>
    <w:p>
      <w:pPr>
        <w:pStyle w:val="33"/>
        <w:spacing w:after="0" w:line="440" w:lineRule="exact"/>
        <w:ind w:left="480" w:firstLine="720" w:firstLineChars="300"/>
        <w:rPr>
          <w:rFonts w:hint="eastAsia" w:hAnsi="宋体"/>
        </w:rPr>
      </w:pPr>
      <w:r>
        <w:rPr>
          <w:rFonts w:hint="eastAsia" w:hAnsi="宋体"/>
        </w:rPr>
        <w:t>被授权人无转委托权。特此委托。</w:t>
      </w:r>
    </w:p>
    <w:p>
      <w:pPr>
        <w:pStyle w:val="33"/>
        <w:spacing w:after="0" w:line="440" w:lineRule="exact"/>
        <w:ind w:left="480" w:firstLine="480" w:firstLineChars="200"/>
        <w:rPr>
          <w:rFonts w:hint="eastAsia" w:hAnsi="宋体"/>
        </w:rPr>
      </w:pPr>
    </w:p>
    <w:p>
      <w:pPr>
        <w:pStyle w:val="33"/>
        <w:spacing w:after="0" w:line="440" w:lineRule="exact"/>
        <w:ind w:left="480" w:firstLine="12" w:firstLineChars="5"/>
        <w:rPr>
          <w:rFonts w:hint="eastAsia" w:hAnsi="宋体"/>
        </w:rPr>
      </w:pPr>
      <w:r>
        <w:rPr>
          <w:rFonts w:hint="eastAsia" w:hAnsi="宋体"/>
        </w:rPr>
        <w:t>被授权人签名：___________        法定代表人签名：____________</w:t>
      </w:r>
    </w:p>
    <w:p>
      <w:pPr>
        <w:pStyle w:val="33"/>
        <w:spacing w:after="0" w:line="440" w:lineRule="exact"/>
        <w:ind w:left="708" w:leftChars="295" w:firstLine="960" w:firstLineChars="400"/>
        <w:rPr>
          <w:rFonts w:hint="eastAsia" w:hAnsi="宋体"/>
        </w:rPr>
      </w:pPr>
      <w:r>
        <w:rPr>
          <w:rFonts w:hint="eastAsia" w:hAnsi="宋体"/>
        </w:rPr>
        <w:t>职务：___________                  职务：____________</w:t>
      </w:r>
    </w:p>
    <w:p>
      <w:pPr>
        <w:pStyle w:val="33"/>
        <w:spacing w:after="0" w:line="440" w:lineRule="exact"/>
        <w:ind w:leftChars="175" w:firstLine="360" w:firstLineChars="150"/>
        <w:rPr>
          <w:rFonts w:hint="eastAsia" w:hAnsi="宋体"/>
        </w:rPr>
      </w:pPr>
      <w:r>
        <w:rPr>
          <w:rFonts w:hint="eastAsia" w:hAnsi="宋体"/>
        </w:rPr>
        <w:t>被授权人身份证号码：___________________</w:t>
      </w:r>
    </w:p>
    <w:p>
      <w:pPr>
        <w:pStyle w:val="33"/>
        <w:spacing w:after="0" w:line="440" w:lineRule="exact"/>
        <w:ind w:left="480" w:firstLine="480" w:firstLineChars="200"/>
        <w:rPr>
          <w:rFonts w:hint="eastAsia" w:hAnsi="宋体"/>
        </w:rPr>
      </w:pPr>
    </w:p>
    <w:p>
      <w:pPr>
        <w:pStyle w:val="33"/>
        <w:spacing w:after="0" w:line="400" w:lineRule="exact"/>
        <w:ind w:left="480" w:firstLine="480" w:firstLineChars="200"/>
        <w:rPr>
          <w:rFonts w:hint="eastAsia" w:hAnsi="宋体"/>
        </w:rPr>
      </w:pPr>
    </w:p>
    <w:p>
      <w:pPr>
        <w:pStyle w:val="33"/>
        <w:spacing w:after="0" w:line="400" w:lineRule="exact"/>
        <w:ind w:left="708" w:leftChars="295" w:firstLine="3972" w:firstLineChars="1655"/>
        <w:rPr>
          <w:rFonts w:hint="eastAsia" w:hAnsi="宋体"/>
        </w:rPr>
      </w:pPr>
      <w:r>
        <w:rPr>
          <w:rFonts w:hint="eastAsia" w:hAnsi="宋体"/>
        </w:rPr>
        <w:t>投标人公章：</w:t>
      </w:r>
    </w:p>
    <w:p>
      <w:pPr>
        <w:pStyle w:val="33"/>
        <w:spacing w:after="0" w:line="400" w:lineRule="exact"/>
        <w:ind w:left="480" w:firstLine="480" w:firstLineChars="200"/>
        <w:rPr>
          <w:rFonts w:hint="eastAsia" w:hAnsi="宋体"/>
        </w:rPr>
      </w:pPr>
    </w:p>
    <w:p>
      <w:pPr>
        <w:pStyle w:val="33"/>
        <w:spacing w:after="0" w:line="400" w:lineRule="exact"/>
        <w:ind w:left="480" w:firstLine="480" w:firstLineChars="200"/>
        <w:rPr>
          <w:rFonts w:hint="eastAsia" w:hAnsi="宋体"/>
        </w:rPr>
      </w:pPr>
      <w:r>
        <w:rPr>
          <w:rFonts w:hint="eastAsia" w:hAnsi="宋体"/>
        </w:rPr>
        <w:t xml:space="preserve">                             日期：     年    月   日</w:t>
      </w:r>
    </w:p>
    <w:p>
      <w:pPr>
        <w:pStyle w:val="33"/>
        <w:spacing w:after="0" w:line="400" w:lineRule="exact"/>
        <w:ind w:left="480" w:firstLine="480" w:firstLineChars="200"/>
        <w:rPr>
          <w:rFonts w:hint="eastAsia" w:hAnsi="宋体"/>
        </w:rPr>
      </w:pPr>
    </w:p>
    <w:p>
      <w:pPr>
        <w:pStyle w:val="33"/>
        <w:spacing w:after="0" w:line="400" w:lineRule="exact"/>
        <w:ind w:left="480" w:firstLine="480" w:firstLineChars="200"/>
        <w:rPr>
          <w:rFonts w:hint="eastAsia" w:ascii="仿宋_GB2312" w:hAnsi="宋体" w:eastAsia="仿宋_GB2312"/>
        </w:rPr>
      </w:pPr>
    </w:p>
    <w:p>
      <w:pPr>
        <w:widowControl/>
        <w:spacing w:line="440" w:lineRule="atLeast"/>
        <w:ind w:firstLine="300"/>
        <w:rPr>
          <w:rFonts w:hint="eastAsia" w:ascii="宋体" w:hAnsi="宋体"/>
          <w:b/>
          <w:bCs/>
          <w:kern w:val="0"/>
        </w:rPr>
      </w:pPr>
    </w:p>
    <w:p>
      <w:pPr>
        <w:widowControl/>
        <w:spacing w:line="440" w:lineRule="atLeast"/>
        <w:ind w:firstLine="300"/>
        <w:rPr>
          <w:rFonts w:hint="eastAsia" w:ascii="宋体" w:hAnsi="宋体"/>
          <w:b/>
          <w:bCs/>
          <w:kern w:val="0"/>
        </w:rPr>
      </w:pPr>
    </w:p>
    <w:p>
      <w:pPr>
        <w:widowControl/>
        <w:spacing w:line="440" w:lineRule="atLeast"/>
        <w:ind w:firstLine="300"/>
        <w:rPr>
          <w:rFonts w:hint="eastAsia" w:ascii="宋体" w:hAnsi="宋体"/>
          <w:b/>
          <w:bCs/>
          <w:kern w:val="0"/>
        </w:rPr>
      </w:pPr>
    </w:p>
    <w:p>
      <w:pPr>
        <w:widowControl/>
        <w:spacing w:line="440" w:lineRule="atLeast"/>
        <w:ind w:firstLine="300"/>
        <w:rPr>
          <w:rFonts w:hint="eastAsia" w:ascii="宋体" w:hAnsi="宋体"/>
          <w:b/>
          <w:bCs/>
          <w:kern w:val="0"/>
        </w:rPr>
      </w:pPr>
    </w:p>
    <w:p>
      <w:pPr>
        <w:pStyle w:val="3"/>
        <w:rPr>
          <w:rFonts w:hint="eastAsia" w:ascii="Times New Roman" w:hAnsi="Times New Roman" w:eastAsia="宋体"/>
          <w:sz w:val="30"/>
          <w:szCs w:val="30"/>
        </w:rPr>
      </w:pPr>
      <w:bookmarkStart w:id="169" w:name="_Toc528046858"/>
      <w:bookmarkStart w:id="170" w:name="_Toc458419365"/>
      <w:bookmarkStart w:id="171" w:name="_Toc456345921"/>
      <w:r>
        <w:rPr>
          <w:rFonts w:hint="eastAsia" w:ascii="Times New Roman" w:hAnsi="Times New Roman" w:eastAsia="宋体"/>
          <w:sz w:val="30"/>
          <w:szCs w:val="30"/>
        </w:rPr>
        <w:t>三、供应商市场行为信誉情况承诺书</w:t>
      </w:r>
      <w:bookmarkEnd w:id="169"/>
      <w:bookmarkEnd w:id="170"/>
      <w:bookmarkEnd w:id="171"/>
    </w:p>
    <w:tbl>
      <w:tblPr>
        <w:tblStyle w:val="7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1"/>
        <w:gridCol w:w="813"/>
        <w:gridCol w:w="176"/>
        <w:gridCol w:w="1629"/>
        <w:gridCol w:w="1016"/>
        <w:gridCol w:w="1684"/>
        <w:gridCol w:w="21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2080" w:type="dxa"/>
            <w:gridSpan w:val="3"/>
            <w:tcBorders>
              <w:top w:val="single"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rPr>
            </w:pPr>
            <w:r>
              <w:rPr>
                <w:rFonts w:ascii="宋体" w:hAnsi="宋体"/>
              </w:rPr>
              <w:t>投</w:t>
            </w:r>
            <w:r>
              <w:rPr>
                <w:rFonts w:hint="eastAsia" w:ascii="宋体" w:hAnsi="宋体"/>
              </w:rPr>
              <w:t>（竞）</w:t>
            </w:r>
            <w:r>
              <w:rPr>
                <w:rFonts w:ascii="宋体" w:hAnsi="宋体"/>
              </w:rPr>
              <w:t>标</w:t>
            </w:r>
            <w:r>
              <w:rPr>
                <w:rFonts w:hint="eastAsia" w:ascii="宋体" w:hAnsi="宋体"/>
              </w:rPr>
              <w:t>供应商</w:t>
            </w:r>
            <w:r>
              <w:rPr>
                <w:rFonts w:ascii="宋体" w:hAnsi="宋体"/>
              </w:rPr>
              <w:t xml:space="preserve">名称 </w:t>
            </w:r>
          </w:p>
        </w:tc>
        <w:tc>
          <w:tcPr>
            <w:tcW w:w="2645" w:type="dxa"/>
            <w:gridSpan w:val="2"/>
            <w:tcBorders>
              <w:top w:val="single"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sz w:val="18"/>
                <w:szCs w:val="18"/>
              </w:rPr>
            </w:pPr>
          </w:p>
        </w:tc>
        <w:tc>
          <w:tcPr>
            <w:tcW w:w="1684" w:type="dxa"/>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hint="eastAsia" w:ascii="宋体" w:hAnsi="宋体"/>
              </w:rPr>
            </w:pPr>
            <w:r>
              <w:rPr>
                <w:rFonts w:ascii="宋体" w:hAnsi="宋体"/>
              </w:rPr>
              <w:t>企业资质等级</w:t>
            </w:r>
          </w:p>
          <w:p>
            <w:pPr>
              <w:spacing w:before="100" w:beforeAutospacing="1" w:after="100" w:afterAutospacing="1" w:line="260" w:lineRule="exact"/>
              <w:jc w:val="center"/>
              <w:rPr>
                <w:rFonts w:ascii="宋体" w:hAnsi="宋体"/>
              </w:rPr>
            </w:pPr>
            <w:r>
              <w:rPr>
                <w:rFonts w:hint="eastAsia" w:ascii="宋体" w:hAnsi="宋体"/>
              </w:rPr>
              <w:t>（如 有）</w:t>
            </w:r>
            <w:r>
              <w:rPr>
                <w:rFonts w:ascii="宋体" w:hAnsi="宋体"/>
              </w:rPr>
              <w:t xml:space="preserve"> </w:t>
            </w:r>
          </w:p>
        </w:tc>
        <w:tc>
          <w:tcPr>
            <w:tcW w:w="2113" w:type="dxa"/>
            <w:tcBorders>
              <w:top w:val="single"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2080"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rPr>
            </w:pPr>
            <w:r>
              <w:rPr>
                <w:rFonts w:ascii="宋体" w:hAnsi="宋体"/>
              </w:rPr>
              <w:t xml:space="preserve">企 业 地 址 </w:t>
            </w:r>
          </w:p>
        </w:tc>
        <w:tc>
          <w:tcPr>
            <w:tcW w:w="2645" w:type="dxa"/>
            <w:gridSpan w:val="2"/>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sz w:val="18"/>
                <w:szCs w:val="18"/>
              </w:rPr>
            </w:pPr>
          </w:p>
        </w:tc>
        <w:tc>
          <w:tcPr>
            <w:tcW w:w="1684"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rPr>
            </w:pPr>
            <w:r>
              <w:rPr>
                <w:rFonts w:ascii="宋体" w:hAnsi="宋体"/>
              </w:rPr>
              <w:t xml:space="preserve">联 系 电 话 </w:t>
            </w:r>
          </w:p>
        </w:tc>
        <w:tc>
          <w:tcPr>
            <w:tcW w:w="2113" w:type="dxa"/>
            <w:tcBorders>
              <w:top w:val="dotted"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50" w:hRule="atLeast"/>
        </w:trPr>
        <w:tc>
          <w:tcPr>
            <w:tcW w:w="2080"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rPr>
            </w:pPr>
            <w:r>
              <w:rPr>
                <w:rFonts w:hint="eastAsia" w:ascii="宋体" w:hAnsi="宋体"/>
              </w:rPr>
              <w:t>拟投（竞）标项目</w:t>
            </w:r>
            <w:r>
              <w:rPr>
                <w:rFonts w:ascii="宋体" w:hAnsi="宋体"/>
              </w:rPr>
              <w:t xml:space="preserve">名称 </w:t>
            </w:r>
          </w:p>
        </w:tc>
        <w:tc>
          <w:tcPr>
            <w:tcW w:w="2645" w:type="dxa"/>
            <w:gridSpan w:val="2"/>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sz w:val="18"/>
                <w:szCs w:val="18"/>
              </w:rPr>
            </w:pPr>
          </w:p>
        </w:tc>
        <w:tc>
          <w:tcPr>
            <w:tcW w:w="1684"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rPr>
            </w:pPr>
            <w:r>
              <w:rPr>
                <w:rFonts w:hint="eastAsia" w:ascii="宋体" w:hAnsi="宋体"/>
              </w:rPr>
              <w:t>拟投标项目负责人</w:t>
            </w:r>
            <w:r>
              <w:rPr>
                <w:rFonts w:ascii="宋体" w:hAnsi="宋体"/>
              </w:rPr>
              <w:t xml:space="preserve">姓名及资质 </w:t>
            </w:r>
          </w:p>
        </w:tc>
        <w:tc>
          <w:tcPr>
            <w:tcW w:w="2113" w:type="dxa"/>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970" w:hRule="atLeast"/>
        </w:trPr>
        <w:tc>
          <w:tcPr>
            <w:tcW w:w="1091" w:type="dxa"/>
            <w:vMerge w:val="restart"/>
            <w:tcBorders>
              <w:top w:val="single" w:color="auto" w:sz="4" w:space="0"/>
              <w:left w:val="single" w:color="auto" w:sz="4" w:space="0"/>
              <w:right w:val="dotted" w:color="auto" w:sz="4" w:space="0"/>
            </w:tcBorders>
            <w:noWrap w:val="0"/>
            <w:vAlign w:val="center"/>
          </w:tcPr>
          <w:p>
            <w:pPr>
              <w:spacing w:before="100" w:beforeAutospacing="1" w:after="100" w:afterAutospacing="1" w:line="260" w:lineRule="exact"/>
              <w:jc w:val="center"/>
              <w:rPr>
                <w:rFonts w:ascii="宋体" w:hAnsi="宋体"/>
              </w:rPr>
            </w:pPr>
            <w:r>
              <w:rPr>
                <w:rFonts w:hint="eastAsia" w:ascii="宋体" w:hAnsi="宋体"/>
              </w:rPr>
              <w:t>供应商</w:t>
            </w:r>
          </w:p>
          <w:p>
            <w:pPr>
              <w:spacing w:before="100" w:beforeAutospacing="1" w:after="100" w:afterAutospacing="1" w:line="260" w:lineRule="exact"/>
              <w:jc w:val="center"/>
              <w:rPr>
                <w:rFonts w:ascii="宋体" w:hAnsi="宋体"/>
              </w:rPr>
            </w:pPr>
            <w:r>
              <w:rPr>
                <w:rFonts w:ascii="宋体" w:hAnsi="宋体"/>
              </w:rPr>
              <w:t>市场</w:t>
            </w:r>
          </w:p>
          <w:p>
            <w:pPr>
              <w:spacing w:before="100" w:beforeAutospacing="1" w:after="100" w:afterAutospacing="1" w:line="260" w:lineRule="exact"/>
              <w:jc w:val="center"/>
              <w:rPr>
                <w:rFonts w:ascii="宋体" w:hAnsi="宋体"/>
              </w:rPr>
            </w:pPr>
            <w:r>
              <w:rPr>
                <w:rFonts w:ascii="宋体" w:hAnsi="宋体"/>
              </w:rPr>
              <w:t>行为</w:t>
            </w:r>
          </w:p>
          <w:p>
            <w:pPr>
              <w:spacing w:before="100" w:beforeAutospacing="1" w:after="100" w:afterAutospacing="1" w:line="260" w:lineRule="exact"/>
              <w:jc w:val="center"/>
              <w:rPr>
                <w:rFonts w:ascii="宋体" w:hAnsi="宋体"/>
              </w:rPr>
            </w:pPr>
            <w:r>
              <w:rPr>
                <w:rFonts w:ascii="宋体" w:hAnsi="宋体"/>
              </w:rPr>
              <w:t>信用</w:t>
            </w:r>
          </w:p>
          <w:p>
            <w:pPr>
              <w:spacing w:before="100" w:beforeAutospacing="1" w:after="100" w:afterAutospacing="1" w:line="260" w:lineRule="exact"/>
              <w:jc w:val="center"/>
              <w:rPr>
                <w:rFonts w:ascii="宋体" w:hAnsi="宋体"/>
              </w:rPr>
            </w:pPr>
            <w:r>
              <w:rPr>
                <w:rFonts w:ascii="宋体" w:hAnsi="宋体"/>
              </w:rPr>
              <w:t>情况</w:t>
            </w:r>
          </w:p>
        </w:tc>
        <w:tc>
          <w:tcPr>
            <w:tcW w:w="2618"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rFonts w:hint="eastAsia" w:ascii="宋体" w:hAnsi="宋体"/>
              </w:rPr>
            </w:pPr>
            <w:r>
              <w:rPr>
                <w:rFonts w:ascii="宋体" w:hAnsi="宋体"/>
              </w:rPr>
              <w:t>有无</w:t>
            </w:r>
            <w:r>
              <w:rPr>
                <w:rFonts w:hint="eastAsia" w:ascii="宋体" w:hAnsi="宋体"/>
              </w:rPr>
              <w:t>不良行为受到记录公告，正在公告期内的情况</w:t>
            </w:r>
          </w:p>
        </w:tc>
        <w:tc>
          <w:tcPr>
            <w:tcW w:w="4813" w:type="dxa"/>
            <w:gridSpan w:val="3"/>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970" w:hRule="atLeast"/>
        </w:trPr>
        <w:tc>
          <w:tcPr>
            <w:tcW w:w="1091" w:type="dxa"/>
            <w:vMerge w:val="continue"/>
            <w:tcBorders>
              <w:top w:val="single" w:color="auto" w:sz="4" w:space="0"/>
              <w:left w:val="single" w:color="auto" w:sz="4" w:space="0"/>
              <w:right w:val="dotted" w:color="auto" w:sz="4" w:space="0"/>
            </w:tcBorders>
            <w:noWrap w:val="0"/>
            <w:vAlign w:val="center"/>
          </w:tcPr>
          <w:p>
            <w:pPr>
              <w:spacing w:before="100" w:beforeAutospacing="1" w:after="100" w:afterAutospacing="1" w:line="260" w:lineRule="exact"/>
              <w:jc w:val="center"/>
              <w:rPr>
                <w:rFonts w:hint="eastAsia" w:ascii="宋体" w:hAnsi="宋体"/>
              </w:rPr>
            </w:pPr>
          </w:p>
        </w:tc>
        <w:tc>
          <w:tcPr>
            <w:tcW w:w="2618"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rFonts w:hint="eastAsia" w:ascii="宋体" w:hAnsi="宋体"/>
              </w:rPr>
            </w:pPr>
            <w:r>
              <w:rPr>
                <w:rFonts w:hint="eastAsia" w:ascii="宋体" w:hAnsi="宋体"/>
              </w:rPr>
              <w:t>申请报名前三年内，在经营活动中有无重大违法记录</w:t>
            </w:r>
          </w:p>
        </w:tc>
        <w:tc>
          <w:tcPr>
            <w:tcW w:w="4813" w:type="dxa"/>
            <w:gridSpan w:val="3"/>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970" w:hRule="atLeast"/>
        </w:trPr>
        <w:tc>
          <w:tcPr>
            <w:tcW w:w="1091" w:type="dxa"/>
            <w:vMerge w:val="continue"/>
            <w:tcBorders>
              <w:left w:val="single" w:color="auto" w:sz="4" w:space="0"/>
              <w:right w:val="dotted" w:color="auto" w:sz="4" w:space="0"/>
            </w:tcBorders>
            <w:noWrap w:val="0"/>
            <w:vAlign w:val="center"/>
          </w:tcPr>
          <w:p>
            <w:pPr>
              <w:spacing w:line="260" w:lineRule="exact"/>
              <w:rPr>
                <w:rFonts w:ascii="宋体" w:hAnsi="宋体"/>
              </w:rPr>
            </w:pPr>
          </w:p>
        </w:tc>
        <w:tc>
          <w:tcPr>
            <w:tcW w:w="2618" w:type="dxa"/>
            <w:gridSpan w:val="3"/>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rFonts w:hint="eastAsia" w:ascii="宋体" w:hAnsi="宋体"/>
              </w:rPr>
            </w:pPr>
          </w:p>
        </w:tc>
        <w:tc>
          <w:tcPr>
            <w:tcW w:w="4813" w:type="dxa"/>
            <w:gridSpan w:val="3"/>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970" w:hRule="atLeast"/>
        </w:trPr>
        <w:tc>
          <w:tcPr>
            <w:tcW w:w="1091" w:type="dxa"/>
            <w:vMerge w:val="continue"/>
            <w:tcBorders>
              <w:left w:val="single" w:color="auto" w:sz="4" w:space="0"/>
              <w:right w:val="dotted" w:color="auto" w:sz="4" w:space="0"/>
            </w:tcBorders>
            <w:noWrap w:val="0"/>
            <w:vAlign w:val="center"/>
          </w:tcPr>
          <w:p>
            <w:pPr>
              <w:spacing w:before="100" w:beforeAutospacing="1" w:after="100" w:afterAutospacing="1" w:line="260" w:lineRule="exact"/>
              <w:jc w:val="center"/>
              <w:rPr>
                <w:rFonts w:ascii="宋体" w:hAnsi="宋体"/>
              </w:rPr>
            </w:pPr>
          </w:p>
        </w:tc>
        <w:tc>
          <w:tcPr>
            <w:tcW w:w="2618"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rPr>
            </w:pPr>
          </w:p>
        </w:tc>
        <w:tc>
          <w:tcPr>
            <w:tcW w:w="4813" w:type="dxa"/>
            <w:gridSpan w:val="3"/>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970" w:hRule="atLeast"/>
        </w:trPr>
        <w:tc>
          <w:tcPr>
            <w:tcW w:w="1091" w:type="dxa"/>
            <w:vMerge w:val="continue"/>
            <w:tcBorders>
              <w:left w:val="single" w:color="auto" w:sz="4" w:space="0"/>
              <w:bottom w:val="dotted" w:color="auto" w:sz="4" w:space="0"/>
              <w:right w:val="dotted" w:color="auto" w:sz="4" w:space="0"/>
            </w:tcBorders>
            <w:noWrap w:val="0"/>
            <w:vAlign w:val="center"/>
          </w:tcPr>
          <w:p>
            <w:pPr>
              <w:spacing w:line="260" w:lineRule="exact"/>
              <w:rPr>
                <w:rFonts w:ascii="宋体" w:hAnsi="宋体"/>
              </w:rPr>
            </w:pPr>
          </w:p>
        </w:tc>
        <w:tc>
          <w:tcPr>
            <w:tcW w:w="2618" w:type="dxa"/>
            <w:gridSpan w:val="3"/>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rPr>
            </w:pPr>
          </w:p>
        </w:tc>
        <w:tc>
          <w:tcPr>
            <w:tcW w:w="4813" w:type="dxa"/>
            <w:gridSpan w:val="3"/>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782" w:hRule="atLeast"/>
        </w:trPr>
        <w:tc>
          <w:tcPr>
            <w:tcW w:w="1904" w:type="dxa"/>
            <w:gridSpan w:val="2"/>
            <w:tcBorders>
              <w:top w:val="dotted" w:color="auto" w:sz="4" w:space="0"/>
              <w:left w:val="single" w:color="auto" w:sz="4" w:space="0"/>
              <w:bottom w:val="single" w:color="auto" w:sz="4" w:space="0"/>
              <w:right w:val="dotted" w:color="auto" w:sz="4" w:space="0"/>
            </w:tcBorders>
            <w:noWrap w:val="0"/>
            <w:vAlign w:val="center"/>
          </w:tcPr>
          <w:p>
            <w:pPr>
              <w:spacing w:before="100" w:beforeAutospacing="1" w:after="100" w:afterAutospacing="1" w:line="260" w:lineRule="exact"/>
              <w:jc w:val="center"/>
              <w:rPr>
                <w:rFonts w:hint="eastAsia" w:ascii="宋体" w:hAnsi="宋体"/>
              </w:rPr>
            </w:pPr>
            <w:r>
              <w:rPr>
                <w:rFonts w:ascii="宋体" w:hAnsi="宋体"/>
              </w:rPr>
              <w:t>投标</w:t>
            </w:r>
            <w:r>
              <w:rPr>
                <w:rFonts w:hint="eastAsia" w:ascii="宋体" w:hAnsi="宋体"/>
              </w:rPr>
              <w:t>供应商</w:t>
            </w:r>
          </w:p>
          <w:p>
            <w:pPr>
              <w:spacing w:before="100" w:beforeAutospacing="1" w:after="100" w:afterAutospacing="1" w:line="260" w:lineRule="exact"/>
              <w:jc w:val="center"/>
              <w:rPr>
                <w:rFonts w:ascii="宋体" w:hAnsi="宋体"/>
              </w:rPr>
            </w:pPr>
            <w:r>
              <w:rPr>
                <w:rFonts w:ascii="宋体" w:hAnsi="宋体"/>
              </w:rPr>
              <w:t xml:space="preserve"> 声 明 </w:t>
            </w:r>
          </w:p>
        </w:tc>
        <w:tc>
          <w:tcPr>
            <w:tcW w:w="6618" w:type="dxa"/>
            <w:gridSpan w:val="5"/>
            <w:tcBorders>
              <w:top w:val="dotted" w:color="auto" w:sz="4" w:space="0"/>
              <w:left w:val="dotted" w:color="auto" w:sz="4" w:space="0"/>
              <w:bottom w:val="single" w:color="auto" w:sz="4" w:space="0"/>
              <w:right w:val="single" w:color="auto" w:sz="4" w:space="0"/>
            </w:tcBorders>
            <w:noWrap w:val="0"/>
            <w:vAlign w:val="top"/>
          </w:tcPr>
          <w:p>
            <w:pPr>
              <w:pStyle w:val="33"/>
              <w:spacing w:line="260" w:lineRule="exact"/>
              <w:ind w:left="480" w:firstLine="411" w:firstLineChars="196"/>
              <w:rPr>
                <w:rFonts w:hAnsi="宋体"/>
                <w:sz w:val="21"/>
                <w:szCs w:val="18"/>
              </w:rPr>
            </w:pPr>
            <w:r>
              <w:rPr>
                <w:rFonts w:hint="eastAsia" w:hAnsi="宋体"/>
                <w:sz w:val="21"/>
                <w:szCs w:val="18"/>
              </w:rPr>
              <w:t>以上内容是本企业市场行为信用的真实反映，如有不实，愿取消本项目投标资格。</w:t>
            </w:r>
          </w:p>
          <w:p>
            <w:pPr>
              <w:spacing w:before="100" w:beforeAutospacing="1" w:after="100" w:afterAutospacing="1" w:line="260" w:lineRule="exact"/>
              <w:jc w:val="center"/>
              <w:rPr>
                <w:rFonts w:ascii="宋体" w:hAnsi="宋体"/>
              </w:rPr>
            </w:pPr>
            <w:r>
              <w:rPr>
                <w:rFonts w:ascii="宋体" w:hAnsi="宋体"/>
              </w:rPr>
              <w:t>法</w:t>
            </w:r>
            <w:r>
              <w:rPr>
                <w:rFonts w:hint="eastAsia" w:ascii="宋体" w:hAnsi="宋体"/>
              </w:rPr>
              <w:t>定代表</w:t>
            </w:r>
            <w:r>
              <w:rPr>
                <w:rFonts w:ascii="宋体" w:hAnsi="宋体"/>
              </w:rPr>
              <w:t xml:space="preserve">人签名： </w:t>
            </w:r>
          </w:p>
          <w:p>
            <w:pPr>
              <w:spacing w:before="100" w:beforeAutospacing="1" w:after="100" w:afterAutospacing="1" w:line="260" w:lineRule="exact"/>
              <w:jc w:val="center"/>
              <w:rPr>
                <w:rFonts w:ascii="宋体" w:hAnsi="宋体"/>
              </w:rPr>
            </w:pPr>
            <w:r>
              <w:rPr>
                <w:rFonts w:ascii="宋体" w:hAnsi="宋体"/>
              </w:rPr>
              <w:t xml:space="preserve">(单位公章) </w:t>
            </w:r>
          </w:p>
          <w:p>
            <w:pPr>
              <w:spacing w:before="100" w:beforeAutospacing="1" w:after="100" w:afterAutospacing="1" w:line="260" w:lineRule="exact"/>
              <w:jc w:val="center"/>
              <w:rPr>
                <w:rFonts w:ascii="宋体" w:hAnsi="宋体"/>
              </w:rPr>
            </w:pPr>
            <w:r>
              <w:rPr>
                <w:rFonts w:hint="eastAsia" w:ascii="宋体" w:hAnsi="宋体"/>
              </w:rPr>
              <w:t xml:space="preserve">               </w:t>
            </w:r>
            <w:r>
              <w:rPr>
                <w:rFonts w:ascii="宋体" w:hAnsi="宋体"/>
              </w:rPr>
              <w:t xml:space="preserve">日 期： </w:t>
            </w:r>
            <w:r>
              <w:rPr>
                <w:rFonts w:hint="eastAsia" w:ascii="宋体" w:hAnsi="宋体"/>
              </w:rPr>
              <w:t xml:space="preserve">   </w:t>
            </w:r>
            <w:r>
              <w:rPr>
                <w:rFonts w:ascii="宋体" w:hAnsi="宋体"/>
              </w:rPr>
              <w:t xml:space="preserve">年 </w:t>
            </w:r>
            <w:r>
              <w:rPr>
                <w:rFonts w:hint="eastAsia" w:ascii="宋体" w:hAnsi="宋体"/>
              </w:rPr>
              <w:t xml:space="preserve"> </w:t>
            </w:r>
            <w:r>
              <w:rPr>
                <w:rFonts w:ascii="宋体" w:hAnsi="宋体"/>
              </w:rPr>
              <w:t>月</w:t>
            </w:r>
            <w:r>
              <w:rPr>
                <w:rFonts w:hint="eastAsia" w:ascii="宋体" w:hAnsi="宋体"/>
              </w:rPr>
              <w:t xml:space="preserve">  </w:t>
            </w:r>
            <w:r>
              <w:rPr>
                <w:rFonts w:ascii="宋体" w:hAnsi="宋体"/>
              </w:rPr>
              <w:t xml:space="preserve"> 日 </w:t>
            </w:r>
          </w:p>
        </w:tc>
      </w:tr>
    </w:tbl>
    <w:p>
      <w:pPr>
        <w:rPr>
          <w:rFonts w:hint="eastAsia"/>
        </w:rPr>
      </w:pPr>
      <w:r>
        <w:rPr>
          <w:rFonts w:hint="eastAsia"/>
        </w:rPr>
        <w:t>注：1.本表格须如实填写；</w:t>
      </w:r>
    </w:p>
    <w:p>
      <w:pPr>
        <w:ind w:firstLine="480" w:firstLineChars="200"/>
      </w:pPr>
      <w:r>
        <w:rPr>
          <w:rFonts w:hint="eastAsia"/>
        </w:rPr>
        <w:t>2.本表格作为投（竞）标文件的商务部分内容放入投（竞）标文件中；</w:t>
      </w:r>
    </w:p>
    <w:p>
      <w:pPr>
        <w:ind w:firstLine="480" w:firstLineChars="200"/>
        <w:rPr>
          <w:rFonts w:hint="eastAsia"/>
        </w:rPr>
      </w:pPr>
      <w:r>
        <w:rPr>
          <w:rFonts w:hint="eastAsia"/>
        </w:rPr>
        <w:t>3.本表格由供应商自己填写，若无表中所列情况，则在相应栏中写“无“，若有，须按具体次数分别说明（包括处罚时间、事由、处罚主体等）。</w:t>
      </w:r>
    </w:p>
    <w:p>
      <w:pPr>
        <w:widowControl/>
        <w:spacing w:line="440" w:lineRule="atLeast"/>
        <w:ind w:firstLine="300"/>
        <w:rPr>
          <w:rFonts w:hint="eastAsia" w:ascii="宋体" w:hAnsi="宋体"/>
          <w:b/>
          <w:bCs/>
          <w:kern w:val="0"/>
        </w:rPr>
      </w:pPr>
    </w:p>
    <w:p>
      <w:pPr>
        <w:widowControl/>
        <w:spacing w:line="440" w:lineRule="atLeast"/>
        <w:ind w:firstLine="300"/>
        <w:rPr>
          <w:rFonts w:hint="eastAsia" w:ascii="宋体" w:hAnsi="宋体"/>
          <w:b/>
          <w:bCs/>
          <w:kern w:val="0"/>
        </w:rPr>
      </w:pPr>
    </w:p>
    <w:p>
      <w:pPr>
        <w:widowControl/>
        <w:spacing w:line="440" w:lineRule="atLeast"/>
        <w:rPr>
          <w:rFonts w:hint="eastAsia" w:ascii="宋体" w:hAnsi="宋体"/>
          <w:b/>
          <w:bCs/>
          <w:kern w:val="0"/>
        </w:rPr>
      </w:pPr>
    </w:p>
    <w:p>
      <w:pPr>
        <w:pStyle w:val="3"/>
        <w:rPr>
          <w:rFonts w:hint="eastAsia" w:ascii="宋体" w:hAnsi="宋体" w:eastAsia="宋体"/>
          <w:sz w:val="30"/>
          <w:szCs w:val="30"/>
        </w:rPr>
      </w:pPr>
      <w:bookmarkStart w:id="172" w:name="_Toc180555955"/>
      <w:bookmarkStart w:id="173" w:name="_Toc226337797"/>
      <w:bookmarkStart w:id="174" w:name="_Toc456345922"/>
      <w:bookmarkStart w:id="175" w:name="_Toc248065075"/>
      <w:bookmarkStart w:id="176" w:name="_Toc16808"/>
      <w:bookmarkStart w:id="177" w:name="_Toc458419366"/>
      <w:bookmarkStart w:id="178" w:name="_Toc528046859"/>
      <w:r>
        <w:rPr>
          <w:rFonts w:hint="eastAsia" w:ascii="宋体" w:hAnsi="宋体" w:eastAsia="宋体"/>
          <w:sz w:val="30"/>
          <w:szCs w:val="30"/>
        </w:rPr>
        <w:t>四、开标一览表</w:t>
      </w:r>
      <w:bookmarkEnd w:id="172"/>
      <w:r>
        <w:rPr>
          <w:rFonts w:hint="eastAsia" w:ascii="宋体" w:hAnsi="宋体" w:eastAsia="宋体"/>
          <w:sz w:val="30"/>
          <w:szCs w:val="30"/>
        </w:rPr>
        <w:t>（报价表）</w:t>
      </w:r>
      <w:bookmarkEnd w:id="173"/>
      <w:bookmarkEnd w:id="174"/>
      <w:bookmarkEnd w:id="175"/>
      <w:bookmarkEnd w:id="176"/>
      <w:bookmarkEnd w:id="177"/>
      <w:bookmarkEnd w:id="178"/>
    </w:p>
    <w:p>
      <w:pPr>
        <w:ind w:firstLine="480"/>
        <w:rPr>
          <w:rFonts w:hint="eastAsia" w:ascii="宋体" w:hAnsi="宋体"/>
          <w:bCs/>
          <w:iCs/>
          <w:szCs w:val="22"/>
          <w:u w:val="single"/>
        </w:rPr>
      </w:pPr>
      <w:r>
        <w:rPr>
          <w:rFonts w:hint="eastAsia" w:ascii="宋体" w:hAnsi="宋体"/>
          <w:bCs/>
          <w:iCs/>
          <w:szCs w:val="22"/>
          <w:u w:val="single"/>
        </w:rPr>
        <w:t>项目名称 ：嵊州市雪亮工程之应急无线通信系统项目</w:t>
      </w:r>
    </w:p>
    <w:p>
      <w:pPr>
        <w:ind w:firstLine="480"/>
        <w:rPr>
          <w:rFonts w:hint="eastAsia" w:ascii="宋体" w:hAnsi="宋体"/>
          <w:bCs/>
          <w:iCs/>
          <w:u w:val="single"/>
        </w:rPr>
      </w:pPr>
    </w:p>
    <w:p>
      <w:pPr>
        <w:ind w:firstLine="480"/>
        <w:rPr>
          <w:rFonts w:hint="eastAsia" w:ascii="宋体" w:hAnsi="宋体"/>
        </w:rPr>
      </w:pPr>
      <w:r>
        <w:rPr>
          <w:rFonts w:hint="eastAsia" w:ascii="宋体" w:hAnsi="宋体"/>
        </w:rPr>
        <w:t>价格单位：（人民币）元</w:t>
      </w:r>
    </w:p>
    <w:p>
      <w:pPr>
        <w:ind w:firstLine="2862" w:firstLineChars="795"/>
        <w:rPr>
          <w:rFonts w:hint="eastAsia" w:ascii="宋体" w:hAnsi="宋体"/>
        </w:rPr>
      </w:pPr>
      <w:r>
        <w:rPr>
          <w:rFonts w:hint="eastAsia" w:ascii="宋体" w:hAnsi="宋体"/>
          <w:b/>
          <w:sz w:val="36"/>
          <w:szCs w:val="36"/>
        </w:rPr>
        <w:t xml:space="preserve">          </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322"/>
        <w:gridCol w:w="833"/>
        <w:gridCol w:w="1410"/>
        <w:gridCol w:w="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6" w:hRule="atLeast"/>
          <w:jc w:val="center"/>
        </w:trPr>
        <w:tc>
          <w:tcPr>
            <w:tcW w:w="878" w:type="dxa"/>
            <w:noWrap w:val="0"/>
            <w:vAlign w:val="center"/>
          </w:tcPr>
          <w:p>
            <w:pPr>
              <w:jc w:val="center"/>
              <w:rPr>
                <w:rFonts w:hint="eastAsia" w:ascii="宋体" w:hAnsi="宋体"/>
                <w:b/>
              </w:rPr>
            </w:pPr>
            <w:r>
              <w:rPr>
                <w:rFonts w:hint="eastAsia" w:ascii="宋体" w:hAnsi="宋体"/>
                <w:b/>
              </w:rPr>
              <w:t>序号</w:t>
            </w:r>
          </w:p>
        </w:tc>
        <w:tc>
          <w:tcPr>
            <w:tcW w:w="3322" w:type="dxa"/>
            <w:noWrap w:val="0"/>
            <w:vAlign w:val="center"/>
          </w:tcPr>
          <w:p>
            <w:pPr>
              <w:jc w:val="center"/>
              <w:rPr>
                <w:rFonts w:hint="eastAsia" w:ascii="宋体" w:hAnsi="宋体"/>
                <w:b/>
              </w:rPr>
            </w:pPr>
            <w:r>
              <w:rPr>
                <w:rFonts w:hint="eastAsia" w:ascii="宋体" w:hAnsi="宋体"/>
                <w:b/>
              </w:rPr>
              <w:t>采购项目内容</w:t>
            </w:r>
          </w:p>
        </w:tc>
        <w:tc>
          <w:tcPr>
            <w:tcW w:w="833" w:type="dxa"/>
            <w:noWrap w:val="0"/>
            <w:vAlign w:val="center"/>
          </w:tcPr>
          <w:p>
            <w:pPr>
              <w:jc w:val="center"/>
              <w:rPr>
                <w:rFonts w:cs="Arial"/>
                <w:kern w:val="0"/>
              </w:rPr>
            </w:pPr>
            <w:r>
              <w:rPr>
                <w:rFonts w:hint="eastAsia" w:ascii="宋体" w:hAnsi="宋体"/>
                <w:b/>
              </w:rPr>
              <w:t>数量</w:t>
            </w:r>
          </w:p>
        </w:tc>
        <w:tc>
          <w:tcPr>
            <w:tcW w:w="1410" w:type="dxa"/>
            <w:noWrap w:val="0"/>
            <w:vAlign w:val="center"/>
          </w:tcPr>
          <w:p>
            <w:pPr>
              <w:jc w:val="center"/>
              <w:rPr>
                <w:rFonts w:hint="eastAsia" w:ascii="宋体" w:hAnsi="宋体"/>
                <w:b/>
              </w:rPr>
            </w:pPr>
            <w:r>
              <w:rPr>
                <w:rFonts w:hint="eastAsia" w:ascii="宋体" w:hAnsi="宋体"/>
                <w:b/>
              </w:rPr>
              <w:t>报价</w:t>
            </w:r>
          </w:p>
        </w:tc>
        <w:tc>
          <w:tcPr>
            <w:tcW w:w="1643" w:type="dxa"/>
            <w:gridSpan w:val="2"/>
            <w:noWrap w:val="0"/>
            <w:vAlign w:val="center"/>
          </w:tcPr>
          <w:p>
            <w:pPr>
              <w:jc w:val="center"/>
              <w:rPr>
                <w:rFonts w:hint="eastAsia" w:ascii="宋体" w:hAnsi="宋体"/>
                <w:b/>
              </w:rPr>
            </w:pPr>
            <w:r>
              <w:rPr>
                <w:rFonts w:hint="eastAsia" w:ascii="宋体" w:hAnsi="宋体"/>
                <w:b/>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4" w:hRule="atLeast"/>
          <w:jc w:val="center"/>
        </w:trPr>
        <w:tc>
          <w:tcPr>
            <w:tcW w:w="878" w:type="dxa"/>
            <w:noWrap w:val="0"/>
            <w:vAlign w:val="center"/>
          </w:tcPr>
          <w:p>
            <w:pPr>
              <w:jc w:val="center"/>
              <w:rPr>
                <w:rFonts w:hint="eastAsia" w:ascii="宋体" w:hAnsi="宋体"/>
              </w:rPr>
            </w:pPr>
            <w:r>
              <w:rPr>
                <w:rFonts w:hint="eastAsia" w:ascii="宋体" w:hAnsi="宋体"/>
              </w:rPr>
              <w:t>1</w:t>
            </w:r>
          </w:p>
        </w:tc>
        <w:tc>
          <w:tcPr>
            <w:tcW w:w="3322" w:type="dxa"/>
            <w:noWrap w:val="0"/>
            <w:vAlign w:val="center"/>
          </w:tcPr>
          <w:p>
            <w:pPr>
              <w:rPr>
                <w:rFonts w:hint="eastAsia"/>
              </w:rPr>
            </w:pPr>
          </w:p>
        </w:tc>
        <w:tc>
          <w:tcPr>
            <w:tcW w:w="833" w:type="dxa"/>
            <w:noWrap w:val="0"/>
            <w:vAlign w:val="center"/>
          </w:tcPr>
          <w:p>
            <w:pPr>
              <w:adjustRightInd w:val="0"/>
              <w:snapToGrid w:val="0"/>
              <w:spacing w:line="336" w:lineRule="auto"/>
              <w:ind w:firstLine="33" w:firstLineChars="14"/>
              <w:jc w:val="center"/>
              <w:rPr>
                <w:rFonts w:hint="eastAsia" w:cs="Arial"/>
                <w:kern w:val="0"/>
              </w:rPr>
            </w:pPr>
            <w:r>
              <w:rPr>
                <w:rFonts w:hint="eastAsia" w:cs="Arial"/>
                <w:kern w:val="0"/>
              </w:rPr>
              <w:t>1</w:t>
            </w:r>
          </w:p>
        </w:tc>
        <w:tc>
          <w:tcPr>
            <w:tcW w:w="1410" w:type="dxa"/>
            <w:noWrap w:val="0"/>
            <w:vAlign w:val="center"/>
          </w:tcPr>
          <w:p>
            <w:pPr>
              <w:jc w:val="center"/>
              <w:rPr>
                <w:rFonts w:hint="eastAsia" w:ascii="宋体" w:hAnsi="宋体"/>
              </w:rPr>
            </w:pPr>
          </w:p>
        </w:tc>
        <w:tc>
          <w:tcPr>
            <w:tcW w:w="1643"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jc w:val="center"/>
        </w:trPr>
        <w:tc>
          <w:tcPr>
            <w:tcW w:w="6450" w:type="dxa"/>
            <w:gridSpan w:val="5"/>
            <w:noWrap w:val="0"/>
            <w:vAlign w:val="center"/>
          </w:tcPr>
          <w:p>
            <w:pPr>
              <w:rPr>
                <w:rFonts w:hint="eastAsia" w:ascii="宋体" w:hAnsi="宋体"/>
              </w:rPr>
            </w:pPr>
            <w:r>
              <w:rPr>
                <w:rFonts w:hint="eastAsia" w:ascii="仿宋_GB2312" w:hAnsi="宋体" w:eastAsia="仿宋_GB2312"/>
                <w:b/>
              </w:rPr>
              <w:t>总报价合计：（人民币大写）</w:t>
            </w:r>
          </w:p>
        </w:tc>
        <w:tc>
          <w:tcPr>
            <w:tcW w:w="1636" w:type="dxa"/>
            <w:noWrap w:val="0"/>
            <w:vAlign w:val="center"/>
          </w:tcPr>
          <w:p>
            <w:pPr>
              <w:rPr>
                <w:rFonts w:hint="eastAsia" w:ascii="宋体" w:hAnsi="宋体"/>
              </w:rPr>
            </w:pPr>
          </w:p>
        </w:tc>
      </w:tr>
    </w:tbl>
    <w:p>
      <w:pPr>
        <w:ind w:firstLine="480"/>
        <w:rPr>
          <w:rFonts w:hint="eastAsia" w:ascii="宋体" w:hAnsi="宋体"/>
        </w:rPr>
      </w:pPr>
    </w:p>
    <w:p>
      <w:pPr>
        <w:spacing w:line="360" w:lineRule="auto"/>
        <w:ind w:firstLine="482"/>
        <w:rPr>
          <w:rFonts w:hint="eastAsia" w:ascii="宋体" w:hAnsi="宋体"/>
        </w:rPr>
      </w:pPr>
      <w:r>
        <w:rPr>
          <w:rFonts w:hint="eastAsia" w:ascii="宋体" w:hAnsi="宋体"/>
        </w:rPr>
        <w:t>注：此表的报价系本次投标所有需买方支付的金额总数即投标报价。</w:t>
      </w:r>
    </w:p>
    <w:p>
      <w:pPr>
        <w:spacing w:line="360" w:lineRule="auto"/>
        <w:ind w:firstLine="482"/>
        <w:rPr>
          <w:rFonts w:hint="eastAsia" w:ascii="宋体" w:hAnsi="宋体"/>
        </w:rPr>
      </w:pPr>
    </w:p>
    <w:p>
      <w:pPr>
        <w:spacing w:line="360" w:lineRule="auto"/>
        <w:ind w:firstLine="482"/>
        <w:rPr>
          <w:rFonts w:hint="eastAsia" w:ascii="宋体" w:hAnsi="宋体"/>
        </w:rPr>
      </w:pPr>
      <w:r>
        <w:rPr>
          <w:rFonts w:hint="eastAsia" w:ascii="宋体" w:hAnsi="宋体"/>
        </w:rPr>
        <w:t>投标人:（盖章）</w:t>
      </w:r>
    </w:p>
    <w:p>
      <w:pPr>
        <w:spacing w:line="360" w:lineRule="auto"/>
        <w:ind w:firstLine="482"/>
        <w:rPr>
          <w:rFonts w:hint="eastAsia" w:ascii="宋体" w:hAnsi="宋体"/>
        </w:rPr>
      </w:pPr>
    </w:p>
    <w:p>
      <w:pPr>
        <w:spacing w:line="360" w:lineRule="auto"/>
        <w:ind w:firstLine="482"/>
        <w:rPr>
          <w:rFonts w:hint="eastAsia" w:ascii="宋体" w:hAnsi="宋体"/>
        </w:rPr>
      </w:pPr>
      <w:r>
        <w:rPr>
          <w:rFonts w:hint="eastAsia" w:ascii="宋体" w:hAnsi="宋体"/>
        </w:rPr>
        <w:t>法定代表人或授权委托代理人：</w:t>
      </w:r>
      <w:r>
        <w:rPr>
          <w:rFonts w:hint="eastAsia" w:ascii="宋体" w:hAnsi="宋体"/>
          <w:szCs w:val="21"/>
        </w:rPr>
        <w:t>（签字）</w:t>
      </w:r>
    </w:p>
    <w:p>
      <w:pPr>
        <w:spacing w:line="360" w:lineRule="auto"/>
        <w:ind w:firstLine="482"/>
        <w:rPr>
          <w:rFonts w:hint="eastAsia" w:ascii="宋体" w:hAnsi="宋体"/>
        </w:rPr>
      </w:pPr>
    </w:p>
    <w:p>
      <w:pPr>
        <w:spacing w:line="360" w:lineRule="auto"/>
        <w:ind w:firstLine="482"/>
        <w:rPr>
          <w:rFonts w:hint="eastAsia" w:ascii="宋体" w:hAnsi="宋体"/>
        </w:rPr>
      </w:pPr>
      <w:r>
        <w:rPr>
          <w:rFonts w:hint="eastAsia" w:ascii="宋体" w:hAnsi="宋体"/>
        </w:rPr>
        <w:t>日  期:</w:t>
      </w:r>
    </w:p>
    <w:p>
      <w:pPr>
        <w:spacing w:line="360" w:lineRule="auto"/>
        <w:ind w:firstLine="482"/>
        <w:rPr>
          <w:rFonts w:hint="eastAsia" w:hAnsi="宋体"/>
        </w:rPr>
      </w:pPr>
    </w:p>
    <w:p>
      <w:pPr>
        <w:spacing w:line="360" w:lineRule="auto"/>
        <w:ind w:firstLine="482"/>
        <w:rPr>
          <w:rFonts w:hint="eastAsia" w:hAnsi="宋体"/>
        </w:rPr>
      </w:pPr>
    </w:p>
    <w:p>
      <w:pPr>
        <w:spacing w:line="360" w:lineRule="auto"/>
        <w:ind w:firstLine="482"/>
        <w:rPr>
          <w:rFonts w:hint="eastAsia" w:hAnsi="宋体"/>
        </w:rPr>
      </w:pPr>
    </w:p>
    <w:p>
      <w:pPr>
        <w:spacing w:line="360" w:lineRule="auto"/>
        <w:ind w:firstLine="482"/>
        <w:rPr>
          <w:rFonts w:hint="eastAsia" w:hAnsi="宋体"/>
        </w:rPr>
      </w:pPr>
    </w:p>
    <w:p>
      <w:pPr>
        <w:spacing w:line="360" w:lineRule="auto"/>
        <w:ind w:firstLine="482"/>
        <w:rPr>
          <w:rFonts w:hint="eastAsia" w:hAnsi="宋体"/>
        </w:rPr>
      </w:pPr>
    </w:p>
    <w:p>
      <w:pPr>
        <w:spacing w:line="360" w:lineRule="auto"/>
        <w:ind w:firstLine="482"/>
        <w:rPr>
          <w:rFonts w:hint="eastAsia" w:hAnsi="宋体"/>
        </w:rPr>
      </w:pPr>
    </w:p>
    <w:p>
      <w:pPr>
        <w:spacing w:line="360" w:lineRule="auto"/>
        <w:ind w:firstLine="482"/>
        <w:rPr>
          <w:rFonts w:hint="eastAsia" w:hAnsi="宋体"/>
        </w:rPr>
      </w:pPr>
    </w:p>
    <w:p>
      <w:pPr>
        <w:spacing w:line="360" w:lineRule="auto"/>
        <w:ind w:firstLine="482"/>
        <w:rPr>
          <w:rFonts w:hint="eastAsia" w:hAnsi="宋体"/>
        </w:rPr>
      </w:pPr>
    </w:p>
    <w:p>
      <w:pPr>
        <w:spacing w:line="360" w:lineRule="auto"/>
        <w:ind w:firstLine="482"/>
        <w:rPr>
          <w:rFonts w:hint="eastAsia" w:hAnsi="宋体"/>
        </w:rPr>
      </w:pPr>
    </w:p>
    <w:p>
      <w:pPr>
        <w:spacing w:line="360" w:lineRule="auto"/>
        <w:ind w:firstLine="482"/>
        <w:rPr>
          <w:rFonts w:hint="eastAsia" w:hAnsi="宋体"/>
        </w:rPr>
      </w:pPr>
    </w:p>
    <w:p>
      <w:pPr>
        <w:pStyle w:val="3"/>
        <w:rPr>
          <w:rFonts w:hint="eastAsia" w:ascii="Times New Roman" w:hAnsi="Times New Roman" w:eastAsia="宋体"/>
          <w:sz w:val="30"/>
          <w:szCs w:val="30"/>
        </w:rPr>
      </w:pPr>
      <w:bookmarkStart w:id="179" w:name="_Toc226337798"/>
      <w:bookmarkStart w:id="180" w:name="_Toc173507483"/>
      <w:bookmarkStart w:id="181" w:name="_Toc458419367"/>
      <w:bookmarkStart w:id="182" w:name="_Toc528046860"/>
      <w:bookmarkStart w:id="183" w:name="_Toc180555956"/>
      <w:bookmarkStart w:id="184" w:name="_Toc248065076"/>
      <w:bookmarkStart w:id="185" w:name="_Toc456345923"/>
      <w:r>
        <w:rPr>
          <w:rFonts w:hint="eastAsia" w:ascii="Times New Roman" w:hAnsi="Times New Roman" w:eastAsia="宋体"/>
          <w:sz w:val="30"/>
          <w:szCs w:val="30"/>
        </w:rPr>
        <w:t>五、投标报价明细表</w:t>
      </w:r>
      <w:bookmarkEnd w:id="179"/>
      <w:bookmarkEnd w:id="180"/>
      <w:bookmarkEnd w:id="181"/>
      <w:bookmarkEnd w:id="182"/>
      <w:bookmarkEnd w:id="183"/>
      <w:bookmarkEnd w:id="184"/>
      <w:bookmarkEnd w:id="185"/>
      <w:r>
        <w:rPr>
          <w:rFonts w:hint="eastAsia" w:ascii="Times New Roman" w:hAnsi="Times New Roman" w:eastAsia="宋体"/>
          <w:sz w:val="30"/>
          <w:szCs w:val="30"/>
        </w:rPr>
        <w:t xml:space="preserve"> </w:t>
      </w:r>
    </w:p>
    <w:tbl>
      <w:tblPr>
        <w:tblStyle w:val="78"/>
        <w:tblW w:w="0" w:type="auto"/>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41"/>
        <w:gridCol w:w="3544"/>
        <w:gridCol w:w="851"/>
        <w:gridCol w:w="850"/>
        <w:gridCol w:w="851"/>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13" w:hRule="atLeast"/>
        </w:trPr>
        <w:tc>
          <w:tcPr>
            <w:tcW w:w="720" w:type="dxa"/>
            <w:noWrap w:val="0"/>
            <w:vAlign w:val="center"/>
          </w:tcPr>
          <w:p>
            <w:pPr>
              <w:tabs>
                <w:tab w:val="left" w:pos="720"/>
              </w:tabs>
              <w:spacing w:line="500" w:lineRule="exact"/>
              <w:jc w:val="center"/>
              <w:rPr>
                <w:rFonts w:hint="eastAsia" w:ascii="楷体_GB2312" w:hAnsi="宋体" w:eastAsia="楷体_GB2312"/>
                <w:b/>
                <w:szCs w:val="21"/>
              </w:rPr>
            </w:pPr>
            <w:r>
              <w:rPr>
                <w:rFonts w:hint="eastAsia" w:ascii="楷体_GB2312" w:hAnsi="宋体" w:eastAsia="楷体_GB2312"/>
                <w:b/>
                <w:szCs w:val="21"/>
              </w:rPr>
              <w:t>序号</w:t>
            </w:r>
          </w:p>
        </w:tc>
        <w:tc>
          <w:tcPr>
            <w:tcW w:w="1341" w:type="dxa"/>
            <w:tcBorders>
              <w:right w:val="single" w:color="auto" w:sz="4" w:space="0"/>
            </w:tcBorders>
            <w:noWrap w:val="0"/>
            <w:vAlign w:val="center"/>
          </w:tcPr>
          <w:p>
            <w:pPr>
              <w:tabs>
                <w:tab w:val="left" w:pos="720"/>
              </w:tabs>
              <w:spacing w:line="500" w:lineRule="exact"/>
              <w:ind w:firstLine="235" w:firstLineChars="98"/>
              <w:rPr>
                <w:rFonts w:hint="eastAsia" w:ascii="楷体_GB2312" w:hAnsi="宋体" w:eastAsia="楷体_GB2312"/>
                <w:b/>
                <w:szCs w:val="21"/>
              </w:rPr>
            </w:pPr>
            <w:r>
              <w:rPr>
                <w:rFonts w:hint="eastAsia" w:ascii="楷体_GB2312" w:hAnsi="宋体" w:eastAsia="楷体_GB2312"/>
                <w:b/>
                <w:szCs w:val="21"/>
              </w:rPr>
              <w:t>内容</w:t>
            </w:r>
          </w:p>
        </w:tc>
        <w:tc>
          <w:tcPr>
            <w:tcW w:w="3544" w:type="dxa"/>
            <w:tcBorders>
              <w:left w:val="single" w:color="auto" w:sz="4" w:space="0"/>
            </w:tcBorders>
            <w:noWrap w:val="0"/>
            <w:vAlign w:val="center"/>
          </w:tcPr>
          <w:p>
            <w:pPr>
              <w:tabs>
                <w:tab w:val="left" w:pos="720"/>
              </w:tabs>
              <w:spacing w:line="500" w:lineRule="exact"/>
              <w:jc w:val="center"/>
              <w:rPr>
                <w:rFonts w:hint="eastAsia" w:ascii="楷体_GB2312" w:hAnsi="宋体" w:eastAsia="楷体_GB2312"/>
                <w:b/>
                <w:szCs w:val="21"/>
              </w:rPr>
            </w:pPr>
            <w:r>
              <w:rPr>
                <w:rFonts w:hint="eastAsia" w:ascii="楷体_GB2312" w:hAnsi="宋体" w:eastAsia="楷体_GB2312"/>
                <w:b/>
                <w:szCs w:val="21"/>
              </w:rPr>
              <w:t>主要技术功能</w:t>
            </w:r>
          </w:p>
        </w:tc>
        <w:tc>
          <w:tcPr>
            <w:tcW w:w="851" w:type="dxa"/>
            <w:tcBorders>
              <w:right w:val="single" w:color="auto" w:sz="4" w:space="0"/>
            </w:tcBorders>
            <w:noWrap w:val="0"/>
            <w:vAlign w:val="center"/>
          </w:tcPr>
          <w:p>
            <w:pPr>
              <w:tabs>
                <w:tab w:val="left" w:pos="720"/>
              </w:tabs>
              <w:spacing w:line="500" w:lineRule="exact"/>
              <w:jc w:val="center"/>
              <w:rPr>
                <w:rFonts w:hint="eastAsia" w:ascii="楷体_GB2312" w:hAnsi="宋体" w:eastAsia="楷体_GB2312"/>
                <w:b/>
                <w:szCs w:val="21"/>
              </w:rPr>
            </w:pPr>
            <w:r>
              <w:rPr>
                <w:rFonts w:hint="eastAsia" w:ascii="楷体_GB2312" w:hAnsi="宋体" w:eastAsia="楷体_GB2312"/>
                <w:b/>
                <w:szCs w:val="21"/>
              </w:rPr>
              <w:t>单位</w:t>
            </w:r>
          </w:p>
        </w:tc>
        <w:tc>
          <w:tcPr>
            <w:tcW w:w="850" w:type="dxa"/>
            <w:tcBorders>
              <w:left w:val="single" w:color="auto" w:sz="4" w:space="0"/>
            </w:tcBorders>
            <w:noWrap w:val="0"/>
            <w:vAlign w:val="center"/>
          </w:tcPr>
          <w:p>
            <w:pPr>
              <w:tabs>
                <w:tab w:val="left" w:pos="720"/>
              </w:tabs>
              <w:spacing w:line="500" w:lineRule="exact"/>
              <w:ind w:left="22"/>
              <w:jc w:val="center"/>
              <w:rPr>
                <w:rFonts w:hint="eastAsia" w:ascii="楷体_GB2312" w:hAnsi="宋体" w:eastAsia="楷体_GB2312"/>
                <w:b/>
                <w:szCs w:val="21"/>
              </w:rPr>
            </w:pPr>
            <w:r>
              <w:rPr>
                <w:rFonts w:hint="eastAsia" w:ascii="楷体_GB2312" w:hAnsi="宋体" w:eastAsia="楷体_GB2312"/>
                <w:b/>
                <w:szCs w:val="21"/>
              </w:rPr>
              <w:t>数量</w:t>
            </w:r>
          </w:p>
        </w:tc>
        <w:tc>
          <w:tcPr>
            <w:tcW w:w="851" w:type="dxa"/>
            <w:noWrap w:val="0"/>
            <w:vAlign w:val="center"/>
          </w:tcPr>
          <w:p>
            <w:pPr>
              <w:tabs>
                <w:tab w:val="left" w:pos="720"/>
              </w:tabs>
              <w:spacing w:line="500" w:lineRule="exact"/>
              <w:ind w:firstLine="117" w:firstLineChars="49"/>
              <w:jc w:val="center"/>
              <w:rPr>
                <w:rFonts w:hint="eastAsia" w:ascii="楷体_GB2312" w:hAnsi="宋体" w:eastAsia="楷体_GB2312"/>
                <w:b/>
                <w:szCs w:val="21"/>
              </w:rPr>
            </w:pPr>
            <w:r>
              <w:rPr>
                <w:rFonts w:hint="eastAsia" w:ascii="楷体_GB2312" w:hAnsi="宋体" w:eastAsia="楷体_GB2312"/>
                <w:b/>
                <w:szCs w:val="21"/>
              </w:rPr>
              <w:t>单价</w:t>
            </w:r>
          </w:p>
        </w:tc>
        <w:tc>
          <w:tcPr>
            <w:tcW w:w="1023" w:type="dxa"/>
            <w:noWrap w:val="0"/>
            <w:vAlign w:val="center"/>
          </w:tcPr>
          <w:p>
            <w:pPr>
              <w:tabs>
                <w:tab w:val="left" w:pos="720"/>
              </w:tabs>
              <w:spacing w:line="500" w:lineRule="exact"/>
              <w:ind w:firstLine="120" w:firstLineChars="50"/>
              <w:rPr>
                <w:rFonts w:hint="eastAsia" w:ascii="楷体_GB2312" w:hAnsi="宋体" w:eastAsia="楷体_GB2312"/>
                <w:b/>
                <w:szCs w:val="21"/>
              </w:rPr>
            </w:pPr>
            <w:r>
              <w:rPr>
                <w:rFonts w:hint="eastAsia" w:ascii="楷体_GB2312" w:hAnsi="宋体" w:eastAsia="楷体_GB2312"/>
                <w:b/>
                <w:szCs w:val="21"/>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12" w:hRule="atLeast"/>
        </w:trPr>
        <w:tc>
          <w:tcPr>
            <w:tcW w:w="720" w:type="dxa"/>
            <w:noWrap w:val="0"/>
            <w:vAlign w:val="center"/>
          </w:tcPr>
          <w:p>
            <w:pPr>
              <w:tabs>
                <w:tab w:val="left" w:pos="720"/>
              </w:tabs>
              <w:spacing w:line="500" w:lineRule="exact"/>
              <w:jc w:val="center"/>
              <w:rPr>
                <w:rFonts w:hint="eastAsia" w:ascii="楷体_GB2312" w:hAnsi="宋体" w:eastAsia="楷体_GB2312"/>
                <w:b/>
                <w:szCs w:val="21"/>
              </w:rPr>
            </w:pPr>
            <w:r>
              <w:rPr>
                <w:rFonts w:hint="eastAsia" w:ascii="楷体_GB2312" w:hAnsi="宋体" w:eastAsia="楷体_GB2312"/>
                <w:b/>
                <w:szCs w:val="21"/>
              </w:rPr>
              <w:t>1</w:t>
            </w:r>
          </w:p>
        </w:tc>
        <w:tc>
          <w:tcPr>
            <w:tcW w:w="1341" w:type="dxa"/>
            <w:tcBorders>
              <w:right w:val="single" w:color="auto" w:sz="4" w:space="0"/>
            </w:tcBorders>
            <w:noWrap w:val="0"/>
            <w:vAlign w:val="center"/>
          </w:tcPr>
          <w:p>
            <w:pPr>
              <w:tabs>
                <w:tab w:val="left" w:pos="720"/>
              </w:tabs>
              <w:spacing w:line="500" w:lineRule="exact"/>
              <w:jc w:val="center"/>
              <w:rPr>
                <w:rFonts w:hint="eastAsia" w:ascii="楷体_GB2312" w:hAnsi="宋体" w:eastAsia="楷体_GB2312"/>
                <w:b/>
                <w:szCs w:val="21"/>
              </w:rPr>
            </w:pPr>
          </w:p>
        </w:tc>
        <w:tc>
          <w:tcPr>
            <w:tcW w:w="3544" w:type="dxa"/>
            <w:tcBorders>
              <w:left w:val="single" w:color="auto" w:sz="4" w:space="0"/>
            </w:tcBorders>
            <w:noWrap w:val="0"/>
            <w:vAlign w:val="center"/>
          </w:tcPr>
          <w:p>
            <w:pPr>
              <w:spacing w:line="420" w:lineRule="exact"/>
              <w:ind w:firstLine="480" w:firstLineChars="200"/>
              <w:rPr>
                <w:rFonts w:hint="eastAsia" w:ascii="仿宋_GB2312" w:eastAsia="仿宋_GB2312"/>
                <w:szCs w:val="24"/>
              </w:rPr>
            </w:pPr>
          </w:p>
        </w:tc>
        <w:tc>
          <w:tcPr>
            <w:tcW w:w="851" w:type="dxa"/>
            <w:tcBorders>
              <w:right w:val="single" w:color="auto" w:sz="4" w:space="0"/>
            </w:tcBorders>
            <w:noWrap w:val="0"/>
            <w:vAlign w:val="center"/>
          </w:tcPr>
          <w:p>
            <w:pPr>
              <w:tabs>
                <w:tab w:val="left" w:pos="720"/>
              </w:tabs>
              <w:jc w:val="center"/>
              <w:rPr>
                <w:rFonts w:hint="eastAsia" w:ascii="仿宋_GB2312" w:eastAsia="仿宋_GB2312"/>
                <w:szCs w:val="24"/>
              </w:rPr>
            </w:pPr>
          </w:p>
        </w:tc>
        <w:tc>
          <w:tcPr>
            <w:tcW w:w="850" w:type="dxa"/>
            <w:tcBorders>
              <w:left w:val="single" w:color="auto" w:sz="4" w:space="0"/>
            </w:tcBorders>
            <w:noWrap w:val="0"/>
            <w:vAlign w:val="center"/>
          </w:tcPr>
          <w:p>
            <w:pPr>
              <w:tabs>
                <w:tab w:val="left" w:pos="720"/>
              </w:tabs>
              <w:jc w:val="center"/>
              <w:rPr>
                <w:rFonts w:hint="eastAsia" w:ascii="仿宋_GB2312" w:eastAsia="仿宋_GB2312"/>
                <w:szCs w:val="24"/>
              </w:rPr>
            </w:pPr>
          </w:p>
        </w:tc>
        <w:tc>
          <w:tcPr>
            <w:tcW w:w="851" w:type="dxa"/>
            <w:noWrap w:val="0"/>
            <w:vAlign w:val="center"/>
          </w:tcPr>
          <w:p>
            <w:pPr>
              <w:tabs>
                <w:tab w:val="left" w:pos="720"/>
              </w:tabs>
              <w:jc w:val="center"/>
              <w:rPr>
                <w:rFonts w:hint="eastAsia" w:ascii="仿宋_GB2312" w:eastAsia="仿宋_GB2312"/>
                <w:szCs w:val="24"/>
              </w:rPr>
            </w:pPr>
          </w:p>
        </w:tc>
        <w:tc>
          <w:tcPr>
            <w:tcW w:w="1023" w:type="dxa"/>
            <w:noWrap w:val="0"/>
            <w:vAlign w:val="center"/>
          </w:tcPr>
          <w:p>
            <w:pPr>
              <w:tabs>
                <w:tab w:val="left" w:pos="720"/>
              </w:tabs>
              <w:jc w:val="center"/>
              <w:rPr>
                <w:rFonts w:hint="eastAsia" w:ascii="仿宋_GB2312" w:eastAsia="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2" w:hRule="atLeast"/>
        </w:trPr>
        <w:tc>
          <w:tcPr>
            <w:tcW w:w="720" w:type="dxa"/>
            <w:noWrap w:val="0"/>
            <w:vAlign w:val="center"/>
          </w:tcPr>
          <w:p>
            <w:pPr>
              <w:tabs>
                <w:tab w:val="left" w:pos="720"/>
              </w:tabs>
              <w:spacing w:line="500" w:lineRule="exact"/>
              <w:jc w:val="center"/>
              <w:rPr>
                <w:rFonts w:hint="eastAsia" w:ascii="楷体_GB2312" w:hAnsi="宋体" w:eastAsia="楷体_GB2312"/>
                <w:b/>
                <w:szCs w:val="21"/>
              </w:rPr>
            </w:pPr>
            <w:r>
              <w:rPr>
                <w:rFonts w:hint="eastAsia" w:ascii="楷体_GB2312" w:hAnsi="宋体" w:eastAsia="楷体_GB2312"/>
                <w:b/>
                <w:szCs w:val="21"/>
              </w:rPr>
              <w:t>2</w:t>
            </w:r>
          </w:p>
        </w:tc>
        <w:tc>
          <w:tcPr>
            <w:tcW w:w="1341" w:type="dxa"/>
            <w:tcBorders>
              <w:right w:val="single" w:color="auto" w:sz="4" w:space="0"/>
            </w:tcBorders>
            <w:noWrap w:val="0"/>
            <w:vAlign w:val="center"/>
          </w:tcPr>
          <w:p>
            <w:pPr>
              <w:tabs>
                <w:tab w:val="left" w:pos="720"/>
              </w:tabs>
              <w:spacing w:line="500" w:lineRule="exact"/>
              <w:jc w:val="center"/>
              <w:rPr>
                <w:rFonts w:hint="eastAsia" w:ascii="楷体_GB2312" w:hAnsi="宋体" w:eastAsia="楷体_GB2312"/>
                <w:b/>
                <w:szCs w:val="21"/>
              </w:rPr>
            </w:pPr>
          </w:p>
        </w:tc>
        <w:tc>
          <w:tcPr>
            <w:tcW w:w="3544" w:type="dxa"/>
            <w:tcBorders>
              <w:left w:val="single" w:color="auto" w:sz="4" w:space="0"/>
            </w:tcBorders>
            <w:noWrap w:val="0"/>
            <w:vAlign w:val="center"/>
          </w:tcPr>
          <w:p>
            <w:pPr>
              <w:spacing w:line="420" w:lineRule="exact"/>
              <w:ind w:firstLine="480" w:firstLineChars="200"/>
              <w:rPr>
                <w:rFonts w:hint="eastAsia" w:ascii="仿宋_GB2312" w:eastAsia="仿宋_GB2312"/>
                <w:szCs w:val="24"/>
              </w:rPr>
            </w:pPr>
          </w:p>
        </w:tc>
        <w:tc>
          <w:tcPr>
            <w:tcW w:w="851" w:type="dxa"/>
            <w:tcBorders>
              <w:right w:val="single" w:color="auto" w:sz="4" w:space="0"/>
            </w:tcBorders>
            <w:noWrap w:val="0"/>
            <w:vAlign w:val="center"/>
          </w:tcPr>
          <w:p>
            <w:pPr>
              <w:tabs>
                <w:tab w:val="left" w:pos="720"/>
              </w:tabs>
              <w:jc w:val="center"/>
              <w:rPr>
                <w:rFonts w:hint="eastAsia" w:ascii="仿宋_GB2312" w:eastAsia="仿宋_GB2312"/>
                <w:szCs w:val="24"/>
              </w:rPr>
            </w:pPr>
          </w:p>
        </w:tc>
        <w:tc>
          <w:tcPr>
            <w:tcW w:w="850" w:type="dxa"/>
            <w:tcBorders>
              <w:left w:val="single" w:color="auto" w:sz="4" w:space="0"/>
            </w:tcBorders>
            <w:noWrap w:val="0"/>
            <w:vAlign w:val="center"/>
          </w:tcPr>
          <w:p>
            <w:pPr>
              <w:tabs>
                <w:tab w:val="left" w:pos="720"/>
              </w:tabs>
              <w:jc w:val="center"/>
              <w:rPr>
                <w:rFonts w:hint="eastAsia" w:ascii="仿宋_GB2312" w:eastAsia="仿宋_GB2312"/>
                <w:szCs w:val="24"/>
              </w:rPr>
            </w:pPr>
          </w:p>
        </w:tc>
        <w:tc>
          <w:tcPr>
            <w:tcW w:w="851" w:type="dxa"/>
            <w:noWrap w:val="0"/>
            <w:vAlign w:val="center"/>
          </w:tcPr>
          <w:p>
            <w:pPr>
              <w:tabs>
                <w:tab w:val="left" w:pos="720"/>
              </w:tabs>
              <w:jc w:val="center"/>
              <w:rPr>
                <w:rFonts w:hint="eastAsia" w:ascii="仿宋_GB2312" w:eastAsia="仿宋_GB2312"/>
                <w:szCs w:val="24"/>
              </w:rPr>
            </w:pPr>
          </w:p>
        </w:tc>
        <w:tc>
          <w:tcPr>
            <w:tcW w:w="1023" w:type="dxa"/>
            <w:noWrap w:val="0"/>
            <w:vAlign w:val="center"/>
          </w:tcPr>
          <w:p>
            <w:pPr>
              <w:tabs>
                <w:tab w:val="left" w:pos="720"/>
              </w:tabs>
              <w:jc w:val="center"/>
              <w:rPr>
                <w:rFonts w:hint="eastAsia" w:ascii="仿宋_GB2312" w:eastAsia="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16" w:hRule="atLeast"/>
        </w:trPr>
        <w:tc>
          <w:tcPr>
            <w:tcW w:w="720" w:type="dxa"/>
            <w:noWrap w:val="0"/>
            <w:vAlign w:val="center"/>
          </w:tcPr>
          <w:p>
            <w:pPr>
              <w:tabs>
                <w:tab w:val="left" w:pos="720"/>
              </w:tabs>
              <w:spacing w:line="500" w:lineRule="exact"/>
              <w:jc w:val="center"/>
              <w:rPr>
                <w:rFonts w:hint="eastAsia" w:ascii="楷体_GB2312" w:hAnsi="宋体" w:eastAsia="楷体_GB2312"/>
                <w:b/>
                <w:szCs w:val="21"/>
              </w:rPr>
            </w:pPr>
            <w:r>
              <w:rPr>
                <w:rFonts w:hint="eastAsia" w:ascii="楷体_GB2312" w:hAnsi="宋体" w:eastAsia="楷体_GB2312"/>
                <w:b/>
                <w:szCs w:val="21"/>
              </w:rPr>
              <w:t>……</w:t>
            </w:r>
          </w:p>
        </w:tc>
        <w:tc>
          <w:tcPr>
            <w:tcW w:w="1341" w:type="dxa"/>
            <w:tcBorders>
              <w:right w:val="single" w:color="auto" w:sz="4" w:space="0"/>
            </w:tcBorders>
            <w:noWrap w:val="0"/>
            <w:vAlign w:val="center"/>
          </w:tcPr>
          <w:p>
            <w:pPr>
              <w:tabs>
                <w:tab w:val="left" w:pos="720"/>
              </w:tabs>
              <w:spacing w:line="500" w:lineRule="exact"/>
              <w:jc w:val="center"/>
              <w:rPr>
                <w:rFonts w:hint="eastAsia" w:ascii="楷体_GB2312" w:hAnsi="宋体" w:eastAsia="楷体_GB2312"/>
                <w:b/>
                <w:szCs w:val="21"/>
              </w:rPr>
            </w:pPr>
          </w:p>
        </w:tc>
        <w:tc>
          <w:tcPr>
            <w:tcW w:w="3544" w:type="dxa"/>
            <w:tcBorders>
              <w:left w:val="single" w:color="auto" w:sz="4" w:space="0"/>
            </w:tcBorders>
            <w:noWrap w:val="0"/>
            <w:vAlign w:val="center"/>
          </w:tcPr>
          <w:p>
            <w:pPr>
              <w:spacing w:line="420" w:lineRule="exact"/>
              <w:ind w:firstLine="480" w:firstLineChars="200"/>
              <w:rPr>
                <w:rFonts w:hint="eastAsia" w:ascii="仿宋_GB2312" w:eastAsia="仿宋_GB2312"/>
                <w:szCs w:val="24"/>
              </w:rPr>
            </w:pPr>
          </w:p>
        </w:tc>
        <w:tc>
          <w:tcPr>
            <w:tcW w:w="851" w:type="dxa"/>
            <w:tcBorders>
              <w:right w:val="single" w:color="auto" w:sz="4" w:space="0"/>
            </w:tcBorders>
            <w:noWrap w:val="0"/>
            <w:vAlign w:val="center"/>
          </w:tcPr>
          <w:p>
            <w:pPr>
              <w:tabs>
                <w:tab w:val="left" w:pos="720"/>
              </w:tabs>
              <w:jc w:val="center"/>
              <w:rPr>
                <w:rFonts w:hint="eastAsia" w:ascii="仿宋_GB2312" w:eastAsia="仿宋_GB2312"/>
                <w:szCs w:val="24"/>
              </w:rPr>
            </w:pPr>
          </w:p>
        </w:tc>
        <w:tc>
          <w:tcPr>
            <w:tcW w:w="850" w:type="dxa"/>
            <w:tcBorders>
              <w:left w:val="single" w:color="auto" w:sz="4" w:space="0"/>
            </w:tcBorders>
            <w:noWrap w:val="0"/>
            <w:vAlign w:val="center"/>
          </w:tcPr>
          <w:p>
            <w:pPr>
              <w:tabs>
                <w:tab w:val="left" w:pos="720"/>
              </w:tabs>
              <w:jc w:val="center"/>
              <w:rPr>
                <w:rFonts w:hint="eastAsia" w:ascii="仿宋_GB2312" w:eastAsia="仿宋_GB2312"/>
                <w:szCs w:val="24"/>
              </w:rPr>
            </w:pPr>
          </w:p>
        </w:tc>
        <w:tc>
          <w:tcPr>
            <w:tcW w:w="851" w:type="dxa"/>
            <w:noWrap w:val="0"/>
            <w:vAlign w:val="center"/>
          </w:tcPr>
          <w:p>
            <w:pPr>
              <w:tabs>
                <w:tab w:val="left" w:pos="720"/>
              </w:tabs>
              <w:jc w:val="center"/>
              <w:rPr>
                <w:rFonts w:hint="eastAsia" w:ascii="仿宋_GB2312" w:eastAsia="仿宋_GB2312"/>
                <w:szCs w:val="24"/>
              </w:rPr>
            </w:pPr>
          </w:p>
        </w:tc>
        <w:tc>
          <w:tcPr>
            <w:tcW w:w="1023" w:type="dxa"/>
            <w:noWrap w:val="0"/>
            <w:vAlign w:val="center"/>
          </w:tcPr>
          <w:p>
            <w:pPr>
              <w:tabs>
                <w:tab w:val="left" w:pos="720"/>
              </w:tabs>
              <w:jc w:val="center"/>
              <w:rPr>
                <w:rFonts w:hint="eastAsia" w:ascii="仿宋_GB2312" w:eastAsia="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96" w:hRule="atLeast"/>
        </w:trPr>
        <w:tc>
          <w:tcPr>
            <w:tcW w:w="8157" w:type="dxa"/>
            <w:gridSpan w:val="6"/>
            <w:tcBorders>
              <w:top w:val="single" w:color="auto" w:sz="4" w:space="0"/>
              <w:right w:val="single" w:color="auto" w:sz="4" w:space="0"/>
            </w:tcBorders>
            <w:noWrap w:val="0"/>
            <w:vAlign w:val="top"/>
          </w:tcPr>
          <w:p>
            <w:pPr>
              <w:tabs>
                <w:tab w:val="left" w:pos="720"/>
              </w:tabs>
              <w:spacing w:line="500" w:lineRule="exact"/>
              <w:ind w:firstLine="235" w:firstLineChars="98"/>
              <w:rPr>
                <w:rFonts w:hint="eastAsia" w:ascii="楷体_GB2312" w:hAnsi="宋体" w:eastAsia="楷体_GB2312"/>
                <w:b/>
                <w:szCs w:val="21"/>
              </w:rPr>
            </w:pPr>
            <w:r>
              <w:rPr>
                <w:rFonts w:hint="eastAsia" w:ascii="楷体_GB2312" w:hAnsi="宋体" w:eastAsia="楷体_GB2312"/>
                <w:b/>
                <w:szCs w:val="21"/>
              </w:rPr>
              <w:t>总报价合计（万元）：大写</w:t>
            </w:r>
          </w:p>
        </w:tc>
        <w:tc>
          <w:tcPr>
            <w:tcW w:w="1023" w:type="dxa"/>
            <w:tcBorders>
              <w:top w:val="single" w:color="auto" w:sz="4" w:space="0"/>
              <w:left w:val="single" w:color="auto" w:sz="4" w:space="0"/>
            </w:tcBorders>
            <w:noWrap w:val="0"/>
            <w:vAlign w:val="top"/>
          </w:tcPr>
          <w:p>
            <w:pPr>
              <w:tabs>
                <w:tab w:val="left" w:pos="720"/>
              </w:tabs>
              <w:spacing w:line="500" w:lineRule="exact"/>
              <w:rPr>
                <w:rFonts w:hint="eastAsia" w:ascii="楷体_GB2312" w:hAnsi="宋体" w:eastAsia="楷体_GB2312"/>
                <w:b/>
                <w:szCs w:val="21"/>
              </w:rPr>
            </w:pPr>
          </w:p>
        </w:tc>
      </w:tr>
    </w:tbl>
    <w:p>
      <w:pPr>
        <w:spacing w:before="62" w:beforeLines="20" w:line="440" w:lineRule="exact"/>
        <w:ind w:left="480" w:hanging="480" w:hangingChars="200"/>
      </w:pPr>
      <w:r>
        <w:rPr>
          <w:rFonts w:hint="eastAsia" w:cs="宋体"/>
        </w:rPr>
        <w:t>说明：</w:t>
      </w:r>
      <w:r>
        <w:t xml:space="preserve"> </w:t>
      </w:r>
    </w:p>
    <w:p>
      <w:pPr>
        <w:pStyle w:val="73"/>
        <w:widowControl w:val="0"/>
        <w:snapToGrid w:val="0"/>
        <w:spacing w:before="120" w:beforeAutospacing="0" w:after="120" w:afterAutospacing="0" w:line="400" w:lineRule="exact"/>
        <w:rPr>
          <w:rFonts w:cs="Arial"/>
          <w:sz w:val="24"/>
        </w:rPr>
      </w:pPr>
      <w:r>
        <w:rPr>
          <w:rFonts w:hint="eastAsia" w:eastAsia="Times New Roman" w:cs="Arial"/>
          <w:kern w:val="2"/>
          <w:sz w:val="24"/>
        </w:rPr>
        <w:t>1</w:t>
      </w:r>
      <w:r>
        <w:rPr>
          <w:rFonts w:hint="eastAsia" w:cs="Arial"/>
          <w:kern w:val="2"/>
          <w:sz w:val="24"/>
        </w:rPr>
        <w:t>.</w:t>
      </w:r>
      <w:r>
        <w:rPr>
          <w:rFonts w:hint="eastAsia" w:eastAsia="Times New Roman" w:cs="Arial"/>
          <w:kern w:val="2"/>
          <w:sz w:val="24"/>
        </w:rPr>
        <w:t>以上报价包括货款、标准附件、备品备件、专用工具、包装、运输、装卸、安装、调试、保修、税金、规费、保险、检测费及其他费用等。</w:t>
      </w:r>
    </w:p>
    <w:p>
      <w:pPr>
        <w:pStyle w:val="73"/>
        <w:widowControl w:val="0"/>
        <w:snapToGrid w:val="0"/>
        <w:spacing w:before="120" w:beforeAutospacing="0" w:after="120" w:afterAutospacing="0" w:line="400" w:lineRule="exact"/>
        <w:rPr>
          <w:rFonts w:cs="Arial"/>
          <w:sz w:val="24"/>
        </w:rPr>
      </w:pPr>
      <w:r>
        <w:rPr>
          <w:rFonts w:hint="eastAsia" w:eastAsia="Times New Roman" w:cs="Arial"/>
          <w:kern w:val="2"/>
          <w:sz w:val="24"/>
        </w:rPr>
        <w:t>2</w:t>
      </w:r>
      <w:r>
        <w:rPr>
          <w:rFonts w:hint="eastAsia" w:cs="Arial"/>
          <w:kern w:val="2"/>
          <w:sz w:val="24"/>
        </w:rPr>
        <w:t>.</w:t>
      </w:r>
      <w:r>
        <w:rPr>
          <w:rFonts w:hint="eastAsia" w:eastAsia="Times New Roman" w:cs="Arial"/>
          <w:kern w:val="2"/>
          <w:sz w:val="24"/>
        </w:rPr>
        <w:t>不提供详细分项明细表将视为没有实质性响应招标文件，产品名称按采购内容要求。</w:t>
      </w:r>
    </w:p>
    <w:p>
      <w:pPr>
        <w:spacing w:line="360" w:lineRule="auto"/>
        <w:rPr>
          <w:rFonts w:hint="eastAsia" w:ascii="宋体" w:hAnsi="宋体" w:cs="Arial"/>
        </w:rPr>
      </w:pPr>
      <w:r>
        <w:rPr>
          <w:rFonts w:hint="eastAsia" w:ascii="宋体" w:hAnsi="宋体" w:cs="Arial"/>
        </w:rPr>
        <w:t>3.此表的合计金额应与开标一览表中的总价相一致。</w:t>
      </w:r>
    </w:p>
    <w:p>
      <w:pPr>
        <w:widowControl/>
        <w:jc w:val="left"/>
      </w:pPr>
      <w:r>
        <w:rPr>
          <w:rFonts w:hint="eastAsia" w:ascii="宋体" w:hAnsi="宋体" w:cs="Arial"/>
        </w:rPr>
        <w:t>4.此表仅提供了表格形式，投标人可按此表格格式进行扩展。</w:t>
      </w:r>
      <w:r>
        <w:rPr>
          <w:rFonts w:ascii="宋体" w:hAnsi="宋体" w:cs="宋体"/>
          <w:szCs w:val="24"/>
        </w:rPr>
        <w:t xml:space="preserve"> </w:t>
      </w:r>
    </w:p>
    <w:p>
      <w:pPr>
        <w:tabs>
          <w:tab w:val="left" w:pos="5580"/>
        </w:tabs>
        <w:jc w:val="left"/>
        <w:rPr>
          <w:rFonts w:hint="eastAsia" w:ascii="宋体" w:hAnsi="宋体"/>
          <w:b/>
        </w:rPr>
      </w:pPr>
    </w:p>
    <w:p>
      <w:pPr>
        <w:tabs>
          <w:tab w:val="left" w:pos="5580"/>
        </w:tabs>
        <w:jc w:val="left"/>
        <w:rPr>
          <w:rFonts w:hint="eastAsia" w:ascii="宋体" w:hAnsi="宋体"/>
          <w:b/>
        </w:rPr>
      </w:pPr>
    </w:p>
    <w:p>
      <w:pPr>
        <w:tabs>
          <w:tab w:val="left" w:pos="5580"/>
        </w:tabs>
        <w:jc w:val="left"/>
        <w:rPr>
          <w:rFonts w:hint="eastAsia" w:ascii="宋体" w:hAnsi="宋体"/>
          <w:b/>
        </w:rPr>
      </w:pPr>
    </w:p>
    <w:p>
      <w:pPr>
        <w:tabs>
          <w:tab w:val="left" w:pos="2310"/>
        </w:tabs>
        <w:spacing w:line="360" w:lineRule="auto"/>
        <w:rPr>
          <w:rFonts w:hint="eastAsia" w:ascii="宋体" w:hAnsi="宋体"/>
        </w:rPr>
      </w:pPr>
      <w:r>
        <w:rPr>
          <w:rFonts w:hint="eastAsia" w:ascii="宋体" w:hAnsi="宋体"/>
        </w:rPr>
        <w:t>投标人:（盖章）</w:t>
      </w:r>
    </w:p>
    <w:p>
      <w:pPr>
        <w:tabs>
          <w:tab w:val="left" w:pos="2310"/>
        </w:tabs>
        <w:spacing w:line="360" w:lineRule="auto"/>
        <w:rPr>
          <w:rFonts w:hint="eastAsia" w:ascii="宋体" w:hAnsi="宋体"/>
        </w:rPr>
      </w:pPr>
    </w:p>
    <w:p>
      <w:pPr>
        <w:tabs>
          <w:tab w:val="left" w:pos="5580"/>
        </w:tabs>
        <w:spacing w:line="360" w:lineRule="auto"/>
        <w:rPr>
          <w:rFonts w:hint="eastAsia" w:ascii="宋体" w:hAnsi="宋体"/>
          <w:szCs w:val="21"/>
        </w:rPr>
      </w:pPr>
      <w:r>
        <w:rPr>
          <w:rFonts w:hint="eastAsia" w:ascii="宋体" w:hAnsi="宋体"/>
        </w:rPr>
        <w:t>法定代表人或授权委托代理人：</w:t>
      </w:r>
      <w:r>
        <w:rPr>
          <w:rFonts w:hint="eastAsia" w:ascii="宋体" w:hAnsi="宋体"/>
          <w:szCs w:val="21"/>
        </w:rPr>
        <w:t>（签字）</w:t>
      </w:r>
    </w:p>
    <w:p>
      <w:pPr>
        <w:tabs>
          <w:tab w:val="left" w:pos="5580"/>
        </w:tabs>
        <w:spacing w:line="360" w:lineRule="auto"/>
        <w:rPr>
          <w:rFonts w:hint="eastAsia" w:ascii="宋体" w:hAnsi="宋体"/>
          <w:szCs w:val="21"/>
        </w:rPr>
      </w:pPr>
    </w:p>
    <w:p>
      <w:pPr>
        <w:tabs>
          <w:tab w:val="left" w:pos="5580"/>
        </w:tabs>
        <w:spacing w:line="360" w:lineRule="auto"/>
        <w:rPr>
          <w:rFonts w:hint="eastAsia" w:ascii="宋体" w:hAnsi="宋体"/>
          <w:szCs w:val="21"/>
        </w:rPr>
      </w:pPr>
      <w:r>
        <w:rPr>
          <w:rFonts w:hint="eastAsia" w:ascii="宋体" w:hAnsi="宋体"/>
        </w:rPr>
        <w:t>日  期:</w:t>
      </w:r>
    </w:p>
    <w:p>
      <w:pPr>
        <w:tabs>
          <w:tab w:val="left" w:pos="5580"/>
        </w:tabs>
        <w:jc w:val="left"/>
        <w:rPr>
          <w:rFonts w:hint="eastAsia" w:ascii="宋体" w:hAnsi="宋体"/>
          <w:b/>
        </w:rPr>
      </w:pPr>
    </w:p>
    <w:p>
      <w:pPr>
        <w:tabs>
          <w:tab w:val="left" w:pos="5580"/>
        </w:tabs>
        <w:jc w:val="left"/>
        <w:rPr>
          <w:rFonts w:hint="eastAsia" w:ascii="宋体" w:hAnsi="宋体"/>
          <w:b/>
        </w:rPr>
      </w:pPr>
    </w:p>
    <w:p>
      <w:pPr>
        <w:tabs>
          <w:tab w:val="left" w:pos="5580"/>
        </w:tabs>
        <w:jc w:val="left"/>
        <w:rPr>
          <w:rFonts w:hint="eastAsia" w:ascii="宋体" w:hAnsi="宋体"/>
          <w:b/>
        </w:rPr>
      </w:pPr>
    </w:p>
    <w:p>
      <w:pPr>
        <w:tabs>
          <w:tab w:val="left" w:pos="5580"/>
        </w:tabs>
        <w:jc w:val="left"/>
        <w:rPr>
          <w:rFonts w:hint="eastAsia" w:ascii="宋体" w:hAnsi="宋体"/>
          <w:b/>
        </w:rPr>
      </w:pPr>
    </w:p>
    <w:p>
      <w:pPr>
        <w:tabs>
          <w:tab w:val="left" w:pos="5580"/>
        </w:tabs>
        <w:jc w:val="left"/>
        <w:rPr>
          <w:rFonts w:hint="eastAsia" w:ascii="宋体" w:hAnsi="宋体"/>
          <w:b/>
        </w:rPr>
      </w:pPr>
    </w:p>
    <w:p>
      <w:pPr>
        <w:pStyle w:val="3"/>
        <w:rPr>
          <w:rFonts w:hint="eastAsia" w:ascii="Times New Roman" w:hAnsi="Times New Roman" w:eastAsia="宋体"/>
          <w:sz w:val="30"/>
          <w:szCs w:val="30"/>
        </w:rPr>
      </w:pPr>
      <w:bookmarkStart w:id="186" w:name="_Toc456345924"/>
      <w:bookmarkStart w:id="187" w:name="_Toc528046861"/>
      <w:bookmarkStart w:id="188" w:name="_Toc458419368"/>
      <w:bookmarkStart w:id="189" w:name="_Toc238541400"/>
      <w:bookmarkStart w:id="190" w:name="_Toc226337799"/>
      <w:bookmarkStart w:id="191" w:name="_Toc180555957"/>
      <w:bookmarkStart w:id="192" w:name="_Toc248065077"/>
      <w:r>
        <w:rPr>
          <w:rFonts w:hint="eastAsia" w:ascii="Times New Roman" w:hAnsi="Times New Roman" w:eastAsia="宋体"/>
          <w:sz w:val="30"/>
          <w:szCs w:val="30"/>
        </w:rPr>
        <w:t>六、技术指标偏离表</w:t>
      </w:r>
      <w:bookmarkEnd w:id="186"/>
      <w:bookmarkEnd w:id="187"/>
      <w:bookmarkEnd w:id="188"/>
    </w:p>
    <w:tbl>
      <w:tblPr>
        <w:tblStyle w:val="7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206"/>
        <w:gridCol w:w="3274"/>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pStyle w:val="33"/>
              <w:ind w:left="0" w:leftChars="0"/>
              <w:rPr>
                <w:rFonts w:hAnsi="宋体"/>
              </w:rPr>
            </w:pPr>
            <w:r>
              <w:rPr>
                <w:rFonts w:hAnsi="宋体"/>
              </w:rPr>
              <w:t>序号</w:t>
            </w:r>
          </w:p>
        </w:tc>
        <w:tc>
          <w:tcPr>
            <w:tcW w:w="3206" w:type="dxa"/>
            <w:tcBorders>
              <w:top w:val="single" w:color="auto" w:sz="4" w:space="0"/>
              <w:left w:val="single" w:color="auto" w:sz="4" w:space="0"/>
              <w:bottom w:val="single" w:color="auto" w:sz="4" w:space="0"/>
              <w:right w:val="single" w:color="auto" w:sz="4" w:space="0"/>
            </w:tcBorders>
            <w:noWrap w:val="0"/>
            <w:vAlign w:val="center"/>
          </w:tcPr>
          <w:p>
            <w:pPr>
              <w:pStyle w:val="33"/>
              <w:ind w:left="7" w:leftChars="3"/>
              <w:jc w:val="center"/>
              <w:rPr>
                <w:rFonts w:hAnsi="宋体"/>
              </w:rPr>
            </w:pPr>
            <w:r>
              <w:rPr>
                <w:rFonts w:hAnsi="宋体"/>
              </w:rPr>
              <w:t>招标文件的</w:t>
            </w:r>
            <w:r>
              <w:rPr>
                <w:rFonts w:hint="eastAsia" w:hAnsi="宋体"/>
              </w:rPr>
              <w:t>指标</w:t>
            </w:r>
          </w:p>
        </w:tc>
        <w:tc>
          <w:tcPr>
            <w:tcW w:w="3274" w:type="dxa"/>
            <w:tcBorders>
              <w:top w:val="single" w:color="auto" w:sz="4" w:space="0"/>
              <w:left w:val="single" w:color="auto" w:sz="4" w:space="0"/>
              <w:bottom w:val="single" w:color="auto" w:sz="4" w:space="0"/>
              <w:right w:val="single" w:color="auto" w:sz="4" w:space="0"/>
            </w:tcBorders>
            <w:noWrap w:val="0"/>
            <w:vAlign w:val="center"/>
          </w:tcPr>
          <w:p>
            <w:pPr>
              <w:pStyle w:val="33"/>
              <w:ind w:left="480"/>
              <w:jc w:val="center"/>
              <w:rPr>
                <w:rFonts w:hAnsi="宋体"/>
              </w:rPr>
            </w:pPr>
            <w:r>
              <w:rPr>
                <w:rFonts w:hAnsi="宋体"/>
              </w:rPr>
              <w:t>投标文件的</w:t>
            </w:r>
            <w:r>
              <w:rPr>
                <w:rFonts w:hint="eastAsia" w:hAnsi="宋体"/>
              </w:rPr>
              <w:t>指标</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pStyle w:val="33"/>
              <w:ind w:left="0" w:leftChars="0"/>
              <w:rPr>
                <w:rFonts w:hint="eastAsia" w:hAnsi="宋体"/>
              </w:rPr>
            </w:pPr>
            <w:r>
              <w:rPr>
                <w:rFonts w:hAnsi="宋体"/>
              </w:rPr>
              <w:t>偏离</w:t>
            </w:r>
            <w:r>
              <w:rPr>
                <w:rFonts w:hint="eastAsia" w:hAnsi="宋体"/>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06"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74"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int="eastAsia" w:hAnsi="宋体"/>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06"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74"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06"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74"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06"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74"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06"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74"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06"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74"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06"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3274"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r>
    </w:tbl>
    <w:p>
      <w:pPr>
        <w:pStyle w:val="5"/>
        <w:rPr>
          <w:rFonts w:hint="eastAsia"/>
        </w:rPr>
      </w:pPr>
    </w:p>
    <w:p>
      <w:pPr>
        <w:pStyle w:val="5"/>
        <w:rPr>
          <w:rFonts w:hint="eastAsia"/>
        </w:rPr>
      </w:pPr>
    </w:p>
    <w:p>
      <w:pPr>
        <w:tabs>
          <w:tab w:val="left" w:pos="2310"/>
        </w:tabs>
        <w:spacing w:line="360" w:lineRule="auto"/>
        <w:ind w:firstLine="600" w:firstLineChars="250"/>
        <w:rPr>
          <w:rFonts w:hint="eastAsia" w:ascii="宋体" w:hAnsi="宋体"/>
        </w:rPr>
      </w:pPr>
      <w:r>
        <w:rPr>
          <w:rFonts w:hint="eastAsia" w:ascii="宋体" w:hAnsi="宋体"/>
        </w:rPr>
        <w:t>投标人:（盖章）</w:t>
      </w:r>
    </w:p>
    <w:p>
      <w:pPr>
        <w:tabs>
          <w:tab w:val="left" w:pos="2310"/>
        </w:tabs>
        <w:spacing w:line="360" w:lineRule="auto"/>
        <w:ind w:firstLine="600" w:firstLineChars="250"/>
        <w:rPr>
          <w:rFonts w:hint="eastAsia" w:ascii="宋体" w:hAnsi="宋体"/>
        </w:rPr>
      </w:pPr>
    </w:p>
    <w:p>
      <w:pPr>
        <w:tabs>
          <w:tab w:val="left" w:pos="2310"/>
        </w:tabs>
        <w:spacing w:line="360" w:lineRule="auto"/>
        <w:ind w:firstLine="600" w:firstLineChars="250"/>
        <w:rPr>
          <w:rFonts w:hint="eastAsia" w:ascii="宋体" w:hAnsi="宋体"/>
        </w:rPr>
      </w:pPr>
    </w:p>
    <w:p>
      <w:pPr>
        <w:tabs>
          <w:tab w:val="left" w:pos="5580"/>
        </w:tabs>
        <w:ind w:firstLine="600" w:firstLineChars="250"/>
        <w:rPr>
          <w:rFonts w:hint="eastAsia" w:ascii="宋体" w:hAnsi="宋体"/>
          <w:szCs w:val="21"/>
        </w:rPr>
      </w:pPr>
      <w:r>
        <w:rPr>
          <w:rFonts w:hint="eastAsia" w:ascii="宋体" w:hAnsi="宋体"/>
        </w:rPr>
        <w:t>法定代表人或授权委托代理人：</w:t>
      </w:r>
      <w:r>
        <w:rPr>
          <w:rFonts w:hint="eastAsia" w:ascii="宋体" w:hAnsi="宋体"/>
          <w:szCs w:val="21"/>
        </w:rPr>
        <w:t>（签字）</w:t>
      </w:r>
    </w:p>
    <w:p>
      <w:pPr>
        <w:tabs>
          <w:tab w:val="left" w:pos="5580"/>
        </w:tabs>
        <w:ind w:firstLine="600" w:firstLineChars="250"/>
        <w:rPr>
          <w:rFonts w:hint="eastAsia" w:ascii="宋体" w:hAnsi="宋体"/>
          <w:szCs w:val="21"/>
        </w:rPr>
      </w:pPr>
    </w:p>
    <w:p>
      <w:pPr>
        <w:spacing w:line="360" w:lineRule="auto"/>
        <w:ind w:firstLine="600" w:firstLineChars="250"/>
        <w:rPr>
          <w:rFonts w:hint="eastAsia" w:ascii="宋体" w:hAnsi="宋体"/>
        </w:rPr>
      </w:pPr>
      <w:r>
        <w:rPr>
          <w:rFonts w:hint="eastAsia" w:ascii="宋体" w:hAnsi="宋体"/>
        </w:rPr>
        <w:t xml:space="preserve">   </w:t>
      </w:r>
    </w:p>
    <w:p>
      <w:pPr>
        <w:spacing w:line="360" w:lineRule="auto"/>
        <w:rPr>
          <w:rFonts w:hint="eastAsia" w:ascii="宋体" w:hAnsi="宋体"/>
        </w:rPr>
      </w:pPr>
      <w:r>
        <w:rPr>
          <w:rFonts w:hint="eastAsia" w:ascii="宋体" w:hAnsi="宋体"/>
        </w:rPr>
        <w:t xml:space="preserve">     日  期:</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3"/>
        <w:rPr>
          <w:rFonts w:hint="eastAsia"/>
          <w:sz w:val="28"/>
        </w:rPr>
      </w:pPr>
      <w:bookmarkStart w:id="193" w:name="_Toc456345925"/>
      <w:bookmarkStart w:id="194" w:name="_Toc458419369"/>
      <w:bookmarkStart w:id="195" w:name="_Toc528046862"/>
      <w:r>
        <w:rPr>
          <w:rFonts w:hint="eastAsia" w:ascii="Times New Roman" w:hAnsi="Times New Roman" w:eastAsia="宋体"/>
          <w:sz w:val="30"/>
          <w:szCs w:val="30"/>
        </w:rPr>
        <w:t>七、商务条款偏离表</w:t>
      </w:r>
      <w:bookmarkEnd w:id="193"/>
      <w:bookmarkEnd w:id="194"/>
      <w:bookmarkEnd w:id="195"/>
      <w:r>
        <w:rPr>
          <w:rFonts w:hint="eastAsia"/>
          <w:sz w:val="28"/>
        </w:rPr>
        <w:t xml:space="preserve"> </w:t>
      </w:r>
    </w:p>
    <w:tbl>
      <w:tblPr>
        <w:tblStyle w:val="7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981"/>
        <w:gridCol w:w="2980"/>
        <w:gridCol w:w="1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1"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33"/>
              <w:ind w:left="0" w:leftChars="0"/>
              <w:rPr>
                <w:rFonts w:hAnsi="宋体"/>
              </w:rPr>
            </w:pPr>
            <w:r>
              <w:rPr>
                <w:rFonts w:hAnsi="宋体"/>
              </w:rPr>
              <w:t>序号</w:t>
            </w:r>
          </w:p>
        </w:tc>
        <w:tc>
          <w:tcPr>
            <w:tcW w:w="2981" w:type="dxa"/>
            <w:tcBorders>
              <w:top w:val="single" w:color="auto" w:sz="4" w:space="0"/>
              <w:left w:val="single" w:color="auto" w:sz="4" w:space="0"/>
              <w:bottom w:val="single" w:color="auto" w:sz="4" w:space="0"/>
              <w:right w:val="single" w:color="auto" w:sz="4" w:space="0"/>
            </w:tcBorders>
            <w:noWrap w:val="0"/>
            <w:vAlign w:val="center"/>
          </w:tcPr>
          <w:p>
            <w:pPr>
              <w:pStyle w:val="33"/>
              <w:ind w:left="7" w:leftChars="3"/>
              <w:rPr>
                <w:rFonts w:hAnsi="宋体"/>
              </w:rPr>
            </w:pPr>
            <w:r>
              <w:rPr>
                <w:rFonts w:hAnsi="宋体"/>
              </w:rPr>
              <w:t>招标文件的商务条款</w:t>
            </w:r>
          </w:p>
        </w:tc>
        <w:tc>
          <w:tcPr>
            <w:tcW w:w="2980" w:type="dxa"/>
            <w:tcBorders>
              <w:top w:val="single" w:color="auto" w:sz="4" w:space="0"/>
              <w:left w:val="single" w:color="auto" w:sz="4" w:space="0"/>
              <w:bottom w:val="single" w:color="auto" w:sz="4" w:space="0"/>
              <w:right w:val="single" w:color="auto" w:sz="4" w:space="0"/>
            </w:tcBorders>
            <w:noWrap w:val="0"/>
            <w:vAlign w:val="center"/>
          </w:tcPr>
          <w:p>
            <w:pPr>
              <w:pStyle w:val="33"/>
              <w:ind w:left="480"/>
              <w:rPr>
                <w:rFonts w:hAnsi="宋体"/>
              </w:rPr>
            </w:pPr>
            <w:r>
              <w:rPr>
                <w:rFonts w:hAnsi="宋体"/>
              </w:rPr>
              <w:t>投标文件的商务条款</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Style w:val="33"/>
              <w:ind w:left="0" w:leftChars="0" w:firstLine="120" w:firstLineChars="50"/>
              <w:rPr>
                <w:rFonts w:hAnsi="宋体"/>
              </w:rPr>
            </w:pPr>
            <w:r>
              <w:rPr>
                <w:rFonts w:hAnsi="宋体"/>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4" w:hRule="atLeast"/>
        </w:trPr>
        <w:tc>
          <w:tcPr>
            <w:tcW w:w="788"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2981"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2980"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1490"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1" w:hRule="atLeast"/>
        </w:trPr>
        <w:tc>
          <w:tcPr>
            <w:tcW w:w="788"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2981"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2980"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1490"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4" w:hRule="atLeast"/>
        </w:trPr>
        <w:tc>
          <w:tcPr>
            <w:tcW w:w="788"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2981"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2980"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c>
          <w:tcPr>
            <w:tcW w:w="1490" w:type="dxa"/>
            <w:tcBorders>
              <w:top w:val="single" w:color="auto" w:sz="4" w:space="0"/>
              <w:left w:val="single" w:color="auto" w:sz="4" w:space="0"/>
              <w:bottom w:val="single" w:color="auto" w:sz="4" w:space="0"/>
              <w:right w:val="single" w:color="auto" w:sz="4" w:space="0"/>
            </w:tcBorders>
            <w:noWrap w:val="0"/>
            <w:vAlign w:val="top"/>
          </w:tcPr>
          <w:p>
            <w:pPr>
              <w:pStyle w:val="33"/>
              <w:ind w:left="614" w:leftChars="256" w:firstLine="480"/>
              <w:rPr>
                <w:rFonts w:hAnsi="宋体"/>
              </w:rPr>
            </w:pPr>
          </w:p>
        </w:tc>
      </w:tr>
    </w:tbl>
    <w:p>
      <w:pPr>
        <w:tabs>
          <w:tab w:val="left" w:pos="2310"/>
        </w:tabs>
        <w:spacing w:line="360" w:lineRule="auto"/>
        <w:ind w:firstLine="120" w:firstLineChars="50"/>
        <w:rPr>
          <w:rFonts w:hint="eastAsia" w:ascii="宋体" w:hAnsi="宋体"/>
        </w:rPr>
      </w:pPr>
      <w:r>
        <w:rPr>
          <w:rFonts w:hAnsi="宋体"/>
        </w:rPr>
        <w:t>注：此表仅提供了表格形式，投标人应根据需要准备足够数量的表格来填写。</w:t>
      </w:r>
    </w:p>
    <w:p>
      <w:pPr>
        <w:tabs>
          <w:tab w:val="left" w:pos="2310"/>
        </w:tabs>
        <w:spacing w:line="360" w:lineRule="auto"/>
        <w:ind w:firstLine="600" w:firstLineChars="250"/>
        <w:rPr>
          <w:rFonts w:hint="eastAsia" w:ascii="宋体" w:hAnsi="宋体"/>
        </w:rPr>
      </w:pPr>
    </w:p>
    <w:p>
      <w:pPr>
        <w:tabs>
          <w:tab w:val="left" w:pos="2310"/>
        </w:tabs>
        <w:spacing w:line="360" w:lineRule="auto"/>
        <w:ind w:firstLine="600" w:firstLineChars="250"/>
        <w:rPr>
          <w:rFonts w:hint="eastAsia" w:ascii="宋体" w:hAnsi="宋体"/>
        </w:rPr>
      </w:pPr>
    </w:p>
    <w:p>
      <w:pPr>
        <w:tabs>
          <w:tab w:val="left" w:pos="2310"/>
        </w:tabs>
        <w:spacing w:line="360" w:lineRule="auto"/>
        <w:ind w:firstLine="600" w:firstLineChars="250"/>
        <w:rPr>
          <w:rFonts w:hint="eastAsia" w:ascii="宋体" w:hAnsi="宋体"/>
        </w:rPr>
      </w:pPr>
    </w:p>
    <w:p>
      <w:pPr>
        <w:tabs>
          <w:tab w:val="left" w:pos="2310"/>
        </w:tabs>
        <w:spacing w:line="360" w:lineRule="auto"/>
        <w:ind w:firstLine="600" w:firstLineChars="250"/>
        <w:rPr>
          <w:rFonts w:hint="eastAsia" w:ascii="宋体" w:hAnsi="宋体"/>
        </w:rPr>
      </w:pPr>
      <w:r>
        <w:rPr>
          <w:rFonts w:hint="eastAsia" w:ascii="宋体" w:hAnsi="宋体"/>
        </w:rPr>
        <w:t>投标人:（盖章）</w:t>
      </w:r>
    </w:p>
    <w:p>
      <w:pPr>
        <w:tabs>
          <w:tab w:val="left" w:pos="2310"/>
        </w:tabs>
        <w:spacing w:line="360" w:lineRule="auto"/>
        <w:ind w:firstLine="600" w:firstLineChars="250"/>
        <w:rPr>
          <w:rFonts w:hint="eastAsia" w:ascii="宋体" w:hAnsi="宋体"/>
        </w:rPr>
      </w:pPr>
    </w:p>
    <w:p>
      <w:pPr>
        <w:tabs>
          <w:tab w:val="left" w:pos="2310"/>
        </w:tabs>
        <w:spacing w:line="360" w:lineRule="auto"/>
        <w:ind w:firstLine="600" w:firstLineChars="250"/>
        <w:rPr>
          <w:rFonts w:hint="eastAsia" w:ascii="宋体" w:hAnsi="宋体"/>
        </w:rPr>
      </w:pPr>
    </w:p>
    <w:p>
      <w:pPr>
        <w:tabs>
          <w:tab w:val="left" w:pos="5580"/>
        </w:tabs>
        <w:ind w:firstLine="600" w:firstLineChars="250"/>
        <w:rPr>
          <w:rFonts w:hint="eastAsia" w:ascii="宋体" w:hAnsi="宋体"/>
          <w:szCs w:val="21"/>
        </w:rPr>
      </w:pPr>
      <w:r>
        <w:rPr>
          <w:rFonts w:hint="eastAsia" w:ascii="宋体" w:hAnsi="宋体"/>
        </w:rPr>
        <w:t>法定代表人或授权委托代理人</w:t>
      </w:r>
      <w:r>
        <w:rPr>
          <w:rFonts w:hint="eastAsia" w:ascii="宋体" w:hAnsi="宋体"/>
          <w:szCs w:val="21"/>
        </w:rPr>
        <w:t>：（签字）</w:t>
      </w:r>
    </w:p>
    <w:p>
      <w:pPr>
        <w:tabs>
          <w:tab w:val="left" w:pos="5580"/>
        </w:tabs>
        <w:ind w:firstLine="600" w:firstLineChars="250"/>
        <w:rPr>
          <w:rFonts w:hint="eastAsia" w:ascii="宋体" w:hAnsi="宋体"/>
          <w:szCs w:val="21"/>
        </w:rPr>
      </w:pPr>
    </w:p>
    <w:p>
      <w:pPr>
        <w:spacing w:line="360" w:lineRule="auto"/>
        <w:ind w:firstLine="600" w:firstLineChars="250"/>
        <w:rPr>
          <w:rFonts w:hint="eastAsia" w:ascii="宋体" w:hAnsi="宋体"/>
        </w:rPr>
      </w:pPr>
      <w:r>
        <w:rPr>
          <w:rFonts w:hint="eastAsia" w:ascii="宋体" w:hAnsi="宋体"/>
        </w:rPr>
        <w:t xml:space="preserve">   </w:t>
      </w:r>
    </w:p>
    <w:p>
      <w:pPr>
        <w:spacing w:line="360" w:lineRule="auto"/>
        <w:rPr>
          <w:rFonts w:hint="eastAsia" w:ascii="宋体" w:hAnsi="宋体"/>
        </w:rPr>
      </w:pPr>
      <w:r>
        <w:rPr>
          <w:rFonts w:hint="eastAsia" w:ascii="宋体" w:hAnsi="宋体"/>
        </w:rPr>
        <w:t xml:space="preserve">     日  期:</w:t>
      </w:r>
    </w:p>
    <w:p>
      <w:pPr>
        <w:pStyle w:val="33"/>
        <w:ind w:left="614" w:leftChars="256" w:firstLine="480"/>
        <w:rPr>
          <w:rFonts w:hAnsi="宋体"/>
        </w:rPr>
      </w:pPr>
    </w:p>
    <w:p>
      <w:pPr>
        <w:pStyle w:val="33"/>
        <w:ind w:left="614" w:leftChars="256" w:firstLine="480"/>
        <w:rPr>
          <w:rFonts w:hAnsi="宋体"/>
        </w:rPr>
      </w:pPr>
    </w:p>
    <w:p>
      <w:pPr>
        <w:pStyle w:val="3"/>
        <w:rPr>
          <w:sz w:val="28"/>
        </w:rPr>
      </w:pPr>
      <w:r>
        <w:rPr>
          <w:rFonts w:hAnsi="宋体"/>
        </w:rPr>
        <w:br w:type="page"/>
      </w:r>
      <w:bookmarkEnd w:id="189"/>
      <w:bookmarkStart w:id="196" w:name="_Toc456345926"/>
      <w:bookmarkStart w:id="197" w:name="_Toc528046863"/>
      <w:bookmarkStart w:id="198" w:name="_Toc458419370"/>
      <w:bookmarkStart w:id="199" w:name="_Toc395532687"/>
      <w:bookmarkStart w:id="200" w:name="_Toc244596754"/>
      <w:r>
        <w:rPr>
          <w:rFonts w:hint="eastAsia" w:ascii="Times New Roman" w:hAnsi="Times New Roman" w:eastAsia="宋体"/>
          <w:sz w:val="30"/>
          <w:szCs w:val="30"/>
        </w:rPr>
        <w:t>八、同类项目业绩表</w:t>
      </w:r>
      <w:bookmarkEnd w:id="196"/>
      <w:bookmarkEnd w:id="197"/>
      <w:bookmarkEnd w:id="198"/>
      <w:bookmarkEnd w:id="199"/>
      <w:r>
        <w:rPr>
          <w:rFonts w:ascii="Times New Roman" w:hAnsi="Times New Roman" w:eastAsia="宋体"/>
          <w:sz w:val="30"/>
          <w:szCs w:val="30"/>
        </w:rPr>
        <w:t xml:space="preserve"> </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42"/>
        <w:gridCol w:w="1380"/>
        <w:gridCol w:w="966"/>
        <w:gridCol w:w="1242"/>
        <w:gridCol w:w="1107"/>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r>
              <w:rPr>
                <w:rFonts w:hint="eastAsia" w:ascii="宋体" w:hAnsi="宋体" w:cs="宋体"/>
                <w:szCs w:val="24"/>
              </w:rPr>
              <w:t>序号</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r>
              <w:rPr>
                <w:rFonts w:hint="eastAsia" w:ascii="宋体" w:hAnsi="宋体" w:cs="宋体"/>
                <w:szCs w:val="24"/>
              </w:rPr>
              <w:t>建设时间</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r>
              <w:rPr>
                <w:rFonts w:hint="eastAsia" w:ascii="宋体" w:hAnsi="宋体" w:cs="宋体"/>
                <w:szCs w:val="24"/>
              </w:rPr>
              <w:t>项目名称</w:t>
            </w: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r>
              <w:rPr>
                <w:rFonts w:hint="eastAsia" w:ascii="宋体" w:hAnsi="宋体" w:cs="宋体"/>
                <w:szCs w:val="24"/>
              </w:rPr>
              <w:t>规模</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r>
              <w:rPr>
                <w:rFonts w:hint="eastAsia" w:ascii="宋体" w:hAnsi="宋体" w:cs="宋体"/>
                <w:szCs w:val="24"/>
              </w:rPr>
              <w:t>实施情况</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r>
              <w:rPr>
                <w:rFonts w:hint="eastAsia" w:ascii="宋体" w:hAnsi="宋体" w:cs="宋体"/>
                <w:szCs w:val="24"/>
              </w:rPr>
              <w:t>用户单位名称</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r>
              <w:rPr>
                <w:rFonts w:hint="eastAsia" w:ascii="宋体" w:hAnsi="宋体"/>
                <w:szCs w:val="24"/>
              </w:rPr>
              <w:t>用户联系人及联系电话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4"/>
              </w:rPr>
            </w:pPr>
          </w:p>
        </w:tc>
      </w:tr>
    </w:tbl>
    <w:p>
      <w:pPr>
        <w:rPr>
          <w:rFonts w:hint="eastAsia" w:ascii="宋体" w:hAnsi="宋体" w:cs="宋体"/>
          <w:szCs w:val="24"/>
        </w:rPr>
      </w:pPr>
    </w:p>
    <w:p>
      <w:pPr>
        <w:rPr>
          <w:rFonts w:hint="eastAsia" w:ascii="宋体" w:hAnsi="宋体" w:cs="宋体"/>
          <w:szCs w:val="24"/>
        </w:rPr>
      </w:pPr>
    </w:p>
    <w:p>
      <w:pPr>
        <w:rPr>
          <w:rFonts w:hint="eastAsia" w:ascii="宋体" w:hAnsi="宋体" w:cs="宋体"/>
          <w:szCs w:val="24"/>
        </w:rPr>
      </w:pPr>
    </w:p>
    <w:p>
      <w:pPr>
        <w:rPr>
          <w:rFonts w:hint="eastAsia" w:ascii="宋体" w:hAnsi="宋体" w:cs="宋体"/>
          <w:szCs w:val="24"/>
        </w:rPr>
      </w:pPr>
    </w:p>
    <w:p>
      <w:pPr>
        <w:rPr>
          <w:rFonts w:hint="eastAsia" w:ascii="宋体" w:hAnsi="宋体" w:cs="宋体"/>
          <w:szCs w:val="24"/>
        </w:rPr>
      </w:pPr>
    </w:p>
    <w:p>
      <w:pPr>
        <w:tabs>
          <w:tab w:val="left" w:pos="2310"/>
        </w:tabs>
        <w:spacing w:line="360" w:lineRule="auto"/>
        <w:ind w:firstLine="600" w:firstLineChars="250"/>
        <w:rPr>
          <w:rFonts w:hint="eastAsia" w:ascii="宋体" w:hAnsi="宋体" w:cs="宋体"/>
          <w:szCs w:val="24"/>
        </w:rPr>
      </w:pPr>
      <w:r>
        <w:rPr>
          <w:rFonts w:hint="eastAsia" w:ascii="宋体" w:hAnsi="宋体" w:cs="宋体"/>
          <w:szCs w:val="24"/>
        </w:rPr>
        <w:t>投标人:（盖章）</w:t>
      </w:r>
    </w:p>
    <w:p>
      <w:pPr>
        <w:spacing w:line="360" w:lineRule="auto"/>
        <w:ind w:firstLine="600" w:firstLineChars="250"/>
        <w:rPr>
          <w:rFonts w:hint="eastAsia" w:ascii="宋体" w:hAnsi="宋体" w:cs="宋体"/>
          <w:szCs w:val="24"/>
        </w:rPr>
      </w:pPr>
    </w:p>
    <w:p>
      <w:pPr>
        <w:spacing w:line="360" w:lineRule="auto"/>
        <w:ind w:firstLine="600" w:firstLineChars="250"/>
        <w:rPr>
          <w:rFonts w:hint="eastAsia" w:ascii="宋体" w:hAnsi="宋体" w:cs="宋体"/>
          <w:szCs w:val="24"/>
        </w:rPr>
      </w:pPr>
      <w:r>
        <w:rPr>
          <w:rFonts w:hint="eastAsia" w:ascii="宋体" w:hAnsi="宋体" w:cs="宋体"/>
          <w:szCs w:val="24"/>
        </w:rPr>
        <w:t>法定代表人或授权</w:t>
      </w:r>
      <w:r>
        <w:rPr>
          <w:rFonts w:hint="eastAsia" w:ascii="宋体" w:hAnsi="宋体" w:cs="宋体"/>
          <w:szCs w:val="21"/>
        </w:rPr>
        <w:t>委托代理人</w:t>
      </w:r>
      <w:r>
        <w:rPr>
          <w:rFonts w:hint="eastAsia" w:ascii="宋体" w:hAnsi="宋体" w:cs="宋体"/>
          <w:szCs w:val="24"/>
        </w:rPr>
        <w:t>:（盖章或签字）</w:t>
      </w:r>
    </w:p>
    <w:p>
      <w:pPr>
        <w:spacing w:line="360" w:lineRule="auto"/>
        <w:ind w:firstLine="600" w:firstLineChars="250"/>
        <w:rPr>
          <w:rFonts w:hint="eastAsia" w:ascii="宋体" w:hAnsi="宋体" w:cs="宋体"/>
          <w:szCs w:val="24"/>
        </w:rPr>
      </w:pPr>
    </w:p>
    <w:p>
      <w:pPr>
        <w:spacing w:line="360" w:lineRule="auto"/>
        <w:ind w:firstLine="600" w:firstLineChars="250"/>
        <w:rPr>
          <w:rFonts w:hint="eastAsia" w:ascii="宋体" w:hAnsi="宋体" w:cs="宋体"/>
          <w:szCs w:val="24"/>
        </w:rPr>
      </w:pPr>
      <w:r>
        <w:rPr>
          <w:rFonts w:hint="eastAsia" w:ascii="宋体" w:hAnsi="宋体" w:cs="宋体"/>
          <w:szCs w:val="24"/>
        </w:rPr>
        <w:t>日  期:</w:t>
      </w:r>
    </w:p>
    <w:p>
      <w:pPr>
        <w:pStyle w:val="73"/>
        <w:widowControl w:val="0"/>
        <w:spacing w:before="120" w:beforeAutospacing="0" w:after="120" w:afterAutospacing="0" w:line="360" w:lineRule="auto"/>
        <w:ind w:left="7" w:leftChars="3"/>
        <w:jc w:val="both"/>
        <w:rPr>
          <w:szCs w:val="24"/>
        </w:rPr>
      </w:pPr>
    </w:p>
    <w:p>
      <w:pPr>
        <w:pStyle w:val="3"/>
        <w:widowControl/>
        <w:rPr>
          <w:sz w:val="28"/>
          <w:lang/>
        </w:rPr>
      </w:pPr>
      <w:r>
        <w:rPr>
          <w:rFonts w:hint="eastAsia"/>
          <w:sz w:val="28"/>
        </w:rPr>
        <w:br w:type="page"/>
      </w:r>
      <w:bookmarkStart w:id="201" w:name="_Toc528046864"/>
      <w:bookmarkStart w:id="202" w:name="_Toc458419371"/>
      <w:bookmarkStart w:id="203" w:name="_Toc395532688"/>
      <w:bookmarkStart w:id="204" w:name="_Toc456345927"/>
      <w:r>
        <w:rPr>
          <w:rFonts w:hint="eastAsia" w:ascii="Times New Roman" w:hAnsi="Times New Roman" w:eastAsia="宋体"/>
          <w:sz w:val="30"/>
          <w:szCs w:val="30"/>
        </w:rPr>
        <w:t>九、投标人情况介绍</w:t>
      </w:r>
      <w:bookmarkEnd w:id="201"/>
      <w:bookmarkEnd w:id="202"/>
      <w:bookmarkEnd w:id="203"/>
      <w:bookmarkEnd w:id="204"/>
    </w:p>
    <w:tbl>
      <w:tblPr>
        <w:tblStyle w:val="78"/>
        <w:tblW w:w="0" w:type="auto"/>
        <w:jc w:val="center"/>
        <w:tblLayout w:type="fixed"/>
        <w:tblCellMar>
          <w:top w:w="0" w:type="dxa"/>
          <w:left w:w="28" w:type="dxa"/>
          <w:bottom w:w="0" w:type="dxa"/>
          <w:right w:w="28" w:type="dxa"/>
        </w:tblCellMar>
      </w:tblPr>
      <w:tblGrid>
        <w:gridCol w:w="2487"/>
        <w:gridCol w:w="1800"/>
        <w:gridCol w:w="2700"/>
        <w:gridCol w:w="1864"/>
      </w:tblGrid>
      <w:tr>
        <w:tblPrEx>
          <w:tblCellMar>
            <w:top w:w="0" w:type="dxa"/>
            <w:left w:w="28" w:type="dxa"/>
            <w:bottom w:w="0" w:type="dxa"/>
            <w:right w:w="28" w:type="dxa"/>
          </w:tblCellMar>
        </w:tblPrEx>
        <w:trPr>
          <w:wBefore w:w="0" w:type="dxa"/>
          <w:wAfter w:w="0" w:type="dxa"/>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hint="eastAsia" w:ascii="宋体" w:hAnsi="宋体" w:cs="宋体"/>
                <w:szCs w:val="28"/>
              </w:rPr>
            </w:pPr>
            <w:r>
              <w:rPr>
                <w:rFonts w:hint="eastAsia" w:ascii="宋体" w:hAnsi="宋体" w:cs="宋体"/>
                <w:szCs w:val="28"/>
              </w:rPr>
              <w:t>投标人全称</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b/>
                <w:szCs w:val="28"/>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szCs w:val="28"/>
              </w:rPr>
            </w:pPr>
            <w:r>
              <w:rPr>
                <w:rFonts w:hint="eastAsia" w:ascii="宋体" w:hAnsi="宋体" w:cs="宋体"/>
                <w:szCs w:val="28"/>
              </w:rPr>
              <w:t>法人代表</w:t>
            </w:r>
          </w:p>
        </w:tc>
        <w:tc>
          <w:tcPr>
            <w:tcW w:w="186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textAlignment w:val="bottom"/>
              <w:rPr>
                <w:rFonts w:hint="eastAsia" w:ascii="宋体" w:hAnsi="宋体" w:cs="宋体"/>
                <w:b/>
                <w:szCs w:val="28"/>
              </w:rPr>
            </w:pPr>
          </w:p>
        </w:tc>
      </w:tr>
      <w:tr>
        <w:tblPrEx>
          <w:tblCellMar>
            <w:top w:w="0" w:type="dxa"/>
            <w:left w:w="28" w:type="dxa"/>
            <w:bottom w:w="0" w:type="dxa"/>
            <w:right w:w="28" w:type="dxa"/>
          </w:tblCellMar>
        </w:tblPrEx>
        <w:trPr>
          <w:wBefore w:w="0" w:type="dxa"/>
          <w:wAfter w:w="0" w:type="dxa"/>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ind w:left="113"/>
              <w:jc w:val="center"/>
              <w:textAlignment w:val="bottom"/>
              <w:rPr>
                <w:rFonts w:hint="eastAsia" w:ascii="宋体" w:hAnsi="宋体" w:cs="宋体"/>
                <w:szCs w:val="28"/>
              </w:rPr>
            </w:pPr>
            <w:r>
              <w:rPr>
                <w:rFonts w:hint="eastAsia" w:ascii="宋体" w:hAnsi="宋体" w:cs="宋体"/>
                <w:szCs w:val="28"/>
              </w:rPr>
              <w:t>企业资质等级</w:t>
            </w:r>
          </w:p>
        </w:tc>
        <w:tc>
          <w:tcPr>
            <w:tcW w:w="180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b/>
                <w:szCs w:val="28"/>
              </w:rPr>
            </w:pPr>
          </w:p>
        </w:tc>
        <w:tc>
          <w:tcPr>
            <w:tcW w:w="270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ind w:left="113"/>
              <w:jc w:val="center"/>
              <w:textAlignment w:val="bottom"/>
              <w:rPr>
                <w:rFonts w:hint="eastAsia" w:ascii="宋体" w:hAnsi="宋体" w:cs="宋体"/>
                <w:szCs w:val="28"/>
              </w:rPr>
            </w:pPr>
            <w:r>
              <w:rPr>
                <w:rFonts w:hint="eastAsia" w:ascii="宋体" w:hAnsi="宋体" w:cs="宋体"/>
                <w:szCs w:val="28"/>
              </w:rPr>
              <w:t>营业执照编号</w:t>
            </w:r>
          </w:p>
        </w:tc>
        <w:tc>
          <w:tcPr>
            <w:tcW w:w="186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b/>
                <w:szCs w:val="28"/>
              </w:rPr>
            </w:pPr>
          </w:p>
        </w:tc>
      </w:tr>
      <w:tr>
        <w:tblPrEx>
          <w:tblCellMar>
            <w:top w:w="0" w:type="dxa"/>
            <w:left w:w="28" w:type="dxa"/>
            <w:bottom w:w="0" w:type="dxa"/>
            <w:right w:w="28" w:type="dxa"/>
          </w:tblCellMar>
        </w:tblPrEx>
        <w:trPr>
          <w:wBefore w:w="0" w:type="dxa"/>
          <w:wAfter w:w="0" w:type="dxa"/>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hint="eastAsia" w:ascii="宋体" w:hAnsi="宋体" w:cs="宋体"/>
                <w:szCs w:val="28"/>
              </w:rPr>
            </w:pPr>
            <w:r>
              <w:rPr>
                <w:rFonts w:hint="eastAsia" w:ascii="宋体" w:hAnsi="宋体" w:cs="宋体"/>
                <w:szCs w:val="28"/>
              </w:rPr>
              <w:t>单位性质</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b/>
                <w:szCs w:val="28"/>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s="宋体"/>
                <w:szCs w:val="28"/>
              </w:rPr>
            </w:pPr>
            <w:r>
              <w:rPr>
                <w:rFonts w:hint="eastAsia" w:ascii="宋体" w:hAnsi="宋体" w:cs="宋体"/>
                <w:szCs w:val="28"/>
              </w:rPr>
              <w:t>隶  属</w:t>
            </w:r>
          </w:p>
        </w:tc>
        <w:tc>
          <w:tcPr>
            <w:tcW w:w="1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b/>
                <w:szCs w:val="28"/>
              </w:rPr>
            </w:pPr>
          </w:p>
        </w:tc>
      </w:tr>
      <w:tr>
        <w:tblPrEx>
          <w:tblCellMar>
            <w:top w:w="0" w:type="dxa"/>
            <w:left w:w="28" w:type="dxa"/>
            <w:bottom w:w="0" w:type="dxa"/>
            <w:right w:w="28" w:type="dxa"/>
          </w:tblCellMar>
        </w:tblPrEx>
        <w:trPr>
          <w:wBefore w:w="0" w:type="dxa"/>
          <w:wAfter w:w="0" w:type="dxa"/>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ind w:left="113"/>
              <w:jc w:val="center"/>
              <w:textAlignment w:val="bottom"/>
              <w:rPr>
                <w:rFonts w:hint="eastAsia" w:ascii="宋体" w:hAnsi="宋体" w:cs="宋体"/>
                <w:szCs w:val="28"/>
              </w:rPr>
            </w:pPr>
            <w:r>
              <w:rPr>
                <w:rFonts w:hint="eastAsia" w:ascii="宋体" w:hAnsi="宋体" w:cs="宋体"/>
                <w:szCs w:val="28"/>
              </w:rPr>
              <w:t>主要业务</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b/>
                <w:szCs w:val="28"/>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s="宋体"/>
                <w:szCs w:val="28"/>
              </w:rPr>
            </w:pPr>
            <w:r>
              <w:rPr>
                <w:rFonts w:hint="eastAsia" w:ascii="宋体" w:hAnsi="宋体" w:cs="宋体"/>
                <w:szCs w:val="28"/>
              </w:rPr>
              <w:t>固定资产净值(万元)</w:t>
            </w:r>
          </w:p>
        </w:tc>
        <w:tc>
          <w:tcPr>
            <w:tcW w:w="1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00" w:lineRule="atLeast"/>
              <w:jc w:val="center"/>
              <w:textAlignment w:val="bottom"/>
              <w:rPr>
                <w:rFonts w:hint="eastAsia" w:ascii="宋体" w:hAnsi="宋体" w:cs="宋体"/>
                <w:b/>
                <w:szCs w:val="28"/>
              </w:rPr>
            </w:pPr>
          </w:p>
        </w:tc>
      </w:tr>
      <w:tr>
        <w:tblPrEx>
          <w:tblCellMar>
            <w:top w:w="0" w:type="dxa"/>
            <w:left w:w="28" w:type="dxa"/>
            <w:bottom w:w="0" w:type="dxa"/>
            <w:right w:w="28" w:type="dxa"/>
          </w:tblCellMar>
        </w:tblPrEx>
        <w:trPr>
          <w:wBefore w:w="0" w:type="dxa"/>
          <w:wAfter w:w="0" w:type="dxa"/>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ind w:left="113"/>
              <w:jc w:val="center"/>
              <w:textAlignment w:val="bottom"/>
              <w:rPr>
                <w:rFonts w:hint="eastAsia" w:ascii="宋体" w:hAnsi="宋体" w:cs="宋体"/>
                <w:szCs w:val="28"/>
              </w:rPr>
            </w:pPr>
            <w:r>
              <w:rPr>
                <w:rFonts w:hint="eastAsia" w:ascii="宋体" w:hAnsi="宋体" w:cs="宋体"/>
                <w:szCs w:val="28"/>
              </w:rPr>
              <w:t>现有职工总人数</w:t>
            </w:r>
          </w:p>
        </w:tc>
        <w:tc>
          <w:tcPr>
            <w:tcW w:w="180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b/>
                <w:szCs w:val="28"/>
              </w:rPr>
            </w:pPr>
          </w:p>
        </w:tc>
        <w:tc>
          <w:tcPr>
            <w:tcW w:w="270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szCs w:val="28"/>
              </w:rPr>
            </w:pPr>
            <w:r>
              <w:rPr>
                <w:rFonts w:hint="eastAsia" w:ascii="宋体" w:hAnsi="宋体" w:cs="宋体"/>
                <w:szCs w:val="28"/>
              </w:rPr>
              <w:t>单位成立日期</w:t>
            </w:r>
          </w:p>
        </w:tc>
        <w:tc>
          <w:tcPr>
            <w:tcW w:w="1864"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jc w:val="center"/>
              <w:textAlignment w:val="bottom"/>
              <w:rPr>
                <w:rFonts w:hint="eastAsia" w:ascii="宋体" w:hAnsi="宋体" w:cs="宋体"/>
                <w:b/>
                <w:szCs w:val="28"/>
              </w:rPr>
            </w:pPr>
          </w:p>
        </w:tc>
      </w:tr>
      <w:tr>
        <w:tblPrEx>
          <w:tblCellMar>
            <w:top w:w="0" w:type="dxa"/>
            <w:left w:w="28" w:type="dxa"/>
            <w:bottom w:w="0" w:type="dxa"/>
            <w:right w:w="28" w:type="dxa"/>
          </w:tblCellMar>
        </w:tblPrEx>
        <w:trPr>
          <w:wBefore w:w="0" w:type="dxa"/>
          <w:wAfter w:w="0" w:type="dxa"/>
          <w:cantSplit/>
          <w:jc w:val="center"/>
        </w:trPr>
        <w:tc>
          <w:tcPr>
            <w:tcW w:w="248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ind w:left="113"/>
              <w:jc w:val="center"/>
              <w:textAlignment w:val="bottom"/>
              <w:rPr>
                <w:rFonts w:hint="eastAsia" w:ascii="宋体" w:hAnsi="宋体" w:cs="宋体"/>
                <w:szCs w:val="28"/>
              </w:rPr>
            </w:pPr>
            <w:r>
              <w:rPr>
                <w:rFonts w:hint="eastAsia" w:ascii="宋体" w:hAnsi="宋体" w:cs="宋体"/>
                <w:szCs w:val="28"/>
              </w:rPr>
              <w:t>法定代表人</w:t>
            </w:r>
          </w:p>
        </w:tc>
        <w:tc>
          <w:tcPr>
            <w:tcW w:w="6364"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szCs w:val="28"/>
              </w:rPr>
            </w:pPr>
            <w:r>
              <w:rPr>
                <w:rFonts w:hint="eastAsia" w:ascii="宋体" w:hAnsi="宋体" w:cs="宋体"/>
                <w:szCs w:val="28"/>
              </w:rPr>
              <w:t>1.姓名：      2.职务：       3.职称：</w:t>
            </w:r>
          </w:p>
        </w:tc>
      </w:tr>
      <w:tr>
        <w:tblPrEx>
          <w:tblCellMar>
            <w:top w:w="0" w:type="dxa"/>
            <w:left w:w="28" w:type="dxa"/>
            <w:bottom w:w="0" w:type="dxa"/>
            <w:right w:w="28" w:type="dxa"/>
          </w:tblCellMar>
        </w:tblPrEx>
        <w:trPr>
          <w:wBefore w:w="0" w:type="dxa"/>
          <w:wAfter w:w="0" w:type="dxa"/>
          <w:cantSplit/>
          <w:jc w:val="center"/>
        </w:trPr>
        <w:tc>
          <w:tcPr>
            <w:tcW w:w="248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ind w:left="113"/>
              <w:jc w:val="center"/>
              <w:textAlignment w:val="bottom"/>
              <w:rPr>
                <w:rFonts w:hint="eastAsia" w:ascii="宋体" w:hAnsi="宋体" w:cs="宋体"/>
                <w:szCs w:val="28"/>
              </w:rPr>
            </w:pPr>
            <w:r>
              <w:rPr>
                <w:rFonts w:hint="eastAsia" w:ascii="宋体" w:hAnsi="宋体" w:cs="宋体"/>
                <w:szCs w:val="28"/>
              </w:rPr>
              <w:t>联系方式</w:t>
            </w:r>
          </w:p>
        </w:tc>
        <w:tc>
          <w:tcPr>
            <w:tcW w:w="6364"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szCs w:val="28"/>
              </w:rPr>
            </w:pPr>
            <w:r>
              <w:rPr>
                <w:rFonts w:hint="eastAsia" w:ascii="宋体" w:hAnsi="宋体" w:cs="宋体"/>
                <w:szCs w:val="28"/>
              </w:rPr>
              <w:t>1.地址：</w:t>
            </w:r>
            <w:r>
              <w:rPr>
                <w:rFonts w:hint="eastAsia" w:ascii="宋体" w:hAnsi="宋体" w:cs="宋体"/>
                <w:b/>
                <w:szCs w:val="28"/>
              </w:rPr>
              <w:t xml:space="preserve">          </w:t>
            </w:r>
            <w:r>
              <w:rPr>
                <w:rFonts w:hint="eastAsia" w:ascii="宋体" w:hAnsi="宋体" w:cs="宋体"/>
                <w:szCs w:val="28"/>
              </w:rPr>
              <w:t>2.邮编：</w:t>
            </w:r>
            <w:r>
              <w:rPr>
                <w:rFonts w:hint="eastAsia" w:ascii="宋体" w:hAnsi="宋体" w:cs="宋体"/>
                <w:b/>
                <w:szCs w:val="28"/>
              </w:rPr>
              <w:t xml:space="preserve">      </w:t>
            </w:r>
            <w:r>
              <w:rPr>
                <w:rFonts w:hint="eastAsia" w:ascii="宋体" w:hAnsi="宋体" w:cs="宋体"/>
                <w:szCs w:val="28"/>
              </w:rPr>
              <w:t xml:space="preserve"> 3.电话：</w:t>
            </w:r>
            <w:r>
              <w:rPr>
                <w:rFonts w:hint="eastAsia" w:ascii="宋体" w:hAnsi="宋体" w:cs="宋体"/>
                <w:b/>
                <w:szCs w:val="28"/>
              </w:rPr>
              <w:t xml:space="preserve"> </w:t>
            </w:r>
          </w:p>
          <w:p>
            <w:pPr>
              <w:widowControl/>
              <w:autoSpaceDE w:val="0"/>
              <w:autoSpaceDN w:val="0"/>
              <w:spacing w:line="400" w:lineRule="atLeast"/>
              <w:textAlignment w:val="bottom"/>
              <w:rPr>
                <w:rFonts w:hint="eastAsia" w:ascii="宋体" w:hAnsi="宋体" w:cs="宋体"/>
                <w:szCs w:val="28"/>
              </w:rPr>
            </w:pPr>
            <w:r>
              <w:rPr>
                <w:rFonts w:hint="eastAsia" w:ascii="宋体" w:hAnsi="宋体" w:cs="宋体"/>
                <w:szCs w:val="28"/>
              </w:rPr>
              <w:t>4.传真：</w:t>
            </w:r>
            <w:r>
              <w:rPr>
                <w:rFonts w:hint="eastAsia" w:ascii="宋体" w:hAnsi="宋体" w:cs="宋体"/>
                <w:b/>
                <w:szCs w:val="28"/>
              </w:rPr>
              <w:t xml:space="preserve"> </w:t>
            </w:r>
            <w:r>
              <w:rPr>
                <w:rFonts w:hint="eastAsia" w:ascii="宋体" w:hAnsi="宋体" w:cs="宋体"/>
                <w:szCs w:val="28"/>
              </w:rPr>
              <w:t xml:space="preserve">         5. 联系人：</w:t>
            </w:r>
            <w:r>
              <w:rPr>
                <w:rFonts w:hint="eastAsia" w:ascii="宋体" w:hAnsi="宋体" w:cs="宋体"/>
                <w:b/>
                <w:szCs w:val="28"/>
              </w:rPr>
              <w:t xml:space="preserve"> </w:t>
            </w:r>
          </w:p>
        </w:tc>
      </w:tr>
      <w:tr>
        <w:tblPrEx>
          <w:tblCellMar>
            <w:top w:w="0" w:type="dxa"/>
            <w:left w:w="28" w:type="dxa"/>
            <w:bottom w:w="0" w:type="dxa"/>
            <w:right w:w="28" w:type="dxa"/>
          </w:tblCellMar>
        </w:tblPrEx>
        <w:trPr>
          <w:wBefore w:w="0" w:type="dxa"/>
          <w:wAfter w:w="0" w:type="dxa"/>
          <w:cantSplit/>
          <w:jc w:val="center"/>
        </w:trPr>
        <w:tc>
          <w:tcPr>
            <w:tcW w:w="248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ind w:left="113"/>
              <w:jc w:val="center"/>
              <w:textAlignment w:val="bottom"/>
              <w:rPr>
                <w:rFonts w:hint="eastAsia" w:ascii="宋体" w:hAnsi="宋体" w:cs="宋体"/>
                <w:szCs w:val="28"/>
              </w:rPr>
            </w:pPr>
            <w:r>
              <w:rPr>
                <w:rFonts w:hint="eastAsia" w:ascii="宋体" w:hAnsi="宋体" w:cs="宋体"/>
                <w:szCs w:val="28"/>
              </w:rPr>
              <w:t>开户银行</w:t>
            </w:r>
          </w:p>
        </w:tc>
        <w:tc>
          <w:tcPr>
            <w:tcW w:w="6364"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00" w:lineRule="atLeast"/>
              <w:textAlignment w:val="bottom"/>
              <w:rPr>
                <w:rFonts w:hint="eastAsia" w:ascii="宋体" w:hAnsi="宋体" w:cs="宋体"/>
                <w:szCs w:val="28"/>
              </w:rPr>
            </w:pPr>
            <w:r>
              <w:rPr>
                <w:rFonts w:hint="eastAsia" w:ascii="宋体" w:hAnsi="宋体" w:cs="宋体"/>
                <w:szCs w:val="28"/>
              </w:rPr>
              <w:t>1.名称：</w:t>
            </w:r>
            <w:r>
              <w:rPr>
                <w:rFonts w:hint="eastAsia" w:ascii="宋体" w:hAnsi="宋体" w:cs="宋体"/>
                <w:b/>
                <w:szCs w:val="28"/>
              </w:rPr>
              <w:t xml:space="preserve"> </w:t>
            </w:r>
            <w:r>
              <w:rPr>
                <w:rFonts w:hint="eastAsia" w:ascii="宋体" w:hAnsi="宋体" w:cs="宋体"/>
                <w:szCs w:val="28"/>
              </w:rPr>
              <w:t xml:space="preserve"> </w:t>
            </w:r>
          </w:p>
          <w:p>
            <w:pPr>
              <w:widowControl/>
              <w:autoSpaceDE w:val="0"/>
              <w:autoSpaceDN w:val="0"/>
              <w:spacing w:line="400" w:lineRule="atLeast"/>
              <w:textAlignment w:val="bottom"/>
              <w:rPr>
                <w:rFonts w:hint="eastAsia" w:ascii="宋体" w:hAnsi="宋体" w:cs="宋体"/>
                <w:szCs w:val="28"/>
              </w:rPr>
            </w:pPr>
            <w:r>
              <w:rPr>
                <w:rFonts w:hint="eastAsia" w:ascii="宋体" w:hAnsi="宋体" w:cs="宋体"/>
                <w:szCs w:val="28"/>
              </w:rPr>
              <w:t>2.、账号：</w:t>
            </w:r>
            <w:r>
              <w:rPr>
                <w:rFonts w:hint="eastAsia" w:ascii="宋体" w:hAnsi="宋体" w:cs="宋体"/>
                <w:b/>
                <w:szCs w:val="28"/>
              </w:rPr>
              <w:t xml:space="preserve"> </w:t>
            </w:r>
          </w:p>
        </w:tc>
      </w:tr>
    </w:tbl>
    <w:p>
      <w:pPr>
        <w:widowControl/>
        <w:autoSpaceDE w:val="0"/>
        <w:autoSpaceDN w:val="0"/>
        <w:spacing w:before="240" w:line="360" w:lineRule="atLeast"/>
        <w:textAlignment w:val="bottom"/>
        <w:rPr>
          <w:rFonts w:hint="eastAsia" w:ascii="宋体" w:hAnsi="宋体" w:cs="宋体"/>
          <w:sz w:val="28"/>
          <w:szCs w:val="28"/>
        </w:rPr>
      </w:pPr>
      <w:r>
        <w:rPr>
          <w:rFonts w:hint="eastAsia" w:ascii="宋体" w:hAnsi="宋体" w:cs="宋体"/>
          <w:szCs w:val="28"/>
        </w:rPr>
        <w:t>注: 在本表后应附投标人营业执照和资质证书的复印件(并加盖单位公章)。</w:t>
      </w:r>
    </w:p>
    <w:p>
      <w:pPr>
        <w:widowControl/>
        <w:autoSpaceDE w:val="0"/>
        <w:autoSpaceDN w:val="0"/>
        <w:spacing w:before="240" w:line="360" w:lineRule="atLeast"/>
        <w:textAlignment w:val="bottom"/>
        <w:rPr>
          <w:rFonts w:hint="eastAsia" w:ascii="宋体" w:hAnsi="宋体" w:cs="宋体"/>
          <w:sz w:val="28"/>
          <w:szCs w:val="28"/>
        </w:rPr>
      </w:pPr>
    </w:p>
    <w:p>
      <w:pPr>
        <w:widowControl/>
        <w:autoSpaceDE w:val="0"/>
        <w:autoSpaceDN w:val="0"/>
        <w:spacing w:before="240" w:line="360" w:lineRule="atLeast"/>
        <w:textAlignment w:val="bottom"/>
        <w:rPr>
          <w:rFonts w:hint="eastAsia" w:ascii="宋体" w:hAnsi="宋体" w:cs="宋体"/>
          <w:sz w:val="28"/>
          <w:szCs w:val="28"/>
        </w:rPr>
      </w:pPr>
    </w:p>
    <w:p>
      <w:pPr>
        <w:tabs>
          <w:tab w:val="left" w:pos="2310"/>
        </w:tabs>
        <w:spacing w:line="360" w:lineRule="auto"/>
        <w:ind w:firstLine="600" w:firstLineChars="250"/>
        <w:rPr>
          <w:rFonts w:hint="eastAsia" w:ascii="宋体" w:hAnsi="宋体" w:cs="宋体"/>
          <w:szCs w:val="24"/>
        </w:rPr>
      </w:pPr>
      <w:r>
        <w:rPr>
          <w:rFonts w:hint="eastAsia" w:ascii="宋体" w:hAnsi="宋体" w:cs="宋体"/>
          <w:szCs w:val="24"/>
        </w:rPr>
        <w:t>投标人:（盖章）</w:t>
      </w:r>
    </w:p>
    <w:p>
      <w:pPr>
        <w:spacing w:line="360" w:lineRule="auto"/>
        <w:ind w:firstLine="600" w:firstLineChars="250"/>
        <w:rPr>
          <w:rFonts w:hint="eastAsia" w:ascii="宋体" w:hAnsi="宋体" w:cs="宋体"/>
          <w:szCs w:val="24"/>
        </w:rPr>
      </w:pPr>
    </w:p>
    <w:p>
      <w:pPr>
        <w:spacing w:line="360" w:lineRule="auto"/>
        <w:ind w:firstLine="600" w:firstLineChars="250"/>
        <w:rPr>
          <w:rFonts w:hint="eastAsia" w:ascii="宋体" w:hAnsi="宋体" w:cs="宋体"/>
          <w:szCs w:val="24"/>
        </w:rPr>
      </w:pPr>
      <w:r>
        <w:rPr>
          <w:rFonts w:hint="eastAsia" w:ascii="宋体" w:hAnsi="宋体" w:cs="宋体"/>
          <w:szCs w:val="24"/>
        </w:rPr>
        <w:t>法定代表人或授权</w:t>
      </w:r>
      <w:r>
        <w:rPr>
          <w:rFonts w:hint="eastAsia" w:ascii="宋体" w:hAnsi="宋体" w:cs="宋体"/>
          <w:szCs w:val="21"/>
        </w:rPr>
        <w:t>委托代理人</w:t>
      </w:r>
      <w:r>
        <w:rPr>
          <w:rFonts w:hint="eastAsia" w:ascii="宋体" w:hAnsi="宋体" w:cs="宋体"/>
          <w:szCs w:val="24"/>
        </w:rPr>
        <w:t>:（盖章或签字）</w:t>
      </w:r>
    </w:p>
    <w:p>
      <w:pPr>
        <w:spacing w:line="360" w:lineRule="auto"/>
        <w:ind w:firstLine="600" w:firstLineChars="250"/>
        <w:rPr>
          <w:rFonts w:hint="eastAsia" w:ascii="宋体" w:hAnsi="宋体" w:cs="宋体"/>
          <w:szCs w:val="24"/>
        </w:rPr>
      </w:pPr>
    </w:p>
    <w:p>
      <w:pPr>
        <w:spacing w:line="360" w:lineRule="auto"/>
        <w:ind w:firstLine="600" w:firstLineChars="250"/>
        <w:rPr>
          <w:rFonts w:hint="eastAsia" w:ascii="宋体" w:hAnsi="宋体" w:cs="宋体"/>
          <w:szCs w:val="24"/>
        </w:rPr>
      </w:pPr>
      <w:r>
        <w:rPr>
          <w:rFonts w:hint="eastAsia" w:ascii="宋体" w:hAnsi="宋体" w:cs="宋体"/>
          <w:szCs w:val="24"/>
        </w:rPr>
        <w:t>日  期:</w:t>
      </w:r>
    </w:p>
    <w:p>
      <w:pPr>
        <w:widowControl/>
        <w:autoSpaceDE w:val="0"/>
        <w:autoSpaceDN w:val="0"/>
        <w:spacing w:before="240" w:line="360" w:lineRule="atLeast"/>
        <w:textAlignment w:val="bottom"/>
        <w:rPr>
          <w:rFonts w:hint="eastAsia" w:ascii="宋体" w:hAnsi="宋体" w:cs="宋体"/>
          <w:sz w:val="28"/>
          <w:szCs w:val="28"/>
        </w:rPr>
      </w:pPr>
    </w:p>
    <w:p>
      <w:pPr>
        <w:widowControl/>
        <w:autoSpaceDE w:val="0"/>
        <w:autoSpaceDN w:val="0"/>
        <w:spacing w:before="240" w:line="360" w:lineRule="atLeast"/>
        <w:textAlignment w:val="bottom"/>
        <w:rPr>
          <w:rFonts w:hint="eastAsia" w:ascii="宋体" w:hAnsi="宋体" w:cs="宋体"/>
          <w:sz w:val="28"/>
          <w:szCs w:val="28"/>
        </w:rPr>
      </w:pPr>
    </w:p>
    <w:p>
      <w:pPr>
        <w:pStyle w:val="3"/>
        <w:rPr>
          <w:rFonts w:hint="eastAsia"/>
          <w:sz w:val="28"/>
        </w:rPr>
      </w:pPr>
      <w:bookmarkStart w:id="205" w:name="_Toc458419372"/>
      <w:bookmarkStart w:id="206" w:name="_Toc528046865"/>
      <w:bookmarkStart w:id="207" w:name="_Toc456345928"/>
      <w:r>
        <w:rPr>
          <w:rFonts w:hint="eastAsia" w:ascii="Times New Roman" w:hAnsi="Times New Roman" w:eastAsia="宋体"/>
          <w:sz w:val="30"/>
          <w:szCs w:val="30"/>
        </w:rPr>
        <w:t>十、项目技术负责人简历表</w:t>
      </w:r>
      <w:bookmarkEnd w:id="200"/>
      <w:bookmarkEnd w:id="205"/>
      <w:bookmarkEnd w:id="206"/>
      <w:bookmarkEnd w:id="207"/>
      <w:r>
        <w:rPr>
          <w:rFonts w:hint="eastAsia" w:ascii="Times New Roman" w:hAnsi="Times New Roman" w:eastAsia="宋体"/>
          <w:sz w:val="30"/>
          <w:szCs w:val="30"/>
        </w:rPr>
        <w:t xml:space="preserve">   </w:t>
      </w:r>
      <w:r>
        <w:rPr>
          <w:rFonts w:hint="eastAsia"/>
          <w:sz w:val="28"/>
        </w:rPr>
        <w:t xml:space="preserve">       </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396"/>
        <w:gridCol w:w="1225"/>
        <w:gridCol w:w="1484"/>
        <w:gridCol w:w="189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3" w:hRule="atLeast"/>
          <w:jc w:val="center"/>
        </w:trPr>
        <w:tc>
          <w:tcPr>
            <w:tcW w:w="1845" w:type="dxa"/>
            <w:noWrap w:val="0"/>
            <w:vAlign w:val="center"/>
          </w:tcPr>
          <w:p>
            <w:pPr>
              <w:widowControl/>
              <w:jc w:val="center"/>
              <w:rPr>
                <w:rFonts w:hint="eastAsia" w:ascii="宋体" w:hAnsi="宋体"/>
                <w:szCs w:val="21"/>
              </w:rPr>
            </w:pPr>
            <w:r>
              <w:rPr>
                <w:rFonts w:hint="eastAsia" w:ascii="宋体" w:hAnsi="宋体"/>
                <w:szCs w:val="21"/>
              </w:rPr>
              <w:t>姓名</w:t>
            </w:r>
          </w:p>
        </w:tc>
        <w:tc>
          <w:tcPr>
            <w:tcW w:w="1396" w:type="dxa"/>
            <w:noWrap w:val="0"/>
            <w:vAlign w:val="center"/>
          </w:tcPr>
          <w:p>
            <w:pPr>
              <w:widowControl/>
              <w:jc w:val="center"/>
              <w:rPr>
                <w:rFonts w:hint="eastAsia" w:ascii="宋体" w:hAnsi="宋体"/>
                <w:szCs w:val="21"/>
              </w:rPr>
            </w:pPr>
          </w:p>
        </w:tc>
        <w:tc>
          <w:tcPr>
            <w:tcW w:w="1225" w:type="dxa"/>
            <w:noWrap w:val="0"/>
            <w:vAlign w:val="center"/>
          </w:tcPr>
          <w:p>
            <w:pPr>
              <w:widowControl/>
              <w:jc w:val="center"/>
              <w:rPr>
                <w:rFonts w:hint="eastAsia" w:ascii="宋体" w:hAnsi="宋体"/>
                <w:szCs w:val="21"/>
              </w:rPr>
            </w:pPr>
            <w:r>
              <w:rPr>
                <w:rFonts w:hint="eastAsia" w:ascii="宋体" w:hAnsi="宋体"/>
                <w:szCs w:val="21"/>
              </w:rPr>
              <w:t>性别</w:t>
            </w:r>
          </w:p>
        </w:tc>
        <w:tc>
          <w:tcPr>
            <w:tcW w:w="1484" w:type="dxa"/>
            <w:noWrap w:val="0"/>
            <w:vAlign w:val="center"/>
          </w:tcPr>
          <w:p>
            <w:pPr>
              <w:widowControl/>
              <w:jc w:val="center"/>
              <w:rPr>
                <w:rFonts w:hint="eastAsia" w:ascii="宋体" w:hAnsi="宋体"/>
                <w:szCs w:val="21"/>
              </w:rPr>
            </w:pPr>
          </w:p>
        </w:tc>
        <w:tc>
          <w:tcPr>
            <w:tcW w:w="1892" w:type="dxa"/>
            <w:noWrap w:val="0"/>
            <w:vAlign w:val="center"/>
          </w:tcPr>
          <w:p>
            <w:pPr>
              <w:widowControl/>
              <w:jc w:val="center"/>
              <w:rPr>
                <w:rFonts w:hint="eastAsia" w:ascii="宋体" w:hAnsi="宋体"/>
                <w:szCs w:val="21"/>
              </w:rPr>
            </w:pPr>
            <w:r>
              <w:rPr>
                <w:rFonts w:hint="eastAsia" w:ascii="宋体" w:hAnsi="宋体"/>
                <w:szCs w:val="21"/>
              </w:rPr>
              <w:t>年龄</w:t>
            </w:r>
          </w:p>
        </w:tc>
        <w:tc>
          <w:tcPr>
            <w:tcW w:w="1143" w:type="dxa"/>
            <w:noWrap w:val="0"/>
            <w:vAlign w:val="center"/>
          </w:tcPr>
          <w:p>
            <w:pPr>
              <w:widowControl/>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3" w:hRule="atLeast"/>
          <w:jc w:val="center"/>
        </w:trPr>
        <w:tc>
          <w:tcPr>
            <w:tcW w:w="1845" w:type="dxa"/>
            <w:noWrap w:val="0"/>
            <w:vAlign w:val="center"/>
          </w:tcPr>
          <w:p>
            <w:pPr>
              <w:widowControl/>
              <w:jc w:val="center"/>
              <w:rPr>
                <w:rFonts w:hint="eastAsia" w:ascii="宋体" w:hAnsi="宋体"/>
                <w:szCs w:val="21"/>
              </w:rPr>
            </w:pPr>
            <w:r>
              <w:rPr>
                <w:rFonts w:hint="eastAsia" w:ascii="宋体" w:hAnsi="宋体"/>
                <w:szCs w:val="21"/>
              </w:rPr>
              <w:t>职务</w:t>
            </w:r>
          </w:p>
        </w:tc>
        <w:tc>
          <w:tcPr>
            <w:tcW w:w="1396" w:type="dxa"/>
            <w:noWrap w:val="0"/>
            <w:vAlign w:val="center"/>
          </w:tcPr>
          <w:p>
            <w:pPr>
              <w:widowControl/>
              <w:jc w:val="center"/>
              <w:rPr>
                <w:rFonts w:hint="eastAsia" w:ascii="宋体" w:hAnsi="宋体"/>
                <w:szCs w:val="21"/>
              </w:rPr>
            </w:pPr>
          </w:p>
        </w:tc>
        <w:tc>
          <w:tcPr>
            <w:tcW w:w="1225" w:type="dxa"/>
            <w:noWrap w:val="0"/>
            <w:vAlign w:val="center"/>
          </w:tcPr>
          <w:p>
            <w:pPr>
              <w:widowControl/>
              <w:jc w:val="center"/>
              <w:rPr>
                <w:rFonts w:hint="eastAsia" w:ascii="宋体" w:hAnsi="宋体"/>
                <w:szCs w:val="21"/>
              </w:rPr>
            </w:pPr>
            <w:r>
              <w:rPr>
                <w:rFonts w:hint="eastAsia" w:ascii="宋体" w:hAnsi="宋体"/>
                <w:szCs w:val="21"/>
              </w:rPr>
              <w:t>职称</w:t>
            </w:r>
          </w:p>
        </w:tc>
        <w:tc>
          <w:tcPr>
            <w:tcW w:w="1484" w:type="dxa"/>
            <w:noWrap w:val="0"/>
            <w:vAlign w:val="center"/>
          </w:tcPr>
          <w:p>
            <w:pPr>
              <w:widowControl/>
              <w:jc w:val="center"/>
              <w:rPr>
                <w:rFonts w:hint="eastAsia" w:ascii="宋体" w:hAnsi="宋体"/>
                <w:szCs w:val="21"/>
              </w:rPr>
            </w:pPr>
          </w:p>
        </w:tc>
        <w:tc>
          <w:tcPr>
            <w:tcW w:w="1892" w:type="dxa"/>
            <w:noWrap w:val="0"/>
            <w:vAlign w:val="center"/>
          </w:tcPr>
          <w:p>
            <w:pPr>
              <w:widowControl/>
              <w:jc w:val="center"/>
              <w:rPr>
                <w:rFonts w:hint="eastAsia" w:ascii="宋体" w:hAnsi="宋体"/>
                <w:szCs w:val="21"/>
              </w:rPr>
            </w:pPr>
            <w:r>
              <w:rPr>
                <w:rFonts w:hint="eastAsia" w:ascii="宋体" w:hAnsi="宋体"/>
                <w:szCs w:val="21"/>
              </w:rPr>
              <w:t>学历</w:t>
            </w:r>
          </w:p>
        </w:tc>
        <w:tc>
          <w:tcPr>
            <w:tcW w:w="1143" w:type="dxa"/>
            <w:noWrap w:val="0"/>
            <w:vAlign w:val="center"/>
          </w:tcPr>
          <w:p>
            <w:pPr>
              <w:widowControl/>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3" w:hRule="atLeast"/>
          <w:jc w:val="center"/>
        </w:trPr>
        <w:tc>
          <w:tcPr>
            <w:tcW w:w="1845" w:type="dxa"/>
            <w:noWrap w:val="0"/>
            <w:vAlign w:val="center"/>
          </w:tcPr>
          <w:p>
            <w:pPr>
              <w:widowControl/>
              <w:jc w:val="center"/>
              <w:rPr>
                <w:rFonts w:hint="eastAsia" w:ascii="宋体" w:hAnsi="宋体"/>
                <w:szCs w:val="21"/>
              </w:rPr>
            </w:pPr>
            <w:r>
              <w:rPr>
                <w:rFonts w:hint="eastAsia" w:ascii="宋体" w:hAnsi="宋体"/>
                <w:szCs w:val="21"/>
              </w:rPr>
              <w:t>参加工作时间</w:t>
            </w:r>
          </w:p>
        </w:tc>
        <w:tc>
          <w:tcPr>
            <w:tcW w:w="2621" w:type="dxa"/>
            <w:gridSpan w:val="2"/>
            <w:noWrap w:val="0"/>
            <w:vAlign w:val="center"/>
          </w:tcPr>
          <w:p>
            <w:pPr>
              <w:widowControl/>
              <w:jc w:val="center"/>
              <w:rPr>
                <w:rFonts w:hint="eastAsia" w:ascii="宋体" w:hAnsi="宋体"/>
                <w:szCs w:val="21"/>
              </w:rPr>
            </w:pPr>
          </w:p>
        </w:tc>
        <w:tc>
          <w:tcPr>
            <w:tcW w:w="3376" w:type="dxa"/>
            <w:gridSpan w:val="2"/>
            <w:noWrap w:val="0"/>
            <w:vAlign w:val="center"/>
          </w:tcPr>
          <w:p>
            <w:pPr>
              <w:widowControl/>
              <w:jc w:val="center"/>
              <w:rPr>
                <w:rFonts w:hint="eastAsia" w:ascii="宋体" w:hAnsi="宋体"/>
                <w:szCs w:val="21"/>
              </w:rPr>
            </w:pPr>
            <w:r>
              <w:rPr>
                <w:rFonts w:hint="eastAsia" w:ascii="宋体" w:hAnsi="宋体"/>
                <w:szCs w:val="21"/>
              </w:rPr>
              <w:t>从事技术负责人年限</w:t>
            </w:r>
          </w:p>
        </w:tc>
        <w:tc>
          <w:tcPr>
            <w:tcW w:w="1143" w:type="dxa"/>
            <w:noWrap w:val="0"/>
            <w:vAlign w:val="center"/>
          </w:tcPr>
          <w:p>
            <w:pPr>
              <w:widowControl/>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3" w:hRule="atLeast"/>
          <w:jc w:val="center"/>
        </w:trPr>
        <w:tc>
          <w:tcPr>
            <w:tcW w:w="8985" w:type="dxa"/>
            <w:gridSpan w:val="6"/>
            <w:noWrap w:val="0"/>
            <w:vAlign w:val="center"/>
          </w:tcPr>
          <w:p>
            <w:pPr>
              <w:widowControl/>
              <w:rPr>
                <w:rFonts w:hint="eastAsia" w:ascii="宋体" w:hAnsi="宋体"/>
                <w:szCs w:val="21"/>
              </w:rPr>
            </w:pPr>
            <w:r>
              <w:rPr>
                <w:rFonts w:hint="eastAsia" w:ascii="宋体" w:hAnsi="宋体"/>
                <w:szCs w:val="21"/>
              </w:rPr>
              <w:t>在建和已完成项目情况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3" w:hRule="atLeast"/>
          <w:jc w:val="center"/>
        </w:trPr>
        <w:tc>
          <w:tcPr>
            <w:tcW w:w="1845" w:type="dxa"/>
            <w:noWrap w:val="0"/>
            <w:vAlign w:val="center"/>
          </w:tcPr>
          <w:p>
            <w:pPr>
              <w:widowControl/>
              <w:jc w:val="center"/>
              <w:rPr>
                <w:rFonts w:hint="eastAsia" w:ascii="宋体" w:hAnsi="宋体"/>
                <w:szCs w:val="21"/>
              </w:rPr>
            </w:pPr>
            <w:r>
              <w:rPr>
                <w:rFonts w:hint="eastAsia" w:ascii="宋体" w:hAnsi="宋体"/>
                <w:szCs w:val="21"/>
              </w:rPr>
              <w:t>建设单位</w:t>
            </w:r>
          </w:p>
        </w:tc>
        <w:tc>
          <w:tcPr>
            <w:tcW w:w="1396" w:type="dxa"/>
            <w:noWrap w:val="0"/>
            <w:vAlign w:val="center"/>
          </w:tcPr>
          <w:p>
            <w:pPr>
              <w:widowControl/>
              <w:jc w:val="center"/>
              <w:rPr>
                <w:rFonts w:hint="eastAsia" w:ascii="宋体" w:hAnsi="宋体"/>
                <w:szCs w:val="21"/>
              </w:rPr>
            </w:pPr>
            <w:r>
              <w:rPr>
                <w:rFonts w:hint="eastAsia" w:ascii="宋体" w:hAnsi="宋体"/>
                <w:szCs w:val="21"/>
              </w:rPr>
              <w:t>项目名称</w:t>
            </w:r>
          </w:p>
        </w:tc>
        <w:tc>
          <w:tcPr>
            <w:tcW w:w="1225" w:type="dxa"/>
            <w:noWrap w:val="0"/>
            <w:vAlign w:val="center"/>
          </w:tcPr>
          <w:p>
            <w:pPr>
              <w:widowControl/>
              <w:jc w:val="center"/>
              <w:rPr>
                <w:rFonts w:hint="eastAsia" w:ascii="宋体" w:hAnsi="宋体"/>
                <w:szCs w:val="21"/>
              </w:rPr>
            </w:pPr>
            <w:r>
              <w:rPr>
                <w:rFonts w:hint="eastAsia" w:ascii="宋体" w:hAnsi="宋体"/>
                <w:szCs w:val="21"/>
              </w:rPr>
              <w:t>建设规模</w:t>
            </w:r>
          </w:p>
        </w:tc>
        <w:tc>
          <w:tcPr>
            <w:tcW w:w="1484" w:type="dxa"/>
            <w:noWrap w:val="0"/>
            <w:vAlign w:val="center"/>
          </w:tcPr>
          <w:p>
            <w:pPr>
              <w:widowControl/>
              <w:jc w:val="center"/>
              <w:rPr>
                <w:rFonts w:hint="eastAsia" w:ascii="宋体" w:hAnsi="宋体"/>
                <w:szCs w:val="21"/>
              </w:rPr>
            </w:pPr>
            <w:r>
              <w:rPr>
                <w:rFonts w:hint="eastAsia" w:ascii="宋体" w:hAnsi="宋体"/>
                <w:szCs w:val="21"/>
              </w:rPr>
              <w:t>开竣工日期</w:t>
            </w:r>
          </w:p>
        </w:tc>
        <w:tc>
          <w:tcPr>
            <w:tcW w:w="1892" w:type="dxa"/>
            <w:noWrap w:val="0"/>
            <w:vAlign w:val="center"/>
          </w:tcPr>
          <w:p>
            <w:pPr>
              <w:widowControl/>
              <w:jc w:val="center"/>
              <w:rPr>
                <w:rFonts w:hint="eastAsia" w:ascii="宋体" w:hAnsi="宋体"/>
                <w:szCs w:val="21"/>
              </w:rPr>
            </w:pPr>
            <w:r>
              <w:rPr>
                <w:rFonts w:hint="eastAsia" w:ascii="宋体" w:hAnsi="宋体"/>
                <w:szCs w:val="21"/>
              </w:rPr>
              <w:t>在建或已完成</w:t>
            </w:r>
          </w:p>
        </w:tc>
        <w:tc>
          <w:tcPr>
            <w:tcW w:w="1143" w:type="dxa"/>
            <w:noWrap w:val="0"/>
            <w:vAlign w:val="center"/>
          </w:tcPr>
          <w:p>
            <w:pPr>
              <w:widowControl/>
              <w:ind w:firstLine="120" w:firstLineChars="50"/>
              <w:jc w:val="center"/>
              <w:rPr>
                <w:rFonts w:hint="eastAsia" w:ascii="宋体" w:hAnsi="宋体"/>
                <w:szCs w:val="21"/>
              </w:rPr>
            </w:pPr>
            <w:r>
              <w:rPr>
                <w:rFonts w:hint="eastAsia" w:ascii="宋体" w:hAnsi="宋体"/>
                <w:szCs w:val="21"/>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3" w:hRule="atLeast"/>
          <w:jc w:val="center"/>
        </w:trPr>
        <w:tc>
          <w:tcPr>
            <w:tcW w:w="1845" w:type="dxa"/>
            <w:noWrap w:val="0"/>
            <w:vAlign w:val="center"/>
          </w:tcPr>
          <w:p>
            <w:pPr>
              <w:widowControl/>
              <w:rPr>
                <w:rFonts w:hint="eastAsia" w:ascii="宋体" w:hAnsi="宋体"/>
                <w:szCs w:val="21"/>
              </w:rPr>
            </w:pPr>
          </w:p>
        </w:tc>
        <w:tc>
          <w:tcPr>
            <w:tcW w:w="1396" w:type="dxa"/>
            <w:noWrap w:val="0"/>
            <w:vAlign w:val="center"/>
          </w:tcPr>
          <w:p>
            <w:pPr>
              <w:widowControl/>
              <w:rPr>
                <w:rFonts w:hint="eastAsia" w:ascii="宋体" w:hAnsi="宋体"/>
                <w:szCs w:val="21"/>
              </w:rPr>
            </w:pPr>
          </w:p>
        </w:tc>
        <w:tc>
          <w:tcPr>
            <w:tcW w:w="1225" w:type="dxa"/>
            <w:noWrap w:val="0"/>
            <w:vAlign w:val="center"/>
          </w:tcPr>
          <w:p>
            <w:pPr>
              <w:widowControl/>
              <w:rPr>
                <w:rFonts w:hint="eastAsia" w:ascii="宋体" w:hAnsi="宋体"/>
                <w:szCs w:val="21"/>
              </w:rPr>
            </w:pPr>
          </w:p>
        </w:tc>
        <w:tc>
          <w:tcPr>
            <w:tcW w:w="1484" w:type="dxa"/>
            <w:noWrap w:val="0"/>
            <w:vAlign w:val="center"/>
          </w:tcPr>
          <w:p>
            <w:pPr>
              <w:widowControl/>
              <w:rPr>
                <w:rFonts w:hint="eastAsia" w:ascii="宋体" w:hAnsi="宋体"/>
                <w:szCs w:val="21"/>
              </w:rPr>
            </w:pPr>
          </w:p>
        </w:tc>
        <w:tc>
          <w:tcPr>
            <w:tcW w:w="1892" w:type="dxa"/>
            <w:noWrap w:val="0"/>
            <w:vAlign w:val="center"/>
          </w:tcPr>
          <w:p>
            <w:pPr>
              <w:widowControl/>
              <w:rPr>
                <w:rFonts w:hint="eastAsia" w:ascii="宋体" w:hAnsi="宋体"/>
                <w:szCs w:val="21"/>
              </w:rPr>
            </w:pPr>
          </w:p>
        </w:tc>
        <w:tc>
          <w:tcPr>
            <w:tcW w:w="1143" w:type="dxa"/>
            <w:noWrap w:val="0"/>
            <w:vAlign w:val="center"/>
          </w:tcPr>
          <w:p>
            <w:pPr>
              <w:widowControl/>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3" w:hRule="atLeast"/>
          <w:jc w:val="center"/>
        </w:trPr>
        <w:tc>
          <w:tcPr>
            <w:tcW w:w="1845" w:type="dxa"/>
            <w:noWrap w:val="0"/>
            <w:vAlign w:val="center"/>
          </w:tcPr>
          <w:p>
            <w:pPr>
              <w:widowControl/>
              <w:rPr>
                <w:rFonts w:hint="eastAsia" w:ascii="宋体" w:hAnsi="宋体"/>
                <w:szCs w:val="21"/>
              </w:rPr>
            </w:pPr>
          </w:p>
        </w:tc>
        <w:tc>
          <w:tcPr>
            <w:tcW w:w="1396" w:type="dxa"/>
            <w:noWrap w:val="0"/>
            <w:vAlign w:val="center"/>
          </w:tcPr>
          <w:p>
            <w:pPr>
              <w:widowControl/>
              <w:rPr>
                <w:rFonts w:hint="eastAsia" w:ascii="宋体" w:hAnsi="宋体"/>
                <w:szCs w:val="21"/>
              </w:rPr>
            </w:pPr>
          </w:p>
        </w:tc>
        <w:tc>
          <w:tcPr>
            <w:tcW w:w="1225" w:type="dxa"/>
            <w:noWrap w:val="0"/>
            <w:vAlign w:val="center"/>
          </w:tcPr>
          <w:p>
            <w:pPr>
              <w:widowControl/>
              <w:rPr>
                <w:rFonts w:hint="eastAsia" w:ascii="宋体" w:hAnsi="宋体"/>
                <w:szCs w:val="21"/>
              </w:rPr>
            </w:pPr>
          </w:p>
        </w:tc>
        <w:tc>
          <w:tcPr>
            <w:tcW w:w="1484" w:type="dxa"/>
            <w:noWrap w:val="0"/>
            <w:vAlign w:val="center"/>
          </w:tcPr>
          <w:p>
            <w:pPr>
              <w:widowControl/>
              <w:rPr>
                <w:rFonts w:hint="eastAsia" w:ascii="宋体" w:hAnsi="宋体"/>
                <w:szCs w:val="21"/>
              </w:rPr>
            </w:pPr>
          </w:p>
        </w:tc>
        <w:tc>
          <w:tcPr>
            <w:tcW w:w="1892" w:type="dxa"/>
            <w:noWrap w:val="0"/>
            <w:vAlign w:val="center"/>
          </w:tcPr>
          <w:p>
            <w:pPr>
              <w:widowControl/>
              <w:rPr>
                <w:rFonts w:hint="eastAsia" w:ascii="宋体" w:hAnsi="宋体"/>
                <w:szCs w:val="21"/>
              </w:rPr>
            </w:pPr>
          </w:p>
        </w:tc>
        <w:tc>
          <w:tcPr>
            <w:tcW w:w="1143" w:type="dxa"/>
            <w:noWrap w:val="0"/>
            <w:vAlign w:val="center"/>
          </w:tcPr>
          <w:p>
            <w:pPr>
              <w:widowControl/>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3" w:hRule="atLeast"/>
          <w:jc w:val="center"/>
        </w:trPr>
        <w:tc>
          <w:tcPr>
            <w:tcW w:w="1845" w:type="dxa"/>
            <w:noWrap w:val="0"/>
            <w:vAlign w:val="center"/>
          </w:tcPr>
          <w:p>
            <w:pPr>
              <w:widowControl/>
              <w:rPr>
                <w:rFonts w:hint="eastAsia" w:ascii="宋体" w:hAnsi="宋体"/>
                <w:szCs w:val="21"/>
              </w:rPr>
            </w:pPr>
          </w:p>
        </w:tc>
        <w:tc>
          <w:tcPr>
            <w:tcW w:w="1396" w:type="dxa"/>
            <w:noWrap w:val="0"/>
            <w:vAlign w:val="center"/>
          </w:tcPr>
          <w:p>
            <w:pPr>
              <w:widowControl/>
              <w:rPr>
                <w:rFonts w:hint="eastAsia" w:ascii="宋体" w:hAnsi="宋体"/>
                <w:szCs w:val="21"/>
              </w:rPr>
            </w:pPr>
          </w:p>
        </w:tc>
        <w:tc>
          <w:tcPr>
            <w:tcW w:w="1225" w:type="dxa"/>
            <w:noWrap w:val="0"/>
            <w:vAlign w:val="center"/>
          </w:tcPr>
          <w:p>
            <w:pPr>
              <w:widowControl/>
              <w:rPr>
                <w:rFonts w:hint="eastAsia" w:ascii="宋体" w:hAnsi="宋体"/>
                <w:szCs w:val="21"/>
              </w:rPr>
            </w:pPr>
          </w:p>
        </w:tc>
        <w:tc>
          <w:tcPr>
            <w:tcW w:w="1484" w:type="dxa"/>
            <w:noWrap w:val="0"/>
            <w:vAlign w:val="center"/>
          </w:tcPr>
          <w:p>
            <w:pPr>
              <w:widowControl/>
              <w:rPr>
                <w:rFonts w:hint="eastAsia" w:ascii="宋体" w:hAnsi="宋体"/>
                <w:szCs w:val="21"/>
              </w:rPr>
            </w:pPr>
          </w:p>
        </w:tc>
        <w:tc>
          <w:tcPr>
            <w:tcW w:w="1892" w:type="dxa"/>
            <w:noWrap w:val="0"/>
            <w:vAlign w:val="center"/>
          </w:tcPr>
          <w:p>
            <w:pPr>
              <w:widowControl/>
              <w:rPr>
                <w:rFonts w:hint="eastAsia" w:ascii="宋体" w:hAnsi="宋体"/>
                <w:szCs w:val="21"/>
              </w:rPr>
            </w:pPr>
          </w:p>
        </w:tc>
        <w:tc>
          <w:tcPr>
            <w:tcW w:w="1143" w:type="dxa"/>
            <w:noWrap w:val="0"/>
            <w:vAlign w:val="center"/>
          </w:tcPr>
          <w:p>
            <w:pPr>
              <w:widowControl/>
              <w:rPr>
                <w:rFonts w:hint="eastAsia" w:ascii="宋体" w:hAnsi="宋体"/>
                <w:szCs w:val="21"/>
              </w:rPr>
            </w:pPr>
          </w:p>
        </w:tc>
      </w:tr>
    </w:tbl>
    <w:p>
      <w:pPr>
        <w:ind w:left="-616" w:leftChars="-257" w:firstLine="480" w:firstLineChars="200"/>
        <w:jc w:val="left"/>
        <w:rPr>
          <w:rFonts w:hint="eastAsia" w:ascii="宋体" w:hAnsi="宋体"/>
          <w:szCs w:val="21"/>
        </w:rPr>
      </w:pPr>
      <w:r>
        <w:rPr>
          <w:rFonts w:hint="eastAsia" w:ascii="宋体" w:hAnsi="宋体"/>
          <w:szCs w:val="21"/>
        </w:rPr>
        <w:t>注：附相应的证书复印件及近三个月社保证明。</w:t>
      </w: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ind w:right="626"/>
        <w:rPr>
          <w:rFonts w:hint="eastAsia" w:ascii="宋体" w:hAnsi="宋体"/>
          <w:szCs w:val="21"/>
        </w:rPr>
      </w:pPr>
      <w:r>
        <w:rPr>
          <w:rFonts w:hint="eastAsia" w:ascii="宋体" w:hAnsi="宋体"/>
          <w:szCs w:val="21"/>
        </w:rPr>
        <w:t>投标人（盖章）：</w:t>
      </w:r>
    </w:p>
    <w:p>
      <w:pPr>
        <w:ind w:right="626"/>
        <w:rPr>
          <w:rFonts w:hint="eastAsia" w:ascii="宋体" w:hAnsi="宋体"/>
          <w:szCs w:val="21"/>
        </w:rPr>
      </w:pPr>
    </w:p>
    <w:p>
      <w:pPr>
        <w:ind w:right="626"/>
        <w:rPr>
          <w:rFonts w:hint="eastAsia" w:ascii="宋体" w:hAnsi="宋体"/>
          <w:szCs w:val="21"/>
        </w:rPr>
      </w:pPr>
    </w:p>
    <w:p>
      <w:pPr>
        <w:ind w:right="626"/>
        <w:rPr>
          <w:rFonts w:hint="eastAsia" w:ascii="宋体" w:hAnsi="宋体"/>
          <w:szCs w:val="21"/>
        </w:rPr>
      </w:pPr>
      <w:r>
        <w:rPr>
          <w:rFonts w:hint="eastAsia" w:ascii="宋体" w:hAnsi="宋体"/>
          <w:szCs w:val="21"/>
        </w:rPr>
        <w:t>法定代表人或授权委托代理人：（签字）</w:t>
      </w:r>
    </w:p>
    <w:p>
      <w:pPr>
        <w:pStyle w:val="33"/>
        <w:ind w:left="7" w:leftChars="3"/>
        <w:rPr>
          <w:rFonts w:hAnsi="宋体"/>
        </w:rPr>
      </w:pPr>
    </w:p>
    <w:p>
      <w:pPr>
        <w:spacing w:line="360" w:lineRule="auto"/>
        <w:rPr>
          <w:rFonts w:hint="eastAsia" w:ascii="宋体" w:hAnsi="宋体"/>
        </w:rPr>
      </w:pPr>
      <w:r>
        <w:rPr>
          <w:rFonts w:hint="eastAsia" w:ascii="宋体" w:hAnsi="宋体"/>
        </w:rPr>
        <w:t>日  期:</w:t>
      </w:r>
    </w:p>
    <w:p>
      <w:pPr>
        <w:pStyle w:val="33"/>
        <w:ind w:left="7" w:leftChars="3"/>
        <w:rPr>
          <w:rFonts w:hAnsi="宋体"/>
        </w:rPr>
      </w:pPr>
    </w:p>
    <w:bookmarkEnd w:id="190"/>
    <w:bookmarkEnd w:id="191"/>
    <w:bookmarkEnd w:id="192"/>
    <w:p>
      <w:pPr>
        <w:spacing w:line="360" w:lineRule="auto"/>
        <w:ind w:firstLine="2502" w:firstLineChars="695"/>
        <w:rPr>
          <w:rFonts w:hint="eastAsia" w:ascii="宋体"/>
          <w:b/>
          <w:sz w:val="36"/>
        </w:rPr>
      </w:pPr>
      <w:bookmarkStart w:id="208" w:name="_Toc226337800"/>
      <w:bookmarkStart w:id="209" w:name="_Toc180555958"/>
      <w:bookmarkStart w:id="210" w:name="_Toc248065078"/>
    </w:p>
    <w:p>
      <w:pPr>
        <w:spacing w:line="360" w:lineRule="auto"/>
        <w:ind w:firstLine="2502" w:firstLineChars="695"/>
        <w:rPr>
          <w:rFonts w:hint="eastAsia" w:ascii="宋体"/>
          <w:b/>
          <w:sz w:val="36"/>
        </w:rPr>
      </w:pPr>
    </w:p>
    <w:p>
      <w:pPr>
        <w:pStyle w:val="3"/>
        <w:rPr>
          <w:rFonts w:hint="eastAsia"/>
          <w:sz w:val="28"/>
        </w:rPr>
      </w:pPr>
      <w:bookmarkStart w:id="211" w:name="_Toc458419373"/>
      <w:bookmarkStart w:id="212" w:name="_Toc528046866"/>
      <w:bookmarkStart w:id="213" w:name="_Toc456345929"/>
      <w:r>
        <w:rPr>
          <w:rFonts w:hint="eastAsia" w:ascii="Times New Roman" w:hAnsi="Times New Roman" w:eastAsia="宋体"/>
          <w:sz w:val="30"/>
          <w:szCs w:val="30"/>
        </w:rPr>
        <w:t>十一、项目组成人员清单</w:t>
      </w:r>
      <w:bookmarkEnd w:id="208"/>
      <w:bookmarkEnd w:id="209"/>
      <w:bookmarkEnd w:id="210"/>
      <w:bookmarkEnd w:id="211"/>
      <w:bookmarkEnd w:id="212"/>
      <w:bookmarkEnd w:id="213"/>
      <w:r>
        <w:rPr>
          <w:rFonts w:hint="eastAsia" w:ascii="Times New Roman" w:hAnsi="Times New Roman" w:eastAsia="宋体"/>
          <w:sz w:val="30"/>
          <w:szCs w:val="30"/>
        </w:rPr>
        <w:t xml:space="preserve">       </w:t>
      </w:r>
      <w:r>
        <w:rPr>
          <w:rFonts w:hint="eastAsia"/>
          <w:sz w:val="28"/>
        </w:rPr>
        <w:t xml:space="preserve">       </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929"/>
        <w:gridCol w:w="987"/>
        <w:gridCol w:w="1689"/>
        <w:gridCol w:w="149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7" w:hRule="atLeast"/>
          <w:jc w:val="center"/>
        </w:trPr>
        <w:tc>
          <w:tcPr>
            <w:tcW w:w="877" w:type="dxa"/>
            <w:noWrap w:val="0"/>
            <w:vAlign w:val="center"/>
          </w:tcPr>
          <w:p>
            <w:pPr>
              <w:jc w:val="center"/>
              <w:rPr>
                <w:rFonts w:hint="eastAsia" w:ascii="宋体" w:hAnsi="宋体"/>
                <w:b/>
              </w:rPr>
            </w:pPr>
            <w:r>
              <w:rPr>
                <w:rFonts w:hint="eastAsia" w:ascii="宋体" w:hAnsi="宋体"/>
                <w:b/>
              </w:rPr>
              <w:t>序号</w:t>
            </w:r>
          </w:p>
        </w:tc>
        <w:tc>
          <w:tcPr>
            <w:tcW w:w="929" w:type="dxa"/>
            <w:noWrap w:val="0"/>
            <w:vAlign w:val="center"/>
          </w:tcPr>
          <w:p>
            <w:pPr>
              <w:jc w:val="center"/>
              <w:rPr>
                <w:rFonts w:hint="eastAsia" w:ascii="宋体" w:hAnsi="宋体"/>
                <w:b/>
              </w:rPr>
            </w:pPr>
            <w:r>
              <w:rPr>
                <w:rFonts w:hint="eastAsia" w:ascii="宋体" w:hAnsi="宋体"/>
                <w:b/>
              </w:rPr>
              <w:t>姓名</w:t>
            </w:r>
          </w:p>
        </w:tc>
        <w:tc>
          <w:tcPr>
            <w:tcW w:w="987" w:type="dxa"/>
            <w:noWrap w:val="0"/>
            <w:vAlign w:val="center"/>
          </w:tcPr>
          <w:p>
            <w:pPr>
              <w:jc w:val="center"/>
              <w:rPr>
                <w:rFonts w:hint="eastAsia" w:ascii="宋体" w:hAnsi="宋体"/>
                <w:b/>
              </w:rPr>
            </w:pPr>
            <w:r>
              <w:rPr>
                <w:rFonts w:hint="eastAsia" w:ascii="宋体" w:hAnsi="宋体"/>
                <w:b/>
              </w:rPr>
              <w:t>职位</w:t>
            </w:r>
          </w:p>
        </w:tc>
        <w:tc>
          <w:tcPr>
            <w:tcW w:w="1689" w:type="dxa"/>
            <w:noWrap w:val="0"/>
            <w:vAlign w:val="center"/>
          </w:tcPr>
          <w:p>
            <w:pPr>
              <w:jc w:val="center"/>
              <w:rPr>
                <w:rFonts w:hint="eastAsia" w:ascii="宋体" w:hAnsi="宋体"/>
                <w:b/>
              </w:rPr>
            </w:pPr>
            <w:r>
              <w:rPr>
                <w:rFonts w:hint="eastAsia" w:ascii="宋体" w:hAnsi="宋体"/>
                <w:b/>
              </w:rPr>
              <w:t>任务安排</w:t>
            </w:r>
          </w:p>
        </w:tc>
        <w:tc>
          <w:tcPr>
            <w:tcW w:w="1495" w:type="dxa"/>
            <w:noWrap w:val="0"/>
            <w:vAlign w:val="center"/>
          </w:tcPr>
          <w:p>
            <w:pPr>
              <w:jc w:val="center"/>
              <w:rPr>
                <w:rFonts w:hint="eastAsia" w:ascii="宋体" w:hAnsi="宋体"/>
                <w:b/>
              </w:rPr>
            </w:pPr>
            <w:r>
              <w:rPr>
                <w:rFonts w:hint="eastAsia" w:ascii="宋体" w:hAnsi="宋体"/>
                <w:b/>
              </w:rPr>
              <w:t>技术背景</w:t>
            </w:r>
          </w:p>
        </w:tc>
        <w:tc>
          <w:tcPr>
            <w:tcW w:w="2364" w:type="dxa"/>
            <w:noWrap w:val="0"/>
            <w:vAlign w:val="center"/>
          </w:tcPr>
          <w:p>
            <w:pPr>
              <w:jc w:val="center"/>
              <w:rPr>
                <w:rFonts w:hint="eastAsia" w:ascii="宋体" w:hAnsi="宋体"/>
                <w:b/>
              </w:rPr>
            </w:pPr>
            <w:r>
              <w:rPr>
                <w:rFonts w:hint="eastAsia" w:ascii="宋体" w:hAnsi="宋体"/>
                <w:b/>
              </w:rPr>
              <w:t>行业经验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9" w:hRule="atLeast"/>
          <w:jc w:val="center"/>
        </w:trPr>
        <w:tc>
          <w:tcPr>
            <w:tcW w:w="877" w:type="dxa"/>
            <w:noWrap w:val="0"/>
            <w:vAlign w:val="top"/>
          </w:tcPr>
          <w:p>
            <w:pPr>
              <w:jc w:val="center"/>
              <w:rPr>
                <w:rFonts w:hint="eastAsia" w:ascii="宋体" w:hAnsi="宋体"/>
              </w:rPr>
            </w:pPr>
          </w:p>
        </w:tc>
        <w:tc>
          <w:tcPr>
            <w:tcW w:w="929" w:type="dxa"/>
            <w:noWrap w:val="0"/>
            <w:vAlign w:val="center"/>
          </w:tcPr>
          <w:p>
            <w:pPr>
              <w:jc w:val="center"/>
              <w:rPr>
                <w:rFonts w:hint="eastAsia" w:ascii="宋体" w:hAnsi="宋体"/>
              </w:rPr>
            </w:pPr>
          </w:p>
        </w:tc>
        <w:tc>
          <w:tcPr>
            <w:tcW w:w="987" w:type="dxa"/>
            <w:noWrap w:val="0"/>
            <w:vAlign w:val="center"/>
          </w:tcPr>
          <w:p>
            <w:pPr>
              <w:jc w:val="center"/>
              <w:rPr>
                <w:rFonts w:hint="eastAsia" w:ascii="宋体" w:hAnsi="宋体"/>
              </w:rPr>
            </w:pPr>
          </w:p>
        </w:tc>
        <w:tc>
          <w:tcPr>
            <w:tcW w:w="1689" w:type="dxa"/>
            <w:noWrap w:val="0"/>
            <w:vAlign w:val="center"/>
          </w:tcPr>
          <w:p>
            <w:pPr>
              <w:jc w:val="center"/>
              <w:rPr>
                <w:rFonts w:hint="eastAsia" w:ascii="宋体" w:hAnsi="宋体"/>
              </w:rPr>
            </w:pPr>
          </w:p>
        </w:tc>
        <w:tc>
          <w:tcPr>
            <w:tcW w:w="1495" w:type="dxa"/>
            <w:noWrap w:val="0"/>
            <w:vAlign w:val="center"/>
          </w:tcPr>
          <w:p>
            <w:pPr>
              <w:jc w:val="center"/>
              <w:rPr>
                <w:rFonts w:hint="eastAsia" w:ascii="宋体" w:hAnsi="宋体"/>
              </w:rPr>
            </w:pPr>
          </w:p>
        </w:tc>
        <w:tc>
          <w:tcPr>
            <w:tcW w:w="236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jc w:val="center"/>
        </w:trPr>
        <w:tc>
          <w:tcPr>
            <w:tcW w:w="877" w:type="dxa"/>
            <w:noWrap w:val="0"/>
            <w:vAlign w:val="top"/>
          </w:tcPr>
          <w:p>
            <w:pPr>
              <w:jc w:val="center"/>
              <w:rPr>
                <w:rFonts w:hint="eastAsia" w:ascii="宋体" w:hAnsi="宋体"/>
              </w:rPr>
            </w:pPr>
          </w:p>
        </w:tc>
        <w:tc>
          <w:tcPr>
            <w:tcW w:w="929" w:type="dxa"/>
            <w:noWrap w:val="0"/>
            <w:vAlign w:val="center"/>
          </w:tcPr>
          <w:p>
            <w:pPr>
              <w:jc w:val="center"/>
              <w:rPr>
                <w:rFonts w:hint="eastAsia" w:ascii="宋体" w:hAnsi="宋体"/>
              </w:rPr>
            </w:pPr>
          </w:p>
        </w:tc>
        <w:tc>
          <w:tcPr>
            <w:tcW w:w="987" w:type="dxa"/>
            <w:noWrap w:val="0"/>
            <w:vAlign w:val="center"/>
          </w:tcPr>
          <w:p>
            <w:pPr>
              <w:jc w:val="center"/>
              <w:rPr>
                <w:rFonts w:hint="eastAsia" w:ascii="宋体" w:hAnsi="宋体"/>
              </w:rPr>
            </w:pPr>
          </w:p>
        </w:tc>
        <w:tc>
          <w:tcPr>
            <w:tcW w:w="1689" w:type="dxa"/>
            <w:noWrap w:val="0"/>
            <w:vAlign w:val="center"/>
          </w:tcPr>
          <w:p>
            <w:pPr>
              <w:jc w:val="center"/>
              <w:rPr>
                <w:rFonts w:hint="eastAsia" w:ascii="宋体" w:hAnsi="宋体"/>
              </w:rPr>
            </w:pPr>
          </w:p>
        </w:tc>
        <w:tc>
          <w:tcPr>
            <w:tcW w:w="1495" w:type="dxa"/>
            <w:noWrap w:val="0"/>
            <w:vAlign w:val="center"/>
          </w:tcPr>
          <w:p>
            <w:pPr>
              <w:jc w:val="center"/>
              <w:rPr>
                <w:rFonts w:hint="eastAsia" w:ascii="宋体" w:hAnsi="宋体"/>
              </w:rPr>
            </w:pPr>
          </w:p>
        </w:tc>
        <w:tc>
          <w:tcPr>
            <w:tcW w:w="236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9" w:hRule="atLeast"/>
          <w:jc w:val="center"/>
        </w:trPr>
        <w:tc>
          <w:tcPr>
            <w:tcW w:w="877" w:type="dxa"/>
            <w:noWrap w:val="0"/>
            <w:vAlign w:val="top"/>
          </w:tcPr>
          <w:p>
            <w:pPr>
              <w:jc w:val="center"/>
              <w:rPr>
                <w:rFonts w:hint="eastAsia" w:ascii="宋体" w:hAnsi="宋体"/>
              </w:rPr>
            </w:pPr>
          </w:p>
        </w:tc>
        <w:tc>
          <w:tcPr>
            <w:tcW w:w="929" w:type="dxa"/>
            <w:noWrap w:val="0"/>
            <w:vAlign w:val="center"/>
          </w:tcPr>
          <w:p>
            <w:pPr>
              <w:jc w:val="center"/>
              <w:rPr>
                <w:rFonts w:hint="eastAsia" w:ascii="宋体" w:hAnsi="宋体"/>
              </w:rPr>
            </w:pPr>
          </w:p>
        </w:tc>
        <w:tc>
          <w:tcPr>
            <w:tcW w:w="987" w:type="dxa"/>
            <w:noWrap w:val="0"/>
            <w:vAlign w:val="center"/>
          </w:tcPr>
          <w:p>
            <w:pPr>
              <w:jc w:val="center"/>
              <w:rPr>
                <w:rFonts w:hint="eastAsia" w:ascii="宋体" w:hAnsi="宋体"/>
              </w:rPr>
            </w:pPr>
          </w:p>
        </w:tc>
        <w:tc>
          <w:tcPr>
            <w:tcW w:w="1689" w:type="dxa"/>
            <w:noWrap w:val="0"/>
            <w:vAlign w:val="center"/>
          </w:tcPr>
          <w:p>
            <w:pPr>
              <w:jc w:val="center"/>
              <w:rPr>
                <w:rFonts w:hint="eastAsia" w:ascii="宋体" w:hAnsi="宋体"/>
              </w:rPr>
            </w:pPr>
          </w:p>
        </w:tc>
        <w:tc>
          <w:tcPr>
            <w:tcW w:w="1495" w:type="dxa"/>
            <w:noWrap w:val="0"/>
            <w:vAlign w:val="center"/>
          </w:tcPr>
          <w:p>
            <w:pPr>
              <w:jc w:val="center"/>
              <w:rPr>
                <w:rFonts w:hint="eastAsia" w:ascii="宋体" w:hAnsi="宋体"/>
              </w:rPr>
            </w:pPr>
          </w:p>
        </w:tc>
        <w:tc>
          <w:tcPr>
            <w:tcW w:w="236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9" w:hRule="atLeast"/>
          <w:jc w:val="center"/>
        </w:trPr>
        <w:tc>
          <w:tcPr>
            <w:tcW w:w="877" w:type="dxa"/>
            <w:noWrap w:val="0"/>
            <w:vAlign w:val="top"/>
          </w:tcPr>
          <w:p>
            <w:pPr>
              <w:jc w:val="center"/>
              <w:rPr>
                <w:rFonts w:hint="eastAsia" w:ascii="宋体" w:hAnsi="宋体"/>
              </w:rPr>
            </w:pPr>
          </w:p>
        </w:tc>
        <w:tc>
          <w:tcPr>
            <w:tcW w:w="929" w:type="dxa"/>
            <w:noWrap w:val="0"/>
            <w:vAlign w:val="center"/>
          </w:tcPr>
          <w:p>
            <w:pPr>
              <w:jc w:val="center"/>
              <w:rPr>
                <w:rFonts w:hint="eastAsia" w:ascii="宋体" w:hAnsi="宋体"/>
              </w:rPr>
            </w:pPr>
          </w:p>
        </w:tc>
        <w:tc>
          <w:tcPr>
            <w:tcW w:w="987" w:type="dxa"/>
            <w:noWrap w:val="0"/>
            <w:vAlign w:val="center"/>
          </w:tcPr>
          <w:p>
            <w:pPr>
              <w:jc w:val="center"/>
              <w:rPr>
                <w:rFonts w:hint="eastAsia" w:ascii="宋体" w:hAnsi="宋体"/>
              </w:rPr>
            </w:pPr>
          </w:p>
        </w:tc>
        <w:tc>
          <w:tcPr>
            <w:tcW w:w="1689" w:type="dxa"/>
            <w:noWrap w:val="0"/>
            <w:vAlign w:val="center"/>
          </w:tcPr>
          <w:p>
            <w:pPr>
              <w:jc w:val="center"/>
              <w:rPr>
                <w:rFonts w:hint="eastAsia" w:ascii="宋体" w:hAnsi="宋体"/>
              </w:rPr>
            </w:pPr>
          </w:p>
        </w:tc>
        <w:tc>
          <w:tcPr>
            <w:tcW w:w="1495" w:type="dxa"/>
            <w:noWrap w:val="0"/>
            <w:vAlign w:val="center"/>
          </w:tcPr>
          <w:p>
            <w:pPr>
              <w:jc w:val="center"/>
              <w:rPr>
                <w:rFonts w:hint="eastAsia" w:ascii="宋体" w:hAnsi="宋体"/>
              </w:rPr>
            </w:pPr>
          </w:p>
        </w:tc>
        <w:tc>
          <w:tcPr>
            <w:tcW w:w="236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jc w:val="center"/>
        </w:trPr>
        <w:tc>
          <w:tcPr>
            <w:tcW w:w="877" w:type="dxa"/>
            <w:noWrap w:val="0"/>
            <w:vAlign w:val="top"/>
          </w:tcPr>
          <w:p>
            <w:pPr>
              <w:jc w:val="center"/>
              <w:rPr>
                <w:rFonts w:hint="eastAsia" w:ascii="宋体" w:hAnsi="宋体"/>
              </w:rPr>
            </w:pPr>
          </w:p>
        </w:tc>
        <w:tc>
          <w:tcPr>
            <w:tcW w:w="929" w:type="dxa"/>
            <w:noWrap w:val="0"/>
            <w:vAlign w:val="center"/>
          </w:tcPr>
          <w:p>
            <w:pPr>
              <w:jc w:val="center"/>
              <w:rPr>
                <w:rFonts w:hint="eastAsia" w:ascii="宋体" w:hAnsi="宋体"/>
              </w:rPr>
            </w:pPr>
          </w:p>
        </w:tc>
        <w:tc>
          <w:tcPr>
            <w:tcW w:w="987" w:type="dxa"/>
            <w:noWrap w:val="0"/>
            <w:vAlign w:val="center"/>
          </w:tcPr>
          <w:p>
            <w:pPr>
              <w:jc w:val="center"/>
              <w:rPr>
                <w:rFonts w:hint="eastAsia" w:ascii="宋体" w:hAnsi="宋体"/>
              </w:rPr>
            </w:pPr>
          </w:p>
        </w:tc>
        <w:tc>
          <w:tcPr>
            <w:tcW w:w="1689" w:type="dxa"/>
            <w:noWrap w:val="0"/>
            <w:vAlign w:val="center"/>
          </w:tcPr>
          <w:p>
            <w:pPr>
              <w:jc w:val="center"/>
              <w:rPr>
                <w:rFonts w:hint="eastAsia" w:ascii="宋体" w:hAnsi="宋体"/>
              </w:rPr>
            </w:pPr>
          </w:p>
        </w:tc>
        <w:tc>
          <w:tcPr>
            <w:tcW w:w="1495" w:type="dxa"/>
            <w:noWrap w:val="0"/>
            <w:vAlign w:val="center"/>
          </w:tcPr>
          <w:p>
            <w:pPr>
              <w:jc w:val="center"/>
              <w:rPr>
                <w:rFonts w:hint="eastAsia" w:ascii="宋体" w:hAnsi="宋体"/>
              </w:rPr>
            </w:pPr>
          </w:p>
        </w:tc>
        <w:tc>
          <w:tcPr>
            <w:tcW w:w="236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9" w:hRule="atLeast"/>
          <w:jc w:val="center"/>
        </w:trPr>
        <w:tc>
          <w:tcPr>
            <w:tcW w:w="877" w:type="dxa"/>
            <w:noWrap w:val="0"/>
            <w:vAlign w:val="top"/>
          </w:tcPr>
          <w:p>
            <w:pPr>
              <w:jc w:val="center"/>
              <w:rPr>
                <w:rFonts w:hint="eastAsia" w:ascii="宋体" w:hAnsi="宋体"/>
              </w:rPr>
            </w:pPr>
          </w:p>
        </w:tc>
        <w:tc>
          <w:tcPr>
            <w:tcW w:w="929" w:type="dxa"/>
            <w:noWrap w:val="0"/>
            <w:vAlign w:val="center"/>
          </w:tcPr>
          <w:p>
            <w:pPr>
              <w:jc w:val="center"/>
              <w:rPr>
                <w:rFonts w:hint="eastAsia" w:ascii="宋体" w:hAnsi="宋体"/>
              </w:rPr>
            </w:pPr>
          </w:p>
        </w:tc>
        <w:tc>
          <w:tcPr>
            <w:tcW w:w="987" w:type="dxa"/>
            <w:noWrap w:val="0"/>
            <w:vAlign w:val="center"/>
          </w:tcPr>
          <w:p>
            <w:pPr>
              <w:jc w:val="center"/>
              <w:rPr>
                <w:rFonts w:hint="eastAsia" w:ascii="宋体" w:hAnsi="宋体"/>
              </w:rPr>
            </w:pPr>
          </w:p>
        </w:tc>
        <w:tc>
          <w:tcPr>
            <w:tcW w:w="1689" w:type="dxa"/>
            <w:noWrap w:val="0"/>
            <w:vAlign w:val="center"/>
          </w:tcPr>
          <w:p>
            <w:pPr>
              <w:jc w:val="center"/>
              <w:rPr>
                <w:rFonts w:hint="eastAsia" w:ascii="宋体" w:hAnsi="宋体"/>
              </w:rPr>
            </w:pPr>
          </w:p>
        </w:tc>
        <w:tc>
          <w:tcPr>
            <w:tcW w:w="1495" w:type="dxa"/>
            <w:noWrap w:val="0"/>
            <w:vAlign w:val="center"/>
          </w:tcPr>
          <w:p>
            <w:pPr>
              <w:jc w:val="center"/>
              <w:rPr>
                <w:rFonts w:hint="eastAsia" w:ascii="宋体" w:hAnsi="宋体"/>
              </w:rPr>
            </w:pPr>
          </w:p>
        </w:tc>
        <w:tc>
          <w:tcPr>
            <w:tcW w:w="236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9" w:hRule="atLeast"/>
          <w:jc w:val="center"/>
        </w:trPr>
        <w:tc>
          <w:tcPr>
            <w:tcW w:w="877" w:type="dxa"/>
            <w:noWrap w:val="0"/>
            <w:vAlign w:val="top"/>
          </w:tcPr>
          <w:p>
            <w:pPr>
              <w:jc w:val="center"/>
              <w:rPr>
                <w:rFonts w:hint="eastAsia" w:ascii="宋体" w:hAnsi="宋体"/>
              </w:rPr>
            </w:pPr>
          </w:p>
        </w:tc>
        <w:tc>
          <w:tcPr>
            <w:tcW w:w="929" w:type="dxa"/>
            <w:noWrap w:val="0"/>
            <w:vAlign w:val="center"/>
          </w:tcPr>
          <w:p>
            <w:pPr>
              <w:jc w:val="center"/>
              <w:rPr>
                <w:rFonts w:hint="eastAsia" w:ascii="宋体" w:hAnsi="宋体"/>
              </w:rPr>
            </w:pPr>
          </w:p>
        </w:tc>
        <w:tc>
          <w:tcPr>
            <w:tcW w:w="987" w:type="dxa"/>
            <w:noWrap w:val="0"/>
            <w:vAlign w:val="center"/>
          </w:tcPr>
          <w:p>
            <w:pPr>
              <w:jc w:val="center"/>
              <w:rPr>
                <w:rFonts w:hint="eastAsia" w:ascii="宋体" w:hAnsi="宋体"/>
              </w:rPr>
            </w:pPr>
          </w:p>
        </w:tc>
        <w:tc>
          <w:tcPr>
            <w:tcW w:w="1689" w:type="dxa"/>
            <w:noWrap w:val="0"/>
            <w:vAlign w:val="center"/>
          </w:tcPr>
          <w:p>
            <w:pPr>
              <w:jc w:val="center"/>
              <w:rPr>
                <w:rFonts w:hint="eastAsia" w:ascii="宋体" w:hAnsi="宋体"/>
              </w:rPr>
            </w:pPr>
          </w:p>
        </w:tc>
        <w:tc>
          <w:tcPr>
            <w:tcW w:w="1495" w:type="dxa"/>
            <w:noWrap w:val="0"/>
            <w:vAlign w:val="center"/>
          </w:tcPr>
          <w:p>
            <w:pPr>
              <w:jc w:val="center"/>
              <w:rPr>
                <w:rFonts w:hint="eastAsia" w:ascii="宋体" w:hAnsi="宋体"/>
              </w:rPr>
            </w:pPr>
          </w:p>
        </w:tc>
        <w:tc>
          <w:tcPr>
            <w:tcW w:w="236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9" w:hRule="atLeast"/>
          <w:jc w:val="center"/>
        </w:trPr>
        <w:tc>
          <w:tcPr>
            <w:tcW w:w="877" w:type="dxa"/>
            <w:noWrap w:val="0"/>
            <w:vAlign w:val="top"/>
          </w:tcPr>
          <w:p>
            <w:pPr>
              <w:jc w:val="center"/>
              <w:rPr>
                <w:rFonts w:hint="eastAsia" w:ascii="宋体" w:hAnsi="宋体"/>
              </w:rPr>
            </w:pPr>
          </w:p>
        </w:tc>
        <w:tc>
          <w:tcPr>
            <w:tcW w:w="929" w:type="dxa"/>
            <w:noWrap w:val="0"/>
            <w:vAlign w:val="center"/>
          </w:tcPr>
          <w:p>
            <w:pPr>
              <w:jc w:val="center"/>
              <w:rPr>
                <w:rFonts w:hint="eastAsia" w:ascii="宋体" w:hAnsi="宋体"/>
              </w:rPr>
            </w:pPr>
          </w:p>
        </w:tc>
        <w:tc>
          <w:tcPr>
            <w:tcW w:w="987" w:type="dxa"/>
            <w:noWrap w:val="0"/>
            <w:vAlign w:val="center"/>
          </w:tcPr>
          <w:p>
            <w:pPr>
              <w:jc w:val="center"/>
              <w:rPr>
                <w:rFonts w:hint="eastAsia" w:ascii="宋体" w:hAnsi="宋体"/>
              </w:rPr>
            </w:pPr>
          </w:p>
        </w:tc>
        <w:tc>
          <w:tcPr>
            <w:tcW w:w="1689" w:type="dxa"/>
            <w:noWrap w:val="0"/>
            <w:vAlign w:val="center"/>
          </w:tcPr>
          <w:p>
            <w:pPr>
              <w:jc w:val="center"/>
              <w:rPr>
                <w:rFonts w:hint="eastAsia" w:ascii="宋体" w:hAnsi="宋体"/>
              </w:rPr>
            </w:pPr>
          </w:p>
        </w:tc>
        <w:tc>
          <w:tcPr>
            <w:tcW w:w="1495" w:type="dxa"/>
            <w:noWrap w:val="0"/>
            <w:vAlign w:val="center"/>
          </w:tcPr>
          <w:p>
            <w:pPr>
              <w:jc w:val="center"/>
              <w:rPr>
                <w:rFonts w:hint="eastAsia" w:ascii="宋体" w:hAnsi="宋体"/>
              </w:rPr>
            </w:pPr>
          </w:p>
        </w:tc>
        <w:tc>
          <w:tcPr>
            <w:tcW w:w="2364" w:type="dxa"/>
            <w:noWrap w:val="0"/>
            <w:vAlign w:val="top"/>
          </w:tcPr>
          <w:p>
            <w:pPr>
              <w:jc w:val="center"/>
              <w:rPr>
                <w:rFonts w:hint="eastAsia" w:ascii="宋体" w:hAnsi="宋体"/>
              </w:rPr>
            </w:pPr>
          </w:p>
        </w:tc>
      </w:tr>
    </w:tbl>
    <w:p>
      <w:pPr>
        <w:rPr>
          <w:rFonts w:hint="eastAsia" w:ascii="宋体" w:hAnsi="宋体"/>
          <w:b/>
        </w:rPr>
      </w:pPr>
    </w:p>
    <w:p>
      <w:pPr>
        <w:ind w:firstLine="360" w:firstLineChars="150"/>
        <w:rPr>
          <w:rFonts w:hint="eastAsia" w:ascii="宋体" w:hAnsi="宋体"/>
        </w:rPr>
      </w:pPr>
      <w:r>
        <w:rPr>
          <w:rFonts w:hint="eastAsia" w:ascii="宋体" w:hAnsi="宋体"/>
        </w:rPr>
        <w:t>注：需附项目组成人员近三个月社保证明。</w:t>
      </w:r>
    </w:p>
    <w:p>
      <w:pPr>
        <w:ind w:firstLine="960" w:firstLineChars="400"/>
        <w:rPr>
          <w:rFonts w:hint="eastAsia" w:ascii="宋体" w:hAnsi="宋体"/>
        </w:rPr>
      </w:pPr>
    </w:p>
    <w:p>
      <w:pPr>
        <w:ind w:firstLine="960" w:firstLineChars="400"/>
        <w:rPr>
          <w:rFonts w:hint="eastAsia" w:ascii="宋体" w:hAnsi="宋体"/>
        </w:rPr>
      </w:pPr>
    </w:p>
    <w:p>
      <w:pPr>
        <w:ind w:firstLine="960" w:firstLineChars="400"/>
        <w:rPr>
          <w:rFonts w:hint="eastAsia" w:ascii="宋体" w:hAnsi="宋体"/>
        </w:rPr>
      </w:pPr>
    </w:p>
    <w:p>
      <w:pPr>
        <w:ind w:firstLine="960" w:firstLineChars="400"/>
        <w:rPr>
          <w:rFonts w:hint="eastAsia" w:ascii="宋体" w:hAnsi="宋体"/>
        </w:rPr>
      </w:pPr>
    </w:p>
    <w:p>
      <w:pPr>
        <w:rPr>
          <w:rFonts w:hint="eastAsia" w:ascii="宋体" w:hAnsi="宋体"/>
        </w:rPr>
      </w:pPr>
    </w:p>
    <w:p>
      <w:pPr>
        <w:ind w:right="626" w:firstLine="420"/>
        <w:rPr>
          <w:rFonts w:hint="eastAsia" w:ascii="宋体" w:hAnsi="宋体"/>
          <w:szCs w:val="21"/>
        </w:rPr>
      </w:pPr>
      <w:bookmarkStart w:id="214" w:name="_Toc248065079"/>
      <w:bookmarkStart w:id="215" w:name="_Toc105829335"/>
      <w:bookmarkStart w:id="216" w:name="_Toc226337801"/>
      <w:bookmarkStart w:id="217" w:name="_Toc180555959"/>
      <w:r>
        <w:rPr>
          <w:rFonts w:hint="eastAsia" w:ascii="宋体" w:hAnsi="宋体"/>
          <w:szCs w:val="21"/>
        </w:rPr>
        <w:t>投标人（盖章）</w:t>
      </w:r>
    </w:p>
    <w:p>
      <w:pPr>
        <w:jc w:val="right"/>
        <w:rPr>
          <w:rFonts w:hint="eastAsia" w:ascii="宋体" w:hAnsi="宋体"/>
          <w:szCs w:val="21"/>
        </w:rPr>
      </w:pPr>
    </w:p>
    <w:p>
      <w:pPr>
        <w:ind w:right="626"/>
        <w:rPr>
          <w:rFonts w:hint="eastAsia" w:ascii="宋体" w:hAnsi="宋体"/>
          <w:szCs w:val="21"/>
        </w:rPr>
      </w:pPr>
    </w:p>
    <w:p>
      <w:pPr>
        <w:ind w:right="626" w:firstLine="420"/>
        <w:rPr>
          <w:rFonts w:hint="eastAsia" w:ascii="宋体" w:hAnsi="宋体"/>
          <w:szCs w:val="21"/>
        </w:rPr>
      </w:pPr>
      <w:r>
        <w:rPr>
          <w:rFonts w:hint="eastAsia" w:ascii="宋体" w:hAnsi="宋体"/>
          <w:szCs w:val="21"/>
        </w:rPr>
        <w:t>法定代表人或授权委托代理人：（签字）</w:t>
      </w:r>
    </w:p>
    <w:p>
      <w:pPr>
        <w:ind w:right="626" w:firstLine="420"/>
        <w:rPr>
          <w:rFonts w:hint="eastAsia" w:ascii="宋体" w:hAnsi="宋体"/>
          <w:szCs w:val="21"/>
        </w:rPr>
      </w:pPr>
    </w:p>
    <w:p>
      <w:pPr>
        <w:ind w:right="626" w:firstLine="420"/>
        <w:rPr>
          <w:rFonts w:hint="eastAsia" w:ascii="宋体" w:hAnsi="宋体"/>
          <w:szCs w:val="21"/>
        </w:rPr>
      </w:pPr>
    </w:p>
    <w:p>
      <w:pPr>
        <w:spacing w:line="360" w:lineRule="auto"/>
        <w:ind w:firstLine="360" w:firstLineChars="150"/>
        <w:rPr>
          <w:rFonts w:hint="eastAsia" w:ascii="宋体" w:hAnsi="宋体"/>
        </w:rPr>
      </w:pPr>
      <w:r>
        <w:rPr>
          <w:rFonts w:hint="eastAsia" w:ascii="宋体" w:hAnsi="宋体"/>
        </w:rPr>
        <w:t>日  期:</w:t>
      </w:r>
    </w:p>
    <w:p>
      <w:pPr>
        <w:ind w:right="626" w:firstLine="420"/>
        <w:rPr>
          <w:rFonts w:hint="eastAsia" w:ascii="宋体" w:hAnsi="宋体"/>
          <w:szCs w:val="21"/>
        </w:rPr>
      </w:pPr>
    </w:p>
    <w:p>
      <w:pPr>
        <w:pStyle w:val="33"/>
        <w:ind w:left="480"/>
        <w:jc w:val="center"/>
        <w:rPr>
          <w:rFonts w:hAnsi="宋体"/>
        </w:rPr>
      </w:pPr>
    </w:p>
    <w:p>
      <w:pPr>
        <w:pStyle w:val="33"/>
        <w:ind w:left="480"/>
        <w:jc w:val="center"/>
        <w:rPr>
          <w:rFonts w:hAnsi="宋体"/>
        </w:rPr>
      </w:pPr>
    </w:p>
    <w:p>
      <w:pPr>
        <w:pStyle w:val="3"/>
        <w:widowControl/>
        <w:rPr>
          <w:rFonts w:ascii="Times New Roman" w:hAnsi="Times New Roman" w:eastAsia="宋体"/>
          <w:sz w:val="30"/>
          <w:szCs w:val="30"/>
        </w:rPr>
      </w:pPr>
      <w:r>
        <w:rPr>
          <w:rFonts w:hint="eastAsia" w:hAnsi="宋体"/>
        </w:rPr>
        <w:br w:type="page"/>
      </w:r>
      <w:bookmarkStart w:id="218" w:name="_Toc456345930"/>
      <w:bookmarkStart w:id="219" w:name="_Toc458419374"/>
      <w:bookmarkStart w:id="220" w:name="_Toc395532691"/>
      <w:bookmarkStart w:id="221" w:name="_Toc528046867"/>
      <w:r>
        <w:rPr>
          <w:rFonts w:hint="eastAsia" w:ascii="Times New Roman" w:hAnsi="Times New Roman" w:eastAsia="宋体"/>
          <w:sz w:val="30"/>
          <w:szCs w:val="30"/>
        </w:rPr>
        <w:t>十二、投标人的保障措施</w:t>
      </w:r>
      <w:bookmarkEnd w:id="218"/>
      <w:bookmarkEnd w:id="219"/>
      <w:bookmarkEnd w:id="220"/>
      <w:bookmarkEnd w:id="221"/>
    </w:p>
    <w:tbl>
      <w:tblPr>
        <w:tblStyle w:val="78"/>
        <w:tblW w:w="0" w:type="auto"/>
        <w:jc w:val="center"/>
        <w:tblLayout w:type="fixed"/>
        <w:tblCellMar>
          <w:top w:w="0" w:type="dxa"/>
          <w:left w:w="0" w:type="dxa"/>
          <w:bottom w:w="0" w:type="dxa"/>
          <w:right w:w="0" w:type="dxa"/>
        </w:tblCellMar>
      </w:tblPr>
      <w:tblGrid>
        <w:gridCol w:w="8962"/>
      </w:tblGrid>
      <w:tr>
        <w:tblPrEx>
          <w:tblCellMar>
            <w:top w:w="0" w:type="dxa"/>
            <w:left w:w="0" w:type="dxa"/>
            <w:bottom w:w="0" w:type="dxa"/>
            <w:right w:w="0" w:type="dxa"/>
          </w:tblCellMar>
        </w:tblPrEx>
        <w:trPr>
          <w:wBefore w:w="0" w:type="dxa"/>
          <w:wAfter w:w="0" w:type="dxa"/>
          <w:trHeight w:val="480" w:hRule="atLeast"/>
          <w:jc w:val="center"/>
        </w:trPr>
        <w:tc>
          <w:tcPr>
            <w:tcW w:w="89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kern w:val="0"/>
                <w:sz w:val="28"/>
              </w:rPr>
            </w:pPr>
            <w:r>
              <w:rPr>
                <w:rFonts w:hint="eastAsia" w:ascii="宋体" w:hAnsi="宋体" w:cs="宋体"/>
                <w:kern w:val="0"/>
                <w:sz w:val="28"/>
              </w:rPr>
              <w:t>本单位在项目实施过程中采取的保障措施</w:t>
            </w:r>
          </w:p>
        </w:tc>
      </w:tr>
      <w:tr>
        <w:tblPrEx>
          <w:tblCellMar>
            <w:top w:w="0" w:type="dxa"/>
            <w:left w:w="0" w:type="dxa"/>
            <w:bottom w:w="0" w:type="dxa"/>
            <w:right w:w="0" w:type="dxa"/>
          </w:tblCellMar>
        </w:tblPrEx>
        <w:trPr>
          <w:wBefore w:w="0" w:type="dxa"/>
          <w:wAfter w:w="0" w:type="dxa"/>
          <w:trHeight w:val="11334" w:hRule="atLeast"/>
          <w:jc w:val="center"/>
        </w:trPr>
        <w:tc>
          <w:tcPr>
            <w:tcW w:w="896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cs="宋体"/>
                <w:kern w:val="0"/>
                <w:sz w:val="28"/>
              </w:rPr>
            </w:pPr>
          </w:p>
        </w:tc>
      </w:tr>
    </w:tbl>
    <w:p>
      <w:pPr>
        <w:pStyle w:val="3"/>
        <w:widowControl/>
        <w:rPr>
          <w:sz w:val="28"/>
          <w:lang/>
        </w:rPr>
      </w:pPr>
      <w:r>
        <w:rPr>
          <w:rFonts w:hAnsi="宋体"/>
          <w:szCs w:val="28"/>
          <w:lang/>
        </w:rPr>
        <w:br w:type="page"/>
      </w:r>
      <w:bookmarkStart w:id="222" w:name="_Toc456345931"/>
      <w:bookmarkStart w:id="223" w:name="_Toc458419375"/>
      <w:bookmarkStart w:id="224" w:name="_Toc395532692"/>
      <w:bookmarkStart w:id="225" w:name="_Toc528046868"/>
      <w:r>
        <w:rPr>
          <w:rFonts w:hint="eastAsia" w:ascii="Times New Roman" w:hAnsi="Times New Roman" w:eastAsia="宋体"/>
          <w:sz w:val="30"/>
          <w:szCs w:val="30"/>
        </w:rPr>
        <w:t>十三、售后服务承诺书</w:t>
      </w:r>
      <w:bookmarkEnd w:id="222"/>
      <w:bookmarkEnd w:id="223"/>
      <w:bookmarkEnd w:id="224"/>
      <w:bookmarkEnd w:id="225"/>
    </w:p>
    <w:p>
      <w:pPr>
        <w:pStyle w:val="73"/>
        <w:widowControl w:val="0"/>
        <w:adjustRightInd w:val="0"/>
        <w:snapToGrid w:val="0"/>
        <w:spacing w:before="0" w:beforeAutospacing="0" w:after="0" w:afterAutospacing="0" w:line="800" w:lineRule="exact"/>
        <w:jc w:val="both"/>
        <w:rPr>
          <w:sz w:val="24"/>
        </w:rPr>
      </w:pPr>
      <w:r>
        <w:rPr>
          <w:rFonts w:hint="eastAsia" w:eastAsia="Times New Roman"/>
          <w:kern w:val="2"/>
          <w:sz w:val="24"/>
          <w:u w:val="single"/>
        </w:rPr>
        <w:t xml:space="preserve">                            </w:t>
      </w:r>
      <w:r>
        <w:rPr>
          <w:rFonts w:hint="eastAsia" w:eastAsia="Times New Roman"/>
          <w:kern w:val="2"/>
          <w:sz w:val="24"/>
        </w:rPr>
        <w:t>：</w:t>
      </w:r>
    </w:p>
    <w:p>
      <w:pPr>
        <w:spacing w:line="800" w:lineRule="exact"/>
        <w:ind w:firstLine="480" w:firstLineChars="200"/>
        <w:rPr>
          <w:rFonts w:hint="eastAsia" w:ascii="宋体" w:hAnsi="宋体" w:cs="宋体"/>
          <w:b/>
          <w:sz w:val="30"/>
          <w:szCs w:val="36"/>
        </w:rPr>
      </w:pPr>
      <w:r>
        <w:rPr>
          <w:rFonts w:hint="eastAsia" w:ascii="宋体" w:hAnsi="宋体" w:cs="宋体"/>
        </w:rPr>
        <w:t xml:space="preserve">非常荣幸能参加贵处组织的 </w:t>
      </w:r>
      <w:r>
        <w:rPr>
          <w:rFonts w:hint="eastAsia" w:ascii="宋体" w:hAnsi="宋体" w:cs="宋体"/>
          <w:u w:val="single"/>
        </w:rPr>
        <w:t xml:space="preserve">                  </w:t>
      </w:r>
      <w:r>
        <w:rPr>
          <w:rFonts w:hint="eastAsia" w:ascii="宋体" w:hAnsi="宋体" w:cs="宋体"/>
        </w:rPr>
        <w:t>项目（括号内填写招标编号）的投标，现我公司就售后服务作出如下承诺：</w:t>
      </w:r>
    </w:p>
    <w:p>
      <w:pPr>
        <w:spacing w:line="800" w:lineRule="exact"/>
        <w:ind w:firstLine="480" w:firstLineChars="200"/>
        <w:rPr>
          <w:rFonts w:hint="eastAsia" w:ascii="宋体" w:hAnsi="宋体" w:cs="宋体"/>
        </w:rPr>
      </w:pPr>
      <w:r>
        <w:rPr>
          <w:rFonts w:hint="eastAsia" w:ascii="宋体" w:hAnsi="宋体" w:cs="宋体"/>
        </w:rPr>
        <w:t>一、质量保证</w:t>
      </w:r>
    </w:p>
    <w:p>
      <w:pPr>
        <w:spacing w:line="800" w:lineRule="exact"/>
        <w:ind w:firstLine="480" w:firstLineChars="200"/>
        <w:rPr>
          <w:rFonts w:hint="eastAsia" w:ascii="宋体" w:hAnsi="宋体" w:cs="宋体"/>
        </w:rPr>
      </w:pPr>
      <w:r>
        <w:rPr>
          <w:rFonts w:hint="eastAsia" w:ascii="宋体" w:hAnsi="宋体" w:cs="宋体"/>
        </w:rPr>
        <w:t>二、工期保证</w:t>
      </w:r>
    </w:p>
    <w:p>
      <w:pPr>
        <w:spacing w:line="800" w:lineRule="exact"/>
        <w:ind w:firstLine="480" w:firstLineChars="200"/>
        <w:rPr>
          <w:rFonts w:hint="eastAsia" w:ascii="宋体" w:hAnsi="宋体" w:cs="宋体"/>
        </w:rPr>
      </w:pPr>
      <w:r>
        <w:rPr>
          <w:rFonts w:hint="eastAsia" w:ascii="宋体" w:hAnsi="宋体" w:cs="宋体"/>
        </w:rPr>
        <w:t>三、技术服务</w:t>
      </w:r>
    </w:p>
    <w:p>
      <w:pPr>
        <w:spacing w:line="800" w:lineRule="exact"/>
        <w:ind w:firstLine="480"/>
        <w:rPr>
          <w:rFonts w:hint="eastAsia" w:ascii="宋体" w:hAnsi="宋体" w:cs="宋体"/>
        </w:rPr>
      </w:pPr>
      <w:r>
        <w:rPr>
          <w:rFonts w:hint="eastAsia" w:ascii="宋体" w:hAnsi="宋体" w:cs="宋体"/>
        </w:rPr>
        <w:t>四、培训服务</w:t>
      </w:r>
    </w:p>
    <w:p>
      <w:pPr>
        <w:spacing w:line="800" w:lineRule="exact"/>
        <w:ind w:firstLine="480"/>
        <w:rPr>
          <w:rFonts w:hint="eastAsia" w:ascii="宋体" w:hAnsi="宋体" w:cs="宋体"/>
        </w:rPr>
      </w:pPr>
      <w:r>
        <w:rPr>
          <w:rFonts w:hint="eastAsia" w:ascii="宋体" w:hAnsi="宋体" w:cs="宋体"/>
        </w:rPr>
        <w:t>五、其他服务</w:t>
      </w:r>
    </w:p>
    <w:p>
      <w:pPr>
        <w:pStyle w:val="73"/>
        <w:widowControl w:val="0"/>
        <w:spacing w:before="0" w:beforeAutospacing="0" w:after="0" w:afterAutospacing="0" w:line="420" w:lineRule="auto"/>
        <w:jc w:val="both"/>
        <w:rPr>
          <w:sz w:val="24"/>
        </w:rPr>
      </w:pPr>
      <w:r>
        <w:rPr>
          <w:rFonts w:hint="eastAsia" w:eastAsia="Times New Roman"/>
          <w:kern w:val="2"/>
          <w:sz w:val="24"/>
        </w:rPr>
        <w:t xml:space="preserve">                                    </w:t>
      </w:r>
    </w:p>
    <w:p>
      <w:pPr>
        <w:pStyle w:val="73"/>
        <w:widowControl w:val="0"/>
        <w:spacing w:before="0" w:beforeAutospacing="0" w:after="0" w:afterAutospacing="0" w:line="420" w:lineRule="auto"/>
        <w:jc w:val="both"/>
        <w:rPr>
          <w:sz w:val="24"/>
        </w:rPr>
      </w:pPr>
    </w:p>
    <w:p>
      <w:pPr>
        <w:pStyle w:val="73"/>
        <w:widowControl w:val="0"/>
        <w:wordWrap w:val="0"/>
        <w:spacing w:before="0" w:beforeAutospacing="0" w:after="0" w:afterAutospacing="0" w:line="420" w:lineRule="auto"/>
        <w:ind w:right="480" w:firstLine="3000" w:firstLineChars="1250"/>
        <w:rPr>
          <w:sz w:val="24"/>
        </w:rPr>
      </w:pPr>
      <w:r>
        <w:rPr>
          <w:rFonts w:hint="eastAsia" w:eastAsia="Times New Roman"/>
          <w:kern w:val="2"/>
          <w:sz w:val="24"/>
        </w:rPr>
        <w:t xml:space="preserve">投标人全称（盖章）：        </w:t>
      </w:r>
    </w:p>
    <w:p>
      <w:pPr>
        <w:pStyle w:val="73"/>
        <w:widowControl w:val="0"/>
        <w:spacing w:before="0" w:beforeAutospacing="0" w:after="0" w:afterAutospacing="0" w:line="420" w:lineRule="auto"/>
        <w:jc w:val="both"/>
        <w:rPr>
          <w:sz w:val="24"/>
        </w:rPr>
      </w:pPr>
      <w:r>
        <w:rPr>
          <w:rFonts w:hint="eastAsia" w:eastAsia="Times New Roman"/>
          <w:kern w:val="2"/>
          <w:sz w:val="24"/>
        </w:rPr>
        <w:t xml:space="preserve">                         法定代表人或</w:t>
      </w:r>
      <w:r>
        <w:rPr>
          <w:rFonts w:hint="eastAsia"/>
          <w:kern w:val="2"/>
          <w:sz w:val="24"/>
        </w:rPr>
        <w:t>授权</w:t>
      </w:r>
      <w:r>
        <w:rPr>
          <w:rFonts w:hint="eastAsia" w:eastAsia="Times New Roman"/>
          <w:kern w:val="2"/>
          <w:sz w:val="21"/>
          <w:szCs w:val="21"/>
        </w:rPr>
        <w:t>委托代理人</w:t>
      </w:r>
      <w:r>
        <w:rPr>
          <w:rFonts w:hint="eastAsia" w:eastAsia="Times New Roman"/>
          <w:kern w:val="2"/>
          <w:sz w:val="24"/>
        </w:rPr>
        <w:t>（签字）：</w:t>
      </w:r>
    </w:p>
    <w:p>
      <w:pPr>
        <w:spacing w:line="420" w:lineRule="auto"/>
        <w:rPr>
          <w:rFonts w:hint="eastAsia" w:ascii="宋体" w:hAnsi="宋体" w:cs="宋体"/>
          <w:sz w:val="36"/>
        </w:rPr>
      </w:pPr>
      <w:r>
        <w:rPr>
          <w:rFonts w:hint="eastAsia" w:ascii="宋体" w:hAnsi="宋体" w:cs="宋体"/>
        </w:rPr>
        <w:t xml:space="preserve">                         日   期：</w:t>
      </w:r>
      <w:r>
        <w:rPr>
          <w:rFonts w:hint="eastAsia" w:ascii="宋体" w:hAnsi="宋体" w:cs="宋体"/>
          <w:sz w:val="36"/>
        </w:rPr>
        <w:t xml:space="preserve"> </w:t>
      </w:r>
    </w:p>
    <w:p>
      <w:pPr>
        <w:ind w:right="626" w:firstLine="420"/>
        <w:rPr>
          <w:rFonts w:hint="eastAsia" w:ascii="宋体" w:hAnsi="宋体" w:cs="宋体"/>
          <w:szCs w:val="21"/>
        </w:rPr>
      </w:pPr>
    </w:p>
    <w:p>
      <w:pPr>
        <w:ind w:right="626" w:firstLine="420"/>
        <w:rPr>
          <w:rFonts w:hint="eastAsia" w:ascii="宋体" w:hAnsi="宋体" w:cs="宋体"/>
          <w:szCs w:val="21"/>
        </w:rPr>
      </w:pPr>
    </w:p>
    <w:p>
      <w:pPr>
        <w:ind w:right="626" w:firstLine="420"/>
        <w:rPr>
          <w:rFonts w:hint="eastAsia" w:ascii="宋体" w:hAnsi="宋体" w:cs="宋体"/>
          <w:szCs w:val="21"/>
        </w:rPr>
      </w:pPr>
    </w:p>
    <w:p>
      <w:pPr>
        <w:ind w:right="626" w:firstLine="420"/>
        <w:rPr>
          <w:rFonts w:hint="eastAsia" w:ascii="宋体" w:hAnsi="宋体" w:cs="宋体"/>
          <w:szCs w:val="21"/>
        </w:rPr>
      </w:pPr>
    </w:p>
    <w:p>
      <w:pPr>
        <w:ind w:right="626" w:firstLine="420"/>
        <w:rPr>
          <w:rFonts w:hint="eastAsia" w:ascii="宋体" w:hAnsi="宋体" w:cs="宋体"/>
          <w:szCs w:val="21"/>
        </w:rPr>
      </w:pPr>
    </w:p>
    <w:p>
      <w:pPr>
        <w:ind w:right="626" w:firstLine="420"/>
        <w:rPr>
          <w:rFonts w:hint="eastAsia" w:ascii="宋体" w:hAnsi="宋体" w:cs="宋体"/>
          <w:szCs w:val="21"/>
        </w:rPr>
      </w:pPr>
    </w:p>
    <w:p>
      <w:pPr>
        <w:ind w:right="626" w:firstLine="420"/>
        <w:rPr>
          <w:rFonts w:hint="eastAsia" w:ascii="宋体" w:hAnsi="宋体" w:cs="宋体"/>
          <w:szCs w:val="21"/>
        </w:rPr>
      </w:pPr>
    </w:p>
    <w:p>
      <w:pPr>
        <w:spacing w:line="396" w:lineRule="auto"/>
        <w:jc w:val="center"/>
        <w:rPr>
          <w:rFonts w:hint="eastAsia" w:ascii="宋体" w:hAnsi="宋体" w:cs="宋体"/>
          <w:b/>
          <w:sz w:val="30"/>
          <w:szCs w:val="36"/>
        </w:rPr>
      </w:pPr>
      <w:bookmarkStart w:id="226" w:name="_Toc395532693"/>
    </w:p>
    <w:p>
      <w:pPr>
        <w:pStyle w:val="3"/>
        <w:widowControl/>
        <w:rPr>
          <w:rFonts w:ascii="Times New Roman" w:hAnsi="Times New Roman" w:eastAsia="宋体"/>
          <w:sz w:val="30"/>
          <w:szCs w:val="30"/>
        </w:rPr>
      </w:pPr>
      <w:bookmarkStart w:id="227" w:name="_Toc456345932"/>
      <w:bookmarkStart w:id="228" w:name="_Toc458419376"/>
      <w:bookmarkStart w:id="229" w:name="_Toc528046869"/>
      <w:r>
        <w:rPr>
          <w:rFonts w:hint="eastAsia" w:ascii="Times New Roman" w:hAnsi="Times New Roman" w:eastAsia="宋体"/>
          <w:sz w:val="30"/>
          <w:szCs w:val="30"/>
        </w:rPr>
        <w:t>十四、完成本项目的工作基础和有利条件</w:t>
      </w:r>
      <w:bookmarkEnd w:id="226"/>
      <w:bookmarkEnd w:id="227"/>
      <w:bookmarkEnd w:id="228"/>
      <w:bookmarkEnd w:id="229"/>
    </w:p>
    <w:p>
      <w:pPr>
        <w:jc w:val="center"/>
        <w:rPr>
          <w:rFonts w:hint="eastAsia" w:ascii="宋体" w:hAnsi="宋体" w:cs="宋体"/>
          <w:sz w:val="30"/>
          <w:szCs w:val="30"/>
        </w:rPr>
      </w:pPr>
    </w:p>
    <w:tbl>
      <w:tblPr>
        <w:tblStyle w:val="78"/>
        <w:tblW w:w="0" w:type="auto"/>
        <w:jc w:val="center"/>
        <w:tblLayout w:type="fixed"/>
        <w:tblCellMar>
          <w:top w:w="0" w:type="dxa"/>
          <w:left w:w="0" w:type="dxa"/>
          <w:bottom w:w="0" w:type="dxa"/>
          <w:right w:w="0" w:type="dxa"/>
        </w:tblCellMar>
      </w:tblPr>
      <w:tblGrid>
        <w:gridCol w:w="8962"/>
      </w:tblGrid>
      <w:tr>
        <w:tblPrEx>
          <w:tblCellMar>
            <w:top w:w="0" w:type="dxa"/>
            <w:left w:w="0" w:type="dxa"/>
            <w:bottom w:w="0" w:type="dxa"/>
            <w:right w:w="0" w:type="dxa"/>
          </w:tblCellMar>
        </w:tblPrEx>
        <w:trPr>
          <w:wBefore w:w="0" w:type="dxa"/>
          <w:wAfter w:w="0" w:type="dxa"/>
          <w:trHeight w:val="446" w:hRule="atLeast"/>
          <w:jc w:val="center"/>
        </w:trPr>
        <w:tc>
          <w:tcPr>
            <w:tcW w:w="89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kern w:val="0"/>
                <w:sz w:val="28"/>
              </w:rPr>
            </w:pPr>
            <w:r>
              <w:rPr>
                <w:rFonts w:hint="eastAsia" w:ascii="宋体" w:hAnsi="宋体" w:cs="宋体"/>
                <w:kern w:val="0"/>
                <w:sz w:val="28"/>
              </w:rPr>
              <w:t>完成本项目的工作基础和在招标文件中未作规定的有利条件</w:t>
            </w:r>
          </w:p>
        </w:tc>
      </w:tr>
      <w:tr>
        <w:tblPrEx>
          <w:tblCellMar>
            <w:top w:w="0" w:type="dxa"/>
            <w:left w:w="0" w:type="dxa"/>
            <w:bottom w:w="0" w:type="dxa"/>
            <w:right w:w="0" w:type="dxa"/>
          </w:tblCellMar>
        </w:tblPrEx>
        <w:trPr>
          <w:wBefore w:w="0" w:type="dxa"/>
          <w:wAfter w:w="0" w:type="dxa"/>
          <w:trHeight w:val="10972" w:hRule="atLeast"/>
          <w:jc w:val="center"/>
        </w:trPr>
        <w:tc>
          <w:tcPr>
            <w:tcW w:w="896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rPr>
                <w:rFonts w:hint="eastAsia" w:ascii="宋体" w:hAnsi="宋体" w:cs="宋体"/>
                <w:kern w:val="0"/>
                <w:sz w:val="28"/>
              </w:rPr>
            </w:pPr>
          </w:p>
        </w:tc>
      </w:tr>
    </w:tbl>
    <w:p>
      <w:pPr>
        <w:pStyle w:val="73"/>
        <w:widowControl w:val="0"/>
        <w:spacing w:before="0" w:beforeAutospacing="0" w:after="0" w:afterAutospacing="0"/>
        <w:ind w:firstLine="420"/>
        <w:jc w:val="both"/>
        <w:rPr>
          <w:rFonts w:hint="eastAsia" w:cs="宋体"/>
        </w:rPr>
      </w:pPr>
    </w:p>
    <w:p>
      <w:pPr>
        <w:spacing w:line="396" w:lineRule="auto"/>
        <w:jc w:val="center"/>
        <w:rPr>
          <w:rFonts w:hint="eastAsia" w:ascii="宋体" w:hAnsi="宋体" w:cs="宋体"/>
          <w:b/>
          <w:sz w:val="30"/>
          <w:szCs w:val="36"/>
        </w:rPr>
      </w:pPr>
    </w:p>
    <w:p>
      <w:pPr>
        <w:pStyle w:val="3"/>
        <w:widowControl/>
        <w:rPr>
          <w:rFonts w:ascii="Times New Roman" w:hAnsi="Times New Roman" w:eastAsia="宋体"/>
          <w:sz w:val="30"/>
          <w:szCs w:val="30"/>
        </w:rPr>
      </w:pPr>
      <w:bookmarkStart w:id="230" w:name="_Toc456345933"/>
      <w:bookmarkStart w:id="231" w:name="_Toc528046870"/>
      <w:bookmarkStart w:id="232" w:name="_Toc458419377"/>
      <w:bookmarkStart w:id="233" w:name="_Toc395532694"/>
      <w:r>
        <w:rPr>
          <w:rFonts w:hint="eastAsia" w:ascii="Times New Roman" w:hAnsi="Times New Roman" w:eastAsia="宋体"/>
          <w:sz w:val="30"/>
          <w:szCs w:val="30"/>
        </w:rPr>
        <w:t>十五、优惠条件</w:t>
      </w:r>
      <w:bookmarkEnd w:id="230"/>
      <w:bookmarkEnd w:id="231"/>
      <w:bookmarkEnd w:id="232"/>
      <w:bookmarkEnd w:id="233"/>
    </w:p>
    <w:p>
      <w:pPr>
        <w:pStyle w:val="73"/>
        <w:widowControl w:val="0"/>
        <w:adjustRightInd w:val="0"/>
        <w:snapToGrid w:val="0"/>
        <w:spacing w:before="0" w:beforeAutospacing="0" w:after="0" w:afterAutospacing="0" w:line="900" w:lineRule="exact"/>
        <w:jc w:val="both"/>
        <w:rPr>
          <w:sz w:val="24"/>
        </w:rPr>
      </w:pPr>
      <w:r>
        <w:rPr>
          <w:rFonts w:hint="eastAsia" w:eastAsia="Times New Roman"/>
          <w:kern w:val="2"/>
          <w:sz w:val="24"/>
          <w:u w:val="single"/>
        </w:rPr>
        <w:t xml:space="preserve">                            </w:t>
      </w:r>
      <w:r>
        <w:rPr>
          <w:rFonts w:hint="eastAsia" w:eastAsia="Times New Roman"/>
          <w:kern w:val="2"/>
          <w:sz w:val="24"/>
        </w:rPr>
        <w:t>：</w:t>
      </w:r>
    </w:p>
    <w:p>
      <w:pPr>
        <w:spacing w:line="900" w:lineRule="exact"/>
        <w:ind w:firstLine="480" w:firstLineChars="200"/>
        <w:rPr>
          <w:rFonts w:hint="eastAsia" w:ascii="宋体" w:hAnsi="宋体" w:cs="宋体"/>
          <w:b/>
          <w:sz w:val="30"/>
          <w:szCs w:val="36"/>
        </w:rPr>
      </w:pPr>
      <w:r>
        <w:rPr>
          <w:rFonts w:hint="eastAsia" w:ascii="宋体" w:hAnsi="宋体" w:cs="宋体"/>
        </w:rPr>
        <w:t xml:space="preserve">非常荣幸能参加贵处组织的 </w:t>
      </w:r>
      <w:r>
        <w:rPr>
          <w:rFonts w:hint="eastAsia" w:ascii="宋体" w:hAnsi="宋体" w:cs="宋体"/>
          <w:u w:val="single"/>
        </w:rPr>
        <w:t xml:space="preserve">                  </w:t>
      </w:r>
      <w:r>
        <w:rPr>
          <w:rFonts w:hint="eastAsia" w:ascii="宋体" w:hAnsi="宋体" w:cs="宋体"/>
        </w:rPr>
        <w:t>项目（括号内填写招标编号）的投标，现我公司专门就该项目提出如下优惠条件：</w:t>
      </w:r>
    </w:p>
    <w:p>
      <w:pPr>
        <w:spacing w:line="900" w:lineRule="exact"/>
        <w:jc w:val="center"/>
        <w:rPr>
          <w:rFonts w:hint="eastAsia" w:ascii="宋体" w:hAnsi="宋体" w:cs="宋体"/>
          <w:b/>
          <w:sz w:val="30"/>
          <w:szCs w:val="36"/>
        </w:rPr>
      </w:pPr>
    </w:p>
    <w:p>
      <w:pPr>
        <w:spacing w:line="900" w:lineRule="exact"/>
        <w:jc w:val="center"/>
        <w:rPr>
          <w:rFonts w:hint="eastAsia" w:ascii="宋体" w:hAnsi="宋体" w:cs="宋体"/>
          <w:b/>
          <w:sz w:val="30"/>
          <w:szCs w:val="36"/>
        </w:rPr>
      </w:pPr>
    </w:p>
    <w:p>
      <w:pPr>
        <w:spacing w:line="900" w:lineRule="exact"/>
        <w:jc w:val="center"/>
        <w:rPr>
          <w:rFonts w:hint="eastAsia" w:ascii="宋体" w:hAnsi="宋体" w:cs="宋体"/>
          <w:b/>
          <w:sz w:val="30"/>
          <w:szCs w:val="36"/>
        </w:rPr>
      </w:pPr>
    </w:p>
    <w:p>
      <w:pPr>
        <w:pStyle w:val="73"/>
        <w:widowControl w:val="0"/>
        <w:spacing w:before="0" w:beforeAutospacing="0" w:after="0" w:afterAutospacing="0" w:line="900" w:lineRule="exact"/>
        <w:jc w:val="both"/>
        <w:rPr>
          <w:sz w:val="24"/>
        </w:rPr>
      </w:pPr>
      <w:r>
        <w:rPr>
          <w:rFonts w:hint="eastAsia" w:eastAsia="Times New Roman"/>
          <w:kern w:val="2"/>
          <w:sz w:val="24"/>
        </w:rPr>
        <w:t xml:space="preserve">                           投标人全称（盖章）：</w:t>
      </w:r>
    </w:p>
    <w:p>
      <w:pPr>
        <w:pStyle w:val="73"/>
        <w:widowControl w:val="0"/>
        <w:spacing w:before="0" w:beforeAutospacing="0" w:after="0" w:afterAutospacing="0" w:line="900" w:lineRule="exact"/>
        <w:jc w:val="both"/>
        <w:rPr>
          <w:sz w:val="24"/>
        </w:rPr>
      </w:pPr>
      <w:r>
        <w:rPr>
          <w:rFonts w:hint="eastAsia" w:eastAsia="Times New Roman"/>
          <w:kern w:val="2"/>
          <w:sz w:val="24"/>
        </w:rPr>
        <w:t xml:space="preserve">                           法定代表人或</w:t>
      </w:r>
      <w:r>
        <w:rPr>
          <w:rFonts w:hint="eastAsia"/>
          <w:kern w:val="2"/>
          <w:sz w:val="24"/>
        </w:rPr>
        <w:t>授权</w:t>
      </w:r>
      <w:r>
        <w:rPr>
          <w:rFonts w:hint="eastAsia" w:eastAsia="Times New Roman"/>
          <w:kern w:val="2"/>
          <w:sz w:val="21"/>
          <w:szCs w:val="21"/>
        </w:rPr>
        <w:t>委托代理人</w:t>
      </w:r>
      <w:r>
        <w:rPr>
          <w:rFonts w:hint="eastAsia" w:eastAsia="Times New Roman"/>
          <w:kern w:val="2"/>
          <w:sz w:val="24"/>
        </w:rPr>
        <w:t>（签字）：</w:t>
      </w:r>
    </w:p>
    <w:p>
      <w:pPr>
        <w:pStyle w:val="73"/>
        <w:widowControl w:val="0"/>
        <w:spacing w:before="120" w:beforeAutospacing="0" w:after="120" w:afterAutospacing="0" w:line="360" w:lineRule="auto"/>
        <w:ind w:firstLine="525"/>
        <w:jc w:val="center"/>
        <w:rPr>
          <w:rFonts w:hint="eastAsia"/>
        </w:rPr>
      </w:pPr>
      <w:r>
        <w:rPr>
          <w:rFonts w:hint="eastAsia" w:eastAsia="Times New Roman"/>
          <w:kern w:val="2"/>
          <w:sz w:val="24"/>
        </w:rPr>
        <w:t xml:space="preserve">                                       </w:t>
      </w:r>
    </w:p>
    <w:p>
      <w:pPr>
        <w:pStyle w:val="73"/>
        <w:widowControl w:val="0"/>
        <w:spacing w:before="120" w:beforeAutospacing="0" w:after="120" w:afterAutospacing="0" w:line="360" w:lineRule="auto"/>
        <w:ind w:firstLine="3600" w:firstLineChars="1500"/>
        <w:rPr>
          <w:rFonts w:hint="eastAsia" w:eastAsia="Times New Roman"/>
          <w:kern w:val="2"/>
          <w:sz w:val="24"/>
        </w:rPr>
      </w:pPr>
      <w:r>
        <w:rPr>
          <w:rFonts w:hint="eastAsia" w:eastAsia="Times New Roman"/>
          <w:kern w:val="2"/>
          <w:sz w:val="24"/>
        </w:rPr>
        <w:t>日   期：</w:t>
      </w:r>
      <w:bookmarkEnd w:id="214"/>
      <w:bookmarkEnd w:id="215"/>
      <w:bookmarkEnd w:id="216"/>
      <w:bookmarkEnd w:id="217"/>
    </w:p>
    <w:p>
      <w:pPr>
        <w:pStyle w:val="73"/>
        <w:widowControl w:val="0"/>
        <w:spacing w:before="120" w:beforeAutospacing="0" w:after="120" w:afterAutospacing="0" w:line="360" w:lineRule="auto"/>
        <w:ind w:firstLine="3600" w:firstLineChars="1500"/>
        <w:rPr>
          <w:rFonts w:hint="eastAsia" w:eastAsia="Times New Roman"/>
          <w:kern w:val="2"/>
          <w:sz w:val="24"/>
        </w:rPr>
      </w:pPr>
    </w:p>
    <w:p>
      <w:pPr>
        <w:pStyle w:val="73"/>
        <w:widowControl w:val="0"/>
        <w:spacing w:before="120" w:beforeAutospacing="0" w:after="120" w:afterAutospacing="0" w:line="360" w:lineRule="auto"/>
        <w:ind w:firstLine="3600" w:firstLineChars="1500"/>
        <w:rPr>
          <w:rFonts w:hint="eastAsia" w:eastAsia="Times New Roman"/>
          <w:kern w:val="2"/>
          <w:sz w:val="24"/>
        </w:rPr>
      </w:pPr>
    </w:p>
    <w:p>
      <w:pPr>
        <w:pStyle w:val="73"/>
        <w:widowControl w:val="0"/>
        <w:spacing w:before="120" w:beforeAutospacing="0" w:after="120" w:afterAutospacing="0" w:line="360" w:lineRule="auto"/>
        <w:ind w:firstLine="3600" w:firstLineChars="1500"/>
        <w:rPr>
          <w:rFonts w:hint="eastAsia" w:eastAsia="Times New Roman"/>
          <w:kern w:val="2"/>
          <w:sz w:val="24"/>
        </w:rPr>
      </w:pPr>
    </w:p>
    <w:p>
      <w:pPr>
        <w:pStyle w:val="73"/>
        <w:widowControl w:val="0"/>
        <w:spacing w:before="120" w:beforeAutospacing="0" w:after="120" w:afterAutospacing="0" w:line="360" w:lineRule="auto"/>
        <w:ind w:firstLine="3600" w:firstLineChars="1500"/>
        <w:rPr>
          <w:rFonts w:hint="eastAsia" w:eastAsia="Times New Roman"/>
          <w:kern w:val="2"/>
          <w:sz w:val="24"/>
        </w:rPr>
      </w:pPr>
    </w:p>
    <w:p>
      <w:pPr>
        <w:pStyle w:val="73"/>
        <w:widowControl w:val="0"/>
        <w:spacing w:before="120" w:beforeAutospacing="0" w:after="120" w:afterAutospacing="0" w:line="360" w:lineRule="auto"/>
        <w:ind w:firstLine="3600" w:firstLineChars="1500"/>
        <w:rPr>
          <w:rFonts w:hint="eastAsia" w:eastAsia="Times New Roman"/>
          <w:kern w:val="2"/>
          <w:sz w:val="24"/>
        </w:rPr>
      </w:pPr>
    </w:p>
    <w:p>
      <w:pPr>
        <w:pStyle w:val="73"/>
        <w:widowControl w:val="0"/>
        <w:spacing w:before="120" w:beforeAutospacing="0" w:after="120" w:afterAutospacing="0" w:line="360" w:lineRule="auto"/>
        <w:ind w:firstLine="3600" w:firstLineChars="1500"/>
        <w:rPr>
          <w:rFonts w:hint="eastAsia" w:eastAsia="Times New Roman"/>
          <w:kern w:val="2"/>
          <w:sz w:val="24"/>
        </w:rPr>
      </w:pPr>
    </w:p>
    <w:p>
      <w:pPr>
        <w:pStyle w:val="73"/>
        <w:widowControl w:val="0"/>
        <w:spacing w:before="120" w:beforeAutospacing="0" w:after="120" w:afterAutospacing="0" w:line="360" w:lineRule="auto"/>
        <w:ind w:firstLine="3600" w:firstLineChars="1500"/>
        <w:rPr>
          <w:rFonts w:hint="eastAsia" w:eastAsia="Times New Roman"/>
          <w:kern w:val="2"/>
          <w:sz w:val="24"/>
        </w:rPr>
      </w:pPr>
    </w:p>
    <w:p>
      <w:pPr>
        <w:pStyle w:val="73"/>
        <w:widowControl w:val="0"/>
        <w:spacing w:before="120" w:beforeAutospacing="0" w:after="120" w:afterAutospacing="0" w:line="360" w:lineRule="auto"/>
        <w:ind w:firstLine="3600" w:firstLineChars="1500"/>
        <w:rPr>
          <w:rFonts w:hint="eastAsia" w:eastAsia="Times New Roman"/>
          <w:kern w:val="2"/>
          <w:sz w:val="24"/>
        </w:rPr>
      </w:pPr>
    </w:p>
    <w:p>
      <w:pPr>
        <w:rPr>
          <w:rFonts w:ascii="宋体" w:hAnsi="宋体"/>
          <w:b/>
          <w:color w:val="000000"/>
          <w:szCs w:val="24"/>
        </w:rPr>
      </w:pPr>
      <w:r>
        <w:rPr>
          <w:rFonts w:hint="eastAsia" w:ascii="宋体" w:hAnsi="宋体"/>
          <w:b/>
          <w:color w:val="000000"/>
          <w:szCs w:val="24"/>
        </w:rPr>
        <w:t>十六、附件</w:t>
      </w:r>
    </w:p>
    <w:p>
      <w:pPr>
        <w:rPr>
          <w:rFonts w:ascii="宋体"/>
          <w:szCs w:val="24"/>
        </w:rPr>
      </w:pPr>
      <w:r>
        <w:rPr>
          <w:rFonts w:hint="eastAsia"/>
        </w:rPr>
        <w:t>附件</w:t>
      </w:r>
      <w:r>
        <w:t>1</w:t>
      </w:r>
      <w:r>
        <w:rPr>
          <w:rFonts w:hint="eastAsia"/>
        </w:rPr>
        <w:t>：</w:t>
      </w:r>
    </w:p>
    <w:p>
      <w:pPr>
        <w:rPr>
          <w:rFonts w:ascii="仿宋_GB2312" w:eastAsia="仿宋_GB2312"/>
        </w:rPr>
      </w:pPr>
    </w:p>
    <w:p>
      <w:pPr>
        <w:jc w:val="center"/>
        <w:rPr>
          <w:rFonts w:ascii="宋体"/>
          <w:b/>
        </w:rPr>
      </w:pPr>
      <w:r>
        <w:rPr>
          <w:rFonts w:hint="eastAsia" w:ascii="宋体" w:hAnsi="宋体"/>
          <w:b/>
        </w:rPr>
        <w:t>中小企业声明函</w:t>
      </w:r>
    </w:p>
    <w:p>
      <w:pPr>
        <w:ind w:firstLine="470" w:firstLineChars="196"/>
        <w:jc w:val="left"/>
        <w:rPr>
          <w:rFonts w:ascii="宋体"/>
        </w:rPr>
      </w:pPr>
      <w:r>
        <w:rPr>
          <w:rFonts w:hint="eastAsia" w:ascii="宋体" w:hAnsi="宋体"/>
        </w:rPr>
        <w:t>本公司郑重声明，根据《政府采购促进中小企业发展暂行办法》（财库</w:t>
      </w:r>
      <w:r>
        <w:rPr>
          <w:rFonts w:ascii="宋体" w:hAnsi="宋体"/>
        </w:rPr>
        <w:t>[2011]181</w:t>
      </w:r>
      <w:r>
        <w:rPr>
          <w:rFonts w:hint="eastAsia" w:ascii="宋体" w:hAnsi="宋体"/>
        </w:rPr>
        <w:t>号）的规定，本公司为</w:t>
      </w:r>
      <w:r>
        <w:rPr>
          <w:rFonts w:ascii="宋体" w:hAnsi="宋体"/>
        </w:rPr>
        <w:t>______</w:t>
      </w:r>
      <w:r>
        <w:rPr>
          <w:rFonts w:hint="eastAsia" w:ascii="宋体" w:hAnsi="宋体"/>
        </w:rPr>
        <w:t>（请填写：中型、小型、微型）企业。即，本公司同时满足以下条件：</w:t>
      </w:r>
      <w:r>
        <w:rPr>
          <w:rFonts w:ascii="宋体"/>
        </w:rPr>
        <w:br w:type="textWrapping"/>
      </w:r>
      <w:r>
        <w:rPr>
          <w:rFonts w:ascii="宋体"/>
        </w:rPr>
        <w:t>  </w:t>
      </w:r>
      <w:r>
        <w:rPr>
          <w:rFonts w:ascii="宋体" w:hAnsi="宋体"/>
        </w:rPr>
        <w:t>1.</w:t>
      </w:r>
      <w:r>
        <w:rPr>
          <w:rFonts w:hint="eastAsia" w:ascii="宋体" w:hAnsi="宋体"/>
        </w:rPr>
        <w:t>根据《工业和信息化部、国家统计局、国家发展和改革委员会、财政部关于印发中小企业划型标准规定的通知》（工信部联企业</w:t>
      </w:r>
      <w:r>
        <w:rPr>
          <w:rFonts w:ascii="宋体" w:hAnsi="宋体"/>
        </w:rPr>
        <w:t>[2011]300</w:t>
      </w:r>
      <w:r>
        <w:rPr>
          <w:rFonts w:hint="eastAsia" w:ascii="宋体" w:hAnsi="宋体"/>
        </w:rPr>
        <w:t>号）规定的划分标准，本公司为</w:t>
      </w:r>
      <w:r>
        <w:rPr>
          <w:rFonts w:ascii="宋体" w:hAnsi="宋体"/>
        </w:rPr>
        <w:t>______</w:t>
      </w:r>
      <w:r>
        <w:rPr>
          <w:rFonts w:hint="eastAsia" w:ascii="宋体" w:hAnsi="宋体"/>
        </w:rPr>
        <w:t>（请填写：中型、小型、微型）企业。</w:t>
      </w:r>
      <w:r>
        <w:rPr>
          <w:rFonts w:ascii="宋体"/>
        </w:rPr>
        <w:br w:type="textWrapping"/>
      </w:r>
      <w:r>
        <w:rPr>
          <w:rFonts w:ascii="宋体"/>
        </w:rPr>
        <w:t>  </w:t>
      </w:r>
      <w:r>
        <w:rPr>
          <w:rFonts w:ascii="宋体" w:hAnsi="宋体"/>
        </w:rPr>
        <w:t>2.</w:t>
      </w:r>
      <w:r>
        <w:rPr>
          <w:rFonts w:hint="eastAsia" w:ascii="宋体" w:hAnsi="宋体"/>
        </w:rPr>
        <w:t>本公司参加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项目采购活动提供本企业制造的货物，由本企业承担工程、提供服务，或者提供其他</w:t>
      </w:r>
      <w:r>
        <w:rPr>
          <w:rFonts w:ascii="宋体" w:hAnsi="宋体"/>
        </w:rPr>
        <w:t>______</w:t>
      </w:r>
      <w:r>
        <w:rPr>
          <w:rFonts w:hint="eastAsia" w:ascii="宋体" w:hAnsi="宋体"/>
        </w:rPr>
        <w:t>（请填写：中型、小型、微型）企业制造的货物。本条所称货物不包括使用大型企业注册商标的货物。</w:t>
      </w:r>
      <w:r>
        <w:rPr>
          <w:rFonts w:ascii="宋体"/>
        </w:rPr>
        <w:br w:type="textWrapping"/>
      </w:r>
      <w:r>
        <w:rPr>
          <w:rFonts w:ascii="宋体"/>
        </w:rPr>
        <w:t>  </w:t>
      </w:r>
      <w:r>
        <w:rPr>
          <w:rFonts w:hint="eastAsia" w:ascii="宋体" w:hAnsi="宋体"/>
        </w:rPr>
        <w:t>本公司对上述声明的真实性负责。如有虚假，将依法承担相应责任。</w:t>
      </w:r>
    </w:p>
    <w:p>
      <w:pPr>
        <w:ind w:left="2160" w:leftChars="200" w:hanging="1680" w:hangingChars="700"/>
        <w:jc w:val="left"/>
        <w:rPr>
          <w:rFonts w:ascii="宋体" w:cs="宋体"/>
          <w:b/>
        </w:rPr>
      </w:pPr>
      <w:r>
        <w:rPr>
          <w:rFonts w:hint="eastAsia" w:ascii="宋体" w:hAnsi="宋体"/>
        </w:rPr>
        <w:t>投标供应商名称（盖章）：</w:t>
      </w:r>
      <w:r>
        <w:rPr>
          <w:rFonts w:ascii="宋体" w:hAnsi="宋体"/>
        </w:rPr>
        <w:t xml:space="preserve"> </w:t>
      </w:r>
      <w:r>
        <w:rPr>
          <w:rFonts w:ascii="宋体" w:hAnsi="宋体"/>
        </w:rPr>
        <w:br w:type="textWrapping"/>
      </w:r>
      <w:r>
        <w:rPr>
          <w:rFonts w:hint="eastAsia" w:ascii="宋体" w:hAnsi="宋体"/>
        </w:rPr>
        <w:t>日</w:t>
      </w:r>
      <w:r>
        <w:rPr>
          <w:rFonts w:ascii="宋体" w:hAnsi="宋体"/>
        </w:rPr>
        <w:t xml:space="preserve">   </w:t>
      </w:r>
      <w:r>
        <w:rPr>
          <w:rFonts w:hint="eastAsia" w:ascii="宋体" w:hAnsi="宋体"/>
        </w:rPr>
        <w:t>期：</w:t>
      </w:r>
      <w:r>
        <w:rPr>
          <w:rFonts w:ascii="宋体"/>
        </w:rPr>
        <w:t>  </w:t>
      </w:r>
      <w:r>
        <w:rPr>
          <w:rFonts w:ascii="宋体"/>
          <w:b/>
        </w:rPr>
        <w:t>    </w:t>
      </w:r>
      <w:r>
        <w:rPr>
          <w:rFonts w:hint="eastAsia" w:ascii="宋体" w:hAnsi="宋体" w:cs="宋体"/>
          <w:b/>
        </w:rPr>
        <w:t>　</w:t>
      </w:r>
    </w:p>
    <w:p>
      <w:pPr>
        <w:spacing w:line="440" w:lineRule="atLeast"/>
        <w:rPr>
          <w:rFonts w:ascii="宋体"/>
          <w:b/>
        </w:rPr>
      </w:pPr>
      <w:r>
        <w:rPr>
          <w:rFonts w:ascii="宋体" w:hAnsi="宋体"/>
          <w:b/>
        </w:rPr>
        <w:t xml:space="preserve">      </w:t>
      </w:r>
    </w:p>
    <w:p>
      <w:pPr>
        <w:spacing w:line="440" w:lineRule="atLeast"/>
        <w:jc w:val="center"/>
        <w:rPr>
          <w:rFonts w:ascii="宋体"/>
          <w:b/>
        </w:rPr>
      </w:pPr>
      <w:r>
        <w:rPr>
          <w:rFonts w:hint="eastAsia" w:ascii="宋体" w:hAnsi="宋体"/>
          <w:b/>
          <w:szCs w:val="21"/>
        </w:rPr>
        <w:t>国家企业信用信息公示系统</w:t>
      </w:r>
      <w:r>
        <w:rPr>
          <w:rFonts w:ascii="宋体"/>
          <w:b/>
          <w:szCs w:val="21"/>
        </w:rPr>
        <w:t>---</w:t>
      </w:r>
      <w:r>
        <w:rPr>
          <w:rFonts w:hint="eastAsia" w:ascii="宋体" w:hAnsi="宋体"/>
          <w:b/>
          <w:szCs w:val="21"/>
        </w:rPr>
        <w:t>小微企业名录”页面查询结果参考格式</w:t>
      </w:r>
    </w:p>
    <w:p>
      <w:pPr>
        <w:spacing w:line="440" w:lineRule="atLeast"/>
        <w:rPr>
          <w:rFonts w:ascii="宋体"/>
          <w:b/>
        </w:rPr>
      </w:pPr>
      <w:r>
        <w:rPr>
          <w:rFonts w:hint="eastAsia" w:ascii="宋体"/>
          <w:b/>
        </w:rPr>
        <w:drawing>
          <wp:inline distT="0" distB="0" distL="114300" distR="114300">
            <wp:extent cx="5494655" cy="3302635"/>
            <wp:effectExtent l="0" t="0" r="10795" b="12065"/>
            <wp:docPr id="1" name="图片 1" descr="Y_~4UK_~Q3ZGT$~BOBAS6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_~4UK_~Q3ZGT$~BOBAS6GK"/>
                    <pic:cNvPicPr>
                      <a:picLocks noChangeAspect="1"/>
                    </pic:cNvPicPr>
                  </pic:nvPicPr>
                  <pic:blipFill>
                    <a:blip r:embed="rId10"/>
                    <a:stretch>
                      <a:fillRect/>
                    </a:stretch>
                  </pic:blipFill>
                  <pic:spPr>
                    <a:xfrm>
                      <a:off x="0" y="0"/>
                      <a:ext cx="5494655" cy="3302635"/>
                    </a:xfrm>
                    <a:prstGeom prst="rect">
                      <a:avLst/>
                    </a:prstGeom>
                    <a:noFill/>
                    <a:ln>
                      <a:noFill/>
                    </a:ln>
                  </pic:spPr>
                </pic:pic>
              </a:graphicData>
            </a:graphic>
          </wp:inline>
        </w:drawing>
      </w:r>
    </w:p>
    <w:p>
      <w:pPr>
        <w:spacing w:line="440" w:lineRule="atLeast"/>
        <w:rPr>
          <w:rFonts w:ascii="宋体"/>
          <w:b/>
        </w:rPr>
      </w:pPr>
      <w:r>
        <w:rPr>
          <w:rFonts w:hint="eastAsia" w:ascii="宋体" w:hAnsi="宋体"/>
          <w:b/>
        </w:rPr>
        <w:t>投标供应商名称（盖章）：</w:t>
      </w:r>
    </w:p>
    <w:p>
      <w:pPr>
        <w:spacing w:line="440" w:lineRule="atLeast"/>
        <w:rPr>
          <w:rFonts w:ascii="宋体"/>
          <w:b/>
        </w:rPr>
      </w:pPr>
      <w:r>
        <w:rPr>
          <w:rFonts w:hint="eastAsia" w:ascii="宋体" w:hAnsi="宋体"/>
          <w:b/>
        </w:rPr>
        <w:t>日期：</w:t>
      </w:r>
    </w:p>
    <w:p>
      <w:pPr>
        <w:spacing w:line="440" w:lineRule="atLeast"/>
        <w:rPr>
          <w:rFonts w:ascii="宋体"/>
          <w:b/>
        </w:rPr>
      </w:pPr>
    </w:p>
    <w:p>
      <w:pPr>
        <w:ind w:firstLine="480" w:firstLineChars="200"/>
        <w:rPr>
          <w:rFonts w:ascii="仿宋_GB2312" w:eastAsia="仿宋_GB2312"/>
        </w:rPr>
      </w:pPr>
    </w:p>
    <w:p>
      <w:pPr>
        <w:pStyle w:val="2"/>
        <w:tabs>
          <w:tab w:val="left" w:pos="478"/>
        </w:tabs>
      </w:pPr>
    </w:p>
    <w:p>
      <w:pPr>
        <w:spacing w:line="588" w:lineRule="exact"/>
        <w:rPr>
          <w:rFonts w:ascii="仿宋_GB2312" w:hAnsi="仿宋_GB2312" w:eastAsia="仿宋_GB2312" w:cs="仿宋_GB2312"/>
        </w:rPr>
      </w:pPr>
      <w:r>
        <w:rPr>
          <w:rFonts w:hint="eastAsia" w:ascii="仿宋_GB2312" w:hAnsi="仿宋_GB2312" w:eastAsia="仿宋_GB2312" w:cs="仿宋_GB2312"/>
        </w:rPr>
        <w:t>附件</w:t>
      </w:r>
      <w:r>
        <w:rPr>
          <w:rFonts w:ascii="仿宋_GB2312" w:hAnsi="仿宋_GB2312" w:eastAsia="仿宋_GB2312" w:cs="仿宋_GB2312"/>
        </w:rPr>
        <w:t>2</w:t>
      </w:r>
      <w:r>
        <w:rPr>
          <w:rFonts w:hint="eastAsia" w:ascii="仿宋_GB2312" w:hAnsi="仿宋_GB2312" w:eastAsia="仿宋_GB2312" w:cs="仿宋_GB2312"/>
        </w:rPr>
        <w:t>：</w:t>
      </w:r>
    </w:p>
    <w:p>
      <w:pPr>
        <w:spacing w:line="588" w:lineRule="exact"/>
        <w:jc w:val="center"/>
        <w:rPr>
          <w:rFonts w:ascii="宋体" w:cs="宋体"/>
          <w:b/>
          <w:bCs/>
          <w:spacing w:val="5"/>
          <w:sz w:val="22"/>
        </w:rPr>
      </w:pPr>
      <w:r>
        <w:rPr>
          <w:rFonts w:hint="eastAsia" w:ascii="宋体" w:hAnsi="宋体" w:cs="宋体"/>
          <w:b/>
          <w:bCs/>
          <w:spacing w:val="5"/>
          <w:sz w:val="22"/>
        </w:rPr>
        <w:t>残疾人福利性单位声明函</w:t>
      </w:r>
    </w:p>
    <w:p>
      <w:pPr>
        <w:spacing w:line="588" w:lineRule="exact"/>
        <w:rPr>
          <w:rFonts w:ascii="宋体" w:cs="宋体"/>
          <w:b/>
          <w:bCs/>
          <w:spacing w:val="6"/>
          <w:sz w:val="22"/>
        </w:rPr>
      </w:pPr>
    </w:p>
    <w:p>
      <w:pPr>
        <w:spacing w:line="588" w:lineRule="exact"/>
        <w:ind w:firstLine="624"/>
        <w:rPr>
          <w:rFonts w:ascii="宋体" w:cs="宋体"/>
          <w:bCs/>
          <w:spacing w:val="6"/>
          <w:szCs w:val="24"/>
        </w:rPr>
      </w:pPr>
      <w:r>
        <w:rPr>
          <w:rFonts w:hint="eastAsia" w:ascii="宋体" w:hAnsi="宋体" w:cs="宋体"/>
          <w:bCs/>
          <w:spacing w:val="5"/>
          <w:szCs w:val="24"/>
        </w:rPr>
        <w:t>本单位郑重声明，根据《财政部民政部中国残疾人联合会关于促进残疾人就业政府采购政策的通知》（财库</w:t>
      </w:r>
      <w:r>
        <w:rPr>
          <w:rFonts w:hint="eastAsia" w:ascii="宋体" w:hAnsi="宋体" w:cs="宋体"/>
          <w:bCs/>
          <w:szCs w:val="24"/>
        </w:rPr>
        <w:t>〔</w:t>
      </w:r>
      <w:r>
        <w:rPr>
          <w:rFonts w:ascii="宋体" w:hAnsi="宋体" w:cs="宋体"/>
          <w:bCs/>
          <w:szCs w:val="24"/>
        </w:rPr>
        <w:t>2017</w:t>
      </w:r>
      <w:r>
        <w:rPr>
          <w:rFonts w:hint="eastAsia" w:ascii="宋体" w:hAnsi="宋体" w:cs="宋体"/>
          <w:bCs/>
          <w:szCs w:val="24"/>
        </w:rPr>
        <w:t>〕</w:t>
      </w:r>
      <w:r>
        <w:rPr>
          <w:rFonts w:ascii="宋体" w:hAnsi="宋体" w:cs="宋体"/>
          <w:bCs/>
          <w:szCs w:val="24"/>
        </w:rPr>
        <w:t xml:space="preserve"> 141</w:t>
      </w:r>
      <w:r>
        <w:rPr>
          <w:rFonts w:hint="eastAsia" w:ascii="宋体" w:hAnsi="宋体" w:cs="宋体"/>
          <w:bCs/>
          <w:spacing w:val="5"/>
          <w:szCs w:val="24"/>
        </w:rPr>
        <w:t>号）的规定，本单位为符合条件的残疾人福利性单位，且本单位参加</w:t>
      </w:r>
      <w:r>
        <w:rPr>
          <w:rFonts w:ascii="宋体" w:hAnsi="宋体" w:cs="宋体"/>
          <w:bCs/>
          <w:spacing w:val="6"/>
          <w:szCs w:val="24"/>
        </w:rPr>
        <w:t>______</w:t>
      </w:r>
      <w:r>
        <w:rPr>
          <w:rFonts w:hint="eastAsia" w:ascii="宋体" w:hAnsi="宋体" w:cs="宋体"/>
          <w:bCs/>
          <w:spacing w:val="5"/>
          <w:szCs w:val="24"/>
        </w:rPr>
        <w:t>单位的</w:t>
      </w:r>
      <w:r>
        <w:rPr>
          <w:rFonts w:ascii="宋体" w:hAnsi="宋体" w:cs="宋体"/>
          <w:bCs/>
          <w:spacing w:val="6"/>
          <w:szCs w:val="24"/>
        </w:rPr>
        <w:t>______</w:t>
      </w:r>
      <w:r>
        <w:rPr>
          <w:rFonts w:hint="eastAsia" w:ascii="宋体" w:hAnsi="宋体" w:cs="宋体"/>
          <w:bCs/>
          <w:spacing w:val="5"/>
          <w:szCs w:val="24"/>
        </w:rPr>
        <w:t>项目采购活动提供本单位制造的货物（由本单位承担工程</w:t>
      </w:r>
      <w:r>
        <w:rPr>
          <w:rFonts w:ascii="宋体" w:hAnsi="宋体" w:cs="宋体"/>
          <w:bCs/>
          <w:spacing w:val="6"/>
          <w:szCs w:val="24"/>
        </w:rPr>
        <w:t>/</w:t>
      </w:r>
      <w:r>
        <w:rPr>
          <w:rFonts w:hint="eastAsia" w:ascii="宋体" w:hAnsi="宋体" w:cs="宋体"/>
          <w:bCs/>
          <w:spacing w:val="5"/>
          <w:szCs w:val="24"/>
        </w:rPr>
        <w:t>提供服务），或者提供其他残疾人福利性单位制造的货物（不包括使用非残疾人福利性单位注册商标的货物）。</w:t>
      </w:r>
    </w:p>
    <w:p>
      <w:pPr>
        <w:spacing w:line="588" w:lineRule="exact"/>
        <w:ind w:firstLine="624"/>
        <w:rPr>
          <w:rFonts w:ascii="宋体" w:cs="宋体"/>
          <w:bCs/>
          <w:spacing w:val="6"/>
          <w:szCs w:val="24"/>
        </w:rPr>
      </w:pPr>
      <w:r>
        <w:rPr>
          <w:rFonts w:hint="eastAsia" w:ascii="宋体" w:hAnsi="宋体" w:cs="宋体"/>
          <w:bCs/>
          <w:spacing w:val="5"/>
          <w:szCs w:val="24"/>
        </w:rPr>
        <w:t>本单位对上述声明的真实性负责。如有虚假，将依法承担相应责任。</w:t>
      </w:r>
    </w:p>
    <w:p>
      <w:pPr>
        <w:spacing w:line="588" w:lineRule="exact"/>
        <w:ind w:firstLine="624"/>
        <w:rPr>
          <w:rFonts w:ascii="宋体" w:cs="宋体"/>
          <w:bCs/>
          <w:spacing w:val="6"/>
          <w:sz w:val="22"/>
        </w:rPr>
      </w:pPr>
    </w:p>
    <w:p>
      <w:pPr>
        <w:spacing w:line="588" w:lineRule="exact"/>
        <w:ind w:firstLine="624"/>
        <w:rPr>
          <w:rFonts w:ascii="宋体" w:cs="宋体"/>
          <w:b/>
          <w:bCs/>
          <w:spacing w:val="6"/>
          <w:sz w:val="22"/>
        </w:rPr>
      </w:pPr>
    </w:p>
    <w:p>
      <w:pPr>
        <w:tabs>
          <w:tab w:val="left" w:pos="4860"/>
        </w:tabs>
        <w:spacing w:line="588" w:lineRule="exact"/>
        <w:ind w:right="1560" w:firstLine="624"/>
        <w:jc w:val="center"/>
        <w:rPr>
          <w:rFonts w:ascii="宋体" w:cs="宋体"/>
          <w:b/>
          <w:bCs/>
          <w:spacing w:val="6"/>
          <w:szCs w:val="24"/>
        </w:rPr>
      </w:pPr>
      <w:r>
        <w:rPr>
          <w:rFonts w:ascii="宋体" w:hAnsi="宋体" w:cs="宋体"/>
          <w:b/>
          <w:bCs/>
          <w:spacing w:val="5"/>
          <w:sz w:val="22"/>
        </w:rPr>
        <w:t xml:space="preserve">    </w:t>
      </w:r>
      <w:r>
        <w:rPr>
          <w:rFonts w:ascii="宋体" w:hAnsi="宋体" w:cs="宋体"/>
          <w:b/>
          <w:bCs/>
          <w:spacing w:val="5"/>
          <w:szCs w:val="24"/>
        </w:rPr>
        <w:t xml:space="preserve">   </w:t>
      </w:r>
      <w:r>
        <w:rPr>
          <w:rFonts w:hint="eastAsia" w:ascii="宋体" w:hAnsi="宋体" w:cs="宋体"/>
          <w:b/>
          <w:bCs/>
          <w:spacing w:val="5"/>
          <w:szCs w:val="24"/>
        </w:rPr>
        <w:t>单位名称（盖章）：</w:t>
      </w:r>
    </w:p>
    <w:p>
      <w:pPr>
        <w:tabs>
          <w:tab w:val="left" w:pos="4860"/>
        </w:tabs>
        <w:spacing w:line="588" w:lineRule="exact"/>
        <w:ind w:right="1560" w:firstLine="624"/>
        <w:jc w:val="center"/>
        <w:rPr>
          <w:rFonts w:ascii="宋体" w:cs="宋体"/>
          <w:b/>
          <w:bCs/>
          <w:spacing w:val="6"/>
          <w:szCs w:val="24"/>
        </w:rPr>
      </w:pPr>
      <w:r>
        <w:rPr>
          <w:rFonts w:ascii="宋体" w:hAnsi="宋体" w:cs="宋体"/>
          <w:b/>
          <w:bCs/>
          <w:spacing w:val="5"/>
          <w:szCs w:val="24"/>
        </w:rPr>
        <w:t xml:space="preserve">             </w:t>
      </w:r>
      <w:r>
        <w:rPr>
          <w:rFonts w:hint="eastAsia" w:ascii="宋体" w:hAnsi="宋体" w:cs="宋体"/>
          <w:b/>
          <w:bCs/>
          <w:spacing w:val="5"/>
          <w:szCs w:val="24"/>
        </w:rPr>
        <w:t>日</w:t>
      </w:r>
      <w:r>
        <w:rPr>
          <w:rFonts w:ascii="宋体" w:hAnsi="宋体" w:cs="宋体"/>
          <w:b/>
          <w:bCs/>
          <w:spacing w:val="5"/>
          <w:szCs w:val="24"/>
        </w:rPr>
        <w:t xml:space="preserve">   </w:t>
      </w:r>
      <w:r>
        <w:rPr>
          <w:rFonts w:hint="eastAsia" w:ascii="宋体" w:hAnsi="宋体" w:cs="宋体"/>
          <w:b/>
          <w:bCs/>
          <w:spacing w:val="5"/>
          <w:szCs w:val="24"/>
        </w:rPr>
        <w:t>期：</w:t>
      </w:r>
    </w:p>
    <w:p>
      <w:pPr>
        <w:tabs>
          <w:tab w:val="left" w:pos="4860"/>
        </w:tabs>
        <w:spacing w:line="588" w:lineRule="exact"/>
        <w:ind w:right="1560" w:firstLine="624"/>
        <w:jc w:val="center"/>
        <w:rPr>
          <w:rFonts w:ascii="宋体" w:cs="宋体"/>
          <w:b/>
          <w:bCs/>
          <w:spacing w:val="6"/>
          <w:szCs w:val="24"/>
        </w:rPr>
      </w:pPr>
    </w:p>
    <w:p>
      <w:pPr>
        <w:tabs>
          <w:tab w:val="left" w:pos="4860"/>
        </w:tabs>
        <w:spacing w:line="588" w:lineRule="exact"/>
        <w:ind w:right="140"/>
        <w:jc w:val="left"/>
        <w:rPr>
          <w:rFonts w:ascii="宋体"/>
          <w:b/>
          <w:szCs w:val="24"/>
        </w:rPr>
      </w:pPr>
      <w:r>
        <w:rPr>
          <w:rFonts w:hint="eastAsia" w:ascii="宋体" w:hAnsi="宋体"/>
          <w:b/>
          <w:szCs w:val="24"/>
        </w:rPr>
        <w:t>备注说明：</w:t>
      </w:r>
    </w:p>
    <w:p>
      <w:pPr>
        <w:tabs>
          <w:tab w:val="left" w:pos="4860"/>
        </w:tabs>
        <w:spacing w:line="588" w:lineRule="exact"/>
        <w:ind w:right="140"/>
        <w:jc w:val="left"/>
        <w:rPr>
          <w:rFonts w:ascii="宋体"/>
          <w:b/>
          <w:szCs w:val="24"/>
        </w:rPr>
      </w:pPr>
      <w:r>
        <w:rPr>
          <w:rFonts w:ascii="宋体" w:hAnsi="宋体"/>
          <w:b/>
          <w:szCs w:val="24"/>
        </w:rPr>
        <w:t>1</w:t>
      </w:r>
      <w:r>
        <w:rPr>
          <w:rFonts w:hint="eastAsia" w:ascii="宋体" w:hAnsi="宋体"/>
          <w:b/>
          <w:szCs w:val="24"/>
        </w:rPr>
        <w:t>、如中标，将在中标公示中将此残疾人福利性单位声明函予以公示，接受社会监督；</w:t>
      </w:r>
    </w:p>
    <w:p>
      <w:pPr>
        <w:ind w:firstLine="480" w:firstLineChars="200"/>
        <w:rPr>
          <w:rFonts w:ascii="仿宋_GB2312" w:hAnsi="仿宋_GB2312" w:eastAsia="仿宋_GB2312" w:cs="仿宋_GB2312"/>
        </w:rPr>
      </w:pPr>
      <w:r>
        <w:rPr>
          <w:rFonts w:ascii="宋体" w:hAnsi="宋体"/>
          <w:b/>
          <w:szCs w:val="24"/>
        </w:rPr>
        <w:t>2</w:t>
      </w:r>
      <w:r>
        <w:rPr>
          <w:rFonts w:hint="eastAsia" w:ascii="宋体" w:hAnsi="宋体"/>
          <w:b/>
          <w:szCs w:val="24"/>
        </w:rPr>
        <w:t>、供应商提供的《残疾人福利性单位声明函》与事实不符的，依照《政府采购法》第七十七条第一款的规定追究法律责任。</w:t>
      </w:r>
    </w:p>
    <w:p>
      <w:pPr>
        <w:spacing w:line="400" w:lineRule="exact"/>
        <w:rPr>
          <w:rFonts w:ascii="宋体" w:cs="宋体"/>
          <w:b/>
          <w:szCs w:val="24"/>
        </w:rPr>
      </w:pPr>
    </w:p>
    <w:p>
      <w:pPr>
        <w:spacing w:line="440" w:lineRule="exact"/>
        <w:ind w:firstLine="560" w:firstLineChars="200"/>
        <w:rPr>
          <w:rFonts w:hint="eastAsia" w:ascii="仿宋_GB2312" w:eastAsia="仿宋_GB2312"/>
          <w:b/>
          <w:bCs/>
          <w:sz w:val="28"/>
          <w:szCs w:val="28"/>
        </w:rPr>
      </w:pPr>
    </w:p>
    <w:p>
      <w:pPr>
        <w:pStyle w:val="73"/>
        <w:widowControl w:val="0"/>
        <w:spacing w:before="120" w:beforeAutospacing="0" w:after="120" w:afterAutospacing="0" w:line="360" w:lineRule="auto"/>
        <w:jc w:val="both"/>
        <w:rPr>
          <w:rFonts w:hint="eastAsia" w:eastAsia="Times New Roman"/>
          <w:kern w:val="2"/>
          <w:sz w:val="24"/>
        </w:rPr>
      </w:pPr>
    </w:p>
    <w:p>
      <w:pPr>
        <w:rPr>
          <w:rFonts w:hint="eastAsia"/>
        </w:rPr>
      </w:pPr>
    </w:p>
    <w:p>
      <w:pPr>
        <w:pStyle w:val="2"/>
        <w:keepNext w:val="0"/>
        <w:keepLines w:val="0"/>
        <w:pageBreakBefore/>
        <w:widowControl/>
        <w:tabs>
          <w:tab w:val="left" w:pos="478"/>
        </w:tabs>
        <w:autoSpaceDE w:val="0"/>
        <w:autoSpaceDN w:val="0"/>
        <w:spacing w:before="240" w:after="120" w:line="360" w:lineRule="auto"/>
        <w:ind w:left="478" w:hanging="960"/>
        <w:rPr>
          <w:rFonts w:ascii="宋体" w:hAnsi="Calibri" w:eastAsia="宋体"/>
          <w:b w:val="0"/>
          <w:color w:val="000000"/>
          <w:kern w:val="0"/>
          <w:sz w:val="36"/>
        </w:rPr>
      </w:pPr>
      <w:bookmarkStart w:id="234" w:name="_Toc22296"/>
      <w:bookmarkStart w:id="235" w:name="_Toc297662418"/>
      <w:bookmarkStart w:id="236" w:name="_Toc456345934"/>
      <w:bookmarkStart w:id="237" w:name="_Toc458419378"/>
      <w:bookmarkStart w:id="238" w:name="_Toc528046871"/>
      <w:r>
        <w:rPr>
          <w:rFonts w:ascii="宋体" w:hAnsi="Calibri" w:eastAsia="宋体"/>
          <w:b w:val="0"/>
          <w:color w:val="000000"/>
          <w:kern w:val="0"/>
          <w:sz w:val="36"/>
        </w:rPr>
        <w:t>第五部分 评标办法</w:t>
      </w:r>
      <w:bookmarkEnd w:id="234"/>
      <w:bookmarkEnd w:id="235"/>
      <w:bookmarkEnd w:id="236"/>
      <w:bookmarkEnd w:id="237"/>
      <w:bookmarkEnd w:id="238"/>
    </w:p>
    <w:p>
      <w:pPr>
        <w:spacing w:line="360" w:lineRule="auto"/>
        <w:ind w:firstLine="480" w:firstLineChars="200"/>
      </w:pPr>
      <w:r>
        <w:rPr>
          <w:rFonts w:hint="eastAsia"/>
        </w:rPr>
        <w:t>根据《中华人民共和国政府采购法》、财政部第87号令的有关规定及此项目的实际情况，遵循公平、公正、科学择优的原则，特制定本办法。</w:t>
      </w:r>
    </w:p>
    <w:p>
      <w:pPr>
        <w:pStyle w:val="4"/>
        <w:spacing w:before="0" w:after="0"/>
        <w:rPr>
          <w:sz w:val="30"/>
          <w:szCs w:val="30"/>
        </w:rPr>
      </w:pPr>
      <w:bookmarkStart w:id="239" w:name="_Toc297662419"/>
      <w:bookmarkStart w:id="240" w:name="_Toc22707"/>
      <w:bookmarkStart w:id="241" w:name="_Toc458419379"/>
      <w:bookmarkStart w:id="242" w:name="_Toc528046872"/>
      <w:r>
        <w:rPr>
          <w:rFonts w:hint="eastAsia"/>
          <w:sz w:val="30"/>
          <w:szCs w:val="30"/>
        </w:rPr>
        <w:t>一、评标组织</w:t>
      </w:r>
      <w:bookmarkEnd w:id="239"/>
      <w:bookmarkEnd w:id="240"/>
      <w:bookmarkEnd w:id="241"/>
      <w:bookmarkEnd w:id="242"/>
    </w:p>
    <w:p>
      <w:pPr>
        <w:spacing w:line="360" w:lineRule="auto"/>
        <w:ind w:firstLine="480" w:firstLineChars="200"/>
        <w:rPr>
          <w:rFonts w:hint="eastAsia"/>
        </w:rPr>
      </w:pPr>
      <w:r>
        <w:rPr>
          <w:rFonts w:hint="eastAsia" w:hAnsi="宋体"/>
        </w:rPr>
        <w:t>评标工作由评标委员会负责。评标委员会按有关规定产生。</w:t>
      </w:r>
      <w:r>
        <w:rPr>
          <w:rFonts w:hAnsi="宋体"/>
        </w:rPr>
        <w:t>评标委员会由采购人代表和有关技术、经济等方面的专家组成，成员人数为五人以上单数。其中，技术、经济等方面的专家不得少于成员总数的三分之二。</w:t>
      </w:r>
      <w:r>
        <w:rPr>
          <w:rFonts w:hint="eastAsia"/>
        </w:rPr>
        <w:t>整个开、评标过程接受有关部门的监督指导。</w:t>
      </w:r>
    </w:p>
    <w:p>
      <w:pPr>
        <w:pStyle w:val="4"/>
        <w:spacing w:before="0" w:after="0"/>
        <w:rPr>
          <w:rFonts w:hint="eastAsia"/>
          <w:sz w:val="30"/>
          <w:szCs w:val="30"/>
        </w:rPr>
      </w:pPr>
      <w:bookmarkStart w:id="243" w:name="_Toc297662420"/>
      <w:bookmarkStart w:id="244" w:name="_Toc11215"/>
      <w:bookmarkStart w:id="245" w:name="_Toc528046873"/>
      <w:bookmarkStart w:id="246" w:name="_Toc458419380"/>
      <w:r>
        <w:rPr>
          <w:rFonts w:hint="eastAsia"/>
          <w:sz w:val="30"/>
          <w:szCs w:val="30"/>
        </w:rPr>
        <w:t>二、评标方法</w:t>
      </w:r>
      <w:bookmarkEnd w:id="243"/>
      <w:bookmarkEnd w:id="244"/>
      <w:bookmarkEnd w:id="245"/>
      <w:bookmarkEnd w:id="246"/>
    </w:p>
    <w:p>
      <w:pPr>
        <w:spacing w:line="360" w:lineRule="auto"/>
        <w:ind w:firstLine="480" w:firstLineChars="200"/>
        <w:rPr>
          <w:rFonts w:hAnsi="宋体"/>
        </w:rPr>
      </w:pPr>
      <w:r>
        <w:rPr>
          <w:rFonts w:hint="eastAsia" w:hAnsi="宋体"/>
        </w:rPr>
        <w:t>综合评分法。开标后，评标委员会首先对投标人进行资格性审查和投标文件符合性审查，凡投标人不符合投标资格或投标文件完整性、合法性存在欠缺的，或投标文件实质性内容和关键格式严重不符合有关规定和不响应招标文件要求的，作为无效标予以废除，不进入评议打分范围。</w:t>
      </w:r>
    </w:p>
    <w:p>
      <w:pPr>
        <w:spacing w:line="360" w:lineRule="auto"/>
        <w:ind w:firstLine="480" w:firstLineChars="200"/>
        <w:rPr>
          <w:rFonts w:hAnsi="宋体"/>
        </w:rPr>
      </w:pPr>
      <w:r>
        <w:rPr>
          <w:rFonts w:hint="eastAsia" w:hAnsi="宋体"/>
        </w:rPr>
        <w:t>评标委员会以审标、询标为基础依据，对投标文件及投标人分别进行分析评议，由评委独立评议计分</w:t>
      </w:r>
      <w:r>
        <w:rPr>
          <w:rFonts w:hAnsi="宋体"/>
        </w:rPr>
        <w:t>，取汇总后的算术平均值。</w:t>
      </w:r>
    </w:p>
    <w:p>
      <w:pPr>
        <w:spacing w:line="360" w:lineRule="auto"/>
        <w:ind w:firstLine="480" w:firstLineChars="200"/>
        <w:rPr>
          <w:rFonts w:hAnsi="宋体"/>
        </w:rPr>
      </w:pPr>
      <w:r>
        <w:rPr>
          <w:rFonts w:hint="eastAsia" w:hAnsi="宋体"/>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排名第一的投标人为中标候选人。</w:t>
      </w:r>
      <w:r>
        <w:rPr>
          <w:rFonts w:hAnsi="宋体"/>
        </w:rPr>
        <w:t xml:space="preserve"> </w:t>
      </w:r>
    </w:p>
    <w:p>
      <w:pPr>
        <w:pStyle w:val="4"/>
        <w:spacing w:before="0" w:after="0"/>
        <w:rPr>
          <w:rFonts w:hint="eastAsia"/>
          <w:sz w:val="30"/>
          <w:szCs w:val="30"/>
        </w:rPr>
      </w:pPr>
      <w:bookmarkStart w:id="247" w:name="_Toc4514"/>
      <w:bookmarkStart w:id="248" w:name="_Toc297662421"/>
      <w:bookmarkStart w:id="249" w:name="_Toc528046874"/>
      <w:bookmarkStart w:id="250" w:name="_Toc458419381"/>
      <w:r>
        <w:rPr>
          <w:rFonts w:hint="eastAsia"/>
          <w:sz w:val="30"/>
          <w:szCs w:val="30"/>
        </w:rPr>
        <w:t>三、定标办法</w:t>
      </w:r>
      <w:bookmarkEnd w:id="247"/>
      <w:bookmarkEnd w:id="248"/>
      <w:bookmarkEnd w:id="249"/>
      <w:bookmarkEnd w:id="250"/>
    </w:p>
    <w:p>
      <w:pPr>
        <w:pStyle w:val="73"/>
        <w:widowControl w:val="0"/>
        <w:spacing w:before="120" w:beforeAutospacing="0" w:after="120" w:afterAutospacing="0" w:line="460" w:lineRule="exact"/>
        <w:ind w:firstLine="480" w:firstLineChars="200"/>
        <w:jc w:val="both"/>
        <w:rPr>
          <w:rFonts w:ascii="Times New Roman"/>
          <w:kern w:val="2"/>
          <w:sz w:val="24"/>
        </w:rPr>
      </w:pPr>
      <w:r>
        <w:rPr>
          <w:rFonts w:hint="eastAsia" w:ascii="Times New Roman"/>
          <w:kern w:val="2"/>
          <w:sz w:val="24"/>
        </w:rPr>
        <w:t>评标结束后，采购人根据评标委员会提交的评标报告和推荐意见，对进入候选的投标人进行最终审查。终审后根据推荐的候选中标人情况确定中标人。最低报价不是中标的唯一保证。</w:t>
      </w:r>
    </w:p>
    <w:p>
      <w:pPr>
        <w:pStyle w:val="73"/>
        <w:widowControl w:val="0"/>
        <w:spacing w:before="120" w:beforeAutospacing="0" w:after="120" w:afterAutospacing="0" w:line="460" w:lineRule="exact"/>
        <w:ind w:firstLine="480" w:firstLineChars="200"/>
        <w:jc w:val="both"/>
        <w:rPr>
          <w:rFonts w:hint="eastAsia" w:ascii="Times New Roman"/>
          <w:kern w:val="2"/>
          <w:sz w:val="24"/>
        </w:rPr>
      </w:pPr>
      <w:r>
        <w:rPr>
          <w:rFonts w:hint="eastAsia" w:ascii="Times New Roman"/>
          <w:kern w:val="2"/>
          <w:sz w:val="24"/>
        </w:rPr>
        <w:t>整个评标过程应严格保密，评标委员会成员及工作人员应严格遵守纪律，不得泄漏任何评标信息。</w:t>
      </w:r>
    </w:p>
    <w:p>
      <w:pPr>
        <w:rPr>
          <w:rFonts w:hint="eastAsia"/>
        </w:rPr>
      </w:pPr>
    </w:p>
    <w:p>
      <w:pPr>
        <w:pStyle w:val="4"/>
        <w:spacing w:before="120" w:after="120" w:line="240" w:lineRule="auto"/>
        <w:rPr>
          <w:sz w:val="30"/>
          <w:szCs w:val="30"/>
        </w:rPr>
      </w:pPr>
      <w:bookmarkStart w:id="251" w:name="_Toc458419382"/>
      <w:bookmarkStart w:id="252" w:name="_Toc19935"/>
      <w:bookmarkStart w:id="253" w:name="_Toc528046875"/>
      <w:r>
        <w:rPr>
          <w:rFonts w:hint="eastAsia"/>
          <w:sz w:val="30"/>
          <w:szCs w:val="30"/>
        </w:rPr>
        <w:t>四、评标细则</w:t>
      </w:r>
      <w:bookmarkEnd w:id="251"/>
      <w:bookmarkEnd w:id="252"/>
      <w:bookmarkEnd w:id="253"/>
    </w:p>
    <w:p>
      <w:pPr>
        <w:pStyle w:val="73"/>
        <w:widowControl w:val="0"/>
        <w:spacing w:before="120" w:beforeAutospacing="0" w:after="120" w:afterAutospacing="0" w:line="460" w:lineRule="exact"/>
        <w:ind w:firstLine="480" w:firstLineChars="200"/>
        <w:jc w:val="both"/>
        <w:rPr>
          <w:rFonts w:ascii="Times New Roman"/>
          <w:kern w:val="2"/>
          <w:sz w:val="24"/>
        </w:rPr>
      </w:pPr>
      <w:r>
        <w:rPr>
          <w:rFonts w:hint="eastAsia" w:ascii="Times New Roman"/>
          <w:kern w:val="2"/>
          <w:sz w:val="24"/>
        </w:rPr>
        <w:t>本次招标采用综合评分法，共</w:t>
      </w:r>
      <w:r>
        <w:rPr>
          <w:rFonts w:ascii="Times New Roman"/>
          <w:kern w:val="2"/>
          <w:sz w:val="24"/>
        </w:rPr>
        <w:t>100</w:t>
      </w:r>
      <w:r>
        <w:rPr>
          <w:rFonts w:hint="eastAsia" w:ascii="Times New Roman"/>
          <w:kern w:val="2"/>
          <w:sz w:val="24"/>
        </w:rPr>
        <w:t>分，其中价格3</w:t>
      </w:r>
      <w:r>
        <w:rPr>
          <w:rFonts w:ascii="Times New Roman"/>
          <w:kern w:val="2"/>
          <w:sz w:val="24"/>
        </w:rPr>
        <w:t>0</w:t>
      </w:r>
      <w:r>
        <w:rPr>
          <w:rFonts w:hint="eastAsia" w:ascii="Times New Roman"/>
          <w:kern w:val="2"/>
          <w:sz w:val="24"/>
        </w:rPr>
        <w:t>分，技术、资信7</w:t>
      </w:r>
      <w:r>
        <w:rPr>
          <w:rFonts w:ascii="Times New Roman"/>
          <w:kern w:val="2"/>
          <w:sz w:val="24"/>
        </w:rPr>
        <w:t>0</w:t>
      </w:r>
      <w:r>
        <w:rPr>
          <w:rFonts w:hint="eastAsia" w:ascii="Times New Roman"/>
          <w:kern w:val="2"/>
          <w:sz w:val="24"/>
        </w:rPr>
        <w:t>分。以下资料复印件均须加盖投标人公章。（评分计算保留小数</w:t>
      </w:r>
      <w:r>
        <w:rPr>
          <w:rFonts w:ascii="Times New Roman"/>
          <w:kern w:val="2"/>
          <w:sz w:val="24"/>
        </w:rPr>
        <w:t>2</w:t>
      </w:r>
      <w:r>
        <w:rPr>
          <w:rFonts w:hint="eastAsia" w:ascii="Times New Roman"/>
          <w:kern w:val="2"/>
          <w:sz w:val="24"/>
        </w:rPr>
        <w:t>位）：</w:t>
      </w:r>
    </w:p>
    <w:p>
      <w:pPr>
        <w:pStyle w:val="7"/>
        <w:numPr>
          <w:ilvl w:val="0"/>
          <w:numId w:val="9"/>
        </w:numPr>
        <w:ind w:left="748" w:hanging="748" w:firstLineChars="0"/>
        <w:textAlignment w:val="baseline"/>
        <w:rPr>
          <w:rFonts w:ascii="宋体" w:hAnsi="宋体"/>
          <w:sz w:val="24"/>
          <w:szCs w:val="24"/>
        </w:rPr>
      </w:pPr>
      <w:r>
        <w:rPr>
          <w:rFonts w:hint="eastAsia" w:ascii="宋体" w:hAnsi="宋体"/>
          <w:sz w:val="24"/>
        </w:rPr>
        <w:t>技术资信部分</w:t>
      </w:r>
      <w:r>
        <w:rPr>
          <w:rFonts w:hint="eastAsia" w:ascii="宋体" w:hAnsi="宋体"/>
          <w:sz w:val="24"/>
          <w:szCs w:val="24"/>
        </w:rPr>
        <w:t>（70分）　</w:t>
      </w:r>
    </w:p>
    <w:tbl>
      <w:tblPr>
        <w:tblStyle w:val="78"/>
        <w:tblW w:w="0" w:type="auto"/>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850"/>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22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项目</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分值</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资信22分</w:t>
            </w:r>
          </w:p>
          <w:p>
            <w:pPr>
              <w:jc w:val="center"/>
              <w:rPr>
                <w:rFonts w:ascii="宋体" w:hAnsi="宋体"/>
              </w:rPr>
            </w:pP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p>
            <w:pPr>
              <w:rPr>
                <w:rFonts w:hint="eastAsia" w:ascii="宋体" w:hAnsi="宋体"/>
              </w:rPr>
            </w:pPr>
            <w:r>
              <w:rPr>
                <w:rFonts w:hint="eastAsia" w:ascii="宋体" w:hAnsi="宋体"/>
              </w:rPr>
              <w:t>投标人资信、综合实力</w:t>
            </w:r>
          </w:p>
          <w:p>
            <w:pPr>
              <w:rPr>
                <w:rFonts w:ascii="宋体" w:hAnsi="宋体"/>
              </w:rPr>
            </w:pPr>
            <w:r>
              <w:rPr>
                <w:rFonts w:hint="eastAsia" w:ascii="宋体" w:hAnsi="宋体"/>
              </w:rPr>
              <w:t>（15分）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0-6</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rPr>
            </w:pPr>
            <w:r>
              <w:rPr>
                <w:rFonts w:hint="eastAsia" w:ascii="宋体" w:hAnsi="宋体"/>
                <w:color w:val="auto"/>
                <w:szCs w:val="22"/>
              </w:rPr>
              <w:t>1、投标人具有ISO9001质量认证证书得1分，具有ISO14001环境认证证书得1分，共2分。</w:t>
            </w:r>
          </w:p>
          <w:p>
            <w:pPr>
              <w:rPr>
                <w:rFonts w:hint="eastAsia" w:ascii="宋体" w:hAnsi="宋体"/>
                <w:color w:val="auto"/>
                <w:szCs w:val="22"/>
              </w:rPr>
            </w:pPr>
            <w:r>
              <w:rPr>
                <w:rFonts w:hint="eastAsia" w:ascii="宋体" w:hAnsi="宋体"/>
                <w:color w:val="auto"/>
                <w:szCs w:val="22"/>
              </w:rPr>
              <w:t>2、投标人具有与本次所投主要产品数字集群通讯系统产品的相关专利或集群通信软件著作权证书的每个得1分，共2分；</w:t>
            </w:r>
          </w:p>
          <w:p>
            <w:pPr>
              <w:rPr>
                <w:rFonts w:hint="eastAsia" w:ascii="宋体" w:hAnsi="宋体"/>
                <w:color w:val="auto"/>
                <w:szCs w:val="22"/>
              </w:rPr>
            </w:pPr>
            <w:r>
              <w:rPr>
                <w:rFonts w:hint="eastAsia" w:ascii="宋体" w:hAnsi="宋体"/>
                <w:color w:val="auto"/>
                <w:szCs w:val="22"/>
              </w:rPr>
              <w:t>3、投标人具有国家级奖励与扶持证明的得1</w:t>
            </w:r>
            <w:r>
              <w:rPr>
                <w:rFonts w:hint="eastAsia" w:ascii="宋体" w:hAnsi="宋体"/>
                <w:color w:val="auto"/>
                <w:szCs w:val="22"/>
                <w:lang w:val="zh-CN"/>
              </w:rPr>
              <w:t>分，提供证书复印件。</w:t>
            </w:r>
          </w:p>
          <w:p>
            <w:pPr>
              <w:rPr>
                <w:rFonts w:hint="eastAsia" w:ascii="宋体" w:hAnsi="宋体"/>
                <w:color w:val="auto"/>
                <w:szCs w:val="22"/>
              </w:rPr>
            </w:pPr>
            <w:r>
              <w:rPr>
                <w:rFonts w:hint="eastAsia" w:ascii="宋体" w:hAnsi="宋体"/>
                <w:color w:val="auto"/>
                <w:szCs w:val="22"/>
              </w:rPr>
              <w:t>4、投标人获得国家认可第三方信用评估公司颁发的企业AAA级信用等级证书的得1分，提供证书复印件。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0-5</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2"/>
              </w:rPr>
            </w:pPr>
            <w:r>
              <w:rPr>
                <w:rFonts w:hint="eastAsia" w:ascii="宋体" w:hAnsi="宋体"/>
                <w:color w:val="auto"/>
                <w:szCs w:val="22"/>
              </w:rPr>
              <w:t>投标人具有国家涉密信息系统集成资质的，得5分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rPr>
            </w:pPr>
            <w:r>
              <w:rPr>
                <w:rFonts w:hint="eastAsia" w:ascii="宋体" w:hAnsi="宋体"/>
              </w:rPr>
              <w:t>0-4</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投标人从事过国家级</w:t>
            </w:r>
            <w:r>
              <w:rPr>
                <w:rFonts w:hint="eastAsia" w:ascii="宋体" w:hAnsi="宋体"/>
                <w:szCs w:val="22"/>
                <w:lang w:eastAsia="zh-CN"/>
              </w:rPr>
              <w:t>的</w:t>
            </w:r>
            <w:r>
              <w:rPr>
                <w:rFonts w:hint="eastAsia" w:ascii="宋体" w:hAnsi="宋体"/>
                <w:szCs w:val="22"/>
              </w:rPr>
              <w:t>重大无线应急通讯安保项目建设和现场保卫</w:t>
            </w:r>
            <w:r>
              <w:rPr>
                <w:rFonts w:hint="eastAsia" w:ascii="宋体" w:hAnsi="宋体"/>
                <w:szCs w:val="22"/>
                <w:lang w:eastAsia="zh-CN"/>
              </w:rPr>
              <w:t>的每个得</w:t>
            </w:r>
            <w:r>
              <w:rPr>
                <w:rFonts w:hint="eastAsia" w:ascii="宋体" w:hAnsi="宋体"/>
                <w:szCs w:val="22"/>
                <w:lang w:val="en-US" w:eastAsia="zh-CN"/>
              </w:rPr>
              <w:t>1分</w:t>
            </w:r>
            <w:r>
              <w:rPr>
                <w:rFonts w:hint="eastAsia" w:ascii="宋体" w:hAnsi="宋体"/>
                <w:szCs w:val="22"/>
                <w:lang w:eastAsia="zh-CN"/>
              </w:rPr>
              <w:t>，省级的每个得</w:t>
            </w:r>
            <w:r>
              <w:rPr>
                <w:rFonts w:hint="eastAsia" w:ascii="宋体" w:hAnsi="宋体"/>
                <w:color w:val="auto"/>
                <w:szCs w:val="22"/>
                <w:lang w:val="en-US" w:eastAsia="zh-CN"/>
              </w:rPr>
              <w:t>0.5分</w:t>
            </w:r>
            <w:r>
              <w:rPr>
                <w:rFonts w:hint="eastAsia" w:ascii="宋体" w:hAnsi="宋体"/>
                <w:color w:val="auto"/>
                <w:szCs w:val="22"/>
              </w:rPr>
              <w:t>，最</w:t>
            </w:r>
            <w:r>
              <w:rPr>
                <w:rFonts w:hint="eastAsia" w:ascii="宋体" w:hAnsi="宋体"/>
                <w:color w:val="auto"/>
                <w:szCs w:val="22"/>
                <w:lang w:eastAsia="zh-CN"/>
              </w:rPr>
              <w:t>高</w:t>
            </w:r>
            <w:r>
              <w:rPr>
                <w:rFonts w:hint="eastAsia" w:ascii="宋体" w:hAnsi="宋体"/>
                <w:color w:val="auto"/>
                <w:szCs w:val="22"/>
              </w:rPr>
              <w:t>4分。</w:t>
            </w:r>
            <w:r>
              <w:rPr>
                <w:rFonts w:hint="eastAsia" w:ascii="宋体" w:hAnsi="宋体"/>
                <w:color w:val="auto"/>
                <w:szCs w:val="22"/>
                <w:lang w:eastAsia="zh-CN"/>
              </w:rPr>
              <w:t>（</w:t>
            </w:r>
            <w:r>
              <w:rPr>
                <w:rFonts w:hint="eastAsia" w:ascii="宋体" w:hAnsi="宋体"/>
                <w:color w:val="auto"/>
                <w:szCs w:val="22"/>
              </w:rPr>
              <w:t>根据用户出具的用户报告或相关证明文件为准）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投标人类似业绩情况</w:t>
            </w:r>
          </w:p>
          <w:p>
            <w:pPr>
              <w:rPr>
                <w:rFonts w:ascii="宋体" w:hAnsi="宋体"/>
              </w:rPr>
            </w:pPr>
            <w:r>
              <w:rPr>
                <w:rFonts w:hint="eastAsia" w:ascii="宋体" w:hAnsi="宋体"/>
              </w:rPr>
              <w:t>（8分）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0-8</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r>
              <w:rPr>
                <w:rFonts w:hint="eastAsia" w:ascii="宋体" w:hAnsi="宋体" w:cs="宋体"/>
              </w:rPr>
              <w:t>投标人</w:t>
            </w:r>
            <w:r>
              <w:rPr>
                <w:rFonts w:hint="eastAsia" w:ascii="宋体" w:hAnsi="宋体" w:cs="宋体"/>
                <w:lang w:eastAsia="zh-CN"/>
              </w:rPr>
              <w:t>自</w:t>
            </w:r>
            <w:r>
              <w:rPr>
                <w:rFonts w:hint="eastAsia" w:ascii="宋体" w:hAnsi="宋体" w:cs="宋体"/>
                <w:lang w:val="en-US" w:eastAsia="zh-CN"/>
              </w:rPr>
              <w:t>2016年1月1日以</w:t>
            </w:r>
            <w:r>
              <w:rPr>
                <w:rFonts w:hint="eastAsia" w:ascii="宋体" w:hAnsi="宋体" w:cs="宋体"/>
              </w:rPr>
              <w:t>来有同类项目成功案例（要求具有五个以上基站及数字对讲机），每个得1分。本项累计共8分。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restart"/>
            <w:tcBorders>
              <w:top w:val="single" w:color="auto" w:sz="4" w:space="0"/>
              <w:left w:val="single" w:color="auto" w:sz="4" w:space="0"/>
              <w:right w:val="single" w:color="auto" w:sz="4" w:space="0"/>
            </w:tcBorders>
            <w:noWrap w:val="0"/>
            <w:vAlign w:val="center"/>
          </w:tcPr>
          <w:p>
            <w:pPr>
              <w:jc w:val="center"/>
              <w:rPr>
                <w:rFonts w:ascii="宋体" w:hAnsi="宋体"/>
              </w:rPr>
            </w:pPr>
            <w:r>
              <w:rPr>
                <w:rFonts w:hint="eastAsia" w:ascii="宋体" w:hAnsi="宋体"/>
              </w:rPr>
              <w:t>技术</w:t>
            </w:r>
          </w:p>
          <w:p>
            <w:pPr>
              <w:jc w:val="center"/>
              <w:rPr>
                <w:rFonts w:hint="eastAsia" w:ascii="宋体" w:hAnsi="宋体"/>
              </w:rPr>
            </w:pPr>
            <w:r>
              <w:rPr>
                <w:rFonts w:hint="eastAsia" w:ascii="宋体" w:hAnsi="宋体"/>
              </w:rPr>
              <w:t>47分</w:t>
            </w:r>
          </w:p>
          <w:p>
            <w:pPr>
              <w:jc w:val="center"/>
              <w:rPr>
                <w:rFonts w:ascii="宋体" w:hAnsi="宋体"/>
              </w:rPr>
            </w:pP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系统建设技术方案</w:t>
            </w:r>
          </w:p>
          <w:p>
            <w:pPr>
              <w:jc w:val="center"/>
              <w:rPr>
                <w:rFonts w:ascii="宋体" w:hAnsi="宋体"/>
              </w:rPr>
            </w:pPr>
            <w:r>
              <w:rPr>
                <w:rFonts w:hint="eastAsia" w:ascii="宋体" w:hAnsi="宋体"/>
              </w:rPr>
              <w:t>（33分）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0-3</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rPr>
            </w:pPr>
            <w:r>
              <w:rPr>
                <w:rFonts w:hint="eastAsia" w:ascii="宋体" w:hAnsi="宋体" w:cs="宋体"/>
              </w:rPr>
              <w:t>投标方案与需求的吻合程度，包括方案的科学性、先进性、可靠性、成熟性、合理性和扩展性；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0-10</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s="宋体"/>
                <w:color w:val="auto"/>
              </w:rPr>
              <w:t>满足招标文件技术参数要求得10分，技术参数功能指标出现一项负偏离扣2分，扣完为止。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1-10</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r>
              <w:rPr>
                <w:rFonts w:ascii="??_GB2312" w:hAnsi="仿宋" w:eastAsia="Times New Roman" w:cs="宋体"/>
                <w:kern w:val="0"/>
                <w:szCs w:val="24"/>
              </w:rPr>
              <w:t>PDT投标方案总体设计、建设方案和产品选型等，详细阐述系统的体系架构</w:t>
            </w:r>
            <w:r>
              <w:rPr>
                <w:rFonts w:hint="eastAsia" w:ascii="??_GB2312" w:hAnsi="仿宋" w:cs="宋体"/>
                <w:kern w:val="0"/>
                <w:szCs w:val="24"/>
              </w:rPr>
              <w:t>，包括</w:t>
            </w:r>
            <w:r>
              <w:rPr>
                <w:rFonts w:ascii="??_GB2312" w:hAnsi="仿宋" w:eastAsia="Times New Roman" w:cs="宋体"/>
                <w:kern w:val="0"/>
                <w:szCs w:val="24"/>
              </w:rPr>
              <w:t>各功能模块、实现思路</w:t>
            </w:r>
            <w:r>
              <w:rPr>
                <w:rFonts w:hint="eastAsia" w:ascii="??_GB2312" w:hAnsi="仿宋" w:cs="宋体"/>
                <w:kern w:val="0"/>
                <w:szCs w:val="24"/>
              </w:rPr>
              <w:t>、</w:t>
            </w:r>
            <w:r>
              <w:rPr>
                <w:rFonts w:ascii="??_GB2312" w:hAnsi="仿宋" w:eastAsia="Times New Roman" w:cs="宋体"/>
                <w:kern w:val="0"/>
                <w:szCs w:val="24"/>
              </w:rPr>
              <w:t>关键技术</w:t>
            </w:r>
            <w:r>
              <w:rPr>
                <w:rFonts w:hint="eastAsia" w:ascii="??_GB2312" w:hAnsi="仿宋" w:cs="宋体"/>
                <w:kern w:val="0"/>
                <w:szCs w:val="24"/>
              </w:rPr>
              <w:t>以及</w:t>
            </w:r>
            <w:r>
              <w:rPr>
                <w:rFonts w:ascii="??_GB2312" w:hAnsi="仿宋" w:eastAsia="Times New Roman" w:cs="宋体"/>
                <w:kern w:val="0"/>
                <w:szCs w:val="24"/>
              </w:rPr>
              <w:t>与</w:t>
            </w:r>
            <w:r>
              <w:rPr>
                <w:rFonts w:hint="eastAsia" w:ascii="??_GB2312" w:hAnsi="仿宋" w:cs="宋体"/>
                <w:kern w:val="0"/>
                <w:szCs w:val="24"/>
              </w:rPr>
              <w:t>采购方原有系统衔接</w:t>
            </w:r>
            <w:r>
              <w:rPr>
                <w:rFonts w:ascii="??_GB2312" w:hAnsi="仿宋" w:eastAsia="Times New Roman" w:cs="宋体"/>
                <w:kern w:val="0"/>
                <w:szCs w:val="24"/>
              </w:rPr>
              <w:t>，提出具体可行的实施方案。</w:t>
            </w:r>
            <w:r>
              <w:rPr>
                <w:rFonts w:ascii="??_GB2312" w:hAnsi="仿宋" w:eastAsia="Times New Roman" w:cs="宋体"/>
                <w:bCs/>
                <w:kern w:val="0"/>
                <w:szCs w:val="24"/>
              </w:rPr>
              <w:t>优秀的得8-10分，一般的得5-7分，差的得1-4分。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0-3</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ascii="??_GB2312" w:hAnsi="仿宋" w:eastAsia="Times New Roman" w:cs="宋体"/>
                <w:color w:val="auto"/>
                <w:kern w:val="0"/>
                <w:szCs w:val="24"/>
              </w:rPr>
              <w:t>基于GPS或北斗定位系统数据的GIS可视化调度功能。以公安用户报告为准</w:t>
            </w:r>
            <w:r>
              <w:rPr>
                <w:rFonts w:hint="eastAsia" w:ascii="??_GB2312" w:hAnsi="仿宋" w:cs="宋体"/>
                <w:color w:val="auto"/>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1-7</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投标人根据实地勘测与电测情况，提供相关电测</w:t>
            </w:r>
            <w:r>
              <w:rPr>
                <w:rFonts w:hint="eastAsia" w:ascii="宋体" w:hAnsi="宋体"/>
                <w:color w:val="auto"/>
                <w:szCs w:val="22"/>
              </w:rPr>
              <w:t>报告与基站分布规划分布图。对其合理性打分。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1560" w:type="dxa"/>
            <w:vMerge w:val="restart"/>
            <w:tcBorders>
              <w:top w:val="single" w:color="auto" w:sz="4" w:space="0"/>
              <w:left w:val="single" w:color="auto" w:sz="4" w:space="0"/>
              <w:right w:val="single" w:color="auto" w:sz="4" w:space="0"/>
            </w:tcBorders>
            <w:noWrap w:val="0"/>
            <w:vAlign w:val="center"/>
          </w:tcPr>
          <w:p>
            <w:pPr>
              <w:rPr>
                <w:rFonts w:ascii="宋体" w:hAnsi="宋体"/>
              </w:rPr>
            </w:pPr>
            <w:r>
              <w:rPr>
                <w:rFonts w:hint="eastAsia" w:ascii="宋体" w:hAnsi="宋体"/>
              </w:rPr>
              <w:t>项目实施、售后服务及质量保证措施情况(12分)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lang w:val="en-US" w:eastAsia="zh-CN"/>
              </w:rPr>
              <w:t>1</w:t>
            </w:r>
            <w:r>
              <w:rPr>
                <w:rFonts w:hint="eastAsia" w:ascii="宋体" w:hAnsi="宋体"/>
              </w:rPr>
              <w:t>-3</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rPr>
            </w:pPr>
            <w:r>
              <w:rPr>
                <w:rFonts w:ascii="??_GB2312" w:hAnsi="仿宋" w:eastAsia="Times New Roman" w:cs="宋体"/>
                <w:color w:val="auto"/>
                <w:kern w:val="0"/>
                <w:szCs w:val="24"/>
              </w:rPr>
              <w:t>项目组实施人员专业素质、技术能力、专业分布、经验等情况，数量是否充足，配置是否合理等；是否具有类似项目建设经验，项目组人员资质、工作履历、项目实践证明资料、劳动合同和</w:t>
            </w:r>
            <w:r>
              <w:rPr>
                <w:rFonts w:hint="eastAsia" w:ascii="??_GB2312" w:hAnsi="仿宋" w:cs="宋体"/>
                <w:color w:val="auto"/>
                <w:kern w:val="0"/>
                <w:szCs w:val="24"/>
              </w:rPr>
              <w:t>社</w:t>
            </w:r>
            <w:r>
              <w:rPr>
                <w:rFonts w:ascii="??_GB2312" w:hAnsi="仿宋" w:eastAsia="Times New Roman" w:cs="宋体"/>
                <w:color w:val="auto"/>
                <w:kern w:val="0"/>
                <w:szCs w:val="24"/>
              </w:rPr>
              <w:t>保证明等情况（参考履历表和相关资料等）</w:t>
            </w:r>
            <w:r>
              <w:rPr>
                <w:rFonts w:hint="eastAsia" w:ascii="??_GB2312" w:hAnsi="仿宋" w:eastAsia="宋体" w:cs="宋体"/>
                <w:color w:val="auto"/>
                <w:kern w:val="0"/>
                <w:szCs w:val="24"/>
                <w:lang w:eastAsia="zh-CN"/>
              </w:rPr>
              <w:t>打分</w:t>
            </w:r>
            <w:r>
              <w:rPr>
                <w:rFonts w:ascii="??_GB2312" w:hAnsi="仿宋" w:eastAsia="Times New Roman" w:cs="仿宋"/>
                <w:color w:val="auto"/>
                <w:szCs w:val="24"/>
              </w:rPr>
              <w:t>，好的得3分，</w:t>
            </w:r>
            <w:r>
              <w:rPr>
                <w:rFonts w:hint="eastAsia" w:ascii="??_GB2312" w:hAnsi="仿宋" w:cs="仿宋"/>
                <w:color w:val="auto"/>
                <w:szCs w:val="24"/>
              </w:rPr>
              <w:t>较好</w:t>
            </w:r>
            <w:r>
              <w:rPr>
                <w:rFonts w:ascii="??_GB2312" w:hAnsi="仿宋" w:eastAsia="Times New Roman" w:cs="仿宋"/>
                <w:color w:val="auto"/>
                <w:szCs w:val="24"/>
              </w:rPr>
              <w:t>的得2分，</w:t>
            </w:r>
            <w:r>
              <w:rPr>
                <w:rFonts w:hint="eastAsia" w:ascii="??_GB2312" w:hAnsi="仿宋" w:cs="仿宋"/>
                <w:color w:val="auto"/>
                <w:szCs w:val="24"/>
              </w:rPr>
              <w:t>一般</w:t>
            </w:r>
            <w:r>
              <w:rPr>
                <w:rFonts w:ascii="??_GB2312" w:hAnsi="仿宋" w:eastAsia="Times New Roman" w:cs="仿宋"/>
                <w:color w:val="auto"/>
                <w:szCs w:val="24"/>
              </w:rPr>
              <w:t>得</w:t>
            </w:r>
            <w:r>
              <w:rPr>
                <w:rFonts w:hint="eastAsia" w:ascii="??_GB2312" w:hAnsi="仿宋" w:cs="仿宋"/>
                <w:color w:val="auto"/>
                <w:szCs w:val="24"/>
              </w:rPr>
              <w:t>1</w:t>
            </w:r>
            <w:r>
              <w:rPr>
                <w:rFonts w:ascii="??_GB2312" w:hAnsi="仿宋" w:eastAsia="Times New Roman" w:cs="仿宋"/>
                <w:color w:val="auto"/>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1560"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0-2</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rPr>
            </w:pPr>
            <w:r>
              <w:rPr>
                <w:rFonts w:ascii="??_GB2312" w:hAnsi="仿宋" w:eastAsia="Times New Roman" w:cs="宋体"/>
                <w:kern w:val="0"/>
                <w:szCs w:val="24"/>
              </w:rPr>
              <w:t>施工计划、进度以及保障措施方案</w:t>
            </w:r>
            <w:r>
              <w:rPr>
                <w:rFonts w:ascii="??_GB2312" w:hAnsi="仿宋" w:eastAsia="Times New Roman" w:cs="仿宋"/>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1560"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0-3</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lang w:val="en-US" w:eastAsia="zh-CN"/>
              </w:rPr>
            </w:pPr>
            <w:r>
              <w:rPr>
                <w:rFonts w:ascii="??_GB2312" w:hAnsi="仿宋" w:eastAsia="Times New Roman" w:cs="宋体"/>
                <w:kern w:val="0"/>
                <w:szCs w:val="24"/>
              </w:rPr>
              <w:t>项目实施人员具有系统集成高级项目经理的每个得2分，中级项目经理的每个得1分，最高</w:t>
            </w:r>
            <w:r>
              <w:rPr>
                <w:rFonts w:hint="eastAsia" w:ascii="??_GB2312" w:hAnsi="仿宋" w:cs="宋体"/>
                <w:kern w:val="0"/>
                <w:szCs w:val="24"/>
              </w:rPr>
              <w:t>3</w:t>
            </w:r>
            <w:r>
              <w:rPr>
                <w:rFonts w:ascii="??_GB2312" w:hAnsi="仿宋" w:eastAsia="Times New Roman" w:cs="宋体"/>
                <w:kern w:val="0"/>
                <w:szCs w:val="24"/>
              </w:rPr>
              <w:t>分</w:t>
            </w:r>
            <w:r>
              <w:rPr>
                <w:rFonts w:hint="eastAsia" w:ascii="??_GB2312" w:hAnsi="仿宋" w:eastAsia="宋体" w:cs="宋体"/>
                <w:kern w:val="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1560"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0-3</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_GB2312" w:hAnsi="仿宋" w:eastAsia="宋体" w:cs="宋体"/>
                <w:kern w:val="0"/>
                <w:szCs w:val="24"/>
                <w:lang w:eastAsia="zh-CN"/>
              </w:rPr>
            </w:pPr>
            <w:r>
              <w:rPr>
                <w:rFonts w:ascii="??_GB2312" w:hAnsi="仿宋" w:eastAsia="Times New Roman" w:cs="宋体"/>
                <w:kern w:val="0"/>
                <w:szCs w:val="24"/>
              </w:rPr>
              <w:t>投标人提供的售后维护机构和人员等情况，是否具有较强的本地化服务能力，以及较强的专业技术队伍，能提供快速的售后服务</w:t>
            </w:r>
            <w:r>
              <w:rPr>
                <w:rFonts w:hint="eastAsia" w:ascii="??_GB2312" w:hAnsi="仿宋" w:eastAsia="宋体" w:cs="宋体"/>
                <w:kern w:val="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675"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1560" w:type="dxa"/>
            <w:vMerge w:val="continue"/>
            <w:tcBorders>
              <w:left w:val="single" w:color="auto" w:sz="4" w:space="0"/>
              <w:right w:val="single" w:color="auto" w:sz="4" w:space="0"/>
            </w:tcBorders>
            <w:noWrap w:val="0"/>
            <w:vAlign w:val="center"/>
          </w:tcPr>
          <w:p>
            <w:pPr>
              <w:widowControl/>
              <w:jc w:val="left"/>
              <w:rPr>
                <w:rFonts w:ascii="宋体" w:hAnsi="宋体"/>
              </w:rPr>
            </w:pPr>
          </w:p>
        </w:tc>
        <w:tc>
          <w:tcPr>
            <w:tcW w:w="850" w:type="dxa"/>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0-1</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_GB2312" w:hAnsi="仿宋" w:eastAsia="Times New Roman" w:cs="宋体"/>
                <w:kern w:val="0"/>
                <w:szCs w:val="24"/>
              </w:rPr>
            </w:pPr>
            <w:r>
              <w:rPr>
                <w:rFonts w:ascii="??_GB2312" w:hAnsi="仿宋" w:eastAsia="Times New Roman" w:cs="宋体"/>
                <w:kern w:val="0"/>
                <w:szCs w:val="24"/>
              </w:rPr>
              <w:t>根据投标人对本项目承诺的优惠程度及内容打分。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rPr>
            </w:pPr>
            <w:r>
              <w:rPr>
                <w:rFonts w:hint="eastAsia" w:ascii="宋体" w:hAnsi="宋体" w:cs="宋体"/>
                <w:kern w:val="0"/>
              </w:rPr>
              <w:t>投标文件制作（2分）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0-2</w:t>
            </w:r>
          </w:p>
        </w:tc>
        <w:tc>
          <w:tcPr>
            <w:tcW w:w="68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_GB2312" w:hAnsi="仿宋" w:eastAsia="Times New Roman" w:cs="宋体"/>
                <w:kern w:val="0"/>
                <w:szCs w:val="24"/>
              </w:rPr>
            </w:pPr>
            <w:r>
              <w:rPr>
                <w:rFonts w:hint="eastAsia" w:ascii="??_GB2312" w:hAnsi="仿宋" w:eastAsia="Times New Roman" w:cs="宋体"/>
                <w:kern w:val="0"/>
                <w:szCs w:val="24"/>
              </w:rPr>
              <w:t>根据投标文件编制的完整性、规范性、科学性酌情评分。</w:t>
            </w:r>
          </w:p>
        </w:tc>
      </w:tr>
    </w:tbl>
    <w:p>
      <w:pPr>
        <w:autoSpaceDE w:val="0"/>
        <w:autoSpaceDN w:val="0"/>
        <w:spacing w:line="360" w:lineRule="auto"/>
        <w:rPr>
          <w:rFonts w:hint="eastAsia" w:ascii="宋体" w:hAnsi="宋体"/>
        </w:rPr>
      </w:pPr>
    </w:p>
    <w:p>
      <w:pPr>
        <w:autoSpaceDE w:val="0"/>
        <w:autoSpaceDN w:val="0"/>
        <w:spacing w:line="360" w:lineRule="auto"/>
        <w:rPr>
          <w:rFonts w:hint="eastAsia" w:ascii="宋体" w:hAnsi="宋体"/>
        </w:rPr>
      </w:pPr>
      <w:r>
        <w:rPr>
          <w:rFonts w:hint="eastAsia" w:ascii="宋体" w:hAnsi="宋体"/>
        </w:rPr>
        <w:t>（2）价格分（30分）　</w:t>
      </w:r>
    </w:p>
    <w:p>
      <w:pPr>
        <w:widowControl/>
        <w:snapToGrid w:val="0"/>
        <w:spacing w:before="100" w:beforeAutospacing="1" w:after="100" w:afterAutospacing="1" w:line="360" w:lineRule="auto"/>
        <w:ind w:firstLine="480" w:firstLineChars="200"/>
        <w:jc w:val="left"/>
        <w:rPr>
          <w:rFonts w:hint="eastAsia" w:ascii="宋体" w:hAnsi="宋体" w:cs="宋体"/>
          <w:kern w:val="0"/>
        </w:rPr>
      </w:pPr>
      <w:r>
        <w:rPr>
          <w:rFonts w:hint="eastAsia" w:ascii="宋体" w:hAnsi="宋体" w:cs="宋体"/>
          <w:kern w:val="0"/>
        </w:rPr>
        <w:t>评标基准价：以有效投标人的最低投标报价为评标基准价，其价格分为满分。其他投标人的价格分统一按照下列公式计算：</w:t>
      </w:r>
    </w:p>
    <w:p>
      <w:pPr>
        <w:widowControl/>
        <w:snapToGrid w:val="0"/>
        <w:spacing w:before="100" w:beforeAutospacing="1" w:after="100" w:afterAutospacing="1" w:line="360" w:lineRule="auto"/>
        <w:jc w:val="center"/>
        <w:rPr>
          <w:rFonts w:hint="eastAsia" w:ascii="宋体" w:hAnsi="宋体" w:cs="宋体"/>
          <w:kern w:val="0"/>
        </w:rPr>
      </w:pPr>
      <w:r>
        <w:rPr>
          <w:rFonts w:hint="eastAsia" w:ascii="宋体" w:hAnsi="宋体" w:cs="宋体"/>
          <w:kern w:val="0"/>
        </w:rPr>
        <w:t>投标报价得分=(评标基准价／投标报价)×价格权值×100</w:t>
      </w:r>
    </w:p>
    <w:p>
      <w:pPr>
        <w:spacing w:line="360" w:lineRule="auto"/>
        <w:ind w:firstLine="480" w:firstLineChars="200"/>
        <w:rPr>
          <w:rFonts w:hint="eastAsia" w:ascii="宋体" w:hAnsi="宋体" w:cs="宋体"/>
          <w:kern w:val="0"/>
        </w:rPr>
      </w:pPr>
      <w:r>
        <w:rPr>
          <w:rFonts w:hint="eastAsia" w:ascii="宋体" w:hAnsi="宋体" w:cs="宋体"/>
          <w:kern w:val="0"/>
        </w:rPr>
        <w:t>整个项目最高限价为850万元，投标报价超出最高限价的，价格分为0分。</w:t>
      </w:r>
    </w:p>
    <w:p>
      <w:pPr>
        <w:spacing w:line="360" w:lineRule="auto"/>
        <w:rPr>
          <w:rFonts w:hint="eastAsia" w:ascii="宋体" w:hAnsi="宋体" w:cs="宋体"/>
          <w:kern w:val="0"/>
        </w:rPr>
      </w:pPr>
    </w:p>
    <w:p>
      <w:pPr>
        <w:spacing w:line="360" w:lineRule="auto"/>
        <w:ind w:firstLine="548" w:firstLineChars="196"/>
        <w:rPr>
          <w:rFonts w:hint="eastAsia" w:ascii="宋体" w:hAnsi="宋体"/>
          <w:b/>
          <w:sz w:val="28"/>
          <w:szCs w:val="28"/>
        </w:rPr>
      </w:pPr>
      <w:r>
        <w:rPr>
          <w:rFonts w:hint="eastAsia" w:ascii="宋体" w:hAnsi="宋体"/>
          <w:b/>
          <w:sz w:val="28"/>
          <w:szCs w:val="28"/>
        </w:rPr>
        <w:t>评标委员会在评审时发现投标人的报价明显低于本项目市场运行成本报价的，应当要求投标人书面说明并提供相关证明材料。投标人不能当场合理说明原因并提供证明材料的，评标委员会将把该投标人的投标文件作无效处理，并在评审报告中说明。</w:t>
      </w:r>
    </w:p>
    <w:p>
      <w:pPr>
        <w:spacing w:line="360" w:lineRule="auto"/>
        <w:jc w:val="center"/>
        <w:rPr>
          <w:rFonts w:hint="eastAsia" w:ascii="宋体" w:hAnsi="宋体"/>
          <w:b/>
          <w:sz w:val="28"/>
          <w:szCs w:val="28"/>
        </w:rPr>
      </w:pPr>
    </w:p>
    <w:p>
      <w:pPr>
        <w:spacing w:line="360" w:lineRule="auto"/>
        <w:jc w:val="center"/>
        <w:rPr>
          <w:rFonts w:hint="eastAsia" w:ascii="宋体" w:hAnsi="宋体"/>
          <w:b/>
          <w:sz w:val="28"/>
          <w:szCs w:val="28"/>
        </w:rPr>
      </w:pPr>
    </w:p>
    <w:p>
      <w:pPr>
        <w:spacing w:line="360" w:lineRule="auto"/>
        <w:jc w:val="center"/>
        <w:rPr>
          <w:rFonts w:hint="eastAsia" w:ascii="宋体" w:hAnsi="宋体"/>
          <w:b/>
          <w:sz w:val="28"/>
          <w:szCs w:val="28"/>
        </w:rPr>
      </w:pPr>
    </w:p>
    <w:p>
      <w:pPr>
        <w:spacing w:line="360" w:lineRule="auto"/>
        <w:jc w:val="center"/>
        <w:rPr>
          <w:rFonts w:hint="eastAsia" w:ascii="宋体" w:hAnsi="宋体"/>
          <w:b/>
          <w:sz w:val="28"/>
          <w:szCs w:val="28"/>
        </w:rPr>
      </w:pPr>
    </w:p>
    <w:p>
      <w:pPr>
        <w:spacing w:line="360" w:lineRule="auto"/>
        <w:jc w:val="center"/>
        <w:rPr>
          <w:rFonts w:hint="eastAsia" w:ascii="宋体" w:hAnsi="宋体"/>
          <w:b/>
          <w:sz w:val="28"/>
          <w:szCs w:val="28"/>
        </w:rPr>
      </w:pPr>
    </w:p>
    <w:p>
      <w:pPr>
        <w:tabs>
          <w:tab w:val="left" w:pos="3870"/>
          <w:tab w:val="left" w:pos="4085"/>
        </w:tabs>
        <w:autoSpaceDE w:val="0"/>
        <w:autoSpaceDN w:val="0"/>
        <w:adjustRightInd w:val="0"/>
        <w:spacing w:line="440" w:lineRule="exact"/>
        <w:jc w:val="left"/>
        <w:rPr>
          <w:rFonts w:hint="eastAsia" w:ascii="仿宋_GB2312" w:hAnsi="宋体" w:eastAsia="仿宋_GB2312"/>
        </w:rPr>
      </w:pPr>
    </w:p>
    <w:p>
      <w:pPr>
        <w:pStyle w:val="2"/>
        <w:keepNext w:val="0"/>
        <w:keepLines w:val="0"/>
        <w:pageBreakBefore/>
        <w:widowControl/>
        <w:tabs>
          <w:tab w:val="left" w:pos="478"/>
        </w:tabs>
        <w:autoSpaceDE w:val="0"/>
        <w:autoSpaceDN w:val="0"/>
        <w:spacing w:before="240" w:after="120" w:line="360" w:lineRule="auto"/>
        <w:ind w:left="478" w:hanging="960"/>
        <w:rPr>
          <w:rFonts w:hint="eastAsia" w:ascii="宋体" w:hAnsi="Calibri" w:eastAsia="宋体"/>
          <w:b w:val="0"/>
          <w:color w:val="000000"/>
          <w:kern w:val="0"/>
          <w:sz w:val="36"/>
        </w:rPr>
      </w:pPr>
      <w:bookmarkStart w:id="254" w:name="_Toc528046876"/>
      <w:r>
        <w:rPr>
          <w:rFonts w:ascii="宋体" w:hAnsi="Calibri" w:eastAsia="宋体"/>
          <w:b w:val="0"/>
          <w:color w:val="000000"/>
          <w:kern w:val="0"/>
          <w:sz w:val="36"/>
        </w:rPr>
        <w:t>第</w:t>
      </w:r>
      <w:r>
        <w:rPr>
          <w:rFonts w:hint="eastAsia" w:ascii="宋体" w:hAnsi="Calibri" w:eastAsia="宋体"/>
          <w:b w:val="0"/>
          <w:color w:val="000000"/>
          <w:kern w:val="0"/>
          <w:sz w:val="36"/>
        </w:rPr>
        <w:t>六</w:t>
      </w:r>
      <w:r>
        <w:rPr>
          <w:rFonts w:ascii="宋体" w:hAnsi="Calibri" w:eastAsia="宋体"/>
          <w:b w:val="0"/>
          <w:color w:val="000000"/>
          <w:kern w:val="0"/>
          <w:sz w:val="36"/>
        </w:rPr>
        <w:t xml:space="preserve">部分 </w:t>
      </w:r>
      <w:r>
        <w:rPr>
          <w:rFonts w:hint="eastAsia" w:ascii="宋体" w:hAnsi="Calibri" w:eastAsia="宋体"/>
          <w:b w:val="0"/>
          <w:color w:val="000000"/>
          <w:kern w:val="0"/>
          <w:sz w:val="36"/>
        </w:rPr>
        <w:t>招标项目说明和要求</w:t>
      </w:r>
      <w:bookmarkEnd w:id="254"/>
    </w:p>
    <w:p>
      <w:pPr>
        <w:pStyle w:val="3"/>
      </w:pPr>
      <w:bookmarkStart w:id="255" w:name="_Toc528046877"/>
      <w:r>
        <w:rPr>
          <w:rFonts w:hint="eastAsia"/>
        </w:rPr>
        <w:t>一、项目背景</w:t>
      </w:r>
      <w:bookmarkEnd w:id="255"/>
    </w:p>
    <w:p>
      <w:pPr>
        <w:spacing w:line="440" w:lineRule="exact"/>
        <w:ind w:firstLine="480" w:firstLineChars="200"/>
        <w:rPr>
          <w:rFonts w:hint="eastAsia" w:ascii="宋体" w:hAnsi="宋体"/>
          <w:szCs w:val="22"/>
        </w:rPr>
      </w:pPr>
      <w:r>
        <w:rPr>
          <w:rFonts w:hint="eastAsia" w:ascii="宋体" w:hAnsi="宋体"/>
          <w:szCs w:val="22"/>
        </w:rPr>
        <w:t>嵊州市应急联动数字</w:t>
      </w:r>
      <w:bookmarkStart w:id="256" w:name="OLE_LINK1"/>
      <w:r>
        <w:rPr>
          <w:rFonts w:hint="eastAsia" w:ascii="宋体" w:hAnsi="宋体"/>
          <w:szCs w:val="22"/>
        </w:rPr>
        <w:t>集群</w:t>
      </w:r>
      <w:bookmarkEnd w:id="256"/>
      <w:r>
        <w:rPr>
          <w:rFonts w:hint="eastAsia" w:ascii="宋体" w:hAnsi="宋体"/>
          <w:szCs w:val="22"/>
        </w:rPr>
        <w:t>无线通讯网，基于公安350M数字集群无线通讯网，独立于公共移动通讯网。为扩大应急通讯网络的覆盖面，提高应急通讯的效率，节约资源，政府部门共享应急通讯网，实现在嵊州范围内的环保、安监、医疗、土地、城管等的执法；抢险救灾等；群体性事件、大型安保活动（今年的十九大安保工作）、**活动等等的应急通讯，避免政府部门应急通讯网络的重复建设，便于在一个通讯网下政府部门之间的应急联动通讯指挥调度。</w:t>
      </w:r>
    </w:p>
    <w:p>
      <w:pPr>
        <w:pStyle w:val="4"/>
        <w:tabs>
          <w:tab w:val="left" w:pos="778"/>
        </w:tabs>
        <w:spacing w:before="120" w:after="120"/>
        <w:rPr>
          <w:rFonts w:hint="eastAsia"/>
        </w:rPr>
      </w:pPr>
      <w:bookmarkStart w:id="257" w:name="_Toc528046881"/>
      <w:r>
        <w:rPr>
          <w:rFonts w:hint="eastAsia"/>
        </w:rPr>
        <w:t>1.1基本建设需求概述</w:t>
      </w:r>
    </w:p>
    <w:p>
      <w:pPr>
        <w:spacing w:after="312" w:afterLines="100" w:line="460" w:lineRule="exact"/>
        <w:ind w:firstLine="480" w:firstLineChars="200"/>
        <w:rPr>
          <w:rFonts w:hint="eastAsia" w:ascii="宋体" w:hAnsi="宋体"/>
          <w:szCs w:val="22"/>
        </w:rPr>
      </w:pPr>
      <w:r>
        <w:rPr>
          <w:rFonts w:hint="eastAsia" w:ascii="宋体" w:hAnsi="宋体"/>
          <w:szCs w:val="22"/>
        </w:rPr>
        <w:t>目前，按照浙江省公安厅的统一部署，嵊州市公安局350M数字集群无线通讯网一、二期已建设11个基站35个载波，基本覆盖了嵊州主要区域、高速、国道、省道等。在实地电测的基础上，若要全部覆盖嵊州市各镇乡还需建设47个载波（</w:t>
      </w:r>
      <w:r>
        <w:rPr>
          <w:rFonts w:hint="eastAsia"/>
        </w:rPr>
        <w:t>其中新建44个载波，</w:t>
      </w:r>
      <w:r>
        <w:rPr>
          <w:rFonts w:hint="eastAsia" w:ascii="宋体" w:hAnsi="宋体"/>
          <w:szCs w:val="22"/>
        </w:rPr>
        <w:t>17个基站，1个应急移动基站，1个迁移基站），100个手持对讲机，固定台10套。</w:t>
      </w:r>
    </w:p>
    <w:p>
      <w:pPr>
        <w:spacing w:after="312" w:afterLines="100" w:line="460" w:lineRule="exact"/>
        <w:ind w:firstLine="480" w:firstLineChars="200"/>
        <w:rPr>
          <w:rFonts w:hint="eastAsia" w:ascii="宋体" w:hAnsi="宋体"/>
        </w:rPr>
      </w:pPr>
      <w:r>
        <w:rPr>
          <w:rFonts w:hint="eastAsia" w:ascii="宋体" w:hAnsi="宋体"/>
        </w:rPr>
        <w:t>本项目要求投标人提供通讯系统规划与设计方案、设备供货、安装调试、系统集成、运行维护、项目验收以及技术培训，并提供不少于3年7*24小时原厂的免费软件升级、设备保修和系统售后现场技术服务。</w:t>
      </w:r>
    </w:p>
    <w:p>
      <w:pPr>
        <w:pStyle w:val="4"/>
        <w:tabs>
          <w:tab w:val="left" w:pos="778"/>
        </w:tabs>
        <w:spacing w:before="120" w:after="120"/>
        <w:rPr>
          <w:rFonts w:hint="eastAsia"/>
        </w:rPr>
      </w:pPr>
      <w:r>
        <w:rPr>
          <w:rFonts w:hint="eastAsia"/>
        </w:rPr>
        <w:t xml:space="preserve">1.2质量标准 </w:t>
      </w:r>
    </w:p>
    <w:p>
      <w:pPr>
        <w:spacing w:line="520" w:lineRule="exact"/>
        <w:ind w:firstLine="480" w:firstLineChars="200"/>
        <w:rPr>
          <w:rFonts w:hint="eastAsia" w:ascii="宋体" w:hAnsi="宋体"/>
        </w:rPr>
      </w:pPr>
      <w:r>
        <w:rPr>
          <w:rFonts w:hint="eastAsia" w:ascii="宋体" w:hAnsi="宋体"/>
        </w:rPr>
        <w:t>所投产品须符合国家相关技术规范要求，产品质量合格，是原厂商出厂的未曾开箱使用的合格产品，能够满足招标要求；主要设备提供信息产业部型号核准证，并提供原厂家质量保障函，设备安装调试完毕后，能在其功能范围内保障系统的稳定运行。</w:t>
      </w:r>
    </w:p>
    <w:p>
      <w:pPr>
        <w:pStyle w:val="4"/>
        <w:tabs>
          <w:tab w:val="left" w:pos="778"/>
        </w:tabs>
        <w:spacing w:before="120" w:after="120"/>
        <w:rPr>
          <w:rFonts w:hint="eastAsia"/>
        </w:rPr>
      </w:pPr>
      <w:r>
        <w:rPr>
          <w:rFonts w:hint="eastAsia"/>
        </w:rPr>
        <w:t xml:space="preserve">1.3项目建设要求 </w:t>
      </w:r>
    </w:p>
    <w:p>
      <w:pPr>
        <w:spacing w:line="460" w:lineRule="exact"/>
        <w:ind w:firstLine="470" w:firstLineChars="196"/>
        <w:jc w:val="left"/>
        <w:rPr>
          <w:rFonts w:hint="eastAsia" w:ascii="宋体" w:hAnsi="宋体"/>
        </w:rPr>
      </w:pPr>
      <w:r>
        <w:rPr>
          <w:rFonts w:hint="eastAsia" w:ascii="宋体" w:hAnsi="宋体"/>
        </w:rPr>
        <w:t>本项目要求按照公安部、省公安厅关于PDT数字通讯系统相关建设标准，建设一批350兆数字集群通信系统。</w:t>
      </w:r>
    </w:p>
    <w:p>
      <w:pPr>
        <w:pStyle w:val="4"/>
        <w:tabs>
          <w:tab w:val="left" w:pos="778"/>
        </w:tabs>
        <w:spacing w:before="120" w:after="120"/>
        <w:rPr>
          <w:rFonts w:hint="eastAsia"/>
        </w:rPr>
      </w:pPr>
      <w:r>
        <w:rPr>
          <w:rFonts w:hint="eastAsia"/>
        </w:rPr>
        <w:t>1.4系统设备与联网要求</w:t>
      </w:r>
    </w:p>
    <w:p>
      <w:pPr>
        <w:widowControl/>
        <w:autoSpaceDE w:val="0"/>
        <w:autoSpaceDN w:val="0"/>
        <w:adjustRightInd w:val="0"/>
        <w:spacing w:before="312" w:beforeLines="100" w:line="360" w:lineRule="auto"/>
        <w:ind w:firstLine="480" w:firstLineChars="200"/>
        <w:textAlignment w:val="bottom"/>
        <w:rPr>
          <w:rFonts w:hint="eastAsia" w:ascii="宋体" w:hAnsi="宋体"/>
          <w:b/>
          <w:bCs/>
        </w:rPr>
      </w:pPr>
      <w:r>
        <w:rPr>
          <w:rFonts w:hint="eastAsia" w:ascii="宋体" w:hAnsi="宋体"/>
          <w:b/>
          <w:bCs/>
        </w:rPr>
        <w:t>系统能与上级公安机关数字通讯系统联网中心进行联网,以及与嵊州公安原有数字集群系统完全对接。</w:t>
      </w:r>
    </w:p>
    <w:p>
      <w:pPr>
        <w:pStyle w:val="4"/>
        <w:tabs>
          <w:tab w:val="left" w:pos="778"/>
        </w:tabs>
        <w:spacing w:before="120" w:after="120"/>
        <w:rPr>
          <w:rFonts w:hint="eastAsia"/>
        </w:rPr>
      </w:pPr>
      <w:r>
        <w:rPr>
          <w:rFonts w:hint="eastAsia"/>
        </w:rPr>
        <w:t>1.5主要设备提供型号核准证</w:t>
      </w:r>
    </w:p>
    <w:p>
      <w:pPr>
        <w:widowControl/>
        <w:spacing w:line="520" w:lineRule="exact"/>
        <w:ind w:firstLine="482"/>
        <w:rPr>
          <w:rFonts w:hint="eastAsia" w:ascii="宋体" w:hAnsi="宋体"/>
        </w:rPr>
      </w:pPr>
      <w:r>
        <w:rPr>
          <w:rFonts w:hint="eastAsia" w:ascii="宋体" w:hAnsi="宋体"/>
        </w:rPr>
        <w:t>本项目所投的基站设备和终端产品要求符合国家相关技术规范和质量标准，并提供国家无线电管理委员会颁发的型号核准证。</w:t>
      </w:r>
    </w:p>
    <w:p>
      <w:pPr>
        <w:pStyle w:val="3"/>
      </w:pPr>
      <w:bookmarkStart w:id="258" w:name="_Toc1246"/>
      <w:bookmarkStart w:id="259" w:name="_Toc3439"/>
      <w:bookmarkStart w:id="260" w:name="_Toc6128"/>
      <w:bookmarkStart w:id="261" w:name="_Toc360193641"/>
      <w:r>
        <w:rPr>
          <w:rFonts w:hint="eastAsia"/>
        </w:rPr>
        <w:t>二、项目建设思路</w:t>
      </w:r>
      <w:bookmarkEnd w:id="258"/>
      <w:bookmarkEnd w:id="259"/>
      <w:bookmarkEnd w:id="260"/>
      <w:bookmarkEnd w:id="261"/>
    </w:p>
    <w:p>
      <w:pPr>
        <w:pStyle w:val="4"/>
        <w:tabs>
          <w:tab w:val="left" w:pos="778"/>
        </w:tabs>
        <w:spacing w:before="120" w:after="120"/>
      </w:pPr>
      <w:bookmarkStart w:id="262" w:name="_Toc360193642"/>
      <w:bookmarkStart w:id="263" w:name="_Toc3573"/>
      <w:bookmarkStart w:id="264" w:name="_Toc29186"/>
      <w:r>
        <w:rPr>
          <w:rFonts w:hint="eastAsia"/>
        </w:rPr>
        <w:t>2.1新建PDT数字集群系统应具有高可靠性</w:t>
      </w:r>
      <w:bookmarkEnd w:id="262"/>
      <w:bookmarkEnd w:id="263"/>
      <w:bookmarkEnd w:id="264"/>
    </w:p>
    <w:p>
      <w:pPr>
        <w:pStyle w:val="331"/>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嵊州在向现代化城市迈进的过程中，城市应急管理和社会治安越来越复杂，最近10年来嵊州市的社会、经济以前所未有的速度发展，同时嵊州市内拥有多处风景名胜，面临的大型活动、安全保障任务也越来越多，因此新建设的PDT数字集群系统应具有高可靠性，保证在日常执勤、突发任务时，都能有一套可靠、稳定的无集群系统提供给公安等保卫部门使用，为社会、经济、文化的发展保驾护航。</w:t>
      </w:r>
    </w:p>
    <w:p>
      <w:pPr>
        <w:pStyle w:val="4"/>
      </w:pPr>
      <w:bookmarkStart w:id="265" w:name="_Toc24388"/>
      <w:bookmarkStart w:id="266" w:name="_Toc13903"/>
      <w:r>
        <w:rPr>
          <w:rFonts w:hint="eastAsia"/>
        </w:rPr>
        <w:t>2.2新建系统应充分结合嵊州实际情况</w:t>
      </w:r>
      <w:bookmarkEnd w:id="265"/>
      <w:bookmarkEnd w:id="266"/>
    </w:p>
    <w:p>
      <w:pPr>
        <w:spacing w:line="360" w:lineRule="auto"/>
        <w:ind w:firstLine="480" w:firstLineChars="200"/>
        <w:rPr>
          <w:rFonts w:hint="eastAsia" w:ascii="宋体" w:hAnsi="宋体" w:cs="宋体"/>
        </w:rPr>
      </w:pPr>
      <w:r>
        <w:rPr>
          <w:rFonts w:hint="eastAsia" w:ascii="宋体" w:hAnsi="宋体" w:cs="宋体"/>
        </w:rPr>
        <w:t>嵊州市地势复杂、信号不能覆盖的区域必然也多，必须要有一套完整的方案作为辅助通信手段以保障突发事件下的应急通信。</w:t>
      </w:r>
    </w:p>
    <w:p>
      <w:pPr>
        <w:spacing w:line="360" w:lineRule="auto"/>
        <w:ind w:firstLine="480" w:firstLineChars="200"/>
        <w:rPr>
          <w:rFonts w:hint="eastAsia" w:ascii="宋体" w:hAnsi="宋体" w:cs="宋体"/>
        </w:rPr>
      </w:pPr>
      <w:r>
        <w:rPr>
          <w:rFonts w:hint="eastAsia" w:ascii="宋体" w:hAnsi="宋体" w:cs="宋体"/>
        </w:rPr>
        <w:t>此外，从投资效率角度考虑，网络规划当中，固定基站的载波数量是根据日常语音与数据业务的数量来确定的，这在大型活动或突发事件等话务量激增的情况时，难免会出现信道容量不够的情况，造成用户登记慢、信道堵塞等情况出现，给指挥调度、现场联络造成不便，针对这种情况，也应在网络建设中作为重点来考虑并解决。</w:t>
      </w:r>
    </w:p>
    <w:p>
      <w:pPr>
        <w:spacing w:line="360" w:lineRule="auto"/>
        <w:ind w:firstLine="480" w:firstLineChars="200"/>
        <w:rPr>
          <w:rFonts w:hint="eastAsia" w:ascii="宋体" w:hAnsi="宋体" w:cs="宋体"/>
        </w:rPr>
      </w:pPr>
      <w:r>
        <w:rPr>
          <w:rFonts w:hint="eastAsia" w:ascii="宋体" w:hAnsi="宋体" w:cs="宋体"/>
        </w:rPr>
        <w:t>为解决以上问题，PDT数字集群系统提出了移动应急车载基站，同时系统所有基站均支持共享控制信道与多控制信道功能，可以很好的解决临时覆盖和话务量激增的问题。</w:t>
      </w:r>
    </w:p>
    <w:p>
      <w:pPr>
        <w:pStyle w:val="3"/>
        <w:rPr>
          <w:rFonts w:hint="eastAsia"/>
          <w:szCs w:val="22"/>
        </w:rPr>
      </w:pPr>
      <w:r>
        <w:rPr>
          <w:rFonts w:hint="eastAsia"/>
          <w:szCs w:val="22"/>
        </w:rPr>
        <w:t>三、采购内容及设备清单</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332"/>
        <w:gridCol w:w="3136"/>
        <w:gridCol w:w="1187"/>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4" w:type="dxa"/>
            <w:noWrap w:val="0"/>
            <w:vAlign w:val="center"/>
          </w:tcPr>
          <w:p>
            <w:pPr>
              <w:widowControl/>
              <w:jc w:val="center"/>
              <w:rPr>
                <w:rFonts w:ascii="??_GB2312" w:hAnsi="仿宋" w:eastAsia="Times New Roman" w:cs="仿宋"/>
                <w:kern w:val="0"/>
                <w:szCs w:val="24"/>
              </w:rPr>
            </w:pPr>
            <w:r>
              <w:rPr>
                <w:rFonts w:ascii="??_GB2312" w:hAnsi="仿宋" w:eastAsia="Times New Roman" w:cs="仿宋"/>
                <w:kern w:val="0"/>
                <w:szCs w:val="24"/>
              </w:rPr>
              <w:t>序号</w:t>
            </w:r>
          </w:p>
        </w:tc>
        <w:tc>
          <w:tcPr>
            <w:tcW w:w="2332" w:type="dxa"/>
            <w:noWrap w:val="0"/>
            <w:vAlign w:val="center"/>
          </w:tcPr>
          <w:p>
            <w:pPr>
              <w:widowControl/>
              <w:jc w:val="center"/>
              <w:rPr>
                <w:rFonts w:ascii="??_GB2312" w:hAnsi="仿宋" w:eastAsia="Times New Roman" w:cs="仿宋"/>
                <w:kern w:val="0"/>
                <w:szCs w:val="24"/>
              </w:rPr>
            </w:pPr>
            <w:r>
              <w:rPr>
                <w:rFonts w:ascii="??_GB2312" w:hAnsi="仿宋" w:eastAsia="Times New Roman" w:cs="仿宋"/>
                <w:kern w:val="0"/>
                <w:szCs w:val="24"/>
              </w:rPr>
              <w:t>名</w:t>
            </w:r>
            <w:r>
              <w:rPr>
                <w:rFonts w:ascii="??_GB2312" w:hAnsi="仿宋" w:eastAsia="Times New Roman" w:cs="仿宋"/>
                <w:b/>
                <w:bCs/>
                <w:kern w:val="0"/>
                <w:szCs w:val="24"/>
              </w:rPr>
              <w:t xml:space="preserve"> </w:t>
            </w:r>
            <w:r>
              <w:rPr>
                <w:rFonts w:ascii="??_GB2312" w:hAnsi="仿宋" w:eastAsia="Times New Roman" w:cs="仿宋"/>
                <w:kern w:val="0"/>
                <w:szCs w:val="24"/>
              </w:rPr>
              <w:t>称</w:t>
            </w:r>
          </w:p>
        </w:tc>
        <w:tc>
          <w:tcPr>
            <w:tcW w:w="3136" w:type="dxa"/>
            <w:noWrap w:val="0"/>
            <w:vAlign w:val="center"/>
          </w:tcPr>
          <w:p>
            <w:pPr>
              <w:widowControl/>
              <w:jc w:val="center"/>
              <w:rPr>
                <w:rFonts w:ascii="??_GB2312" w:hAnsi="仿宋" w:eastAsia="Times New Roman" w:cs="仿宋"/>
                <w:kern w:val="0"/>
                <w:szCs w:val="24"/>
              </w:rPr>
            </w:pPr>
            <w:r>
              <w:rPr>
                <w:rFonts w:ascii="??_GB2312" w:hAnsi="仿宋" w:eastAsia="Times New Roman" w:cs="仿宋"/>
                <w:kern w:val="0"/>
                <w:szCs w:val="24"/>
              </w:rPr>
              <w:t>规格、参数等</w:t>
            </w:r>
          </w:p>
        </w:tc>
        <w:tc>
          <w:tcPr>
            <w:tcW w:w="1187" w:type="dxa"/>
            <w:noWrap w:val="0"/>
            <w:vAlign w:val="center"/>
          </w:tcPr>
          <w:p>
            <w:pPr>
              <w:widowControl/>
              <w:jc w:val="center"/>
              <w:rPr>
                <w:rFonts w:ascii="??_GB2312" w:hAnsi="仿宋" w:eastAsia="Times New Roman" w:cs="仿宋"/>
                <w:kern w:val="0"/>
                <w:szCs w:val="24"/>
              </w:rPr>
            </w:pPr>
            <w:r>
              <w:rPr>
                <w:rFonts w:ascii="??_GB2312" w:hAnsi="仿宋" w:eastAsia="Times New Roman" w:cs="仿宋"/>
                <w:kern w:val="0"/>
                <w:szCs w:val="24"/>
              </w:rPr>
              <w:t>数量单位</w:t>
            </w:r>
          </w:p>
        </w:tc>
        <w:tc>
          <w:tcPr>
            <w:tcW w:w="1162" w:type="dxa"/>
            <w:noWrap w:val="0"/>
            <w:vAlign w:val="center"/>
          </w:tcPr>
          <w:p>
            <w:pPr>
              <w:widowControl/>
              <w:jc w:val="center"/>
              <w:rPr>
                <w:rFonts w:ascii="??_GB2312" w:hAnsi="仿宋" w:eastAsia="Times New Roman" w:cs="仿宋"/>
                <w:kern w:val="0"/>
                <w:szCs w:val="24"/>
              </w:rPr>
            </w:pPr>
            <w:r>
              <w:rPr>
                <w:rFonts w:ascii="??_GB2312" w:hAnsi="仿宋" w:eastAsia="Times New Roman" w:cs="仿宋"/>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pPr>
              <w:widowControl/>
              <w:jc w:val="center"/>
              <w:rPr>
                <w:rFonts w:ascii="??_GB2312" w:hAnsi="仿宋" w:eastAsia="Times New Roman" w:cs="仿宋"/>
                <w:kern w:val="0"/>
                <w:szCs w:val="24"/>
              </w:rPr>
            </w:pPr>
            <w:r>
              <w:rPr>
                <w:rFonts w:ascii="??_GB2312" w:hAnsi="仿宋" w:eastAsia="Times New Roman" w:cs="仿宋"/>
                <w:kern w:val="0"/>
                <w:szCs w:val="24"/>
              </w:rPr>
              <w:t>1</w:t>
            </w:r>
          </w:p>
        </w:tc>
        <w:tc>
          <w:tcPr>
            <w:tcW w:w="2332" w:type="dxa"/>
            <w:noWrap w:val="0"/>
            <w:vAlign w:val="center"/>
          </w:tcPr>
          <w:p>
            <w:pPr>
              <w:widowControl/>
              <w:jc w:val="center"/>
              <w:rPr>
                <w:rFonts w:ascii="??_GB2312" w:hAnsi="仿宋" w:eastAsia="Times New Roman" w:cs="仿宋"/>
                <w:kern w:val="0"/>
                <w:szCs w:val="24"/>
              </w:rPr>
            </w:pPr>
            <w:r>
              <w:rPr>
                <w:rFonts w:ascii="??_GB2312" w:hAnsi="仿宋" w:eastAsia="Times New Roman" w:cs="仿宋"/>
                <w:kern w:val="0"/>
                <w:szCs w:val="24"/>
              </w:rPr>
              <w:t>3</w:t>
            </w:r>
            <w:r>
              <w:rPr>
                <w:rFonts w:hint="eastAsia" w:ascii="??_GB2312" w:hAnsi="仿宋" w:eastAsia="Times New Roman" w:cs="仿宋"/>
                <w:kern w:val="0"/>
                <w:szCs w:val="24"/>
              </w:rPr>
              <w:t>载波数字集群基站</w:t>
            </w:r>
          </w:p>
        </w:tc>
        <w:tc>
          <w:tcPr>
            <w:tcW w:w="3136" w:type="dxa"/>
            <w:noWrap w:val="0"/>
            <w:vAlign w:val="center"/>
          </w:tcPr>
          <w:p>
            <w:pPr>
              <w:widowControl/>
              <w:jc w:val="center"/>
              <w:rPr>
                <w:rFonts w:hint="eastAsia" w:ascii="??_GB2312" w:hAnsi="仿宋" w:eastAsia="Times New Roman" w:cs="仿宋"/>
                <w:color w:val="auto"/>
                <w:kern w:val="0"/>
                <w:szCs w:val="24"/>
              </w:rPr>
            </w:pPr>
            <w:r>
              <w:rPr>
                <w:rFonts w:hint="eastAsia" w:ascii="??_GB2312" w:hAnsi="仿宋" w:eastAsia="Times New Roman" w:cs="仿宋"/>
                <w:color w:val="auto"/>
                <w:kern w:val="0"/>
                <w:szCs w:val="24"/>
              </w:rPr>
              <w:t>详见技术参数要求</w:t>
            </w:r>
          </w:p>
        </w:tc>
        <w:tc>
          <w:tcPr>
            <w:tcW w:w="1187" w:type="dxa"/>
            <w:noWrap w:val="0"/>
            <w:vAlign w:val="center"/>
          </w:tcPr>
          <w:p>
            <w:pPr>
              <w:widowControl/>
              <w:jc w:val="center"/>
              <w:rPr>
                <w:rFonts w:ascii="??_GB2312" w:hAnsi="仿宋" w:eastAsia="Times New Roman" w:cs="仿宋"/>
                <w:kern w:val="0"/>
                <w:szCs w:val="24"/>
              </w:rPr>
            </w:pPr>
            <w:r>
              <w:rPr>
                <w:rFonts w:hint="eastAsia" w:ascii="??_GB2312" w:hAnsi="仿宋" w:cs="仿宋"/>
                <w:kern w:val="0"/>
                <w:szCs w:val="24"/>
              </w:rPr>
              <w:t>8</w:t>
            </w:r>
            <w:r>
              <w:rPr>
                <w:rFonts w:hint="eastAsia" w:ascii="??_GB2312" w:hAnsi="仿宋" w:eastAsia="Times New Roman" w:cs="仿宋"/>
                <w:kern w:val="0"/>
                <w:szCs w:val="24"/>
              </w:rPr>
              <w:t>套</w:t>
            </w:r>
          </w:p>
        </w:tc>
        <w:tc>
          <w:tcPr>
            <w:tcW w:w="1162" w:type="dxa"/>
            <w:noWrap w:val="0"/>
            <w:vAlign w:val="center"/>
          </w:tcPr>
          <w:p>
            <w:pPr>
              <w:widowControl/>
              <w:jc w:val="center"/>
              <w:rPr>
                <w:rFonts w:ascii="??_GB2312" w:hAnsi="仿宋" w:eastAsia="Times New Roman"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pPr>
              <w:widowControl/>
              <w:jc w:val="center"/>
              <w:rPr>
                <w:rFonts w:ascii="??_GB2312" w:hAnsi="仿宋" w:eastAsia="Times New Roman" w:cs="仿宋"/>
                <w:kern w:val="0"/>
                <w:szCs w:val="24"/>
              </w:rPr>
            </w:pPr>
            <w:r>
              <w:rPr>
                <w:rFonts w:ascii="??_GB2312" w:hAnsi="仿宋" w:eastAsia="Times New Roman" w:cs="仿宋"/>
                <w:kern w:val="0"/>
                <w:szCs w:val="24"/>
              </w:rPr>
              <w:t>2</w:t>
            </w:r>
          </w:p>
        </w:tc>
        <w:tc>
          <w:tcPr>
            <w:tcW w:w="2332" w:type="dxa"/>
            <w:noWrap w:val="0"/>
            <w:vAlign w:val="center"/>
          </w:tcPr>
          <w:p>
            <w:pPr>
              <w:widowControl/>
              <w:jc w:val="center"/>
              <w:rPr>
                <w:rFonts w:ascii="??_GB2312" w:hAnsi="仿宋" w:eastAsia="Times New Roman" w:cs="仿宋"/>
                <w:kern w:val="0"/>
                <w:szCs w:val="24"/>
              </w:rPr>
            </w:pPr>
            <w:r>
              <w:rPr>
                <w:rFonts w:hint="eastAsia" w:ascii="??_GB2312" w:hAnsi="仿宋" w:eastAsia="Times New Roman" w:cs="仿宋"/>
                <w:kern w:val="0"/>
                <w:szCs w:val="24"/>
              </w:rPr>
              <w:t>2载波数字集群基站</w:t>
            </w:r>
          </w:p>
        </w:tc>
        <w:tc>
          <w:tcPr>
            <w:tcW w:w="3136" w:type="dxa"/>
            <w:noWrap w:val="0"/>
            <w:vAlign w:val="center"/>
          </w:tcPr>
          <w:p>
            <w:pPr>
              <w:widowControl/>
              <w:jc w:val="center"/>
              <w:rPr>
                <w:rFonts w:ascii="??_GB2312" w:hAnsi="仿宋" w:eastAsia="Times New Roman" w:cs="仿宋"/>
                <w:color w:val="auto"/>
                <w:kern w:val="0"/>
                <w:szCs w:val="24"/>
              </w:rPr>
            </w:pPr>
            <w:r>
              <w:rPr>
                <w:rFonts w:hint="eastAsia" w:ascii="??_GB2312" w:hAnsi="仿宋" w:eastAsia="Times New Roman" w:cs="仿宋"/>
                <w:color w:val="auto"/>
                <w:kern w:val="0"/>
                <w:szCs w:val="24"/>
              </w:rPr>
              <w:t>详见技术参数要求</w:t>
            </w:r>
          </w:p>
        </w:tc>
        <w:tc>
          <w:tcPr>
            <w:tcW w:w="1187" w:type="dxa"/>
            <w:noWrap w:val="0"/>
            <w:vAlign w:val="center"/>
          </w:tcPr>
          <w:p>
            <w:pPr>
              <w:widowControl/>
              <w:jc w:val="center"/>
              <w:rPr>
                <w:rFonts w:ascii="??_GB2312" w:hAnsi="仿宋" w:eastAsia="Times New Roman" w:cs="仿宋"/>
                <w:kern w:val="0"/>
                <w:szCs w:val="24"/>
              </w:rPr>
            </w:pPr>
            <w:r>
              <w:rPr>
                <w:rFonts w:hint="eastAsia" w:ascii="??_GB2312" w:hAnsi="仿宋" w:cs="仿宋"/>
                <w:kern w:val="0"/>
                <w:szCs w:val="24"/>
              </w:rPr>
              <w:t>9</w:t>
            </w:r>
            <w:r>
              <w:rPr>
                <w:rFonts w:hint="eastAsia" w:ascii="??_GB2312" w:hAnsi="仿宋" w:eastAsia="Times New Roman" w:cs="仿宋"/>
                <w:kern w:val="0"/>
                <w:szCs w:val="24"/>
              </w:rPr>
              <w:t>套</w:t>
            </w:r>
          </w:p>
        </w:tc>
        <w:tc>
          <w:tcPr>
            <w:tcW w:w="1162" w:type="dxa"/>
            <w:noWrap w:val="0"/>
            <w:vAlign w:val="center"/>
          </w:tcPr>
          <w:p>
            <w:pPr>
              <w:widowControl/>
              <w:jc w:val="center"/>
              <w:rPr>
                <w:rFonts w:ascii="??_GB2312" w:hAnsi="仿宋" w:eastAsia="Times New Roman"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3</w:t>
            </w:r>
          </w:p>
        </w:tc>
        <w:tc>
          <w:tcPr>
            <w:tcW w:w="2332" w:type="dxa"/>
            <w:noWrap w:val="0"/>
            <w:vAlign w:val="center"/>
          </w:tcPr>
          <w:p>
            <w:pPr>
              <w:widowControl/>
              <w:jc w:val="center"/>
              <w:rPr>
                <w:rFonts w:hint="eastAsia" w:ascii="??_GB2312" w:hAnsi="仿宋" w:eastAsia="Times New Roman" w:cs="仿宋"/>
                <w:kern w:val="0"/>
                <w:szCs w:val="24"/>
              </w:rPr>
            </w:pPr>
            <w:r>
              <w:rPr>
                <w:rFonts w:hint="eastAsia" w:ascii="??_GB2312" w:hAnsi="仿宋" w:eastAsia="Times New Roman" w:cs="仿宋"/>
                <w:kern w:val="0"/>
                <w:szCs w:val="24"/>
              </w:rPr>
              <w:t>2载波</w:t>
            </w:r>
            <w:r>
              <w:rPr>
                <w:rFonts w:hint="eastAsia"/>
              </w:rPr>
              <w:t>移动应急基站</w:t>
            </w:r>
          </w:p>
        </w:tc>
        <w:tc>
          <w:tcPr>
            <w:tcW w:w="3136" w:type="dxa"/>
            <w:noWrap w:val="0"/>
            <w:vAlign w:val="center"/>
          </w:tcPr>
          <w:p>
            <w:pPr>
              <w:widowControl/>
              <w:jc w:val="center"/>
              <w:rPr>
                <w:rFonts w:hint="eastAsia" w:ascii="??_GB2312" w:hAnsi="仿宋" w:eastAsia="Times New Roman" w:cs="仿宋"/>
                <w:color w:val="auto"/>
                <w:kern w:val="0"/>
                <w:szCs w:val="24"/>
              </w:rPr>
            </w:pPr>
            <w:r>
              <w:rPr>
                <w:rFonts w:hint="eastAsia" w:ascii="??_GB2312" w:hAnsi="仿宋" w:eastAsia="Times New Roman" w:cs="仿宋"/>
                <w:color w:val="auto"/>
                <w:kern w:val="0"/>
                <w:szCs w:val="24"/>
              </w:rPr>
              <w:t>详见技术参数要求</w:t>
            </w:r>
          </w:p>
        </w:tc>
        <w:tc>
          <w:tcPr>
            <w:tcW w:w="1187"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1</w:t>
            </w:r>
            <w:r>
              <w:rPr>
                <w:rFonts w:hint="eastAsia" w:ascii="??_GB2312" w:hAnsi="仿宋" w:eastAsia="Times New Roman" w:cs="仿宋"/>
                <w:kern w:val="0"/>
                <w:szCs w:val="24"/>
              </w:rPr>
              <w:t>套</w:t>
            </w:r>
          </w:p>
        </w:tc>
        <w:tc>
          <w:tcPr>
            <w:tcW w:w="1162" w:type="dxa"/>
            <w:noWrap w:val="0"/>
            <w:vAlign w:val="center"/>
          </w:tcPr>
          <w:p>
            <w:pPr>
              <w:widowControl/>
              <w:jc w:val="center"/>
              <w:rPr>
                <w:rFonts w:ascii="??_GB2312" w:hAnsi="仿宋" w:eastAsia="Times New Roman"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4</w:t>
            </w:r>
          </w:p>
        </w:tc>
        <w:tc>
          <w:tcPr>
            <w:tcW w:w="2332" w:type="dxa"/>
            <w:noWrap w:val="0"/>
            <w:vAlign w:val="center"/>
          </w:tcPr>
          <w:p>
            <w:pPr>
              <w:widowControl/>
              <w:jc w:val="center"/>
              <w:rPr>
                <w:rFonts w:hint="eastAsia" w:ascii="??_GB2312" w:hAnsi="仿宋" w:cs="仿宋"/>
                <w:kern w:val="0"/>
                <w:szCs w:val="24"/>
              </w:rPr>
            </w:pPr>
            <w:r>
              <w:rPr>
                <w:rFonts w:ascii="??_GB2312" w:hAnsi="仿宋" w:eastAsia="Times New Roman" w:cs="仿宋"/>
                <w:kern w:val="0"/>
                <w:szCs w:val="24"/>
              </w:rPr>
              <w:t>3</w:t>
            </w:r>
            <w:r>
              <w:rPr>
                <w:rFonts w:hint="eastAsia" w:ascii="??_GB2312" w:hAnsi="仿宋" w:eastAsia="Times New Roman" w:cs="仿宋"/>
                <w:kern w:val="0"/>
                <w:szCs w:val="24"/>
              </w:rPr>
              <w:t>载波数字集群基站</w:t>
            </w:r>
            <w:r>
              <w:rPr>
                <w:rFonts w:hint="eastAsia" w:ascii="??_GB2312" w:hAnsi="仿宋" w:cs="仿宋"/>
                <w:kern w:val="0"/>
                <w:szCs w:val="24"/>
              </w:rPr>
              <w:t>搬迁</w:t>
            </w:r>
          </w:p>
        </w:tc>
        <w:tc>
          <w:tcPr>
            <w:tcW w:w="3136" w:type="dxa"/>
            <w:noWrap w:val="0"/>
            <w:vAlign w:val="center"/>
          </w:tcPr>
          <w:p>
            <w:pPr>
              <w:widowControl/>
              <w:jc w:val="center"/>
              <w:rPr>
                <w:rFonts w:hint="eastAsia" w:ascii="??_GB2312" w:hAnsi="仿宋" w:eastAsia="Times New Roman" w:cs="仿宋"/>
                <w:color w:val="auto"/>
                <w:kern w:val="0"/>
                <w:szCs w:val="24"/>
              </w:rPr>
            </w:pPr>
            <w:r>
              <w:rPr>
                <w:rFonts w:hint="eastAsia"/>
                <w:color w:val="auto"/>
              </w:rPr>
              <w:t>崇仁猪娘岭（前村）3载波基站，迁移到马仁</w:t>
            </w:r>
          </w:p>
        </w:tc>
        <w:tc>
          <w:tcPr>
            <w:tcW w:w="1187"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1批</w:t>
            </w:r>
          </w:p>
        </w:tc>
        <w:tc>
          <w:tcPr>
            <w:tcW w:w="1162" w:type="dxa"/>
            <w:noWrap w:val="0"/>
            <w:vAlign w:val="center"/>
          </w:tcPr>
          <w:p>
            <w:pPr>
              <w:widowControl/>
              <w:jc w:val="center"/>
              <w:rPr>
                <w:rFonts w:ascii="??_GB2312" w:hAnsi="仿宋" w:eastAsia="Times New Roman"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5</w:t>
            </w:r>
          </w:p>
        </w:tc>
        <w:tc>
          <w:tcPr>
            <w:tcW w:w="2332" w:type="dxa"/>
            <w:noWrap w:val="0"/>
            <w:vAlign w:val="center"/>
          </w:tcPr>
          <w:p>
            <w:pPr>
              <w:widowControl/>
              <w:jc w:val="center"/>
              <w:rPr>
                <w:rFonts w:hint="eastAsia" w:ascii="??_GB2312" w:hAnsi="仿宋" w:cs="仿宋"/>
                <w:kern w:val="0"/>
                <w:szCs w:val="24"/>
              </w:rPr>
            </w:pPr>
            <w:r>
              <w:rPr>
                <w:rFonts w:hint="eastAsia" w:ascii="宋体" w:hAnsi="宋体" w:cs="宋体"/>
              </w:rPr>
              <w:t>新建基站链路租用、机房租赁等费用</w:t>
            </w:r>
          </w:p>
        </w:tc>
        <w:tc>
          <w:tcPr>
            <w:tcW w:w="3136" w:type="dxa"/>
            <w:noWrap w:val="0"/>
            <w:vAlign w:val="center"/>
          </w:tcPr>
          <w:p>
            <w:pPr>
              <w:widowControl/>
              <w:jc w:val="center"/>
              <w:rPr>
                <w:rFonts w:hint="eastAsia" w:ascii="??_GB2312" w:hAnsi="仿宋" w:eastAsia="Times New Roman" w:cs="仿宋"/>
                <w:color w:val="auto"/>
                <w:kern w:val="0"/>
                <w:szCs w:val="24"/>
              </w:rPr>
            </w:pPr>
            <w:r>
              <w:rPr>
                <w:rFonts w:hint="eastAsia" w:ascii="??_GB2312" w:hAnsi="仿宋" w:eastAsia="Times New Roman" w:cs="仿宋"/>
                <w:color w:val="auto"/>
                <w:kern w:val="0"/>
                <w:szCs w:val="24"/>
              </w:rPr>
              <w:t>三年租费</w:t>
            </w:r>
          </w:p>
        </w:tc>
        <w:tc>
          <w:tcPr>
            <w:tcW w:w="1187"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17条</w:t>
            </w:r>
          </w:p>
        </w:tc>
        <w:tc>
          <w:tcPr>
            <w:tcW w:w="1162" w:type="dxa"/>
            <w:noWrap w:val="0"/>
            <w:vAlign w:val="center"/>
          </w:tcPr>
          <w:p>
            <w:pPr>
              <w:widowControl/>
              <w:jc w:val="center"/>
              <w:rPr>
                <w:rFonts w:hint="eastAsia" w:ascii="??_GB2312" w:hAnsi="仿宋"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6</w:t>
            </w:r>
          </w:p>
        </w:tc>
        <w:tc>
          <w:tcPr>
            <w:tcW w:w="2332"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数字集群对讲机</w:t>
            </w:r>
          </w:p>
        </w:tc>
        <w:tc>
          <w:tcPr>
            <w:tcW w:w="3136" w:type="dxa"/>
            <w:noWrap w:val="0"/>
            <w:vAlign w:val="center"/>
          </w:tcPr>
          <w:p>
            <w:pPr>
              <w:widowControl/>
              <w:jc w:val="center"/>
              <w:rPr>
                <w:rFonts w:hint="eastAsia"/>
                <w:color w:val="auto"/>
              </w:rPr>
            </w:pPr>
            <w:r>
              <w:rPr>
                <w:rFonts w:hint="eastAsia" w:ascii="??_GB2312" w:hAnsi="仿宋" w:eastAsia="Times New Roman" w:cs="仿宋"/>
                <w:color w:val="auto"/>
                <w:kern w:val="0"/>
                <w:szCs w:val="24"/>
              </w:rPr>
              <w:t>详见技术参数要求</w:t>
            </w:r>
          </w:p>
        </w:tc>
        <w:tc>
          <w:tcPr>
            <w:tcW w:w="1187"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100套</w:t>
            </w:r>
          </w:p>
        </w:tc>
        <w:tc>
          <w:tcPr>
            <w:tcW w:w="1162"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配200副耳机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7</w:t>
            </w:r>
          </w:p>
        </w:tc>
        <w:tc>
          <w:tcPr>
            <w:tcW w:w="2332"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数字集群固定台</w:t>
            </w:r>
          </w:p>
        </w:tc>
        <w:tc>
          <w:tcPr>
            <w:tcW w:w="3136" w:type="dxa"/>
            <w:noWrap w:val="0"/>
            <w:vAlign w:val="center"/>
          </w:tcPr>
          <w:p>
            <w:pPr>
              <w:widowControl/>
              <w:jc w:val="center"/>
              <w:rPr>
                <w:rFonts w:hint="eastAsia" w:ascii="??_GB2312" w:hAnsi="仿宋" w:eastAsia="Times New Roman" w:cs="仿宋"/>
                <w:color w:val="auto"/>
                <w:kern w:val="0"/>
                <w:szCs w:val="24"/>
              </w:rPr>
            </w:pPr>
            <w:r>
              <w:rPr>
                <w:rFonts w:hint="eastAsia" w:ascii="??_GB2312" w:hAnsi="仿宋" w:eastAsia="Times New Roman" w:cs="仿宋"/>
                <w:color w:val="auto"/>
                <w:kern w:val="0"/>
                <w:szCs w:val="24"/>
              </w:rPr>
              <w:t>详见技术参数要求</w:t>
            </w:r>
          </w:p>
        </w:tc>
        <w:tc>
          <w:tcPr>
            <w:tcW w:w="1187" w:type="dxa"/>
            <w:noWrap w:val="0"/>
            <w:vAlign w:val="center"/>
          </w:tcPr>
          <w:p>
            <w:pPr>
              <w:widowControl/>
              <w:jc w:val="center"/>
              <w:rPr>
                <w:rFonts w:hint="eastAsia" w:ascii="??_GB2312" w:hAnsi="仿宋" w:cs="仿宋"/>
                <w:kern w:val="0"/>
                <w:szCs w:val="24"/>
              </w:rPr>
            </w:pPr>
            <w:r>
              <w:rPr>
                <w:rFonts w:hint="eastAsia" w:ascii="??_GB2312" w:hAnsi="仿宋" w:cs="仿宋"/>
                <w:kern w:val="0"/>
                <w:szCs w:val="24"/>
              </w:rPr>
              <w:t>20套</w:t>
            </w:r>
          </w:p>
        </w:tc>
        <w:tc>
          <w:tcPr>
            <w:tcW w:w="1162" w:type="dxa"/>
            <w:noWrap w:val="0"/>
            <w:vAlign w:val="center"/>
          </w:tcPr>
          <w:p>
            <w:pPr>
              <w:widowControl/>
              <w:jc w:val="center"/>
              <w:rPr>
                <w:rFonts w:ascii="??_GB2312" w:hAnsi="仿宋" w:eastAsia="Times New Roman" w:cs="仿宋"/>
                <w:kern w:val="0"/>
                <w:szCs w:val="24"/>
              </w:rPr>
            </w:pPr>
          </w:p>
        </w:tc>
      </w:tr>
    </w:tbl>
    <w:p>
      <w:pPr>
        <w:pStyle w:val="4"/>
      </w:pPr>
      <w:r>
        <w:rPr>
          <w:rFonts w:hint="eastAsia"/>
        </w:rPr>
        <w:t>3.1</w:t>
      </w:r>
      <w:r>
        <w:t>数字集群固定基站技术参数要求</w:t>
      </w:r>
    </w:p>
    <w:p>
      <w:pPr>
        <w:spacing w:before="156"/>
        <w:ind w:firstLine="480" w:firstLineChars="200"/>
        <w:rPr>
          <w:rFonts w:ascii="??_GB2312" w:hAnsi="仿宋" w:eastAsia="Times New Roman"/>
          <w:b/>
          <w:szCs w:val="24"/>
        </w:rPr>
      </w:pPr>
      <w:r>
        <w:rPr>
          <w:rFonts w:ascii="??_GB2312" w:hAnsi="仿宋" w:eastAsia="Times New Roman"/>
          <w:b/>
          <w:szCs w:val="24"/>
        </w:rPr>
        <w:t>（一）　PDT系统系统基本标准与要求</w:t>
      </w:r>
    </w:p>
    <w:p>
      <w:pPr>
        <w:spacing w:before="156"/>
        <w:ind w:firstLine="480" w:firstLineChars="200"/>
        <w:rPr>
          <w:rFonts w:ascii="??_GB2312" w:hAnsi="仿宋" w:eastAsia="Times New Roman"/>
          <w:szCs w:val="24"/>
        </w:rPr>
      </w:pPr>
      <w:r>
        <w:rPr>
          <w:rFonts w:ascii="??_GB2312" w:hAnsi="仿宋" w:eastAsia="Times New Roman"/>
          <w:szCs w:val="24"/>
        </w:rPr>
        <w:t>要求投标产品符合PDT相关标准，这些标准包括：</w:t>
      </w:r>
    </w:p>
    <w:p>
      <w:pPr>
        <w:spacing w:before="156"/>
        <w:ind w:firstLine="480" w:firstLineChars="200"/>
        <w:rPr>
          <w:rFonts w:ascii="??_GB2312" w:hAnsi="仿宋" w:eastAsia="Times New Roman"/>
          <w:szCs w:val="24"/>
        </w:rPr>
      </w:pPr>
      <w:r>
        <w:rPr>
          <w:rFonts w:ascii="??_GB2312" w:hAnsi="仿宋" w:eastAsia="Times New Roman"/>
          <w:szCs w:val="24"/>
        </w:rPr>
        <w:t>空口标准、系统互联标准、安全加密标准、系统终端标准和兼容测试标准五部分内容。</w:t>
      </w:r>
    </w:p>
    <w:p>
      <w:pPr>
        <w:spacing w:before="156"/>
        <w:ind w:firstLine="480" w:firstLineChars="200"/>
        <w:rPr>
          <w:rFonts w:ascii="??_GB2312" w:hAnsi="仿宋" w:eastAsia="Times New Roman"/>
          <w:szCs w:val="24"/>
        </w:rPr>
      </w:pPr>
      <w:r>
        <w:rPr>
          <w:rFonts w:ascii="??_GB2312" w:hAnsi="仿宋" w:eastAsia="Times New Roman"/>
          <w:szCs w:val="24"/>
        </w:rPr>
        <w:t>具体如下：</w:t>
      </w:r>
    </w:p>
    <w:p>
      <w:pPr>
        <w:spacing w:before="156"/>
        <w:ind w:firstLine="480" w:firstLineChars="200"/>
        <w:rPr>
          <w:rFonts w:ascii="??_GB2312" w:hAnsi="仿宋" w:eastAsia="Times New Roman"/>
          <w:szCs w:val="24"/>
        </w:rPr>
      </w:pPr>
      <w:r>
        <w:rPr>
          <w:rFonts w:ascii="??_GB2312" w:hAnsi="仿宋" w:eastAsia="Times New Roman"/>
          <w:szCs w:val="24"/>
        </w:rPr>
        <w:t>1、空口标准：常规标准、集群标准；</w:t>
      </w:r>
    </w:p>
    <w:p>
      <w:pPr>
        <w:spacing w:before="156"/>
        <w:ind w:firstLine="480" w:firstLineChars="200"/>
        <w:rPr>
          <w:rFonts w:ascii="??_GB2312" w:hAnsi="仿宋" w:eastAsia="Times New Roman"/>
          <w:szCs w:val="24"/>
        </w:rPr>
      </w:pPr>
      <w:r>
        <w:rPr>
          <w:rFonts w:ascii="??_GB2312" w:hAnsi="仿宋" w:eastAsia="Times New Roman"/>
          <w:szCs w:val="24"/>
        </w:rPr>
        <w:t>2、系统互联标准：PDT 系统之间互联标准、 PDT 与MPT1327 系统互联标</w:t>
      </w:r>
    </w:p>
    <w:p>
      <w:pPr>
        <w:spacing w:before="156"/>
        <w:ind w:firstLine="480" w:firstLineChars="200"/>
        <w:rPr>
          <w:rFonts w:ascii="??_GB2312" w:hAnsi="仿宋" w:eastAsia="Times New Roman"/>
          <w:szCs w:val="24"/>
        </w:rPr>
      </w:pPr>
      <w:r>
        <w:rPr>
          <w:rFonts w:ascii="??_GB2312" w:hAnsi="仿宋" w:eastAsia="Times New Roman"/>
          <w:szCs w:val="24"/>
        </w:rPr>
        <w:t>准、 PDT 与常规系统互联标准、 PDT 与Tetra 系统互联标准；</w:t>
      </w:r>
    </w:p>
    <w:p>
      <w:pPr>
        <w:spacing w:before="156"/>
        <w:ind w:firstLine="480" w:firstLineChars="200"/>
        <w:rPr>
          <w:rFonts w:ascii="??_GB2312" w:hAnsi="仿宋" w:eastAsia="Times New Roman"/>
          <w:szCs w:val="24"/>
        </w:rPr>
      </w:pPr>
      <w:r>
        <w:rPr>
          <w:rFonts w:ascii="??_GB2312" w:hAnsi="仿宋" w:eastAsia="Times New Roman"/>
          <w:szCs w:val="24"/>
        </w:rPr>
        <w:t>3、安全加密标准：商用安全标准、警用安全标准；</w:t>
      </w:r>
    </w:p>
    <w:p>
      <w:pPr>
        <w:spacing w:before="156"/>
        <w:ind w:firstLine="480" w:firstLineChars="200"/>
        <w:rPr>
          <w:rFonts w:ascii="??_GB2312" w:hAnsi="仿宋" w:eastAsia="Times New Roman"/>
          <w:szCs w:val="24"/>
        </w:rPr>
      </w:pPr>
      <w:r>
        <w:rPr>
          <w:rFonts w:ascii="??_GB2312" w:hAnsi="仿宋" w:eastAsia="Times New Roman"/>
          <w:szCs w:val="24"/>
        </w:rPr>
        <w:t>4、移动终端标准：移动终端空口补充规定、 移动终端拨号规则、移动终端接口标准；</w:t>
      </w:r>
    </w:p>
    <w:p>
      <w:pPr>
        <w:spacing w:before="156"/>
        <w:ind w:firstLine="480" w:firstLineChars="200"/>
        <w:rPr>
          <w:rFonts w:ascii="??_GB2312" w:hAnsi="仿宋" w:eastAsia="Times New Roman"/>
          <w:szCs w:val="24"/>
        </w:rPr>
      </w:pPr>
      <w:r>
        <w:rPr>
          <w:rFonts w:ascii="??_GB2312" w:hAnsi="仿宋" w:eastAsia="Times New Roman"/>
          <w:szCs w:val="24"/>
        </w:rPr>
        <w:t>5、兼容测试标准：系统互联测试标准、 移动终端测试标准。</w:t>
      </w:r>
    </w:p>
    <w:p>
      <w:pPr>
        <w:spacing w:before="156"/>
        <w:ind w:firstLine="480" w:firstLineChars="200"/>
        <w:rPr>
          <w:rFonts w:ascii="??_GB2312" w:hAnsi="仿宋" w:eastAsia="Times New Roman"/>
          <w:b/>
          <w:szCs w:val="24"/>
        </w:rPr>
      </w:pPr>
      <w:r>
        <w:rPr>
          <w:rFonts w:ascii="??_GB2312" w:hAnsi="仿宋" w:eastAsia="Times New Roman"/>
          <w:b/>
          <w:szCs w:val="24"/>
        </w:rPr>
        <w:t>（二）PDT系统系统设计要求</w:t>
      </w:r>
    </w:p>
    <w:p>
      <w:pPr>
        <w:spacing w:before="156"/>
        <w:ind w:firstLine="480" w:firstLineChars="200"/>
        <w:rPr>
          <w:rFonts w:ascii="??_GB2312" w:hAnsi="仿宋" w:eastAsia="Times New Roman"/>
          <w:b/>
          <w:szCs w:val="24"/>
        </w:rPr>
      </w:pPr>
      <w:r>
        <w:rPr>
          <w:rFonts w:ascii="??_GB2312" w:hAnsi="仿宋" w:eastAsia="Times New Roman"/>
          <w:szCs w:val="24"/>
        </w:rPr>
        <w:t>GA/T1056-2013《警用数字集群（PDT）通信系统 总体技术规范》</w:t>
      </w:r>
    </w:p>
    <w:p>
      <w:pPr>
        <w:spacing w:before="156"/>
        <w:ind w:firstLine="480" w:firstLineChars="200"/>
        <w:rPr>
          <w:rFonts w:ascii="??_GB2312" w:hAnsi="仿宋" w:eastAsia="Times New Roman"/>
          <w:szCs w:val="24"/>
        </w:rPr>
      </w:pPr>
      <w:r>
        <w:rPr>
          <w:rFonts w:ascii="??_GB2312" w:hAnsi="仿宋" w:eastAsia="Times New Roman"/>
          <w:szCs w:val="24"/>
        </w:rPr>
        <w:t>GA/T1057-2013《警用数字集群（PDT）通信系统 空中接口物理层及数据链路层技术规范》</w:t>
      </w:r>
    </w:p>
    <w:p>
      <w:pPr>
        <w:spacing w:before="156"/>
        <w:ind w:firstLine="480" w:firstLineChars="200"/>
        <w:rPr>
          <w:rFonts w:ascii="??_GB2312" w:hAnsi="仿宋" w:eastAsia="Times New Roman"/>
          <w:szCs w:val="24"/>
        </w:rPr>
      </w:pPr>
      <w:r>
        <w:rPr>
          <w:rFonts w:ascii="??_GB2312" w:hAnsi="仿宋" w:eastAsia="Times New Roman"/>
          <w:szCs w:val="24"/>
        </w:rPr>
        <w:t>GA/T1058-2013《警用数字集群（PDT）通信系统 空中接口呼叫控制层技术规范》</w:t>
      </w:r>
    </w:p>
    <w:p>
      <w:pPr>
        <w:spacing w:before="156"/>
        <w:ind w:firstLine="480" w:firstLineChars="200"/>
        <w:rPr>
          <w:rFonts w:ascii="??_GB2312" w:hAnsi="仿宋" w:eastAsia="Times New Roman"/>
          <w:szCs w:val="24"/>
        </w:rPr>
      </w:pPr>
      <w:r>
        <w:rPr>
          <w:rFonts w:ascii="??_GB2312" w:hAnsi="仿宋" w:eastAsia="Times New Roman"/>
          <w:szCs w:val="24"/>
        </w:rPr>
        <w:t>GA/T1059-2013《警用数字集群（PDT）通信系统 安全技术规范》</w:t>
      </w:r>
    </w:p>
    <w:p>
      <w:pPr>
        <w:spacing w:before="156"/>
        <w:ind w:firstLine="480" w:firstLineChars="200"/>
        <w:rPr>
          <w:rFonts w:ascii="??_GB2312" w:hAnsi="仿宋" w:eastAsia="Times New Roman"/>
          <w:szCs w:val="24"/>
        </w:rPr>
      </w:pPr>
      <w:r>
        <w:rPr>
          <w:rFonts w:ascii="??_GB2312" w:hAnsi="仿宋" w:eastAsia="Times New Roman"/>
          <w:szCs w:val="24"/>
        </w:rPr>
        <w:t>《PDT数字集群通信系统技术规范——总体技术规范》</w:t>
      </w:r>
    </w:p>
    <w:p>
      <w:pPr>
        <w:spacing w:before="156"/>
        <w:ind w:firstLine="480" w:firstLineChars="200"/>
        <w:rPr>
          <w:rFonts w:ascii="??_GB2312" w:hAnsi="仿宋" w:eastAsia="Times New Roman"/>
          <w:szCs w:val="24"/>
        </w:rPr>
      </w:pPr>
      <w:r>
        <w:rPr>
          <w:rFonts w:ascii="??_GB2312" w:hAnsi="仿宋" w:eastAsia="Times New Roman"/>
          <w:szCs w:val="24"/>
        </w:rPr>
        <w:t>《PDT数字集群通信系统技术规范——空中接口物理层及数据链路层》</w:t>
      </w:r>
    </w:p>
    <w:p>
      <w:pPr>
        <w:spacing w:before="156"/>
        <w:ind w:firstLine="480" w:firstLineChars="200"/>
        <w:rPr>
          <w:rFonts w:ascii="??_GB2312" w:hAnsi="仿宋" w:eastAsia="Times New Roman"/>
          <w:szCs w:val="24"/>
        </w:rPr>
      </w:pPr>
      <w:r>
        <w:rPr>
          <w:rFonts w:ascii="??_GB2312" w:hAnsi="仿宋" w:eastAsia="Times New Roman"/>
          <w:szCs w:val="24"/>
        </w:rPr>
        <w:t>《PDT数字集群通信系统技术规范——空中接口呼叫控制层》</w:t>
      </w:r>
    </w:p>
    <w:p>
      <w:pPr>
        <w:spacing w:before="156"/>
        <w:ind w:firstLine="480" w:firstLineChars="200"/>
        <w:rPr>
          <w:rFonts w:ascii="??_GB2312" w:hAnsi="仿宋" w:eastAsia="Times New Roman"/>
          <w:szCs w:val="24"/>
        </w:rPr>
      </w:pPr>
      <w:r>
        <w:rPr>
          <w:rFonts w:ascii="??_GB2312" w:hAnsi="仿宋" w:eastAsia="Times New Roman"/>
          <w:szCs w:val="24"/>
        </w:rPr>
        <w:t>《PDT数字集群通信系统技术规范——移动终端》</w:t>
      </w:r>
    </w:p>
    <w:p>
      <w:pPr>
        <w:spacing w:before="156"/>
        <w:ind w:firstLine="480" w:firstLineChars="200"/>
        <w:rPr>
          <w:rFonts w:ascii="??_GB2312" w:hAnsi="仿宋" w:eastAsia="Times New Roman"/>
          <w:szCs w:val="24"/>
        </w:rPr>
      </w:pPr>
      <w:r>
        <w:rPr>
          <w:rFonts w:ascii="??_GB2312" w:hAnsi="仿宋" w:eastAsia="Times New Roman"/>
          <w:szCs w:val="24"/>
        </w:rPr>
        <w:t>《警用数字集群（PDT）调度指挥通信网络规划指导书》</w:t>
      </w:r>
    </w:p>
    <w:p>
      <w:pPr>
        <w:spacing w:before="156"/>
        <w:ind w:firstLine="480" w:firstLineChars="200"/>
        <w:rPr>
          <w:rFonts w:ascii="??_GB2312" w:hAnsi="仿宋" w:eastAsia="Times New Roman"/>
          <w:szCs w:val="24"/>
        </w:rPr>
      </w:pPr>
      <w:r>
        <w:rPr>
          <w:rFonts w:ascii="??_GB2312" w:hAnsi="仿宋" w:eastAsia="Times New Roman"/>
          <w:szCs w:val="24"/>
        </w:rPr>
        <w:t>浙江省公安350兆（PDT）无线数字集群系统总体规划</w:t>
      </w:r>
    </w:p>
    <w:p>
      <w:pPr>
        <w:spacing w:before="156"/>
        <w:ind w:firstLine="480" w:firstLineChars="200"/>
        <w:rPr>
          <w:rFonts w:ascii="??_GB2312" w:hAnsi="仿宋" w:eastAsia="Times New Roman"/>
          <w:szCs w:val="24"/>
        </w:rPr>
      </w:pPr>
      <w:r>
        <w:rPr>
          <w:rFonts w:ascii="??_GB2312" w:hAnsi="仿宋" w:eastAsia="Times New Roman"/>
          <w:szCs w:val="24"/>
        </w:rPr>
        <w:t>浙江省公安350兆（PDT）无线数字集群系统技术建设方案</w:t>
      </w:r>
    </w:p>
    <w:p>
      <w:pPr>
        <w:spacing w:before="156"/>
        <w:ind w:firstLine="480" w:firstLineChars="200"/>
        <w:rPr>
          <w:rFonts w:ascii="??_GB2312" w:hAnsi="仿宋" w:eastAsia="Times New Roman"/>
          <w:szCs w:val="24"/>
        </w:rPr>
      </w:pPr>
      <w:r>
        <w:rPr>
          <w:rFonts w:ascii="??_GB2312" w:hAnsi="仿宋" w:eastAsia="Times New Roman"/>
          <w:szCs w:val="24"/>
        </w:rPr>
        <w:t>浙江省公安350兆（PDT）无线数字集群系统互联技术规范</w:t>
      </w:r>
    </w:p>
    <w:p>
      <w:pPr>
        <w:spacing w:before="156"/>
        <w:ind w:firstLine="480" w:firstLineChars="200"/>
        <w:rPr>
          <w:rFonts w:ascii="??_GB2312" w:hAnsi="仿宋" w:eastAsia="Times New Roman"/>
          <w:szCs w:val="24"/>
        </w:rPr>
      </w:pPr>
      <w:r>
        <w:rPr>
          <w:rFonts w:ascii="??_GB2312" w:hAnsi="仿宋" w:eastAsia="Times New Roman"/>
          <w:szCs w:val="24"/>
        </w:rPr>
        <w:t>浙江省公安350兆（PDT）无线数字集群系统基站规划</w:t>
      </w:r>
    </w:p>
    <w:p>
      <w:pPr>
        <w:spacing w:before="156"/>
        <w:ind w:firstLine="480" w:firstLineChars="200"/>
        <w:rPr>
          <w:rFonts w:ascii="??_GB2312" w:hAnsi="仿宋" w:eastAsia="Times New Roman"/>
          <w:szCs w:val="24"/>
        </w:rPr>
      </w:pPr>
      <w:r>
        <w:rPr>
          <w:rFonts w:ascii="??_GB2312" w:hAnsi="仿宋" w:eastAsia="Times New Roman"/>
          <w:szCs w:val="24"/>
        </w:rPr>
        <w:t>《浙江省公安厅关于全面推进全省公安350兆（PDT）无线数字集群系统建设工作的实施意见》浙公通字[2014]95号</w:t>
      </w:r>
    </w:p>
    <w:p>
      <w:pPr>
        <w:spacing w:before="156"/>
        <w:ind w:firstLine="480" w:firstLineChars="200"/>
        <w:rPr>
          <w:rFonts w:ascii="??_GB2312" w:hAnsi="仿宋" w:eastAsia="Times New Roman"/>
          <w:b/>
          <w:szCs w:val="24"/>
        </w:rPr>
      </w:pPr>
      <w:r>
        <w:rPr>
          <w:rFonts w:ascii="??_GB2312" w:hAnsi="仿宋" w:eastAsia="Times New Roman"/>
          <w:b/>
          <w:szCs w:val="24"/>
        </w:rPr>
        <w:t>（三）　PDT系统容量和覆盖要求</w:t>
      </w:r>
    </w:p>
    <w:p>
      <w:pPr>
        <w:spacing w:before="156"/>
        <w:ind w:firstLine="480" w:firstLineChars="200"/>
        <w:rPr>
          <w:rFonts w:ascii="??_GB2312" w:hAnsi="仿宋" w:eastAsia="Times New Roman"/>
          <w:szCs w:val="24"/>
        </w:rPr>
      </w:pPr>
      <w:r>
        <w:rPr>
          <w:rFonts w:ascii="??_GB2312" w:hAnsi="仿宋" w:eastAsia="Times New Roman"/>
          <w:szCs w:val="24"/>
        </w:rPr>
        <w:t>容量规划话务模型如下：</w:t>
      </w:r>
    </w:p>
    <w:p>
      <w:pPr>
        <w:spacing w:before="156"/>
        <w:ind w:firstLine="480" w:firstLineChars="200"/>
        <w:rPr>
          <w:rFonts w:ascii="??_GB2312" w:hAnsi="仿宋" w:eastAsia="Times New Roman"/>
          <w:szCs w:val="24"/>
        </w:rPr>
      </w:pPr>
      <w:r>
        <w:rPr>
          <w:rFonts w:hint="eastAsia" w:ascii="??_GB2312" w:hAnsi="仿宋" w:eastAsia="Times New Roman"/>
          <w:szCs w:val="24"/>
        </w:rPr>
        <w:t>◆</w:t>
      </w:r>
      <w:r>
        <w:rPr>
          <w:rFonts w:ascii="??_GB2312" w:hAnsi="仿宋" w:eastAsia="Times New Roman"/>
          <w:szCs w:val="24"/>
        </w:rPr>
        <w:t>用户分配比例：调度呼叫90%；电话呼叫5%；数据呼叫5%。</w:t>
      </w:r>
    </w:p>
    <w:p>
      <w:pPr>
        <w:spacing w:before="156"/>
        <w:ind w:firstLine="480" w:firstLineChars="200"/>
        <w:rPr>
          <w:rFonts w:ascii="??_GB2312" w:hAnsi="仿宋" w:eastAsia="Times New Roman"/>
          <w:szCs w:val="24"/>
        </w:rPr>
      </w:pPr>
      <w:r>
        <w:rPr>
          <w:rFonts w:hint="eastAsia" w:ascii="??_GB2312" w:hAnsi="仿宋" w:eastAsia="Times New Roman"/>
          <w:szCs w:val="24"/>
        </w:rPr>
        <w:t>◆</w:t>
      </w:r>
      <w:r>
        <w:rPr>
          <w:rFonts w:ascii="??_GB2312" w:hAnsi="仿宋" w:eastAsia="Times New Roman"/>
          <w:szCs w:val="24"/>
        </w:rPr>
        <w:t>调度用户忙时话务量：0.01Erl/户。</w:t>
      </w:r>
    </w:p>
    <w:p>
      <w:pPr>
        <w:spacing w:before="156"/>
        <w:ind w:firstLine="480" w:firstLineChars="200"/>
        <w:rPr>
          <w:rFonts w:ascii="??_GB2312" w:hAnsi="仿宋" w:eastAsia="Times New Roman"/>
          <w:szCs w:val="24"/>
        </w:rPr>
      </w:pPr>
      <w:r>
        <w:rPr>
          <w:rFonts w:hint="eastAsia" w:ascii="??_GB2312" w:hAnsi="仿宋" w:eastAsia="Times New Roman"/>
          <w:szCs w:val="24"/>
        </w:rPr>
        <w:t>◆</w:t>
      </w:r>
      <w:r>
        <w:rPr>
          <w:rFonts w:ascii="??_GB2312" w:hAnsi="仿宋" w:eastAsia="Times New Roman"/>
          <w:szCs w:val="24"/>
        </w:rPr>
        <w:t>电话互联忙时话务量：0.02Erl/户。</w:t>
      </w:r>
    </w:p>
    <w:p>
      <w:pPr>
        <w:spacing w:before="156"/>
        <w:ind w:firstLine="480" w:firstLineChars="200"/>
        <w:rPr>
          <w:rFonts w:ascii="??_GB2312" w:hAnsi="仿宋" w:eastAsia="Times New Roman"/>
          <w:szCs w:val="24"/>
        </w:rPr>
      </w:pPr>
      <w:r>
        <w:rPr>
          <w:rFonts w:hint="eastAsia" w:ascii="??_GB2312" w:hAnsi="仿宋" w:eastAsia="Times New Roman"/>
          <w:szCs w:val="24"/>
        </w:rPr>
        <w:t>◆</w:t>
      </w:r>
      <w:r>
        <w:rPr>
          <w:rFonts w:ascii="??_GB2312" w:hAnsi="仿宋" w:eastAsia="Times New Roman"/>
          <w:szCs w:val="24"/>
        </w:rPr>
        <w:t>数据用户忙时话务量：0.04Erl/户。</w:t>
      </w:r>
    </w:p>
    <w:p>
      <w:pPr>
        <w:spacing w:before="156"/>
        <w:ind w:firstLine="480" w:firstLineChars="200"/>
        <w:rPr>
          <w:rFonts w:ascii="??_GB2312" w:hAnsi="仿宋" w:eastAsia="Times New Roman"/>
          <w:szCs w:val="24"/>
        </w:rPr>
      </w:pPr>
      <w:r>
        <w:rPr>
          <w:rFonts w:hint="eastAsia" w:ascii="??_GB2312" w:hAnsi="仿宋" w:eastAsia="Times New Roman"/>
          <w:szCs w:val="24"/>
        </w:rPr>
        <w:t>◆</w:t>
      </w:r>
      <w:r>
        <w:rPr>
          <w:rFonts w:ascii="??_GB2312" w:hAnsi="仿宋" w:eastAsia="Times New Roman"/>
          <w:szCs w:val="24"/>
        </w:rPr>
        <w:t>综合取定每用户忙时平均话务量为0.01Erl/户。</w:t>
      </w:r>
    </w:p>
    <w:p>
      <w:pPr>
        <w:spacing w:before="156"/>
        <w:ind w:firstLine="480" w:firstLineChars="200"/>
        <w:rPr>
          <w:rFonts w:ascii="??_GB2312" w:hAnsi="仿宋" w:eastAsia="Times New Roman"/>
          <w:szCs w:val="24"/>
        </w:rPr>
      </w:pPr>
      <w:r>
        <w:rPr>
          <w:rFonts w:hint="eastAsia" w:ascii="??_GB2312" w:hAnsi="仿宋" w:eastAsia="Times New Roman"/>
          <w:szCs w:val="24"/>
        </w:rPr>
        <w:t>◆</w:t>
      </w:r>
      <w:r>
        <w:rPr>
          <w:rFonts w:ascii="??_GB2312" w:hAnsi="仿宋" w:eastAsia="Times New Roman"/>
          <w:szCs w:val="24"/>
        </w:rPr>
        <w:t>集群用户忙时排队概率：</w:t>
      </w:r>
      <w:r>
        <w:rPr>
          <w:rFonts w:hint="eastAsia" w:ascii="??_GB2312" w:hAnsi="仿宋" w:eastAsia="Times New Roman"/>
          <w:szCs w:val="24"/>
        </w:rPr>
        <w:t>≤</w:t>
      </w:r>
      <w:r>
        <w:rPr>
          <w:rFonts w:ascii="??_GB2312" w:hAnsi="仿宋" w:eastAsia="Times New Roman"/>
          <w:szCs w:val="24"/>
        </w:rPr>
        <w:t>5%。</w:t>
      </w:r>
    </w:p>
    <w:tbl>
      <w:tblPr>
        <w:tblStyle w:val="7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912"/>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9" w:type="dxa"/>
            <w:noWrap w:val="0"/>
            <w:vAlign w:val="center"/>
          </w:tcPr>
          <w:p>
            <w:pPr>
              <w:jc w:val="center"/>
              <w:rPr>
                <w:rFonts w:ascii="??_GB2312" w:hAnsi="仿宋" w:eastAsia="Times New Roman" w:cs="宋体"/>
                <w:szCs w:val="24"/>
              </w:rPr>
            </w:pPr>
            <w:r>
              <w:rPr>
                <w:rFonts w:ascii="??_GB2312" w:hAnsi="仿宋" w:eastAsia="Times New Roman" w:cs="宋体"/>
                <w:szCs w:val="24"/>
              </w:rPr>
              <w:t>序号</w:t>
            </w:r>
          </w:p>
        </w:tc>
        <w:tc>
          <w:tcPr>
            <w:tcW w:w="3912" w:type="dxa"/>
            <w:noWrap w:val="0"/>
            <w:vAlign w:val="center"/>
          </w:tcPr>
          <w:p>
            <w:pPr>
              <w:jc w:val="center"/>
              <w:rPr>
                <w:rFonts w:ascii="??_GB2312" w:hAnsi="仿宋" w:eastAsia="Times New Roman" w:cs="宋体"/>
                <w:szCs w:val="24"/>
              </w:rPr>
            </w:pPr>
            <w:r>
              <w:rPr>
                <w:rFonts w:ascii="??_GB2312" w:hAnsi="仿宋" w:eastAsia="Times New Roman" w:cs="宋体"/>
                <w:szCs w:val="24"/>
              </w:rPr>
              <w:t>覆盖区类型</w:t>
            </w:r>
          </w:p>
        </w:tc>
        <w:tc>
          <w:tcPr>
            <w:tcW w:w="3686" w:type="dxa"/>
            <w:noWrap w:val="0"/>
            <w:vAlign w:val="center"/>
          </w:tcPr>
          <w:p>
            <w:pPr>
              <w:jc w:val="center"/>
              <w:rPr>
                <w:rFonts w:ascii="??_GB2312" w:hAnsi="仿宋" w:eastAsia="Times New Roman" w:cs="宋体"/>
                <w:szCs w:val="24"/>
              </w:rPr>
            </w:pPr>
            <w:r>
              <w:rPr>
                <w:rFonts w:ascii="??_GB2312" w:hAnsi="仿宋" w:eastAsia="Times New Roman" w:cs="宋体"/>
                <w:szCs w:val="24"/>
              </w:rPr>
              <w:t>覆盖目标及场强要求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49" w:type="dxa"/>
            <w:noWrap w:val="0"/>
            <w:vAlign w:val="center"/>
          </w:tcPr>
          <w:p>
            <w:pPr>
              <w:jc w:val="center"/>
              <w:rPr>
                <w:rFonts w:ascii="??_GB2312" w:hAnsi="仿宋" w:eastAsia="Times New Roman" w:cs="宋体"/>
                <w:szCs w:val="24"/>
              </w:rPr>
            </w:pPr>
            <w:r>
              <w:rPr>
                <w:rFonts w:ascii="??_GB2312" w:hAnsi="仿宋" w:eastAsia="Times New Roman" w:cs="宋体"/>
                <w:szCs w:val="24"/>
              </w:rPr>
              <w:t>1</w:t>
            </w:r>
          </w:p>
        </w:tc>
        <w:tc>
          <w:tcPr>
            <w:tcW w:w="3912" w:type="dxa"/>
            <w:noWrap w:val="0"/>
            <w:vAlign w:val="center"/>
          </w:tcPr>
          <w:p>
            <w:pPr>
              <w:rPr>
                <w:rFonts w:ascii="??_GB2312" w:hAnsi="仿宋" w:eastAsia="Times New Roman" w:cs="宋体"/>
                <w:szCs w:val="24"/>
              </w:rPr>
            </w:pPr>
            <w:r>
              <w:rPr>
                <w:rFonts w:ascii="??_GB2312" w:hAnsi="仿宋" w:eastAsia="Times New Roman" w:cs="宋体"/>
                <w:szCs w:val="24"/>
              </w:rPr>
              <w:t>高密度市区城市中心地带、人口密集地区、重要部门及各级政府所在区域，工业、交通枢纽等重要地区、***所在地</w:t>
            </w:r>
          </w:p>
        </w:tc>
        <w:tc>
          <w:tcPr>
            <w:tcW w:w="3686" w:type="dxa"/>
            <w:noWrap w:val="0"/>
            <w:vAlign w:val="center"/>
          </w:tcPr>
          <w:p>
            <w:pPr>
              <w:rPr>
                <w:rFonts w:ascii="??_GB2312" w:hAnsi="仿宋" w:eastAsia="Times New Roman" w:cs="宋体"/>
                <w:szCs w:val="24"/>
              </w:rPr>
            </w:pPr>
            <w:r>
              <w:rPr>
                <w:rFonts w:ascii="??_GB2312" w:hAnsi="仿宋" w:eastAsia="Times New Roman" w:cs="宋体"/>
                <w:szCs w:val="24"/>
              </w:rPr>
              <w:t>达到-80dBm以上的面积覆盖率为90%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9" w:type="dxa"/>
            <w:noWrap w:val="0"/>
            <w:vAlign w:val="center"/>
          </w:tcPr>
          <w:p>
            <w:pPr>
              <w:jc w:val="center"/>
              <w:rPr>
                <w:rFonts w:ascii="??_GB2312" w:hAnsi="仿宋" w:eastAsia="Times New Roman" w:cs="宋体"/>
                <w:szCs w:val="24"/>
              </w:rPr>
            </w:pPr>
            <w:r>
              <w:rPr>
                <w:rFonts w:ascii="??_GB2312" w:hAnsi="仿宋" w:eastAsia="Times New Roman" w:cs="宋体"/>
                <w:szCs w:val="24"/>
              </w:rPr>
              <w:t>2</w:t>
            </w:r>
          </w:p>
        </w:tc>
        <w:tc>
          <w:tcPr>
            <w:tcW w:w="3912" w:type="dxa"/>
            <w:noWrap w:val="0"/>
            <w:vAlign w:val="center"/>
          </w:tcPr>
          <w:p>
            <w:pPr>
              <w:rPr>
                <w:rFonts w:ascii="??_GB2312" w:hAnsi="仿宋" w:eastAsia="Times New Roman" w:cs="宋体"/>
                <w:szCs w:val="24"/>
              </w:rPr>
            </w:pPr>
            <w:r>
              <w:rPr>
                <w:rFonts w:ascii="??_GB2312" w:hAnsi="仿宋" w:eastAsia="Times New Roman" w:cs="宋体"/>
                <w:szCs w:val="24"/>
              </w:rPr>
              <w:t>主要道路（国道、省道、县道）重要村镇</w:t>
            </w:r>
          </w:p>
        </w:tc>
        <w:tc>
          <w:tcPr>
            <w:tcW w:w="3686" w:type="dxa"/>
            <w:noWrap w:val="0"/>
            <w:vAlign w:val="center"/>
          </w:tcPr>
          <w:p>
            <w:pPr>
              <w:rPr>
                <w:rFonts w:ascii="??_GB2312" w:hAnsi="仿宋" w:eastAsia="Times New Roman" w:cs="宋体"/>
                <w:szCs w:val="24"/>
              </w:rPr>
            </w:pPr>
            <w:r>
              <w:rPr>
                <w:rFonts w:ascii="??_GB2312" w:hAnsi="仿宋" w:eastAsia="Times New Roman" w:cs="宋体"/>
                <w:szCs w:val="24"/>
              </w:rPr>
              <w:t>达到-85dBm以上的面积覆盖率为90%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9" w:type="dxa"/>
            <w:noWrap w:val="0"/>
            <w:vAlign w:val="center"/>
          </w:tcPr>
          <w:p>
            <w:pPr>
              <w:jc w:val="center"/>
              <w:rPr>
                <w:rFonts w:ascii="??_GB2312" w:hAnsi="仿宋" w:eastAsia="Times New Roman" w:cs="宋体"/>
                <w:szCs w:val="24"/>
              </w:rPr>
            </w:pPr>
            <w:r>
              <w:rPr>
                <w:rFonts w:ascii="??_GB2312" w:hAnsi="仿宋" w:eastAsia="Times New Roman" w:cs="宋体"/>
                <w:szCs w:val="24"/>
              </w:rPr>
              <w:t>3</w:t>
            </w:r>
          </w:p>
        </w:tc>
        <w:tc>
          <w:tcPr>
            <w:tcW w:w="3912" w:type="dxa"/>
            <w:noWrap w:val="0"/>
            <w:vAlign w:val="center"/>
          </w:tcPr>
          <w:p>
            <w:pPr>
              <w:rPr>
                <w:rFonts w:ascii="??_GB2312" w:hAnsi="仿宋" w:eastAsia="Times New Roman" w:cs="宋体"/>
                <w:szCs w:val="24"/>
              </w:rPr>
            </w:pPr>
            <w:r>
              <w:rPr>
                <w:rFonts w:ascii="??_GB2312" w:hAnsi="仿宋" w:eastAsia="Times New Roman" w:cs="宋体"/>
                <w:szCs w:val="24"/>
              </w:rPr>
              <w:t>一般地区、乡道</w:t>
            </w:r>
          </w:p>
        </w:tc>
        <w:tc>
          <w:tcPr>
            <w:tcW w:w="3686" w:type="dxa"/>
            <w:noWrap w:val="0"/>
            <w:vAlign w:val="center"/>
          </w:tcPr>
          <w:p>
            <w:pPr>
              <w:rPr>
                <w:rFonts w:ascii="??_GB2312" w:hAnsi="仿宋" w:eastAsia="Times New Roman" w:cs="宋体"/>
                <w:szCs w:val="24"/>
              </w:rPr>
            </w:pPr>
            <w:r>
              <w:rPr>
                <w:rFonts w:ascii="??_GB2312" w:hAnsi="仿宋" w:eastAsia="Times New Roman" w:cs="宋体"/>
                <w:szCs w:val="24"/>
              </w:rPr>
              <w:t>达到-90dBm以上的面积覆盖率为90%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9" w:type="dxa"/>
            <w:noWrap w:val="0"/>
            <w:vAlign w:val="center"/>
          </w:tcPr>
          <w:p>
            <w:pPr>
              <w:jc w:val="center"/>
              <w:rPr>
                <w:rFonts w:ascii="??_GB2312" w:hAnsi="仿宋" w:eastAsia="Times New Roman" w:cs="宋体"/>
                <w:szCs w:val="24"/>
              </w:rPr>
            </w:pPr>
            <w:r>
              <w:rPr>
                <w:rFonts w:ascii="??_GB2312" w:hAnsi="仿宋" w:eastAsia="Times New Roman" w:cs="宋体"/>
                <w:szCs w:val="24"/>
              </w:rPr>
              <w:t>4</w:t>
            </w:r>
          </w:p>
        </w:tc>
        <w:tc>
          <w:tcPr>
            <w:tcW w:w="3912" w:type="dxa"/>
            <w:noWrap w:val="0"/>
            <w:vAlign w:val="center"/>
          </w:tcPr>
          <w:p>
            <w:pPr>
              <w:rPr>
                <w:rFonts w:ascii="??_GB2312" w:hAnsi="仿宋" w:eastAsia="Times New Roman" w:cs="宋体"/>
                <w:szCs w:val="24"/>
              </w:rPr>
            </w:pPr>
            <w:r>
              <w:rPr>
                <w:rFonts w:ascii="??_GB2312" w:hAnsi="仿宋" w:eastAsia="Times New Roman" w:cs="宋体"/>
                <w:szCs w:val="24"/>
              </w:rPr>
              <w:t>其他周边地区</w:t>
            </w:r>
          </w:p>
        </w:tc>
        <w:tc>
          <w:tcPr>
            <w:tcW w:w="3686" w:type="dxa"/>
            <w:noWrap w:val="0"/>
            <w:vAlign w:val="center"/>
          </w:tcPr>
          <w:p>
            <w:pPr>
              <w:rPr>
                <w:rFonts w:ascii="??_GB2312" w:hAnsi="仿宋" w:eastAsia="Times New Roman" w:cs="宋体"/>
                <w:szCs w:val="24"/>
              </w:rPr>
            </w:pPr>
            <w:r>
              <w:rPr>
                <w:rFonts w:ascii="??_GB2312" w:hAnsi="仿宋" w:eastAsia="Times New Roman" w:cs="宋体"/>
                <w:szCs w:val="24"/>
              </w:rPr>
              <w:t>达到-95dBm以上的面积覆盖率为90%</w:t>
            </w:r>
          </w:p>
        </w:tc>
      </w:tr>
    </w:tbl>
    <w:p>
      <w:pPr>
        <w:spacing w:before="156"/>
        <w:ind w:firstLine="480" w:firstLineChars="200"/>
        <w:rPr>
          <w:rFonts w:ascii="??_GB2312" w:hAnsi="仿宋" w:eastAsia="Times New Roman"/>
          <w:szCs w:val="24"/>
        </w:rPr>
      </w:pPr>
      <w:r>
        <w:rPr>
          <w:rFonts w:ascii="??_GB2312" w:hAnsi="仿宋" w:eastAsia="Times New Roman"/>
          <w:szCs w:val="24"/>
        </w:rPr>
        <w:t>要求系统建成后满足对指定地域及路线的有效覆盖，投标文件中应详细描述无线覆盖目标区域的覆盖效果。</w:t>
      </w:r>
    </w:p>
    <w:p>
      <w:pPr>
        <w:spacing w:before="156"/>
        <w:ind w:firstLine="480" w:firstLineChars="200"/>
        <w:rPr>
          <w:rFonts w:ascii="??_GB2312" w:hAnsi="仿宋" w:eastAsia="Times New Roman"/>
          <w:b/>
          <w:szCs w:val="24"/>
        </w:rPr>
      </w:pPr>
      <w:r>
        <w:rPr>
          <w:rFonts w:ascii="??_GB2312" w:hAnsi="仿宋" w:eastAsia="Times New Roman"/>
          <w:b/>
          <w:szCs w:val="24"/>
        </w:rPr>
        <w:t>（四）网络性能要求</w:t>
      </w:r>
    </w:p>
    <w:p>
      <w:pPr>
        <w:spacing w:before="156"/>
        <w:ind w:firstLine="480" w:firstLineChars="200"/>
        <w:rPr>
          <w:rFonts w:ascii="??_GB2312" w:hAnsi="仿宋" w:eastAsia="Times New Roman"/>
          <w:szCs w:val="24"/>
        </w:rPr>
      </w:pPr>
      <w:r>
        <w:rPr>
          <w:rFonts w:ascii="??_GB2312" w:hAnsi="仿宋" w:eastAsia="Times New Roman"/>
          <w:szCs w:val="24"/>
        </w:rPr>
        <w:t>本PDT系统应满足以下网络服务指标要求：</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84"/>
        <w:gridCol w:w="425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8" w:type="dxa"/>
            <w:noWrap w:val="0"/>
            <w:vAlign w:val="center"/>
          </w:tcPr>
          <w:p>
            <w:pPr>
              <w:jc w:val="center"/>
              <w:rPr>
                <w:rFonts w:ascii="??_GB2312" w:hAnsi="仿宋" w:eastAsia="Times New Roman" w:cs="宋体"/>
                <w:b/>
                <w:szCs w:val="24"/>
              </w:rPr>
            </w:pPr>
            <w:r>
              <w:rPr>
                <w:rFonts w:ascii="??_GB2312" w:hAnsi="仿宋" w:eastAsia="Times New Roman" w:cs="宋体"/>
                <w:b/>
                <w:szCs w:val="24"/>
              </w:rPr>
              <w:t>序号</w:t>
            </w:r>
          </w:p>
        </w:tc>
        <w:tc>
          <w:tcPr>
            <w:tcW w:w="1984" w:type="dxa"/>
            <w:noWrap w:val="0"/>
            <w:vAlign w:val="center"/>
          </w:tcPr>
          <w:p>
            <w:pPr>
              <w:jc w:val="center"/>
              <w:rPr>
                <w:rFonts w:ascii="??_GB2312" w:hAnsi="仿宋" w:eastAsia="Times New Roman" w:cs="宋体"/>
                <w:b/>
                <w:szCs w:val="24"/>
              </w:rPr>
            </w:pPr>
            <w:r>
              <w:rPr>
                <w:rFonts w:ascii="??_GB2312" w:hAnsi="仿宋" w:eastAsia="Times New Roman" w:cs="宋体"/>
                <w:b/>
                <w:szCs w:val="24"/>
              </w:rPr>
              <w:t>网络服务指标</w:t>
            </w:r>
          </w:p>
        </w:tc>
        <w:tc>
          <w:tcPr>
            <w:tcW w:w="4253" w:type="dxa"/>
            <w:noWrap w:val="0"/>
            <w:vAlign w:val="center"/>
          </w:tcPr>
          <w:p>
            <w:pPr>
              <w:jc w:val="center"/>
              <w:rPr>
                <w:rFonts w:ascii="??_GB2312" w:hAnsi="仿宋" w:eastAsia="Times New Roman" w:cs="宋体"/>
                <w:b/>
                <w:szCs w:val="24"/>
              </w:rPr>
            </w:pPr>
            <w:r>
              <w:rPr>
                <w:rFonts w:ascii="??_GB2312" w:hAnsi="仿宋" w:eastAsia="Times New Roman" w:cs="宋体"/>
                <w:b/>
                <w:szCs w:val="24"/>
              </w:rPr>
              <w:t>参数的定义或者解释</w:t>
            </w:r>
          </w:p>
        </w:tc>
        <w:tc>
          <w:tcPr>
            <w:tcW w:w="1524" w:type="dxa"/>
            <w:noWrap w:val="0"/>
            <w:vAlign w:val="center"/>
          </w:tcPr>
          <w:p>
            <w:pPr>
              <w:jc w:val="center"/>
              <w:rPr>
                <w:rFonts w:ascii="??_GB2312" w:hAnsi="仿宋" w:eastAsia="Times New Roman" w:cs="宋体"/>
                <w:b/>
                <w:szCs w:val="24"/>
              </w:rPr>
            </w:pPr>
            <w:r>
              <w:rPr>
                <w:rFonts w:ascii="??_GB2312" w:hAnsi="仿宋" w:eastAsia="Times New Roman" w:cs="宋体"/>
                <w:b/>
                <w:szCs w:val="24"/>
              </w:rPr>
              <w:t>典型取值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noWrap w:val="0"/>
            <w:vAlign w:val="center"/>
          </w:tcPr>
          <w:p>
            <w:pPr>
              <w:jc w:val="center"/>
              <w:rPr>
                <w:rFonts w:ascii="??_GB2312" w:hAnsi="仿宋" w:eastAsia="Times New Roman" w:cs="宋体"/>
                <w:szCs w:val="24"/>
              </w:rPr>
            </w:pPr>
            <w:r>
              <w:rPr>
                <w:rFonts w:ascii="??_GB2312" w:hAnsi="仿宋" w:eastAsia="Times New Roman" w:cs="宋体"/>
                <w:szCs w:val="24"/>
              </w:rPr>
              <w:t>1</w:t>
            </w:r>
          </w:p>
        </w:tc>
        <w:tc>
          <w:tcPr>
            <w:tcW w:w="1984" w:type="dxa"/>
            <w:noWrap w:val="0"/>
            <w:vAlign w:val="center"/>
          </w:tcPr>
          <w:p>
            <w:pPr>
              <w:jc w:val="center"/>
              <w:rPr>
                <w:rFonts w:ascii="??_GB2312" w:hAnsi="仿宋" w:eastAsia="Times New Roman" w:cs="宋体"/>
                <w:szCs w:val="24"/>
              </w:rPr>
            </w:pPr>
            <w:r>
              <w:rPr>
                <w:rFonts w:ascii="??_GB2312" w:hAnsi="仿宋" w:eastAsia="Times New Roman" w:cs="宋体"/>
                <w:szCs w:val="24"/>
              </w:rPr>
              <w:t>网络可用性</w:t>
            </w:r>
          </w:p>
        </w:tc>
        <w:tc>
          <w:tcPr>
            <w:tcW w:w="4253" w:type="dxa"/>
            <w:noWrap w:val="0"/>
            <w:vAlign w:val="center"/>
          </w:tcPr>
          <w:p>
            <w:pPr>
              <w:jc w:val="center"/>
              <w:rPr>
                <w:rFonts w:ascii="??_GB2312" w:hAnsi="仿宋" w:eastAsia="Times New Roman" w:cs="宋体"/>
                <w:szCs w:val="24"/>
              </w:rPr>
            </w:pPr>
            <w:r>
              <w:rPr>
                <w:rFonts w:ascii="??_GB2312" w:hAnsi="仿宋" w:eastAsia="Times New Roman" w:cs="宋体"/>
                <w:szCs w:val="24"/>
              </w:rPr>
              <w:t>全部网络可用的时间占比</w:t>
            </w:r>
          </w:p>
        </w:tc>
        <w:tc>
          <w:tcPr>
            <w:tcW w:w="1524" w:type="dxa"/>
            <w:noWrap w:val="0"/>
            <w:vAlign w:val="center"/>
          </w:tcPr>
          <w:p>
            <w:pPr>
              <w:jc w:val="center"/>
              <w:rPr>
                <w:rFonts w:ascii="??_GB2312" w:hAnsi="仿宋" w:eastAsia="Times New Roman" w:cs="宋体"/>
                <w:szCs w:val="24"/>
              </w:rPr>
            </w:pPr>
            <w:r>
              <w:rPr>
                <w:rFonts w:ascii="??_GB2312" w:hAnsi="仿宋" w:eastAsia="Times New Roman" w:cs="宋体"/>
                <w:szCs w:val="24"/>
              </w:rPr>
              <w:t>&gt;99%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jc w:val="center"/>
              <w:rPr>
                <w:rFonts w:ascii="??_GB2312" w:hAnsi="仿宋" w:eastAsia="Times New Roman" w:cs="宋体"/>
                <w:szCs w:val="24"/>
              </w:rPr>
            </w:pPr>
            <w:r>
              <w:rPr>
                <w:rFonts w:ascii="??_GB2312" w:hAnsi="仿宋" w:eastAsia="Times New Roman" w:cs="宋体"/>
                <w:szCs w:val="24"/>
              </w:rPr>
              <w:t>2</w:t>
            </w:r>
          </w:p>
        </w:tc>
        <w:tc>
          <w:tcPr>
            <w:tcW w:w="1984" w:type="dxa"/>
            <w:noWrap w:val="0"/>
            <w:vAlign w:val="center"/>
          </w:tcPr>
          <w:p>
            <w:pPr>
              <w:jc w:val="center"/>
              <w:rPr>
                <w:rFonts w:ascii="??_GB2312" w:hAnsi="仿宋" w:eastAsia="Times New Roman" w:cs="宋体"/>
                <w:szCs w:val="24"/>
              </w:rPr>
            </w:pPr>
            <w:r>
              <w:rPr>
                <w:rFonts w:ascii="??_GB2312" w:hAnsi="仿宋" w:eastAsia="Times New Roman" w:cs="宋体"/>
                <w:szCs w:val="24"/>
              </w:rPr>
              <w:t>无线信道可用率</w:t>
            </w:r>
          </w:p>
        </w:tc>
        <w:tc>
          <w:tcPr>
            <w:tcW w:w="4253" w:type="dxa"/>
            <w:noWrap w:val="0"/>
            <w:vAlign w:val="center"/>
          </w:tcPr>
          <w:p>
            <w:pPr>
              <w:jc w:val="center"/>
              <w:rPr>
                <w:rFonts w:ascii="??_GB2312" w:hAnsi="仿宋" w:eastAsia="Times New Roman" w:cs="宋体"/>
                <w:szCs w:val="24"/>
              </w:rPr>
            </w:pPr>
            <w:r>
              <w:rPr>
                <w:rFonts w:ascii="??_GB2312" w:hAnsi="仿宋" w:eastAsia="Times New Roman" w:cs="宋体"/>
                <w:szCs w:val="24"/>
              </w:rPr>
              <w:t>可用的无线信道占总配置无线信道比例</w:t>
            </w:r>
          </w:p>
        </w:tc>
        <w:tc>
          <w:tcPr>
            <w:tcW w:w="1524" w:type="dxa"/>
            <w:noWrap w:val="0"/>
            <w:vAlign w:val="center"/>
          </w:tcPr>
          <w:p>
            <w:pPr>
              <w:jc w:val="center"/>
              <w:rPr>
                <w:rFonts w:ascii="??_GB2312" w:hAnsi="仿宋" w:eastAsia="Times New Roman" w:cs="宋体"/>
                <w:szCs w:val="24"/>
              </w:rPr>
            </w:pPr>
            <w:r>
              <w:rPr>
                <w:rFonts w:ascii="??_GB2312" w:hAnsi="仿宋" w:eastAsia="Times New Roman" w:cs="宋体"/>
                <w:szCs w:val="24"/>
              </w:rPr>
              <w:t>90%－96%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jc w:val="center"/>
              <w:rPr>
                <w:rFonts w:ascii="??_GB2312" w:hAnsi="仿宋" w:eastAsia="Times New Roman" w:cs="宋体"/>
                <w:szCs w:val="24"/>
              </w:rPr>
            </w:pPr>
            <w:r>
              <w:rPr>
                <w:rFonts w:ascii="??_GB2312" w:hAnsi="仿宋" w:eastAsia="Times New Roman" w:cs="宋体"/>
                <w:szCs w:val="24"/>
              </w:rPr>
              <w:t>3</w:t>
            </w:r>
          </w:p>
        </w:tc>
        <w:tc>
          <w:tcPr>
            <w:tcW w:w="1984" w:type="dxa"/>
            <w:noWrap w:val="0"/>
            <w:vAlign w:val="center"/>
          </w:tcPr>
          <w:p>
            <w:pPr>
              <w:jc w:val="center"/>
              <w:rPr>
                <w:rFonts w:ascii="??_GB2312" w:hAnsi="仿宋" w:eastAsia="Times New Roman" w:cs="宋体"/>
                <w:szCs w:val="24"/>
              </w:rPr>
            </w:pPr>
            <w:r>
              <w:rPr>
                <w:rFonts w:ascii="??_GB2312" w:hAnsi="仿宋" w:eastAsia="Times New Roman" w:cs="宋体"/>
                <w:szCs w:val="24"/>
              </w:rPr>
              <w:t>网络接通率</w:t>
            </w:r>
          </w:p>
        </w:tc>
        <w:tc>
          <w:tcPr>
            <w:tcW w:w="4253" w:type="dxa"/>
            <w:noWrap w:val="0"/>
            <w:vAlign w:val="center"/>
          </w:tcPr>
          <w:p>
            <w:pPr>
              <w:jc w:val="center"/>
              <w:rPr>
                <w:rFonts w:ascii="??_GB2312" w:hAnsi="仿宋" w:eastAsia="Times New Roman" w:cs="宋体"/>
                <w:szCs w:val="24"/>
              </w:rPr>
            </w:pPr>
            <w:r>
              <w:rPr>
                <w:rFonts w:ascii="??_GB2312" w:hAnsi="仿宋" w:eastAsia="Times New Roman" w:cs="宋体"/>
                <w:szCs w:val="24"/>
              </w:rPr>
              <w:t>呼叫不可用的全部次数与总有效呼叫次数之比</w:t>
            </w:r>
          </w:p>
        </w:tc>
        <w:tc>
          <w:tcPr>
            <w:tcW w:w="1524" w:type="dxa"/>
            <w:noWrap w:val="0"/>
            <w:vAlign w:val="center"/>
          </w:tcPr>
          <w:p>
            <w:pPr>
              <w:jc w:val="center"/>
              <w:rPr>
                <w:rFonts w:ascii="??_GB2312" w:hAnsi="仿宋" w:eastAsia="Times New Roman" w:cs="宋体"/>
                <w:szCs w:val="24"/>
              </w:rPr>
            </w:pPr>
            <w:r>
              <w:rPr>
                <w:rFonts w:ascii="??_GB2312" w:hAnsi="仿宋" w:eastAsia="Times New Roman" w:cs="宋体"/>
                <w:szCs w:val="24"/>
              </w:rPr>
              <w:t>90%－98%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48" w:type="dxa"/>
            <w:noWrap w:val="0"/>
            <w:vAlign w:val="center"/>
          </w:tcPr>
          <w:p>
            <w:pPr>
              <w:jc w:val="center"/>
              <w:rPr>
                <w:rFonts w:ascii="??_GB2312" w:hAnsi="仿宋" w:eastAsia="Times New Roman" w:cs="宋体"/>
                <w:szCs w:val="24"/>
              </w:rPr>
            </w:pPr>
            <w:r>
              <w:rPr>
                <w:rFonts w:ascii="??_GB2312" w:hAnsi="仿宋" w:eastAsia="Times New Roman" w:cs="宋体"/>
                <w:szCs w:val="24"/>
              </w:rPr>
              <w:t>4</w:t>
            </w:r>
          </w:p>
        </w:tc>
        <w:tc>
          <w:tcPr>
            <w:tcW w:w="1984" w:type="dxa"/>
            <w:noWrap w:val="0"/>
            <w:vAlign w:val="center"/>
          </w:tcPr>
          <w:p>
            <w:pPr>
              <w:jc w:val="center"/>
              <w:rPr>
                <w:rFonts w:ascii="??_GB2312" w:hAnsi="仿宋" w:eastAsia="Times New Roman" w:cs="宋体"/>
                <w:szCs w:val="24"/>
              </w:rPr>
            </w:pPr>
            <w:r>
              <w:rPr>
                <w:rFonts w:ascii="??_GB2312" w:hAnsi="仿宋" w:eastAsia="Times New Roman" w:cs="宋体"/>
                <w:szCs w:val="24"/>
              </w:rPr>
              <w:t>覆盖率</w:t>
            </w:r>
          </w:p>
        </w:tc>
        <w:tc>
          <w:tcPr>
            <w:tcW w:w="4253" w:type="dxa"/>
            <w:noWrap w:val="0"/>
            <w:vAlign w:val="center"/>
          </w:tcPr>
          <w:p>
            <w:pPr>
              <w:jc w:val="center"/>
              <w:rPr>
                <w:rFonts w:ascii="??_GB2312" w:hAnsi="仿宋" w:eastAsia="Times New Roman" w:cs="宋体"/>
                <w:szCs w:val="24"/>
              </w:rPr>
            </w:pPr>
            <w:r>
              <w:rPr>
                <w:rFonts w:ascii="??_GB2312" w:hAnsi="仿宋" w:eastAsia="Times New Roman" w:cs="宋体"/>
                <w:szCs w:val="24"/>
              </w:rPr>
              <w:t>接收电平大于某个门限值的面积比</w:t>
            </w:r>
          </w:p>
        </w:tc>
        <w:tc>
          <w:tcPr>
            <w:tcW w:w="1524" w:type="dxa"/>
            <w:noWrap w:val="0"/>
            <w:vAlign w:val="center"/>
          </w:tcPr>
          <w:p>
            <w:pPr>
              <w:jc w:val="center"/>
              <w:rPr>
                <w:rFonts w:ascii="??_GB2312" w:hAnsi="仿宋" w:eastAsia="Times New Roman" w:cs="宋体"/>
                <w:szCs w:val="24"/>
              </w:rPr>
            </w:pPr>
            <w:r>
              <w:rPr>
                <w:rFonts w:ascii="??_GB2312" w:hAnsi="仿宋" w:eastAsia="Times New Roman" w:cs="宋体"/>
                <w:szCs w:val="24"/>
              </w:rPr>
              <w:t>按需求给出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jc w:val="center"/>
              <w:rPr>
                <w:rFonts w:ascii="??_GB2312" w:hAnsi="仿宋" w:eastAsia="Times New Roman" w:cs="宋体"/>
                <w:szCs w:val="24"/>
              </w:rPr>
            </w:pPr>
            <w:r>
              <w:rPr>
                <w:rFonts w:ascii="??_GB2312" w:hAnsi="仿宋" w:eastAsia="Times New Roman" w:cs="宋体"/>
                <w:szCs w:val="24"/>
              </w:rPr>
              <w:t>5</w:t>
            </w:r>
          </w:p>
        </w:tc>
        <w:tc>
          <w:tcPr>
            <w:tcW w:w="1984" w:type="dxa"/>
            <w:noWrap w:val="0"/>
            <w:vAlign w:val="center"/>
          </w:tcPr>
          <w:p>
            <w:pPr>
              <w:jc w:val="center"/>
              <w:rPr>
                <w:rFonts w:ascii="??_GB2312" w:hAnsi="仿宋" w:eastAsia="Times New Roman" w:cs="宋体"/>
                <w:szCs w:val="24"/>
              </w:rPr>
            </w:pPr>
            <w:r>
              <w:rPr>
                <w:rFonts w:ascii="??_GB2312" w:hAnsi="仿宋" w:eastAsia="Times New Roman" w:cs="宋体"/>
                <w:szCs w:val="24"/>
              </w:rPr>
              <w:t>排队等待率</w:t>
            </w:r>
          </w:p>
        </w:tc>
        <w:tc>
          <w:tcPr>
            <w:tcW w:w="4253" w:type="dxa"/>
            <w:noWrap w:val="0"/>
            <w:vAlign w:val="center"/>
          </w:tcPr>
          <w:p>
            <w:pPr>
              <w:jc w:val="center"/>
              <w:rPr>
                <w:rFonts w:ascii="??_GB2312" w:hAnsi="仿宋" w:eastAsia="Times New Roman" w:cs="宋体"/>
                <w:szCs w:val="24"/>
              </w:rPr>
            </w:pPr>
            <w:r>
              <w:rPr>
                <w:rFonts w:ascii="??_GB2312" w:hAnsi="仿宋" w:eastAsia="Times New Roman" w:cs="宋体"/>
                <w:szCs w:val="24"/>
              </w:rPr>
              <w:t>同一基站信道满，用户排队等待空闲信道的概率</w:t>
            </w:r>
          </w:p>
        </w:tc>
        <w:tc>
          <w:tcPr>
            <w:tcW w:w="1524" w:type="dxa"/>
            <w:noWrap w:val="0"/>
            <w:vAlign w:val="center"/>
          </w:tcPr>
          <w:p>
            <w:pPr>
              <w:jc w:val="center"/>
              <w:rPr>
                <w:rFonts w:ascii="??_GB2312" w:hAnsi="仿宋" w:eastAsia="Times New Roman" w:cs="宋体"/>
                <w:szCs w:val="24"/>
              </w:rPr>
            </w:pPr>
            <w:r>
              <w:rPr>
                <w:rFonts w:ascii="??_GB2312" w:hAnsi="仿宋" w:eastAsia="Times New Roman" w:cs="宋体"/>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pPr>
              <w:jc w:val="center"/>
              <w:rPr>
                <w:rFonts w:ascii="??_GB2312" w:hAnsi="仿宋" w:eastAsia="Times New Roman" w:cs="宋体"/>
                <w:szCs w:val="24"/>
              </w:rPr>
            </w:pPr>
            <w:r>
              <w:rPr>
                <w:rFonts w:ascii="??_GB2312" w:hAnsi="仿宋" w:eastAsia="Times New Roman" w:cs="宋体"/>
                <w:szCs w:val="24"/>
              </w:rPr>
              <w:t>6</w:t>
            </w:r>
          </w:p>
        </w:tc>
        <w:tc>
          <w:tcPr>
            <w:tcW w:w="1984" w:type="dxa"/>
            <w:noWrap w:val="0"/>
            <w:vAlign w:val="center"/>
          </w:tcPr>
          <w:p>
            <w:pPr>
              <w:jc w:val="center"/>
              <w:rPr>
                <w:rFonts w:ascii="??_GB2312" w:hAnsi="仿宋" w:eastAsia="Times New Roman" w:cs="宋体"/>
                <w:szCs w:val="24"/>
              </w:rPr>
            </w:pPr>
            <w:r>
              <w:rPr>
                <w:rFonts w:ascii="??_GB2312" w:hAnsi="仿宋" w:eastAsia="Times New Roman" w:cs="宋体"/>
                <w:szCs w:val="24"/>
              </w:rPr>
              <w:t>呼叫接通延时</w:t>
            </w:r>
          </w:p>
        </w:tc>
        <w:tc>
          <w:tcPr>
            <w:tcW w:w="4253" w:type="dxa"/>
            <w:noWrap w:val="0"/>
            <w:vAlign w:val="center"/>
          </w:tcPr>
          <w:p>
            <w:pPr>
              <w:jc w:val="center"/>
              <w:rPr>
                <w:rFonts w:ascii="??_GB2312" w:hAnsi="仿宋" w:eastAsia="Times New Roman" w:cs="宋体"/>
                <w:szCs w:val="24"/>
              </w:rPr>
            </w:pPr>
            <w:r>
              <w:rPr>
                <w:rFonts w:ascii="??_GB2312" w:hAnsi="仿宋" w:eastAsia="Times New Roman" w:cs="宋体"/>
                <w:szCs w:val="24"/>
              </w:rPr>
              <w:t>用户发起呼叫至通话建立的等待时间</w:t>
            </w:r>
          </w:p>
        </w:tc>
        <w:tc>
          <w:tcPr>
            <w:tcW w:w="1524" w:type="dxa"/>
            <w:noWrap w:val="0"/>
            <w:vAlign w:val="center"/>
          </w:tcPr>
          <w:p>
            <w:pPr>
              <w:jc w:val="center"/>
              <w:rPr>
                <w:rFonts w:ascii="??_GB2312" w:hAnsi="仿宋" w:eastAsia="Times New Roman" w:cs="宋体"/>
                <w:szCs w:val="24"/>
              </w:rPr>
            </w:pPr>
            <w:r>
              <w:rPr>
                <w:rFonts w:ascii="??_GB2312" w:hAnsi="仿宋" w:eastAsia="Times New Roman" w:cs="宋体"/>
                <w:szCs w:val="24"/>
              </w:rPr>
              <w:t>&lt;500ms</w:t>
            </w:r>
          </w:p>
        </w:tc>
      </w:tr>
    </w:tbl>
    <w:p>
      <w:pPr>
        <w:spacing w:before="156" w:line="360" w:lineRule="auto"/>
        <w:ind w:firstLine="480" w:firstLineChars="200"/>
        <w:rPr>
          <w:rFonts w:ascii="??_GB2312" w:hAnsi="仿宋" w:eastAsia="Times New Roman"/>
          <w:szCs w:val="24"/>
        </w:rPr>
      </w:pPr>
      <w:r>
        <w:rPr>
          <w:rFonts w:ascii="??_GB2312" w:hAnsi="仿宋" w:eastAsia="Times New Roman"/>
          <w:b/>
          <w:szCs w:val="24"/>
        </w:rPr>
        <w:t>（五）可靠性要求</w:t>
      </w:r>
    </w:p>
    <w:p>
      <w:pPr>
        <w:spacing w:before="156" w:line="360" w:lineRule="auto"/>
        <w:ind w:firstLine="480" w:firstLineChars="200"/>
        <w:rPr>
          <w:rFonts w:ascii="??_GB2312" w:hAnsi="仿宋" w:eastAsia="Times New Roman"/>
          <w:szCs w:val="24"/>
        </w:rPr>
      </w:pPr>
      <w:r>
        <w:rPr>
          <w:rFonts w:ascii="??_GB2312" w:hAnsi="仿宋" w:eastAsia="Times New Roman"/>
          <w:szCs w:val="24"/>
        </w:rPr>
        <w:t>系统要求能够支持多控制信道，以防单一控制信道故障导致业务无法正常进行。同时，系统应采用高稳定时钟源主从同步方式进行网络同步。投标人应详细描述所提供系统设备的网络同步方式，并结合已有的工程经验对同步信源的安全冗余备份提出建议方案。</w:t>
      </w:r>
    </w:p>
    <w:p>
      <w:pPr>
        <w:spacing w:before="156" w:line="360" w:lineRule="auto"/>
        <w:ind w:firstLine="480" w:firstLineChars="200"/>
        <w:rPr>
          <w:rFonts w:ascii="??_GB2312" w:hAnsi="仿宋" w:eastAsia="Times New Roman"/>
          <w:szCs w:val="24"/>
        </w:rPr>
      </w:pPr>
      <w:r>
        <w:rPr>
          <w:rFonts w:ascii="??_GB2312" w:hAnsi="仿宋" w:eastAsia="Times New Roman"/>
          <w:szCs w:val="24"/>
        </w:rPr>
        <w:t>对所有基站要求配置GPS功能和北斗导航系统。</w:t>
      </w:r>
    </w:p>
    <w:p>
      <w:pPr>
        <w:spacing w:before="156" w:line="360" w:lineRule="auto"/>
        <w:ind w:firstLine="480" w:firstLineChars="200"/>
        <w:rPr>
          <w:rFonts w:ascii="??_GB2312" w:hAnsi="仿宋" w:eastAsia="Times New Roman"/>
          <w:b/>
          <w:szCs w:val="24"/>
        </w:rPr>
      </w:pPr>
      <w:r>
        <w:rPr>
          <w:rFonts w:ascii="??_GB2312" w:hAnsi="仿宋" w:eastAsia="Times New Roman"/>
          <w:b/>
          <w:szCs w:val="24"/>
        </w:rPr>
        <w:t>（六）可升级的先进性要求</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本次建设的数字群集通讯系统（PDT标准）是中国公安数字集群通讯标准，正处于试用完善期，为确保万无一失，要求本系统在必要时可以免费升级成为国际成熟的通讯TETRA数字群集系统，通过软件升级方式实现从PDT基站到TETRA基站的转型，从而无论如何都能保护好投资、以较低的投入，取得较大的可能的升值空间，更久地保持着系统的先进性和投资的保值性。</w:t>
      </w:r>
    </w:p>
    <w:p>
      <w:pPr>
        <w:spacing w:before="156" w:line="360" w:lineRule="auto"/>
        <w:ind w:firstLine="480" w:firstLineChars="200"/>
        <w:rPr>
          <w:rFonts w:ascii="??_GB2312" w:hAnsi="仿宋" w:eastAsia="Times New Roman"/>
          <w:szCs w:val="24"/>
        </w:rPr>
      </w:pPr>
      <w:r>
        <w:rPr>
          <w:rFonts w:ascii="??_GB2312" w:hAnsi="仿宋" w:eastAsia="Times New Roman"/>
          <w:b/>
          <w:szCs w:val="24"/>
        </w:rPr>
        <w:t>（七）互联互通要求</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要求系统具有标准的联网接口，可与任何符合国家、公安部与省厅PDT相关标准的数字集群系统进行互联互通。根据《浙江省厅的PDT无线数字集群通信系统互联技术规范》（征求意见稿）的要求，网络采用二级交换， 一级联网控制中心设置在省厅，二级联网控制中心设置在各市公安局，各区县级基站经2M链路汇聚后接入地市级交换中心，区县不设置交换中心设备。</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要求系统建成后能和模拟常规互通，实现原有模拟常规和数字PDT互联互通，要求保持较高的通话质量，不得采用车载台背靠背方式，或其他可导致话音质量下降的方式。</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系统要求具备和公网PSTN互通互联的能力。</w:t>
      </w:r>
    </w:p>
    <w:p>
      <w:pPr>
        <w:widowControl/>
        <w:spacing w:before="156" w:line="360" w:lineRule="auto"/>
        <w:ind w:right="240" w:rightChars="100" w:firstLine="480" w:firstLineChars="200"/>
        <w:rPr>
          <w:rFonts w:ascii="??_GB2312" w:hAnsi="仿宋" w:eastAsia="Times New Roman" w:cs="宋体"/>
          <w:b/>
          <w:bCs/>
          <w:kern w:val="0"/>
          <w:szCs w:val="24"/>
        </w:rPr>
      </w:pPr>
      <w:r>
        <w:rPr>
          <w:rFonts w:ascii="??_GB2312" w:hAnsi="仿宋" w:eastAsia="Times New Roman" w:cs="宋体"/>
          <w:b/>
          <w:bCs/>
          <w:kern w:val="0"/>
          <w:szCs w:val="24"/>
        </w:rPr>
        <w:t>（八）系统功能要求</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1、基本话音业务</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基本语音业务包括单呼</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组呼</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调度台互连呼叫</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电话互连呼叫</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系统全呼</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广播呼叫等。</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2、基本数据业务</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基本数据业务功能：短消息传输、短消息上拉、状态消息和紧急告警等基本数据业务。</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1）短消息传输：用户之间或用户与调度台之间发送短信。</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2）GPS上报：移动终端可根据时间、移动距离、时间和移动距离联合等条件设置GSP上报方式向系统发送GPS定位信息。</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3）状态消息：收发双方预先编码设定好的一些信息，如巡逻、加油等。</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 xml:space="preserve"> 4）紧急告警：是状态消息的一种，通常在移动终端发起紧急呼叫时使用。</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3、其它业务功能</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1）紧急呼叫</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紧急呼叫是指用户在紧急情况下发起的呼叫。</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2）呼叫优先级</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3）通话限时</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4）通话组/背景组扫描</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5）动态重组</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6）迟后进入</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7）环境侦听</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8）强拆/强插</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9）MS遥晕/复活</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10）遇忙排队和自动回叫</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11）自动重发</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12）呼叫显示</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13）呼叫提示</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14）主叫显示</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15）讲话方身份识别</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16）呼叫限制</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4、应用业务功能</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4.1全网录音功能</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系统具有全网录音功能，支持录音查询的回放、循环播放以及连续播放。</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4.2 GIS/ GPS/北斗可视化调度</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GIS/GPS和北斗定位系统的可视化调度功能，可方便的在地图上进行实时调度、警力资</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管理、框选、轨迹回放、测距、电子栅栏、锁定等操作。具体功能有：</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A、实时定位监控</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图标的显示</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用不同的图标表示不同类别的信号源，如人、车等；</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用不同的图标表示信号源不同的状态，如关机、无信号、长时间静止、超出巡逻区域或偏离预设路线（关机，即在指定的时间范围内，未上传GPS数据；无信号，即在指定的时间范围内，上传的均为无效GPS数据；长时间静止，在指定的时间范围内，信号源移动的距离不超过设定值）；</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标注的显示</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可自定义标注的文字内容，如持机人姓名、识别号、单位名称、单位缩写等；</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可显示或隐藏标注；</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信号源列表及操作，以树状按单位层级显示各信号源</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每个层级单位内不再创建子级单位（如队、组等），其成员直接为各个信号源</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当实时监控开始后，在信号源列表中左键单击某个信号源时，自动移动地图（保持当前的缩放比例不变），使该信号源对应的图标居中显示，并动画提示；在信号源列表中左键单击某个单位时，自动移动并缩放地图，使该单位下属的信号源显示在地图的可视范围内，并动画提示；</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右键点击单个信号源或单位可以提供常用的操作功能：发送短信、信号源或单位的基本信息，绑定持机人员；</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可任意勾选列表中的多个信号源，进行群发短信；</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图标的操作</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左键单击地图上某个信号源图标，弹出显示该信号源的详细信息，包括信号源类别（人或车）、持机人姓名、识别号、所属单位、经纬度坐标、速度、航向、日期时间、状态、联系方式（手机号码）等；</w:t>
      </w:r>
    </w:p>
    <w:p>
      <w:pPr>
        <w:widowControl/>
        <w:spacing w:before="156" w:line="360" w:lineRule="auto"/>
        <w:ind w:right="240" w:rightChars="100" w:firstLine="480" w:firstLineChars="200"/>
        <w:rPr>
          <w:rFonts w:ascii="??_GB2312" w:hAnsi="仿宋" w:eastAsia="Times New Roman" w:cs="宋体"/>
          <w:bCs/>
          <w:kern w:val="0"/>
          <w:szCs w:val="24"/>
        </w:rPr>
      </w:pPr>
      <w:r>
        <w:rPr>
          <w:rFonts w:ascii="??_GB2312" w:hAnsi="仿宋" w:eastAsia="Times New Roman" w:cs="宋体"/>
          <w:bCs/>
          <w:kern w:val="0"/>
          <w:szCs w:val="24"/>
        </w:rPr>
        <w:t xml:space="preserve"> B.右键单击地图上某个信号源图标，可以提供常用的操作功能：                发送短信、显示其所属单位的所有信号源，绑定持机人员；</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地图的显示及操作</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提供地图操作的基本工具：放大、缩小、移动、选择等；</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设备交接班，将信号源的识别号与实际持机者一一对应，并记录在交班班表中</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实时监控定位时，信号源图标应显示当前持机人的相关信息；</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历史轨迹回放时，应能根据交班表中记录的信号源、持机人和时间的对应关系，准确地显示当时持机人的相关信息；</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可以针对不同的信号源设定每天各个班次的持机人员名单，并保存在交接班表中，以供日后查询；</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巡逻区域与预设路线的设定</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可以自定义巡逻区域（圆形、矩形或任意多边形），并为信号源指定其巡逻范围（可包括一个或多个巡逻区域）。当信号源超出其巡逻范围时，以下列方式进行告警：</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在地图上用不同的图标表示告警状态；</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用所选的短信方式之一通知持有者：a) 只短信通知一次；b) 每次收到超出巡逻范围的GPS数据均发送短信通知；c) 在连续收到多次超出巡逻范围的GPS数据后发送短信通知；</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可以自定义巡逻路线，并为信号源指定其巡逻路线（可一条或多条）。在巡逻路线上可以设置多个巡更点，即在规定时间范围内必须到达指定的巡更点附近，时间误差和坐标误差值可以自行设定。如果在规定时间范围内未达到巡更点附近，以短信通知持机人和单位领导。</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历史轨迹查询</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历史轨迹的查询条件: 起止时间段是必需的查询条件。可以查询在指定时间段内以下信息：根据姓名或识别号，查询该人员、车辆或者信号源的历史运动轨,或是在地图上框选一定的区域（圆形、矩形或任意多边形），查询该区域在指定时间段内出现过的人员或车辆运动轨迹；</w:t>
      </w:r>
    </w:p>
    <w:p>
      <w:pPr>
        <w:widowControl/>
        <w:spacing w:before="156" w:line="360" w:lineRule="auto"/>
        <w:ind w:right="240" w:rightChars="100" w:firstLine="482"/>
        <w:rPr>
          <w:rFonts w:ascii="??_GB2312" w:hAnsi="仿宋" w:eastAsia="Times New Roman" w:cs="宋体"/>
          <w:b/>
          <w:kern w:val="0"/>
          <w:szCs w:val="24"/>
        </w:rPr>
      </w:pPr>
      <w:r>
        <w:rPr>
          <w:rFonts w:ascii="??_GB2312" w:hAnsi="仿宋" w:eastAsia="Times New Roman" w:cs="宋体"/>
          <w:b/>
          <w:kern w:val="0"/>
          <w:szCs w:val="24"/>
        </w:rPr>
        <w:t>（九）网络运维管理功能</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远程网管系统应支持各项日常运行维护管理，包括配置管理、用户管理、故障管理、性能管理、拓扑管理和辅助管理等功能。同时，网管系统应支持分级管理，不同层级的网管用户拥有不同的管理权限。</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1）配置管理</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2）用户管理</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3）故障管理</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4）安全管理</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安全管理功能包括：</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操作员权限管理，可定制不同操作员的操作权限。</w:t>
      </w:r>
    </w:p>
    <w:p>
      <w:pPr>
        <w:widowControl/>
        <w:spacing w:before="156" w:line="360" w:lineRule="auto"/>
        <w:ind w:right="240" w:rightChars="100" w:firstLine="482"/>
        <w:rPr>
          <w:rFonts w:ascii="??_GB2312" w:hAnsi="仿宋" w:eastAsia="Times New Roman" w:cs="宋体"/>
          <w:bCs/>
          <w:kern w:val="0"/>
          <w:szCs w:val="24"/>
        </w:rPr>
      </w:pPr>
      <w:r>
        <w:rPr>
          <w:rFonts w:ascii="??_GB2312" w:hAnsi="仿宋" w:eastAsia="Times New Roman" w:cs="宋体"/>
          <w:bCs/>
          <w:kern w:val="0"/>
          <w:szCs w:val="24"/>
        </w:rPr>
        <w:t>记录、保存、查询操作日志。</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5）性能管理</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性能管理功能包括：</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性能数据测量管理。</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话务数据测量统计，</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性能报表和综合性能分析报告。</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6）辅助管理</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辅助管理功能包括：</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系统状态显示：</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移动台/通话组核查：</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紧急调度预案：</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软件升级：</w:t>
      </w:r>
    </w:p>
    <w:p>
      <w:pPr>
        <w:widowControl/>
        <w:spacing w:before="156"/>
        <w:ind w:right="240" w:rightChars="100" w:firstLine="482"/>
        <w:rPr>
          <w:rFonts w:ascii="??_GB2312" w:hAnsi="仿宋" w:eastAsia="Times New Roman" w:cs="宋体"/>
          <w:b/>
          <w:bCs/>
          <w:kern w:val="0"/>
          <w:szCs w:val="24"/>
        </w:rPr>
      </w:pPr>
      <w:r>
        <w:rPr>
          <w:rFonts w:ascii="??_GB2312" w:hAnsi="仿宋" w:eastAsia="Times New Roman"/>
          <w:b/>
          <w:szCs w:val="24"/>
        </w:rPr>
        <w:t>（十）故障弱化功能</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当交换机与基站之间的链路发生故障时，基站以集群方式独立工作，通话组保持不变</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具有组呼、优先级、紧急呼叫等基本集群功能。故障弱化情况下支持的主要功能应包括：</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基站入网登记</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基站信道动态分配</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控制信道备份</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组呼</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紧急呼叫</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迟后加入</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新近用户优先</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讲话方号码显示</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单站集群提示</w:t>
      </w:r>
    </w:p>
    <w:p>
      <w:pPr>
        <w:widowControl/>
        <w:spacing w:before="156"/>
        <w:ind w:right="240" w:rightChars="100" w:firstLine="482"/>
        <w:rPr>
          <w:rFonts w:ascii="??_GB2312" w:hAnsi="仿宋" w:eastAsia="Times New Roman" w:cs="宋体"/>
          <w:b/>
          <w:bCs/>
          <w:kern w:val="0"/>
          <w:szCs w:val="24"/>
        </w:rPr>
      </w:pPr>
      <w:r>
        <w:rPr>
          <w:rFonts w:ascii="??_GB2312" w:hAnsi="仿宋" w:eastAsia="Times New Roman"/>
          <w:b/>
          <w:szCs w:val="24"/>
        </w:rPr>
        <w:t>（十一）基站设备性能配置要求</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要求基站的关键部件主备用，实现无缝切换，同时支持GPS/北斗双时钟以及NTP同步，内置高稳定时钟。</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全国公安目前在使用的数字集群制式有PDT和TETRA两种制式，为降低政策风险，本次招标的基站要求能够通过软件升级方式实现从PDT基站到TETRA基站的转型。</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随着大型活动会开展的日益频繁，为应对某一活动场所的大规模话务量需求，系统要求所投的基站能共享控制信道，同时在控制信道和业务信道上传GPS，满足基站临时扩容的要求。</w:t>
      </w:r>
    </w:p>
    <w:p>
      <w:pPr>
        <w:widowControl/>
        <w:spacing w:before="156"/>
        <w:ind w:right="240" w:rightChars="100" w:firstLine="482"/>
        <w:rPr>
          <w:rFonts w:ascii="??_GB2312" w:hAnsi="仿宋" w:eastAsia="Times New Roman" w:cs="宋体"/>
          <w:bCs/>
          <w:kern w:val="0"/>
          <w:szCs w:val="24"/>
        </w:rPr>
      </w:pPr>
      <w:r>
        <w:rPr>
          <w:rFonts w:ascii="??_GB2312" w:hAnsi="仿宋" w:eastAsia="Times New Roman" w:cs="宋体"/>
          <w:bCs/>
          <w:kern w:val="0"/>
          <w:szCs w:val="24"/>
        </w:rPr>
        <w:t>基站性能指标要求如下：</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50"/>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52" w:type="dxa"/>
            <w:gridSpan w:val="2"/>
            <w:noWrap w:val="0"/>
            <w:vAlign w:val="center"/>
          </w:tcPr>
          <w:p>
            <w:pPr>
              <w:widowControl/>
              <w:snapToGrid w:val="0"/>
              <w:jc w:val="center"/>
              <w:rPr>
                <w:rFonts w:ascii="??_GB2312" w:hAnsi="仿宋" w:eastAsia="Times New Roman" w:cs="宋体"/>
                <w:b/>
                <w:bCs/>
                <w:kern w:val="0"/>
                <w:szCs w:val="24"/>
              </w:rPr>
            </w:pPr>
            <w:r>
              <w:rPr>
                <w:rFonts w:ascii="??_GB2312" w:hAnsi="仿宋" w:eastAsia="Times New Roman" w:cs="宋体"/>
                <w:b/>
                <w:bCs/>
                <w:kern w:val="0"/>
                <w:szCs w:val="24"/>
              </w:rPr>
              <w:t>项目</w:t>
            </w:r>
          </w:p>
        </w:tc>
        <w:tc>
          <w:tcPr>
            <w:tcW w:w="5200" w:type="dxa"/>
            <w:noWrap w:val="0"/>
            <w:vAlign w:val="center"/>
          </w:tcPr>
          <w:p>
            <w:pPr>
              <w:widowControl/>
              <w:snapToGrid w:val="0"/>
              <w:jc w:val="center"/>
              <w:rPr>
                <w:rFonts w:ascii="??_GB2312" w:hAnsi="仿宋" w:eastAsia="Times New Roman" w:cs="宋体"/>
                <w:b/>
                <w:bCs/>
                <w:kern w:val="0"/>
                <w:szCs w:val="24"/>
              </w:rPr>
            </w:pPr>
            <w:r>
              <w:rPr>
                <w:rFonts w:ascii="??_GB2312" w:hAnsi="仿宋" w:eastAsia="Times New Roman" w:cs="宋体"/>
                <w:b/>
                <w:bCs/>
                <w:kern w:val="0"/>
                <w:szCs w:val="24"/>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52" w:type="dxa"/>
            <w:gridSpan w:val="2"/>
            <w:noWrap w:val="0"/>
            <w:vAlign w:val="center"/>
          </w:tcPr>
          <w:p>
            <w:pPr>
              <w:widowControl/>
              <w:snapToGrid w:val="0"/>
              <w:ind w:left="105" w:firstLine="480"/>
              <w:jc w:val="center"/>
              <w:rPr>
                <w:rFonts w:ascii="??_GB2312" w:hAnsi="仿宋" w:eastAsia="Times New Roman" w:cs="宋体"/>
                <w:kern w:val="0"/>
                <w:szCs w:val="24"/>
              </w:rPr>
            </w:pPr>
            <w:r>
              <w:rPr>
                <w:rFonts w:ascii="??_GB2312" w:hAnsi="仿宋" w:eastAsia="Times New Roman" w:cs="宋体"/>
                <w:kern w:val="0"/>
                <w:szCs w:val="24"/>
              </w:rPr>
              <w:t>技术体制</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ascii="??_GB2312" w:hAnsi="仿宋" w:eastAsia="Times New Roman" w:cs="宋体"/>
                <w:kern w:val="0"/>
                <w:szCs w:val="24"/>
              </w:rPr>
              <w:t>PDT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52" w:type="dxa"/>
            <w:gridSpan w:val="2"/>
            <w:noWrap w:val="0"/>
            <w:vAlign w:val="center"/>
          </w:tcPr>
          <w:p>
            <w:pPr>
              <w:widowControl/>
              <w:snapToGrid w:val="0"/>
              <w:ind w:left="105" w:firstLine="480"/>
              <w:jc w:val="center"/>
              <w:rPr>
                <w:rFonts w:ascii="??_GB2312" w:hAnsi="仿宋" w:eastAsia="Times New Roman" w:cs="宋体"/>
                <w:kern w:val="0"/>
                <w:szCs w:val="24"/>
              </w:rPr>
            </w:pPr>
            <w:r>
              <w:rPr>
                <w:rFonts w:ascii="??_GB2312" w:hAnsi="仿宋" w:eastAsia="Times New Roman" w:cs="宋体"/>
                <w:kern w:val="0"/>
                <w:szCs w:val="24"/>
              </w:rPr>
              <w:t>带宽</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ascii="??_GB2312" w:hAnsi="仿宋" w:eastAsia="Times New Roman" w:cs="宋体"/>
                <w:kern w:val="0"/>
                <w:szCs w:val="24"/>
              </w:rPr>
              <w: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52" w:type="dxa"/>
            <w:gridSpan w:val="2"/>
            <w:noWrap w:val="0"/>
            <w:vAlign w:val="center"/>
          </w:tcPr>
          <w:p>
            <w:pPr>
              <w:widowControl/>
              <w:snapToGrid w:val="0"/>
              <w:ind w:left="105" w:firstLine="480"/>
              <w:jc w:val="center"/>
              <w:rPr>
                <w:rFonts w:ascii="??_GB2312" w:hAnsi="仿宋" w:eastAsia="Times New Roman" w:cs="宋体"/>
                <w:kern w:val="0"/>
                <w:szCs w:val="24"/>
              </w:rPr>
            </w:pPr>
            <w:r>
              <w:rPr>
                <w:rFonts w:ascii="??_GB2312" w:hAnsi="仿宋" w:eastAsia="Times New Roman" w:cs="宋体"/>
                <w:kern w:val="0"/>
                <w:szCs w:val="24"/>
              </w:rPr>
              <w:t>载波间隔</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ascii="??_GB2312" w:hAnsi="仿宋" w:eastAsia="Times New Roman" w:cs="宋体"/>
                <w:kern w:val="0"/>
                <w:szCs w:val="24"/>
              </w:rPr>
              <w:t>12.5KHz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52" w:type="dxa"/>
            <w:gridSpan w:val="2"/>
            <w:noWrap w:val="0"/>
            <w:vAlign w:val="center"/>
          </w:tcPr>
          <w:p>
            <w:pPr>
              <w:widowControl/>
              <w:snapToGrid w:val="0"/>
              <w:ind w:left="105" w:firstLine="480"/>
              <w:jc w:val="center"/>
              <w:rPr>
                <w:rFonts w:ascii="??_GB2312" w:hAnsi="仿宋" w:eastAsia="Times New Roman" w:cs="宋体"/>
                <w:kern w:val="0"/>
                <w:szCs w:val="24"/>
              </w:rPr>
            </w:pPr>
            <w:r>
              <w:rPr>
                <w:rFonts w:ascii="??_GB2312" w:hAnsi="仿宋" w:eastAsia="Times New Roman" w:cs="宋体"/>
                <w:kern w:val="0"/>
                <w:szCs w:val="24"/>
              </w:rPr>
              <w:t>双工间隔</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ascii="??_GB2312" w:hAnsi="仿宋" w:eastAsia="Times New Roman" w:cs="宋体"/>
                <w:kern w:val="0"/>
                <w:szCs w:val="24"/>
              </w:rPr>
              <w:t>10MHz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02" w:type="dxa"/>
            <w:vMerge w:val="restart"/>
            <w:noWrap w:val="0"/>
            <w:vAlign w:val="center"/>
          </w:tcPr>
          <w:p>
            <w:pPr>
              <w:widowControl/>
              <w:snapToGrid w:val="0"/>
              <w:ind w:left="105"/>
              <w:jc w:val="center"/>
              <w:rPr>
                <w:rFonts w:ascii="??_GB2312" w:hAnsi="仿宋" w:eastAsia="Times New Roman" w:cs="宋体"/>
                <w:kern w:val="0"/>
                <w:szCs w:val="24"/>
              </w:rPr>
            </w:pPr>
            <w:r>
              <w:rPr>
                <w:rFonts w:ascii="??_GB2312" w:hAnsi="仿宋" w:eastAsia="Times New Roman" w:cs="宋体"/>
                <w:kern w:val="0"/>
                <w:szCs w:val="24"/>
              </w:rPr>
              <w:t>稳定度</w:t>
            </w:r>
          </w:p>
        </w:tc>
        <w:tc>
          <w:tcPr>
            <w:tcW w:w="2150" w:type="dxa"/>
            <w:noWrap w:val="0"/>
            <w:vAlign w:val="center"/>
          </w:tcPr>
          <w:p>
            <w:pPr>
              <w:widowControl/>
              <w:snapToGrid w:val="0"/>
              <w:ind w:firstLine="199"/>
              <w:jc w:val="center"/>
              <w:rPr>
                <w:rFonts w:ascii="??_GB2312" w:hAnsi="仿宋" w:eastAsia="Times New Roman" w:cs="宋体"/>
                <w:kern w:val="0"/>
                <w:szCs w:val="24"/>
              </w:rPr>
            </w:pPr>
            <w:r>
              <w:rPr>
                <w:rFonts w:ascii="??_GB2312" w:hAnsi="仿宋" w:eastAsia="Times New Roman" w:cs="宋体"/>
                <w:kern w:val="0"/>
                <w:szCs w:val="24"/>
              </w:rPr>
              <w:t>频率稳定度</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ascii="??_GB2312" w:hAnsi="仿宋" w:eastAsia="Times New Roman" w:cs="宋体"/>
                <w:kern w:val="0"/>
                <w:szCs w:val="24"/>
              </w:rPr>
              <w:t>2</w:t>
            </w:r>
            <w:r>
              <w:rPr>
                <w:rFonts w:hint="eastAsia" w:ascii="??_GB2312" w:hAnsi="仿宋" w:eastAsia="Times New Roman" w:cs="宋体"/>
                <w:kern w:val="0"/>
                <w:szCs w:val="24"/>
              </w:rPr>
              <w:t>×</w:t>
            </w:r>
            <w:r>
              <w:rPr>
                <w:rFonts w:ascii="??_GB2312" w:hAnsi="仿宋" w:eastAsia="Times New Roman" w:cs="宋体"/>
                <w:kern w:val="0"/>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02" w:type="dxa"/>
            <w:vMerge w:val="continue"/>
            <w:noWrap w:val="0"/>
            <w:vAlign w:val="center"/>
          </w:tcPr>
          <w:p>
            <w:pPr>
              <w:widowControl/>
              <w:jc w:val="center"/>
              <w:rPr>
                <w:rFonts w:ascii="??_GB2312" w:hAnsi="仿宋" w:eastAsia="Times New Roman" w:cs="宋体"/>
                <w:kern w:val="0"/>
                <w:szCs w:val="24"/>
              </w:rPr>
            </w:pPr>
          </w:p>
        </w:tc>
        <w:tc>
          <w:tcPr>
            <w:tcW w:w="2150" w:type="dxa"/>
            <w:noWrap w:val="0"/>
            <w:vAlign w:val="center"/>
          </w:tcPr>
          <w:p>
            <w:pPr>
              <w:widowControl/>
              <w:snapToGrid w:val="0"/>
              <w:ind w:firstLine="199"/>
              <w:jc w:val="center"/>
              <w:rPr>
                <w:rFonts w:ascii="??_GB2312" w:hAnsi="仿宋" w:eastAsia="Times New Roman" w:cs="宋体"/>
                <w:kern w:val="0"/>
                <w:szCs w:val="24"/>
              </w:rPr>
            </w:pPr>
            <w:r>
              <w:rPr>
                <w:rFonts w:ascii="??_GB2312" w:hAnsi="仿宋" w:eastAsia="Times New Roman" w:cs="宋体"/>
                <w:kern w:val="0"/>
                <w:szCs w:val="24"/>
              </w:rPr>
              <w:t>时限要求</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hint="eastAsia" w:ascii="??_GB2312" w:hAnsi="仿宋" w:eastAsia="Times New Roman" w:cs="宋体"/>
                <w:kern w:val="0"/>
                <w:szCs w:val="24"/>
              </w:rPr>
              <w:t>≤</w:t>
            </w:r>
            <w:r>
              <w:rPr>
                <w:rFonts w:ascii="??_GB2312" w:hAnsi="仿宋" w:eastAsia="Times New Roman" w:cs="宋体"/>
                <w:kern w:val="0"/>
                <w:szCs w:val="24"/>
              </w:rPr>
              <w:t>1.5ms（发射机起动从满额功率的10%上升到90%）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02" w:type="dxa"/>
            <w:vMerge w:val="restart"/>
            <w:noWrap w:val="0"/>
            <w:vAlign w:val="center"/>
          </w:tcPr>
          <w:p>
            <w:pPr>
              <w:widowControl/>
              <w:snapToGrid w:val="0"/>
              <w:ind w:left="105"/>
              <w:jc w:val="center"/>
              <w:rPr>
                <w:rFonts w:ascii="??_GB2312" w:hAnsi="仿宋" w:eastAsia="Times New Roman" w:cs="宋体"/>
                <w:kern w:val="0"/>
                <w:szCs w:val="24"/>
              </w:rPr>
            </w:pPr>
            <w:r>
              <w:rPr>
                <w:rFonts w:ascii="??_GB2312" w:hAnsi="仿宋" w:eastAsia="Times New Roman" w:cs="宋体"/>
                <w:kern w:val="0"/>
                <w:szCs w:val="24"/>
              </w:rPr>
              <w:t>发射机性能</w:t>
            </w:r>
          </w:p>
        </w:tc>
        <w:tc>
          <w:tcPr>
            <w:tcW w:w="2150" w:type="dxa"/>
            <w:noWrap w:val="0"/>
            <w:vAlign w:val="center"/>
          </w:tcPr>
          <w:p>
            <w:pPr>
              <w:widowControl/>
              <w:snapToGrid w:val="0"/>
              <w:ind w:firstLine="199"/>
              <w:jc w:val="center"/>
              <w:rPr>
                <w:rFonts w:ascii="??_GB2312" w:hAnsi="仿宋" w:eastAsia="Times New Roman" w:cs="宋体"/>
                <w:kern w:val="0"/>
                <w:szCs w:val="24"/>
              </w:rPr>
            </w:pPr>
            <w:r>
              <w:rPr>
                <w:rFonts w:ascii="??_GB2312" w:hAnsi="仿宋" w:eastAsia="Times New Roman" w:cs="宋体"/>
                <w:kern w:val="0"/>
                <w:szCs w:val="24"/>
              </w:rPr>
              <w:t>射频功率</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hint="eastAsia" w:ascii="??_GB2312" w:hAnsi="仿宋" w:eastAsia="Times New Roman" w:cs="宋体"/>
                <w:kern w:val="0"/>
                <w:szCs w:val="24"/>
              </w:rPr>
              <w:t>≥</w:t>
            </w:r>
            <w:r>
              <w:rPr>
                <w:rFonts w:ascii="??_GB2312" w:hAnsi="仿宋" w:eastAsia="Times New Roman" w:cs="宋体"/>
                <w:kern w:val="0"/>
                <w:szCs w:val="24"/>
              </w:rPr>
              <w:t>25W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02" w:type="dxa"/>
            <w:vMerge w:val="continue"/>
            <w:noWrap w:val="0"/>
            <w:vAlign w:val="center"/>
          </w:tcPr>
          <w:p>
            <w:pPr>
              <w:widowControl/>
              <w:jc w:val="center"/>
              <w:rPr>
                <w:rFonts w:ascii="??_GB2312" w:hAnsi="仿宋" w:eastAsia="Times New Roman" w:cs="宋体"/>
                <w:kern w:val="0"/>
                <w:szCs w:val="24"/>
              </w:rPr>
            </w:pPr>
          </w:p>
        </w:tc>
        <w:tc>
          <w:tcPr>
            <w:tcW w:w="2150" w:type="dxa"/>
            <w:noWrap w:val="0"/>
            <w:vAlign w:val="center"/>
          </w:tcPr>
          <w:p>
            <w:pPr>
              <w:widowControl/>
              <w:snapToGrid w:val="0"/>
              <w:ind w:firstLine="199"/>
              <w:jc w:val="center"/>
              <w:rPr>
                <w:rFonts w:ascii="??_GB2312" w:hAnsi="仿宋" w:eastAsia="Times New Roman" w:cs="宋体"/>
                <w:kern w:val="0"/>
                <w:szCs w:val="24"/>
              </w:rPr>
            </w:pPr>
            <w:r>
              <w:rPr>
                <w:rFonts w:ascii="??_GB2312" w:hAnsi="仿宋" w:eastAsia="Times New Roman" w:cs="宋体"/>
                <w:kern w:val="0"/>
                <w:szCs w:val="24"/>
              </w:rPr>
              <w:t>邻道发射</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hint="eastAsia" w:ascii="??_GB2312" w:hAnsi="仿宋" w:eastAsia="Times New Roman" w:cs="宋体"/>
                <w:kern w:val="0"/>
                <w:szCs w:val="24"/>
              </w:rPr>
              <w:t>≤</w:t>
            </w:r>
            <w:r>
              <w:rPr>
                <w:rFonts w:ascii="??_GB2312" w:hAnsi="仿宋" w:eastAsia="Times New Roman" w:cs="宋体"/>
                <w:kern w:val="0"/>
                <w:szCs w:val="24"/>
              </w:rPr>
              <w:t>-60 dBc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02" w:type="dxa"/>
            <w:vMerge w:val="continue"/>
            <w:noWrap w:val="0"/>
            <w:vAlign w:val="center"/>
          </w:tcPr>
          <w:p>
            <w:pPr>
              <w:widowControl/>
              <w:jc w:val="center"/>
              <w:rPr>
                <w:rFonts w:ascii="??_GB2312" w:hAnsi="仿宋" w:eastAsia="Times New Roman" w:cs="宋体"/>
                <w:kern w:val="0"/>
                <w:szCs w:val="24"/>
              </w:rPr>
            </w:pPr>
          </w:p>
        </w:tc>
        <w:tc>
          <w:tcPr>
            <w:tcW w:w="2150" w:type="dxa"/>
            <w:noWrap w:val="0"/>
            <w:vAlign w:val="center"/>
          </w:tcPr>
          <w:p>
            <w:pPr>
              <w:widowControl/>
              <w:snapToGrid w:val="0"/>
              <w:ind w:firstLine="199"/>
              <w:jc w:val="center"/>
              <w:rPr>
                <w:rFonts w:ascii="??_GB2312" w:hAnsi="仿宋" w:eastAsia="Times New Roman" w:cs="宋体"/>
                <w:kern w:val="0"/>
                <w:szCs w:val="24"/>
              </w:rPr>
            </w:pPr>
            <w:r>
              <w:rPr>
                <w:rFonts w:ascii="??_GB2312" w:hAnsi="仿宋" w:eastAsia="Times New Roman" w:cs="宋体"/>
                <w:kern w:val="0"/>
                <w:szCs w:val="24"/>
              </w:rPr>
              <w:t>杂波发射</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hint="eastAsia" w:ascii="??_GB2312" w:hAnsi="仿宋" w:eastAsia="Times New Roman" w:cs="宋体"/>
                <w:kern w:val="0"/>
                <w:szCs w:val="24"/>
              </w:rPr>
              <w:t>≤</w:t>
            </w:r>
            <w:r>
              <w:rPr>
                <w:rFonts w:ascii="??_GB2312" w:hAnsi="仿宋" w:eastAsia="Times New Roman" w:cs="宋体"/>
                <w:kern w:val="0"/>
                <w:szCs w:val="24"/>
              </w:rPr>
              <w:t>-80 dBc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02" w:type="dxa"/>
            <w:vMerge w:val="continue"/>
            <w:noWrap w:val="0"/>
            <w:vAlign w:val="center"/>
          </w:tcPr>
          <w:p>
            <w:pPr>
              <w:widowControl/>
              <w:jc w:val="center"/>
              <w:rPr>
                <w:rFonts w:ascii="??_GB2312" w:hAnsi="仿宋" w:eastAsia="Times New Roman" w:cs="宋体"/>
                <w:kern w:val="0"/>
                <w:szCs w:val="24"/>
              </w:rPr>
            </w:pPr>
          </w:p>
        </w:tc>
        <w:tc>
          <w:tcPr>
            <w:tcW w:w="2150" w:type="dxa"/>
            <w:noWrap w:val="0"/>
            <w:vAlign w:val="center"/>
          </w:tcPr>
          <w:p>
            <w:pPr>
              <w:widowControl/>
              <w:snapToGrid w:val="0"/>
              <w:ind w:left="105" w:firstLine="420"/>
              <w:jc w:val="center"/>
              <w:rPr>
                <w:rFonts w:ascii="??_GB2312" w:hAnsi="仿宋" w:eastAsia="Times New Roman" w:cs="宋体"/>
                <w:kern w:val="0"/>
                <w:szCs w:val="24"/>
              </w:rPr>
            </w:pPr>
            <w:r>
              <w:rPr>
                <w:rFonts w:ascii="??_GB2312" w:hAnsi="仿宋" w:eastAsia="Times New Roman" w:cs="宋体"/>
                <w:kern w:val="0"/>
                <w:szCs w:val="24"/>
              </w:rPr>
              <w:t>共址多信道发射隔离</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hint="eastAsia" w:ascii="??_GB2312" w:hAnsi="仿宋" w:eastAsia="Times New Roman" w:cs="宋体"/>
                <w:kern w:val="0"/>
                <w:szCs w:val="24"/>
              </w:rPr>
              <w:t>≥</w:t>
            </w:r>
            <w:r>
              <w:rPr>
                <w:rFonts w:ascii="??_GB2312" w:hAnsi="仿宋" w:eastAsia="Times New Roman" w:cs="宋体"/>
                <w:kern w:val="0"/>
                <w:szCs w:val="24"/>
              </w:rPr>
              <w:t>70 dB（ES）；</w:t>
            </w:r>
          </w:p>
          <w:p>
            <w:pPr>
              <w:widowControl/>
              <w:snapToGrid w:val="0"/>
              <w:ind w:left="105" w:firstLine="480"/>
              <w:jc w:val="center"/>
              <w:rPr>
                <w:rFonts w:ascii="??_GB2312" w:hAnsi="仿宋" w:eastAsia="Times New Roman" w:cs="宋体"/>
                <w:kern w:val="0"/>
                <w:szCs w:val="24"/>
              </w:rPr>
            </w:pPr>
            <w:r>
              <w:rPr>
                <w:rFonts w:hint="eastAsia" w:ascii="??_GB2312" w:hAnsi="仿宋" w:eastAsia="Times New Roman" w:cs="宋体"/>
                <w:kern w:val="0"/>
                <w:szCs w:val="24"/>
              </w:rPr>
              <w:t>≥</w:t>
            </w:r>
            <w:r>
              <w:rPr>
                <w:rFonts w:ascii="??_GB2312" w:hAnsi="仿宋" w:eastAsia="Times New Roman" w:cs="宋体"/>
                <w:kern w:val="0"/>
                <w:szCs w:val="24"/>
              </w:rPr>
              <w:t>40 dB（NIM,P&gt;25w）；</w:t>
            </w:r>
          </w:p>
          <w:p>
            <w:pPr>
              <w:widowControl/>
              <w:snapToGrid w:val="0"/>
              <w:ind w:left="105" w:firstLine="480"/>
              <w:jc w:val="center"/>
              <w:rPr>
                <w:rFonts w:ascii="??_GB2312" w:hAnsi="仿宋" w:eastAsia="Times New Roman" w:cs="宋体"/>
                <w:kern w:val="0"/>
                <w:szCs w:val="24"/>
              </w:rPr>
            </w:pPr>
            <w:r>
              <w:rPr>
                <w:rFonts w:hint="eastAsia" w:ascii="??_GB2312" w:hAnsi="仿宋" w:eastAsia="Times New Roman" w:cs="宋体"/>
                <w:kern w:val="0"/>
                <w:szCs w:val="24"/>
              </w:rPr>
              <w:t>≥</w:t>
            </w:r>
            <w:r>
              <w:rPr>
                <w:rFonts w:ascii="??_GB2312" w:hAnsi="仿宋" w:eastAsia="Times New Roman" w:cs="宋体"/>
                <w:kern w:val="0"/>
                <w:szCs w:val="24"/>
              </w:rPr>
              <w:t>30 dB（NIM,P</w:t>
            </w:r>
            <w:r>
              <w:rPr>
                <w:rFonts w:hint="eastAsia" w:ascii="??_GB2312" w:hAnsi="仿宋" w:eastAsia="Times New Roman" w:cs="宋体"/>
                <w:kern w:val="0"/>
                <w:szCs w:val="24"/>
              </w:rPr>
              <w:t>≤</w:t>
            </w:r>
            <w:r>
              <w:rPr>
                <w:rFonts w:ascii="??_GB2312" w:hAnsi="仿宋" w:eastAsia="Times New Roman" w:cs="宋体"/>
                <w:kern w:val="0"/>
                <w:szCs w:val="24"/>
              </w:rPr>
              <w:t>25W）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2" w:type="dxa"/>
            <w:vMerge w:val="restart"/>
            <w:noWrap w:val="0"/>
            <w:vAlign w:val="center"/>
          </w:tcPr>
          <w:p>
            <w:pPr>
              <w:widowControl/>
              <w:snapToGrid w:val="0"/>
              <w:ind w:left="105"/>
              <w:jc w:val="center"/>
              <w:rPr>
                <w:rFonts w:ascii="??_GB2312" w:hAnsi="仿宋" w:eastAsia="Times New Roman" w:cs="宋体"/>
                <w:kern w:val="0"/>
                <w:szCs w:val="24"/>
              </w:rPr>
            </w:pPr>
            <w:r>
              <w:rPr>
                <w:rFonts w:ascii="??_GB2312" w:hAnsi="仿宋" w:eastAsia="Times New Roman" w:cs="宋体"/>
                <w:kern w:val="0"/>
                <w:szCs w:val="24"/>
              </w:rPr>
              <w:t>接收机性能</w:t>
            </w:r>
          </w:p>
        </w:tc>
        <w:tc>
          <w:tcPr>
            <w:tcW w:w="2150" w:type="dxa"/>
            <w:noWrap w:val="0"/>
            <w:vAlign w:val="center"/>
          </w:tcPr>
          <w:p>
            <w:pPr>
              <w:widowControl/>
              <w:snapToGrid w:val="0"/>
              <w:ind w:firstLine="199"/>
              <w:jc w:val="center"/>
              <w:rPr>
                <w:rFonts w:ascii="??_GB2312" w:hAnsi="仿宋" w:eastAsia="Times New Roman" w:cs="宋体"/>
                <w:kern w:val="0"/>
                <w:szCs w:val="24"/>
              </w:rPr>
            </w:pPr>
            <w:r>
              <w:rPr>
                <w:rFonts w:ascii="??_GB2312" w:hAnsi="仿宋" w:eastAsia="Times New Roman" w:cs="宋体"/>
                <w:kern w:val="0"/>
                <w:szCs w:val="24"/>
              </w:rPr>
              <w:t>数字灵敏度</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ascii="??_GB2312" w:hAnsi="仿宋" w:eastAsia="Times New Roman" w:cs="宋体"/>
                <w:kern w:val="0"/>
                <w:szCs w:val="24"/>
              </w:rPr>
              <w:t>&lt;0.35 uV (5％误码率)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02" w:type="dxa"/>
            <w:vMerge w:val="continue"/>
            <w:noWrap w:val="0"/>
            <w:vAlign w:val="center"/>
          </w:tcPr>
          <w:p>
            <w:pPr>
              <w:widowControl/>
              <w:jc w:val="center"/>
              <w:rPr>
                <w:rFonts w:ascii="??_GB2312" w:hAnsi="仿宋" w:eastAsia="Times New Roman" w:cs="宋体"/>
                <w:kern w:val="0"/>
                <w:szCs w:val="24"/>
              </w:rPr>
            </w:pPr>
          </w:p>
        </w:tc>
        <w:tc>
          <w:tcPr>
            <w:tcW w:w="2150" w:type="dxa"/>
            <w:noWrap w:val="0"/>
            <w:vAlign w:val="center"/>
          </w:tcPr>
          <w:p>
            <w:pPr>
              <w:widowControl/>
              <w:snapToGrid w:val="0"/>
              <w:ind w:firstLine="199"/>
              <w:jc w:val="center"/>
              <w:rPr>
                <w:rFonts w:ascii="??_GB2312" w:hAnsi="仿宋" w:eastAsia="Times New Roman" w:cs="宋体"/>
                <w:kern w:val="0"/>
                <w:szCs w:val="24"/>
              </w:rPr>
            </w:pPr>
            <w:r>
              <w:rPr>
                <w:rFonts w:ascii="??_GB2312" w:hAnsi="仿宋" w:eastAsia="Times New Roman" w:cs="宋体"/>
                <w:kern w:val="0"/>
                <w:szCs w:val="24"/>
              </w:rPr>
              <w:t>邻道选择性</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hint="eastAsia" w:ascii="??_GB2312" w:hAnsi="仿宋" w:eastAsia="Times New Roman" w:cs="宋体"/>
                <w:kern w:val="0"/>
                <w:szCs w:val="24"/>
              </w:rPr>
              <w:t>≥</w:t>
            </w:r>
            <w:r>
              <w:rPr>
                <w:rFonts w:ascii="??_GB2312" w:hAnsi="仿宋" w:eastAsia="Times New Roman" w:cs="宋体"/>
                <w:kern w:val="0"/>
                <w:szCs w:val="24"/>
              </w:rPr>
              <w:t>60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02" w:type="dxa"/>
            <w:vMerge w:val="continue"/>
            <w:noWrap w:val="0"/>
            <w:vAlign w:val="center"/>
          </w:tcPr>
          <w:p>
            <w:pPr>
              <w:widowControl/>
              <w:jc w:val="center"/>
              <w:rPr>
                <w:rFonts w:ascii="??_GB2312" w:hAnsi="仿宋" w:eastAsia="Times New Roman" w:cs="宋体"/>
                <w:kern w:val="0"/>
                <w:szCs w:val="24"/>
              </w:rPr>
            </w:pPr>
          </w:p>
        </w:tc>
        <w:tc>
          <w:tcPr>
            <w:tcW w:w="2150" w:type="dxa"/>
            <w:noWrap w:val="0"/>
            <w:vAlign w:val="center"/>
          </w:tcPr>
          <w:p>
            <w:pPr>
              <w:widowControl/>
              <w:snapToGrid w:val="0"/>
              <w:ind w:firstLine="199"/>
              <w:jc w:val="center"/>
              <w:rPr>
                <w:rFonts w:ascii="??_GB2312" w:hAnsi="仿宋" w:eastAsia="Times New Roman" w:cs="宋体"/>
                <w:kern w:val="0"/>
                <w:szCs w:val="24"/>
              </w:rPr>
            </w:pPr>
            <w:r>
              <w:rPr>
                <w:rFonts w:ascii="??_GB2312" w:hAnsi="仿宋" w:eastAsia="Times New Roman" w:cs="宋体"/>
                <w:kern w:val="0"/>
                <w:szCs w:val="24"/>
              </w:rPr>
              <w:t>互调抗扰性</w:t>
            </w:r>
          </w:p>
        </w:tc>
        <w:tc>
          <w:tcPr>
            <w:tcW w:w="5200" w:type="dxa"/>
            <w:noWrap w:val="0"/>
            <w:vAlign w:val="center"/>
          </w:tcPr>
          <w:p>
            <w:pPr>
              <w:widowControl/>
              <w:snapToGrid w:val="0"/>
              <w:ind w:left="105" w:firstLine="480"/>
              <w:jc w:val="center"/>
              <w:rPr>
                <w:rFonts w:ascii="??_GB2312" w:hAnsi="仿宋" w:eastAsia="Times New Roman" w:cs="宋体"/>
                <w:kern w:val="0"/>
                <w:szCs w:val="24"/>
              </w:rPr>
            </w:pPr>
            <w:r>
              <w:rPr>
                <w:rFonts w:hint="eastAsia" w:ascii="??_GB2312" w:hAnsi="仿宋" w:eastAsia="Times New Roman" w:cs="宋体"/>
                <w:kern w:val="0"/>
                <w:szCs w:val="24"/>
              </w:rPr>
              <w:t>≥</w:t>
            </w:r>
            <w:r>
              <w:rPr>
                <w:rFonts w:ascii="??_GB2312" w:hAnsi="仿宋" w:eastAsia="Times New Roman" w:cs="宋体"/>
                <w:kern w:val="0"/>
                <w:szCs w:val="24"/>
              </w:rPr>
              <w:t>65 dB</w:t>
            </w:r>
          </w:p>
        </w:tc>
      </w:tr>
    </w:tbl>
    <w:p>
      <w:pPr>
        <w:pStyle w:val="4"/>
        <w:rPr>
          <w:rFonts w:hint="eastAsia"/>
        </w:rPr>
      </w:pPr>
      <w:r>
        <w:rPr>
          <w:rFonts w:hint="eastAsia"/>
        </w:rPr>
        <w:t>3.2数字集群对讲机技术和功能要求</w:t>
      </w:r>
    </w:p>
    <w:p>
      <w:pPr>
        <w:adjustRightInd w:val="0"/>
        <w:snapToGrid w:val="0"/>
        <w:spacing w:line="360" w:lineRule="auto"/>
        <w:rPr>
          <w:rFonts w:hint="eastAsia" w:ascii="宋体" w:hAnsi="宋体" w:cs="宋体"/>
          <w:b/>
        </w:rPr>
      </w:pPr>
      <w:bookmarkStart w:id="267" w:name="_Toc345596169"/>
      <w:bookmarkStart w:id="268" w:name="_Toc345596170"/>
      <w:r>
        <w:rPr>
          <w:rFonts w:hint="eastAsia" w:ascii="宋体" w:hAnsi="宋体" w:cs="宋体"/>
          <w:b/>
        </w:rPr>
        <w:t>1.主要功能：</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数模兼容，支持数字集群（PDT集群）, 数字常规（PDT常规），模拟集群（MPT1327集群），模拟常规工作模式。产品既可在350兆PDT数字集群系统下使用，也可在350兆现有模拟系统下使用。</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1.8英寸彩屏显示，高效分辨率，阳光下可视。屏幕显示文字行数≥4行。</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内置蓝牙，无需提供外接设备就能实现蓝牙数据传输，可解放警员双手，进行通信。</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内置GPS/北斗模块，支持卫星定位。终端的定位精度为5米，定位信息上报方式多样，支持时间间隔上报、距离上报、时间与距离组合上报等多种方式, 同时支持定位信息系统上拉。定位信息上报最短时间间隔2秒，最短距离间隔50米。。</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智能音频设计，可以自动调节对讲机的音量，补偿背景噪声。</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支持无极性选组，选组旋钮支持无限循环选组功能。</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支持系统对GPS/北斗定位功能的远程开关。</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具有良好的电磁兼容性。</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频段：350-400MHz</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射频功率：1瓦/4瓦可调；</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接收灵敏度：数字：≤-116 dBm（误码率5%时）；模拟：0.3μV（12dB SINAD），0.22μV（典型)</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适应恶劣环境中使用，防水防尘达到 IP57（GB 4208-2008）标准；湿热满足GJB 150.9A-2009，GJB 367A-2001，GB/T 2423.4-2008标准；振动、机械冲击和跌落满足GJB 150.16A-2009，GJB 367A-2001，GJB 150.18A-2009，GB/T 2423.10-2008标准；并提供法定检测机构的检测报告。</w:t>
      </w:r>
    </w:p>
    <w:p>
      <w:pPr>
        <w:pStyle w:val="207"/>
        <w:numPr>
          <w:ilvl w:val="0"/>
          <w:numId w:val="10"/>
        </w:numPr>
        <w:snapToGrid w:val="0"/>
        <w:ind w:firstLineChars="0"/>
        <w:rPr>
          <w:rFonts w:hint="eastAsia" w:ascii="宋体" w:hAnsi="宋体" w:cs="宋体"/>
          <w:sz w:val="24"/>
          <w:szCs w:val="24"/>
        </w:rPr>
      </w:pPr>
      <w:r>
        <w:rPr>
          <w:rFonts w:hint="eastAsia" w:ascii="宋体" w:hAnsi="宋体" w:cs="宋体"/>
          <w:sz w:val="24"/>
          <w:szCs w:val="24"/>
        </w:rPr>
        <w:t>其他功能</w:t>
      </w:r>
    </w:p>
    <w:p>
      <w:pPr>
        <w:pStyle w:val="207"/>
        <w:widowControl/>
        <w:snapToGrid w:val="0"/>
        <w:ind w:firstLine="0" w:firstLineChars="0"/>
        <w:rPr>
          <w:rFonts w:hint="eastAsia" w:ascii="宋体" w:hAnsi="宋体" w:cs="宋体"/>
          <w:sz w:val="24"/>
          <w:szCs w:val="24"/>
        </w:rPr>
      </w:pPr>
      <w:r>
        <w:rPr>
          <w:rFonts w:hint="eastAsia" w:ascii="宋体" w:hAnsi="宋体" w:cs="宋体"/>
          <w:sz w:val="24"/>
          <w:szCs w:val="24"/>
        </w:rPr>
        <w:t>1.12.1数字集群:</w:t>
      </w:r>
    </w:p>
    <w:p>
      <w:pPr>
        <w:widowControl/>
        <w:adjustRightInd w:val="0"/>
        <w:snapToGrid w:val="0"/>
        <w:spacing w:line="360" w:lineRule="auto"/>
        <w:ind w:firstLine="420"/>
        <w:jc w:val="left"/>
        <w:rPr>
          <w:rFonts w:hint="eastAsia" w:ascii="宋体" w:hAnsi="宋体" w:cs="宋体"/>
          <w:szCs w:val="24"/>
        </w:rPr>
      </w:pPr>
      <w:r>
        <w:rPr>
          <w:rFonts w:hint="eastAsia" w:ascii="宋体" w:hAnsi="宋体" w:cs="宋体"/>
          <w:szCs w:val="24"/>
        </w:rPr>
        <w:t>支持TMO、DMO、RMO工作模式、登记, 去登记、鉴权、漫游、语音单呼、语音组呼、组呼迟入、组呼并入、广播呼叫、紧急呼叫、报警、环境侦听、越区切换、通话限时、讲话方身份识别、PTT 授权、遥毙、遥晕、复活、动态重组、呼叫限制、状态消息、短消息、卫星定位信息传输、优先呼叫、有线电话呼叫、功率控制、呼叫转移、繁忙排队、端到端安全。</w:t>
      </w:r>
    </w:p>
    <w:p>
      <w:pPr>
        <w:pStyle w:val="207"/>
        <w:snapToGrid w:val="0"/>
        <w:ind w:firstLine="0" w:firstLineChars="0"/>
        <w:rPr>
          <w:rFonts w:hint="eastAsia" w:ascii="宋体" w:hAnsi="宋体" w:cs="宋体"/>
          <w:sz w:val="24"/>
          <w:szCs w:val="24"/>
        </w:rPr>
      </w:pPr>
      <w:r>
        <w:rPr>
          <w:rFonts w:hint="eastAsia" w:ascii="宋体" w:hAnsi="宋体" w:cs="宋体"/>
          <w:sz w:val="24"/>
          <w:szCs w:val="24"/>
        </w:rPr>
        <w:t>1.12.2 数字常规：</w:t>
      </w:r>
    </w:p>
    <w:p>
      <w:pPr>
        <w:widowControl/>
        <w:adjustRightInd w:val="0"/>
        <w:snapToGrid w:val="0"/>
        <w:spacing w:line="360" w:lineRule="auto"/>
        <w:ind w:firstLine="420"/>
        <w:jc w:val="left"/>
        <w:rPr>
          <w:rFonts w:hint="eastAsia" w:ascii="宋体" w:hAnsi="宋体" w:cs="宋体"/>
          <w:szCs w:val="24"/>
        </w:rPr>
      </w:pPr>
      <w:r>
        <w:rPr>
          <w:rFonts w:hint="eastAsia" w:ascii="宋体" w:hAnsi="宋体" w:cs="宋体"/>
          <w:szCs w:val="24"/>
        </w:rPr>
        <w:t>语音单呼、语音组呼、文本消息、信道扫描、呼叫方ID显示、组呼显示</w:t>
      </w:r>
    </w:p>
    <w:p>
      <w:pPr>
        <w:pStyle w:val="207"/>
        <w:widowControl/>
        <w:snapToGrid w:val="0"/>
        <w:ind w:firstLine="0" w:firstLineChars="0"/>
        <w:rPr>
          <w:rFonts w:hint="eastAsia" w:ascii="宋体" w:hAnsi="宋体" w:cs="宋体"/>
          <w:sz w:val="24"/>
          <w:szCs w:val="24"/>
        </w:rPr>
      </w:pPr>
      <w:r>
        <w:rPr>
          <w:rFonts w:hint="eastAsia" w:ascii="宋体" w:hAnsi="宋体" w:cs="宋体"/>
          <w:sz w:val="24"/>
          <w:szCs w:val="24"/>
        </w:rPr>
        <w:t>1.12.3 模拟集群：</w:t>
      </w:r>
    </w:p>
    <w:p>
      <w:pPr>
        <w:widowControl/>
        <w:adjustRightInd w:val="0"/>
        <w:snapToGrid w:val="0"/>
        <w:spacing w:line="360" w:lineRule="auto"/>
        <w:ind w:firstLine="420"/>
        <w:jc w:val="left"/>
        <w:rPr>
          <w:rFonts w:hint="eastAsia" w:ascii="宋体" w:hAnsi="宋体" w:cs="宋体"/>
          <w:szCs w:val="24"/>
        </w:rPr>
      </w:pPr>
      <w:r>
        <w:rPr>
          <w:rFonts w:hint="eastAsia" w:ascii="宋体" w:hAnsi="宋体" w:cs="宋体"/>
          <w:szCs w:val="24"/>
        </w:rPr>
        <w:t>语音单呼、语音组呼、PSTN/PABX呼叫、短号呼叫、紧急呼叫、扫描、优先呼叫、广播呼叫、隐含组、参与组、响应组、遥晕、遥启。</w:t>
      </w:r>
    </w:p>
    <w:p>
      <w:pPr>
        <w:pStyle w:val="207"/>
        <w:widowControl/>
        <w:snapToGrid w:val="0"/>
        <w:ind w:firstLine="0" w:firstLineChars="0"/>
        <w:rPr>
          <w:rFonts w:hint="eastAsia" w:ascii="宋体" w:hAnsi="宋体" w:cs="宋体"/>
          <w:sz w:val="24"/>
          <w:szCs w:val="24"/>
        </w:rPr>
      </w:pPr>
      <w:r>
        <w:rPr>
          <w:rFonts w:hint="eastAsia" w:ascii="宋体" w:hAnsi="宋体" w:cs="宋体"/>
          <w:sz w:val="24"/>
          <w:szCs w:val="24"/>
        </w:rPr>
        <w:t>1.12.4 模拟常规：</w:t>
      </w:r>
    </w:p>
    <w:p>
      <w:pPr>
        <w:widowControl/>
        <w:adjustRightInd w:val="0"/>
        <w:snapToGrid w:val="0"/>
        <w:spacing w:line="360" w:lineRule="auto"/>
        <w:ind w:firstLine="420"/>
        <w:jc w:val="left"/>
        <w:rPr>
          <w:rFonts w:hint="eastAsia" w:ascii="宋体" w:hAnsi="宋体" w:cs="宋体"/>
        </w:rPr>
      </w:pPr>
      <w:r>
        <w:rPr>
          <w:rFonts w:hint="eastAsia" w:ascii="宋体" w:hAnsi="宋体" w:cs="宋体"/>
        </w:rPr>
        <w:t>语音组呼</w:t>
      </w:r>
    </w:p>
    <w:p>
      <w:pPr>
        <w:widowControl/>
        <w:adjustRightInd w:val="0"/>
        <w:snapToGrid w:val="0"/>
        <w:spacing w:line="360" w:lineRule="auto"/>
        <w:jc w:val="left"/>
        <w:rPr>
          <w:rFonts w:hint="eastAsia" w:ascii="宋体" w:hAnsi="宋体" w:cs="宋体"/>
          <w:b/>
        </w:rPr>
      </w:pPr>
      <w:r>
        <w:rPr>
          <w:rFonts w:hint="eastAsia" w:ascii="宋体" w:hAnsi="宋体" w:cs="宋体"/>
          <w:b/>
        </w:rPr>
        <w:t>2、技术规格：</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3188"/>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adjustRightInd w:val="0"/>
              <w:snapToGrid w:val="0"/>
              <w:spacing w:line="360" w:lineRule="auto"/>
              <w:rPr>
                <w:rFonts w:hint="eastAsia" w:ascii="宋体" w:hAnsi="宋体" w:cs="宋体"/>
                <w:b/>
                <w:bCs/>
                <w:kern w:val="0"/>
              </w:rPr>
            </w:pPr>
            <w:r>
              <w:rPr>
                <w:rFonts w:hint="eastAsia" w:ascii="宋体" w:hAnsi="宋体" w:cs="宋体"/>
                <w:b/>
                <w:bCs/>
                <w:kern w:val="0"/>
              </w:rPr>
              <w:t>类别</w:t>
            </w:r>
          </w:p>
        </w:tc>
        <w:tc>
          <w:tcPr>
            <w:tcW w:w="3188"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adjustRightInd w:val="0"/>
              <w:snapToGrid w:val="0"/>
              <w:spacing w:line="360" w:lineRule="auto"/>
              <w:rPr>
                <w:rFonts w:hint="eastAsia" w:ascii="宋体" w:hAnsi="宋体" w:cs="宋体"/>
                <w:b/>
                <w:bCs/>
                <w:kern w:val="0"/>
              </w:rPr>
            </w:pPr>
            <w:r>
              <w:rPr>
                <w:rFonts w:hint="eastAsia" w:ascii="宋体" w:hAnsi="宋体" w:cs="宋体"/>
                <w:b/>
                <w:bCs/>
                <w:kern w:val="0"/>
              </w:rPr>
              <w:t>名称</w:t>
            </w:r>
          </w:p>
        </w:tc>
        <w:tc>
          <w:tcPr>
            <w:tcW w:w="374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adjustRightInd w:val="0"/>
              <w:snapToGrid w:val="0"/>
              <w:spacing w:line="360" w:lineRule="auto"/>
              <w:rPr>
                <w:rFonts w:hint="eastAsia" w:ascii="宋体" w:hAnsi="宋体" w:cs="宋体"/>
                <w:b/>
                <w:bCs/>
                <w:kern w:val="0"/>
              </w:rPr>
            </w:pPr>
            <w:r>
              <w:rPr>
                <w:rFonts w:hint="eastAsia" w:ascii="宋体" w:hAnsi="宋体" w:cs="宋体"/>
                <w:b/>
                <w:bCs/>
                <w:kern w:val="0"/>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b/>
                <w:bCs/>
                <w:kern w:val="0"/>
              </w:rPr>
            </w:pPr>
            <w:r>
              <w:rPr>
                <w:rFonts w:hint="eastAsia" w:ascii="宋体" w:hAnsi="宋体" w:cs="宋体"/>
                <w:b/>
                <w:bCs/>
                <w:kern w:val="0"/>
              </w:rPr>
              <w:t>一般规格</w:t>
            </w: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频率范围</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350-400MHz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bCs/>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信道容量</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bCs/>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信道间隔</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12.5kHz/25kHz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bCs/>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尺寸（高×宽×厚）</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带高容量电池：≤131×56×42mm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bCs/>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重量</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≤360g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bCs/>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工作电压</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额定7.5V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bCs/>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电池</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高容量电池≥2250mAh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bCs/>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工作时长</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模拟：12小时</w:t>
            </w:r>
          </w:p>
          <w:p>
            <w:pPr>
              <w:widowControl/>
              <w:adjustRightInd w:val="0"/>
              <w:snapToGrid w:val="0"/>
              <w:spacing w:line="360" w:lineRule="auto"/>
              <w:rPr>
                <w:rFonts w:hint="eastAsia" w:ascii="宋体" w:hAnsi="宋体" w:cs="宋体"/>
                <w:kern w:val="0"/>
              </w:rPr>
            </w:pPr>
            <w:r>
              <w:rPr>
                <w:rFonts w:hint="eastAsia" w:ascii="宋体" w:hAnsi="宋体" w:cs="宋体"/>
                <w:kern w:val="0"/>
              </w:rPr>
              <w:t>数字：17小时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bCs/>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屏幕</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1.8寸彩屏，</w:t>
            </w:r>
            <w:r>
              <w:rPr>
                <w:rFonts w:hint="eastAsia" w:ascii="宋体" w:hAnsi="宋体" w:cs="宋体"/>
              </w:rPr>
              <w:t>屏幕显示文字行数≥4行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bCs/>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显示语言</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支持中文、英文语言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bCs/>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rPr>
            </w:pPr>
            <w:r>
              <w:rPr>
                <w:rFonts w:hint="eastAsia" w:ascii="宋体" w:hAnsi="宋体" w:cs="宋体"/>
              </w:rPr>
              <w:t>最大输出功率</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rPr>
            </w:pPr>
            <w:r>
              <w:rPr>
                <w:rFonts w:hint="eastAsia" w:ascii="宋体" w:hAnsi="宋体" w:cs="宋体"/>
              </w:rPr>
              <w:t>4W，可调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6"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bCs/>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rPr>
            </w:pPr>
            <w:r>
              <w:rPr>
                <w:rFonts w:hint="eastAsia" w:ascii="宋体" w:hAnsi="宋体" w:cs="宋体"/>
              </w:rPr>
              <w:t>接收灵敏度</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rPr>
            </w:pPr>
            <w:r>
              <w:rPr>
                <w:rFonts w:hint="eastAsia" w:ascii="宋体" w:hAnsi="宋体" w:cs="宋体"/>
              </w:rPr>
              <w:t>数字：≤-116 dBm（误码率5%时）</w:t>
            </w:r>
          </w:p>
          <w:p>
            <w:pPr>
              <w:adjustRightInd w:val="0"/>
              <w:snapToGrid w:val="0"/>
              <w:spacing w:line="360" w:lineRule="auto"/>
              <w:rPr>
                <w:rFonts w:hint="eastAsia" w:ascii="宋体" w:hAnsi="宋体" w:cs="宋体"/>
              </w:rPr>
            </w:pPr>
            <w:r>
              <w:rPr>
                <w:rFonts w:hint="eastAsia" w:ascii="宋体" w:hAnsi="宋体" w:cs="宋体"/>
              </w:rPr>
              <w:t>模拟：0.3μV（12dB SINAD），0.22μV（典型)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b/>
                <w:kern w:val="0"/>
              </w:rPr>
            </w:pPr>
            <w:r>
              <w:rPr>
                <w:rFonts w:hint="eastAsia" w:ascii="宋体" w:hAnsi="宋体" w:cs="宋体"/>
                <w:b/>
                <w:kern w:val="0"/>
              </w:rPr>
              <w:t>GPS</w:t>
            </w: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TTFF 首次定位冷启动</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&lt;60秒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TTFF 首次定位热启动</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&lt;10秒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水平定位精度</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&lt;5米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b/>
                <w:kern w:val="0"/>
              </w:rPr>
            </w:pPr>
            <w:r>
              <w:rPr>
                <w:rFonts w:hint="eastAsia" w:ascii="宋体" w:hAnsi="宋体" w:cs="宋体"/>
                <w:b/>
                <w:kern w:val="0"/>
              </w:rPr>
              <w:t>内置蓝牙</w:t>
            </w: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版本</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支持Bluetooth 2.1+EDR规范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范围</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2类，≥10米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b/>
                <w:kern w:val="0"/>
              </w:rPr>
            </w:pPr>
            <w:r>
              <w:rPr>
                <w:rFonts w:hint="eastAsia" w:ascii="宋体" w:hAnsi="宋体" w:cs="宋体"/>
                <w:b/>
                <w:kern w:val="0"/>
              </w:rPr>
              <w:t>环境规格</w:t>
            </w: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工作温度</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-30℃ ～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防水防尘</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IP57，</w:t>
            </w:r>
            <w:r>
              <w:rPr>
                <w:rFonts w:hint="eastAsia" w:ascii="宋体" w:hAnsi="宋体" w:cs="宋体"/>
              </w:rPr>
              <w:t>符合GB 4208-2008标准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湿热</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宋体"/>
                <w:kern w:val="0"/>
              </w:rPr>
            </w:pPr>
            <w:r>
              <w:rPr>
                <w:rFonts w:hint="eastAsia" w:ascii="宋体" w:hAnsi="宋体" w:cs="宋体"/>
                <w:kern w:val="0"/>
              </w:rPr>
              <w:t>GJB 150.9A-2009</w:t>
            </w:r>
          </w:p>
          <w:p>
            <w:pPr>
              <w:widowControl/>
              <w:adjustRightInd w:val="0"/>
              <w:snapToGrid w:val="0"/>
              <w:spacing w:line="360" w:lineRule="auto"/>
              <w:rPr>
                <w:rFonts w:hint="eastAsia" w:ascii="宋体" w:hAnsi="宋体" w:cs="宋体"/>
                <w:kern w:val="0"/>
              </w:rPr>
            </w:pPr>
            <w:r>
              <w:rPr>
                <w:rFonts w:hint="eastAsia" w:ascii="宋体" w:hAnsi="宋体" w:cs="宋体"/>
                <w:kern w:val="0"/>
              </w:rPr>
              <w:t>GJB 367A-2001</w:t>
            </w:r>
          </w:p>
          <w:p>
            <w:pPr>
              <w:widowControl/>
              <w:adjustRightInd w:val="0"/>
              <w:snapToGrid w:val="0"/>
              <w:spacing w:line="360" w:lineRule="auto"/>
              <w:rPr>
                <w:rFonts w:hint="eastAsia" w:ascii="宋体" w:hAnsi="宋体" w:cs="宋体"/>
                <w:kern w:val="0"/>
              </w:rPr>
            </w:pPr>
            <w:r>
              <w:rPr>
                <w:rFonts w:hint="eastAsia" w:ascii="宋体" w:hAnsi="宋体" w:cs="宋体"/>
                <w:kern w:val="0"/>
              </w:rPr>
              <w:t>GB/T 2423.4-2008</w:t>
            </w:r>
            <w:r>
              <w:rPr>
                <w:rFonts w:hint="eastAsia" w:ascii="宋体" w:hAnsi="宋体" w:cs="宋体"/>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b/>
                <w:kern w:val="0"/>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rPr>
            </w:pPr>
            <w:r>
              <w:rPr>
                <w:rFonts w:hint="eastAsia" w:ascii="宋体" w:hAnsi="宋体" w:cs="宋体"/>
                <w:kern w:val="0"/>
              </w:rPr>
              <w:t>振动、机械冲击和跌落</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rPr>
            </w:pPr>
            <w:r>
              <w:rPr>
                <w:rFonts w:hint="eastAsia" w:ascii="宋体" w:hAnsi="宋体" w:cs="宋体"/>
              </w:rPr>
              <w:t>满足如下标准：</w:t>
            </w:r>
          </w:p>
          <w:p>
            <w:pPr>
              <w:autoSpaceDE w:val="0"/>
              <w:autoSpaceDN w:val="0"/>
              <w:adjustRightInd w:val="0"/>
              <w:snapToGrid w:val="0"/>
              <w:spacing w:line="360" w:lineRule="auto"/>
              <w:jc w:val="left"/>
              <w:rPr>
                <w:rFonts w:hint="eastAsia" w:ascii="宋体" w:hAnsi="宋体" w:cs="宋体"/>
                <w:kern w:val="0"/>
              </w:rPr>
            </w:pPr>
            <w:r>
              <w:rPr>
                <w:rFonts w:hint="eastAsia" w:ascii="宋体" w:hAnsi="宋体" w:cs="宋体"/>
                <w:kern w:val="0"/>
              </w:rPr>
              <w:t>GJB 150.16A-2009</w:t>
            </w:r>
          </w:p>
          <w:p>
            <w:pPr>
              <w:autoSpaceDE w:val="0"/>
              <w:autoSpaceDN w:val="0"/>
              <w:adjustRightInd w:val="0"/>
              <w:snapToGrid w:val="0"/>
              <w:spacing w:line="360" w:lineRule="auto"/>
              <w:jc w:val="left"/>
              <w:rPr>
                <w:rFonts w:hint="eastAsia" w:ascii="宋体" w:hAnsi="宋体" w:cs="宋体"/>
                <w:kern w:val="0"/>
              </w:rPr>
            </w:pPr>
            <w:r>
              <w:rPr>
                <w:rFonts w:hint="eastAsia" w:ascii="宋体" w:hAnsi="宋体" w:cs="宋体"/>
                <w:kern w:val="0"/>
              </w:rPr>
              <w:t>GJB 367A-2001</w:t>
            </w:r>
          </w:p>
          <w:p>
            <w:pPr>
              <w:autoSpaceDE w:val="0"/>
              <w:autoSpaceDN w:val="0"/>
              <w:adjustRightInd w:val="0"/>
              <w:snapToGrid w:val="0"/>
              <w:spacing w:line="360" w:lineRule="auto"/>
              <w:jc w:val="left"/>
              <w:rPr>
                <w:rFonts w:hint="eastAsia" w:ascii="宋体" w:hAnsi="宋体" w:cs="宋体"/>
                <w:kern w:val="0"/>
              </w:rPr>
            </w:pPr>
            <w:r>
              <w:rPr>
                <w:rFonts w:hint="eastAsia" w:ascii="宋体" w:hAnsi="宋体" w:cs="宋体"/>
                <w:kern w:val="0"/>
              </w:rPr>
              <w:t>GJB 150.18A-2009</w:t>
            </w:r>
          </w:p>
          <w:p>
            <w:pPr>
              <w:adjustRightInd w:val="0"/>
              <w:snapToGrid w:val="0"/>
              <w:spacing w:line="360" w:lineRule="auto"/>
              <w:rPr>
                <w:rFonts w:hint="eastAsia" w:ascii="宋体" w:hAnsi="宋体" w:cs="宋体"/>
              </w:rPr>
            </w:pPr>
            <w:r>
              <w:rPr>
                <w:rFonts w:hint="eastAsia" w:ascii="宋体" w:hAnsi="宋体" w:cs="宋体"/>
                <w:kern w:val="0"/>
              </w:rPr>
              <w:t>GB/T 2423.10-2008</w:t>
            </w:r>
          </w:p>
        </w:tc>
      </w:tr>
      <w:bookmarkEnd w:id="267"/>
      <w:bookmarkEnd w:id="268"/>
    </w:tbl>
    <w:p>
      <w:pPr>
        <w:pStyle w:val="4"/>
        <w:rPr>
          <w:rFonts w:hint="eastAsia"/>
        </w:rPr>
      </w:pPr>
      <w:r>
        <w:rPr>
          <w:rFonts w:hint="eastAsia"/>
        </w:rPr>
        <w:t>3.3数字集群固定台技术和功能要求：</w:t>
      </w:r>
    </w:p>
    <w:p>
      <w:pPr>
        <w:adjustRightInd w:val="0"/>
        <w:snapToGrid w:val="0"/>
        <w:spacing w:line="360" w:lineRule="auto"/>
        <w:rPr>
          <w:rFonts w:hint="eastAsia" w:ascii="宋体" w:hAnsi="宋体" w:cs="宋体"/>
          <w:b/>
        </w:rPr>
      </w:pPr>
      <w:r>
        <w:rPr>
          <w:rFonts w:hint="eastAsia" w:ascii="宋体" w:hAnsi="宋体" w:cs="宋体"/>
          <w:b/>
        </w:rPr>
        <w:t>1.主要功能：</w:t>
      </w:r>
    </w:p>
    <w:p>
      <w:pPr>
        <w:pStyle w:val="315"/>
        <w:adjustRightInd w:val="0"/>
        <w:snapToGrid w:val="0"/>
        <w:spacing w:beforeLines="0" w:line="360" w:lineRule="auto"/>
        <w:rPr>
          <w:rFonts w:hint="eastAsia" w:ascii="宋体" w:hAnsi="宋体" w:cs="宋体"/>
          <w:b/>
          <w:sz w:val="24"/>
          <w:szCs w:val="24"/>
        </w:rPr>
      </w:pPr>
      <w:r>
        <w:rPr>
          <w:rFonts w:hint="eastAsia" w:ascii="宋体" w:hAnsi="宋体" w:cs="宋体"/>
          <w:sz w:val="24"/>
          <w:szCs w:val="24"/>
        </w:rPr>
        <w:t>1.1数模兼容，多模合一：支持数字集群（PDT集群）、数字常规（PDT常规）、模拟集群（MPT1327集群）、模拟常规工作模式，可在现有模拟系统下使用，也可在新建数字系统下使用，可实现模拟向数字平滑过渡。</w:t>
      </w:r>
    </w:p>
    <w:p>
      <w:pPr>
        <w:pStyle w:val="315"/>
        <w:adjustRightInd w:val="0"/>
        <w:snapToGrid w:val="0"/>
        <w:spacing w:beforeLines="0" w:line="360" w:lineRule="auto"/>
        <w:rPr>
          <w:rFonts w:hint="eastAsia" w:ascii="宋体" w:hAnsi="宋体" w:cs="宋体"/>
          <w:b/>
          <w:sz w:val="24"/>
          <w:szCs w:val="24"/>
        </w:rPr>
      </w:pPr>
      <w:r>
        <w:rPr>
          <w:rFonts w:hint="eastAsia" w:ascii="宋体" w:hAnsi="宋体" w:cs="宋体"/>
          <w:sz w:val="24"/>
          <w:szCs w:val="24"/>
        </w:rPr>
        <w:t>1.2  全彩高清显示屏：2.8寸高清全彩显示屏，支持5行显示，日间或夜间模式可选，强光下清晰可视。</w:t>
      </w:r>
    </w:p>
    <w:p>
      <w:pPr>
        <w:pStyle w:val="315"/>
        <w:adjustRightInd w:val="0"/>
        <w:snapToGrid w:val="0"/>
        <w:spacing w:beforeLines="0" w:line="360" w:lineRule="auto"/>
        <w:rPr>
          <w:rFonts w:hint="eastAsia" w:ascii="宋体" w:hAnsi="宋体" w:cs="宋体"/>
          <w:sz w:val="24"/>
          <w:szCs w:val="24"/>
        </w:rPr>
      </w:pPr>
      <w:r>
        <w:rPr>
          <w:rFonts w:hint="eastAsia" w:ascii="宋体" w:hAnsi="宋体" w:cs="宋体"/>
          <w:bCs/>
          <w:sz w:val="24"/>
          <w:szCs w:val="24"/>
        </w:rPr>
        <w:t>1.3 智能音频设计</w:t>
      </w:r>
      <w:r>
        <w:rPr>
          <w:rFonts w:hint="eastAsia" w:ascii="宋体" w:hAnsi="宋体" w:cs="宋体"/>
          <w:sz w:val="24"/>
          <w:szCs w:val="24"/>
        </w:rPr>
        <w:t>：前置大功率扬声器并搭载智能音频功能，可根据环境噪音水平自动调节车载台的音量，补偿背景噪声。</w:t>
      </w:r>
    </w:p>
    <w:p>
      <w:pPr>
        <w:pStyle w:val="315"/>
        <w:adjustRightInd w:val="0"/>
        <w:snapToGrid w:val="0"/>
        <w:spacing w:beforeLines="0" w:line="360" w:lineRule="auto"/>
        <w:ind w:firstLine="468" w:firstLineChars="195"/>
        <w:rPr>
          <w:rFonts w:hint="eastAsia" w:ascii="宋体" w:hAnsi="宋体" w:cs="宋体"/>
          <w:sz w:val="24"/>
          <w:szCs w:val="24"/>
        </w:rPr>
      </w:pPr>
      <w:r>
        <w:rPr>
          <w:rFonts w:hint="eastAsia" w:ascii="宋体" w:hAnsi="宋体" w:cs="宋体"/>
          <w:bCs/>
          <w:sz w:val="24"/>
          <w:szCs w:val="24"/>
        </w:rPr>
        <w:t>1.4 内置蓝牙：</w:t>
      </w:r>
      <w:r>
        <w:rPr>
          <w:rFonts w:hint="eastAsia" w:ascii="宋体" w:hAnsi="宋体" w:cs="宋体"/>
          <w:sz w:val="24"/>
          <w:szCs w:val="24"/>
        </w:rPr>
        <w:t>内置蓝牙模块，将车载台连接到支持蓝牙的数据设备即可实时共享信息。</w:t>
      </w:r>
    </w:p>
    <w:p>
      <w:pPr>
        <w:pStyle w:val="315"/>
        <w:adjustRightInd w:val="0"/>
        <w:snapToGrid w:val="0"/>
        <w:spacing w:beforeLines="0" w:line="360" w:lineRule="auto"/>
        <w:ind w:firstLine="468" w:firstLineChars="195"/>
        <w:rPr>
          <w:rFonts w:hint="eastAsia" w:ascii="宋体" w:hAnsi="宋体" w:cs="宋体"/>
          <w:sz w:val="24"/>
          <w:szCs w:val="24"/>
        </w:rPr>
      </w:pPr>
      <w:r>
        <w:rPr>
          <w:rFonts w:hint="eastAsia" w:ascii="宋体" w:hAnsi="宋体" w:cs="宋体"/>
          <w:bCs/>
          <w:sz w:val="24"/>
          <w:szCs w:val="24"/>
        </w:rPr>
        <w:t>1.5 支持GPS/北斗业务：内置GPS/北斗双模定位模块，两种制式互为备份，且定位信息上报方式多样，支持时间间隔上报、距离上报、时间与距离组合上报等多种方式, 同时支持定位信息系统上拉。定位信息上报最短时间间隔2秒，最短距离间隔50米。</w:t>
      </w:r>
    </w:p>
    <w:p>
      <w:pPr>
        <w:pStyle w:val="315"/>
        <w:adjustRightInd w:val="0"/>
        <w:snapToGrid w:val="0"/>
        <w:spacing w:beforeLines="0" w:line="360" w:lineRule="auto"/>
        <w:ind w:firstLine="468" w:firstLineChars="195"/>
        <w:rPr>
          <w:rFonts w:hint="eastAsia" w:ascii="宋体" w:hAnsi="宋体" w:cs="宋体"/>
          <w:bCs/>
          <w:sz w:val="24"/>
          <w:szCs w:val="24"/>
        </w:rPr>
      </w:pPr>
      <w:r>
        <w:rPr>
          <w:rFonts w:hint="eastAsia" w:ascii="宋体" w:hAnsi="宋体" w:cs="宋体"/>
          <w:bCs/>
          <w:sz w:val="24"/>
          <w:szCs w:val="24"/>
        </w:rPr>
        <w:t>1.6 手咪具有数字键盘，方便操作。</w:t>
      </w:r>
    </w:p>
    <w:p>
      <w:pPr>
        <w:pStyle w:val="315"/>
        <w:adjustRightInd w:val="0"/>
        <w:snapToGrid w:val="0"/>
        <w:spacing w:beforeLines="0" w:line="360" w:lineRule="auto"/>
        <w:ind w:firstLine="468" w:firstLineChars="195"/>
        <w:rPr>
          <w:rFonts w:hint="eastAsia" w:ascii="宋体" w:hAnsi="宋体" w:cs="宋体"/>
          <w:bCs/>
          <w:sz w:val="24"/>
          <w:szCs w:val="24"/>
        </w:rPr>
      </w:pPr>
      <w:r>
        <w:rPr>
          <w:rFonts w:hint="eastAsia" w:ascii="宋体" w:hAnsi="宋体" w:cs="宋体"/>
          <w:bCs/>
          <w:sz w:val="24"/>
          <w:szCs w:val="24"/>
        </w:rPr>
        <w:t>1.7支持系统对GPS/北斗定位功能的远程开关；</w:t>
      </w:r>
    </w:p>
    <w:p>
      <w:pPr>
        <w:pStyle w:val="315"/>
        <w:adjustRightInd w:val="0"/>
        <w:snapToGrid w:val="0"/>
        <w:spacing w:beforeLines="0" w:line="360" w:lineRule="auto"/>
        <w:ind w:firstLine="468" w:firstLineChars="195"/>
        <w:rPr>
          <w:rFonts w:hint="eastAsia" w:ascii="宋体" w:hAnsi="宋体" w:cs="宋体"/>
          <w:bCs/>
          <w:sz w:val="24"/>
          <w:szCs w:val="24"/>
        </w:rPr>
      </w:pPr>
      <w:r>
        <w:rPr>
          <w:rFonts w:hint="eastAsia" w:ascii="宋体" w:hAnsi="宋体" w:cs="宋体"/>
          <w:bCs/>
          <w:sz w:val="24"/>
          <w:szCs w:val="24"/>
        </w:rPr>
        <w:t>1.8具有良好的电磁兼容性；</w:t>
      </w:r>
    </w:p>
    <w:p>
      <w:pPr>
        <w:pStyle w:val="315"/>
        <w:adjustRightInd w:val="0"/>
        <w:snapToGrid w:val="0"/>
        <w:spacing w:beforeLines="0" w:line="360" w:lineRule="auto"/>
        <w:ind w:firstLine="468" w:firstLineChars="195"/>
        <w:rPr>
          <w:rFonts w:hint="eastAsia" w:ascii="宋体" w:hAnsi="宋体" w:cs="宋体"/>
          <w:bCs/>
          <w:sz w:val="24"/>
          <w:szCs w:val="24"/>
        </w:rPr>
      </w:pPr>
      <w:r>
        <w:rPr>
          <w:rFonts w:hint="eastAsia" w:ascii="宋体" w:hAnsi="宋体" w:cs="宋体"/>
          <w:bCs/>
          <w:sz w:val="24"/>
          <w:szCs w:val="24"/>
        </w:rPr>
        <w:t>1.9支持无缝越区切换技术，确保用户在跨区执行任务时通信无中断。</w:t>
      </w:r>
    </w:p>
    <w:p>
      <w:pPr>
        <w:pStyle w:val="315"/>
        <w:adjustRightInd w:val="0"/>
        <w:snapToGrid w:val="0"/>
        <w:spacing w:beforeLines="0" w:line="360" w:lineRule="auto"/>
        <w:ind w:left="360" w:leftChars="150" w:firstLine="120" w:firstLineChars="50"/>
        <w:rPr>
          <w:rFonts w:hint="eastAsia" w:ascii="宋体" w:hAnsi="宋体" w:cs="宋体"/>
          <w:sz w:val="24"/>
          <w:szCs w:val="24"/>
        </w:rPr>
      </w:pPr>
      <w:r>
        <w:rPr>
          <w:rFonts w:hint="eastAsia" w:ascii="宋体" w:hAnsi="宋体" w:cs="宋体"/>
          <w:sz w:val="24"/>
          <w:szCs w:val="24"/>
        </w:rPr>
        <w:t>1.6 高可靠性，高耐用性：高标准设计，适应在恶劣环境中使用，防水防尘达到IP54 标准。</w:t>
      </w:r>
      <w:bookmarkStart w:id="269" w:name="_Toc415756323"/>
      <w:bookmarkStart w:id="270" w:name="_Toc415061598"/>
    </w:p>
    <w:p>
      <w:pPr>
        <w:pStyle w:val="315"/>
        <w:adjustRightInd w:val="0"/>
        <w:snapToGrid w:val="0"/>
        <w:spacing w:beforeLines="0" w:line="360" w:lineRule="auto"/>
        <w:ind w:left="360" w:leftChars="150" w:firstLine="120" w:firstLineChars="50"/>
        <w:rPr>
          <w:rFonts w:hint="eastAsia" w:ascii="宋体" w:hAnsi="宋体" w:cs="宋体"/>
          <w:sz w:val="24"/>
          <w:szCs w:val="24"/>
        </w:rPr>
      </w:pPr>
      <w:r>
        <w:rPr>
          <w:rFonts w:hint="eastAsia" w:ascii="宋体" w:hAnsi="宋体" w:cs="宋体"/>
          <w:sz w:val="24"/>
          <w:szCs w:val="24"/>
        </w:rPr>
        <w:t>1.7其他功能</w:t>
      </w:r>
      <w:bookmarkEnd w:id="269"/>
      <w:bookmarkEnd w:id="270"/>
    </w:p>
    <w:p>
      <w:pPr>
        <w:pStyle w:val="207"/>
        <w:widowControl/>
        <w:snapToGrid w:val="0"/>
        <w:ind w:firstLine="360" w:firstLineChars="150"/>
        <w:rPr>
          <w:rFonts w:hint="eastAsia" w:ascii="宋体" w:hAnsi="宋体" w:cs="宋体"/>
          <w:sz w:val="24"/>
          <w:szCs w:val="24"/>
        </w:rPr>
      </w:pPr>
      <w:r>
        <w:rPr>
          <w:rFonts w:hint="eastAsia" w:ascii="宋体" w:hAnsi="宋体" w:cs="宋体"/>
          <w:sz w:val="24"/>
          <w:szCs w:val="24"/>
        </w:rPr>
        <w:t>1.7.1数字集群:</w:t>
      </w:r>
    </w:p>
    <w:p>
      <w:pPr>
        <w:widowControl/>
        <w:adjustRightInd w:val="0"/>
        <w:snapToGrid w:val="0"/>
        <w:spacing w:line="360" w:lineRule="auto"/>
        <w:ind w:firstLine="420"/>
        <w:jc w:val="left"/>
        <w:rPr>
          <w:rFonts w:hint="eastAsia" w:ascii="宋体" w:hAnsi="宋体" w:cs="宋体"/>
          <w:szCs w:val="24"/>
        </w:rPr>
      </w:pPr>
      <w:r>
        <w:rPr>
          <w:rFonts w:hint="eastAsia" w:ascii="宋体" w:hAnsi="宋体" w:cs="宋体"/>
          <w:szCs w:val="24"/>
        </w:rPr>
        <w:t>支持TMO、DMO、RMO工作模式、登记, 去登记、鉴权、漫游、语音单呼、语音组呼、组呼迟入、组呼并入、广播呼叫、紧急呼叫、报警、环境侦听、越区切换、通话限时、讲话方身份识别、PTT 授权、遥毙、遥晕、复活、动态重组、呼叫限制、状态消息、短消息、卫星定位信息传输、优先呼叫、有线电话呼叫、功率控制、呼叫转移、繁忙排队、端到端安全。</w:t>
      </w:r>
    </w:p>
    <w:p>
      <w:pPr>
        <w:pStyle w:val="207"/>
        <w:snapToGrid w:val="0"/>
        <w:ind w:firstLine="120" w:firstLineChars="50"/>
        <w:rPr>
          <w:rFonts w:hint="eastAsia" w:ascii="宋体" w:hAnsi="宋体" w:cs="宋体"/>
          <w:sz w:val="24"/>
          <w:szCs w:val="24"/>
        </w:rPr>
      </w:pPr>
      <w:r>
        <w:rPr>
          <w:rFonts w:hint="eastAsia" w:ascii="宋体" w:hAnsi="宋体" w:cs="宋体"/>
          <w:sz w:val="24"/>
          <w:szCs w:val="24"/>
        </w:rPr>
        <w:t>1.7.2 数字常规：</w:t>
      </w:r>
    </w:p>
    <w:p>
      <w:pPr>
        <w:widowControl/>
        <w:adjustRightInd w:val="0"/>
        <w:snapToGrid w:val="0"/>
        <w:spacing w:line="360" w:lineRule="auto"/>
        <w:ind w:firstLine="420"/>
        <w:jc w:val="left"/>
        <w:rPr>
          <w:rFonts w:hint="eastAsia" w:ascii="宋体" w:hAnsi="宋体" w:cs="宋体"/>
          <w:szCs w:val="24"/>
        </w:rPr>
      </w:pPr>
      <w:r>
        <w:rPr>
          <w:rFonts w:hint="eastAsia" w:ascii="宋体" w:hAnsi="宋体" w:cs="宋体"/>
          <w:szCs w:val="24"/>
        </w:rPr>
        <w:t>语音单呼、语音组呼、文本消息、信道扫描、呼叫方ID显示、组呼显示</w:t>
      </w:r>
    </w:p>
    <w:p>
      <w:pPr>
        <w:pStyle w:val="207"/>
        <w:widowControl/>
        <w:snapToGrid w:val="0"/>
        <w:ind w:firstLine="120" w:firstLineChars="50"/>
        <w:rPr>
          <w:rFonts w:hint="eastAsia" w:ascii="宋体" w:hAnsi="宋体" w:cs="宋体"/>
          <w:sz w:val="24"/>
          <w:szCs w:val="24"/>
        </w:rPr>
      </w:pPr>
      <w:r>
        <w:rPr>
          <w:rFonts w:hint="eastAsia" w:ascii="宋体" w:hAnsi="宋体" w:cs="宋体"/>
          <w:sz w:val="24"/>
          <w:szCs w:val="24"/>
        </w:rPr>
        <w:t>1.7.3 模拟集群：</w:t>
      </w:r>
    </w:p>
    <w:p>
      <w:pPr>
        <w:widowControl/>
        <w:adjustRightInd w:val="0"/>
        <w:snapToGrid w:val="0"/>
        <w:spacing w:line="360" w:lineRule="auto"/>
        <w:ind w:left="480" w:leftChars="200"/>
        <w:jc w:val="left"/>
        <w:rPr>
          <w:rFonts w:hint="eastAsia" w:ascii="宋体" w:hAnsi="宋体" w:cs="宋体"/>
          <w:szCs w:val="24"/>
        </w:rPr>
      </w:pPr>
      <w:r>
        <w:rPr>
          <w:rFonts w:hint="eastAsia" w:ascii="宋体" w:hAnsi="宋体" w:cs="宋体"/>
          <w:szCs w:val="24"/>
        </w:rPr>
        <w:t>语音单呼、语音组呼、PSTN/PABX呼叫、短号呼叫、紧急呼叫、扫描、优先呼叫、广播呼叫、隐含组、参与组、响应组、遥晕、遥启。</w:t>
      </w:r>
    </w:p>
    <w:p>
      <w:pPr>
        <w:pStyle w:val="207"/>
        <w:widowControl/>
        <w:snapToGrid w:val="0"/>
        <w:ind w:firstLine="120" w:firstLineChars="50"/>
        <w:rPr>
          <w:rFonts w:hint="eastAsia" w:ascii="宋体" w:hAnsi="宋体" w:cs="宋体"/>
          <w:sz w:val="24"/>
          <w:szCs w:val="24"/>
        </w:rPr>
      </w:pPr>
      <w:r>
        <w:rPr>
          <w:rFonts w:hint="eastAsia" w:ascii="宋体" w:hAnsi="宋体" w:cs="宋体"/>
          <w:sz w:val="24"/>
          <w:szCs w:val="24"/>
        </w:rPr>
        <w:t>1.7.4 模拟常规：</w:t>
      </w:r>
    </w:p>
    <w:p>
      <w:pPr>
        <w:widowControl/>
        <w:adjustRightInd w:val="0"/>
        <w:snapToGrid w:val="0"/>
        <w:spacing w:line="360" w:lineRule="auto"/>
        <w:ind w:firstLine="420"/>
        <w:jc w:val="left"/>
        <w:rPr>
          <w:rFonts w:hint="eastAsia" w:ascii="宋体" w:hAnsi="宋体" w:cs="宋体"/>
          <w:szCs w:val="24"/>
        </w:rPr>
      </w:pPr>
      <w:r>
        <w:rPr>
          <w:rFonts w:hint="eastAsia" w:ascii="宋体" w:hAnsi="宋体" w:cs="宋体"/>
          <w:szCs w:val="24"/>
        </w:rPr>
        <w:t>语音组呼</w:t>
      </w:r>
    </w:p>
    <w:p>
      <w:pPr>
        <w:adjustRightInd w:val="0"/>
        <w:snapToGrid w:val="0"/>
        <w:spacing w:line="360" w:lineRule="auto"/>
        <w:rPr>
          <w:rFonts w:hint="eastAsia" w:ascii="宋体" w:hAnsi="宋体" w:cs="宋体"/>
          <w:b/>
          <w:bCs/>
        </w:rPr>
      </w:pPr>
      <w:bookmarkStart w:id="271" w:name="_Toc415756324"/>
      <w:bookmarkStart w:id="272" w:name="_Toc415061599"/>
      <w:r>
        <w:rPr>
          <w:rFonts w:hint="eastAsia" w:ascii="宋体" w:hAnsi="宋体" w:cs="宋体"/>
          <w:b/>
          <w:bCs/>
        </w:rPr>
        <w:t>2.技术规格</w:t>
      </w:r>
      <w:bookmarkEnd w:id="271"/>
      <w:bookmarkEnd w:id="272"/>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430"/>
        <w:gridCol w:w="41"/>
        <w:gridCol w:w="1782"/>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blHeader/>
          <w:jc w:val="center"/>
        </w:trPr>
        <w:tc>
          <w:tcPr>
            <w:tcW w:w="1987" w:type="dxa"/>
            <w:shd w:val="clear" w:color="auto" w:fill="D9D9D9"/>
            <w:noWrap w:val="0"/>
            <w:vAlign w:val="center"/>
          </w:tcPr>
          <w:p>
            <w:pPr>
              <w:adjustRightInd w:val="0"/>
              <w:snapToGrid w:val="0"/>
              <w:spacing w:line="360" w:lineRule="auto"/>
              <w:jc w:val="center"/>
              <w:rPr>
                <w:rFonts w:hint="eastAsia" w:ascii="宋体" w:hAnsi="宋体" w:cs="宋体"/>
                <w:b/>
                <w:bCs/>
              </w:rPr>
            </w:pPr>
            <w:r>
              <w:rPr>
                <w:rFonts w:hint="eastAsia" w:ascii="宋体" w:hAnsi="宋体" w:cs="宋体"/>
                <w:b/>
                <w:bCs/>
              </w:rPr>
              <w:t>类别</w:t>
            </w:r>
          </w:p>
        </w:tc>
        <w:tc>
          <w:tcPr>
            <w:tcW w:w="3253" w:type="dxa"/>
            <w:gridSpan w:val="3"/>
            <w:shd w:val="clear" w:color="auto" w:fill="D9D9D9"/>
            <w:noWrap w:val="0"/>
            <w:vAlign w:val="center"/>
          </w:tcPr>
          <w:p>
            <w:pPr>
              <w:adjustRightInd w:val="0"/>
              <w:snapToGrid w:val="0"/>
              <w:spacing w:line="360" w:lineRule="auto"/>
              <w:jc w:val="center"/>
              <w:rPr>
                <w:rFonts w:hint="eastAsia" w:ascii="宋体" w:hAnsi="宋体" w:cs="宋体"/>
                <w:b/>
                <w:bCs/>
              </w:rPr>
            </w:pPr>
            <w:r>
              <w:rPr>
                <w:rFonts w:hint="eastAsia" w:ascii="宋体" w:hAnsi="宋体" w:cs="宋体"/>
                <w:b/>
                <w:bCs/>
              </w:rPr>
              <w:t>名称</w:t>
            </w:r>
          </w:p>
        </w:tc>
        <w:tc>
          <w:tcPr>
            <w:tcW w:w="3345" w:type="dxa"/>
            <w:shd w:val="clear" w:color="auto" w:fill="D9D9D9"/>
            <w:noWrap w:val="0"/>
            <w:vAlign w:val="center"/>
          </w:tcPr>
          <w:p>
            <w:pPr>
              <w:adjustRightInd w:val="0"/>
              <w:snapToGrid w:val="0"/>
              <w:spacing w:line="360" w:lineRule="auto"/>
              <w:jc w:val="center"/>
              <w:rPr>
                <w:rFonts w:hint="eastAsia" w:ascii="宋体" w:hAnsi="宋体" w:cs="宋体"/>
                <w:b/>
                <w:bCs/>
              </w:rPr>
            </w:pPr>
            <w:r>
              <w:rPr>
                <w:rFonts w:hint="eastAsia" w:ascii="宋体" w:hAnsi="宋体" w:cs="宋体"/>
                <w:b/>
                <w:bCs/>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restart"/>
            <w:noWrap w:val="0"/>
            <w:vAlign w:val="center"/>
          </w:tcPr>
          <w:p>
            <w:pPr>
              <w:adjustRightInd w:val="0"/>
              <w:snapToGrid w:val="0"/>
              <w:spacing w:line="360" w:lineRule="auto"/>
              <w:jc w:val="center"/>
              <w:rPr>
                <w:rFonts w:hint="eastAsia" w:ascii="宋体" w:hAnsi="宋体" w:cs="宋体"/>
                <w:b/>
                <w:bCs/>
              </w:rPr>
            </w:pPr>
            <w:r>
              <w:rPr>
                <w:rFonts w:hint="eastAsia" w:ascii="宋体" w:hAnsi="宋体" w:cs="宋体"/>
                <w:b/>
                <w:bCs/>
              </w:rPr>
              <w:t>一般规格</w:t>
            </w: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频率范围</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 xml:space="preserve">350MHz-400MHz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jc w:val="center"/>
              <w:rPr>
                <w:rFonts w:hint="eastAsia" w:ascii="宋体" w:hAnsi="宋体" w:cs="宋体"/>
                <w:b/>
                <w:bCs/>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信道容量</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jc w:val="center"/>
              <w:rPr>
                <w:rFonts w:hint="eastAsia" w:ascii="宋体" w:hAnsi="宋体" w:cs="宋体"/>
                <w:b/>
                <w:bCs/>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信道间隔</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12.5kHz/25kHz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jc w:val="center"/>
              <w:rPr>
                <w:rFonts w:hint="eastAsia" w:ascii="宋体" w:hAnsi="宋体" w:cs="宋体"/>
                <w:b/>
                <w:bCs/>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频率稳定度</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±0.5ppm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jc w:val="center"/>
              <w:rPr>
                <w:rFonts w:hint="eastAsia" w:ascii="宋体" w:hAnsi="宋体" w:cs="宋体"/>
                <w:b/>
                <w:bCs/>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尺寸</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53*175.3*205.7mm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bCs/>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重量</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bCs/>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屏幕尺寸</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2.8寸彩屏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bCs/>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工作电压</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13.8V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bCs/>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显示语言</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支持中文、英文语言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bCs/>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额定音频</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3W（内置）</w:t>
            </w:r>
          </w:p>
          <w:p>
            <w:pPr>
              <w:adjustRightInd w:val="0"/>
              <w:snapToGrid w:val="0"/>
              <w:spacing w:line="360" w:lineRule="auto"/>
              <w:rPr>
                <w:rFonts w:hint="eastAsia" w:ascii="宋体" w:hAnsi="宋体" w:cs="宋体"/>
              </w:rPr>
            </w:pPr>
            <w:r>
              <w:rPr>
                <w:rFonts w:hint="eastAsia" w:ascii="宋体" w:hAnsi="宋体" w:cs="宋体"/>
              </w:rPr>
              <w:t>7.5W（外置-8ohm）</w:t>
            </w:r>
          </w:p>
          <w:p>
            <w:pPr>
              <w:adjustRightInd w:val="0"/>
              <w:snapToGrid w:val="0"/>
              <w:spacing w:line="360" w:lineRule="auto"/>
              <w:rPr>
                <w:rFonts w:hint="eastAsia" w:ascii="宋体" w:hAnsi="宋体" w:cs="宋体"/>
              </w:rPr>
            </w:pPr>
            <w:r>
              <w:rPr>
                <w:rFonts w:hint="eastAsia" w:ascii="宋体" w:hAnsi="宋体" w:cs="宋体"/>
              </w:rPr>
              <w:t>13W（外置-4ohm)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bCs/>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音频响应</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+1 ～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bCs/>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音频失真</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restart"/>
            <w:noWrap w:val="0"/>
            <w:vAlign w:val="center"/>
          </w:tcPr>
          <w:p>
            <w:pPr>
              <w:adjustRightInd w:val="0"/>
              <w:snapToGrid w:val="0"/>
              <w:spacing w:line="360" w:lineRule="auto"/>
              <w:jc w:val="center"/>
              <w:rPr>
                <w:rFonts w:hint="eastAsia" w:ascii="宋体" w:hAnsi="宋体" w:cs="宋体"/>
                <w:b/>
              </w:rPr>
            </w:pPr>
            <w:r>
              <w:rPr>
                <w:rFonts w:hint="eastAsia" w:ascii="宋体" w:hAnsi="宋体" w:cs="宋体"/>
                <w:b/>
              </w:rPr>
              <w:t>发射部分</w:t>
            </w: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输出功率</w:t>
            </w:r>
          </w:p>
        </w:tc>
        <w:tc>
          <w:tcPr>
            <w:tcW w:w="3345" w:type="dxa"/>
            <w:noWrap w:val="0"/>
            <w:vAlign w:val="center"/>
          </w:tcPr>
          <w:p>
            <w:pPr>
              <w:adjustRightInd w:val="0"/>
              <w:snapToGrid w:val="0"/>
              <w:spacing w:line="360" w:lineRule="auto"/>
              <w:rPr>
                <w:rFonts w:hint="eastAsia" w:ascii="宋体" w:hAnsi="宋体" w:cs="宋体"/>
                <w:bCs/>
              </w:rPr>
            </w:pPr>
            <w:r>
              <w:rPr>
                <w:rFonts w:hint="eastAsia" w:ascii="宋体" w:hAnsi="宋体" w:cs="宋体"/>
                <w:bCs/>
              </w:rPr>
              <w:t>≤44dBm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4FSK调制频偏误差</w:t>
            </w:r>
          </w:p>
        </w:tc>
        <w:tc>
          <w:tcPr>
            <w:tcW w:w="3345" w:type="dxa"/>
            <w:noWrap w:val="0"/>
            <w:vAlign w:val="center"/>
          </w:tcPr>
          <w:p>
            <w:pPr>
              <w:adjustRightInd w:val="0"/>
              <w:snapToGrid w:val="0"/>
              <w:spacing w:line="360" w:lineRule="auto"/>
              <w:rPr>
                <w:rFonts w:hint="eastAsia" w:ascii="宋体" w:hAnsi="宋体" w:cs="宋体"/>
                <w:bCs/>
              </w:rPr>
            </w:pPr>
            <w:r>
              <w:rPr>
                <w:rFonts w:hint="eastAsia" w:ascii="宋体" w:hAnsi="宋体" w:cs="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4FSK发射误码率</w:t>
            </w:r>
          </w:p>
        </w:tc>
        <w:tc>
          <w:tcPr>
            <w:tcW w:w="3345" w:type="dxa"/>
            <w:noWrap w:val="0"/>
            <w:vAlign w:val="center"/>
          </w:tcPr>
          <w:p>
            <w:pPr>
              <w:adjustRightInd w:val="0"/>
              <w:snapToGrid w:val="0"/>
              <w:spacing w:line="360" w:lineRule="auto"/>
              <w:rPr>
                <w:rFonts w:hint="eastAsia" w:ascii="宋体" w:hAnsi="宋体" w:cs="宋体"/>
                <w:bCs/>
              </w:rPr>
            </w:pPr>
            <w:r>
              <w:rPr>
                <w:rFonts w:hint="eastAsia" w:ascii="宋体" w:hAnsi="宋体" w:cs="宋体"/>
                <w:bCs/>
              </w:rPr>
              <w:t>≤1×10-4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占用带宽</w:t>
            </w:r>
          </w:p>
        </w:tc>
        <w:tc>
          <w:tcPr>
            <w:tcW w:w="3345" w:type="dxa"/>
            <w:noWrap w:val="0"/>
            <w:vAlign w:val="center"/>
          </w:tcPr>
          <w:p>
            <w:pPr>
              <w:adjustRightInd w:val="0"/>
              <w:snapToGrid w:val="0"/>
              <w:spacing w:line="360" w:lineRule="auto"/>
              <w:rPr>
                <w:rFonts w:hint="eastAsia" w:ascii="宋体" w:hAnsi="宋体" w:cs="宋体"/>
                <w:bCs/>
              </w:rPr>
            </w:pPr>
            <w:r>
              <w:rPr>
                <w:rFonts w:hint="eastAsia" w:ascii="宋体" w:hAnsi="宋体" w:cs="宋体"/>
                <w:bCs/>
              </w:rPr>
              <w:t>≤8.5kHz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最大调制限制</w:t>
            </w:r>
          </w:p>
        </w:tc>
        <w:tc>
          <w:tcPr>
            <w:tcW w:w="3345" w:type="dxa"/>
            <w:noWrap w:val="0"/>
            <w:vAlign w:val="center"/>
          </w:tcPr>
          <w:p>
            <w:pPr>
              <w:adjustRightInd w:val="0"/>
              <w:snapToGrid w:val="0"/>
              <w:spacing w:line="360" w:lineRule="auto"/>
              <w:rPr>
                <w:rFonts w:hint="eastAsia" w:ascii="宋体" w:hAnsi="宋体" w:cs="宋体"/>
                <w:bCs/>
              </w:rPr>
            </w:pPr>
            <w:r>
              <w:rPr>
                <w:rFonts w:hint="eastAsia" w:ascii="宋体" w:hAnsi="宋体" w:cs="宋体"/>
                <w:bCs/>
              </w:rPr>
              <w:t>±3.15kHz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频率误差</w:t>
            </w:r>
          </w:p>
        </w:tc>
        <w:tc>
          <w:tcPr>
            <w:tcW w:w="3345" w:type="dxa"/>
            <w:noWrap w:val="0"/>
            <w:vAlign w:val="center"/>
          </w:tcPr>
          <w:p>
            <w:pPr>
              <w:adjustRightInd w:val="0"/>
              <w:snapToGrid w:val="0"/>
              <w:spacing w:line="360" w:lineRule="auto"/>
              <w:rPr>
                <w:rFonts w:hint="eastAsia" w:ascii="宋体" w:hAnsi="宋体" w:cs="宋体"/>
                <w:bCs/>
              </w:rPr>
            </w:pPr>
            <w:r>
              <w:rPr>
                <w:rFonts w:hint="eastAsia" w:ascii="宋体" w:hAnsi="宋体" w:cs="宋体"/>
                <w:bCs/>
              </w:rPr>
              <w:t>±1.5×10</w:t>
            </w:r>
            <w:r>
              <w:rPr>
                <w:rFonts w:hint="eastAsia" w:ascii="宋体" w:hAnsi="宋体" w:cs="宋体"/>
                <w:bCs/>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发射上升时间</w:t>
            </w:r>
          </w:p>
        </w:tc>
        <w:tc>
          <w:tcPr>
            <w:tcW w:w="3345" w:type="dxa"/>
            <w:noWrap w:val="0"/>
            <w:vAlign w:val="center"/>
          </w:tcPr>
          <w:p>
            <w:pPr>
              <w:adjustRightInd w:val="0"/>
              <w:snapToGrid w:val="0"/>
              <w:spacing w:line="360" w:lineRule="auto"/>
              <w:rPr>
                <w:rFonts w:hint="eastAsia" w:ascii="宋体" w:hAnsi="宋体" w:cs="宋体"/>
                <w:bCs/>
              </w:rPr>
            </w:pPr>
            <w:r>
              <w:rPr>
                <w:rFonts w:hint="eastAsia" w:ascii="宋体" w:hAnsi="宋体" w:cs="宋体"/>
                <w:bCs/>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发射下降时间</w:t>
            </w:r>
          </w:p>
        </w:tc>
        <w:tc>
          <w:tcPr>
            <w:tcW w:w="3345" w:type="dxa"/>
            <w:noWrap w:val="0"/>
            <w:vAlign w:val="center"/>
          </w:tcPr>
          <w:p>
            <w:pPr>
              <w:adjustRightInd w:val="0"/>
              <w:snapToGrid w:val="0"/>
              <w:spacing w:line="360" w:lineRule="auto"/>
              <w:rPr>
                <w:rFonts w:hint="eastAsia" w:ascii="宋体" w:hAnsi="宋体" w:cs="宋体"/>
                <w:bCs/>
              </w:rPr>
            </w:pPr>
            <w:r>
              <w:rPr>
                <w:rFonts w:hint="eastAsia" w:ascii="宋体" w:hAnsi="宋体" w:cs="宋体"/>
                <w:bCs/>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1430" w:type="dxa"/>
            <w:vMerge w:val="restart"/>
            <w:noWrap w:val="0"/>
            <w:vAlign w:val="center"/>
          </w:tcPr>
          <w:p>
            <w:pPr>
              <w:adjustRightInd w:val="0"/>
              <w:snapToGrid w:val="0"/>
              <w:spacing w:line="360" w:lineRule="auto"/>
              <w:rPr>
                <w:rFonts w:hint="eastAsia" w:ascii="宋体" w:hAnsi="宋体" w:cs="宋体"/>
              </w:rPr>
            </w:pPr>
            <w:r>
              <w:rPr>
                <w:rFonts w:hint="eastAsia" w:ascii="宋体" w:hAnsi="宋体" w:cs="宋体"/>
              </w:rPr>
              <w:t>邻道功率比(ACPR)</w:t>
            </w:r>
          </w:p>
        </w:tc>
        <w:tc>
          <w:tcPr>
            <w:tcW w:w="1823" w:type="dxa"/>
            <w:gridSpan w:val="2"/>
            <w:noWrap w:val="0"/>
            <w:vAlign w:val="center"/>
          </w:tcPr>
          <w:p>
            <w:pPr>
              <w:adjustRightInd w:val="0"/>
              <w:snapToGrid w:val="0"/>
              <w:spacing w:line="360" w:lineRule="auto"/>
              <w:rPr>
                <w:rFonts w:hint="eastAsia" w:ascii="宋体" w:hAnsi="宋体" w:cs="宋体"/>
              </w:rPr>
            </w:pPr>
            <w:r>
              <w:rPr>
                <w:rFonts w:hint="eastAsia" w:ascii="宋体" w:hAnsi="宋体" w:cs="宋体"/>
              </w:rPr>
              <w:t>F0±12.5kHz</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1430" w:type="dxa"/>
            <w:vMerge w:val="continue"/>
            <w:noWrap w:val="0"/>
            <w:vAlign w:val="center"/>
          </w:tcPr>
          <w:p>
            <w:pPr>
              <w:keepNext/>
              <w:keepLines/>
              <w:tabs>
                <w:tab w:val="left" w:pos="-5670"/>
              </w:tabs>
              <w:adjustRightInd w:val="0"/>
              <w:snapToGrid w:val="0"/>
              <w:spacing w:line="360" w:lineRule="auto"/>
              <w:outlineLvl w:val="2"/>
              <w:rPr>
                <w:rFonts w:hint="eastAsia" w:ascii="宋体" w:hAnsi="宋体" w:cs="宋体"/>
                <w:b/>
                <w:bCs/>
              </w:rPr>
            </w:pPr>
          </w:p>
        </w:tc>
        <w:tc>
          <w:tcPr>
            <w:tcW w:w="1823" w:type="dxa"/>
            <w:gridSpan w:val="2"/>
            <w:noWrap w:val="0"/>
            <w:vAlign w:val="center"/>
          </w:tcPr>
          <w:p>
            <w:pPr>
              <w:adjustRightInd w:val="0"/>
              <w:snapToGrid w:val="0"/>
              <w:spacing w:line="360" w:lineRule="auto"/>
              <w:rPr>
                <w:rFonts w:hint="eastAsia" w:ascii="宋体" w:hAnsi="宋体" w:cs="宋体"/>
              </w:rPr>
            </w:pPr>
            <w:r>
              <w:rPr>
                <w:rFonts w:hint="eastAsia" w:ascii="宋体" w:hAnsi="宋体" w:cs="宋体"/>
              </w:rPr>
              <w:t>F0±25.0kHz</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≤-70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1430" w:type="dxa"/>
            <w:vMerge w:val="restart"/>
            <w:noWrap w:val="0"/>
            <w:vAlign w:val="center"/>
          </w:tcPr>
          <w:p>
            <w:pPr>
              <w:adjustRightInd w:val="0"/>
              <w:snapToGrid w:val="0"/>
              <w:spacing w:line="360" w:lineRule="auto"/>
              <w:rPr>
                <w:rFonts w:hint="eastAsia" w:ascii="宋体" w:hAnsi="宋体" w:cs="宋体"/>
              </w:rPr>
            </w:pPr>
            <w:r>
              <w:rPr>
                <w:rFonts w:hint="eastAsia" w:ascii="宋体" w:hAnsi="宋体" w:cs="宋体"/>
              </w:rPr>
              <w:t>瞬态切换邻道功率(ACTP)</w:t>
            </w:r>
          </w:p>
        </w:tc>
        <w:tc>
          <w:tcPr>
            <w:tcW w:w="1823" w:type="dxa"/>
            <w:gridSpan w:val="2"/>
            <w:noWrap w:val="0"/>
            <w:vAlign w:val="center"/>
          </w:tcPr>
          <w:p>
            <w:pPr>
              <w:adjustRightInd w:val="0"/>
              <w:snapToGrid w:val="0"/>
              <w:spacing w:line="360" w:lineRule="auto"/>
              <w:rPr>
                <w:rFonts w:hint="eastAsia" w:ascii="宋体" w:hAnsi="宋体" w:cs="宋体"/>
              </w:rPr>
            </w:pPr>
            <w:r>
              <w:rPr>
                <w:rFonts w:hint="eastAsia" w:ascii="宋体" w:hAnsi="宋体" w:cs="宋体"/>
              </w:rPr>
              <w:t>F0±12.5kHz</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1430" w:type="dxa"/>
            <w:vMerge w:val="continue"/>
            <w:noWrap w:val="0"/>
            <w:vAlign w:val="center"/>
          </w:tcPr>
          <w:p>
            <w:pPr>
              <w:keepNext/>
              <w:keepLines/>
              <w:tabs>
                <w:tab w:val="left" w:pos="-5670"/>
              </w:tabs>
              <w:adjustRightInd w:val="0"/>
              <w:snapToGrid w:val="0"/>
              <w:spacing w:line="360" w:lineRule="auto"/>
              <w:outlineLvl w:val="2"/>
              <w:rPr>
                <w:rFonts w:hint="eastAsia" w:ascii="宋体" w:hAnsi="宋体" w:cs="宋体"/>
                <w:b/>
                <w:bCs/>
              </w:rPr>
            </w:pPr>
          </w:p>
        </w:tc>
        <w:tc>
          <w:tcPr>
            <w:tcW w:w="1823" w:type="dxa"/>
            <w:gridSpan w:val="2"/>
            <w:noWrap w:val="0"/>
            <w:vAlign w:val="center"/>
          </w:tcPr>
          <w:p>
            <w:pPr>
              <w:adjustRightInd w:val="0"/>
              <w:snapToGrid w:val="0"/>
              <w:spacing w:line="360" w:lineRule="auto"/>
              <w:rPr>
                <w:rFonts w:hint="eastAsia" w:ascii="宋体" w:hAnsi="宋体" w:cs="宋体"/>
              </w:rPr>
            </w:pPr>
            <w:r>
              <w:rPr>
                <w:rFonts w:hint="eastAsia" w:ascii="宋体" w:hAnsi="宋体" w:cs="宋体"/>
              </w:rPr>
              <w:t>F0±25.0kHz</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1430" w:type="dxa"/>
            <w:vMerge w:val="restart"/>
            <w:noWrap w:val="0"/>
            <w:vAlign w:val="center"/>
          </w:tcPr>
          <w:p>
            <w:pPr>
              <w:adjustRightInd w:val="0"/>
              <w:snapToGrid w:val="0"/>
              <w:spacing w:line="360" w:lineRule="auto"/>
              <w:rPr>
                <w:rFonts w:hint="eastAsia" w:ascii="宋体" w:hAnsi="宋体" w:cs="宋体"/>
              </w:rPr>
            </w:pPr>
            <w:r>
              <w:rPr>
                <w:rFonts w:hint="eastAsia" w:ascii="宋体" w:hAnsi="宋体" w:cs="宋体"/>
              </w:rPr>
              <w:t>发射杂散</w:t>
            </w:r>
          </w:p>
        </w:tc>
        <w:tc>
          <w:tcPr>
            <w:tcW w:w="1823" w:type="dxa"/>
            <w:gridSpan w:val="2"/>
            <w:noWrap w:val="0"/>
            <w:vAlign w:val="center"/>
          </w:tcPr>
          <w:p>
            <w:pPr>
              <w:adjustRightInd w:val="0"/>
              <w:snapToGrid w:val="0"/>
              <w:spacing w:line="360" w:lineRule="auto"/>
              <w:rPr>
                <w:rFonts w:hint="eastAsia" w:ascii="宋体" w:hAnsi="宋体" w:cs="宋体"/>
              </w:rPr>
            </w:pPr>
            <w:r>
              <w:rPr>
                <w:rFonts w:hint="eastAsia" w:ascii="宋体" w:hAnsi="宋体" w:cs="宋体"/>
              </w:rPr>
              <w:t>9kHz~1GHz(含)</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≤-36dBm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1430" w:type="dxa"/>
            <w:vMerge w:val="continue"/>
            <w:noWrap w:val="0"/>
            <w:vAlign w:val="center"/>
          </w:tcPr>
          <w:p>
            <w:pPr>
              <w:keepNext/>
              <w:keepLines/>
              <w:tabs>
                <w:tab w:val="left" w:pos="-5670"/>
              </w:tabs>
              <w:adjustRightInd w:val="0"/>
              <w:snapToGrid w:val="0"/>
              <w:spacing w:line="360" w:lineRule="auto"/>
              <w:outlineLvl w:val="2"/>
              <w:rPr>
                <w:rFonts w:hint="eastAsia" w:ascii="宋体" w:hAnsi="宋体" w:cs="宋体"/>
                <w:b/>
                <w:bCs/>
              </w:rPr>
            </w:pPr>
          </w:p>
        </w:tc>
        <w:tc>
          <w:tcPr>
            <w:tcW w:w="1823" w:type="dxa"/>
            <w:gridSpan w:val="2"/>
            <w:noWrap w:val="0"/>
            <w:vAlign w:val="center"/>
          </w:tcPr>
          <w:p>
            <w:pPr>
              <w:adjustRightInd w:val="0"/>
              <w:snapToGrid w:val="0"/>
              <w:spacing w:line="360" w:lineRule="auto"/>
              <w:rPr>
                <w:rFonts w:hint="eastAsia" w:ascii="宋体" w:hAnsi="宋体" w:cs="宋体"/>
              </w:rPr>
            </w:pPr>
            <w:r>
              <w:rPr>
                <w:rFonts w:hint="eastAsia" w:ascii="宋体" w:hAnsi="宋体" w:cs="宋体"/>
              </w:rPr>
              <w:t>1GHz~12.75GHz</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≤-30dBm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restart"/>
            <w:noWrap w:val="0"/>
            <w:vAlign w:val="center"/>
          </w:tcPr>
          <w:p>
            <w:pPr>
              <w:adjustRightInd w:val="0"/>
              <w:snapToGrid w:val="0"/>
              <w:spacing w:line="360" w:lineRule="auto"/>
              <w:jc w:val="center"/>
              <w:rPr>
                <w:rFonts w:hint="eastAsia" w:ascii="宋体" w:hAnsi="宋体" w:cs="宋体"/>
                <w:b/>
              </w:rPr>
            </w:pPr>
            <w:r>
              <w:rPr>
                <w:rFonts w:hint="eastAsia" w:ascii="宋体" w:hAnsi="宋体" w:cs="宋体"/>
                <w:b/>
              </w:rPr>
              <w:t>接收部分</w:t>
            </w:r>
          </w:p>
          <w:p>
            <w:pPr>
              <w:adjustRightInd w:val="0"/>
              <w:snapToGrid w:val="0"/>
              <w:spacing w:line="360" w:lineRule="auto"/>
              <w:jc w:val="center"/>
              <w:rPr>
                <w:rFonts w:hint="eastAsia" w:ascii="宋体" w:hAnsi="宋体" w:cs="宋体"/>
                <w:b/>
              </w:rPr>
            </w:pPr>
          </w:p>
        </w:tc>
        <w:tc>
          <w:tcPr>
            <w:tcW w:w="1430" w:type="dxa"/>
            <w:vMerge w:val="restart"/>
            <w:noWrap w:val="0"/>
            <w:vAlign w:val="center"/>
          </w:tcPr>
          <w:p>
            <w:pPr>
              <w:adjustRightInd w:val="0"/>
              <w:snapToGrid w:val="0"/>
              <w:spacing w:line="360" w:lineRule="auto"/>
              <w:rPr>
                <w:rFonts w:hint="eastAsia" w:ascii="宋体" w:hAnsi="宋体" w:cs="宋体"/>
              </w:rPr>
            </w:pPr>
            <w:r>
              <w:rPr>
                <w:rFonts w:hint="eastAsia" w:ascii="宋体" w:hAnsi="宋体" w:cs="宋体"/>
              </w:rPr>
              <w:t>接收灵敏度</w:t>
            </w:r>
          </w:p>
        </w:tc>
        <w:tc>
          <w:tcPr>
            <w:tcW w:w="1823" w:type="dxa"/>
            <w:gridSpan w:val="2"/>
            <w:noWrap w:val="0"/>
            <w:vAlign w:val="center"/>
          </w:tcPr>
          <w:p>
            <w:pPr>
              <w:adjustRightInd w:val="0"/>
              <w:snapToGrid w:val="0"/>
              <w:spacing w:line="360" w:lineRule="auto"/>
              <w:rPr>
                <w:rFonts w:hint="eastAsia" w:ascii="宋体" w:hAnsi="宋体" w:cs="宋体"/>
              </w:rPr>
            </w:pPr>
            <w:r>
              <w:rPr>
                <w:rFonts w:hint="eastAsia" w:ascii="宋体" w:hAnsi="宋体" w:cs="宋体"/>
              </w:rPr>
              <w:t>数字</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-117.5dBm(5%BER)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1430" w:type="dxa"/>
            <w:vMerge w:val="continue"/>
            <w:noWrap w:val="0"/>
            <w:vAlign w:val="center"/>
          </w:tcPr>
          <w:p>
            <w:pPr>
              <w:keepNext/>
              <w:keepLines/>
              <w:tabs>
                <w:tab w:val="left" w:pos="-5670"/>
              </w:tabs>
              <w:adjustRightInd w:val="0"/>
              <w:snapToGrid w:val="0"/>
              <w:spacing w:line="360" w:lineRule="auto"/>
              <w:outlineLvl w:val="2"/>
              <w:rPr>
                <w:rFonts w:hint="eastAsia" w:ascii="宋体" w:hAnsi="宋体" w:cs="宋体"/>
                <w:b/>
                <w:bCs/>
              </w:rPr>
            </w:pPr>
          </w:p>
        </w:tc>
        <w:tc>
          <w:tcPr>
            <w:tcW w:w="1823" w:type="dxa"/>
            <w:gridSpan w:val="2"/>
            <w:noWrap w:val="0"/>
            <w:vAlign w:val="center"/>
          </w:tcPr>
          <w:p>
            <w:pPr>
              <w:adjustRightInd w:val="0"/>
              <w:snapToGrid w:val="0"/>
              <w:spacing w:line="360" w:lineRule="auto"/>
              <w:rPr>
                <w:rFonts w:hint="eastAsia" w:ascii="宋体" w:hAnsi="宋体" w:cs="宋体"/>
              </w:rPr>
            </w:pPr>
            <w:r>
              <w:rPr>
                <w:rFonts w:hint="eastAsia" w:ascii="宋体" w:hAnsi="宋体" w:cs="宋体"/>
              </w:rPr>
              <w:t>模拟</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0.3μV(12dB SINAD)</w:t>
            </w:r>
          </w:p>
          <w:p>
            <w:pPr>
              <w:adjustRightInd w:val="0"/>
              <w:snapToGrid w:val="0"/>
              <w:spacing w:line="360" w:lineRule="auto"/>
              <w:rPr>
                <w:rFonts w:hint="eastAsia" w:ascii="宋体" w:hAnsi="宋体" w:cs="宋体"/>
              </w:rPr>
            </w:pPr>
            <w:r>
              <w:rPr>
                <w:rFonts w:hint="eastAsia" w:ascii="宋体" w:hAnsi="宋体" w:cs="宋体"/>
              </w:rPr>
              <w:t>0.4μV(20dB SINAD)</w:t>
            </w:r>
          </w:p>
          <w:p>
            <w:pPr>
              <w:adjustRightInd w:val="0"/>
              <w:snapToGrid w:val="0"/>
              <w:spacing w:line="360" w:lineRule="auto"/>
              <w:rPr>
                <w:rFonts w:hint="eastAsia" w:ascii="宋体" w:hAnsi="宋体" w:cs="宋体"/>
              </w:rPr>
            </w:pPr>
            <w:r>
              <w:rPr>
                <w:rFonts w:hint="eastAsia" w:ascii="宋体" w:hAnsi="宋体" w:cs="宋体"/>
              </w:rPr>
              <w:t>0.22μV(典型值）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强信号的接收误码率</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≤1×10</w:t>
            </w:r>
            <w:r>
              <w:rPr>
                <w:rFonts w:hint="eastAsia" w:ascii="宋体" w:hAnsi="宋体" w:cs="宋体"/>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互调响应抑制</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阻塞</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≥84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杂散响应抗干扰</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≥70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共信道抑制</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≥-12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vMerge w:val="restart"/>
            <w:noWrap w:val="0"/>
            <w:vAlign w:val="center"/>
          </w:tcPr>
          <w:p>
            <w:pPr>
              <w:adjustRightInd w:val="0"/>
              <w:snapToGrid w:val="0"/>
              <w:spacing w:line="360" w:lineRule="auto"/>
              <w:rPr>
                <w:rFonts w:hint="eastAsia" w:ascii="宋体" w:hAnsi="宋体" w:cs="宋体"/>
              </w:rPr>
            </w:pPr>
            <w:r>
              <w:rPr>
                <w:rFonts w:hint="eastAsia" w:ascii="宋体" w:hAnsi="宋体" w:cs="宋体"/>
              </w:rPr>
              <w:t>邻道选择性</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12.5kHz下60dB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3253" w:type="dxa"/>
            <w:gridSpan w:val="3"/>
            <w:vMerge w:val="continue"/>
            <w:noWrap w:val="0"/>
            <w:vAlign w:val="center"/>
          </w:tcPr>
          <w:p>
            <w:pPr>
              <w:keepNext/>
              <w:keepLines/>
              <w:tabs>
                <w:tab w:val="left" w:pos="-5670"/>
              </w:tabs>
              <w:adjustRightInd w:val="0"/>
              <w:snapToGrid w:val="0"/>
              <w:spacing w:line="360" w:lineRule="auto"/>
              <w:outlineLvl w:val="2"/>
              <w:rPr>
                <w:rFonts w:hint="eastAsia" w:ascii="宋体" w:hAnsi="宋体" w:cs="宋体"/>
                <w:b/>
                <w:bCs/>
              </w:rPr>
            </w:pP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25kHz下70dB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1471" w:type="dxa"/>
            <w:gridSpan w:val="2"/>
            <w:vMerge w:val="restart"/>
            <w:noWrap w:val="0"/>
            <w:vAlign w:val="top"/>
          </w:tcPr>
          <w:p>
            <w:pPr>
              <w:adjustRightInd w:val="0"/>
              <w:snapToGrid w:val="0"/>
              <w:spacing w:line="360" w:lineRule="auto"/>
              <w:jc w:val="center"/>
              <w:rPr>
                <w:rFonts w:hint="eastAsia" w:ascii="宋体" w:hAnsi="宋体" w:cs="宋体"/>
              </w:rPr>
            </w:pPr>
            <w:r>
              <w:rPr>
                <w:rFonts w:hint="eastAsia" w:ascii="宋体" w:hAnsi="宋体" w:cs="宋体"/>
              </w:rPr>
              <w:t>传导杂散</w:t>
            </w:r>
          </w:p>
        </w:tc>
        <w:tc>
          <w:tcPr>
            <w:tcW w:w="1782" w:type="dxa"/>
            <w:noWrap w:val="0"/>
            <w:vAlign w:val="top"/>
          </w:tcPr>
          <w:p>
            <w:pPr>
              <w:adjustRightInd w:val="0"/>
              <w:snapToGrid w:val="0"/>
              <w:spacing w:line="360" w:lineRule="auto"/>
              <w:rPr>
                <w:rFonts w:hint="eastAsia" w:ascii="宋体" w:hAnsi="宋体" w:cs="宋体"/>
              </w:rPr>
            </w:pPr>
            <w:r>
              <w:rPr>
                <w:rFonts w:hint="eastAsia" w:ascii="宋体" w:hAnsi="宋体" w:cs="宋体"/>
              </w:rPr>
              <w:t>9kHz~1GHz(含)</w:t>
            </w:r>
          </w:p>
        </w:tc>
        <w:tc>
          <w:tcPr>
            <w:tcW w:w="3345" w:type="dxa"/>
            <w:noWrap w:val="0"/>
            <w:vAlign w:val="top"/>
          </w:tcPr>
          <w:p>
            <w:pPr>
              <w:adjustRightInd w:val="0"/>
              <w:snapToGrid w:val="0"/>
              <w:spacing w:line="360" w:lineRule="auto"/>
              <w:rPr>
                <w:rFonts w:hint="eastAsia" w:ascii="宋体" w:hAnsi="宋体" w:cs="宋体"/>
              </w:rPr>
            </w:pPr>
            <w:r>
              <w:rPr>
                <w:rFonts w:hint="eastAsia" w:ascii="宋体" w:hAnsi="宋体" w:cs="宋体"/>
              </w:rPr>
              <w:t>≤-57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b/>
              </w:rPr>
            </w:pPr>
          </w:p>
        </w:tc>
        <w:tc>
          <w:tcPr>
            <w:tcW w:w="1471" w:type="dxa"/>
            <w:gridSpan w:val="2"/>
            <w:vMerge w:val="continue"/>
            <w:noWrap w:val="0"/>
            <w:vAlign w:val="top"/>
          </w:tcPr>
          <w:p>
            <w:pPr>
              <w:keepNext/>
              <w:keepLines/>
              <w:tabs>
                <w:tab w:val="left" w:pos="-5670"/>
              </w:tabs>
              <w:adjustRightInd w:val="0"/>
              <w:snapToGrid w:val="0"/>
              <w:spacing w:line="360" w:lineRule="auto"/>
              <w:outlineLvl w:val="2"/>
              <w:rPr>
                <w:rFonts w:hint="eastAsia" w:ascii="宋体" w:hAnsi="宋体" w:cs="宋体"/>
                <w:b/>
                <w:bCs/>
              </w:rPr>
            </w:pPr>
          </w:p>
        </w:tc>
        <w:tc>
          <w:tcPr>
            <w:tcW w:w="1782" w:type="dxa"/>
            <w:noWrap w:val="0"/>
            <w:vAlign w:val="top"/>
          </w:tcPr>
          <w:p>
            <w:pPr>
              <w:adjustRightInd w:val="0"/>
              <w:snapToGrid w:val="0"/>
              <w:spacing w:line="360" w:lineRule="auto"/>
              <w:rPr>
                <w:rFonts w:hint="eastAsia" w:ascii="宋体" w:hAnsi="宋体" w:cs="宋体"/>
              </w:rPr>
            </w:pPr>
            <w:r>
              <w:rPr>
                <w:rFonts w:hint="eastAsia" w:ascii="宋体" w:hAnsi="宋体" w:cs="宋体"/>
              </w:rPr>
              <w:t>1GHz-12.75GHz</w:t>
            </w:r>
          </w:p>
        </w:tc>
        <w:tc>
          <w:tcPr>
            <w:tcW w:w="3345" w:type="dxa"/>
            <w:noWrap w:val="0"/>
            <w:vAlign w:val="top"/>
          </w:tcPr>
          <w:p>
            <w:pPr>
              <w:adjustRightInd w:val="0"/>
              <w:snapToGrid w:val="0"/>
              <w:spacing w:line="360" w:lineRule="auto"/>
              <w:rPr>
                <w:rFonts w:hint="eastAsia" w:ascii="宋体" w:hAnsi="宋体" w:cs="宋体"/>
              </w:rPr>
            </w:pPr>
            <w:r>
              <w:rPr>
                <w:rFonts w:hint="eastAsia" w:ascii="宋体" w:hAnsi="宋体" w:cs="宋体"/>
              </w:rPr>
              <w:t>≤-47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restart"/>
            <w:noWrap w:val="0"/>
            <w:vAlign w:val="center"/>
          </w:tcPr>
          <w:p>
            <w:pPr>
              <w:adjustRightInd w:val="0"/>
              <w:snapToGrid w:val="0"/>
              <w:spacing w:line="360" w:lineRule="auto"/>
              <w:jc w:val="center"/>
              <w:rPr>
                <w:rFonts w:hint="eastAsia" w:ascii="宋体" w:hAnsi="宋体" w:cs="宋体"/>
                <w:b/>
              </w:rPr>
            </w:pPr>
            <w:r>
              <w:rPr>
                <w:rFonts w:hint="eastAsia" w:ascii="宋体" w:hAnsi="宋体" w:cs="宋体"/>
                <w:b/>
              </w:rPr>
              <w:t>定位模块</w:t>
            </w:r>
          </w:p>
        </w:tc>
        <w:tc>
          <w:tcPr>
            <w:tcW w:w="3253" w:type="dxa"/>
            <w:gridSpan w:val="3"/>
            <w:noWrap w:val="0"/>
            <w:vAlign w:val="top"/>
          </w:tcPr>
          <w:p>
            <w:pPr>
              <w:adjustRightInd w:val="0"/>
              <w:snapToGrid w:val="0"/>
              <w:spacing w:line="360" w:lineRule="auto"/>
              <w:rPr>
                <w:rFonts w:hint="eastAsia" w:ascii="宋体" w:hAnsi="宋体" w:cs="宋体"/>
                <w:bCs/>
              </w:rPr>
            </w:pPr>
            <w:r>
              <w:rPr>
                <w:rFonts w:hint="eastAsia" w:ascii="宋体" w:hAnsi="宋体" w:cs="宋体"/>
                <w:bCs/>
              </w:rPr>
              <w:t>定位模块</w:t>
            </w:r>
          </w:p>
        </w:tc>
        <w:tc>
          <w:tcPr>
            <w:tcW w:w="3345" w:type="dxa"/>
            <w:noWrap w:val="0"/>
            <w:vAlign w:val="top"/>
          </w:tcPr>
          <w:p>
            <w:pPr>
              <w:adjustRightInd w:val="0"/>
              <w:snapToGrid w:val="0"/>
              <w:spacing w:line="360" w:lineRule="auto"/>
              <w:rPr>
                <w:rFonts w:hint="eastAsia" w:ascii="宋体" w:hAnsi="宋体" w:cs="宋体"/>
                <w:bCs/>
              </w:rPr>
            </w:pPr>
            <w:r>
              <w:rPr>
                <w:rFonts w:hint="eastAsia" w:ascii="宋体" w:hAnsi="宋体" w:cs="宋体"/>
                <w:bCs/>
              </w:rPr>
              <w:t>内置GPS+北斗双模定位模块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jc w:val="center"/>
              <w:rPr>
                <w:rFonts w:hint="eastAsia" w:ascii="宋体" w:hAnsi="宋体" w:cs="宋体"/>
                <w:b/>
              </w:rPr>
            </w:pPr>
          </w:p>
        </w:tc>
        <w:tc>
          <w:tcPr>
            <w:tcW w:w="3253" w:type="dxa"/>
            <w:gridSpan w:val="3"/>
            <w:noWrap w:val="0"/>
            <w:vAlign w:val="center"/>
          </w:tcPr>
          <w:p>
            <w:pPr>
              <w:adjustRightInd w:val="0"/>
              <w:snapToGrid w:val="0"/>
              <w:spacing w:line="360" w:lineRule="auto"/>
              <w:rPr>
                <w:rFonts w:hint="eastAsia" w:ascii="宋体" w:hAnsi="宋体" w:cs="宋体"/>
                <w:bCs/>
              </w:rPr>
            </w:pPr>
            <w:r>
              <w:rPr>
                <w:rFonts w:hint="eastAsia" w:ascii="宋体" w:hAnsi="宋体" w:cs="宋体"/>
                <w:bCs/>
              </w:rPr>
              <w:t>TTFF 首次定位冷启动</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&lt;1分钟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rPr>
            </w:pPr>
          </w:p>
        </w:tc>
        <w:tc>
          <w:tcPr>
            <w:tcW w:w="3253" w:type="dxa"/>
            <w:gridSpan w:val="3"/>
            <w:noWrap w:val="0"/>
            <w:vAlign w:val="center"/>
          </w:tcPr>
          <w:p>
            <w:pPr>
              <w:adjustRightInd w:val="0"/>
              <w:snapToGrid w:val="0"/>
              <w:spacing w:line="360" w:lineRule="auto"/>
              <w:rPr>
                <w:rFonts w:hint="eastAsia" w:ascii="宋体" w:hAnsi="宋体" w:cs="宋体"/>
                <w:bCs/>
              </w:rPr>
            </w:pPr>
            <w:r>
              <w:rPr>
                <w:rFonts w:hint="eastAsia" w:ascii="宋体" w:hAnsi="宋体" w:cs="宋体"/>
                <w:bCs/>
              </w:rPr>
              <w:t>TTFF 首次定位热启动</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&lt;10秒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rPr>
            </w:pPr>
          </w:p>
        </w:tc>
        <w:tc>
          <w:tcPr>
            <w:tcW w:w="3253" w:type="dxa"/>
            <w:gridSpan w:val="3"/>
            <w:noWrap w:val="0"/>
            <w:vAlign w:val="center"/>
          </w:tcPr>
          <w:p>
            <w:pPr>
              <w:adjustRightInd w:val="0"/>
              <w:snapToGrid w:val="0"/>
              <w:spacing w:line="360" w:lineRule="auto"/>
              <w:rPr>
                <w:rFonts w:hint="eastAsia" w:ascii="宋体" w:hAnsi="宋体" w:cs="宋体"/>
                <w:bCs/>
              </w:rPr>
            </w:pPr>
            <w:r>
              <w:rPr>
                <w:rFonts w:hint="eastAsia" w:ascii="宋体" w:hAnsi="宋体" w:cs="宋体"/>
                <w:bCs/>
              </w:rPr>
              <w:t>水平定位精度</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&lt;5米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restart"/>
            <w:noWrap w:val="0"/>
            <w:vAlign w:val="center"/>
          </w:tcPr>
          <w:p>
            <w:pPr>
              <w:adjustRightInd w:val="0"/>
              <w:snapToGrid w:val="0"/>
              <w:spacing w:line="360" w:lineRule="auto"/>
              <w:jc w:val="center"/>
              <w:rPr>
                <w:rFonts w:hint="eastAsia" w:ascii="宋体" w:hAnsi="宋体" w:cs="宋体"/>
              </w:rPr>
            </w:pPr>
            <w:r>
              <w:rPr>
                <w:rFonts w:hint="eastAsia" w:ascii="宋体" w:hAnsi="宋体" w:cs="宋体"/>
                <w:b/>
              </w:rPr>
              <w:t>蓝牙</w:t>
            </w:r>
          </w:p>
        </w:tc>
        <w:tc>
          <w:tcPr>
            <w:tcW w:w="3253" w:type="dxa"/>
            <w:gridSpan w:val="3"/>
            <w:noWrap w:val="0"/>
            <w:vAlign w:val="center"/>
          </w:tcPr>
          <w:p>
            <w:pPr>
              <w:adjustRightInd w:val="0"/>
              <w:snapToGrid w:val="0"/>
              <w:spacing w:line="360" w:lineRule="auto"/>
              <w:rPr>
                <w:rFonts w:hint="eastAsia" w:ascii="宋体" w:hAnsi="宋体" w:cs="宋体"/>
                <w:bCs/>
              </w:rPr>
            </w:pPr>
            <w:r>
              <w:rPr>
                <w:rFonts w:hint="eastAsia" w:ascii="宋体" w:hAnsi="宋体" w:cs="宋体"/>
                <w:bCs/>
              </w:rPr>
              <w:t>版本</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支持蓝牙2.1+EDR 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rPr>
            </w:pPr>
          </w:p>
        </w:tc>
        <w:tc>
          <w:tcPr>
            <w:tcW w:w="3253" w:type="dxa"/>
            <w:gridSpan w:val="3"/>
            <w:noWrap w:val="0"/>
            <w:vAlign w:val="center"/>
          </w:tcPr>
          <w:p>
            <w:pPr>
              <w:adjustRightInd w:val="0"/>
              <w:snapToGrid w:val="0"/>
              <w:spacing w:line="360" w:lineRule="auto"/>
              <w:rPr>
                <w:rFonts w:hint="eastAsia" w:ascii="宋体" w:hAnsi="宋体" w:cs="宋体"/>
                <w:bCs/>
              </w:rPr>
            </w:pPr>
            <w:r>
              <w:rPr>
                <w:rFonts w:hint="eastAsia" w:ascii="宋体" w:hAnsi="宋体" w:cs="宋体"/>
                <w:bCs/>
              </w:rPr>
              <w:t>传输距离</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Class 2,10米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restart"/>
            <w:noWrap w:val="0"/>
            <w:vAlign w:val="center"/>
          </w:tcPr>
          <w:p>
            <w:pPr>
              <w:adjustRightInd w:val="0"/>
              <w:snapToGrid w:val="0"/>
              <w:spacing w:line="360" w:lineRule="auto"/>
              <w:jc w:val="center"/>
              <w:rPr>
                <w:rFonts w:hint="eastAsia" w:ascii="宋体" w:hAnsi="宋体" w:cs="宋体"/>
              </w:rPr>
            </w:pPr>
            <w:r>
              <w:rPr>
                <w:rFonts w:hint="eastAsia" w:ascii="宋体" w:hAnsi="宋体" w:cs="宋体"/>
                <w:b/>
              </w:rPr>
              <w:t>环境规格</w:t>
            </w:r>
          </w:p>
        </w:tc>
        <w:tc>
          <w:tcPr>
            <w:tcW w:w="3253" w:type="dxa"/>
            <w:gridSpan w:val="3"/>
            <w:noWrap w:val="0"/>
            <w:vAlign w:val="center"/>
          </w:tcPr>
          <w:p>
            <w:pPr>
              <w:adjustRightInd w:val="0"/>
              <w:snapToGrid w:val="0"/>
              <w:spacing w:line="360" w:lineRule="auto"/>
              <w:rPr>
                <w:rFonts w:hint="eastAsia" w:ascii="宋体" w:hAnsi="宋体" w:cs="宋体"/>
                <w:bCs/>
              </w:rPr>
            </w:pPr>
            <w:r>
              <w:rPr>
                <w:rFonts w:hint="eastAsia" w:ascii="宋体" w:hAnsi="宋体" w:cs="宋体"/>
                <w:bCs/>
              </w:rPr>
              <w:t>工作温度</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-30℃ ～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rPr>
            </w:pPr>
          </w:p>
        </w:tc>
        <w:tc>
          <w:tcPr>
            <w:tcW w:w="3253" w:type="dxa"/>
            <w:gridSpan w:val="3"/>
            <w:noWrap w:val="0"/>
            <w:vAlign w:val="center"/>
          </w:tcPr>
          <w:p>
            <w:pPr>
              <w:adjustRightInd w:val="0"/>
              <w:snapToGrid w:val="0"/>
              <w:spacing w:line="360" w:lineRule="auto"/>
              <w:rPr>
                <w:rFonts w:hint="eastAsia" w:ascii="宋体" w:hAnsi="宋体" w:cs="宋体"/>
                <w:bCs/>
              </w:rPr>
            </w:pPr>
            <w:r>
              <w:rPr>
                <w:rFonts w:hint="eastAsia" w:ascii="宋体" w:hAnsi="宋体" w:cs="宋体"/>
                <w:bCs/>
              </w:rPr>
              <w:t>存放温度</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-40℃ ～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rPr>
            </w:pPr>
          </w:p>
        </w:tc>
        <w:tc>
          <w:tcPr>
            <w:tcW w:w="3253" w:type="dxa"/>
            <w:gridSpan w:val="3"/>
            <w:noWrap w:val="0"/>
            <w:vAlign w:val="center"/>
          </w:tcPr>
          <w:p>
            <w:pPr>
              <w:adjustRightInd w:val="0"/>
              <w:snapToGrid w:val="0"/>
              <w:spacing w:line="360" w:lineRule="auto"/>
              <w:rPr>
                <w:rFonts w:hint="eastAsia" w:ascii="宋体" w:hAnsi="宋体" w:cs="宋体"/>
                <w:bCs/>
              </w:rPr>
            </w:pPr>
            <w:r>
              <w:rPr>
                <w:rFonts w:hint="eastAsia" w:ascii="宋体" w:hAnsi="宋体" w:cs="宋体"/>
                <w:bCs/>
              </w:rPr>
              <w:t>防水防尘</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IP54，符合GB 4208-2008标准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rPr>
            </w:pPr>
          </w:p>
        </w:tc>
        <w:tc>
          <w:tcPr>
            <w:tcW w:w="3253" w:type="dxa"/>
            <w:gridSpan w:val="3"/>
            <w:noWrap w:val="0"/>
            <w:vAlign w:val="center"/>
          </w:tcPr>
          <w:p>
            <w:pPr>
              <w:adjustRightInd w:val="0"/>
              <w:snapToGrid w:val="0"/>
              <w:spacing w:line="360" w:lineRule="auto"/>
              <w:rPr>
                <w:rFonts w:hint="eastAsia" w:ascii="宋体" w:hAnsi="宋体" w:cs="宋体"/>
                <w:bCs/>
              </w:rPr>
            </w:pPr>
            <w:r>
              <w:rPr>
                <w:rFonts w:hint="eastAsia" w:ascii="宋体" w:hAnsi="宋体" w:cs="宋体"/>
                <w:bCs/>
              </w:rPr>
              <w:t>湿热</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符合GB/T 2423.4-2008标准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1987" w:type="dxa"/>
            <w:vMerge w:val="continue"/>
            <w:noWrap w:val="0"/>
            <w:vAlign w:val="center"/>
          </w:tcPr>
          <w:p>
            <w:pPr>
              <w:adjustRightInd w:val="0"/>
              <w:snapToGrid w:val="0"/>
              <w:spacing w:line="360" w:lineRule="auto"/>
              <w:rPr>
                <w:rFonts w:hint="eastAsia" w:ascii="宋体" w:hAnsi="宋体" w:cs="宋体"/>
              </w:rPr>
            </w:pPr>
          </w:p>
        </w:tc>
        <w:tc>
          <w:tcPr>
            <w:tcW w:w="3253" w:type="dxa"/>
            <w:gridSpan w:val="3"/>
            <w:noWrap w:val="0"/>
            <w:vAlign w:val="center"/>
          </w:tcPr>
          <w:p>
            <w:pPr>
              <w:adjustRightInd w:val="0"/>
              <w:snapToGrid w:val="0"/>
              <w:spacing w:line="360" w:lineRule="auto"/>
              <w:rPr>
                <w:rFonts w:hint="eastAsia" w:ascii="宋体" w:hAnsi="宋体" w:cs="宋体"/>
              </w:rPr>
            </w:pPr>
            <w:r>
              <w:rPr>
                <w:rFonts w:hint="eastAsia" w:ascii="宋体" w:hAnsi="宋体" w:cs="宋体"/>
              </w:rPr>
              <w:t>振动、跌落、机械冲击</w:t>
            </w:r>
          </w:p>
        </w:tc>
        <w:tc>
          <w:tcPr>
            <w:tcW w:w="3345" w:type="dxa"/>
            <w:noWrap w:val="0"/>
            <w:vAlign w:val="center"/>
          </w:tcPr>
          <w:p>
            <w:pPr>
              <w:adjustRightInd w:val="0"/>
              <w:snapToGrid w:val="0"/>
              <w:spacing w:line="360" w:lineRule="auto"/>
              <w:rPr>
                <w:rFonts w:hint="eastAsia" w:ascii="宋体" w:hAnsi="宋体" w:cs="宋体"/>
              </w:rPr>
            </w:pPr>
            <w:r>
              <w:rPr>
                <w:rFonts w:hint="eastAsia" w:ascii="宋体" w:hAnsi="宋体" w:cs="宋体"/>
              </w:rPr>
              <w:t>GB/T 2423.10-2008</w:t>
            </w:r>
          </w:p>
          <w:p>
            <w:pPr>
              <w:adjustRightInd w:val="0"/>
              <w:snapToGrid w:val="0"/>
              <w:spacing w:line="360" w:lineRule="auto"/>
              <w:rPr>
                <w:rFonts w:hint="eastAsia" w:ascii="宋体" w:hAnsi="宋体" w:cs="宋体"/>
              </w:rPr>
            </w:pPr>
            <w:r>
              <w:rPr>
                <w:rFonts w:hint="eastAsia" w:ascii="宋体" w:hAnsi="宋体" w:cs="宋体"/>
              </w:rPr>
              <w:t>GJB 367A-2001</w:t>
            </w:r>
          </w:p>
          <w:p>
            <w:pPr>
              <w:adjustRightInd w:val="0"/>
              <w:snapToGrid w:val="0"/>
              <w:spacing w:line="360" w:lineRule="auto"/>
              <w:rPr>
                <w:rFonts w:hint="eastAsia" w:ascii="宋体" w:hAnsi="宋体" w:cs="宋体"/>
              </w:rPr>
            </w:pPr>
            <w:r>
              <w:rPr>
                <w:rFonts w:hint="eastAsia" w:ascii="宋体" w:hAnsi="宋体" w:cs="宋体"/>
              </w:rPr>
              <w:t>GJB 150.18A-2009</w:t>
            </w:r>
          </w:p>
          <w:p>
            <w:pPr>
              <w:adjustRightInd w:val="0"/>
              <w:snapToGrid w:val="0"/>
              <w:spacing w:line="360" w:lineRule="auto"/>
              <w:rPr>
                <w:rFonts w:hint="eastAsia" w:ascii="宋体" w:hAnsi="宋体" w:cs="宋体"/>
              </w:rPr>
            </w:pPr>
            <w:r>
              <w:rPr>
                <w:rFonts w:hint="eastAsia" w:ascii="宋体" w:hAnsi="宋体" w:cs="宋体"/>
              </w:rPr>
              <w:t>MIL-STD-810G:2008</w:t>
            </w:r>
          </w:p>
        </w:tc>
      </w:tr>
    </w:tbl>
    <w:p>
      <w:pPr>
        <w:pStyle w:val="3"/>
        <w:tabs>
          <w:tab w:val="left" w:pos="358"/>
        </w:tabs>
        <w:spacing w:line="520" w:lineRule="exact"/>
        <w:rPr>
          <w:rFonts w:hint="eastAsia"/>
          <w:lang w:val="zh-CN"/>
        </w:rPr>
      </w:pPr>
      <w:bookmarkStart w:id="273" w:name="_Toc24935"/>
      <w:r>
        <w:rPr>
          <w:rFonts w:hint="eastAsia"/>
          <w:lang w:val="zh-CN"/>
        </w:rPr>
        <w:t>四、服务要求</w:t>
      </w:r>
      <w:bookmarkEnd w:id="273"/>
    </w:p>
    <w:p>
      <w:pPr>
        <w:spacing w:line="360" w:lineRule="auto"/>
        <w:ind w:firstLine="240" w:firstLineChars="100"/>
        <w:rPr>
          <w:rFonts w:hint="eastAsia"/>
        </w:rPr>
      </w:pPr>
      <w:r>
        <w:rPr>
          <w:rFonts w:hint="eastAsia"/>
        </w:rPr>
        <w:t>1、中标人应提供7*24小时的电话咨询、远程连接支持等各类技术支持服务，按照用户要求成立服务项目组，提供7×24小时应急响应服务；</w:t>
      </w:r>
    </w:p>
    <w:p>
      <w:pPr>
        <w:spacing w:line="360" w:lineRule="auto"/>
        <w:ind w:firstLine="240" w:firstLineChars="100"/>
        <w:rPr>
          <w:rFonts w:ascii="宋体" w:hAnsi="宋体"/>
        </w:rPr>
      </w:pPr>
      <w:r>
        <w:rPr>
          <w:rFonts w:hint="eastAsia" w:ascii="宋体" w:hAnsi="宋体"/>
        </w:rPr>
        <w:t>对于严重故障（影响用户方业务正常运作的故障），应派遣工程师到现场做技术支持。</w:t>
      </w:r>
    </w:p>
    <w:p>
      <w:pPr>
        <w:numPr>
          <w:ilvl w:val="0"/>
          <w:numId w:val="11"/>
        </w:numPr>
        <w:spacing w:line="360" w:lineRule="auto"/>
        <w:rPr>
          <w:rFonts w:ascii="宋体" w:hAnsi="宋体"/>
        </w:rPr>
      </w:pPr>
      <w:r>
        <w:rPr>
          <w:rFonts w:hint="eastAsia" w:ascii="宋体" w:hAnsi="宋体"/>
        </w:rPr>
        <w:t>响应时间：15分钟以内；</w:t>
      </w:r>
    </w:p>
    <w:p>
      <w:pPr>
        <w:numPr>
          <w:ilvl w:val="0"/>
          <w:numId w:val="11"/>
        </w:numPr>
        <w:spacing w:line="360" w:lineRule="auto"/>
        <w:rPr>
          <w:rFonts w:ascii="宋体" w:hAnsi="宋体"/>
        </w:rPr>
      </w:pPr>
      <w:r>
        <w:rPr>
          <w:rFonts w:hint="eastAsia" w:ascii="宋体" w:hAnsi="宋体"/>
        </w:rPr>
        <w:t>到场时间：接到故障通知后，4小时内到达现场；</w:t>
      </w:r>
    </w:p>
    <w:p>
      <w:pPr>
        <w:spacing w:line="360" w:lineRule="auto"/>
        <w:ind w:firstLine="240" w:firstLineChars="100"/>
        <w:rPr>
          <w:rFonts w:ascii="宋体" w:hAnsi="宋体"/>
        </w:rPr>
      </w:pPr>
      <w:r>
        <w:rPr>
          <w:rFonts w:hint="eastAsia" w:ascii="宋体" w:hAnsi="宋体"/>
        </w:rPr>
        <w:t>对于一般性故障（不影响用户方业务正常运作的故障），应派遣工程师到现场做技术支持。</w:t>
      </w:r>
    </w:p>
    <w:p>
      <w:pPr>
        <w:numPr>
          <w:ilvl w:val="0"/>
          <w:numId w:val="12"/>
        </w:numPr>
        <w:spacing w:line="360" w:lineRule="auto"/>
        <w:rPr>
          <w:rFonts w:ascii="宋体" w:hAnsi="宋体"/>
        </w:rPr>
      </w:pPr>
      <w:r>
        <w:rPr>
          <w:rFonts w:hint="eastAsia" w:ascii="宋体" w:hAnsi="宋体"/>
        </w:rPr>
        <w:t>响应时间：15分钟以内；</w:t>
      </w:r>
    </w:p>
    <w:p>
      <w:pPr>
        <w:numPr>
          <w:ilvl w:val="0"/>
          <w:numId w:val="12"/>
        </w:numPr>
        <w:spacing w:line="360" w:lineRule="auto"/>
        <w:rPr>
          <w:rFonts w:ascii="宋体" w:hAnsi="宋体"/>
        </w:rPr>
      </w:pPr>
      <w:r>
        <w:rPr>
          <w:rFonts w:hint="eastAsia" w:ascii="宋体" w:hAnsi="宋体"/>
        </w:rPr>
        <w:t>到场时间：接到故障通知后，</w:t>
      </w:r>
      <w:r>
        <w:rPr>
          <w:rFonts w:ascii="宋体" w:hAnsi="宋体"/>
        </w:rPr>
        <w:t>8</w:t>
      </w:r>
      <w:r>
        <w:rPr>
          <w:rFonts w:hint="eastAsia" w:ascii="宋体" w:hAnsi="宋体"/>
        </w:rPr>
        <w:t>小时内到达现场。</w:t>
      </w:r>
    </w:p>
    <w:p>
      <w:pPr>
        <w:numPr>
          <w:ilvl w:val="0"/>
          <w:numId w:val="12"/>
        </w:numPr>
        <w:spacing w:line="360" w:lineRule="auto"/>
        <w:rPr>
          <w:rFonts w:hint="eastAsia" w:ascii="宋体" w:hAnsi="宋体"/>
          <w:szCs w:val="22"/>
        </w:rPr>
      </w:pPr>
      <w:r>
        <w:rPr>
          <w:rFonts w:hint="eastAsia" w:ascii="宋体" w:hAnsi="宋体"/>
          <w:szCs w:val="22"/>
        </w:rPr>
        <w:t>重大保卫工作，根据业主要求，全程参与通讯保障工作。</w:t>
      </w:r>
    </w:p>
    <w:p>
      <w:pPr>
        <w:numPr>
          <w:ilvl w:val="0"/>
          <w:numId w:val="12"/>
        </w:numPr>
        <w:spacing w:line="360" w:lineRule="auto"/>
        <w:rPr>
          <w:rFonts w:hint="eastAsia" w:ascii="宋体" w:hAnsi="宋体"/>
          <w:color w:val="auto"/>
          <w:szCs w:val="22"/>
        </w:rPr>
      </w:pPr>
      <w:r>
        <w:rPr>
          <w:rFonts w:hint="eastAsia" w:ascii="宋体" w:hAnsi="宋体"/>
          <w:color w:val="auto"/>
          <w:szCs w:val="22"/>
        </w:rPr>
        <w:t>在质保期，每季巡查基站一次，并形成检查报告。</w:t>
      </w:r>
    </w:p>
    <w:p>
      <w:pPr>
        <w:numPr>
          <w:ilvl w:val="0"/>
          <w:numId w:val="12"/>
        </w:numPr>
        <w:rPr>
          <w:color w:val="auto"/>
        </w:rPr>
      </w:pPr>
      <w:r>
        <w:rPr>
          <w:rFonts w:hint="eastAsia" w:ascii="宋体" w:hAnsi="宋体"/>
          <w:color w:val="auto"/>
          <w:kern w:val="0"/>
        </w:rPr>
        <w:t>所投产品在合同签订前提供原厂商授权书和售后服务承诺函</w:t>
      </w:r>
      <w:r>
        <w:rPr>
          <w:rFonts w:hint="eastAsia" w:ascii="宋体" w:hAnsi="宋体"/>
          <w:color w:val="auto"/>
          <w:kern w:val="0"/>
          <w:lang w:eastAsia="zh-CN"/>
        </w:rPr>
        <w:t>。</w:t>
      </w:r>
    </w:p>
    <w:p>
      <w:pPr>
        <w:spacing w:line="360" w:lineRule="auto"/>
        <w:ind w:left="420"/>
        <w:rPr>
          <w:rFonts w:hint="eastAsia" w:ascii="宋体" w:hAnsi="宋体"/>
          <w:szCs w:val="22"/>
        </w:rPr>
      </w:pPr>
    </w:p>
    <w:p>
      <w:pPr>
        <w:pStyle w:val="3"/>
      </w:pPr>
      <w:r>
        <w:rPr>
          <w:rFonts w:hint="eastAsia"/>
        </w:rPr>
        <w:t>六、付款方式</w:t>
      </w:r>
      <w:bookmarkEnd w:id="257"/>
    </w:p>
    <w:p>
      <w:pPr>
        <w:pStyle w:val="42"/>
        <w:adjustRightInd w:val="0"/>
        <w:snapToGrid w:val="0"/>
        <w:spacing w:line="460" w:lineRule="exact"/>
        <w:ind w:firstLine="511" w:firstLineChars="213"/>
        <w:rPr>
          <w:rFonts w:hint="eastAsia" w:hAnsi="宋体" w:eastAsia="宋体"/>
          <w:color w:val="auto"/>
          <w:sz w:val="24"/>
          <w:szCs w:val="24"/>
          <w:lang w:val="en-US" w:eastAsia="zh-CN"/>
        </w:rPr>
      </w:pPr>
      <w:bookmarkStart w:id="274" w:name="_Toc528046882"/>
      <w:r>
        <w:rPr>
          <w:rFonts w:hint="eastAsia" w:hAnsi="宋体"/>
          <w:color w:val="auto"/>
          <w:sz w:val="24"/>
          <w:szCs w:val="24"/>
          <w:lang w:val="zh-CN"/>
        </w:rPr>
        <w:t>6.1合同签订时乙方向甲方支付合同金额的</w:t>
      </w:r>
      <w:r>
        <w:rPr>
          <w:rFonts w:hint="eastAsia" w:hAnsi="宋体"/>
          <w:color w:val="auto"/>
          <w:sz w:val="24"/>
          <w:szCs w:val="24"/>
        </w:rPr>
        <w:t>2%为本项目的履约保证金，验收合格后转为质保金，质保期满后无质量问题7个工作日内（无息）退还</w:t>
      </w:r>
      <w:r>
        <w:rPr>
          <w:rFonts w:hint="eastAsia" w:hAnsi="宋体"/>
          <w:color w:val="auto"/>
          <w:sz w:val="24"/>
          <w:szCs w:val="24"/>
          <w:lang w:eastAsia="zh-CN"/>
        </w:rPr>
        <w:t>。</w:t>
      </w:r>
    </w:p>
    <w:p>
      <w:pPr>
        <w:pStyle w:val="42"/>
        <w:adjustRightInd w:val="0"/>
        <w:snapToGrid w:val="0"/>
        <w:spacing w:line="460" w:lineRule="exact"/>
        <w:ind w:firstLine="511" w:firstLineChars="213"/>
        <w:rPr>
          <w:rFonts w:hint="eastAsia" w:hAnsi="宋体"/>
          <w:color w:val="auto"/>
          <w:sz w:val="24"/>
          <w:szCs w:val="24"/>
        </w:rPr>
      </w:pPr>
      <w:r>
        <w:rPr>
          <w:rFonts w:hint="eastAsia" w:hAnsi="宋体"/>
          <w:color w:val="auto"/>
          <w:sz w:val="24"/>
          <w:szCs w:val="24"/>
        </w:rPr>
        <w:t>6.2第一阶段：在合同签订以后，主要设备到货经查验，在</w:t>
      </w:r>
      <w:r>
        <w:rPr>
          <w:rFonts w:hint="eastAsia" w:hAnsi="宋体"/>
          <w:color w:val="auto"/>
          <w:sz w:val="24"/>
          <w:szCs w:val="24"/>
          <w:lang w:val="en-US" w:eastAsia="zh-CN"/>
        </w:rPr>
        <w:t>7</w:t>
      </w:r>
      <w:r>
        <w:rPr>
          <w:rFonts w:hint="eastAsia" w:hAnsi="宋体"/>
          <w:color w:val="auto"/>
          <w:sz w:val="24"/>
          <w:szCs w:val="24"/>
        </w:rPr>
        <w:t>个工作日内支付合同总额的40%；</w:t>
      </w:r>
    </w:p>
    <w:p>
      <w:pPr>
        <w:pStyle w:val="42"/>
        <w:adjustRightInd w:val="0"/>
        <w:snapToGrid w:val="0"/>
        <w:spacing w:line="460" w:lineRule="exact"/>
        <w:ind w:firstLine="511" w:firstLineChars="213"/>
        <w:rPr>
          <w:rFonts w:hint="eastAsia" w:hAnsi="宋体"/>
          <w:color w:val="auto"/>
          <w:sz w:val="24"/>
          <w:szCs w:val="24"/>
        </w:rPr>
      </w:pPr>
      <w:r>
        <w:rPr>
          <w:rFonts w:hint="eastAsia" w:hAnsi="宋体"/>
          <w:color w:val="auto"/>
          <w:sz w:val="24"/>
          <w:szCs w:val="24"/>
        </w:rPr>
        <w:t>6.3第二阶段：项目验收合格后</w:t>
      </w:r>
      <w:r>
        <w:rPr>
          <w:rFonts w:hint="eastAsia" w:hAnsi="宋体"/>
          <w:color w:val="auto"/>
          <w:sz w:val="24"/>
          <w:szCs w:val="24"/>
          <w:lang w:val="en-US" w:eastAsia="zh-CN"/>
        </w:rPr>
        <w:t>7</w:t>
      </w:r>
      <w:r>
        <w:rPr>
          <w:rFonts w:hint="eastAsia" w:hAnsi="宋体"/>
          <w:color w:val="auto"/>
          <w:sz w:val="24"/>
          <w:szCs w:val="24"/>
        </w:rPr>
        <w:t>个工作日内支付余款；</w:t>
      </w:r>
    </w:p>
    <w:p>
      <w:pPr>
        <w:pStyle w:val="3"/>
      </w:pPr>
      <w:r>
        <w:rPr>
          <w:rFonts w:hint="eastAsia"/>
        </w:rPr>
        <w:t>七、其他要求</w:t>
      </w:r>
      <w:bookmarkEnd w:id="274"/>
    </w:p>
    <w:p>
      <w:pPr>
        <w:pStyle w:val="42"/>
        <w:adjustRightInd w:val="0"/>
        <w:snapToGrid w:val="0"/>
        <w:spacing w:line="460" w:lineRule="exact"/>
        <w:ind w:firstLine="511" w:firstLineChars="213"/>
        <w:rPr>
          <w:rFonts w:hint="eastAsia" w:hAnsi="宋体"/>
          <w:sz w:val="24"/>
          <w:szCs w:val="22"/>
        </w:rPr>
      </w:pPr>
      <w:bookmarkStart w:id="275" w:name="_Toc465665161"/>
      <w:r>
        <w:rPr>
          <w:rFonts w:hint="eastAsia" w:hAnsi="宋体"/>
          <w:sz w:val="24"/>
          <w:szCs w:val="22"/>
        </w:rPr>
        <w:t>项目实施要求：</w:t>
      </w:r>
      <w:r>
        <w:rPr>
          <w:rFonts w:hint="eastAsia" w:hAnsi="宋体"/>
          <w:color w:val="auto"/>
          <w:sz w:val="24"/>
          <w:szCs w:val="22"/>
        </w:rPr>
        <w:t>签订合同后90天内完成全部建设任务，并通</w:t>
      </w:r>
      <w:r>
        <w:rPr>
          <w:rFonts w:hint="eastAsia" w:hAnsi="宋体"/>
          <w:sz w:val="24"/>
          <w:szCs w:val="22"/>
        </w:rPr>
        <w:t>过验收，并进入1个月的试运行。</w:t>
      </w:r>
    </w:p>
    <w:bookmarkEnd w:id="275"/>
    <w:p>
      <w:pPr>
        <w:rPr>
          <w:rFonts w:hint="eastAsia" w:ascii="仿宋_GB2312" w:hAnsi="仿宋_GB2312" w:eastAsia="仿宋_GB2312" w:cs="仿宋_GB2312"/>
        </w:rPr>
      </w:pPr>
    </w:p>
    <w:p>
      <w:pPr>
        <w:ind w:firstLine="480" w:firstLineChars="200"/>
        <w:rPr>
          <w:rFonts w:hint="eastAsia" w:ascii="仿宋_GB2312" w:eastAsia="仿宋_GB2312"/>
        </w:rPr>
      </w:pPr>
    </w:p>
    <w:p>
      <w:pPr>
        <w:spacing w:line="440" w:lineRule="exact"/>
        <w:rPr>
          <w:rFonts w:hint="eastAsia" w:ascii="宋体" w:hAnsi="宋体"/>
        </w:rPr>
      </w:pPr>
    </w:p>
    <w:sectPr>
      <w:headerReference r:id="rId5" w:type="first"/>
      <w:footerReference r:id="rId8" w:type="first"/>
      <w:headerReference r:id="rId3" w:type="default"/>
      <w:footerReference r:id="rId6" w:type="default"/>
      <w:headerReference r:id="rId4" w:type="even"/>
      <w:footerReference r:id="rId7" w:type="even"/>
      <w:pgSz w:w="11907" w:h="16840"/>
      <w:pgMar w:top="1418" w:right="1701" w:bottom="1418" w:left="1701" w:header="851" w:footer="6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LineDraw">
    <w:altName w:val="宋体"/>
    <w:panose1 w:val="00000000000000000000"/>
    <w:charset w:val="00"/>
    <w:family w:val="decorative"/>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Arial Unicode MS">
    <w:altName w:val="Arial"/>
    <w:panose1 w:val="020B0604020202020204"/>
    <w:charset w:val="00"/>
    <w:family w:val="roman"/>
    <w:pitch w:val="default"/>
    <w:sig w:usb0="00000003"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Palatino Linotype">
    <w:panose1 w:val="02040502050505030304"/>
    <w:charset w:val="00"/>
    <w:family w:val="roman"/>
    <w:pitch w:val="default"/>
    <w:sig w:usb0="E0000287" w:usb1="40000013" w:usb2="00000000" w:usb3="00000000" w:csb0="2000019F" w:csb1="00000000"/>
  </w:font>
  <w:font w:name="方正小标宋简体">
    <w:altName w:val="微软雅黑"/>
    <w:panose1 w:val="02010601030101010101"/>
    <w:charset w:val="86"/>
    <w:family w:val="auto"/>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rPr>
        <w:rStyle w:val="82"/>
        <w:rFonts w:hint="eastAsia"/>
      </w:rPr>
    </w:pPr>
    <w:r>
      <w:fldChar w:fldCharType="begin"/>
    </w:r>
    <w:r>
      <w:rPr>
        <w:rStyle w:val="82"/>
      </w:rPr>
      <w:instrText xml:space="preserve">PAGE  </w:instrText>
    </w:r>
    <w:r>
      <w:fldChar w:fldCharType="separate"/>
    </w:r>
    <w:r>
      <w:rPr>
        <w:rStyle w:val="82"/>
        <w:lang/>
      </w:rPr>
      <w:t>61</w:t>
    </w:r>
    <w:r>
      <w:fldChar w:fldCharType="end"/>
    </w:r>
  </w:p>
  <w:p>
    <w:pPr>
      <w:pStyle w:val="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000010"/>
    <w:multiLevelType w:val="multilevel"/>
    <w:tmpl w:val="00000010"/>
    <w:lvl w:ilvl="0" w:tentative="0">
      <w:start w:val="1"/>
      <w:numFmt w:val="decimal"/>
      <w:lvlText w:val="1.%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2"/>
    <w:multiLevelType w:val="multilevel"/>
    <w:tmpl w:val="00000012"/>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38"/>
        </w:tabs>
        <w:ind w:left="838" w:hanging="480"/>
      </w:pPr>
      <w:rPr>
        <w:rFonts w:hint="default"/>
      </w:rPr>
    </w:lvl>
    <w:lvl w:ilvl="2" w:tentative="0">
      <w:start w:val="1"/>
      <w:numFmt w:val="lowerRoman"/>
      <w:lvlText w:val="%3."/>
      <w:lvlJc w:val="right"/>
      <w:pPr>
        <w:ind w:left="1198" w:hanging="420"/>
      </w:pPr>
    </w:lvl>
    <w:lvl w:ilvl="3" w:tentative="0">
      <w:start w:val="1"/>
      <w:numFmt w:val="decimal"/>
      <w:lvlText w:val="%4."/>
      <w:lvlJc w:val="left"/>
      <w:pPr>
        <w:ind w:left="1618" w:hanging="420"/>
      </w:pPr>
    </w:lvl>
    <w:lvl w:ilvl="4" w:tentative="0">
      <w:start w:val="1"/>
      <w:numFmt w:val="lowerLetter"/>
      <w:lvlText w:val="%5)"/>
      <w:lvlJc w:val="left"/>
      <w:pPr>
        <w:ind w:left="2038" w:hanging="420"/>
      </w:pPr>
    </w:lvl>
    <w:lvl w:ilvl="5" w:tentative="0">
      <w:start w:val="1"/>
      <w:numFmt w:val="lowerRoman"/>
      <w:lvlText w:val="%6."/>
      <w:lvlJc w:val="right"/>
      <w:pPr>
        <w:ind w:left="2458" w:hanging="420"/>
      </w:pPr>
    </w:lvl>
    <w:lvl w:ilvl="6" w:tentative="0">
      <w:start w:val="1"/>
      <w:numFmt w:val="decimal"/>
      <w:lvlText w:val="%7."/>
      <w:lvlJc w:val="left"/>
      <w:pPr>
        <w:ind w:left="2878" w:hanging="420"/>
      </w:pPr>
    </w:lvl>
    <w:lvl w:ilvl="7" w:tentative="0">
      <w:start w:val="1"/>
      <w:numFmt w:val="lowerLetter"/>
      <w:lvlText w:val="%8)"/>
      <w:lvlJc w:val="left"/>
      <w:pPr>
        <w:ind w:left="3298" w:hanging="420"/>
      </w:pPr>
    </w:lvl>
    <w:lvl w:ilvl="8" w:tentative="0">
      <w:start w:val="1"/>
      <w:numFmt w:val="lowerRoman"/>
      <w:lvlText w:val="%9."/>
      <w:lvlJc w:val="right"/>
      <w:pPr>
        <w:ind w:left="3718" w:hanging="420"/>
      </w:pPr>
    </w:lvl>
  </w:abstractNum>
  <w:abstractNum w:abstractNumId="3">
    <w:nsid w:val="00000022"/>
    <w:multiLevelType w:val="multilevel"/>
    <w:tmpl w:val="00000022"/>
    <w:lvl w:ilvl="0" w:tentative="0">
      <w:start w:val="1"/>
      <w:numFmt w:val="decimal"/>
      <w:lvlText w:val="%1."/>
      <w:lvlJc w:val="left"/>
      <w:pPr>
        <w:tabs>
          <w:tab w:val="left" w:pos="1260"/>
        </w:tabs>
        <w:ind w:left="1260" w:hanging="420"/>
      </w:pPr>
    </w:lvl>
    <w:lvl w:ilvl="1" w:tentative="0">
      <w:start w:val="1"/>
      <w:numFmt w:val="decimal"/>
      <w:lvlText w:val="%2)"/>
      <w:lvlJc w:val="left"/>
      <w:pPr>
        <w:tabs>
          <w:tab w:val="left" w:pos="1680"/>
        </w:tabs>
        <w:ind w:left="1680" w:hanging="420"/>
      </w:pPr>
    </w:lvl>
    <w:lvl w:ilvl="2" w:tentative="0">
      <w:start w:val="1"/>
      <w:numFmt w:val="lowerRoman"/>
      <w:lvlText w:val="%3."/>
      <w:lvlJc w:val="right"/>
      <w:pPr>
        <w:tabs>
          <w:tab w:val="left" w:pos="2100"/>
        </w:tabs>
        <w:ind w:left="2100" w:hanging="420"/>
      </w:pPr>
      <w:rPr>
        <w:rFonts w:ascii="Times New Roman" w:hAnsi="Times New Roman" w:eastAsia="宋体"/>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00000028"/>
    <w:multiLevelType w:val="multilevel"/>
    <w:tmpl w:val="0000002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A4C4814"/>
    <w:multiLevelType w:val="multilevel"/>
    <w:tmpl w:val="0A4C48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A7C5D35"/>
    <w:multiLevelType w:val="multilevel"/>
    <w:tmpl w:val="0A7C5D3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
    <w:nsid w:val="100424E2"/>
    <w:multiLevelType w:val="multilevel"/>
    <w:tmpl w:val="100424E2"/>
    <w:lvl w:ilvl="0" w:tentative="0">
      <w:start w:val="1"/>
      <w:numFmt w:val="decimal"/>
      <w:lvlText w:val="（%1）"/>
      <w:lvlJc w:val="left"/>
      <w:pPr>
        <w:ind w:left="750" w:hanging="75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1246E13"/>
    <w:multiLevelType w:val="multilevel"/>
    <w:tmpl w:val="31246E13"/>
    <w:lvl w:ilvl="0" w:tentative="0">
      <w:start w:val="1"/>
      <w:numFmt w:val="lowerLetter"/>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40716986"/>
    <w:multiLevelType w:val="multilevel"/>
    <w:tmpl w:val="407169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472F03D"/>
    <w:multiLevelType w:val="multilevel"/>
    <w:tmpl w:val="5472F03D"/>
    <w:lvl w:ilvl="0" w:tentative="0">
      <w:start w:val="1"/>
      <w:numFmt w:val="decimal"/>
      <w:lvlText w:val="%1)"/>
      <w:lvlJc w:val="left"/>
      <w:pPr>
        <w:tabs>
          <w:tab w:val="left" w:pos="1680"/>
        </w:tabs>
        <w:ind w:left="1680" w:hanging="420"/>
      </w:p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11">
    <w:nsid w:val="5472F08B"/>
    <w:multiLevelType w:val="multilevel"/>
    <w:tmpl w:val="5472F08B"/>
    <w:lvl w:ilvl="0" w:tentative="0">
      <w:start w:val="1"/>
      <w:numFmt w:val="decimal"/>
      <w:lvlText w:val="%1)"/>
      <w:lvlJc w:val="left"/>
      <w:pPr>
        <w:tabs>
          <w:tab w:val="left" w:pos="1680"/>
        </w:tabs>
        <w:ind w:left="1680" w:hanging="420"/>
      </w:pPr>
    </w:lvl>
    <w:lvl w:ilvl="1" w:tentative="0">
      <w:start w:val="1"/>
      <w:numFmt w:val="japaneseCounting"/>
      <w:lvlText w:val="%2、"/>
      <w:lvlJc w:val="left"/>
      <w:pPr>
        <w:tabs>
          <w:tab w:val="left" w:pos="2160"/>
        </w:tabs>
        <w:ind w:left="2160" w:hanging="480"/>
      </w:pPr>
      <w:rPr>
        <w:b/>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num w:numId="1">
    <w:abstractNumId w:val="3"/>
  </w:num>
  <w:num w:numId="2">
    <w:abstractNumId w:val="0"/>
  </w:num>
  <w:num w:numId="3">
    <w:abstractNumId w:val="10"/>
    <w:lvlOverride w:ilvl="0">
      <w:startOverride w:val="1"/>
    </w:lvlOverride>
  </w:num>
  <w:num w:numId="4">
    <w:abstractNumId w:val="11"/>
    <w:lvlOverride w:ilvl="0">
      <w:startOverride w:val="1"/>
    </w:lvlOverride>
  </w:num>
  <w:num w:numId="5">
    <w:abstractNumId w:val="6"/>
  </w:num>
  <w:num w:numId="6">
    <w:abstractNumId w:val="4"/>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3B6"/>
    <w:rsid w:val="00011F79"/>
    <w:rsid w:val="00013249"/>
    <w:rsid w:val="00024B4D"/>
    <w:rsid w:val="00030AA0"/>
    <w:rsid w:val="000354AE"/>
    <w:rsid w:val="00036C5C"/>
    <w:rsid w:val="00045205"/>
    <w:rsid w:val="0004529D"/>
    <w:rsid w:val="000468FF"/>
    <w:rsid w:val="0005580A"/>
    <w:rsid w:val="00056079"/>
    <w:rsid w:val="0006139B"/>
    <w:rsid w:val="00063523"/>
    <w:rsid w:val="000730CE"/>
    <w:rsid w:val="000767B8"/>
    <w:rsid w:val="00077205"/>
    <w:rsid w:val="00077A65"/>
    <w:rsid w:val="000800EE"/>
    <w:rsid w:val="00085CBD"/>
    <w:rsid w:val="00087A49"/>
    <w:rsid w:val="000956DD"/>
    <w:rsid w:val="0009577E"/>
    <w:rsid w:val="00097A05"/>
    <w:rsid w:val="00097C6C"/>
    <w:rsid w:val="000A1572"/>
    <w:rsid w:val="000A64CC"/>
    <w:rsid w:val="000A7C6E"/>
    <w:rsid w:val="000B160D"/>
    <w:rsid w:val="000B609D"/>
    <w:rsid w:val="000B6153"/>
    <w:rsid w:val="000B64AC"/>
    <w:rsid w:val="000C2551"/>
    <w:rsid w:val="000D0398"/>
    <w:rsid w:val="000D2DB3"/>
    <w:rsid w:val="000D348F"/>
    <w:rsid w:val="000D7A78"/>
    <w:rsid w:val="000E4BD0"/>
    <w:rsid w:val="000E6A70"/>
    <w:rsid w:val="00100BC0"/>
    <w:rsid w:val="00104380"/>
    <w:rsid w:val="00104FE4"/>
    <w:rsid w:val="00105A9E"/>
    <w:rsid w:val="001110A2"/>
    <w:rsid w:val="00112421"/>
    <w:rsid w:val="00115E86"/>
    <w:rsid w:val="00123E95"/>
    <w:rsid w:val="00126E66"/>
    <w:rsid w:val="00134940"/>
    <w:rsid w:val="00135696"/>
    <w:rsid w:val="00141F4F"/>
    <w:rsid w:val="001429C9"/>
    <w:rsid w:val="001447CA"/>
    <w:rsid w:val="00150ACB"/>
    <w:rsid w:val="001532BB"/>
    <w:rsid w:val="00153E28"/>
    <w:rsid w:val="0016032F"/>
    <w:rsid w:val="00164630"/>
    <w:rsid w:val="00172945"/>
    <w:rsid w:val="00175D25"/>
    <w:rsid w:val="00180DF9"/>
    <w:rsid w:val="0018104D"/>
    <w:rsid w:val="00184395"/>
    <w:rsid w:val="00186CB0"/>
    <w:rsid w:val="0019465E"/>
    <w:rsid w:val="001A1DCB"/>
    <w:rsid w:val="001B3EC2"/>
    <w:rsid w:val="001C1D55"/>
    <w:rsid w:val="001C2670"/>
    <w:rsid w:val="001C3C7E"/>
    <w:rsid w:val="001C504A"/>
    <w:rsid w:val="001D06BB"/>
    <w:rsid w:val="001D368D"/>
    <w:rsid w:val="001D6442"/>
    <w:rsid w:val="001E377F"/>
    <w:rsid w:val="001E4524"/>
    <w:rsid w:val="001E7C88"/>
    <w:rsid w:val="00206E52"/>
    <w:rsid w:val="00213ACF"/>
    <w:rsid w:val="00214540"/>
    <w:rsid w:val="002159E3"/>
    <w:rsid w:val="002251F8"/>
    <w:rsid w:val="002265D3"/>
    <w:rsid w:val="00231F3C"/>
    <w:rsid w:val="00232DDC"/>
    <w:rsid w:val="002364AE"/>
    <w:rsid w:val="00243E42"/>
    <w:rsid w:val="002441F5"/>
    <w:rsid w:val="00254BD0"/>
    <w:rsid w:val="00254C69"/>
    <w:rsid w:val="00255E26"/>
    <w:rsid w:val="00261459"/>
    <w:rsid w:val="0029267A"/>
    <w:rsid w:val="00292CED"/>
    <w:rsid w:val="00293473"/>
    <w:rsid w:val="002942DD"/>
    <w:rsid w:val="002A1900"/>
    <w:rsid w:val="002A21BD"/>
    <w:rsid w:val="002A2329"/>
    <w:rsid w:val="002A3BED"/>
    <w:rsid w:val="002A447A"/>
    <w:rsid w:val="002B2504"/>
    <w:rsid w:val="002B377D"/>
    <w:rsid w:val="002B5FBA"/>
    <w:rsid w:val="002C430A"/>
    <w:rsid w:val="002C6645"/>
    <w:rsid w:val="002D3768"/>
    <w:rsid w:val="002D3F48"/>
    <w:rsid w:val="002E167F"/>
    <w:rsid w:val="002E3850"/>
    <w:rsid w:val="002E4B8E"/>
    <w:rsid w:val="002E5092"/>
    <w:rsid w:val="002F0DBD"/>
    <w:rsid w:val="002F1CC5"/>
    <w:rsid w:val="002F6A22"/>
    <w:rsid w:val="003023AF"/>
    <w:rsid w:val="00310148"/>
    <w:rsid w:val="00310672"/>
    <w:rsid w:val="003144EB"/>
    <w:rsid w:val="0032219A"/>
    <w:rsid w:val="00322985"/>
    <w:rsid w:val="00325FE9"/>
    <w:rsid w:val="00335520"/>
    <w:rsid w:val="00343BCC"/>
    <w:rsid w:val="0034601C"/>
    <w:rsid w:val="00347D9E"/>
    <w:rsid w:val="00353C8A"/>
    <w:rsid w:val="00354155"/>
    <w:rsid w:val="00356288"/>
    <w:rsid w:val="00365F4D"/>
    <w:rsid w:val="00371654"/>
    <w:rsid w:val="0037234A"/>
    <w:rsid w:val="0037606C"/>
    <w:rsid w:val="003A19F2"/>
    <w:rsid w:val="003A1EC4"/>
    <w:rsid w:val="003A2D54"/>
    <w:rsid w:val="003A6087"/>
    <w:rsid w:val="003A7CD5"/>
    <w:rsid w:val="003B732C"/>
    <w:rsid w:val="003C1954"/>
    <w:rsid w:val="003C454E"/>
    <w:rsid w:val="003C7C58"/>
    <w:rsid w:val="003D5C75"/>
    <w:rsid w:val="003D715A"/>
    <w:rsid w:val="003E3818"/>
    <w:rsid w:val="003F1F32"/>
    <w:rsid w:val="003F420E"/>
    <w:rsid w:val="003F5C03"/>
    <w:rsid w:val="00404EA8"/>
    <w:rsid w:val="00405224"/>
    <w:rsid w:val="00413542"/>
    <w:rsid w:val="004233F7"/>
    <w:rsid w:val="00425EAB"/>
    <w:rsid w:val="004279B8"/>
    <w:rsid w:val="0043191E"/>
    <w:rsid w:val="004335BD"/>
    <w:rsid w:val="00435598"/>
    <w:rsid w:val="00435F22"/>
    <w:rsid w:val="004423C2"/>
    <w:rsid w:val="00450C0C"/>
    <w:rsid w:val="00464C89"/>
    <w:rsid w:val="00467BBD"/>
    <w:rsid w:val="00470F33"/>
    <w:rsid w:val="004761AB"/>
    <w:rsid w:val="00477727"/>
    <w:rsid w:val="004811A9"/>
    <w:rsid w:val="00483E5E"/>
    <w:rsid w:val="0048689E"/>
    <w:rsid w:val="0048700F"/>
    <w:rsid w:val="004A6F87"/>
    <w:rsid w:val="004B65D8"/>
    <w:rsid w:val="004B69C6"/>
    <w:rsid w:val="004B7333"/>
    <w:rsid w:val="004B7F61"/>
    <w:rsid w:val="004C4A4B"/>
    <w:rsid w:val="004C51D8"/>
    <w:rsid w:val="004C5EF3"/>
    <w:rsid w:val="004D2FA4"/>
    <w:rsid w:val="004E3C0C"/>
    <w:rsid w:val="004E5162"/>
    <w:rsid w:val="004F2D3D"/>
    <w:rsid w:val="004F4E40"/>
    <w:rsid w:val="004F722C"/>
    <w:rsid w:val="004F7CF0"/>
    <w:rsid w:val="00507465"/>
    <w:rsid w:val="00511E9A"/>
    <w:rsid w:val="00517625"/>
    <w:rsid w:val="00520D7C"/>
    <w:rsid w:val="00523794"/>
    <w:rsid w:val="0052574A"/>
    <w:rsid w:val="005311B9"/>
    <w:rsid w:val="00540E78"/>
    <w:rsid w:val="00546D8B"/>
    <w:rsid w:val="00547E49"/>
    <w:rsid w:val="00552BE2"/>
    <w:rsid w:val="005536F8"/>
    <w:rsid w:val="00553FAA"/>
    <w:rsid w:val="00563B41"/>
    <w:rsid w:val="005670AF"/>
    <w:rsid w:val="0057663C"/>
    <w:rsid w:val="00576F3F"/>
    <w:rsid w:val="00581F71"/>
    <w:rsid w:val="005A7A7D"/>
    <w:rsid w:val="005B40B8"/>
    <w:rsid w:val="005C0909"/>
    <w:rsid w:val="005D08A4"/>
    <w:rsid w:val="005D58EB"/>
    <w:rsid w:val="005D6D8A"/>
    <w:rsid w:val="005E1607"/>
    <w:rsid w:val="005E498F"/>
    <w:rsid w:val="005F1A78"/>
    <w:rsid w:val="005F6579"/>
    <w:rsid w:val="00601F63"/>
    <w:rsid w:val="006125CD"/>
    <w:rsid w:val="006164BC"/>
    <w:rsid w:val="00617587"/>
    <w:rsid w:val="00617740"/>
    <w:rsid w:val="00626193"/>
    <w:rsid w:val="00642F55"/>
    <w:rsid w:val="00645770"/>
    <w:rsid w:val="00647636"/>
    <w:rsid w:val="00653170"/>
    <w:rsid w:val="00656BBC"/>
    <w:rsid w:val="00656C0D"/>
    <w:rsid w:val="00662FDA"/>
    <w:rsid w:val="0066546A"/>
    <w:rsid w:val="006670F8"/>
    <w:rsid w:val="00670D0D"/>
    <w:rsid w:val="00675A8D"/>
    <w:rsid w:val="00687546"/>
    <w:rsid w:val="00693BFB"/>
    <w:rsid w:val="006A48F6"/>
    <w:rsid w:val="006B1A8F"/>
    <w:rsid w:val="006B73DE"/>
    <w:rsid w:val="006D229E"/>
    <w:rsid w:val="006D5969"/>
    <w:rsid w:val="006D64CF"/>
    <w:rsid w:val="006E5E49"/>
    <w:rsid w:val="006F0B88"/>
    <w:rsid w:val="006F1AD8"/>
    <w:rsid w:val="006F53DE"/>
    <w:rsid w:val="007070AF"/>
    <w:rsid w:val="00711A14"/>
    <w:rsid w:val="00713EDF"/>
    <w:rsid w:val="007143EE"/>
    <w:rsid w:val="00714673"/>
    <w:rsid w:val="0071629A"/>
    <w:rsid w:val="0072413A"/>
    <w:rsid w:val="00731720"/>
    <w:rsid w:val="0073285E"/>
    <w:rsid w:val="007357B5"/>
    <w:rsid w:val="00736BEB"/>
    <w:rsid w:val="00751FDC"/>
    <w:rsid w:val="00760C5B"/>
    <w:rsid w:val="00766714"/>
    <w:rsid w:val="00766788"/>
    <w:rsid w:val="00771474"/>
    <w:rsid w:val="0077207C"/>
    <w:rsid w:val="0077289F"/>
    <w:rsid w:val="00773D77"/>
    <w:rsid w:val="00775EA1"/>
    <w:rsid w:val="0077737B"/>
    <w:rsid w:val="00785B7E"/>
    <w:rsid w:val="00787713"/>
    <w:rsid w:val="007A579A"/>
    <w:rsid w:val="007A6B3C"/>
    <w:rsid w:val="007C039B"/>
    <w:rsid w:val="007C133B"/>
    <w:rsid w:val="007C1D15"/>
    <w:rsid w:val="007C71F3"/>
    <w:rsid w:val="007D1E64"/>
    <w:rsid w:val="007D51EE"/>
    <w:rsid w:val="007D72C6"/>
    <w:rsid w:val="007E0CBC"/>
    <w:rsid w:val="007E2680"/>
    <w:rsid w:val="007E571B"/>
    <w:rsid w:val="007F3190"/>
    <w:rsid w:val="008035A4"/>
    <w:rsid w:val="008036BF"/>
    <w:rsid w:val="00807A53"/>
    <w:rsid w:val="00811BF3"/>
    <w:rsid w:val="008216B4"/>
    <w:rsid w:val="00830963"/>
    <w:rsid w:val="00831EEC"/>
    <w:rsid w:val="00841141"/>
    <w:rsid w:val="00850458"/>
    <w:rsid w:val="008523E8"/>
    <w:rsid w:val="00852A67"/>
    <w:rsid w:val="008542EA"/>
    <w:rsid w:val="0085466A"/>
    <w:rsid w:val="0085570E"/>
    <w:rsid w:val="00856F06"/>
    <w:rsid w:val="008602A9"/>
    <w:rsid w:val="008652AA"/>
    <w:rsid w:val="00870C77"/>
    <w:rsid w:val="008718BA"/>
    <w:rsid w:val="00874DC8"/>
    <w:rsid w:val="00887D79"/>
    <w:rsid w:val="00893518"/>
    <w:rsid w:val="008978EA"/>
    <w:rsid w:val="008A0222"/>
    <w:rsid w:val="008A6836"/>
    <w:rsid w:val="008B4B39"/>
    <w:rsid w:val="008B56A2"/>
    <w:rsid w:val="008C1E36"/>
    <w:rsid w:val="008C5B02"/>
    <w:rsid w:val="008D1A9C"/>
    <w:rsid w:val="008D1F67"/>
    <w:rsid w:val="008D493E"/>
    <w:rsid w:val="008D5FB3"/>
    <w:rsid w:val="008D7BEA"/>
    <w:rsid w:val="008E007F"/>
    <w:rsid w:val="008E1DDC"/>
    <w:rsid w:val="008E3E31"/>
    <w:rsid w:val="008E46E5"/>
    <w:rsid w:val="00907406"/>
    <w:rsid w:val="009109DC"/>
    <w:rsid w:val="009138E8"/>
    <w:rsid w:val="009237D9"/>
    <w:rsid w:val="00943286"/>
    <w:rsid w:val="00943D31"/>
    <w:rsid w:val="009445E1"/>
    <w:rsid w:val="009564FB"/>
    <w:rsid w:val="00962DD2"/>
    <w:rsid w:val="00967A07"/>
    <w:rsid w:val="00970268"/>
    <w:rsid w:val="00972A98"/>
    <w:rsid w:val="00975345"/>
    <w:rsid w:val="00986085"/>
    <w:rsid w:val="0099152B"/>
    <w:rsid w:val="00993C33"/>
    <w:rsid w:val="009A2394"/>
    <w:rsid w:val="009A5BFA"/>
    <w:rsid w:val="009A6608"/>
    <w:rsid w:val="009A7942"/>
    <w:rsid w:val="009B074D"/>
    <w:rsid w:val="009B4B11"/>
    <w:rsid w:val="009B7880"/>
    <w:rsid w:val="009C17F8"/>
    <w:rsid w:val="009C35FB"/>
    <w:rsid w:val="009C7E83"/>
    <w:rsid w:val="009D4DE5"/>
    <w:rsid w:val="009E05CA"/>
    <w:rsid w:val="009E0F54"/>
    <w:rsid w:val="009F5BD1"/>
    <w:rsid w:val="00A22909"/>
    <w:rsid w:val="00A3136B"/>
    <w:rsid w:val="00A313CF"/>
    <w:rsid w:val="00A34B87"/>
    <w:rsid w:val="00A37C2B"/>
    <w:rsid w:val="00A42884"/>
    <w:rsid w:val="00A44190"/>
    <w:rsid w:val="00A44BCB"/>
    <w:rsid w:val="00A44C95"/>
    <w:rsid w:val="00A50DD4"/>
    <w:rsid w:val="00A56B72"/>
    <w:rsid w:val="00A66766"/>
    <w:rsid w:val="00A667EC"/>
    <w:rsid w:val="00A66B83"/>
    <w:rsid w:val="00A7088B"/>
    <w:rsid w:val="00A720FE"/>
    <w:rsid w:val="00A8033C"/>
    <w:rsid w:val="00A81DCE"/>
    <w:rsid w:val="00A85311"/>
    <w:rsid w:val="00A86A9F"/>
    <w:rsid w:val="00A94638"/>
    <w:rsid w:val="00AA006E"/>
    <w:rsid w:val="00AA1004"/>
    <w:rsid w:val="00AA5F86"/>
    <w:rsid w:val="00AC0CBB"/>
    <w:rsid w:val="00AD0B93"/>
    <w:rsid w:val="00AD1928"/>
    <w:rsid w:val="00AD28D2"/>
    <w:rsid w:val="00AD6E59"/>
    <w:rsid w:val="00AE44EF"/>
    <w:rsid w:val="00AE6638"/>
    <w:rsid w:val="00AE67E1"/>
    <w:rsid w:val="00AF5039"/>
    <w:rsid w:val="00AF61B7"/>
    <w:rsid w:val="00B170B8"/>
    <w:rsid w:val="00B321BE"/>
    <w:rsid w:val="00B36A34"/>
    <w:rsid w:val="00B43D9C"/>
    <w:rsid w:val="00B52D0F"/>
    <w:rsid w:val="00B53302"/>
    <w:rsid w:val="00B61790"/>
    <w:rsid w:val="00B87CF8"/>
    <w:rsid w:val="00B927FB"/>
    <w:rsid w:val="00B969C6"/>
    <w:rsid w:val="00B97086"/>
    <w:rsid w:val="00BA0BA5"/>
    <w:rsid w:val="00BA1896"/>
    <w:rsid w:val="00BA4B54"/>
    <w:rsid w:val="00BB14C6"/>
    <w:rsid w:val="00BB22CF"/>
    <w:rsid w:val="00BC7D1C"/>
    <w:rsid w:val="00BD5764"/>
    <w:rsid w:val="00BE017D"/>
    <w:rsid w:val="00BE0D8C"/>
    <w:rsid w:val="00BF3BD1"/>
    <w:rsid w:val="00BF41F8"/>
    <w:rsid w:val="00C04ECF"/>
    <w:rsid w:val="00C0598B"/>
    <w:rsid w:val="00C11963"/>
    <w:rsid w:val="00C1315B"/>
    <w:rsid w:val="00C139A8"/>
    <w:rsid w:val="00C17A4C"/>
    <w:rsid w:val="00C20DDA"/>
    <w:rsid w:val="00C24373"/>
    <w:rsid w:val="00C257C2"/>
    <w:rsid w:val="00C35B61"/>
    <w:rsid w:val="00C35DCD"/>
    <w:rsid w:val="00C40D3C"/>
    <w:rsid w:val="00C468F7"/>
    <w:rsid w:val="00C506A0"/>
    <w:rsid w:val="00C50B36"/>
    <w:rsid w:val="00C5238D"/>
    <w:rsid w:val="00C5279F"/>
    <w:rsid w:val="00C52905"/>
    <w:rsid w:val="00C5302F"/>
    <w:rsid w:val="00C55216"/>
    <w:rsid w:val="00C667AD"/>
    <w:rsid w:val="00C7062B"/>
    <w:rsid w:val="00C77D11"/>
    <w:rsid w:val="00C81848"/>
    <w:rsid w:val="00C8678F"/>
    <w:rsid w:val="00C869F5"/>
    <w:rsid w:val="00CA077A"/>
    <w:rsid w:val="00CA3606"/>
    <w:rsid w:val="00CA6AC4"/>
    <w:rsid w:val="00CC144F"/>
    <w:rsid w:val="00CF0CA4"/>
    <w:rsid w:val="00CF5DC0"/>
    <w:rsid w:val="00D00672"/>
    <w:rsid w:val="00D04571"/>
    <w:rsid w:val="00D102F6"/>
    <w:rsid w:val="00D1037D"/>
    <w:rsid w:val="00D10D71"/>
    <w:rsid w:val="00D13B59"/>
    <w:rsid w:val="00D149A9"/>
    <w:rsid w:val="00D2274B"/>
    <w:rsid w:val="00D24075"/>
    <w:rsid w:val="00D33744"/>
    <w:rsid w:val="00D43626"/>
    <w:rsid w:val="00D44818"/>
    <w:rsid w:val="00D61AF8"/>
    <w:rsid w:val="00D624DD"/>
    <w:rsid w:val="00D647ED"/>
    <w:rsid w:val="00D648CC"/>
    <w:rsid w:val="00D7446E"/>
    <w:rsid w:val="00D7503F"/>
    <w:rsid w:val="00D80D18"/>
    <w:rsid w:val="00D82668"/>
    <w:rsid w:val="00D82D20"/>
    <w:rsid w:val="00D874E6"/>
    <w:rsid w:val="00D91A7D"/>
    <w:rsid w:val="00D96296"/>
    <w:rsid w:val="00DA0211"/>
    <w:rsid w:val="00DA0AA1"/>
    <w:rsid w:val="00DA0B3C"/>
    <w:rsid w:val="00DA24FF"/>
    <w:rsid w:val="00DB41A8"/>
    <w:rsid w:val="00DB727F"/>
    <w:rsid w:val="00DC05C4"/>
    <w:rsid w:val="00DC7388"/>
    <w:rsid w:val="00DD0610"/>
    <w:rsid w:val="00DD7B33"/>
    <w:rsid w:val="00DE02EA"/>
    <w:rsid w:val="00DE5433"/>
    <w:rsid w:val="00DF3250"/>
    <w:rsid w:val="00DF7D2D"/>
    <w:rsid w:val="00E10779"/>
    <w:rsid w:val="00E10BF2"/>
    <w:rsid w:val="00E130AF"/>
    <w:rsid w:val="00E154E2"/>
    <w:rsid w:val="00E165AA"/>
    <w:rsid w:val="00E20198"/>
    <w:rsid w:val="00E21A13"/>
    <w:rsid w:val="00E24526"/>
    <w:rsid w:val="00E31F3A"/>
    <w:rsid w:val="00E349D3"/>
    <w:rsid w:val="00E400E1"/>
    <w:rsid w:val="00E410F1"/>
    <w:rsid w:val="00E43538"/>
    <w:rsid w:val="00E45CCD"/>
    <w:rsid w:val="00E563D0"/>
    <w:rsid w:val="00E602E2"/>
    <w:rsid w:val="00E61E60"/>
    <w:rsid w:val="00E67E67"/>
    <w:rsid w:val="00E76E5F"/>
    <w:rsid w:val="00E82B6F"/>
    <w:rsid w:val="00E95FF9"/>
    <w:rsid w:val="00EB18AE"/>
    <w:rsid w:val="00EB3A06"/>
    <w:rsid w:val="00EB4832"/>
    <w:rsid w:val="00EB67E1"/>
    <w:rsid w:val="00EC47CA"/>
    <w:rsid w:val="00EC55D7"/>
    <w:rsid w:val="00ED1BD1"/>
    <w:rsid w:val="00EE2E86"/>
    <w:rsid w:val="00EE584D"/>
    <w:rsid w:val="00EE5C20"/>
    <w:rsid w:val="00EF518C"/>
    <w:rsid w:val="00EF59EF"/>
    <w:rsid w:val="00F10134"/>
    <w:rsid w:val="00F1523D"/>
    <w:rsid w:val="00F158FF"/>
    <w:rsid w:val="00F20A21"/>
    <w:rsid w:val="00F229EE"/>
    <w:rsid w:val="00F22AD4"/>
    <w:rsid w:val="00F23BA9"/>
    <w:rsid w:val="00F26206"/>
    <w:rsid w:val="00F3126F"/>
    <w:rsid w:val="00F40B04"/>
    <w:rsid w:val="00F42472"/>
    <w:rsid w:val="00F44BD4"/>
    <w:rsid w:val="00F45CDF"/>
    <w:rsid w:val="00F47042"/>
    <w:rsid w:val="00F67196"/>
    <w:rsid w:val="00F6728E"/>
    <w:rsid w:val="00F7602A"/>
    <w:rsid w:val="00F77333"/>
    <w:rsid w:val="00F77E09"/>
    <w:rsid w:val="00F80B4A"/>
    <w:rsid w:val="00F93DC8"/>
    <w:rsid w:val="00F93EA3"/>
    <w:rsid w:val="00FA5024"/>
    <w:rsid w:val="00FB1CB5"/>
    <w:rsid w:val="00FB356A"/>
    <w:rsid w:val="00FB610C"/>
    <w:rsid w:val="00FB692E"/>
    <w:rsid w:val="00FD277D"/>
    <w:rsid w:val="00FE22C3"/>
    <w:rsid w:val="00FF01C7"/>
    <w:rsid w:val="00FF0D21"/>
    <w:rsid w:val="00FF1024"/>
    <w:rsid w:val="00FF13B0"/>
    <w:rsid w:val="086653AE"/>
    <w:rsid w:val="09425990"/>
    <w:rsid w:val="108C7E2D"/>
    <w:rsid w:val="115765F9"/>
    <w:rsid w:val="137351A0"/>
    <w:rsid w:val="157752CB"/>
    <w:rsid w:val="19E24DA0"/>
    <w:rsid w:val="1AF32A33"/>
    <w:rsid w:val="1DF27449"/>
    <w:rsid w:val="1E285584"/>
    <w:rsid w:val="1FE07CCF"/>
    <w:rsid w:val="201B059E"/>
    <w:rsid w:val="2245688F"/>
    <w:rsid w:val="233E6FBE"/>
    <w:rsid w:val="23BF4663"/>
    <w:rsid w:val="2603702E"/>
    <w:rsid w:val="281126CB"/>
    <w:rsid w:val="283D274A"/>
    <w:rsid w:val="2856118F"/>
    <w:rsid w:val="28871F98"/>
    <w:rsid w:val="29BB2CC6"/>
    <w:rsid w:val="2C224A9E"/>
    <w:rsid w:val="2C3F3FA5"/>
    <w:rsid w:val="2E6A5A35"/>
    <w:rsid w:val="395B6506"/>
    <w:rsid w:val="3BAE3BA1"/>
    <w:rsid w:val="3C6C7FE4"/>
    <w:rsid w:val="40615CE7"/>
    <w:rsid w:val="43FB5352"/>
    <w:rsid w:val="44261ACF"/>
    <w:rsid w:val="450472E6"/>
    <w:rsid w:val="45E70698"/>
    <w:rsid w:val="4AA4502B"/>
    <w:rsid w:val="4B413C9A"/>
    <w:rsid w:val="4E885A1F"/>
    <w:rsid w:val="50605A9F"/>
    <w:rsid w:val="50CE7958"/>
    <w:rsid w:val="53353FC5"/>
    <w:rsid w:val="540A0C31"/>
    <w:rsid w:val="548F0DB6"/>
    <w:rsid w:val="57214A0A"/>
    <w:rsid w:val="5871512E"/>
    <w:rsid w:val="5D136A82"/>
    <w:rsid w:val="5DC5514D"/>
    <w:rsid w:val="616666D3"/>
    <w:rsid w:val="61721C1C"/>
    <w:rsid w:val="63DE4DF7"/>
    <w:rsid w:val="63F03985"/>
    <w:rsid w:val="653D10DC"/>
    <w:rsid w:val="66656088"/>
    <w:rsid w:val="680A029B"/>
    <w:rsid w:val="6BAB6207"/>
    <w:rsid w:val="6EF14CF9"/>
    <w:rsid w:val="6F3B3E4A"/>
    <w:rsid w:val="70BE7FA5"/>
    <w:rsid w:val="70EE420C"/>
    <w:rsid w:val="71A47A21"/>
    <w:rsid w:val="73677B79"/>
    <w:rsid w:val="7843502D"/>
    <w:rsid w:val="7CBC3CBA"/>
    <w:rsid w:val="7D8C6EB9"/>
    <w:rsid w:val="7DEC11DD"/>
    <w:rsid w:val="7E7E17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4"/>
      <w:lang w:val="en-US" w:eastAsia="zh-CN" w:bidi="ar-SA"/>
    </w:rPr>
  </w:style>
  <w:style w:type="paragraph" w:styleId="2">
    <w:name w:val="heading 1"/>
    <w:basedOn w:val="1"/>
    <w:next w:val="1"/>
    <w:link w:val="169"/>
    <w:qFormat/>
    <w:uiPriority w:val="0"/>
    <w:pPr>
      <w:keepNext/>
      <w:keepLines/>
      <w:widowControl w:val="0"/>
      <w:spacing w:before="340" w:beforeLines="0" w:after="330" w:afterLines="0" w:line="578" w:lineRule="auto"/>
      <w:jc w:val="center"/>
      <w:outlineLvl w:val="0"/>
    </w:pPr>
    <w:rPr>
      <w:rFonts w:eastAsia="黑体"/>
      <w:b/>
      <w:kern w:val="44"/>
      <w:sz w:val="48"/>
    </w:rPr>
  </w:style>
  <w:style w:type="paragraph" w:styleId="3">
    <w:name w:val="heading 2"/>
    <w:basedOn w:val="1"/>
    <w:next w:val="4"/>
    <w:link w:val="119"/>
    <w:qFormat/>
    <w:uiPriority w:val="0"/>
    <w:pPr>
      <w:keepNext/>
      <w:keepLines/>
      <w:widowControl w:val="0"/>
      <w:spacing w:before="260" w:beforeLines="0" w:after="260" w:afterLines="0"/>
      <w:jc w:val="both"/>
      <w:outlineLvl w:val="1"/>
    </w:pPr>
    <w:rPr>
      <w:rFonts w:ascii="Arial" w:hAnsi="Arial" w:eastAsia="黑体"/>
      <w:b/>
      <w:sz w:val="36"/>
    </w:rPr>
  </w:style>
  <w:style w:type="paragraph" w:styleId="4">
    <w:name w:val="heading 3"/>
    <w:basedOn w:val="1"/>
    <w:next w:val="5"/>
    <w:link w:val="127"/>
    <w:qFormat/>
    <w:uiPriority w:val="0"/>
    <w:pPr>
      <w:keepNext/>
      <w:keepLines/>
      <w:widowControl w:val="0"/>
      <w:spacing w:before="260" w:beforeLines="0" w:after="260" w:afterLines="0" w:line="415" w:lineRule="auto"/>
      <w:jc w:val="both"/>
      <w:outlineLvl w:val="2"/>
    </w:pPr>
    <w:rPr>
      <w:b/>
      <w:sz w:val="32"/>
    </w:rPr>
  </w:style>
  <w:style w:type="paragraph" w:styleId="6">
    <w:name w:val="heading 4"/>
    <w:basedOn w:val="1"/>
    <w:next w:val="7"/>
    <w:link w:val="113"/>
    <w:qFormat/>
    <w:uiPriority w:val="0"/>
    <w:pPr>
      <w:keepNext/>
      <w:keepLines/>
      <w:spacing w:before="280" w:beforeLines="0" w:after="290" w:afterLines="0" w:line="376" w:lineRule="auto"/>
      <w:outlineLvl w:val="3"/>
    </w:pPr>
    <w:rPr>
      <w:rFonts w:ascii="Arial" w:hAnsi="Arial" w:eastAsia="黑体"/>
      <w:b/>
      <w:sz w:val="28"/>
    </w:rPr>
  </w:style>
  <w:style w:type="paragraph" w:styleId="8">
    <w:name w:val="heading 5"/>
    <w:basedOn w:val="1"/>
    <w:next w:val="9"/>
    <w:link w:val="147"/>
    <w:qFormat/>
    <w:uiPriority w:val="0"/>
    <w:pPr>
      <w:keepNext/>
      <w:keepLines/>
      <w:tabs>
        <w:tab w:val="left" w:pos="1618"/>
      </w:tabs>
      <w:spacing w:before="60" w:beforeLines="0" w:after="312" w:afterLines="100"/>
      <w:ind w:left="1618" w:hanging="420"/>
      <w:outlineLvl w:val="4"/>
    </w:pPr>
    <w:rPr>
      <w:b/>
    </w:rPr>
  </w:style>
  <w:style w:type="paragraph" w:styleId="10">
    <w:name w:val="heading 6"/>
    <w:basedOn w:val="1"/>
    <w:next w:val="9"/>
    <w:link w:val="111"/>
    <w:qFormat/>
    <w:uiPriority w:val="0"/>
    <w:pPr>
      <w:keepNext/>
      <w:keepLines/>
      <w:tabs>
        <w:tab w:val="left" w:pos="2038"/>
      </w:tabs>
      <w:spacing w:before="240" w:beforeLines="0" w:after="64" w:afterLines="0" w:line="317" w:lineRule="auto"/>
      <w:ind w:left="2038" w:hanging="420"/>
      <w:outlineLvl w:val="5"/>
    </w:pPr>
    <w:rPr>
      <w:rFonts w:ascii="Arial" w:hAnsi="Arial" w:eastAsia="黑体"/>
    </w:rPr>
  </w:style>
  <w:style w:type="paragraph" w:styleId="11">
    <w:name w:val="heading 7"/>
    <w:basedOn w:val="1"/>
    <w:next w:val="1"/>
    <w:link w:val="150"/>
    <w:qFormat/>
    <w:uiPriority w:val="0"/>
    <w:pPr>
      <w:keepNext/>
      <w:keepLines/>
      <w:spacing w:before="240" w:beforeLines="0" w:after="64" w:afterLines="0" w:line="317" w:lineRule="auto"/>
      <w:outlineLvl w:val="6"/>
    </w:pPr>
    <w:rPr>
      <w:b/>
    </w:rPr>
  </w:style>
  <w:style w:type="paragraph" w:styleId="12">
    <w:name w:val="heading 8"/>
    <w:basedOn w:val="1"/>
    <w:next w:val="1"/>
    <w:link w:val="115"/>
    <w:qFormat/>
    <w:uiPriority w:val="0"/>
    <w:pPr>
      <w:keepNext/>
      <w:keepLines/>
      <w:spacing w:before="240" w:beforeLines="0" w:after="64" w:afterLines="0" w:line="317" w:lineRule="auto"/>
      <w:outlineLvl w:val="7"/>
    </w:pPr>
    <w:rPr>
      <w:rFonts w:ascii="Arial" w:hAnsi="Arial" w:eastAsia="黑体"/>
    </w:rPr>
  </w:style>
  <w:style w:type="paragraph" w:styleId="13">
    <w:name w:val="heading 9"/>
    <w:basedOn w:val="1"/>
    <w:next w:val="1"/>
    <w:link w:val="120"/>
    <w:qFormat/>
    <w:uiPriority w:val="0"/>
    <w:pPr>
      <w:keepNext/>
      <w:keepLines/>
      <w:spacing w:before="240" w:beforeLines="0" w:after="64" w:afterLines="0" w:line="317" w:lineRule="auto"/>
      <w:outlineLvl w:val="8"/>
    </w:pPr>
    <w:rPr>
      <w:rFonts w:ascii="Arial" w:hAnsi="Arial" w:eastAsia="黑体"/>
      <w:sz w:val="21"/>
    </w:rPr>
  </w:style>
  <w:style w:type="character" w:default="1" w:styleId="80">
    <w:name w:val="Default Paragraph Font"/>
    <w:uiPriority w:val="0"/>
  </w:style>
  <w:style w:type="table" w:default="1" w:styleId="78">
    <w:name w:val="Normal Table"/>
    <w:unhideWhenUsed/>
    <w:uiPriority w:val="99"/>
    <w:tblPr>
      <w:tblStyle w:val="78"/>
      <w:tblCellMar>
        <w:top w:w="0" w:type="dxa"/>
        <w:left w:w="108" w:type="dxa"/>
        <w:bottom w:w="0" w:type="dxa"/>
        <w:right w:w="108" w:type="dxa"/>
      </w:tblCellMar>
    </w:tblPr>
  </w:style>
  <w:style w:type="paragraph" w:styleId="5">
    <w:name w:val="Body Text First Indent"/>
    <w:basedOn w:val="1"/>
    <w:link w:val="140"/>
    <w:uiPriority w:val="0"/>
    <w:pPr>
      <w:spacing w:line="300" w:lineRule="auto"/>
      <w:ind w:firstLine="476"/>
    </w:pPr>
  </w:style>
  <w:style w:type="paragraph" w:styleId="7">
    <w:name w:val="Normal Indent"/>
    <w:basedOn w:val="1"/>
    <w:link w:val="148"/>
    <w:uiPriority w:val="0"/>
    <w:pPr>
      <w:ind w:firstLine="420" w:firstLineChars="200"/>
    </w:pPr>
    <w:rPr>
      <w:kern w:val="0"/>
      <w:sz w:val="21"/>
    </w:rPr>
  </w:style>
  <w:style w:type="paragraph" w:customStyle="1" w:styleId="9">
    <w:name w:val="正文缩进2"/>
    <w:basedOn w:val="1"/>
    <w:uiPriority w:val="0"/>
    <w:pPr>
      <w:spacing w:before="60" w:beforeLines="0"/>
      <w:ind w:firstLine="476"/>
    </w:pPr>
  </w:style>
  <w:style w:type="paragraph" w:styleId="14">
    <w:name w:val="List 3"/>
    <w:basedOn w:val="1"/>
    <w:uiPriority w:val="0"/>
    <w:pPr>
      <w:ind w:left="100" w:leftChars="400" w:hanging="200" w:hangingChars="200"/>
    </w:pPr>
    <w:rPr>
      <w:sz w:val="21"/>
      <w:szCs w:val="24"/>
    </w:rPr>
  </w:style>
  <w:style w:type="paragraph" w:styleId="15">
    <w:name w:val="toc 7"/>
    <w:basedOn w:val="1"/>
    <w:next w:val="1"/>
    <w:uiPriority w:val="0"/>
    <w:pPr>
      <w:ind w:left="1440"/>
      <w:jc w:val="left"/>
    </w:pPr>
    <w:rPr>
      <w:sz w:val="18"/>
      <w:szCs w:val="18"/>
    </w:rPr>
  </w:style>
  <w:style w:type="paragraph" w:styleId="16">
    <w:name w:val="List Number 2"/>
    <w:basedOn w:val="1"/>
    <w:uiPriority w:val="0"/>
    <w:pPr>
      <w:tabs>
        <w:tab w:val="left" w:pos="1130"/>
      </w:tabs>
      <w:spacing w:line="360" w:lineRule="auto"/>
      <w:ind w:left="1130" w:hanging="420"/>
      <w:jc w:val="left"/>
    </w:pPr>
    <w:rPr>
      <w:rFonts w:ascii="Arial" w:hAnsi="Arial" w:eastAsia="楷体_GB2312" w:cs="Arial"/>
      <w:sz w:val="28"/>
      <w:szCs w:val="24"/>
    </w:rPr>
  </w:style>
  <w:style w:type="paragraph" w:styleId="17">
    <w:name w:val="Note Heading"/>
    <w:basedOn w:val="1"/>
    <w:next w:val="1"/>
    <w:link w:val="106"/>
    <w:uiPriority w:val="0"/>
    <w:pPr>
      <w:spacing w:line="360" w:lineRule="auto"/>
      <w:ind w:firstLine="200" w:firstLineChars="200"/>
      <w:jc w:val="center"/>
    </w:pPr>
    <w:rPr>
      <w:rFonts w:ascii="Arial" w:hAnsi="Arial" w:eastAsia="楷体_GB2312"/>
      <w:sz w:val="28"/>
      <w:szCs w:val="24"/>
    </w:rPr>
  </w:style>
  <w:style w:type="paragraph" w:styleId="18">
    <w:name w:val="List Bullet 4"/>
    <w:basedOn w:val="1"/>
    <w:uiPriority w:val="0"/>
    <w:pPr>
      <w:tabs>
        <w:tab w:val="left" w:pos="1620"/>
      </w:tabs>
      <w:spacing w:line="360" w:lineRule="auto"/>
      <w:ind w:left="1620" w:leftChars="600" w:hanging="360"/>
      <w:jc w:val="left"/>
    </w:pPr>
    <w:rPr>
      <w:rFonts w:ascii="Arial" w:hAnsi="Arial" w:eastAsia="楷体_GB2312" w:cs="Arial"/>
      <w:sz w:val="28"/>
      <w:szCs w:val="24"/>
    </w:rPr>
  </w:style>
  <w:style w:type="paragraph" w:styleId="19">
    <w:name w:val="E-mail Signature"/>
    <w:basedOn w:val="1"/>
    <w:link w:val="184"/>
    <w:uiPriority w:val="0"/>
    <w:pPr>
      <w:spacing w:line="360" w:lineRule="auto"/>
      <w:ind w:firstLine="200" w:firstLineChars="200"/>
      <w:jc w:val="left"/>
    </w:pPr>
    <w:rPr>
      <w:rFonts w:ascii="Arial" w:hAnsi="Arial" w:eastAsia="楷体_GB2312"/>
      <w:sz w:val="28"/>
      <w:szCs w:val="24"/>
    </w:rPr>
  </w:style>
  <w:style w:type="paragraph" w:styleId="20">
    <w:name w:val="List Number"/>
    <w:basedOn w:val="1"/>
    <w:uiPriority w:val="0"/>
    <w:pPr>
      <w:tabs>
        <w:tab w:val="left" w:pos="900"/>
      </w:tabs>
      <w:spacing w:line="360" w:lineRule="auto"/>
      <w:ind w:left="900" w:hanging="420"/>
      <w:jc w:val="left"/>
    </w:pPr>
    <w:rPr>
      <w:rFonts w:ascii="Arial" w:hAnsi="Arial" w:eastAsia="楷体_GB2312" w:cs="Arial"/>
      <w:sz w:val="28"/>
      <w:szCs w:val="24"/>
    </w:rPr>
  </w:style>
  <w:style w:type="paragraph" w:styleId="21">
    <w:name w:val="caption"/>
    <w:basedOn w:val="1"/>
    <w:next w:val="1"/>
    <w:link w:val="139"/>
    <w:qFormat/>
    <w:uiPriority w:val="0"/>
    <w:rPr>
      <w:rFonts w:ascii="Arial" w:hAnsi="Arial" w:eastAsia="黑体"/>
      <w:kern w:val="0"/>
      <w:sz w:val="20"/>
    </w:rPr>
  </w:style>
  <w:style w:type="paragraph" w:styleId="22">
    <w:name w:val="index 5"/>
    <w:basedOn w:val="1"/>
    <w:next w:val="1"/>
    <w:uiPriority w:val="0"/>
    <w:pPr>
      <w:tabs>
        <w:tab w:val="left" w:pos="5760"/>
      </w:tabs>
      <w:ind w:left="1920" w:leftChars="800"/>
      <w:jc w:val="left"/>
    </w:pPr>
  </w:style>
  <w:style w:type="paragraph" w:styleId="23">
    <w:name w:val="List Bullet"/>
    <w:basedOn w:val="1"/>
    <w:uiPriority w:val="0"/>
    <w:pPr>
      <w:tabs>
        <w:tab w:val="left" w:pos="748"/>
      </w:tabs>
      <w:spacing w:line="360" w:lineRule="auto"/>
      <w:ind w:left="748" w:hanging="374"/>
    </w:pPr>
    <w:rPr>
      <w:sz w:val="21"/>
    </w:rPr>
  </w:style>
  <w:style w:type="paragraph" w:styleId="24">
    <w:name w:val="envelope address"/>
    <w:basedOn w:val="1"/>
    <w:uiPriority w:val="0"/>
    <w:pPr>
      <w:snapToGrid w:val="0"/>
      <w:spacing w:line="360" w:lineRule="auto"/>
      <w:ind w:left="100" w:leftChars="1400" w:firstLine="200" w:firstLineChars="200"/>
      <w:jc w:val="left"/>
    </w:pPr>
    <w:rPr>
      <w:rFonts w:ascii="Arial" w:hAnsi="Arial" w:eastAsia="楷体_GB2312" w:cs="Arial"/>
      <w:szCs w:val="24"/>
    </w:rPr>
  </w:style>
  <w:style w:type="paragraph" w:styleId="25">
    <w:name w:val="Document Map"/>
    <w:basedOn w:val="1"/>
    <w:link w:val="117"/>
    <w:uiPriority w:val="0"/>
    <w:pPr>
      <w:shd w:val="clear" w:color="auto" w:fill="000080"/>
    </w:pPr>
    <w:rPr>
      <w:shd w:val="clear" w:color="auto" w:fill="000080"/>
    </w:rPr>
  </w:style>
  <w:style w:type="paragraph" w:styleId="26">
    <w:name w:val="toa heading"/>
    <w:basedOn w:val="1"/>
    <w:next w:val="1"/>
    <w:uiPriority w:val="0"/>
    <w:pPr>
      <w:autoSpaceDE w:val="0"/>
      <w:autoSpaceDN w:val="0"/>
      <w:adjustRightInd w:val="0"/>
      <w:snapToGrid w:val="0"/>
      <w:spacing w:before="120" w:beforeLines="0" w:line="360" w:lineRule="auto"/>
    </w:pPr>
    <w:rPr>
      <w:rFonts w:ascii="Arial" w:hAnsi="Arial"/>
      <w:snapToGrid w:val="0"/>
      <w:color w:val="000000"/>
      <w:kern w:val="0"/>
      <w:sz w:val="21"/>
    </w:rPr>
  </w:style>
  <w:style w:type="paragraph" w:styleId="27">
    <w:name w:val="annotation text"/>
    <w:basedOn w:val="1"/>
    <w:link w:val="185"/>
    <w:uiPriority w:val="0"/>
    <w:pPr>
      <w:jc w:val="left"/>
    </w:pPr>
  </w:style>
  <w:style w:type="paragraph" w:styleId="28">
    <w:name w:val="Salutation"/>
    <w:basedOn w:val="1"/>
    <w:next w:val="1"/>
    <w:link w:val="172"/>
    <w:uiPriority w:val="0"/>
    <w:pPr>
      <w:spacing w:line="360" w:lineRule="auto"/>
      <w:ind w:firstLine="200" w:firstLineChars="200"/>
      <w:jc w:val="left"/>
    </w:pPr>
    <w:rPr>
      <w:rFonts w:ascii="Arial" w:hAnsi="Arial" w:eastAsia="楷体_GB2312"/>
      <w:sz w:val="28"/>
      <w:szCs w:val="24"/>
    </w:rPr>
  </w:style>
  <w:style w:type="paragraph" w:styleId="29">
    <w:name w:val="Body Text 3"/>
    <w:basedOn w:val="1"/>
    <w:link w:val="156"/>
    <w:uiPriority w:val="0"/>
    <w:pPr>
      <w:spacing w:after="120" w:afterLines="0"/>
    </w:pPr>
    <w:rPr>
      <w:sz w:val="16"/>
      <w:szCs w:val="16"/>
    </w:rPr>
  </w:style>
  <w:style w:type="paragraph" w:styleId="30">
    <w:name w:val="Closing"/>
    <w:basedOn w:val="1"/>
    <w:link w:val="158"/>
    <w:uiPriority w:val="0"/>
    <w:pPr>
      <w:spacing w:line="360" w:lineRule="auto"/>
      <w:ind w:left="100" w:leftChars="2100" w:firstLine="200" w:firstLineChars="200"/>
      <w:jc w:val="left"/>
    </w:pPr>
    <w:rPr>
      <w:rFonts w:ascii="Arial" w:hAnsi="Arial" w:eastAsia="楷体_GB2312"/>
      <w:sz w:val="28"/>
      <w:szCs w:val="24"/>
    </w:rPr>
  </w:style>
  <w:style w:type="paragraph" w:styleId="31">
    <w:name w:val="List Bullet 3"/>
    <w:basedOn w:val="1"/>
    <w:uiPriority w:val="0"/>
    <w:pPr>
      <w:tabs>
        <w:tab w:val="left" w:pos="1200"/>
      </w:tabs>
      <w:spacing w:line="360" w:lineRule="auto"/>
      <w:ind w:left="1200" w:leftChars="400" w:hanging="360"/>
      <w:jc w:val="left"/>
    </w:pPr>
    <w:rPr>
      <w:rFonts w:ascii="Arial" w:hAnsi="Arial" w:eastAsia="楷体_GB2312" w:cs="Arial"/>
      <w:sz w:val="28"/>
      <w:szCs w:val="24"/>
    </w:rPr>
  </w:style>
  <w:style w:type="paragraph" w:styleId="32">
    <w:name w:val="Body Text"/>
    <w:basedOn w:val="1"/>
    <w:link w:val="88"/>
    <w:uiPriority w:val="0"/>
    <w:pPr>
      <w:autoSpaceDE w:val="0"/>
      <w:autoSpaceDN w:val="0"/>
      <w:adjustRightInd w:val="0"/>
      <w:spacing w:line="480" w:lineRule="auto"/>
      <w:jc w:val="left"/>
    </w:pPr>
  </w:style>
  <w:style w:type="paragraph" w:styleId="33">
    <w:name w:val="Body Text Indent"/>
    <w:basedOn w:val="1"/>
    <w:link w:val="129"/>
    <w:uiPriority w:val="0"/>
    <w:pPr>
      <w:spacing w:after="120" w:afterLines="0"/>
      <w:ind w:left="420" w:leftChars="200"/>
    </w:pPr>
  </w:style>
  <w:style w:type="paragraph" w:styleId="34">
    <w:name w:val="List Number 3"/>
    <w:basedOn w:val="1"/>
    <w:uiPriority w:val="0"/>
    <w:pPr>
      <w:tabs>
        <w:tab w:val="left" w:pos="1200"/>
      </w:tabs>
      <w:ind w:left="1200" w:hanging="360"/>
    </w:pPr>
    <w:rPr>
      <w:sz w:val="21"/>
      <w:szCs w:val="24"/>
    </w:rPr>
  </w:style>
  <w:style w:type="paragraph" w:styleId="35">
    <w:name w:val="List 2"/>
    <w:basedOn w:val="1"/>
    <w:uiPriority w:val="0"/>
    <w:pPr>
      <w:ind w:left="100" w:leftChars="200" w:hanging="200" w:hangingChars="200"/>
    </w:pPr>
    <w:rPr>
      <w:sz w:val="21"/>
      <w:szCs w:val="24"/>
    </w:rPr>
  </w:style>
  <w:style w:type="paragraph" w:styleId="36">
    <w:name w:val="List Continue"/>
    <w:basedOn w:val="1"/>
    <w:uiPriority w:val="0"/>
    <w:pPr>
      <w:spacing w:after="120" w:afterLines="0"/>
      <w:ind w:left="420" w:leftChars="200"/>
    </w:pPr>
    <w:rPr>
      <w:sz w:val="21"/>
      <w:szCs w:val="24"/>
    </w:rPr>
  </w:style>
  <w:style w:type="paragraph" w:styleId="37">
    <w:name w:val="Block Text"/>
    <w:basedOn w:val="1"/>
    <w:uiPriority w:val="0"/>
    <w:pPr>
      <w:ind w:left="718" w:leftChars="342" w:right="373" w:firstLine="560" w:firstLineChars="200"/>
    </w:pPr>
    <w:rPr>
      <w:rFonts w:ascii="新宋体" w:eastAsia="新宋体"/>
      <w:color w:val="000000"/>
      <w:sz w:val="28"/>
      <w:szCs w:val="21"/>
      <w:lang w:val="zh-CN"/>
    </w:rPr>
  </w:style>
  <w:style w:type="paragraph" w:styleId="38">
    <w:name w:val="List Bullet 2"/>
    <w:basedOn w:val="1"/>
    <w:uiPriority w:val="0"/>
    <w:pPr>
      <w:tabs>
        <w:tab w:val="left" w:pos="840"/>
      </w:tabs>
      <w:adjustRightInd w:val="0"/>
      <w:spacing w:line="312" w:lineRule="atLeast"/>
      <w:ind w:left="1350" w:hanging="510"/>
      <w:textAlignment w:val="baseline"/>
    </w:pPr>
    <w:rPr>
      <w:kern w:val="0"/>
      <w:sz w:val="21"/>
    </w:rPr>
  </w:style>
  <w:style w:type="paragraph" w:styleId="39">
    <w:name w:val="HTML Address"/>
    <w:basedOn w:val="1"/>
    <w:link w:val="108"/>
    <w:uiPriority w:val="0"/>
    <w:pPr>
      <w:spacing w:line="360" w:lineRule="auto"/>
      <w:ind w:firstLine="200" w:firstLineChars="200"/>
      <w:jc w:val="left"/>
    </w:pPr>
    <w:rPr>
      <w:rFonts w:ascii="Arial" w:hAnsi="Arial" w:eastAsia="楷体_GB2312"/>
      <w:i/>
      <w:iCs/>
      <w:sz w:val="28"/>
      <w:szCs w:val="24"/>
    </w:rPr>
  </w:style>
  <w:style w:type="paragraph" w:styleId="40">
    <w:name w:val="toc 5"/>
    <w:basedOn w:val="1"/>
    <w:next w:val="1"/>
    <w:uiPriority w:val="0"/>
    <w:pPr>
      <w:ind w:left="960"/>
      <w:jc w:val="left"/>
    </w:pPr>
    <w:rPr>
      <w:sz w:val="18"/>
      <w:szCs w:val="18"/>
    </w:rPr>
  </w:style>
  <w:style w:type="paragraph" w:styleId="41">
    <w:name w:val="toc 3"/>
    <w:basedOn w:val="1"/>
    <w:next w:val="1"/>
    <w:qFormat/>
    <w:uiPriority w:val="39"/>
    <w:pPr>
      <w:ind w:left="480"/>
      <w:jc w:val="left"/>
    </w:pPr>
    <w:rPr>
      <w:i/>
      <w:iCs/>
      <w:sz w:val="20"/>
    </w:rPr>
  </w:style>
  <w:style w:type="paragraph" w:styleId="42">
    <w:name w:val="Plain Text"/>
    <w:basedOn w:val="1"/>
    <w:link w:val="174"/>
    <w:qFormat/>
    <w:uiPriority w:val="0"/>
    <w:rPr>
      <w:rFonts w:ascii="宋体" w:hAnsi="Courier New"/>
      <w:sz w:val="21"/>
    </w:rPr>
  </w:style>
  <w:style w:type="paragraph" w:styleId="43">
    <w:name w:val="List Bullet 5"/>
    <w:basedOn w:val="1"/>
    <w:uiPriority w:val="0"/>
    <w:pPr>
      <w:tabs>
        <w:tab w:val="left" w:pos="840"/>
      </w:tabs>
      <w:adjustRightInd w:val="0"/>
      <w:spacing w:line="312" w:lineRule="atLeast"/>
      <w:ind w:left="1350" w:hanging="510"/>
      <w:textAlignment w:val="baseline"/>
    </w:pPr>
    <w:rPr>
      <w:kern w:val="0"/>
      <w:sz w:val="21"/>
    </w:rPr>
  </w:style>
  <w:style w:type="paragraph" w:styleId="44">
    <w:name w:val="List Number 4"/>
    <w:basedOn w:val="1"/>
    <w:uiPriority w:val="0"/>
    <w:pPr>
      <w:tabs>
        <w:tab w:val="left" w:pos="1620"/>
      </w:tabs>
      <w:spacing w:line="360" w:lineRule="auto"/>
      <w:ind w:left="1620" w:leftChars="600" w:hanging="360"/>
      <w:jc w:val="left"/>
    </w:pPr>
    <w:rPr>
      <w:rFonts w:ascii="Arial" w:hAnsi="Arial" w:eastAsia="楷体_GB2312" w:cs="Arial"/>
      <w:sz w:val="28"/>
      <w:szCs w:val="24"/>
    </w:rPr>
  </w:style>
  <w:style w:type="paragraph" w:styleId="45">
    <w:name w:val="toc 8"/>
    <w:basedOn w:val="1"/>
    <w:next w:val="1"/>
    <w:uiPriority w:val="0"/>
    <w:pPr>
      <w:ind w:left="1680"/>
      <w:jc w:val="left"/>
    </w:pPr>
    <w:rPr>
      <w:sz w:val="18"/>
      <w:szCs w:val="18"/>
    </w:rPr>
  </w:style>
  <w:style w:type="paragraph" w:styleId="46">
    <w:name w:val="Date"/>
    <w:basedOn w:val="1"/>
    <w:next w:val="1"/>
    <w:link w:val="92"/>
    <w:uiPriority w:val="0"/>
    <w:pPr>
      <w:widowControl/>
    </w:pPr>
    <w:rPr>
      <w:rFonts w:ascii="楷体_GB2312" w:eastAsia="楷体_GB2312"/>
      <w:kern w:val="0"/>
      <w:sz w:val="32"/>
    </w:rPr>
  </w:style>
  <w:style w:type="paragraph" w:styleId="47">
    <w:name w:val="Body Text Indent 2"/>
    <w:basedOn w:val="1"/>
    <w:link w:val="168"/>
    <w:uiPriority w:val="0"/>
    <w:pPr>
      <w:spacing w:line="360" w:lineRule="auto"/>
      <w:ind w:left="718" w:firstLine="480" w:firstLineChars="200"/>
    </w:pPr>
    <w:rPr>
      <w:rFonts w:ascii="Arial" w:hAnsi="Arial" w:eastAsia="LineDraw"/>
    </w:rPr>
  </w:style>
  <w:style w:type="paragraph" w:styleId="48">
    <w:name w:val="List Continue 5"/>
    <w:basedOn w:val="1"/>
    <w:uiPriority w:val="0"/>
    <w:pPr>
      <w:spacing w:after="120" w:afterLines="0" w:line="360" w:lineRule="auto"/>
      <w:ind w:left="2100" w:leftChars="1000" w:firstLine="200" w:firstLineChars="200"/>
      <w:jc w:val="left"/>
    </w:pPr>
    <w:rPr>
      <w:rFonts w:ascii="Arial" w:hAnsi="Arial" w:eastAsia="楷体_GB2312" w:cs="Arial"/>
      <w:sz w:val="28"/>
      <w:szCs w:val="24"/>
    </w:rPr>
  </w:style>
  <w:style w:type="paragraph" w:styleId="49">
    <w:name w:val="Balloon Text"/>
    <w:basedOn w:val="1"/>
    <w:link w:val="100"/>
    <w:uiPriority w:val="0"/>
    <w:pPr>
      <w:adjustRightInd w:val="0"/>
      <w:spacing w:before="100" w:beforeLines="0" w:beforeAutospacing="1" w:after="100" w:afterLines="0" w:afterAutospacing="1" w:line="400" w:lineRule="atLeast"/>
      <w:ind w:firstLine="454"/>
      <w:textAlignment w:val="baseline"/>
    </w:pPr>
    <w:rPr>
      <w:sz w:val="18"/>
      <w:szCs w:val="18"/>
    </w:rPr>
  </w:style>
  <w:style w:type="paragraph" w:styleId="50">
    <w:name w:val="footer"/>
    <w:basedOn w:val="1"/>
    <w:link w:val="181"/>
    <w:uiPriority w:val="0"/>
    <w:pPr>
      <w:tabs>
        <w:tab w:val="center" w:pos="4153"/>
        <w:tab w:val="right" w:pos="8306"/>
      </w:tabs>
      <w:snapToGrid w:val="0"/>
      <w:jc w:val="left"/>
    </w:pPr>
    <w:rPr>
      <w:sz w:val="18"/>
    </w:rPr>
  </w:style>
  <w:style w:type="paragraph" w:styleId="51">
    <w:name w:val="envelope return"/>
    <w:basedOn w:val="1"/>
    <w:uiPriority w:val="0"/>
    <w:pPr>
      <w:snapToGrid w:val="0"/>
      <w:spacing w:line="360" w:lineRule="auto"/>
      <w:ind w:firstLine="200" w:firstLineChars="200"/>
      <w:jc w:val="left"/>
    </w:pPr>
    <w:rPr>
      <w:rFonts w:ascii="Arial" w:hAnsi="Arial" w:eastAsia="楷体_GB2312" w:cs="Arial"/>
      <w:sz w:val="28"/>
      <w:szCs w:val="24"/>
    </w:rPr>
  </w:style>
  <w:style w:type="paragraph" w:styleId="52">
    <w:name w:val="header"/>
    <w:basedOn w:val="1"/>
    <w:link w:val="144"/>
    <w:uiPriority w:val="0"/>
    <w:pPr>
      <w:widowControl/>
      <w:pBdr>
        <w:bottom w:val="single" w:color="auto" w:sz="6" w:space="1"/>
      </w:pBdr>
      <w:tabs>
        <w:tab w:val="center" w:pos="4153"/>
        <w:tab w:val="right" w:pos="8306"/>
      </w:tabs>
      <w:snapToGrid w:val="0"/>
      <w:jc w:val="center"/>
    </w:pPr>
    <w:rPr>
      <w:kern w:val="0"/>
      <w:sz w:val="18"/>
    </w:rPr>
  </w:style>
  <w:style w:type="paragraph" w:styleId="53">
    <w:name w:val="Signature"/>
    <w:basedOn w:val="1"/>
    <w:link w:val="133"/>
    <w:uiPriority w:val="0"/>
    <w:pPr>
      <w:ind w:left="100" w:leftChars="2100"/>
    </w:pPr>
    <w:rPr>
      <w:sz w:val="21"/>
      <w:szCs w:val="24"/>
    </w:rPr>
  </w:style>
  <w:style w:type="paragraph" w:styleId="54">
    <w:name w:val="toc 1"/>
    <w:basedOn w:val="1"/>
    <w:next w:val="1"/>
    <w:qFormat/>
    <w:uiPriority w:val="39"/>
    <w:pPr>
      <w:spacing w:before="120" w:beforeLines="0" w:after="120" w:afterLines="0"/>
      <w:jc w:val="left"/>
    </w:pPr>
    <w:rPr>
      <w:b/>
      <w:bCs/>
      <w:caps/>
      <w:sz w:val="20"/>
    </w:rPr>
  </w:style>
  <w:style w:type="paragraph" w:styleId="55">
    <w:name w:val="List Continue 4"/>
    <w:basedOn w:val="1"/>
    <w:uiPriority w:val="0"/>
    <w:pPr>
      <w:spacing w:after="120" w:afterLines="0"/>
      <w:ind w:left="1680" w:leftChars="800"/>
    </w:pPr>
    <w:rPr>
      <w:sz w:val="21"/>
      <w:szCs w:val="24"/>
    </w:rPr>
  </w:style>
  <w:style w:type="paragraph" w:styleId="56">
    <w:name w:val="toc 4"/>
    <w:basedOn w:val="1"/>
    <w:next w:val="1"/>
    <w:uiPriority w:val="0"/>
    <w:pPr>
      <w:ind w:left="720"/>
      <w:jc w:val="left"/>
    </w:pPr>
    <w:rPr>
      <w:sz w:val="18"/>
      <w:szCs w:val="18"/>
    </w:rPr>
  </w:style>
  <w:style w:type="paragraph" w:styleId="57">
    <w:name w:val="index heading"/>
    <w:basedOn w:val="1"/>
    <w:next w:val="58"/>
    <w:uiPriority w:val="0"/>
    <w:pPr>
      <w:spacing w:after="120" w:afterLines="0" w:line="360" w:lineRule="exact"/>
    </w:pPr>
    <w:rPr>
      <w:sz w:val="21"/>
    </w:rPr>
  </w:style>
  <w:style w:type="paragraph" w:styleId="58">
    <w:name w:val="index 1"/>
    <w:basedOn w:val="1"/>
    <w:next w:val="1"/>
    <w:uiPriority w:val="0"/>
  </w:style>
  <w:style w:type="paragraph" w:styleId="59">
    <w:name w:val="Subtitle"/>
    <w:basedOn w:val="1"/>
    <w:link w:val="118"/>
    <w:qFormat/>
    <w:uiPriority w:val="0"/>
    <w:pPr>
      <w:adjustRightInd w:val="0"/>
      <w:spacing w:after="60" w:afterLines="0" w:line="360" w:lineRule="atLeast"/>
      <w:jc w:val="center"/>
      <w:textAlignment w:val="baseline"/>
    </w:pPr>
    <w:rPr>
      <w:rFonts w:ascii="Arial" w:hAnsi="Arial" w:eastAsia="黑体"/>
      <w:i/>
      <w:kern w:val="0"/>
    </w:rPr>
  </w:style>
  <w:style w:type="paragraph" w:styleId="60">
    <w:name w:val="List Number 5"/>
    <w:basedOn w:val="1"/>
    <w:uiPriority w:val="0"/>
    <w:pPr>
      <w:tabs>
        <w:tab w:val="left" w:pos="2040"/>
      </w:tabs>
      <w:spacing w:line="360" w:lineRule="auto"/>
      <w:ind w:left="2040" w:leftChars="800" w:hanging="360" w:hangingChars="200"/>
      <w:jc w:val="left"/>
    </w:pPr>
    <w:rPr>
      <w:rFonts w:ascii="Arial" w:hAnsi="Arial" w:eastAsia="楷体_GB2312" w:cs="Arial"/>
      <w:sz w:val="28"/>
      <w:szCs w:val="24"/>
    </w:rPr>
  </w:style>
  <w:style w:type="paragraph" w:styleId="61">
    <w:name w:val="List"/>
    <w:basedOn w:val="1"/>
    <w:uiPriority w:val="0"/>
    <w:pPr>
      <w:ind w:left="200" w:hanging="200" w:hangingChars="200"/>
    </w:pPr>
    <w:rPr>
      <w:sz w:val="21"/>
      <w:szCs w:val="24"/>
    </w:rPr>
  </w:style>
  <w:style w:type="paragraph" w:styleId="62">
    <w:name w:val="toc 6"/>
    <w:basedOn w:val="1"/>
    <w:next w:val="1"/>
    <w:uiPriority w:val="0"/>
    <w:pPr>
      <w:ind w:left="1200"/>
      <w:jc w:val="left"/>
    </w:pPr>
    <w:rPr>
      <w:sz w:val="18"/>
      <w:szCs w:val="18"/>
    </w:rPr>
  </w:style>
  <w:style w:type="paragraph" w:styleId="63">
    <w:name w:val="List 5"/>
    <w:basedOn w:val="1"/>
    <w:uiPriority w:val="0"/>
    <w:pPr>
      <w:spacing w:line="360" w:lineRule="auto"/>
      <w:ind w:left="100" w:leftChars="800" w:hanging="200" w:hangingChars="200"/>
      <w:jc w:val="left"/>
    </w:pPr>
    <w:rPr>
      <w:rFonts w:ascii="Arial" w:hAnsi="Arial" w:eastAsia="楷体_GB2312" w:cs="Arial"/>
      <w:sz w:val="28"/>
      <w:szCs w:val="24"/>
    </w:rPr>
  </w:style>
  <w:style w:type="paragraph" w:styleId="64">
    <w:name w:val="Body Text Indent 3"/>
    <w:basedOn w:val="1"/>
    <w:link w:val="131"/>
    <w:uiPriority w:val="0"/>
    <w:pPr>
      <w:spacing w:line="360" w:lineRule="auto"/>
      <w:ind w:firstLine="480"/>
    </w:pPr>
    <w:rPr>
      <w:sz w:val="16"/>
      <w:szCs w:val="16"/>
    </w:rPr>
  </w:style>
  <w:style w:type="paragraph" w:styleId="65">
    <w:name w:val="table of figures"/>
    <w:basedOn w:val="1"/>
    <w:next w:val="1"/>
    <w:uiPriority w:val="0"/>
    <w:pPr>
      <w:ind w:left="420" w:hanging="420"/>
      <w:jc w:val="left"/>
    </w:pPr>
    <w:rPr>
      <w:smallCaps/>
      <w:sz w:val="20"/>
    </w:rPr>
  </w:style>
  <w:style w:type="paragraph" w:styleId="66">
    <w:name w:val="toc 2"/>
    <w:basedOn w:val="1"/>
    <w:next w:val="1"/>
    <w:qFormat/>
    <w:uiPriority w:val="39"/>
    <w:pPr>
      <w:ind w:left="240"/>
      <w:jc w:val="left"/>
    </w:pPr>
    <w:rPr>
      <w:smallCaps/>
      <w:sz w:val="20"/>
    </w:rPr>
  </w:style>
  <w:style w:type="paragraph" w:styleId="67">
    <w:name w:val="toc 9"/>
    <w:basedOn w:val="32"/>
    <w:next w:val="1"/>
    <w:uiPriority w:val="0"/>
    <w:pPr>
      <w:autoSpaceDE/>
      <w:autoSpaceDN/>
      <w:adjustRightInd/>
      <w:spacing w:line="240" w:lineRule="auto"/>
      <w:ind w:left="1920"/>
    </w:pPr>
    <w:rPr>
      <w:rFonts w:ascii="Times New Roman"/>
      <w:color w:val="auto"/>
      <w:sz w:val="18"/>
      <w:szCs w:val="18"/>
    </w:rPr>
  </w:style>
  <w:style w:type="paragraph" w:styleId="68">
    <w:name w:val="Body Text 2"/>
    <w:basedOn w:val="1"/>
    <w:link w:val="179"/>
    <w:uiPriority w:val="0"/>
    <w:pPr>
      <w:spacing w:after="120" w:afterLines="0" w:line="480" w:lineRule="auto"/>
    </w:pPr>
    <w:rPr>
      <w:sz w:val="21"/>
    </w:rPr>
  </w:style>
  <w:style w:type="paragraph" w:styleId="69">
    <w:name w:val="List 4"/>
    <w:basedOn w:val="1"/>
    <w:uiPriority w:val="0"/>
    <w:pPr>
      <w:ind w:left="100" w:leftChars="600" w:hanging="200" w:hangingChars="200"/>
    </w:pPr>
    <w:rPr>
      <w:sz w:val="21"/>
      <w:szCs w:val="24"/>
    </w:rPr>
  </w:style>
  <w:style w:type="paragraph" w:styleId="70">
    <w:name w:val="List Continue 2"/>
    <w:basedOn w:val="1"/>
    <w:uiPriority w:val="0"/>
    <w:pPr>
      <w:spacing w:after="120" w:afterLines="0"/>
      <w:ind w:left="840" w:leftChars="400"/>
    </w:pPr>
    <w:rPr>
      <w:sz w:val="21"/>
      <w:szCs w:val="24"/>
    </w:rPr>
  </w:style>
  <w:style w:type="paragraph" w:styleId="71">
    <w:name w:val="Message Header"/>
    <w:basedOn w:val="1"/>
    <w:link w:val="91"/>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Arial" w:hAnsi="Arial" w:eastAsia="楷体_GB2312"/>
      <w:szCs w:val="24"/>
      <w:shd w:val="pct20" w:color="auto" w:fill="auto"/>
    </w:rPr>
  </w:style>
  <w:style w:type="paragraph" w:styleId="72">
    <w:name w:val="HTML Preformatted"/>
    <w:basedOn w:val="1"/>
    <w:link w:val="126"/>
    <w:uiPriority w:val="0"/>
    <w:pPr>
      <w:spacing w:line="360" w:lineRule="auto"/>
      <w:ind w:firstLine="200" w:firstLineChars="200"/>
      <w:jc w:val="left"/>
    </w:pPr>
    <w:rPr>
      <w:rFonts w:ascii="Courier New" w:hAnsi="Courier New" w:eastAsia="楷体_GB2312"/>
      <w:sz w:val="20"/>
    </w:rPr>
  </w:style>
  <w:style w:type="paragraph" w:styleId="73">
    <w:name w:val="Normal (Web)"/>
    <w:basedOn w:val="1"/>
    <w:uiPriority w:val="0"/>
    <w:pPr>
      <w:widowControl/>
      <w:spacing w:before="100" w:beforeLines="0" w:beforeAutospacing="1" w:after="100" w:afterLines="0" w:afterAutospacing="1"/>
      <w:jc w:val="left"/>
    </w:pPr>
    <w:rPr>
      <w:rFonts w:ascii="宋体" w:hAnsi="宋体"/>
      <w:kern w:val="0"/>
      <w:sz w:val="22"/>
    </w:rPr>
  </w:style>
  <w:style w:type="paragraph" w:styleId="74">
    <w:name w:val="List Continue 3"/>
    <w:basedOn w:val="1"/>
    <w:uiPriority w:val="0"/>
    <w:pPr>
      <w:spacing w:after="120" w:afterLines="0"/>
      <w:ind w:left="1260" w:leftChars="600"/>
    </w:pPr>
    <w:rPr>
      <w:sz w:val="21"/>
      <w:szCs w:val="24"/>
    </w:rPr>
  </w:style>
  <w:style w:type="paragraph" w:styleId="75">
    <w:name w:val="Title"/>
    <w:basedOn w:val="1"/>
    <w:link w:val="87"/>
    <w:qFormat/>
    <w:uiPriority w:val="0"/>
    <w:pPr>
      <w:spacing w:before="240" w:beforeLines="0" w:after="60" w:afterLines="0" w:line="360" w:lineRule="auto"/>
      <w:ind w:firstLine="200" w:firstLineChars="200"/>
      <w:jc w:val="center"/>
      <w:outlineLvl w:val="0"/>
    </w:pPr>
    <w:rPr>
      <w:rFonts w:ascii="Arial" w:hAnsi="Arial" w:eastAsia="楷体_GB2312"/>
      <w:b/>
      <w:bCs/>
      <w:sz w:val="32"/>
      <w:szCs w:val="32"/>
    </w:rPr>
  </w:style>
  <w:style w:type="paragraph" w:styleId="76">
    <w:name w:val="annotation subject"/>
    <w:basedOn w:val="27"/>
    <w:next w:val="27"/>
    <w:link w:val="146"/>
    <w:uiPriority w:val="0"/>
    <w:rPr>
      <w:b/>
    </w:rPr>
  </w:style>
  <w:style w:type="paragraph" w:styleId="77">
    <w:name w:val="Body Text First Indent 2"/>
    <w:basedOn w:val="33"/>
    <w:link w:val="176"/>
    <w:uiPriority w:val="0"/>
    <w:pPr>
      <w:ind w:firstLine="420" w:firstLineChars="200"/>
    </w:pPr>
  </w:style>
  <w:style w:type="table" w:styleId="79">
    <w:name w:val="Table Grid"/>
    <w:basedOn w:val="78"/>
    <w:qFormat/>
    <w:uiPriority w:val="39"/>
    <w:tblPr>
      <w:tblStyle w:val="7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1">
    <w:name w:val="Strong"/>
    <w:qFormat/>
    <w:uiPriority w:val="0"/>
    <w:rPr>
      <w:b/>
      <w:bCs/>
    </w:rPr>
  </w:style>
  <w:style w:type="character" w:styleId="82">
    <w:name w:val="page number"/>
    <w:basedOn w:val="80"/>
    <w:uiPriority w:val="0"/>
  </w:style>
  <w:style w:type="character" w:styleId="83">
    <w:name w:val="FollowedHyperlink"/>
    <w:uiPriority w:val="0"/>
    <w:rPr>
      <w:color w:val="800080"/>
      <w:u w:val="single"/>
    </w:rPr>
  </w:style>
  <w:style w:type="character" w:styleId="84">
    <w:name w:val="line number"/>
    <w:basedOn w:val="80"/>
    <w:uiPriority w:val="0"/>
  </w:style>
  <w:style w:type="character" w:styleId="85">
    <w:name w:val="Hyperlink"/>
    <w:uiPriority w:val="99"/>
    <w:rPr>
      <w:color w:val="0000FF"/>
      <w:u w:val="single"/>
    </w:rPr>
  </w:style>
  <w:style w:type="character" w:styleId="86">
    <w:name w:val="annotation reference"/>
    <w:uiPriority w:val="0"/>
    <w:rPr>
      <w:sz w:val="21"/>
    </w:rPr>
  </w:style>
  <w:style w:type="character" w:customStyle="1" w:styleId="87">
    <w:name w:val=" Char Char16"/>
    <w:link w:val="75"/>
    <w:uiPriority w:val="0"/>
    <w:rPr>
      <w:rFonts w:ascii="Arial" w:hAnsi="Arial" w:eastAsia="楷体_GB2312" w:cs="Arial"/>
      <w:b/>
      <w:bCs/>
      <w:kern w:val="2"/>
      <w:sz w:val="32"/>
      <w:szCs w:val="32"/>
    </w:rPr>
  </w:style>
  <w:style w:type="character" w:customStyle="1" w:styleId="88">
    <w:name w:val=" Char Char6"/>
    <w:link w:val="32"/>
    <w:uiPriority w:val="0"/>
    <w:rPr>
      <w:rFonts w:ascii="宋体"/>
      <w:color w:val="FF0000"/>
      <w:sz w:val="24"/>
    </w:rPr>
  </w:style>
  <w:style w:type="character" w:customStyle="1" w:styleId="89">
    <w:name w:val="页脚 Char1"/>
    <w:uiPriority w:val="0"/>
    <w:rPr>
      <w:kern w:val="2"/>
      <w:sz w:val="18"/>
      <w:szCs w:val="18"/>
    </w:rPr>
  </w:style>
  <w:style w:type="character" w:customStyle="1" w:styleId="90">
    <w:name w:val="tx1"/>
    <w:uiPriority w:val="0"/>
    <w:rPr>
      <w:b/>
    </w:rPr>
  </w:style>
  <w:style w:type="character" w:customStyle="1" w:styleId="91">
    <w:name w:val=" Char Char21"/>
    <w:link w:val="71"/>
    <w:uiPriority w:val="0"/>
    <w:rPr>
      <w:rFonts w:ascii="Arial" w:hAnsi="Arial" w:eastAsia="楷体_GB2312" w:cs="Arial"/>
      <w:kern w:val="2"/>
      <w:sz w:val="24"/>
      <w:szCs w:val="24"/>
      <w:shd w:val="pct20" w:color="auto" w:fill="auto"/>
    </w:rPr>
  </w:style>
  <w:style w:type="character" w:customStyle="1" w:styleId="92">
    <w:name w:val=" Char Char12"/>
    <w:link w:val="46"/>
    <w:uiPriority w:val="0"/>
    <w:rPr>
      <w:rFonts w:ascii="楷体_GB2312" w:eastAsia="楷体_GB2312"/>
      <w:sz w:val="32"/>
    </w:rPr>
  </w:style>
  <w:style w:type="character" w:customStyle="1" w:styleId="93">
    <w:name w:val="日期 Char1"/>
    <w:uiPriority w:val="0"/>
    <w:rPr>
      <w:kern w:val="2"/>
      <w:sz w:val="24"/>
    </w:rPr>
  </w:style>
  <w:style w:type="character" w:customStyle="1" w:styleId="94">
    <w:name w:val="标号 Char"/>
    <w:link w:val="95"/>
    <w:qFormat/>
    <w:uiPriority w:val="0"/>
    <w:rPr>
      <w:kern w:val="2"/>
      <w:sz w:val="24"/>
      <w:szCs w:val="28"/>
    </w:rPr>
  </w:style>
  <w:style w:type="paragraph" w:customStyle="1" w:styleId="95">
    <w:name w:val="标号"/>
    <w:link w:val="94"/>
    <w:qFormat/>
    <w:uiPriority w:val="0"/>
    <w:pPr>
      <w:tabs>
        <w:tab w:val="left" w:pos="360"/>
      </w:tabs>
      <w:spacing w:line="360" w:lineRule="auto"/>
      <w:ind w:left="360" w:hanging="360"/>
      <w:jc w:val="both"/>
    </w:pPr>
    <w:rPr>
      <w:kern w:val="2"/>
      <w:sz w:val="24"/>
      <w:szCs w:val="28"/>
      <w:lang w:val="en-US" w:eastAsia="zh-CN" w:bidi="ar-SA"/>
    </w:rPr>
  </w:style>
  <w:style w:type="character" w:customStyle="1" w:styleId="96">
    <w:name w:val="b1"/>
    <w:uiPriority w:val="0"/>
    <w:rPr>
      <w:rFonts w:hint="default" w:ascii="Courier New" w:hAnsi="Courier New"/>
      <w:b/>
      <w:color w:val="FF0000"/>
      <w:u w:val="none"/>
    </w:rPr>
  </w:style>
  <w:style w:type="character" w:customStyle="1" w:styleId="97">
    <w:name w:val="pi1"/>
    <w:uiPriority w:val="0"/>
    <w:rPr>
      <w:color w:val="0000FF"/>
    </w:rPr>
  </w:style>
  <w:style w:type="character" w:customStyle="1" w:styleId="98">
    <w:name w:val="文章标题 3 Char Char Char"/>
    <w:link w:val="99"/>
    <w:uiPriority w:val="0"/>
    <w:rPr>
      <w:rFonts w:ascii="Arial" w:hAnsi="Arial" w:eastAsia="黑体"/>
      <w:kern w:val="2"/>
      <w:sz w:val="28"/>
    </w:rPr>
  </w:style>
  <w:style w:type="paragraph" w:customStyle="1" w:styleId="99">
    <w:name w:val="文章标题 3 Char"/>
    <w:basedOn w:val="4"/>
    <w:next w:val="1"/>
    <w:link w:val="98"/>
    <w:uiPriority w:val="0"/>
    <w:pPr>
      <w:tabs>
        <w:tab w:val="left" w:pos="778"/>
      </w:tabs>
      <w:spacing w:line="413" w:lineRule="auto"/>
      <w:ind w:left="-7" w:firstLine="567"/>
    </w:pPr>
    <w:rPr>
      <w:rFonts w:ascii="Arial" w:hAnsi="Arial" w:eastAsia="黑体"/>
      <w:b w:val="0"/>
      <w:sz w:val="28"/>
    </w:rPr>
  </w:style>
  <w:style w:type="character" w:customStyle="1" w:styleId="100">
    <w:name w:val=" Char Char13"/>
    <w:link w:val="49"/>
    <w:uiPriority w:val="0"/>
    <w:rPr>
      <w:sz w:val="18"/>
    </w:rPr>
  </w:style>
  <w:style w:type="character" w:customStyle="1" w:styleId="101">
    <w:name w:val="正文首行缩进2字符 Char"/>
    <w:link w:val="102"/>
    <w:qFormat/>
    <w:uiPriority w:val="99"/>
    <w:rPr>
      <w:kern w:val="2"/>
      <w:sz w:val="24"/>
    </w:rPr>
  </w:style>
  <w:style w:type="paragraph" w:customStyle="1" w:styleId="102">
    <w:name w:val="正文首行缩进2字符"/>
    <w:basedOn w:val="1"/>
    <w:link w:val="101"/>
    <w:qFormat/>
    <w:uiPriority w:val="99"/>
    <w:pPr>
      <w:spacing w:line="360" w:lineRule="auto"/>
      <w:ind w:firstLine="200" w:firstLineChars="200"/>
    </w:pPr>
  </w:style>
  <w:style w:type="character" w:customStyle="1" w:styleId="103">
    <w:name w:val="textfont1"/>
    <w:uiPriority w:val="0"/>
    <w:rPr>
      <w:spacing w:val="31680"/>
      <w:sz w:val="26"/>
    </w:rPr>
  </w:style>
  <w:style w:type="character" w:customStyle="1" w:styleId="104">
    <w:name w:val="表格内容 字符"/>
    <w:link w:val="105"/>
    <w:uiPriority w:val="0"/>
    <w:rPr>
      <w:rFonts w:ascii="仿宋" w:hAnsi="仿宋" w:eastAsia="仿宋"/>
      <w:kern w:val="2"/>
      <w:sz w:val="24"/>
    </w:rPr>
  </w:style>
  <w:style w:type="paragraph" w:customStyle="1" w:styleId="105">
    <w:name w:val="表格内容"/>
    <w:next w:val="102"/>
    <w:link w:val="104"/>
    <w:qFormat/>
    <w:uiPriority w:val="0"/>
    <w:pPr>
      <w:jc w:val="center"/>
    </w:pPr>
    <w:rPr>
      <w:rFonts w:ascii="仿宋" w:hAnsi="仿宋" w:eastAsia="仿宋"/>
      <w:kern w:val="2"/>
      <w:sz w:val="24"/>
      <w:lang w:val="en-US" w:eastAsia="zh-CN" w:bidi="ar-SA"/>
    </w:rPr>
  </w:style>
  <w:style w:type="character" w:customStyle="1" w:styleId="106">
    <w:name w:val=" Char Char18"/>
    <w:link w:val="17"/>
    <w:uiPriority w:val="0"/>
    <w:rPr>
      <w:rFonts w:ascii="Arial" w:hAnsi="Arial" w:eastAsia="楷体_GB2312" w:cs="Arial"/>
      <w:kern w:val="2"/>
      <w:sz w:val="28"/>
      <w:szCs w:val="24"/>
    </w:rPr>
  </w:style>
  <w:style w:type="character" w:customStyle="1" w:styleId="107">
    <w:name w:val="m1"/>
    <w:uiPriority w:val="0"/>
    <w:rPr>
      <w:color w:val="0000FF"/>
    </w:rPr>
  </w:style>
  <w:style w:type="character" w:customStyle="1" w:styleId="108">
    <w:name w:val=" Char Char3"/>
    <w:link w:val="39"/>
    <w:uiPriority w:val="0"/>
    <w:rPr>
      <w:rFonts w:ascii="Arial" w:hAnsi="Arial" w:eastAsia="楷体_GB2312" w:cs="Arial"/>
      <w:i/>
      <w:iCs/>
      <w:kern w:val="2"/>
      <w:sz w:val="28"/>
      <w:szCs w:val="24"/>
    </w:rPr>
  </w:style>
  <w:style w:type="character" w:customStyle="1" w:styleId="109">
    <w:name w:val="样式 标题 4 + 小四 Char Char"/>
    <w:link w:val="110"/>
    <w:uiPriority w:val="0"/>
    <w:rPr>
      <w:rFonts w:ascii="Arial" w:hAnsi="Arial" w:eastAsia="楷体_GB2312" w:cs="Arial"/>
      <w:b/>
      <w:bCs/>
      <w:kern w:val="2"/>
      <w:sz w:val="24"/>
      <w:szCs w:val="28"/>
    </w:rPr>
  </w:style>
  <w:style w:type="paragraph" w:customStyle="1" w:styleId="110">
    <w:name w:val="样式 标题 4 + 小四"/>
    <w:basedOn w:val="6"/>
    <w:link w:val="109"/>
    <w:uiPriority w:val="0"/>
    <w:pPr>
      <w:widowControl w:val="0"/>
      <w:tabs>
        <w:tab w:val="left" w:pos="1919"/>
      </w:tabs>
      <w:spacing w:line="377" w:lineRule="auto"/>
      <w:ind w:left="1547" w:hanging="708"/>
      <w:jc w:val="both"/>
    </w:pPr>
    <w:rPr>
      <w:rFonts w:eastAsia="楷体_GB2312"/>
      <w:bCs/>
      <w:sz w:val="24"/>
      <w:szCs w:val="28"/>
    </w:rPr>
  </w:style>
  <w:style w:type="character" w:customStyle="1" w:styleId="111">
    <w:name w:val=" Char Char32"/>
    <w:link w:val="10"/>
    <w:uiPriority w:val="0"/>
    <w:rPr>
      <w:rFonts w:ascii="Arial" w:hAnsi="Arial" w:eastAsia="黑体"/>
      <w:kern w:val="2"/>
      <w:sz w:val="24"/>
    </w:rPr>
  </w:style>
  <w:style w:type="character" w:customStyle="1" w:styleId="112">
    <w:name w:val="unnamed51"/>
    <w:uiPriority w:val="0"/>
    <w:rPr>
      <w:rFonts w:hint="eastAsia" w:ascii="宋体" w:hAnsi="宋体" w:eastAsia="宋体"/>
      <w:color w:val="000000"/>
      <w:sz w:val="18"/>
    </w:rPr>
  </w:style>
  <w:style w:type="character" w:customStyle="1" w:styleId="113">
    <w:name w:val=" Char Char34"/>
    <w:link w:val="6"/>
    <w:uiPriority w:val="0"/>
    <w:rPr>
      <w:rFonts w:ascii="Arial" w:hAnsi="Arial" w:eastAsia="黑体"/>
      <w:b/>
      <w:kern w:val="2"/>
      <w:sz w:val="28"/>
      <w:lang w:val="en-US" w:eastAsia="zh-CN"/>
    </w:rPr>
  </w:style>
  <w:style w:type="character" w:customStyle="1" w:styleId="114">
    <w:name w:val="ptb181"/>
    <w:uiPriority w:val="0"/>
    <w:rPr>
      <w:rFonts w:ascii="Verdana" w:hAnsi="Verdana"/>
      <w:b/>
      <w:color w:val="000000"/>
      <w:sz w:val="27"/>
    </w:rPr>
  </w:style>
  <w:style w:type="character" w:customStyle="1" w:styleId="115">
    <w:name w:val=" Char Char30"/>
    <w:link w:val="12"/>
    <w:uiPriority w:val="0"/>
    <w:rPr>
      <w:rFonts w:ascii="Arial" w:hAnsi="Arial" w:eastAsia="黑体"/>
      <w:kern w:val="2"/>
      <w:sz w:val="24"/>
    </w:rPr>
  </w:style>
  <w:style w:type="character" w:customStyle="1" w:styleId="116">
    <w:name w:val="正文缩进1 Char"/>
    <w:aliases w:val="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标题4 Char"/>
    <w:uiPriority w:val="0"/>
    <w:rPr>
      <w:rFonts w:eastAsia="宋体"/>
      <w:kern w:val="2"/>
      <w:sz w:val="21"/>
      <w:lang w:val="en-US" w:eastAsia="zh-CN"/>
    </w:rPr>
  </w:style>
  <w:style w:type="character" w:customStyle="1" w:styleId="117">
    <w:name w:val=" Char Char25"/>
    <w:link w:val="25"/>
    <w:uiPriority w:val="0"/>
    <w:rPr>
      <w:kern w:val="2"/>
      <w:sz w:val="24"/>
      <w:shd w:val="clear" w:color="auto" w:fill="000080"/>
    </w:rPr>
  </w:style>
  <w:style w:type="character" w:customStyle="1" w:styleId="118">
    <w:name w:val=" Char Char2"/>
    <w:link w:val="59"/>
    <w:uiPriority w:val="0"/>
    <w:rPr>
      <w:rFonts w:ascii="Arial" w:hAnsi="Arial" w:eastAsia="黑体"/>
      <w:i/>
      <w:sz w:val="24"/>
    </w:rPr>
  </w:style>
  <w:style w:type="character" w:customStyle="1" w:styleId="119">
    <w:name w:val=" Char Char36"/>
    <w:link w:val="3"/>
    <w:uiPriority w:val="0"/>
    <w:rPr>
      <w:rFonts w:ascii="Arial" w:hAnsi="Arial" w:eastAsia="黑体"/>
      <w:b/>
      <w:kern w:val="2"/>
      <w:sz w:val="36"/>
    </w:rPr>
  </w:style>
  <w:style w:type="character" w:customStyle="1" w:styleId="120">
    <w:name w:val=" Char Char29"/>
    <w:link w:val="13"/>
    <w:uiPriority w:val="0"/>
    <w:rPr>
      <w:rFonts w:ascii="Arial" w:hAnsi="Arial" w:eastAsia="黑体"/>
      <w:kern w:val="2"/>
      <w:sz w:val="21"/>
    </w:rPr>
  </w:style>
  <w:style w:type="character" w:customStyle="1" w:styleId="121">
    <w:name w:val="标题 4 Char1"/>
    <w:uiPriority w:val="0"/>
    <w:rPr>
      <w:b/>
      <w:kern w:val="2"/>
      <w:sz w:val="28"/>
    </w:rPr>
  </w:style>
  <w:style w:type="character" w:customStyle="1" w:styleId="122">
    <w:name w:val="Char Char1"/>
    <w:uiPriority w:val="0"/>
    <w:rPr>
      <w:kern w:val="2"/>
      <w:sz w:val="21"/>
      <w:szCs w:val="24"/>
    </w:rPr>
  </w:style>
  <w:style w:type="character" w:customStyle="1" w:styleId="123">
    <w:name w:val="首行缩进:  2 字符 Char Char"/>
    <w:link w:val="124"/>
    <w:uiPriority w:val="0"/>
    <w:rPr>
      <w:rFonts w:eastAsia="仿宋_GB2312" w:cs="宋体"/>
      <w:sz w:val="24"/>
    </w:rPr>
  </w:style>
  <w:style w:type="paragraph" w:customStyle="1" w:styleId="124">
    <w:name w:val="首行缩进:  2 字符"/>
    <w:basedOn w:val="1"/>
    <w:next w:val="1"/>
    <w:link w:val="123"/>
    <w:uiPriority w:val="0"/>
    <w:pPr>
      <w:widowControl/>
      <w:spacing w:line="440" w:lineRule="exact"/>
      <w:ind w:firstLine="480" w:firstLineChars="200"/>
      <w:jc w:val="left"/>
    </w:pPr>
    <w:rPr>
      <w:rFonts w:eastAsia="仿宋_GB2312"/>
      <w:kern w:val="0"/>
    </w:rPr>
  </w:style>
  <w:style w:type="character" w:customStyle="1" w:styleId="125">
    <w:name w:val="title_emph1"/>
    <w:uiPriority w:val="0"/>
    <w:rPr>
      <w:rFonts w:hint="default" w:ascii="Arial" w:hAnsi="Arial"/>
      <w:b/>
      <w:sz w:val="18"/>
    </w:rPr>
  </w:style>
  <w:style w:type="character" w:customStyle="1" w:styleId="126">
    <w:name w:val=" Char Char"/>
    <w:link w:val="72"/>
    <w:uiPriority w:val="0"/>
    <w:rPr>
      <w:rFonts w:ascii="Courier New" w:hAnsi="Courier New" w:eastAsia="楷体_GB2312" w:cs="Courier New"/>
      <w:kern w:val="2"/>
    </w:rPr>
  </w:style>
  <w:style w:type="character" w:customStyle="1" w:styleId="127">
    <w:name w:val=" Char Char35"/>
    <w:link w:val="4"/>
    <w:uiPriority w:val="0"/>
    <w:rPr>
      <w:b/>
      <w:kern w:val="2"/>
      <w:sz w:val="32"/>
    </w:rPr>
  </w:style>
  <w:style w:type="character" w:customStyle="1" w:styleId="128">
    <w:name w:val="H5 Char"/>
    <w:aliases w:val="PIM 5 Char,5 Char,l4 Char,h5 Char,1.1.1.1.1 H5 Char,Second Subheading Char,口 Char,第四层条 Char,第五层 Char,Appendix A  Heading 5 Char,Table label Char,l5 Char,hm Char,mh2 Char,Module heading 2 Char,Head 5 Char,list 5 Char,Block Label Char,H51 Char"/>
    <w:uiPriority w:val="0"/>
    <w:rPr>
      <w:rFonts w:ascii="宋体" w:eastAsia="宋体"/>
      <w:b/>
      <w:color w:val="FF0000"/>
      <w:kern w:val="2"/>
      <w:sz w:val="24"/>
      <w:lang w:val="en-US" w:eastAsia="zh-CN"/>
    </w:rPr>
  </w:style>
  <w:style w:type="character" w:customStyle="1" w:styleId="129">
    <w:name w:val=" Char Char4"/>
    <w:link w:val="33"/>
    <w:uiPriority w:val="0"/>
    <w:rPr>
      <w:kern w:val="2"/>
      <w:sz w:val="24"/>
    </w:rPr>
  </w:style>
  <w:style w:type="character" w:customStyle="1" w:styleId="130">
    <w:name w:val="t1"/>
    <w:uiPriority w:val="0"/>
    <w:rPr>
      <w:color w:val="990000"/>
    </w:rPr>
  </w:style>
  <w:style w:type="character" w:customStyle="1" w:styleId="131">
    <w:name w:val=" Char Char20"/>
    <w:link w:val="64"/>
    <w:uiPriority w:val="0"/>
    <w:rPr>
      <w:rFonts w:ascii="Arial" w:hAnsi="Arial"/>
      <w:color w:val="FF0000"/>
      <w:kern w:val="2"/>
      <w:sz w:val="24"/>
    </w:rPr>
  </w:style>
  <w:style w:type="character" w:customStyle="1" w:styleId="132">
    <w:name w:val="point_normal1"/>
    <w:uiPriority w:val="0"/>
    <w:rPr>
      <w:rFonts w:hint="default" w:ascii="Arial" w:hAnsi="Arial"/>
      <w:sz w:val="22"/>
    </w:rPr>
  </w:style>
  <w:style w:type="character" w:customStyle="1" w:styleId="133">
    <w:name w:val=" Char Char10"/>
    <w:link w:val="53"/>
    <w:uiPriority w:val="0"/>
    <w:rPr>
      <w:kern w:val="2"/>
      <w:sz w:val="21"/>
      <w:szCs w:val="24"/>
    </w:rPr>
  </w:style>
  <w:style w:type="character" w:customStyle="1" w:styleId="134">
    <w:name w:val=" Char Char24"/>
    <w:uiPriority w:val="0"/>
    <w:rPr>
      <w:rFonts w:ascii="Arial" w:hAnsi="宋体"/>
      <w:b/>
      <w:kern w:val="2"/>
      <w:sz w:val="28"/>
    </w:rPr>
  </w:style>
  <w:style w:type="character" w:customStyle="1" w:styleId="135">
    <w:name w:val="txt_cn_121"/>
    <w:uiPriority w:val="0"/>
    <w:rPr>
      <w:rFonts w:hint="default" w:ascii="Arial" w:hAnsi="Arial" w:cs="Arial"/>
      <w:color w:val="666666"/>
      <w:sz w:val="18"/>
      <w:szCs w:val="18"/>
      <w:u w:val="none"/>
    </w:rPr>
  </w:style>
  <w:style w:type="character" w:customStyle="1" w:styleId="136">
    <w:name w:val="正文首行缩进 Char Char Char Char Char Char Char Char Char Char Char Char Char Char Char Char Char Char Char Char Char1"/>
    <w:aliases w:val="正文首行缩进 Char Char Char Char Char Char Char Char Char Char Char Char Char Char Char Char Char Char Char Char Char Char Char"/>
    <w:uiPriority w:val="0"/>
    <w:rPr>
      <w:rFonts w:eastAsia="宋体"/>
      <w:kern w:val="2"/>
      <w:sz w:val="24"/>
      <w:lang w:val="en-US" w:eastAsia="zh-CN"/>
    </w:rPr>
  </w:style>
  <w:style w:type="character" w:customStyle="1" w:styleId="137">
    <w:name w:val="main1"/>
    <w:uiPriority w:val="0"/>
    <w:rPr>
      <w:rFonts w:hint="default" w:ascii="ˎ̥" w:hAnsi="ˎ̥"/>
      <w:sz w:val="21"/>
    </w:rPr>
  </w:style>
  <w:style w:type="character" w:customStyle="1" w:styleId="138">
    <w:name w:val="ns1"/>
    <w:uiPriority w:val="0"/>
    <w:rPr>
      <w:color w:val="FF0000"/>
    </w:rPr>
  </w:style>
  <w:style w:type="character" w:customStyle="1" w:styleId="139">
    <w:name w:val=" Char Char17"/>
    <w:link w:val="21"/>
    <w:uiPriority w:val="0"/>
    <w:rPr>
      <w:rFonts w:ascii="Arial" w:hAnsi="Arial" w:eastAsia="黑体" w:cs="Arial"/>
    </w:rPr>
  </w:style>
  <w:style w:type="character" w:customStyle="1" w:styleId="140">
    <w:name w:val=" Char Char28"/>
    <w:basedOn w:val="141"/>
    <w:link w:val="5"/>
    <w:uiPriority w:val="0"/>
  </w:style>
  <w:style w:type="character" w:customStyle="1" w:styleId="141">
    <w:name w:val="正文文本 Char1"/>
    <w:uiPriority w:val="0"/>
    <w:rPr>
      <w:kern w:val="2"/>
      <w:sz w:val="24"/>
    </w:rPr>
  </w:style>
  <w:style w:type="character" w:customStyle="1" w:styleId="142">
    <w:name w:val="styletemp1"/>
    <w:uiPriority w:val="0"/>
    <w:rPr>
      <w:color w:val="282828"/>
      <w:spacing w:val="15"/>
      <w:sz w:val="18"/>
    </w:rPr>
  </w:style>
  <w:style w:type="character" w:customStyle="1" w:styleId="143">
    <w:name w:val="正文缩进4"/>
    <w:aliases w:val="Normal Indent Char12,Normal Indent Char Char2,Normal Indent Char1 Char1 Char11,Normal Indent Char Char Char1 Char11,正文（首行缩进两字） Char1 Char Char1 Char11,表正文 Char Char Char1 Char11,正文非缩进 Char Char Char1 Char11,特点 Char Char Char1 Char1 Char Char1 C"/>
    <w:uiPriority w:val="0"/>
    <w:rPr>
      <w:rFonts w:eastAsia="宋体"/>
      <w:sz w:val="24"/>
      <w:lang w:val="en-US" w:eastAsia="zh-CN"/>
    </w:rPr>
  </w:style>
  <w:style w:type="character" w:customStyle="1" w:styleId="144">
    <w:name w:val=" Char Char14"/>
    <w:link w:val="52"/>
    <w:uiPriority w:val="0"/>
    <w:rPr>
      <w:sz w:val="18"/>
    </w:rPr>
  </w:style>
  <w:style w:type="character" w:customStyle="1" w:styleId="145">
    <w:name w:val="title-blue"/>
    <w:basedOn w:val="80"/>
    <w:uiPriority w:val="0"/>
  </w:style>
  <w:style w:type="character" w:customStyle="1" w:styleId="146">
    <w:name w:val=" Char Char22"/>
    <w:link w:val="76"/>
    <w:uiPriority w:val="0"/>
    <w:rPr>
      <w:b/>
      <w:kern w:val="2"/>
      <w:sz w:val="24"/>
    </w:rPr>
  </w:style>
  <w:style w:type="character" w:customStyle="1" w:styleId="147">
    <w:name w:val=" Char Char33"/>
    <w:link w:val="8"/>
    <w:uiPriority w:val="0"/>
    <w:rPr>
      <w:b/>
      <w:kern w:val="2"/>
      <w:sz w:val="24"/>
    </w:rPr>
  </w:style>
  <w:style w:type="character" w:customStyle="1" w:styleId="148">
    <w:name w:val=" Char Char23"/>
    <w:link w:val="7"/>
    <w:uiPriority w:val="0"/>
    <w:rPr>
      <w:sz w:val="21"/>
    </w:rPr>
  </w:style>
  <w:style w:type="character" w:customStyle="1" w:styleId="149">
    <w:name w:val="正文文本缩进 2 Char1"/>
    <w:uiPriority w:val="0"/>
    <w:rPr>
      <w:kern w:val="2"/>
      <w:sz w:val="24"/>
    </w:rPr>
  </w:style>
  <w:style w:type="character" w:customStyle="1" w:styleId="150">
    <w:name w:val=" Char Char31"/>
    <w:link w:val="11"/>
    <w:uiPriority w:val="0"/>
    <w:rPr>
      <w:b/>
      <w:kern w:val="2"/>
      <w:sz w:val="24"/>
    </w:rPr>
  </w:style>
  <w:style w:type="character" w:customStyle="1" w:styleId="151">
    <w:name w:val="节 Char"/>
    <w:aliases w:val="H2 Char,标题 1.1 Char,Title2 Char,h2 Char,Underrubrik1 Char,prop2 Char,标题二 Char,H21 Char,Heading 2 Hidden Char,Heading 2 CCBS Char,heading 2 Char,Level 2 Topic Heading Char,Second Level Topic Char,- Para Char,sect 1.2 Char,sect 1.21 Char,H22 Char"/>
    <w:uiPriority w:val="0"/>
    <w:rPr>
      <w:rFonts w:ascii="Arial" w:hAnsi="Arial" w:eastAsia="宋体"/>
      <w:b/>
      <w:spacing w:val="14"/>
      <w:kern w:val="24"/>
      <w:sz w:val="32"/>
      <w:lang w:val="en-US" w:eastAsia="zh-CN" w:bidi="ar-SA"/>
    </w:rPr>
  </w:style>
  <w:style w:type="character" w:customStyle="1" w:styleId="152">
    <w:name w:val="p121"/>
    <w:uiPriority w:val="0"/>
    <w:rPr>
      <w:rFonts w:hint="default" w:ascii="_x000B__x000C_" w:hAnsi="_x000B__x000C_"/>
      <w:sz w:val="24"/>
      <w:szCs w:val="24"/>
    </w:rPr>
  </w:style>
  <w:style w:type="character" w:customStyle="1" w:styleId="153">
    <w:name w:val="font21"/>
    <w:uiPriority w:val="0"/>
    <w:rPr>
      <w:rFonts w:hint="default" w:ascii="Times New Roman" w:hAnsi="Times New Roman" w:cs="Times New Roman"/>
      <w:color w:val="000000"/>
      <w:sz w:val="22"/>
      <w:szCs w:val="22"/>
      <w:u w:val="none"/>
    </w:rPr>
  </w:style>
  <w:style w:type="character" w:customStyle="1" w:styleId="154">
    <w:name w:val="title_sub_blue1"/>
    <w:uiPriority w:val="0"/>
    <w:rPr>
      <w:rFonts w:hint="default" w:ascii="Arial" w:hAnsi="Arial" w:cs="Arial"/>
      <w:b/>
      <w:bCs/>
      <w:color w:val="16344F"/>
      <w:spacing w:val="0"/>
      <w:sz w:val="20"/>
      <w:szCs w:val="20"/>
      <w:u w:val="none"/>
    </w:rPr>
  </w:style>
  <w:style w:type="character" w:customStyle="1" w:styleId="155">
    <w:name w:val="Char Char3"/>
    <w:uiPriority w:val="0"/>
    <w:rPr>
      <w:rFonts w:eastAsia="宋体"/>
      <w:kern w:val="2"/>
      <w:sz w:val="21"/>
      <w:szCs w:val="24"/>
      <w:lang w:val="en-US" w:eastAsia="zh-CN" w:bidi="ar-SA"/>
    </w:rPr>
  </w:style>
  <w:style w:type="character" w:customStyle="1" w:styleId="156">
    <w:name w:val=" Char Char27"/>
    <w:link w:val="29"/>
    <w:uiPriority w:val="0"/>
    <w:rPr>
      <w:kern w:val="2"/>
      <w:sz w:val="16"/>
      <w:szCs w:val="16"/>
    </w:rPr>
  </w:style>
  <w:style w:type="character" w:customStyle="1" w:styleId="157">
    <w:name w:val="正文文本缩进 Char Char"/>
    <w:uiPriority w:val="0"/>
    <w:rPr>
      <w:rFonts w:ascii="宋体"/>
      <w:kern w:val="2"/>
      <w:sz w:val="24"/>
    </w:rPr>
  </w:style>
  <w:style w:type="character" w:customStyle="1" w:styleId="158">
    <w:name w:val=" Char Char11"/>
    <w:link w:val="30"/>
    <w:uiPriority w:val="0"/>
    <w:rPr>
      <w:rFonts w:ascii="Arial" w:hAnsi="Arial" w:eastAsia="楷体_GB2312" w:cs="Arial"/>
      <w:kern w:val="2"/>
      <w:sz w:val="28"/>
      <w:szCs w:val="24"/>
    </w:rPr>
  </w:style>
  <w:style w:type="character" w:customStyle="1" w:styleId="159">
    <w:name w:val="普通文字 Char Char"/>
    <w:uiPriority w:val="0"/>
    <w:rPr>
      <w:rFonts w:ascii="宋体" w:hAnsi="Courier New" w:eastAsia="宋体"/>
      <w:kern w:val="2"/>
      <w:sz w:val="21"/>
      <w:lang w:val="en-US" w:eastAsia="zh-CN"/>
    </w:rPr>
  </w:style>
  <w:style w:type="character" w:customStyle="1" w:styleId="160">
    <w:name w:val="标题 3 Char1"/>
    <w:uiPriority w:val="0"/>
    <w:rPr>
      <w:rFonts w:ascii="Arial" w:hAnsi="宋体"/>
      <w:b/>
      <w:kern w:val="2"/>
      <w:sz w:val="28"/>
    </w:rPr>
  </w:style>
  <w:style w:type="character" w:customStyle="1" w:styleId="161">
    <w:name w:val="纯文本 Char Char"/>
    <w:uiPriority w:val="0"/>
    <w:rPr>
      <w:rFonts w:ascii="宋体" w:hAnsi="Courier New" w:cs="Courier New"/>
      <w:kern w:val="2"/>
      <w:sz w:val="21"/>
      <w:szCs w:val="21"/>
    </w:rPr>
  </w:style>
  <w:style w:type="character" w:customStyle="1" w:styleId="162">
    <w:name w:val=" Char Char Char Char Char Char Char Char Char"/>
    <w:link w:val="163"/>
    <w:uiPriority w:val="0"/>
    <w:rPr>
      <w:rFonts w:ascii="宋体"/>
      <w:color w:val="FF0000"/>
      <w:sz w:val="24"/>
      <w:shd w:val="clear" w:color="auto" w:fill="000080"/>
    </w:rPr>
  </w:style>
  <w:style w:type="paragraph" w:customStyle="1" w:styleId="163">
    <w:name w:val=" Char"/>
    <w:basedOn w:val="25"/>
    <w:link w:val="162"/>
    <w:uiPriority w:val="0"/>
    <w:rPr>
      <w:rFonts w:ascii="宋体"/>
      <w:color w:val="FF0000"/>
      <w:kern w:val="0"/>
    </w:rPr>
  </w:style>
  <w:style w:type="character" w:customStyle="1" w:styleId="164">
    <w:name w:val="页眉 Char1"/>
    <w:uiPriority w:val="0"/>
    <w:rPr>
      <w:kern w:val="2"/>
      <w:sz w:val="18"/>
      <w:szCs w:val="18"/>
    </w:rPr>
  </w:style>
  <w:style w:type="character" w:customStyle="1" w:styleId="165">
    <w:name w:val="highlight1"/>
    <w:uiPriority w:val="0"/>
    <w:rPr>
      <w:sz w:val="21"/>
    </w:rPr>
  </w:style>
  <w:style w:type="character" w:customStyle="1" w:styleId="166">
    <w:name w:val="居中表名 Char"/>
    <w:link w:val="167"/>
    <w:locked/>
    <w:uiPriority w:val="0"/>
    <w:rPr>
      <w:rFonts w:eastAsia="黑体"/>
      <w:b/>
      <w:kern w:val="2"/>
      <w:sz w:val="21"/>
      <w:szCs w:val="21"/>
    </w:rPr>
  </w:style>
  <w:style w:type="paragraph" w:customStyle="1" w:styleId="167">
    <w:name w:val="居中表名"/>
    <w:basedOn w:val="1"/>
    <w:next w:val="1"/>
    <w:link w:val="166"/>
    <w:qFormat/>
    <w:locked/>
    <w:uiPriority w:val="0"/>
    <w:pPr>
      <w:keepNext/>
      <w:spacing w:before="120" w:line="360" w:lineRule="auto"/>
      <w:jc w:val="center"/>
    </w:pPr>
    <w:rPr>
      <w:rFonts w:eastAsia="黑体"/>
      <w:b/>
      <w:sz w:val="21"/>
      <w:szCs w:val="21"/>
    </w:rPr>
  </w:style>
  <w:style w:type="character" w:customStyle="1" w:styleId="168">
    <w:name w:val=" Char Char8"/>
    <w:link w:val="47"/>
    <w:uiPriority w:val="0"/>
    <w:rPr>
      <w:rFonts w:ascii="Arial" w:hAnsi="Arial" w:eastAsia="LineDraw"/>
      <w:kern w:val="2"/>
      <w:sz w:val="24"/>
    </w:rPr>
  </w:style>
  <w:style w:type="character" w:customStyle="1" w:styleId="169">
    <w:name w:val=" Char Char37"/>
    <w:link w:val="2"/>
    <w:uiPriority w:val="0"/>
    <w:rPr>
      <w:rFonts w:eastAsia="黑体"/>
      <w:b/>
      <w:kern w:val="44"/>
      <w:sz w:val="48"/>
    </w:rPr>
  </w:style>
  <w:style w:type="character" w:customStyle="1" w:styleId="170">
    <w:name w:val="p12"/>
    <w:basedOn w:val="80"/>
    <w:uiPriority w:val="0"/>
  </w:style>
  <w:style w:type="character" w:customStyle="1" w:styleId="171">
    <w:name w:val="正文首行缩进 Char Char Char Char Char Char Char Char Char Char Char Char Char Char Char Char Char Char Char Char Char Char1"/>
    <w:aliases w:val="正文首行缩进 Char Char Char Char Char Char Char Char Char Char Char Char Char Char Char Char Char Char Char Char Char Char11"/>
    <w:uiPriority w:val="0"/>
    <w:rPr>
      <w:rFonts w:eastAsia="宋体"/>
      <w:kern w:val="2"/>
      <w:sz w:val="24"/>
      <w:lang w:val="en-US" w:eastAsia="zh-CN"/>
    </w:rPr>
  </w:style>
  <w:style w:type="character" w:customStyle="1" w:styleId="172">
    <w:name w:val=" Char Char26"/>
    <w:link w:val="28"/>
    <w:uiPriority w:val="0"/>
    <w:rPr>
      <w:rFonts w:ascii="Arial" w:hAnsi="Arial" w:eastAsia="楷体_GB2312" w:cs="Arial"/>
      <w:kern w:val="2"/>
      <w:sz w:val="28"/>
      <w:szCs w:val="24"/>
    </w:rPr>
  </w:style>
  <w:style w:type="character" w:customStyle="1" w:styleId="173">
    <w:name w:val="批注框文本 Char1"/>
    <w:uiPriority w:val="0"/>
    <w:rPr>
      <w:kern w:val="2"/>
      <w:sz w:val="18"/>
      <w:szCs w:val="18"/>
    </w:rPr>
  </w:style>
  <w:style w:type="character" w:customStyle="1" w:styleId="174">
    <w:name w:val=" Char Char7"/>
    <w:link w:val="42"/>
    <w:uiPriority w:val="0"/>
    <w:rPr>
      <w:rFonts w:ascii="宋体" w:hAnsi="Courier New"/>
      <w:kern w:val="2"/>
      <w:sz w:val="21"/>
    </w:rPr>
  </w:style>
  <w:style w:type="character" w:customStyle="1" w:styleId="175">
    <w:name w:val="正文文本缩进 3 Char1"/>
    <w:uiPriority w:val="0"/>
    <w:rPr>
      <w:kern w:val="2"/>
      <w:sz w:val="16"/>
      <w:szCs w:val="16"/>
    </w:rPr>
  </w:style>
  <w:style w:type="character" w:customStyle="1" w:styleId="176">
    <w:name w:val=" Char Char5"/>
    <w:link w:val="77"/>
    <w:uiPriority w:val="0"/>
    <w:rPr>
      <w:kern w:val="2"/>
      <w:sz w:val="24"/>
    </w:rPr>
  </w:style>
  <w:style w:type="character" w:customStyle="1" w:styleId="177">
    <w:name w:val="font31"/>
    <w:uiPriority w:val="0"/>
    <w:rPr>
      <w:rFonts w:hint="eastAsia" w:ascii="仿宋_GB2312" w:eastAsia="仿宋_GB2312"/>
      <w:color w:val="000000"/>
      <w:sz w:val="22"/>
      <w:szCs w:val="22"/>
      <w:u w:val="none"/>
    </w:rPr>
  </w:style>
  <w:style w:type="character" w:customStyle="1" w:styleId="178">
    <w:name w:val="sony121"/>
    <w:uiPriority w:val="0"/>
    <w:rPr>
      <w:rFonts w:hint="eastAsia" w:ascii="宋体" w:hAnsi="宋体" w:eastAsia="宋体"/>
      <w:sz w:val="18"/>
      <w:szCs w:val="18"/>
    </w:rPr>
  </w:style>
  <w:style w:type="character" w:customStyle="1" w:styleId="179">
    <w:name w:val=" Char Char1"/>
    <w:link w:val="68"/>
    <w:uiPriority w:val="0"/>
    <w:rPr>
      <w:kern w:val="2"/>
      <w:sz w:val="21"/>
    </w:rPr>
  </w:style>
  <w:style w:type="character" w:customStyle="1" w:styleId="180">
    <w:name w:val="highlight"/>
    <w:basedOn w:val="80"/>
    <w:uiPriority w:val="0"/>
  </w:style>
  <w:style w:type="character" w:customStyle="1" w:styleId="181">
    <w:name w:val=" Char Char9"/>
    <w:link w:val="50"/>
    <w:uiPriority w:val="0"/>
    <w:rPr>
      <w:kern w:val="2"/>
      <w:sz w:val="18"/>
    </w:rPr>
  </w:style>
  <w:style w:type="character" w:customStyle="1" w:styleId="182">
    <w:name w:val="样式2 Char Char Char Char"/>
    <w:link w:val="183"/>
    <w:uiPriority w:val="0"/>
    <w:rPr>
      <w:rFonts w:ascii="宋体" w:hAnsi="宋体" w:eastAsia="宋体"/>
      <w:bCs/>
      <w:sz w:val="24"/>
      <w:szCs w:val="24"/>
      <w:lang w:eastAsia="en-US" w:bidi="en-US"/>
    </w:rPr>
  </w:style>
  <w:style w:type="paragraph" w:customStyle="1" w:styleId="183">
    <w:name w:val="样式2 Char Char Char"/>
    <w:basedOn w:val="1"/>
    <w:link w:val="182"/>
    <w:uiPriority w:val="0"/>
    <w:pPr>
      <w:widowControl/>
      <w:spacing w:line="360" w:lineRule="auto"/>
      <w:ind w:firstLine="480" w:firstLineChars="200"/>
      <w:jc w:val="left"/>
    </w:pPr>
    <w:rPr>
      <w:rFonts w:ascii="宋体" w:hAnsi="宋体"/>
      <w:bCs/>
      <w:kern w:val="0"/>
      <w:szCs w:val="24"/>
      <w:lang w:eastAsia="en-US" w:bidi="en-US"/>
    </w:rPr>
  </w:style>
  <w:style w:type="character" w:customStyle="1" w:styleId="184">
    <w:name w:val=" Char Char15"/>
    <w:link w:val="19"/>
    <w:uiPriority w:val="0"/>
    <w:rPr>
      <w:rFonts w:ascii="Arial" w:hAnsi="Arial" w:eastAsia="楷体_GB2312" w:cs="Arial"/>
      <w:kern w:val="2"/>
      <w:sz w:val="28"/>
      <w:szCs w:val="24"/>
    </w:rPr>
  </w:style>
  <w:style w:type="character" w:customStyle="1" w:styleId="185">
    <w:name w:val=" Char Char19"/>
    <w:link w:val="27"/>
    <w:uiPriority w:val="0"/>
    <w:rPr>
      <w:kern w:val="2"/>
      <w:sz w:val="24"/>
    </w:rPr>
  </w:style>
  <w:style w:type="paragraph" w:customStyle="1" w:styleId="186">
    <w:name w:val="TOC 标题"/>
    <w:basedOn w:val="2"/>
    <w:next w:val="1"/>
    <w:qFormat/>
    <w:uiPriority w:val="39"/>
    <w:pPr>
      <w:widowControl/>
      <w:spacing w:before="480" w:beforeLines="0" w:after="0" w:afterLines="0" w:line="276" w:lineRule="auto"/>
      <w:jc w:val="left"/>
      <w:outlineLvl w:val="9"/>
    </w:pPr>
    <w:rPr>
      <w:rFonts w:ascii="Cambria" w:hAnsi="Cambria" w:eastAsia="宋体"/>
      <w:bCs/>
      <w:color w:val="365F91"/>
      <w:kern w:val="0"/>
      <w:sz w:val="28"/>
      <w:szCs w:val="28"/>
    </w:rPr>
  </w:style>
  <w:style w:type="paragraph" w:customStyle="1" w:styleId="187">
    <w:name w:val="xl93"/>
    <w:basedOn w:val="1"/>
    <w:uiPriority w:val="0"/>
    <w:pPr>
      <w:widowControl/>
      <w:shd w:val="clear" w:color="auto" w:fill="99CCFF"/>
      <w:spacing w:before="100" w:beforeLines="0" w:beforeAutospacing="1" w:after="100" w:afterLines="0" w:afterAutospacing="1"/>
      <w:jc w:val="left"/>
    </w:pPr>
    <w:rPr>
      <w:rFonts w:ascii="宋体" w:hAnsi="宋体" w:cs="宋体"/>
      <w:b/>
      <w:bCs/>
      <w:color w:val="000000"/>
      <w:kern w:val="0"/>
      <w:szCs w:val="24"/>
    </w:rPr>
  </w:style>
  <w:style w:type="paragraph" w:customStyle="1" w:styleId="188">
    <w:name w:val=" Char1"/>
    <w:basedOn w:val="1"/>
    <w:uiPriority w:val="0"/>
    <w:rPr>
      <w:rFonts w:ascii="仿宋_GB2312" w:eastAsia="仿宋_GB2312"/>
      <w:b/>
      <w:sz w:val="32"/>
    </w:rPr>
  </w:style>
  <w:style w:type="paragraph" w:customStyle="1" w:styleId="189">
    <w:name w:val="样式 标题 1H1 + 三号"/>
    <w:basedOn w:val="2"/>
    <w:uiPriority w:val="0"/>
    <w:pPr>
      <w:pageBreakBefore/>
      <w:tabs>
        <w:tab w:val="left" w:pos="425"/>
      </w:tabs>
      <w:spacing w:line="576" w:lineRule="auto"/>
      <w:ind w:left="425" w:hanging="425"/>
      <w:jc w:val="both"/>
    </w:pPr>
    <w:rPr>
      <w:rFonts w:eastAsia="宋体"/>
      <w:sz w:val="32"/>
    </w:rPr>
  </w:style>
  <w:style w:type="paragraph" w:customStyle="1" w:styleId="190">
    <w:name w:val="xl80"/>
    <w:basedOn w:val="1"/>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191">
    <w:name w:val="文档正文（外部）"/>
    <w:basedOn w:val="1"/>
    <w:uiPriority w:val="0"/>
    <w:pPr>
      <w:spacing w:line="360" w:lineRule="auto"/>
    </w:pPr>
    <w:rPr>
      <w:sz w:val="28"/>
    </w:rPr>
  </w:style>
  <w:style w:type="paragraph" w:customStyle="1" w:styleId="192">
    <w:name w:val="正文文本1"/>
    <w:basedOn w:val="1"/>
    <w:uiPriority w:val="0"/>
    <w:pPr>
      <w:spacing w:after="120" w:afterLines="0"/>
    </w:pPr>
    <w:rPr>
      <w:sz w:val="21"/>
    </w:rPr>
  </w:style>
  <w:style w:type="paragraph" w:customStyle="1" w:styleId="193">
    <w:name w:val="font18"/>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94">
    <w:name w:val="2 Char Char Char Char Char Char Char"/>
    <w:basedOn w:val="1"/>
    <w:uiPriority w:val="0"/>
    <w:rPr>
      <w:rFonts w:ascii="Tahoma" w:hAnsi="Tahoma"/>
    </w:rPr>
  </w:style>
  <w:style w:type="paragraph" w:customStyle="1" w:styleId="195">
    <w:name w:val="文本正文"/>
    <w:basedOn w:val="1"/>
    <w:uiPriority w:val="0"/>
    <w:pPr>
      <w:spacing w:before="156" w:beforeLines="0" w:after="156" w:afterLines="0" w:line="360" w:lineRule="auto"/>
      <w:ind w:firstLine="480"/>
    </w:pPr>
    <w:rPr>
      <w:color w:val="000000"/>
      <w:sz w:val="21"/>
    </w:rPr>
  </w:style>
  <w:style w:type="paragraph" w:customStyle="1" w:styleId="196">
    <w:name w:val="gb231212"/>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197">
    <w:name w:val=" Char Char Char"/>
    <w:basedOn w:val="1"/>
    <w:uiPriority w:val="0"/>
    <w:rPr>
      <w:rFonts w:ascii="Tahoma" w:hAnsi="Tahoma"/>
    </w:rPr>
  </w:style>
  <w:style w:type="paragraph" w:customStyle="1" w:styleId="198">
    <w:name w:val="正文文本 21"/>
    <w:basedOn w:val="1"/>
    <w:uiPriority w:val="0"/>
    <w:pPr>
      <w:adjustRightInd w:val="0"/>
      <w:spacing w:after="60" w:afterLines="0" w:line="360" w:lineRule="atLeast"/>
      <w:ind w:left="57" w:right="57"/>
      <w:jc w:val="center"/>
      <w:textAlignment w:val="baseline"/>
    </w:pPr>
    <w:rPr>
      <w:rFonts w:ascii="Arial" w:hAnsi="Arial" w:eastAsia="黑体"/>
      <w:kern w:val="0"/>
      <w:sz w:val="21"/>
    </w:rPr>
  </w:style>
  <w:style w:type="paragraph" w:customStyle="1" w:styleId="199">
    <w:name w:val="文档结构图1"/>
    <w:basedOn w:val="1"/>
    <w:next w:val="1"/>
    <w:uiPriority w:val="0"/>
    <w:pPr>
      <w:widowControl/>
      <w:shd w:val="clear" w:color="auto" w:fill="000080"/>
    </w:pPr>
    <w:rPr>
      <w:color w:val="000000"/>
      <w:sz w:val="21"/>
    </w:rPr>
  </w:style>
  <w:style w:type="paragraph" w:customStyle="1" w:styleId="200">
    <w:name w:val="序号正文"/>
    <w:basedOn w:val="1"/>
    <w:uiPriority w:val="0"/>
    <w:pPr>
      <w:tabs>
        <w:tab w:val="left" w:pos="-57"/>
      </w:tabs>
      <w:spacing w:line="300" w:lineRule="auto"/>
      <w:ind w:left="-397" w:firstLine="397"/>
    </w:pPr>
    <w:rPr>
      <w:rFonts w:ascii="宋体" w:hAnsi="宋体"/>
    </w:rPr>
  </w:style>
  <w:style w:type="paragraph" w:customStyle="1" w:styleId="201">
    <w:name w:val="默认段落字体1 Char Char"/>
    <w:basedOn w:val="1"/>
    <w:uiPriority w:val="0"/>
    <w:rPr>
      <w:rFonts w:ascii="仿宋_GB2312" w:eastAsia="仿宋_GB2312"/>
      <w:b/>
      <w:sz w:val="32"/>
      <w:szCs w:val="32"/>
    </w:rPr>
  </w:style>
  <w:style w:type="paragraph" w:customStyle="1" w:styleId="202">
    <w:name w:val="简单回函地址"/>
    <w:basedOn w:val="1"/>
    <w:uiPriority w:val="0"/>
    <w:rPr>
      <w:sz w:val="21"/>
      <w:szCs w:val="24"/>
    </w:rPr>
  </w:style>
  <w:style w:type="paragraph" w:customStyle="1" w:styleId="203">
    <w:name w:val="xl81"/>
    <w:basedOn w:val="1"/>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204">
    <w:name w:val="font11"/>
    <w:basedOn w:val="1"/>
    <w:uiPriority w:val="0"/>
    <w:pPr>
      <w:widowControl/>
      <w:spacing w:before="100" w:beforeLines="0" w:beforeAutospacing="1" w:after="100" w:afterLines="0" w:afterAutospacing="1"/>
      <w:jc w:val="left"/>
    </w:pPr>
    <w:rPr>
      <w:kern w:val="0"/>
      <w:sz w:val="20"/>
    </w:rPr>
  </w:style>
  <w:style w:type="paragraph" w:customStyle="1" w:styleId="205">
    <w:name w:val="样式 标题 2"/>
    <w:basedOn w:val="3"/>
    <w:next w:val="1"/>
    <w:uiPriority w:val="0"/>
    <w:pPr>
      <w:keepLines w:val="0"/>
      <w:spacing w:before="0" w:beforeLines="0" w:after="156" w:afterLines="50" w:line="480" w:lineRule="auto"/>
    </w:pPr>
    <w:rPr>
      <w:rFonts w:ascii="仿宋_GB2312" w:hAnsi="仿宋_GB2312" w:eastAsia="仿宋_GB2312" w:cs="Arial"/>
      <w:sz w:val="32"/>
      <w:szCs w:val="24"/>
    </w:rPr>
  </w:style>
  <w:style w:type="paragraph" w:customStyle="1" w:styleId="206">
    <w:name w:val="a1"/>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07">
    <w:name w:val="List Paragraph"/>
    <w:basedOn w:val="1"/>
    <w:uiPriority w:val="0"/>
    <w:pPr>
      <w:autoSpaceDE w:val="0"/>
      <w:autoSpaceDN w:val="0"/>
      <w:adjustRightInd w:val="0"/>
      <w:spacing w:line="360" w:lineRule="auto"/>
      <w:ind w:firstLine="420" w:firstLineChars="200"/>
      <w:jc w:val="left"/>
    </w:pPr>
    <w:rPr>
      <w:kern w:val="0"/>
      <w:sz w:val="21"/>
      <w:szCs w:val="21"/>
    </w:rPr>
  </w:style>
  <w:style w:type="paragraph" w:customStyle="1" w:styleId="208">
    <w:name w:val="xl88"/>
    <w:basedOn w:val="1"/>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209">
    <w:name w:val="My编号1"/>
    <w:basedOn w:val="1"/>
    <w:uiPriority w:val="0"/>
    <w:pPr>
      <w:adjustRightInd w:val="0"/>
      <w:spacing w:before="120" w:beforeLines="0" w:line="360" w:lineRule="auto"/>
      <w:textAlignment w:val="baseline"/>
    </w:pPr>
    <w:rPr>
      <w:rFonts w:ascii="Arial" w:hAnsi="Arial"/>
      <w:kern w:val="0"/>
    </w:rPr>
  </w:style>
  <w:style w:type="paragraph" w:customStyle="1" w:styleId="210">
    <w:name w:val="xl70"/>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11">
    <w:name w:val="表格1"/>
    <w:basedOn w:val="1"/>
    <w:uiPriority w:val="0"/>
    <w:pPr>
      <w:widowControl/>
      <w:topLinePunct/>
      <w:spacing w:line="360" w:lineRule="auto"/>
    </w:pPr>
    <w:rPr>
      <w:rFonts w:ascii="楷体_GB2312" w:eastAsia="楷体_GB2312"/>
      <w:kern w:val="0"/>
      <w:sz w:val="21"/>
      <w:szCs w:val="21"/>
    </w:rPr>
  </w:style>
  <w:style w:type="paragraph" w:customStyle="1" w:styleId="212">
    <w:name w:val="标题 2-2"/>
    <w:basedOn w:val="3"/>
    <w:uiPriority w:val="0"/>
    <w:pPr>
      <w:tabs>
        <w:tab w:val="left" w:pos="358"/>
      </w:tabs>
      <w:snapToGrid w:val="0"/>
      <w:spacing w:before="400" w:beforeLines="0" w:after="156" w:afterLines="50" w:line="360" w:lineRule="auto"/>
      <w:ind w:left="358" w:hanging="420"/>
    </w:pPr>
    <w:rPr>
      <w:rFonts w:ascii="仿宋_GB2312" w:hAnsi="Times New Roman" w:eastAsia="仿宋_GB2312" w:cs="宋体"/>
      <w:i/>
      <w:sz w:val="32"/>
    </w:rPr>
  </w:style>
  <w:style w:type="paragraph" w:customStyle="1" w:styleId="213">
    <w:name w:val="目录"/>
    <w:basedOn w:val="1"/>
    <w:uiPriority w:val="0"/>
    <w:pPr>
      <w:widowControl/>
      <w:spacing w:line="480" w:lineRule="auto"/>
      <w:jc w:val="center"/>
    </w:pPr>
    <w:rPr>
      <w:rFonts w:ascii="宋体"/>
      <w:b/>
      <w:kern w:val="0"/>
      <w:lang/>
    </w:rPr>
  </w:style>
  <w:style w:type="paragraph" w:customStyle="1" w:styleId="214">
    <w:name w:val="font24"/>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15">
    <w:name w:val="font10"/>
    <w:basedOn w:val="1"/>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216">
    <w:name w:val="style1"/>
    <w:basedOn w:val="1"/>
    <w:uiPriority w:val="0"/>
    <w:pPr>
      <w:widowControl/>
      <w:spacing w:before="100" w:beforeLines="0" w:beforeAutospacing="1" w:after="100" w:afterLines="0" w:afterAutospacing="1" w:line="360" w:lineRule="auto"/>
      <w:ind w:firstLine="200" w:firstLineChars="200"/>
      <w:jc w:val="left"/>
    </w:pPr>
    <w:rPr>
      <w:rFonts w:ascii="宋体" w:hAnsi="宋体" w:cs="宋体"/>
      <w:color w:val="FFFFFF"/>
      <w:kern w:val="0"/>
      <w:sz w:val="28"/>
      <w:szCs w:val="24"/>
    </w:rPr>
  </w:style>
  <w:style w:type="paragraph" w:customStyle="1" w:styleId="217">
    <w:name w:val="xl104"/>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218">
    <w:name w:val="font13"/>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19">
    <w:name w:val="正文文字1"/>
    <w:basedOn w:val="32"/>
    <w:uiPriority w:val="0"/>
    <w:pPr>
      <w:autoSpaceDE/>
      <w:autoSpaceDN/>
      <w:spacing w:line="360" w:lineRule="atLeast"/>
      <w:ind w:left="72" w:right="72"/>
      <w:jc w:val="both"/>
      <w:textAlignment w:val="baseline"/>
    </w:pPr>
    <w:rPr>
      <w:rFonts w:ascii="Times New Roman"/>
      <w:color w:val="auto"/>
      <w:sz w:val="21"/>
      <w:lang w:val="en-US" w:eastAsia="zh-CN"/>
    </w:rPr>
  </w:style>
  <w:style w:type="paragraph" w:customStyle="1" w:styleId="220">
    <w:name w:val=" Char Char Char Char Char Char Char Char Char Char Char Char Char Char Char Char Char Char"/>
    <w:basedOn w:val="1"/>
    <w:uiPriority w:val="0"/>
    <w:pPr>
      <w:spacing w:before="156" w:beforeLines="50" w:after="312" w:afterLines="100" w:line="480" w:lineRule="exact"/>
      <w:jc w:val="center"/>
    </w:pPr>
    <w:rPr>
      <w:color w:val="000000"/>
      <w:sz w:val="28"/>
      <w:szCs w:val="52"/>
    </w:rPr>
  </w:style>
  <w:style w:type="paragraph" w:customStyle="1" w:styleId="221">
    <w:name w:val="样式 正文文本缩进 2 + Century Gothic 四号 行距: 多倍行距 1.75 字行"/>
    <w:basedOn w:val="1"/>
    <w:uiPriority w:val="0"/>
    <w:pPr>
      <w:adjustRightInd w:val="0"/>
      <w:snapToGrid w:val="0"/>
      <w:spacing w:line="396" w:lineRule="auto"/>
      <w:ind w:firstLine="207" w:firstLineChars="207"/>
    </w:pPr>
    <w:rPr>
      <w:rFonts w:ascii="Century Gothic"/>
      <w:sz w:val="28"/>
    </w:rPr>
  </w:style>
  <w:style w:type="paragraph" w:customStyle="1" w:styleId="222">
    <w:name w:val="xl83"/>
    <w:basedOn w:val="1"/>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223">
    <w:name w:val="文字缩进"/>
    <w:basedOn w:val="32"/>
    <w:uiPriority w:val="0"/>
    <w:pPr>
      <w:autoSpaceDE/>
      <w:autoSpaceDN/>
      <w:spacing w:before="100" w:beforeLines="0" w:beforeAutospacing="1" w:after="100" w:afterLines="0" w:afterAutospacing="1" w:line="400" w:lineRule="atLeast"/>
      <w:ind w:left="425"/>
      <w:jc w:val="both"/>
      <w:textAlignment w:val="baseline"/>
    </w:pPr>
    <w:rPr>
      <w:rFonts w:ascii="Times New Roman"/>
      <w:color w:val="auto"/>
    </w:rPr>
  </w:style>
  <w:style w:type="paragraph" w:customStyle="1" w:styleId="224">
    <w:name w:val="xl89"/>
    <w:basedOn w:val="1"/>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225">
    <w:name w:val="xl79"/>
    <w:basedOn w:val="1"/>
    <w:uiPriority w:val="0"/>
    <w:pPr>
      <w:widowControl/>
      <w:shd w:val="clear" w:color="auto" w:fill="CCFFCC"/>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226">
    <w:name w:val="正文 + 12 磅"/>
    <w:basedOn w:val="7"/>
    <w:uiPriority w:val="0"/>
    <w:pPr>
      <w:widowControl w:val="0"/>
      <w:spacing w:line="360" w:lineRule="auto"/>
      <w:ind w:firstLine="560" w:firstLineChars="0"/>
      <w:jc w:val="both"/>
    </w:pPr>
    <w:rPr>
      <w:rFonts w:ascii="宋体" w:hAnsi="宋体"/>
      <w:kern w:val="2"/>
      <w:sz w:val="24"/>
    </w:rPr>
  </w:style>
  <w:style w:type="paragraph" w:customStyle="1" w:styleId="227">
    <w:name w:val="样式 宋体"/>
    <w:basedOn w:val="1"/>
    <w:next w:val="1"/>
    <w:uiPriority w:val="0"/>
    <w:pPr>
      <w:widowControl/>
    </w:pPr>
    <w:rPr>
      <w:rFonts w:ascii="宋体"/>
      <w:color w:val="000000"/>
    </w:rPr>
  </w:style>
  <w:style w:type="paragraph" w:customStyle="1" w:styleId="228">
    <w:name w:val="xl28"/>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color w:val="000000"/>
      <w:kern w:val="0"/>
      <w:sz w:val="21"/>
    </w:rPr>
  </w:style>
  <w:style w:type="paragraph" w:customStyle="1" w:styleId="229">
    <w:name w:val="普通表格1"/>
    <w:basedOn w:val="1"/>
    <w:next w:val="1"/>
    <w:uiPriority w:val="0"/>
    <w:pPr>
      <w:widowControl/>
      <w:jc w:val="left"/>
    </w:pPr>
    <w:rPr>
      <w:color w:val="000000"/>
      <w:kern w:val="0"/>
    </w:rPr>
  </w:style>
  <w:style w:type="paragraph" w:customStyle="1" w:styleId="230">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231">
    <w:name w:val="正文1"/>
    <w:basedOn w:val="1"/>
    <w:uiPriority w:val="0"/>
    <w:pPr>
      <w:spacing w:before="60" w:beforeLines="0" w:after="60" w:afterLines="0" w:line="360" w:lineRule="auto"/>
      <w:ind w:left="1080"/>
      <w:outlineLvl w:val="6"/>
    </w:pPr>
  </w:style>
  <w:style w:type="paragraph" w:customStyle="1" w:styleId="232">
    <w:name w:val="Headings Font"/>
    <w:basedOn w:val="1"/>
    <w:next w:val="32"/>
    <w:uiPriority w:val="0"/>
    <w:pPr>
      <w:keepNext/>
      <w:spacing w:line="280" w:lineRule="atLeast"/>
      <w:jc w:val="left"/>
    </w:pPr>
    <w:rPr>
      <w:rFonts w:ascii="Arial" w:hAnsi="Arial"/>
      <w:kern w:val="0"/>
      <w:sz w:val="22"/>
      <w:szCs w:val="24"/>
      <w:lang w:val="en-GB"/>
    </w:rPr>
  </w:style>
  <w:style w:type="paragraph" w:customStyle="1" w:styleId="233">
    <w:name w:val="正文两字缩进"/>
    <w:basedOn w:val="77"/>
    <w:uiPriority w:val="0"/>
    <w:pPr>
      <w:tabs>
        <w:tab w:val="right" w:leader="dot" w:pos="8302"/>
      </w:tabs>
      <w:spacing w:before="156" w:beforeLines="50" w:after="156" w:afterLines="50" w:line="360" w:lineRule="auto"/>
      <w:ind w:left="0" w:leftChars="0" w:firstLine="480"/>
      <w:jc w:val="left"/>
    </w:pPr>
    <w:rPr>
      <w:rFonts w:ascii="宋体" w:hAnsi="宋体"/>
      <w:lang/>
    </w:rPr>
  </w:style>
  <w:style w:type="paragraph" w:customStyle="1" w:styleId="234">
    <w:name w:val="正文文本缩进 31"/>
    <w:basedOn w:val="1"/>
    <w:next w:val="1"/>
    <w:uiPriority w:val="0"/>
    <w:pPr>
      <w:widowControl/>
      <w:spacing w:line="360" w:lineRule="auto"/>
      <w:ind w:firstLine="420"/>
    </w:pPr>
    <w:rPr>
      <w:rFonts w:ascii="宋体"/>
      <w:color w:val="000000"/>
    </w:rPr>
  </w:style>
  <w:style w:type="paragraph" w:customStyle="1" w:styleId="235">
    <w:name w:val="正文编号4"/>
    <w:basedOn w:val="1"/>
    <w:uiPriority w:val="0"/>
    <w:pPr>
      <w:spacing w:before="60" w:beforeLines="0" w:after="60" w:afterLines="0" w:line="500" w:lineRule="exact"/>
      <w:ind w:left="1404" w:hanging="432"/>
    </w:pPr>
    <w:rPr>
      <w:sz w:val="28"/>
    </w:rPr>
  </w:style>
  <w:style w:type="paragraph" w:customStyle="1" w:styleId="236">
    <w:name w:val="二级条标题"/>
    <w:basedOn w:val="237"/>
    <w:next w:val="238"/>
    <w:uiPriority w:val="0"/>
    <w:pPr>
      <w:ind w:left="0"/>
      <w:outlineLvl w:val="3"/>
    </w:pPr>
  </w:style>
  <w:style w:type="paragraph" w:customStyle="1" w:styleId="237">
    <w:name w:val="一级条标题"/>
    <w:next w:val="238"/>
    <w:uiPriority w:val="0"/>
    <w:pPr>
      <w:ind w:left="3675"/>
      <w:outlineLvl w:val="2"/>
    </w:pPr>
    <w:rPr>
      <w:rFonts w:eastAsia="黑体"/>
      <w:sz w:val="21"/>
      <w:lang w:val="en-US" w:eastAsia="zh-CN" w:bidi="ar-SA"/>
    </w:rPr>
  </w:style>
  <w:style w:type="paragraph" w:customStyle="1" w:styleId="238">
    <w:name w:val="段"/>
    <w:uiPriority w:val="0"/>
    <w:pPr>
      <w:autoSpaceDE w:val="0"/>
      <w:autoSpaceDN w:val="0"/>
      <w:ind w:firstLine="200" w:firstLineChars="200"/>
      <w:jc w:val="both"/>
    </w:pPr>
    <w:rPr>
      <w:rFonts w:ascii="宋体"/>
      <w:sz w:val="21"/>
      <w:lang w:val="en-US" w:eastAsia="zh-CN" w:bidi="ar-SA"/>
    </w:rPr>
  </w:style>
  <w:style w:type="paragraph" w:customStyle="1" w:styleId="239">
    <w:name w:val="font19"/>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40">
    <w:name w:val="xl106"/>
    <w:basedOn w:val="1"/>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241">
    <w:name w:val="PP 行"/>
    <w:basedOn w:val="53"/>
    <w:uiPriority w:val="0"/>
  </w:style>
  <w:style w:type="paragraph" w:customStyle="1" w:styleId="242">
    <w:name w:val="xl110"/>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243">
    <w:name w:val="xl84"/>
    <w:basedOn w:val="1"/>
    <w:uiPriority w:val="0"/>
    <w:pPr>
      <w:widowControl/>
      <w:shd w:val="clear" w:color="auto" w:fill="C0C0C0"/>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244">
    <w:name w:val="Default"/>
    <w:uiPriority w:val="0"/>
    <w:pPr>
      <w:widowControl w:val="0"/>
      <w:autoSpaceDE w:val="0"/>
      <w:autoSpaceDN w:val="0"/>
      <w:adjustRightInd w:val="0"/>
    </w:pPr>
    <w:rPr>
      <w:rFonts w:ascii="宋体"/>
      <w:lang w:val="en-US" w:eastAsia="zh-CN" w:bidi="ar-SA"/>
    </w:rPr>
  </w:style>
  <w:style w:type="paragraph" w:customStyle="1" w:styleId="245">
    <w:name w:val="文档正文"/>
    <w:basedOn w:val="1"/>
    <w:uiPriority w:val="0"/>
    <w:pPr>
      <w:adjustRightInd w:val="0"/>
      <w:spacing w:line="440" w:lineRule="exact"/>
      <w:ind w:firstLine="567"/>
      <w:textAlignment w:val="baseline"/>
    </w:pPr>
    <w:rPr>
      <w:rFonts w:ascii="Arial Narrow" w:hAnsi="Arial Narrow"/>
      <w:kern w:val="0"/>
      <w:szCs w:val="24"/>
    </w:rPr>
  </w:style>
  <w:style w:type="paragraph" w:customStyle="1" w:styleId="246">
    <w:name w:val="普通(网站)1"/>
    <w:basedOn w:val="1"/>
    <w:next w:val="1"/>
    <w:uiPriority w:val="0"/>
    <w:pPr>
      <w:widowControl/>
      <w:spacing w:before="100" w:beforeLines="0" w:after="100" w:afterLines="0"/>
      <w:jc w:val="left"/>
    </w:pPr>
    <w:rPr>
      <w:rFonts w:ascii="宋体"/>
      <w:color w:val="000000"/>
      <w:kern w:val="0"/>
      <w:sz w:val="22"/>
    </w:rPr>
  </w:style>
  <w:style w:type="paragraph" w:customStyle="1" w:styleId="247">
    <w:name w:val="样式 左 首行缩进:  0.74 厘米 段前: 5 磅 段后: 5 磅 行距: 1.5 倍行距"/>
    <w:basedOn w:val="1"/>
    <w:uiPriority w:val="0"/>
    <w:pPr>
      <w:spacing w:before="100" w:beforeLines="0" w:after="100" w:afterLines="0" w:line="360" w:lineRule="auto"/>
      <w:ind w:firstLine="420"/>
      <w:jc w:val="left"/>
    </w:pPr>
  </w:style>
  <w:style w:type="paragraph" w:customStyle="1" w:styleId="248">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249">
    <w:name w:val="indent"/>
    <w:basedOn w:val="1"/>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250">
    <w:name w:val="xl101"/>
    <w:basedOn w:val="1"/>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251">
    <w:name w:val="My标题2"/>
    <w:basedOn w:val="3"/>
    <w:next w:val="1"/>
    <w:uiPriority w:val="0"/>
    <w:pPr>
      <w:tabs>
        <w:tab w:val="left" w:pos="720"/>
      </w:tabs>
      <w:adjustRightInd w:val="0"/>
      <w:spacing w:before="360" w:beforeLines="0" w:after="120" w:afterLines="0" w:line="360" w:lineRule="auto"/>
      <w:ind w:left="567" w:hanging="567"/>
      <w:jc w:val="left"/>
      <w:textAlignment w:val="baseline"/>
    </w:pPr>
    <w:rPr>
      <w:rFonts w:eastAsia="宋体"/>
      <w:kern w:val="0"/>
      <w:sz w:val="24"/>
    </w:rPr>
  </w:style>
  <w:style w:type="paragraph" w:customStyle="1" w:styleId="252">
    <w:name w:val="my标题5"/>
    <w:basedOn w:val="1"/>
    <w:uiPriority w:val="0"/>
    <w:pPr>
      <w:tabs>
        <w:tab w:val="left" w:pos="992"/>
      </w:tabs>
      <w:ind w:left="992" w:hanging="992"/>
    </w:pPr>
  </w:style>
  <w:style w:type="paragraph" w:customStyle="1" w:styleId="253">
    <w:name w:val="已访问的超链接1"/>
    <w:basedOn w:val="1"/>
    <w:next w:val="1"/>
    <w:uiPriority w:val="0"/>
    <w:pPr>
      <w:widowControl/>
    </w:pPr>
    <w:rPr>
      <w:color w:val="800080"/>
      <w:sz w:val="21"/>
      <w:u w:val="single" w:color="000000"/>
    </w:rPr>
  </w:style>
  <w:style w:type="paragraph" w:customStyle="1" w:styleId="254">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255">
    <w:name w:val="character"/>
    <w:basedOn w:val="1"/>
    <w:uiPriority w:val="0"/>
    <w:pPr>
      <w:ind w:firstLine="480" w:firstLineChars="200"/>
    </w:pPr>
    <w:rPr>
      <w:rFonts w:ascii="Arial" w:hAnsi="Arial"/>
      <w:szCs w:val="21"/>
    </w:rPr>
  </w:style>
  <w:style w:type="paragraph" w:customStyle="1" w:styleId="256">
    <w:name w:val="xl94"/>
    <w:basedOn w:val="1"/>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257">
    <w:name w:val="无列表2"/>
    <w:basedOn w:val="1"/>
    <w:next w:val="1"/>
    <w:uiPriority w:val="0"/>
    <w:pPr>
      <w:jc w:val="left"/>
    </w:pPr>
    <w:rPr>
      <w:color w:val="000000"/>
      <w:kern w:val="0"/>
    </w:rPr>
  </w:style>
  <w:style w:type="paragraph" w:customStyle="1" w:styleId="258">
    <w:name w:val="xl30"/>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b/>
      <w:color w:val="000000"/>
      <w:kern w:val="0"/>
      <w:sz w:val="20"/>
    </w:rPr>
  </w:style>
  <w:style w:type="paragraph" w:customStyle="1" w:styleId="259">
    <w:name w:val="正文文字2"/>
    <w:basedOn w:val="32"/>
    <w:uiPriority w:val="0"/>
    <w:pPr>
      <w:autoSpaceDE/>
      <w:autoSpaceDN/>
      <w:spacing w:after="60" w:afterLines="0" w:line="360" w:lineRule="atLeast"/>
      <w:ind w:left="72" w:right="72"/>
      <w:jc w:val="center"/>
      <w:textAlignment w:val="baseline"/>
    </w:pPr>
    <w:rPr>
      <w:rFonts w:ascii="Arial" w:eastAsia="黑体"/>
      <w:color w:val="auto"/>
      <w:sz w:val="21"/>
      <w:lang w:val="en-US" w:eastAsia="zh-CN"/>
    </w:rPr>
  </w:style>
  <w:style w:type="paragraph" w:customStyle="1" w:styleId="260">
    <w:name w:val=" Char Char Char Char Char"/>
    <w:basedOn w:val="1"/>
    <w:uiPriority w:val="0"/>
    <w:pPr>
      <w:tabs>
        <w:tab w:val="left" w:pos="980"/>
      </w:tabs>
      <w:ind w:left="980" w:hanging="420"/>
    </w:pPr>
    <w:rPr>
      <w:rFonts w:ascii="Tahoma" w:hAnsi="Tahoma"/>
    </w:rPr>
  </w:style>
  <w:style w:type="paragraph" w:customStyle="1" w:styleId="261">
    <w:name w:val="样式3"/>
    <w:basedOn w:val="1"/>
    <w:uiPriority w:val="0"/>
    <w:pPr>
      <w:ind w:left="1980"/>
    </w:pPr>
    <w:rPr>
      <w:sz w:val="21"/>
    </w:rPr>
  </w:style>
  <w:style w:type="paragraph" w:customStyle="1" w:styleId="262">
    <w:name w:val="居中表格内容标题"/>
    <w:basedOn w:val="1"/>
    <w:qFormat/>
    <w:uiPriority w:val="0"/>
    <w:pPr>
      <w:jc w:val="center"/>
    </w:pPr>
    <w:rPr>
      <w:b/>
      <w:sz w:val="21"/>
    </w:rPr>
  </w:style>
  <w:style w:type="paragraph" w:customStyle="1" w:styleId="263">
    <w:name w:val="p0"/>
    <w:basedOn w:val="1"/>
    <w:uiPriority w:val="0"/>
    <w:pPr>
      <w:widowControl/>
      <w:spacing w:before="100" w:beforeLines="0" w:beforeAutospacing="1" w:after="100" w:afterLines="0" w:afterAutospacing="1"/>
      <w:jc w:val="left"/>
    </w:pPr>
    <w:rPr>
      <w:rFonts w:ascii="宋体" w:hAnsi="宋体"/>
      <w:kern w:val="0"/>
    </w:rPr>
  </w:style>
  <w:style w:type="paragraph" w:customStyle="1" w:styleId="264">
    <w:name w:val="投标文件3"/>
    <w:basedOn w:val="1"/>
    <w:uiPriority w:val="0"/>
    <w:pPr>
      <w:widowControl/>
      <w:spacing w:line="360" w:lineRule="auto"/>
    </w:pPr>
    <w:rPr>
      <w:rFonts w:ascii="宋体" w:hAnsi="Courier New" w:eastAsia="黑体"/>
      <w:b/>
      <w:sz w:val="30"/>
    </w:rPr>
  </w:style>
  <w:style w:type="paragraph" w:customStyle="1" w:styleId="265">
    <w:name w:val="页头专用"/>
    <w:basedOn w:val="1"/>
    <w:next w:val="1"/>
    <w:uiPriority w:val="0"/>
    <w:pPr>
      <w:spacing w:line="360" w:lineRule="auto"/>
      <w:ind w:firstLine="200" w:firstLineChars="200"/>
      <w:jc w:val="left"/>
    </w:pPr>
    <w:rPr>
      <w:rFonts w:ascii="宋体" w:hAnsi="宋体"/>
      <w:b/>
      <w:sz w:val="28"/>
      <w:szCs w:val="24"/>
      <w:u w:val="single"/>
    </w:rPr>
  </w:style>
  <w:style w:type="paragraph" w:customStyle="1" w:styleId="266">
    <w:name w:val="font16"/>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67">
    <w:name w:val="flType"/>
    <w:basedOn w:val="1"/>
    <w:uiPriority w:val="0"/>
    <w:pPr>
      <w:adjustRightInd w:val="0"/>
      <w:spacing w:before="560" w:beforeLines="0" w:after="120" w:afterLines="0" w:line="360" w:lineRule="auto"/>
      <w:jc w:val="center"/>
      <w:textAlignment w:val="baseline"/>
    </w:pPr>
    <w:rPr>
      <w:rFonts w:ascii="Arial" w:eastAsia="黑体"/>
      <w:kern w:val="0"/>
      <w:sz w:val="28"/>
    </w:rPr>
  </w:style>
  <w:style w:type="paragraph" w:customStyle="1" w:styleId="268">
    <w:name w:val="框内说明"/>
    <w:basedOn w:val="1"/>
    <w:uiPriority w:val="0"/>
    <w:pPr>
      <w:adjustRightInd w:val="0"/>
      <w:snapToGrid w:val="0"/>
    </w:pPr>
    <w:rPr>
      <w:kern w:val="0"/>
      <w:sz w:val="21"/>
    </w:rPr>
  </w:style>
  <w:style w:type="paragraph" w:customStyle="1" w:styleId="269">
    <w:name w:val=" Char2"/>
    <w:basedOn w:val="1"/>
    <w:uiPriority w:val="0"/>
    <w:rPr>
      <w:rFonts w:ascii="仿宋_GB2312" w:eastAsia="仿宋_GB2312"/>
      <w:b/>
      <w:sz w:val="32"/>
    </w:rPr>
  </w:style>
  <w:style w:type="paragraph" w:customStyle="1" w:styleId="270">
    <w:name w:val="样式5"/>
    <w:basedOn w:val="1"/>
    <w:uiPriority w:val="0"/>
    <w:pPr>
      <w:spacing w:before="50" w:beforeLines="0" w:after="75" w:afterLines="0"/>
      <w:outlineLvl w:val="2"/>
    </w:pPr>
    <w:rPr>
      <w:rFonts w:ascii="宋体" w:hAnsi="宋体"/>
      <w:b/>
      <w:color w:val="000000"/>
      <w:kern w:val="44"/>
      <w:sz w:val="28"/>
    </w:rPr>
  </w:style>
  <w:style w:type="paragraph" w:customStyle="1" w:styleId="271">
    <w:name w:val="样式 样式 标题 1 + 黑体 三号 + 段前: 1 行 段后: 1 行"/>
    <w:basedOn w:val="1"/>
    <w:uiPriority w:val="0"/>
    <w:pPr>
      <w:keepNext/>
      <w:keepLines/>
      <w:tabs>
        <w:tab w:val="left" w:pos="1021"/>
      </w:tabs>
      <w:spacing w:before="312" w:beforeLines="100" w:after="312" w:afterLines="100" w:line="360" w:lineRule="auto"/>
      <w:ind w:firstLine="482"/>
      <w:outlineLvl w:val="0"/>
    </w:pPr>
    <w:rPr>
      <w:rFonts w:ascii="Arial" w:hAnsi="Arial" w:eastAsia="黑体"/>
      <w:b/>
      <w:spacing w:val="10"/>
      <w:kern w:val="44"/>
      <w:sz w:val="32"/>
    </w:rPr>
  </w:style>
  <w:style w:type="paragraph" w:customStyle="1" w:styleId="272">
    <w:name w:val="xl76"/>
    <w:basedOn w:val="1"/>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273">
    <w:name w:val="Char Char Char Char1"/>
    <w:basedOn w:val="1"/>
    <w:uiPriority w:val="0"/>
    <w:rPr>
      <w:rFonts w:ascii="Tahoma" w:hAnsi="Tahoma"/>
    </w:rPr>
  </w:style>
  <w:style w:type="paragraph" w:customStyle="1" w:styleId="274">
    <w:name w:val="纯文本1"/>
    <w:basedOn w:val="1"/>
    <w:next w:val="1"/>
    <w:uiPriority w:val="0"/>
    <w:pPr>
      <w:widowControl/>
      <w:tabs>
        <w:tab w:val="left" w:pos="840"/>
      </w:tabs>
      <w:spacing w:line="360" w:lineRule="auto"/>
      <w:ind w:left="840" w:hanging="420"/>
    </w:pPr>
    <w:rPr>
      <w:rFonts w:ascii="宋体"/>
      <w:color w:val="000000"/>
    </w:rPr>
  </w:style>
  <w:style w:type="paragraph" w:customStyle="1" w:styleId="275">
    <w:name w:val="页码1"/>
    <w:basedOn w:val="1"/>
    <w:next w:val="1"/>
    <w:uiPriority w:val="0"/>
    <w:pPr>
      <w:widowControl/>
    </w:pPr>
    <w:rPr>
      <w:color w:val="000000"/>
      <w:sz w:val="21"/>
    </w:rPr>
  </w:style>
  <w:style w:type="paragraph" w:customStyle="1" w:styleId="276">
    <w:name w:val="xl25"/>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color w:val="000000"/>
      <w:kern w:val="0"/>
      <w:sz w:val="21"/>
    </w:rPr>
  </w:style>
  <w:style w:type="paragraph" w:customStyle="1" w:styleId="277">
    <w:name w:val=" Char Char Char1 Char Char Char Char"/>
    <w:basedOn w:val="1"/>
    <w:uiPriority w:val="0"/>
    <w:rPr>
      <w:rFonts w:ascii="仿宋_GB2312" w:eastAsia="仿宋_GB2312"/>
      <w:b/>
      <w:sz w:val="32"/>
    </w:rPr>
  </w:style>
  <w:style w:type="paragraph" w:customStyle="1" w:styleId="278">
    <w:name w:val="xl105"/>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79">
    <w:name w:val="myp1111"/>
    <w:basedOn w:val="1"/>
    <w:next w:val="1"/>
    <w:uiPriority w:val="0"/>
    <w:pPr>
      <w:widowControl/>
    </w:pPr>
    <w:rPr>
      <w:rFonts w:ascii="ˎ̥" w:hAnsi="ˎ̥"/>
      <w:color w:val="000000"/>
      <w:sz w:val="20"/>
    </w:rPr>
  </w:style>
  <w:style w:type="paragraph" w:customStyle="1" w:styleId="280">
    <w:name w:val="此正文"/>
    <w:basedOn w:val="1"/>
    <w:next w:val="1"/>
    <w:uiPriority w:val="0"/>
    <w:pPr>
      <w:widowControl/>
      <w:spacing w:line="360" w:lineRule="auto"/>
      <w:ind w:firstLine="480"/>
    </w:pPr>
    <w:rPr>
      <w:color w:val="000000"/>
    </w:rPr>
  </w:style>
  <w:style w:type="paragraph" w:customStyle="1" w:styleId="281">
    <w:name w:val="列出段落"/>
    <w:basedOn w:val="1"/>
    <w:qFormat/>
    <w:uiPriority w:val="0"/>
    <w:pPr>
      <w:ind w:firstLine="420" w:firstLineChars="200"/>
    </w:pPr>
    <w:rPr>
      <w:rFonts w:ascii="Verdana" w:hAnsi="Verdana" w:eastAsia="微软雅黑"/>
      <w:sz w:val="21"/>
    </w:rPr>
  </w:style>
  <w:style w:type="paragraph" w:customStyle="1" w:styleId="282">
    <w:name w:val=" Char Char Char Char Char Char Char Char Char Char Char Char Char Char Char Char"/>
    <w:basedOn w:val="1"/>
    <w:uiPriority w:val="0"/>
    <w:rPr>
      <w:rFonts w:ascii="Tahoma" w:hAnsi="Tahoma"/>
    </w:rPr>
  </w:style>
  <w:style w:type="paragraph" w:customStyle="1" w:styleId="283">
    <w:name w:val="My标题1"/>
    <w:basedOn w:val="2"/>
    <w:next w:val="1"/>
    <w:uiPriority w:val="0"/>
    <w:pPr>
      <w:tabs>
        <w:tab w:val="left" w:pos="425"/>
      </w:tabs>
      <w:adjustRightInd w:val="0"/>
      <w:spacing w:before="120" w:beforeLines="0" w:after="360" w:afterLines="0" w:line="360" w:lineRule="auto"/>
      <w:ind w:left="425" w:hanging="425"/>
      <w:jc w:val="left"/>
      <w:textAlignment w:val="baseline"/>
    </w:pPr>
    <w:rPr>
      <w:rFonts w:ascii="Arial" w:hAnsi="Arial" w:eastAsia="宋体"/>
      <w:sz w:val="32"/>
    </w:rPr>
  </w:style>
  <w:style w:type="paragraph" w:customStyle="1" w:styleId="284">
    <w:name w:val="xl98"/>
    <w:basedOn w:val="1"/>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285">
    <w:name w:val="正文文本缩进1"/>
    <w:basedOn w:val="1"/>
    <w:next w:val="1"/>
    <w:uiPriority w:val="0"/>
    <w:pPr>
      <w:widowControl/>
      <w:spacing w:after="120" w:afterLines="0"/>
      <w:ind w:left="420"/>
    </w:pPr>
    <w:rPr>
      <w:color w:val="000000"/>
      <w:sz w:val="21"/>
    </w:rPr>
  </w:style>
  <w:style w:type="paragraph" w:customStyle="1" w:styleId="286">
    <w:name w:val="xl71"/>
    <w:basedOn w:val="1"/>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287">
    <w:name w:val="List2"/>
    <w:basedOn w:val="1"/>
    <w:uiPriority w:val="0"/>
    <w:pPr>
      <w:tabs>
        <w:tab w:val="left" w:pos="643"/>
        <w:tab w:val="left" w:pos="840"/>
      </w:tabs>
      <w:spacing w:line="360" w:lineRule="auto"/>
      <w:ind w:left="643" w:hanging="420"/>
    </w:pPr>
  </w:style>
  <w:style w:type="paragraph" w:customStyle="1" w:styleId="288">
    <w:name w:val="Char Char1 Char Char Char Char Char Char Char Char Char Char Char Char Char Char Char Char"/>
    <w:basedOn w:val="1"/>
    <w:uiPriority w:val="0"/>
    <w:pPr>
      <w:widowControl/>
      <w:spacing w:after="160" w:afterLines="0" w:line="240" w:lineRule="exact"/>
      <w:jc w:val="left"/>
    </w:pPr>
    <w:rPr>
      <w:rFonts w:ascii="Verdana" w:hAnsi="Verdana"/>
      <w:kern w:val="0"/>
      <w:sz w:val="20"/>
      <w:lang w:eastAsia="en-US"/>
    </w:rPr>
  </w:style>
  <w:style w:type="paragraph" w:customStyle="1" w:styleId="289">
    <w:name w:val="xl107"/>
    <w:basedOn w:val="1"/>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290">
    <w:name w:val="样式 标题 3h33rd levelH3Level 3 Headsect1.2.3BOD 0l3CTHeadi..."/>
    <w:basedOn w:val="4"/>
    <w:uiPriority w:val="0"/>
    <w:pPr>
      <w:tabs>
        <w:tab w:val="left" w:pos="420"/>
      </w:tabs>
      <w:spacing w:before="200" w:beforeLines="0" w:after="0" w:afterLines="0" w:line="360" w:lineRule="auto"/>
      <w:ind w:left="420" w:hanging="420"/>
    </w:pPr>
    <w:rPr>
      <w:rFonts w:ascii="宋体" w:hAnsi="宋体" w:eastAsia="楷体_GB2312"/>
      <w:sz w:val="24"/>
    </w:rPr>
  </w:style>
  <w:style w:type="paragraph" w:customStyle="1" w:styleId="291">
    <w:name w:val="华宇段落1"/>
    <w:basedOn w:val="1"/>
    <w:uiPriority w:val="0"/>
    <w:pPr>
      <w:spacing w:before="156" w:beforeLines="50" w:after="156" w:afterLines="50" w:line="360" w:lineRule="auto"/>
      <w:ind w:firstLine="480" w:firstLineChars="200"/>
    </w:pPr>
    <w:rPr>
      <w:rFonts w:eastAsia="仿宋_GB2312"/>
      <w:bCs/>
      <w:sz w:val="28"/>
      <w:szCs w:val="24"/>
    </w:rPr>
  </w:style>
  <w:style w:type="paragraph" w:customStyle="1" w:styleId="292">
    <w:name w:val="xl96"/>
    <w:basedOn w:val="1"/>
    <w:uiPriority w:val="0"/>
    <w:pPr>
      <w:widowControl/>
      <w:spacing w:before="100" w:beforeLines="0" w:beforeAutospacing="1" w:after="100" w:afterLines="0" w:afterAutospacing="1"/>
      <w:jc w:val="center"/>
      <w:textAlignment w:val="bottom"/>
    </w:pPr>
    <w:rPr>
      <w:rFonts w:ascii="幼圆" w:hAnsi="宋体" w:eastAsia="幼圆" w:cs="宋体"/>
      <w:kern w:val="0"/>
      <w:szCs w:val="24"/>
    </w:rPr>
  </w:style>
  <w:style w:type="paragraph" w:customStyle="1" w:styleId="293">
    <w:name w:val="规范正文"/>
    <w:basedOn w:val="1"/>
    <w:uiPriority w:val="0"/>
    <w:pPr>
      <w:adjustRightInd w:val="0"/>
      <w:spacing w:line="360" w:lineRule="auto"/>
      <w:ind w:left="480"/>
      <w:textAlignment w:val="baseline"/>
    </w:pPr>
    <w:rPr>
      <w:kern w:val="0"/>
    </w:rPr>
  </w:style>
  <w:style w:type="paragraph" w:customStyle="1" w:styleId="294">
    <w:name w:val="xl29"/>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color w:val="000000"/>
      <w:kern w:val="0"/>
      <w:sz w:val="21"/>
    </w:rPr>
  </w:style>
  <w:style w:type="paragraph" w:customStyle="1" w:styleId="295">
    <w:name w:val="font8"/>
    <w:basedOn w:val="1"/>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296">
    <w:name w:val="文章标题 2"/>
    <w:basedOn w:val="3"/>
    <w:next w:val="1"/>
    <w:uiPriority w:val="0"/>
    <w:pPr>
      <w:tabs>
        <w:tab w:val="left" w:pos="358"/>
      </w:tabs>
      <w:spacing w:line="413" w:lineRule="auto"/>
    </w:pPr>
    <w:rPr>
      <w:rFonts w:ascii="黑体"/>
      <w:b w:val="0"/>
      <w:sz w:val="32"/>
    </w:rPr>
  </w:style>
  <w:style w:type="paragraph" w:customStyle="1" w:styleId="297">
    <w:name w:val="Char Char Char Char Char Char Char Char Char Char"/>
    <w:basedOn w:val="25"/>
    <w:uiPriority w:val="0"/>
    <w:rPr>
      <w:rFonts w:ascii="Tahoma" w:hAnsi="Tahoma"/>
    </w:rPr>
  </w:style>
  <w:style w:type="paragraph" w:customStyle="1" w:styleId="298">
    <w:name w:val="正文3"/>
    <w:basedOn w:val="1"/>
    <w:uiPriority w:val="0"/>
    <w:pPr>
      <w:spacing w:before="60" w:beforeLines="0" w:after="60" w:afterLines="0" w:line="360" w:lineRule="auto"/>
      <w:outlineLvl w:val="8"/>
    </w:pPr>
  </w:style>
  <w:style w:type="paragraph" w:customStyle="1" w:styleId="299">
    <w:name w:val="正文缩进 2"/>
    <w:basedOn w:val="1"/>
    <w:uiPriority w:val="0"/>
    <w:pPr>
      <w:adjustRightInd w:val="0"/>
      <w:spacing w:line="400" w:lineRule="atLeast"/>
      <w:ind w:left="400" w:leftChars="400" w:firstLine="454"/>
      <w:textAlignment w:val="baseline"/>
    </w:pPr>
    <w:rPr>
      <w:kern w:val="0"/>
    </w:rPr>
  </w:style>
  <w:style w:type="paragraph" w:customStyle="1" w:styleId="300">
    <w:name w:val="列表编号 31"/>
    <w:basedOn w:val="1"/>
    <w:next w:val="1"/>
    <w:uiPriority w:val="0"/>
    <w:pPr>
      <w:widowControl/>
      <w:tabs>
        <w:tab w:val="left" w:pos="482"/>
        <w:tab w:val="left" w:pos="840"/>
      </w:tabs>
      <w:spacing w:after="50" w:afterLines="0"/>
      <w:ind w:left="482" w:hanging="340"/>
      <w:jc w:val="left"/>
    </w:pPr>
    <w:rPr>
      <w:color w:val="000000"/>
      <w:kern w:val="0"/>
    </w:rPr>
  </w:style>
  <w:style w:type="paragraph" w:customStyle="1" w:styleId="301">
    <w:name w:val="font23"/>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02">
    <w:name w:val="Char Char"/>
    <w:basedOn w:val="1"/>
    <w:uiPriority w:val="0"/>
    <w:pPr>
      <w:spacing w:line="360" w:lineRule="auto"/>
    </w:pPr>
    <w:rPr>
      <w:rFonts w:ascii="Tahoma" w:hAnsi="Tahoma"/>
    </w:rPr>
  </w:style>
  <w:style w:type="paragraph" w:customStyle="1" w:styleId="303">
    <w:name w:val="xl27"/>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kern w:val="0"/>
      <w:sz w:val="21"/>
    </w:rPr>
  </w:style>
  <w:style w:type="paragraph" w:customStyle="1" w:styleId="304">
    <w:name w:val="font5"/>
    <w:basedOn w:val="1"/>
    <w:uiPriority w:val="0"/>
    <w:pPr>
      <w:widowControl/>
      <w:adjustRightInd w:val="0"/>
      <w:spacing w:before="100" w:beforeLines="0" w:after="100" w:afterLines="0"/>
      <w:jc w:val="left"/>
      <w:textAlignment w:val="baseline"/>
    </w:pPr>
    <w:rPr>
      <w:rFonts w:ascii="宋体" w:hAnsi="宋体"/>
      <w:color w:val="000000"/>
      <w:kern w:val="0"/>
      <w:sz w:val="21"/>
    </w:rPr>
  </w:style>
  <w:style w:type="paragraph" w:customStyle="1" w:styleId="305">
    <w:name w:val="标题3级"/>
    <w:uiPriority w:val="0"/>
    <w:pPr>
      <w:tabs>
        <w:tab w:val="left" w:pos="1260"/>
      </w:tabs>
      <w:spacing w:line="360" w:lineRule="auto"/>
      <w:ind w:left="1260" w:hanging="420"/>
      <w:jc w:val="both"/>
      <w:outlineLvl w:val="2"/>
    </w:pPr>
    <w:rPr>
      <w:rFonts w:ascii="Arial" w:hAnsi="Arial" w:eastAsia="黑体"/>
      <w:b/>
      <w:sz w:val="30"/>
      <w:lang w:val="en-US" w:eastAsia="zh-CN" w:bidi="ar-SA"/>
    </w:rPr>
  </w:style>
  <w:style w:type="paragraph" w:customStyle="1" w:styleId="306">
    <w:name w:val="表格项目符号"/>
    <w:basedOn w:val="1"/>
    <w:next w:val="1"/>
    <w:uiPriority w:val="0"/>
    <w:pPr>
      <w:widowControl/>
      <w:tabs>
        <w:tab w:val="left" w:pos="249"/>
      </w:tabs>
      <w:snapToGrid w:val="0"/>
      <w:spacing w:line="300" w:lineRule="auto"/>
      <w:ind w:left="249" w:hanging="249"/>
    </w:pPr>
    <w:rPr>
      <w:color w:val="000000"/>
      <w:sz w:val="21"/>
    </w:rPr>
  </w:style>
  <w:style w:type="paragraph" w:customStyle="1" w:styleId="307">
    <w:name w:val="Plain Text"/>
    <w:basedOn w:val="1"/>
    <w:uiPriority w:val="0"/>
    <w:pPr>
      <w:adjustRightInd w:val="0"/>
      <w:spacing w:before="50" w:beforeLines="0"/>
      <w:jc w:val="left"/>
      <w:textAlignment w:val="baseline"/>
    </w:pPr>
    <w:rPr>
      <w:rFonts w:ascii="宋体" w:hAnsi="Courier New"/>
    </w:rPr>
  </w:style>
  <w:style w:type="paragraph" w:customStyle="1" w:styleId="308">
    <w:name w:val="xl85"/>
    <w:basedOn w:val="1"/>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309">
    <w:name w:val="font6"/>
    <w:basedOn w:val="1"/>
    <w:uiPriority w:val="0"/>
    <w:pPr>
      <w:widowControl/>
      <w:adjustRightInd w:val="0"/>
      <w:spacing w:before="100" w:beforeLines="0" w:after="100" w:afterLines="0"/>
      <w:jc w:val="left"/>
      <w:textAlignment w:val="baseline"/>
    </w:pPr>
    <w:rPr>
      <w:color w:val="000000"/>
      <w:kern w:val="0"/>
      <w:sz w:val="21"/>
    </w:rPr>
  </w:style>
  <w:style w:type="paragraph" w:customStyle="1" w:styleId="310">
    <w:name w:val="文本正文2"/>
    <w:basedOn w:val="1"/>
    <w:uiPriority w:val="0"/>
    <w:pPr>
      <w:spacing w:before="156" w:beforeLines="0" w:after="156" w:afterLines="0" w:line="360" w:lineRule="auto"/>
    </w:pPr>
    <w:rPr>
      <w:color w:val="000000"/>
      <w:sz w:val="21"/>
    </w:rPr>
  </w:style>
  <w:style w:type="paragraph" w:customStyle="1" w:styleId="311">
    <w:name w:val="Char"/>
    <w:basedOn w:val="25"/>
    <w:uiPriority w:val="0"/>
    <w:rPr>
      <w:rFonts w:ascii="Tahoma" w:hAnsi="Tahoma"/>
    </w:rPr>
  </w:style>
  <w:style w:type="paragraph" w:customStyle="1" w:styleId="312">
    <w:name w:val="xl92"/>
    <w:basedOn w:val="1"/>
    <w:uiPriority w:val="0"/>
    <w:pPr>
      <w:widowControl/>
      <w:spacing w:before="100" w:beforeLines="0" w:beforeAutospacing="1" w:after="100" w:afterLines="0" w:afterAutospacing="1"/>
      <w:jc w:val="center"/>
    </w:pPr>
    <w:rPr>
      <w:rFonts w:ascii="宋体" w:hAnsi="宋体" w:cs="宋体"/>
      <w:kern w:val="0"/>
      <w:szCs w:val="24"/>
    </w:rPr>
  </w:style>
  <w:style w:type="paragraph" w:customStyle="1" w:styleId="313">
    <w:name w:val="图脚"/>
    <w:basedOn w:val="1"/>
    <w:uiPriority w:val="0"/>
    <w:pPr>
      <w:tabs>
        <w:tab w:val="left" w:pos="900"/>
      </w:tabs>
      <w:ind w:left="900" w:hanging="420"/>
      <w:jc w:val="center"/>
    </w:pPr>
    <w:rPr>
      <w:rFonts w:eastAsia="黑体"/>
      <w:lang/>
    </w:rPr>
  </w:style>
  <w:style w:type="paragraph" w:customStyle="1" w:styleId="314">
    <w:name w:val="xl77"/>
    <w:basedOn w:val="1"/>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315">
    <w:name w:val="集群正文"/>
    <w:basedOn w:val="1"/>
    <w:qFormat/>
    <w:uiPriority w:val="0"/>
    <w:pPr>
      <w:spacing w:beforeLines="50" w:line="312" w:lineRule="auto"/>
      <w:ind w:firstLine="480" w:firstLineChars="200"/>
    </w:pPr>
    <w:rPr>
      <w:sz w:val="28"/>
    </w:rPr>
  </w:style>
  <w:style w:type="paragraph" w:customStyle="1" w:styleId="316">
    <w:name w:val="正文字缩2字"/>
    <w:basedOn w:val="1"/>
    <w:uiPriority w:val="0"/>
    <w:pPr>
      <w:spacing w:before="60" w:beforeLines="0" w:after="60" w:afterLines="0" w:line="360" w:lineRule="auto"/>
      <w:ind w:left="200" w:leftChars="200" w:firstLine="200" w:firstLineChars="200"/>
    </w:pPr>
  </w:style>
  <w:style w:type="paragraph" w:customStyle="1" w:styleId="317">
    <w:name w:val="xl72"/>
    <w:basedOn w:val="1"/>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318">
    <w:name w:val="xl97"/>
    <w:basedOn w:val="1"/>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319">
    <w:name w:val="xl46"/>
    <w:basedOn w:val="1"/>
    <w:uiPriority w:val="0"/>
    <w:pPr>
      <w:widowControl/>
      <w:spacing w:before="100" w:beforeLines="0" w:beforeAutospacing="1" w:after="100" w:afterLines="0" w:afterAutospacing="1"/>
      <w:jc w:val="center"/>
    </w:pPr>
    <w:rPr>
      <w:rFonts w:hint="eastAsia" w:ascii="黑体" w:hAnsi="宋体" w:eastAsia="黑体"/>
      <w:kern w:val="0"/>
      <w:sz w:val="36"/>
      <w:szCs w:val="36"/>
    </w:rPr>
  </w:style>
  <w:style w:type="paragraph" w:customStyle="1" w:styleId="320">
    <w:name w:val="正文文字3"/>
    <w:basedOn w:val="1"/>
    <w:uiPriority w:val="0"/>
    <w:pPr>
      <w:spacing w:before="60" w:beforeLines="0" w:after="60" w:afterLines="0" w:line="500" w:lineRule="exact"/>
      <w:ind w:left="1020" w:firstLine="592"/>
    </w:pPr>
    <w:rPr>
      <w:sz w:val="28"/>
    </w:rPr>
  </w:style>
  <w:style w:type="paragraph" w:customStyle="1" w:styleId="321">
    <w:name w:val="默认段落字体 Para Char Char Char Char Char Char Char"/>
    <w:basedOn w:val="1"/>
    <w:uiPriority w:val="0"/>
    <w:rPr>
      <w:rFonts w:ascii="Tahoma" w:hAnsi="Tahoma"/>
      <w:b/>
    </w:rPr>
  </w:style>
  <w:style w:type="paragraph" w:customStyle="1" w:styleId="322">
    <w:name w:val="font12"/>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23">
    <w:name w:val="缺省文本"/>
    <w:basedOn w:val="1"/>
    <w:uiPriority w:val="0"/>
    <w:pPr>
      <w:autoSpaceDE w:val="0"/>
      <w:autoSpaceDN w:val="0"/>
      <w:adjustRightInd w:val="0"/>
      <w:jc w:val="left"/>
    </w:pPr>
    <w:rPr>
      <w:kern w:val="0"/>
    </w:rPr>
  </w:style>
  <w:style w:type="paragraph" w:customStyle="1" w:styleId="324">
    <w:name w:val="font14"/>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25">
    <w:name w:val="正文图标题"/>
    <w:next w:val="238"/>
    <w:uiPriority w:val="0"/>
    <w:pPr>
      <w:jc w:val="center"/>
    </w:pPr>
    <w:rPr>
      <w:rFonts w:ascii="黑体" w:eastAsia="黑体"/>
      <w:sz w:val="21"/>
      <w:lang w:val="en-US" w:eastAsia="zh-CN" w:bidi="ar-SA"/>
    </w:rPr>
  </w:style>
  <w:style w:type="paragraph" w:customStyle="1" w:styleId="326">
    <w:name w:val="表格"/>
    <w:basedOn w:val="1"/>
    <w:uiPriority w:val="0"/>
    <w:pPr>
      <w:jc w:val="left"/>
    </w:pPr>
    <w:rPr>
      <w:sz w:val="18"/>
    </w:rPr>
  </w:style>
  <w:style w:type="paragraph" w:customStyle="1" w:styleId="327">
    <w:name w:val="xl100"/>
    <w:basedOn w:val="1"/>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328">
    <w:name w:val="标题 8 +"/>
    <w:basedOn w:val="11"/>
    <w:uiPriority w:val="0"/>
    <w:rPr>
      <w:kern w:val="0"/>
    </w:rPr>
  </w:style>
  <w:style w:type="paragraph" w:customStyle="1" w:styleId="329">
    <w:name w:val="纯文本2"/>
    <w:basedOn w:val="1"/>
    <w:next w:val="1"/>
    <w:uiPriority w:val="0"/>
    <w:rPr>
      <w:rFonts w:ascii="宋体"/>
      <w:color w:val="000000"/>
      <w:sz w:val="21"/>
    </w:rPr>
  </w:style>
  <w:style w:type="paragraph" w:customStyle="1" w:styleId="330">
    <w:name w:val="章标题"/>
    <w:next w:val="238"/>
    <w:uiPriority w:val="0"/>
    <w:pPr>
      <w:spacing w:before="156" w:beforeLines="50" w:after="156" w:afterLines="50"/>
      <w:jc w:val="both"/>
      <w:outlineLvl w:val="1"/>
    </w:pPr>
    <w:rPr>
      <w:rFonts w:ascii="黑体" w:eastAsia="黑体"/>
      <w:sz w:val="21"/>
      <w:lang w:val="en-US" w:eastAsia="zh-CN" w:bidi="ar-SA"/>
    </w:rPr>
  </w:style>
  <w:style w:type="paragraph" w:customStyle="1" w:styleId="331">
    <w:name w:val="排列"/>
    <w:basedOn w:val="1"/>
    <w:uiPriority w:val="0"/>
    <w:pPr>
      <w:jc w:val="center"/>
    </w:pPr>
    <w:rPr>
      <w:rFonts w:ascii="楷体_GB2312" w:hAnsi="Courier New" w:eastAsia="楷体_GB2312"/>
      <w:sz w:val="21"/>
    </w:rPr>
  </w:style>
  <w:style w:type="paragraph" w:customStyle="1" w:styleId="332">
    <w:name w:val="font22"/>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33">
    <w:name w:val="Body Text 2"/>
    <w:basedOn w:val="1"/>
    <w:uiPriority w:val="0"/>
    <w:pPr>
      <w:adjustRightInd w:val="0"/>
      <w:spacing w:line="300" w:lineRule="auto"/>
      <w:jc w:val="center"/>
    </w:pPr>
    <w:rPr>
      <w:rFonts w:hint="eastAsia" w:ascii="宋体" w:hAnsi="宋体"/>
    </w:rPr>
  </w:style>
  <w:style w:type="paragraph" w:customStyle="1" w:styleId="334">
    <w:name w:val="样式 标题 1H1章节1l0Section HeadHeader1h1Level 1 HeadPIM 1He..."/>
    <w:basedOn w:val="2"/>
    <w:uiPriority w:val="0"/>
    <w:pPr>
      <w:tabs>
        <w:tab w:val="left" w:pos="478"/>
      </w:tabs>
      <w:spacing w:line="576" w:lineRule="auto"/>
      <w:jc w:val="both"/>
    </w:pPr>
    <w:rPr>
      <w:rFonts w:eastAsia="宋体"/>
      <w:sz w:val="44"/>
    </w:rPr>
  </w:style>
  <w:style w:type="paragraph" w:customStyle="1" w:styleId="335">
    <w:name w:val="正文文字缩进2"/>
    <w:basedOn w:val="32"/>
    <w:uiPriority w:val="0"/>
    <w:pPr>
      <w:autoSpaceDE/>
      <w:autoSpaceDN/>
      <w:spacing w:before="100" w:beforeLines="0" w:beforeAutospacing="1" w:after="100" w:afterLines="0" w:afterAutospacing="1" w:line="400" w:lineRule="atLeast"/>
      <w:ind w:left="400" w:leftChars="400"/>
      <w:jc w:val="both"/>
      <w:textAlignment w:val="baseline"/>
    </w:pPr>
    <w:rPr>
      <w:rFonts w:ascii="Times New Roman"/>
      <w:color w:val="auto"/>
    </w:rPr>
  </w:style>
  <w:style w:type="paragraph" w:customStyle="1" w:styleId="336">
    <w:name w:val="xl82"/>
    <w:basedOn w:val="1"/>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337">
    <w:name w:val="标题3下的宋体"/>
    <w:uiPriority w:val="0"/>
    <w:pPr>
      <w:widowControl w:val="0"/>
      <w:adjustRightInd w:val="0"/>
      <w:snapToGrid w:val="0"/>
      <w:spacing w:before="62" w:beforeLines="20" w:after="62" w:afterLines="20" w:line="300" w:lineRule="auto"/>
      <w:ind w:left="300" w:leftChars="300" w:firstLine="200" w:firstLineChars="200"/>
      <w:jc w:val="both"/>
    </w:pPr>
    <w:rPr>
      <w:kern w:val="2"/>
      <w:sz w:val="28"/>
      <w:szCs w:val="28"/>
      <w:lang w:val="en-US" w:eastAsia="zh-CN" w:bidi="ar-SA"/>
    </w:rPr>
  </w:style>
  <w:style w:type="paragraph" w:customStyle="1" w:styleId="338">
    <w:name w:val="xl95"/>
    <w:basedOn w:val="1"/>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339">
    <w:name w:val="xl90"/>
    <w:basedOn w:val="1"/>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340">
    <w:name w:val="样式 首行缩进:  2 字符"/>
    <w:basedOn w:val="1"/>
    <w:uiPriority w:val="0"/>
    <w:pPr>
      <w:spacing w:after="120" w:afterLines="0" w:line="360" w:lineRule="auto"/>
      <w:ind w:firstLine="480" w:firstLineChars="200"/>
    </w:pPr>
  </w:style>
  <w:style w:type="paragraph" w:customStyle="1" w:styleId="341">
    <w:name w:val="wtext"/>
    <w:basedOn w:val="1"/>
    <w:uiPriority w:val="0"/>
    <w:pPr>
      <w:widowControl/>
      <w:spacing w:before="100" w:beforeLines="0" w:beforeAutospacing="1" w:after="100" w:afterLines="0" w:afterAutospacing="1"/>
      <w:jc w:val="left"/>
    </w:pPr>
    <w:rPr>
      <w:rFonts w:ascii="宋体" w:hAnsi="宋体"/>
      <w:kern w:val="0"/>
    </w:rPr>
  </w:style>
  <w:style w:type="paragraph" w:customStyle="1" w:styleId="342">
    <w:name w:val="font20"/>
    <w:basedOn w:val="1"/>
    <w:uiPriority w:val="0"/>
    <w:pPr>
      <w:widowControl/>
      <w:spacing w:before="100" w:beforeLines="0" w:beforeAutospacing="1" w:after="100" w:afterLines="0" w:afterAutospacing="1"/>
      <w:jc w:val="left"/>
    </w:pPr>
    <w:rPr>
      <w:rFonts w:ascii="宋体" w:hAnsi="宋体" w:cs="宋体"/>
      <w:kern w:val="0"/>
      <w:sz w:val="40"/>
      <w:szCs w:val="40"/>
    </w:rPr>
  </w:style>
  <w:style w:type="paragraph" w:customStyle="1" w:styleId="343">
    <w:name w:val="三级条标题"/>
    <w:basedOn w:val="236"/>
    <w:next w:val="238"/>
    <w:uiPriority w:val="0"/>
    <w:pPr>
      <w:outlineLvl w:val="4"/>
    </w:pPr>
  </w:style>
  <w:style w:type="paragraph" w:customStyle="1" w:styleId="344">
    <w:name w:val="正文段"/>
    <w:basedOn w:val="1"/>
    <w:uiPriority w:val="0"/>
    <w:pPr>
      <w:widowControl/>
      <w:snapToGrid w:val="0"/>
      <w:spacing w:after="156" w:afterLines="50"/>
      <w:ind w:firstLine="200" w:firstLineChars="200"/>
    </w:pPr>
    <w:rPr>
      <w:kern w:val="0"/>
    </w:rPr>
  </w:style>
  <w:style w:type="paragraph" w:customStyle="1" w:styleId="345">
    <w:name w:val="样式 仿宋_GB2312 行距: 1.5 倍行距"/>
    <w:basedOn w:val="1"/>
    <w:uiPriority w:val="0"/>
    <w:pPr>
      <w:spacing w:line="360" w:lineRule="auto"/>
      <w:ind w:firstLine="480" w:firstLineChars="200"/>
    </w:pPr>
    <w:rPr>
      <w:rFonts w:ascii="宋体" w:hAnsi="宋体"/>
    </w:rPr>
  </w:style>
  <w:style w:type="paragraph" w:customStyle="1" w:styleId="346">
    <w:name w:val="空半行"/>
    <w:basedOn w:val="1"/>
    <w:uiPriority w:val="0"/>
    <w:pPr>
      <w:adjustRightInd w:val="0"/>
      <w:spacing w:line="120" w:lineRule="exact"/>
      <w:textAlignment w:val="baseline"/>
    </w:pPr>
    <w:rPr>
      <w:rFonts w:eastAsia="仿宋_GB2312"/>
      <w:color w:val="FFFFFF"/>
      <w:kern w:val="0"/>
      <w:sz w:val="30"/>
    </w:rPr>
  </w:style>
  <w:style w:type="paragraph" w:customStyle="1" w:styleId="347">
    <w:name w:val="图号"/>
    <w:basedOn w:val="1"/>
    <w:uiPriority w:val="0"/>
    <w:pPr>
      <w:widowControl/>
      <w:overflowPunct w:val="0"/>
      <w:autoSpaceDE w:val="0"/>
      <w:autoSpaceDN w:val="0"/>
      <w:adjustRightInd w:val="0"/>
      <w:snapToGrid w:val="0"/>
      <w:jc w:val="right"/>
    </w:pPr>
    <w:rPr>
      <w:rFonts w:hint="eastAsia" w:ascii="宋体"/>
      <w:kern w:val="0"/>
      <w:sz w:val="21"/>
    </w:rPr>
  </w:style>
  <w:style w:type="paragraph" w:customStyle="1" w:styleId="348">
    <w:name w:val="xl78"/>
    <w:basedOn w:val="1"/>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349">
    <w:name w:val="样式 首行缩进:  0.85 厘米"/>
    <w:basedOn w:val="1"/>
    <w:uiPriority w:val="0"/>
    <w:pPr>
      <w:tabs>
        <w:tab w:val="left" w:pos="1080"/>
        <w:tab w:val="left" w:pos="1200"/>
      </w:tabs>
      <w:spacing w:before="156" w:beforeLines="50" w:after="156" w:afterLines="50" w:line="360" w:lineRule="auto"/>
      <w:ind w:left="420" w:firstLine="120"/>
      <w:jc w:val="left"/>
    </w:pPr>
    <w:rPr>
      <w:rFonts w:ascii="Arial"/>
    </w:rPr>
  </w:style>
  <w:style w:type="paragraph" w:customStyle="1" w:styleId="350">
    <w:name w:val="font26"/>
    <w:basedOn w:val="1"/>
    <w:uiPriority w:val="0"/>
    <w:pPr>
      <w:widowControl/>
      <w:spacing w:before="100" w:beforeLines="0" w:beforeAutospacing="1" w:after="100" w:afterLines="0" w:afterAutospacing="1"/>
      <w:jc w:val="left"/>
    </w:pPr>
    <w:rPr>
      <w:rFonts w:ascii="Courier New" w:hAnsi="Courier New" w:cs="Courier New"/>
      <w:kern w:val="0"/>
      <w:szCs w:val="24"/>
    </w:rPr>
  </w:style>
  <w:style w:type="paragraph" w:customStyle="1" w:styleId="351">
    <w:name w:val="Char Char Char Char Char Char Char Char Char Char Char Char Char Char Char"/>
    <w:basedOn w:val="1"/>
    <w:uiPriority w:val="0"/>
    <w:pPr>
      <w:widowControl/>
      <w:spacing w:line="400" w:lineRule="exact"/>
      <w:jc w:val="center"/>
    </w:pPr>
    <w:rPr>
      <w:rFonts w:ascii="Verdana" w:hAnsi="Verdana"/>
      <w:kern w:val="0"/>
      <w:sz w:val="21"/>
      <w:lang w:eastAsia="en-US"/>
    </w:rPr>
  </w:style>
  <w:style w:type="paragraph" w:customStyle="1" w:styleId="352">
    <w:name w:val="文字缩进 2"/>
    <w:basedOn w:val="32"/>
    <w:uiPriority w:val="0"/>
    <w:pPr>
      <w:autoSpaceDE/>
      <w:autoSpaceDN/>
      <w:spacing w:before="100" w:beforeLines="0" w:beforeAutospacing="1" w:after="100" w:afterLines="0" w:afterAutospacing="1" w:line="400" w:lineRule="atLeast"/>
      <w:ind w:left="851"/>
      <w:jc w:val="both"/>
      <w:textAlignment w:val="baseline"/>
    </w:pPr>
    <w:rPr>
      <w:rFonts w:ascii="Times New Roman"/>
      <w:color w:val="auto"/>
    </w:rPr>
  </w:style>
  <w:style w:type="paragraph" w:customStyle="1" w:styleId="353">
    <w:name w:val="Style Heading 3h3Heading 3 - oldLevel 3 HeadH3level_3PIM 3se..."/>
    <w:basedOn w:val="4"/>
    <w:uiPriority w:val="0"/>
    <w:pPr>
      <w:tabs>
        <w:tab w:val="left" w:pos="1260"/>
      </w:tabs>
      <w:spacing w:line="413" w:lineRule="auto"/>
      <w:ind w:left="1260" w:firstLine="138" w:firstLineChars="49"/>
    </w:pPr>
  </w:style>
  <w:style w:type="paragraph" w:customStyle="1" w:styleId="354">
    <w:name w:val="文章标题 1"/>
    <w:basedOn w:val="2"/>
    <w:next w:val="1"/>
    <w:uiPriority w:val="0"/>
    <w:pPr>
      <w:pageBreakBefore/>
      <w:tabs>
        <w:tab w:val="left" w:pos="478"/>
      </w:tabs>
      <w:spacing w:before="120" w:beforeLines="0" w:after="480" w:afterLines="0" w:line="360" w:lineRule="auto"/>
      <w:textAlignment w:val="top"/>
    </w:pPr>
    <w:rPr>
      <w:b w:val="0"/>
      <w:kern w:val="2"/>
      <w:sz w:val="44"/>
    </w:rPr>
  </w:style>
  <w:style w:type="paragraph" w:customStyle="1" w:styleId="355">
    <w:name w:val="xl112"/>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56">
    <w:name w:val="样式 行距: 1.5 倍行距 首行缩进:  2 字符"/>
    <w:basedOn w:val="1"/>
    <w:uiPriority w:val="0"/>
    <w:pPr>
      <w:spacing w:line="360" w:lineRule="auto"/>
      <w:ind w:firstLine="480" w:firstLineChars="200"/>
    </w:pPr>
  </w:style>
  <w:style w:type="paragraph" w:customStyle="1" w:styleId="357">
    <w:name w:val="正文文字4"/>
    <w:basedOn w:val="1"/>
    <w:uiPriority w:val="0"/>
    <w:pPr>
      <w:spacing w:before="60" w:beforeLines="0" w:after="60" w:afterLines="0" w:line="500" w:lineRule="exact"/>
      <w:ind w:left="1436" w:firstLine="592"/>
    </w:pPr>
    <w:rPr>
      <w:sz w:val="28"/>
    </w:rPr>
  </w:style>
  <w:style w:type="paragraph" w:customStyle="1" w:styleId="358">
    <w:name w:val="font17"/>
    <w:basedOn w:val="1"/>
    <w:uiPriority w:val="0"/>
    <w:pPr>
      <w:widowControl/>
      <w:spacing w:before="100" w:beforeLines="0" w:beforeAutospacing="1" w:after="100" w:afterLines="0" w:afterAutospacing="1"/>
      <w:jc w:val="left"/>
    </w:pPr>
    <w:rPr>
      <w:rFonts w:ascii="宋体" w:hAnsi="宋体" w:cs="宋体"/>
      <w:kern w:val="0"/>
      <w:sz w:val="22"/>
      <w:szCs w:val="22"/>
    </w:rPr>
  </w:style>
  <w:style w:type="paragraph" w:customStyle="1" w:styleId="359">
    <w:name w:val="样式10"/>
    <w:basedOn w:val="1"/>
    <w:uiPriority w:val="0"/>
    <w:pPr>
      <w:tabs>
        <w:tab w:val="left" w:pos="987"/>
      </w:tabs>
      <w:ind w:left="987" w:firstLine="199"/>
    </w:pPr>
    <w:rPr>
      <w:b/>
      <w:sz w:val="21"/>
    </w:rPr>
  </w:style>
  <w:style w:type="paragraph" w:customStyle="1" w:styleId="360">
    <w:name w:val="xl33"/>
    <w:basedOn w:val="1"/>
    <w:uiPriority w:val="0"/>
    <w:pPr>
      <w:widowControl/>
      <w:spacing w:before="100" w:beforeLines="0" w:beforeAutospacing="1" w:after="100" w:afterLines="0" w:afterAutospacing="1"/>
      <w:jc w:val="left"/>
    </w:pPr>
    <w:rPr>
      <w:rFonts w:ascii="宋体" w:hAnsi="宋体"/>
      <w:kern w:val="0"/>
      <w:szCs w:val="24"/>
    </w:rPr>
  </w:style>
  <w:style w:type="paragraph" w:customStyle="1" w:styleId="361">
    <w:name w:val="My正文"/>
    <w:basedOn w:val="1"/>
    <w:uiPriority w:val="0"/>
    <w:pPr>
      <w:adjustRightInd w:val="0"/>
      <w:spacing w:before="120" w:beforeLines="0" w:line="360" w:lineRule="auto"/>
      <w:ind w:firstLine="567"/>
    </w:pPr>
    <w:rPr>
      <w:rFonts w:ascii="Arial" w:hAnsi="Arial"/>
      <w:kern w:val="0"/>
    </w:rPr>
  </w:style>
  <w:style w:type="paragraph" w:customStyle="1" w:styleId="362">
    <w:name w:val="超链接1"/>
    <w:basedOn w:val="1"/>
    <w:next w:val="1"/>
    <w:uiPriority w:val="0"/>
    <w:pPr>
      <w:widowControl/>
    </w:pPr>
    <w:rPr>
      <w:color w:val="0000FF"/>
      <w:sz w:val="21"/>
      <w:u w:val="single" w:color="000000"/>
    </w:rPr>
  </w:style>
  <w:style w:type="paragraph" w:customStyle="1" w:styleId="363">
    <w:name w:val="正文缩进 3"/>
    <w:basedOn w:val="1"/>
    <w:uiPriority w:val="0"/>
    <w:pPr>
      <w:adjustRightInd w:val="0"/>
      <w:spacing w:line="400" w:lineRule="atLeast"/>
      <w:ind w:left="600" w:leftChars="600" w:firstLine="454"/>
      <w:textAlignment w:val="baseline"/>
    </w:pPr>
    <w:rPr>
      <w:kern w:val="0"/>
    </w:rPr>
  </w:style>
  <w:style w:type="paragraph" w:customStyle="1" w:styleId="364">
    <w:name w:val="xl111"/>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65">
    <w:name w:val="xl74"/>
    <w:basedOn w:val="1"/>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366">
    <w:name w:val="xl103"/>
    <w:basedOn w:val="1"/>
    <w:uiPriority w:val="0"/>
    <w:pPr>
      <w:widowControl/>
      <w:spacing w:before="100" w:beforeLines="0" w:beforeAutospacing="1" w:after="100" w:afterLines="0" w:afterAutospacing="1"/>
      <w:jc w:val="left"/>
    </w:pPr>
    <w:rPr>
      <w:rFonts w:ascii="Arial" w:hAnsi="Arial" w:cs="Arial"/>
      <w:kern w:val="0"/>
      <w:szCs w:val="24"/>
    </w:rPr>
  </w:style>
  <w:style w:type="paragraph" w:customStyle="1" w:styleId="367">
    <w:name w:val="standdate"/>
    <w:basedOn w:val="50"/>
    <w:uiPriority w:val="0"/>
    <w:rPr>
      <w:szCs w:val="18"/>
      <w:lang w:val="en-US" w:eastAsia="zh-CN"/>
    </w:rPr>
  </w:style>
  <w:style w:type="paragraph" w:customStyle="1" w:styleId="368">
    <w:name w:val="3 Char"/>
    <w:basedOn w:val="1"/>
    <w:uiPriority w:val="0"/>
    <w:pPr>
      <w:widowControl/>
      <w:spacing w:line="400" w:lineRule="exact"/>
      <w:jc w:val="center"/>
    </w:pPr>
    <w:rPr>
      <w:rFonts w:ascii="Verdana" w:hAnsi="Verdana"/>
      <w:kern w:val="0"/>
      <w:sz w:val="21"/>
      <w:lang w:eastAsia="en-US"/>
    </w:rPr>
  </w:style>
  <w:style w:type="paragraph" w:customStyle="1" w:styleId="369">
    <w:name w:val="xl86"/>
    <w:basedOn w:val="1"/>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370">
    <w:name w:val="功能列表"/>
    <w:basedOn w:val="1"/>
    <w:uiPriority w:val="0"/>
    <w:pPr>
      <w:tabs>
        <w:tab w:val="left" w:pos="720"/>
        <w:tab w:val="left" w:pos="900"/>
      </w:tabs>
      <w:spacing w:line="360" w:lineRule="auto"/>
      <w:ind w:left="900" w:hanging="420"/>
    </w:pPr>
  </w:style>
  <w:style w:type="paragraph" w:customStyle="1" w:styleId="371">
    <w:name w:val="IBM 正文"/>
    <w:basedOn w:val="1"/>
    <w:uiPriority w:val="0"/>
    <w:pPr>
      <w:spacing w:line="400" w:lineRule="exact"/>
    </w:pPr>
    <w:rPr>
      <w:spacing w:val="20"/>
    </w:rPr>
  </w:style>
  <w:style w:type="paragraph" w:customStyle="1" w:styleId="372">
    <w:name w:val="Char Char Char Char Char Char Char"/>
    <w:basedOn w:val="1"/>
    <w:uiPriority w:val="0"/>
    <w:pPr>
      <w:widowControl/>
      <w:spacing w:after="160" w:afterLines="0" w:line="240" w:lineRule="exact"/>
      <w:jc w:val="left"/>
    </w:pPr>
    <w:rPr>
      <w:rFonts w:ascii="Arial" w:hAnsi="Arial" w:eastAsia="Times New Roman"/>
      <w:b/>
      <w:kern w:val="0"/>
      <w:lang w:eastAsia="en-US"/>
    </w:rPr>
  </w:style>
  <w:style w:type="paragraph" w:customStyle="1" w:styleId="373">
    <w:name w:val="xl24"/>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b/>
      <w:color w:val="000000"/>
      <w:kern w:val="0"/>
      <w:sz w:val="20"/>
    </w:rPr>
  </w:style>
  <w:style w:type="paragraph" w:customStyle="1" w:styleId="374">
    <w:name w:val="四级条标题"/>
    <w:basedOn w:val="343"/>
    <w:next w:val="238"/>
    <w:uiPriority w:val="0"/>
    <w:pPr>
      <w:numPr>
        <w:ilvl w:val="0"/>
        <w:numId w:val="0"/>
      </w:numPr>
      <w:outlineLvl w:val="5"/>
    </w:pPr>
  </w:style>
  <w:style w:type="paragraph" w:customStyle="1" w:styleId="375">
    <w:name w:val="xl75"/>
    <w:basedOn w:val="1"/>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376">
    <w:name w:val="heading"/>
    <w:basedOn w:val="1"/>
    <w:next w:val="1"/>
    <w:uiPriority w:val="0"/>
    <w:pPr>
      <w:keepNext/>
      <w:keepLines/>
      <w:spacing w:before="260" w:beforeLines="0" w:after="260" w:afterLines="0" w:line="413" w:lineRule="auto"/>
    </w:pPr>
    <w:rPr>
      <w:rFonts w:ascii="Arial" w:hAnsi="Arial" w:eastAsia="黑体"/>
      <w:b/>
      <w:sz w:val="32"/>
    </w:rPr>
  </w:style>
  <w:style w:type="paragraph" w:customStyle="1" w:styleId="377">
    <w:name w:val="正文首行缩进 21"/>
    <w:basedOn w:val="1"/>
    <w:next w:val="1"/>
    <w:uiPriority w:val="0"/>
    <w:pPr>
      <w:widowControl/>
      <w:spacing w:after="120" w:afterLines="0"/>
      <w:ind w:firstLine="210"/>
    </w:pPr>
    <w:rPr>
      <w:color w:val="000000"/>
      <w:sz w:val="21"/>
    </w:rPr>
  </w:style>
  <w:style w:type="paragraph" w:customStyle="1" w:styleId="378">
    <w:name w:val="注"/>
    <w:basedOn w:val="1"/>
    <w:uiPriority w:val="0"/>
    <w:pPr>
      <w:adjustRightInd w:val="0"/>
      <w:spacing w:line="360" w:lineRule="atLeast"/>
      <w:ind w:left="840" w:hanging="420"/>
      <w:textAlignment w:val="baseline"/>
    </w:pPr>
    <w:rPr>
      <w:kern w:val="0"/>
      <w:sz w:val="21"/>
    </w:rPr>
  </w:style>
  <w:style w:type="paragraph" w:customStyle="1" w:styleId="379">
    <w:name w:val="xl39"/>
    <w:basedOn w:val="1"/>
    <w:uiPriority w:val="0"/>
    <w:pPr>
      <w:widowControl/>
      <w:spacing w:before="100" w:beforeLines="0" w:beforeAutospacing="1" w:after="100" w:afterLines="0" w:afterAutospacing="1"/>
      <w:jc w:val="center"/>
    </w:pPr>
    <w:rPr>
      <w:rFonts w:hint="eastAsia" w:ascii="宋体" w:hAnsi="宋体"/>
      <w:kern w:val="0"/>
    </w:rPr>
  </w:style>
  <w:style w:type="paragraph" w:customStyle="1" w:styleId="380">
    <w:name w:val="普通表格2"/>
    <w:basedOn w:val="1"/>
    <w:next w:val="1"/>
    <w:uiPriority w:val="0"/>
    <w:pPr>
      <w:widowControl/>
      <w:jc w:val="left"/>
    </w:pPr>
    <w:rPr>
      <w:color w:val="000000"/>
      <w:kern w:val="0"/>
    </w:rPr>
  </w:style>
  <w:style w:type="paragraph" w:customStyle="1" w:styleId="381">
    <w:name w:val="desp"/>
    <w:basedOn w:val="1"/>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382">
    <w:name w:val="font0"/>
    <w:basedOn w:val="1"/>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83">
    <w:name w:val="xl109"/>
    <w:basedOn w:val="1"/>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384">
    <w:name w:val="样式 标题 2 + 宋体 小四 段前: 5 磅 段后: 5 磅 行距: 单倍行距"/>
    <w:basedOn w:val="3"/>
    <w:uiPriority w:val="0"/>
    <w:pPr>
      <w:tabs>
        <w:tab w:val="left" w:pos="720"/>
      </w:tabs>
      <w:adjustRightInd w:val="0"/>
      <w:spacing w:before="100" w:beforeLines="0" w:beforeAutospacing="1" w:after="100" w:afterLines="0" w:afterAutospacing="1"/>
      <w:jc w:val="left"/>
      <w:textAlignment w:val="baseline"/>
    </w:pPr>
    <w:rPr>
      <w:rFonts w:ascii="宋体" w:hAnsi="宋体" w:eastAsia="宋体"/>
      <w:b w:val="0"/>
      <w:kern w:val="0"/>
      <w:sz w:val="28"/>
    </w:rPr>
  </w:style>
  <w:style w:type="paragraph" w:customStyle="1" w:styleId="385">
    <w:name w:val="font9"/>
    <w:basedOn w:val="1"/>
    <w:uiPriority w:val="0"/>
    <w:pPr>
      <w:widowControl/>
      <w:adjustRightInd w:val="0"/>
      <w:spacing w:before="100" w:beforeLines="0" w:after="100" w:afterLines="0"/>
      <w:jc w:val="left"/>
      <w:textAlignment w:val="baseline"/>
    </w:pPr>
    <w:rPr>
      <w:rFonts w:ascii="宋体" w:hAnsi="宋体"/>
      <w:kern w:val="0"/>
      <w:sz w:val="18"/>
    </w:rPr>
  </w:style>
  <w:style w:type="paragraph" w:customStyle="1" w:styleId="386">
    <w:name w:val="xl26"/>
    <w:basedOn w:val="1"/>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kern w:val="0"/>
    </w:rPr>
  </w:style>
  <w:style w:type="paragraph" w:customStyle="1" w:styleId="387">
    <w:name w:val="xl87"/>
    <w:basedOn w:val="1"/>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388">
    <w:name w:val="抬头"/>
    <w:basedOn w:val="1"/>
    <w:uiPriority w:val="0"/>
    <w:pPr>
      <w:widowControl/>
      <w:topLinePunct/>
      <w:ind w:firstLine="600" w:firstLineChars="200"/>
      <w:jc w:val="center"/>
    </w:pPr>
    <w:rPr>
      <w:kern w:val="0"/>
      <w:sz w:val="30"/>
      <w:szCs w:val="30"/>
    </w:rPr>
  </w:style>
  <w:style w:type="paragraph" w:customStyle="1" w:styleId="389">
    <w:name w:val="xl73"/>
    <w:basedOn w:val="1"/>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390">
    <w:name w:val=" Char Char Char Char Char Char Char Char Char Char"/>
    <w:basedOn w:val="1"/>
    <w:uiPriority w:val="0"/>
    <w:rPr>
      <w:sz w:val="21"/>
    </w:rPr>
  </w:style>
  <w:style w:type="paragraph" w:customStyle="1" w:styleId="391">
    <w:name w:val="xl108"/>
    <w:basedOn w:val="1"/>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392">
    <w:name w:val="My标题4"/>
    <w:basedOn w:val="4"/>
    <w:next w:val="1"/>
    <w:uiPriority w:val="0"/>
    <w:pPr>
      <w:tabs>
        <w:tab w:val="left" w:pos="425"/>
      </w:tabs>
      <w:spacing w:line="413" w:lineRule="auto"/>
      <w:ind w:left="425" w:hanging="425"/>
    </w:pPr>
    <w:rPr>
      <w:b w:val="0"/>
      <w:sz w:val="24"/>
    </w:rPr>
  </w:style>
  <w:style w:type="paragraph" w:customStyle="1" w:styleId="393">
    <w:name w:val="正文2"/>
    <w:basedOn w:val="1"/>
    <w:qFormat/>
    <w:uiPriority w:val="0"/>
    <w:pPr>
      <w:spacing w:before="60" w:beforeLines="0" w:after="60" w:afterLines="0" w:line="360" w:lineRule="auto"/>
      <w:outlineLvl w:val="7"/>
    </w:pPr>
  </w:style>
  <w:style w:type="paragraph" w:customStyle="1" w:styleId="394">
    <w:name w:val="项目2"/>
    <w:basedOn w:val="1"/>
    <w:uiPriority w:val="0"/>
    <w:pPr>
      <w:tabs>
        <w:tab w:val="left" w:pos="840"/>
      </w:tabs>
      <w:spacing w:line="360" w:lineRule="auto"/>
      <w:ind w:left="840" w:hanging="420"/>
    </w:pPr>
  </w:style>
  <w:style w:type="paragraph" w:customStyle="1" w:styleId="395">
    <w:name w:val="表格项目符号 2"/>
    <w:basedOn w:val="1"/>
    <w:next w:val="1"/>
    <w:uiPriority w:val="0"/>
    <w:pPr>
      <w:widowControl/>
      <w:tabs>
        <w:tab w:val="left" w:pos="624"/>
      </w:tabs>
      <w:snapToGrid w:val="0"/>
      <w:spacing w:line="300" w:lineRule="auto"/>
      <w:ind w:left="623" w:hanging="374"/>
    </w:pPr>
    <w:rPr>
      <w:color w:val="000000"/>
      <w:sz w:val="21"/>
    </w:rPr>
  </w:style>
  <w:style w:type="paragraph" w:customStyle="1" w:styleId="396">
    <w:name w:val="font25"/>
    <w:basedOn w:val="1"/>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97">
    <w:name w:val="正文文字缩进3"/>
    <w:basedOn w:val="32"/>
    <w:uiPriority w:val="0"/>
    <w:pPr>
      <w:autoSpaceDE/>
      <w:autoSpaceDN/>
      <w:spacing w:before="100" w:beforeLines="0" w:beforeAutospacing="1" w:after="100" w:afterLines="0" w:afterAutospacing="1" w:line="400" w:lineRule="atLeast"/>
      <w:ind w:left="600" w:leftChars="600"/>
      <w:jc w:val="both"/>
      <w:textAlignment w:val="baseline"/>
    </w:pPr>
    <w:rPr>
      <w:rFonts w:ascii="Times New Roman"/>
      <w:color w:val="auto"/>
    </w:rPr>
  </w:style>
  <w:style w:type="paragraph" w:customStyle="1" w:styleId="398">
    <w:name w:val="样式 标题 2 + 段前: 自动 段后: 自动 行距: 1.5 倍行距"/>
    <w:basedOn w:val="3"/>
    <w:uiPriority w:val="0"/>
    <w:pPr>
      <w:tabs>
        <w:tab w:val="left" w:pos="567"/>
      </w:tabs>
      <w:adjustRightInd w:val="0"/>
      <w:spacing w:before="100" w:beforeLines="0" w:beforeAutospacing="1" w:after="100" w:afterLines="0" w:afterAutospacing="1" w:line="360" w:lineRule="auto"/>
      <w:ind w:left="567" w:hanging="567"/>
      <w:jc w:val="left"/>
      <w:textAlignment w:val="baseline"/>
    </w:pPr>
    <w:rPr>
      <w:rFonts w:eastAsia="宋体"/>
      <w:b w:val="0"/>
      <w:kern w:val="0"/>
      <w:sz w:val="30"/>
    </w:rPr>
  </w:style>
  <w:style w:type="paragraph" w:customStyle="1" w:styleId="399">
    <w:name w:val="列出段落1"/>
    <w:basedOn w:val="1"/>
    <w:uiPriority w:val="0"/>
    <w:pPr>
      <w:adjustRightInd w:val="0"/>
      <w:spacing w:line="360" w:lineRule="auto"/>
      <w:ind w:firstLine="200" w:firstLineChars="200"/>
    </w:pPr>
    <w:rPr>
      <w:rFonts w:ascii="Calibri" w:hAnsi="Calibri" w:eastAsia="楷体_GB2312" w:cs="Lucida Sans"/>
      <w:szCs w:val="24"/>
    </w:rPr>
  </w:style>
  <w:style w:type="paragraph" w:customStyle="1" w:styleId="400">
    <w:name w:val="flNote"/>
    <w:basedOn w:val="1"/>
    <w:uiPriority w:val="0"/>
    <w:pPr>
      <w:adjustRightInd w:val="0"/>
      <w:spacing w:before="320" w:beforeLines="0" w:after="160" w:afterLines="0" w:line="360" w:lineRule="auto"/>
      <w:jc w:val="center"/>
      <w:textAlignment w:val="baseline"/>
    </w:pPr>
    <w:rPr>
      <w:rFonts w:ascii="Arial" w:eastAsia="黑体"/>
      <w:kern w:val="0"/>
      <w:sz w:val="30"/>
    </w:rPr>
  </w:style>
  <w:style w:type="paragraph" w:customStyle="1" w:styleId="401">
    <w:name w:val="文字缩进 3"/>
    <w:basedOn w:val="32"/>
    <w:uiPriority w:val="0"/>
    <w:pPr>
      <w:autoSpaceDE/>
      <w:autoSpaceDN/>
      <w:spacing w:before="100" w:beforeLines="0" w:beforeAutospacing="1" w:after="100" w:afterLines="0" w:afterAutospacing="1" w:line="400" w:lineRule="atLeast"/>
      <w:ind w:left="1276"/>
      <w:jc w:val="both"/>
      <w:textAlignment w:val="baseline"/>
    </w:pPr>
    <w:rPr>
      <w:rFonts w:ascii="Times New Roman"/>
      <w:color w:val="auto"/>
    </w:rPr>
  </w:style>
  <w:style w:type="paragraph" w:customStyle="1" w:styleId="402">
    <w:name w:val="1.1.1"/>
    <w:basedOn w:val="1"/>
    <w:uiPriority w:val="0"/>
    <w:pPr>
      <w:tabs>
        <w:tab w:val="left" w:pos="0"/>
        <w:tab w:val="left" w:pos="1134"/>
        <w:tab w:val="left" w:pos="8505"/>
      </w:tabs>
      <w:autoSpaceDE w:val="0"/>
      <w:autoSpaceDN w:val="0"/>
      <w:adjustRightInd w:val="0"/>
      <w:spacing w:before="240" w:beforeLines="0" w:after="60" w:afterLines="0" w:line="360" w:lineRule="atLeast"/>
    </w:pPr>
    <w:rPr>
      <w:rFonts w:ascii="宋体"/>
      <w:b/>
      <w:kern w:val="0"/>
    </w:rPr>
  </w:style>
  <w:style w:type="paragraph" w:customStyle="1" w:styleId="403">
    <w:name w:val="列表编号 21"/>
    <w:basedOn w:val="1"/>
    <w:next w:val="1"/>
    <w:uiPriority w:val="0"/>
    <w:pPr>
      <w:widowControl/>
      <w:tabs>
        <w:tab w:val="left" w:pos="420"/>
        <w:tab w:val="left" w:pos="1697"/>
      </w:tabs>
      <w:spacing w:after="50" w:afterLines="0"/>
      <w:ind w:left="1697" w:hanging="420"/>
      <w:jc w:val="left"/>
    </w:pPr>
    <w:rPr>
      <w:color w:val="000000"/>
      <w:kern w:val="0"/>
    </w:rPr>
  </w:style>
  <w:style w:type="paragraph" w:customStyle="1" w:styleId="404">
    <w:name w:val="My标题3"/>
    <w:basedOn w:val="4"/>
    <w:next w:val="1"/>
    <w:uiPriority w:val="0"/>
    <w:pPr>
      <w:tabs>
        <w:tab w:val="left" w:pos="1080"/>
      </w:tabs>
      <w:spacing w:line="413" w:lineRule="auto"/>
      <w:ind w:left="709" w:hanging="709"/>
    </w:pPr>
    <w:rPr>
      <w:rFonts w:ascii="Arial" w:hAnsi="Arial"/>
      <w:b w:val="0"/>
      <w:sz w:val="24"/>
    </w:rPr>
  </w:style>
  <w:style w:type="paragraph" w:customStyle="1" w:styleId="405">
    <w:name w:val="xl99"/>
    <w:basedOn w:val="1"/>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406">
    <w:name w:val="默认段落字体 Para Char Char Char Char"/>
    <w:basedOn w:val="1"/>
    <w:uiPriority w:val="0"/>
    <w:pPr>
      <w:spacing w:line="240" w:lineRule="atLeast"/>
      <w:ind w:left="420" w:firstLine="420"/>
    </w:pPr>
    <w:rPr>
      <w:kern w:val="0"/>
      <w:sz w:val="21"/>
      <w:szCs w:val="21"/>
    </w:rPr>
  </w:style>
  <w:style w:type="paragraph" w:customStyle="1" w:styleId="407">
    <w:name w:val="Unknown Style"/>
    <w:basedOn w:val="1"/>
    <w:next w:val="1"/>
    <w:uiPriority w:val="0"/>
    <w:pPr>
      <w:widowControl/>
    </w:pPr>
    <w:rPr>
      <w:color w:val="000000"/>
      <w:sz w:val="21"/>
    </w:rPr>
  </w:style>
  <w:style w:type="paragraph" w:customStyle="1" w:styleId="408">
    <w:name w:val="MSO_Para"/>
    <w:uiPriority w:val="0"/>
    <w:pPr>
      <w:spacing w:before="99" w:line="250" w:lineRule="atLeast"/>
    </w:pPr>
    <w:rPr>
      <w:rFonts w:ascii="Palatino Linotype" w:hAnsi="Palatino Linotype"/>
      <w:sz w:val="21"/>
      <w:lang w:val="en-US" w:eastAsia="en-US" w:bidi="ar-SA"/>
    </w:rPr>
  </w:style>
  <w:style w:type="paragraph" w:customStyle="1" w:styleId="409">
    <w:name w:val="正文＋小四＋缩进2字符"/>
    <w:basedOn w:val="1"/>
    <w:uiPriority w:val="0"/>
    <w:pPr>
      <w:spacing w:line="360" w:lineRule="auto"/>
      <w:ind w:firstLine="200" w:firstLineChars="200"/>
    </w:pPr>
  </w:style>
  <w:style w:type="paragraph" w:customStyle="1" w:styleId="410">
    <w:name w:val="--规划正文"/>
    <w:basedOn w:val="1"/>
    <w:uiPriority w:val="0"/>
    <w:pPr>
      <w:spacing w:line="360" w:lineRule="auto"/>
      <w:ind w:firstLine="200" w:firstLineChars="200"/>
    </w:pPr>
    <w:rPr>
      <w:sz w:val="21"/>
    </w:rPr>
  </w:style>
  <w:style w:type="paragraph" w:customStyle="1" w:styleId="411">
    <w:name w:val="无列表1"/>
    <w:basedOn w:val="1"/>
    <w:next w:val="1"/>
    <w:uiPriority w:val="0"/>
    <w:pPr>
      <w:widowControl/>
      <w:jc w:val="left"/>
    </w:pPr>
    <w:rPr>
      <w:color w:val="000000"/>
      <w:kern w:val="0"/>
    </w:rPr>
  </w:style>
  <w:style w:type="paragraph" w:customStyle="1" w:styleId="412">
    <w:name w:val="flName"/>
    <w:basedOn w:val="400"/>
    <w:uiPriority w:val="0"/>
    <w:rPr>
      <w:sz w:val="32"/>
    </w:rPr>
  </w:style>
  <w:style w:type="paragraph" w:customStyle="1" w:styleId="413">
    <w:name w:val="font7"/>
    <w:basedOn w:val="1"/>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414">
    <w:name w:val=" Char Char Char Char Char Char Char"/>
    <w:basedOn w:val="1"/>
    <w:uiPriority w:val="0"/>
    <w:rPr>
      <w:rFonts w:ascii="仿宋_GB2312" w:eastAsia="仿宋_GB2312"/>
      <w:b/>
      <w:sz w:val="32"/>
    </w:rPr>
  </w:style>
  <w:style w:type="paragraph" w:customStyle="1" w:styleId="415">
    <w:name w:val="列表项目符号 21"/>
    <w:basedOn w:val="1"/>
    <w:next w:val="1"/>
    <w:uiPriority w:val="0"/>
    <w:pPr>
      <w:widowControl/>
      <w:tabs>
        <w:tab w:val="left" w:pos="420"/>
      </w:tabs>
      <w:ind w:left="420" w:hanging="420"/>
    </w:pPr>
    <w:rPr>
      <w:color w:val="000000"/>
      <w:sz w:val="21"/>
    </w:rPr>
  </w:style>
  <w:style w:type="paragraph" w:customStyle="1" w:styleId="416">
    <w:name w:val="font15"/>
    <w:basedOn w:val="1"/>
    <w:uiPriority w:val="0"/>
    <w:pPr>
      <w:widowControl/>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417">
    <w:name w:val="标准正文"/>
    <w:basedOn w:val="1"/>
    <w:next w:val="1"/>
    <w:uiPriority w:val="0"/>
    <w:pPr>
      <w:widowControl/>
      <w:spacing w:after="50" w:afterLines="0"/>
      <w:ind w:firstLine="200"/>
    </w:pPr>
    <w:rPr>
      <w:color w:val="000000"/>
    </w:rPr>
  </w:style>
  <w:style w:type="paragraph" w:customStyle="1" w:styleId="418">
    <w:name w:val="五级条标题"/>
    <w:basedOn w:val="374"/>
    <w:next w:val="238"/>
    <w:uiPriority w:val="0"/>
    <w:pPr>
      <w:outlineLvl w:val="6"/>
    </w:pPr>
  </w:style>
  <w:style w:type="paragraph" w:customStyle="1" w:styleId="419">
    <w:name w:val="xl91"/>
    <w:basedOn w:val="1"/>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420">
    <w:name w:val="样式 标题 2 + 段前: 1 行 段后: 1 行"/>
    <w:basedOn w:val="3"/>
    <w:uiPriority w:val="0"/>
    <w:pPr>
      <w:tabs>
        <w:tab w:val="left" w:pos="840"/>
      </w:tabs>
      <w:spacing w:before="312" w:beforeLines="100" w:after="312" w:afterLines="100" w:line="360" w:lineRule="auto"/>
      <w:ind w:left="840" w:hanging="420"/>
    </w:pPr>
    <w:rPr>
      <w:spacing w:val="10"/>
      <w:sz w:val="30"/>
    </w:rPr>
  </w:style>
  <w:style w:type="paragraph" w:customStyle="1" w:styleId="421">
    <w:name w:val="样式 标题 22nd levelh22Header 2H2 + 四号 段前: 6 磅 段后: 6 磅 行距: 1..."/>
    <w:basedOn w:val="3"/>
    <w:uiPriority w:val="0"/>
    <w:pPr>
      <w:tabs>
        <w:tab w:val="left" w:pos="425"/>
      </w:tabs>
      <w:spacing w:before="120" w:beforeLines="0" w:after="120" w:afterLines="0" w:line="360" w:lineRule="auto"/>
      <w:ind w:left="425" w:hanging="425"/>
    </w:pPr>
    <w:rPr>
      <w:rFonts w:eastAsia="宋体"/>
      <w:sz w:val="28"/>
    </w:rPr>
  </w:style>
  <w:style w:type="paragraph" w:customStyle="1" w:styleId="422">
    <w:name w:val="小标题"/>
    <w:basedOn w:val="1"/>
    <w:next w:val="1"/>
    <w:uiPriority w:val="0"/>
    <w:pPr>
      <w:spacing w:line="360" w:lineRule="auto"/>
      <w:ind w:firstLine="200" w:firstLineChars="200"/>
      <w:jc w:val="left"/>
    </w:pPr>
    <w:rPr>
      <w:rFonts w:ascii="宋体" w:hAnsi="宋体"/>
      <w:b/>
      <w:bCs/>
      <w:sz w:val="21"/>
      <w:szCs w:val="24"/>
    </w:rPr>
  </w:style>
  <w:style w:type="paragraph" w:customStyle="1" w:styleId="423">
    <w:name w:val="标题6"/>
    <w:basedOn w:val="1"/>
    <w:next w:val="2"/>
    <w:uiPriority w:val="0"/>
    <w:pPr>
      <w:widowControl/>
      <w:snapToGrid w:val="0"/>
      <w:spacing w:before="156" w:beforeLines="50" w:after="156" w:afterLines="50" w:line="520" w:lineRule="atLeast"/>
      <w:ind w:firstLine="200" w:firstLineChars="200"/>
    </w:pPr>
  </w:style>
  <w:style w:type="paragraph" w:customStyle="1" w:styleId="424">
    <w:name w:val="xl2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4"/>
    </w:rPr>
  </w:style>
  <w:style w:type="paragraph" w:customStyle="1" w:styleId="425">
    <w:name w:val="标题5"/>
    <w:basedOn w:val="6"/>
    <w:next w:val="1"/>
    <w:uiPriority w:val="0"/>
    <w:pPr>
      <w:keepLines w:val="0"/>
      <w:widowControl w:val="0"/>
      <w:spacing w:before="312" w:beforeLines="100" w:after="0" w:afterLines="0" w:line="360" w:lineRule="auto"/>
      <w:jc w:val="both"/>
    </w:pPr>
    <w:rPr>
      <w:rFonts w:ascii="宋体" w:hAnsi="宋体" w:eastAsia="宋体"/>
      <w:bCs/>
      <w:kern w:val="2"/>
      <w:sz w:val="24"/>
      <w:szCs w:val="24"/>
    </w:rPr>
  </w:style>
  <w:style w:type="paragraph" w:customStyle="1" w:styleId="426">
    <w:name w:val="xl102"/>
    <w:basedOn w:val="1"/>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MC SYSTEM</Company>
  <Pages>1</Pages>
  <Words>4510</Words>
  <Characters>25707</Characters>
  <Lines>214</Lines>
  <Paragraphs>60</Paragraphs>
  <TotalTime>230</TotalTime>
  <ScaleCrop>false</ScaleCrop>
  <LinksUpToDate>false</LinksUpToDate>
  <CharactersWithSpaces>30157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2018-07-31T07:58:00Z</dcterms:created>
  <dc:creator>微软中国</dc:creator>
  <cp:lastModifiedBy>WPS_1701756769</cp:lastModifiedBy>
  <cp:lastPrinted>2018-11-08T03:41:00Z</cp:lastPrinted>
  <dcterms:modified xsi:type="dcterms:W3CDTF">2024-02-22T03:01:07Z</dcterms:modified>
  <cp:revision>4</cp:revision>
  <dc:title>嵊州市人民检察院容灾存储系统项目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_ms_pID_725343">
    <vt:lpwstr>(2)gDwJt//coblrjyKrgfHWv8VUXgkS1kdwJRJBQRn0k3kgx9P9x9eQxxjvDmLyo0RfW0s/h2g+
igMl+/hfLIMd71WPkMx9Xh/7ziBJrB2E0qzgUWiYKZiazSDKTvPmmAjsrUNdteujcuJrI50c
4rldKeYBx9zNMApRbRHrkSZjqK0cmhHWnmn+r5W11ieAE1IfPLXY2vJx8oBowGZC0H+Jn9Ar
3HRMzbX1K3CIyCKWHL</vt:lpwstr>
  </property>
  <property fmtid="{D5CDD505-2E9C-101B-9397-08002B2CF9AE}" pid="4" name="_ms_pID_725343_00">
    <vt:lpwstr>_ms_pID_725343</vt:lpwstr>
  </property>
  <property fmtid="{D5CDD505-2E9C-101B-9397-08002B2CF9AE}" pid="5" name="_ms_pID_7253431">
    <vt:lpwstr>060aNadaCdzVRjHwQlwGGxcEblFsmcuesbxmVegaNUwA==</vt:lpwstr>
  </property>
  <property fmtid="{D5CDD505-2E9C-101B-9397-08002B2CF9AE}" pid="6" name="_ms_pID_7253431_00">
    <vt:lpwstr>_ms_pID_7253431</vt:lpwstr>
  </property>
  <property fmtid="{D5CDD505-2E9C-101B-9397-08002B2CF9AE}" pid="7" name="ICV">
    <vt:lpwstr>41AE4E3EE4674BB08E6BC8B47192ACAD_13</vt:lpwstr>
  </property>
</Properties>
</file>