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隶书" w:hAnsi="Arial" w:eastAsia="隶书" w:cs="Arial"/>
          <w:b/>
          <w:sz w:val="72"/>
          <w:szCs w:val="72"/>
        </w:rPr>
      </w:pPr>
      <w:r>
        <w:rPr>
          <w:rFonts w:hint="eastAsia" w:ascii="隶书" w:hAnsi="Arial" w:eastAsia="隶书" w:cs="Arial"/>
          <w:b/>
          <w:sz w:val="72"/>
          <w:szCs w:val="72"/>
        </w:rPr>
        <w:t>嵊州市政务服务中心电子交易系统运维服务采购项目</w:t>
      </w:r>
    </w:p>
    <w:p>
      <w:pPr>
        <w:spacing w:before="120" w:after="120"/>
        <w:jc w:val="center"/>
        <w:rPr>
          <w:rFonts w:ascii="宋体" w:hAnsi="宋体" w:cs="宋体"/>
          <w:kern w:val="0"/>
          <w:sz w:val="24"/>
        </w:rPr>
      </w:pPr>
      <w:r>
        <w:rPr>
          <w:rFonts w:hint="eastAsia" w:ascii="宋体" w:hAnsi="宋体" w:cs="宋体"/>
          <w:kern w:val="0"/>
          <w:sz w:val="24"/>
        </w:rPr>
        <w:t>招标编号:政府采购2024-08</w:t>
      </w:r>
    </w:p>
    <w:p>
      <w:pPr>
        <w:outlineLvl w:val="0"/>
        <w:rPr>
          <w:rFonts w:ascii="隶书" w:eastAsia="隶书"/>
          <w:sz w:val="44"/>
        </w:rPr>
      </w:pPr>
    </w:p>
    <w:p>
      <w:pPr>
        <w:jc w:val="center"/>
        <w:outlineLvl w:val="0"/>
        <w:rPr>
          <w:rFonts w:ascii="隶书" w:hAnsi="Arial" w:eastAsia="隶书" w:cs="Arial"/>
          <w:b/>
          <w:sz w:val="72"/>
          <w:szCs w:val="72"/>
        </w:rPr>
      </w:pPr>
      <w:r>
        <w:rPr>
          <w:rFonts w:hint="eastAsia" w:ascii="隶书" w:hAnsi="Arial" w:eastAsia="隶书" w:cs="Arial"/>
          <w:b/>
          <w:sz w:val="72"/>
          <w:szCs w:val="72"/>
        </w:rPr>
        <w:t>公</w:t>
      </w:r>
    </w:p>
    <w:p>
      <w:pPr>
        <w:jc w:val="center"/>
        <w:outlineLvl w:val="0"/>
        <w:rPr>
          <w:rFonts w:ascii="隶书" w:hAnsi="Arial" w:eastAsia="隶书" w:cs="Arial"/>
          <w:b/>
          <w:sz w:val="72"/>
          <w:szCs w:val="72"/>
        </w:rPr>
      </w:pPr>
      <w:r>
        <w:rPr>
          <w:rFonts w:hint="eastAsia" w:ascii="隶书" w:hAnsi="Arial" w:eastAsia="隶书" w:cs="Arial"/>
          <w:b/>
          <w:sz w:val="72"/>
          <w:szCs w:val="72"/>
        </w:rPr>
        <w:t>开</w:t>
      </w:r>
    </w:p>
    <w:p>
      <w:pPr>
        <w:jc w:val="center"/>
        <w:outlineLvl w:val="0"/>
        <w:rPr>
          <w:rFonts w:ascii="隶书" w:hAnsi="Arial" w:eastAsia="隶书" w:cs="Arial"/>
          <w:b/>
          <w:sz w:val="72"/>
          <w:szCs w:val="72"/>
        </w:rPr>
      </w:pPr>
      <w:r>
        <w:rPr>
          <w:rFonts w:hint="eastAsia" w:ascii="隶书" w:hAnsi="Arial" w:eastAsia="隶书" w:cs="Arial"/>
          <w:b/>
          <w:sz w:val="72"/>
          <w:szCs w:val="72"/>
        </w:rPr>
        <w:t>招</w:t>
      </w:r>
    </w:p>
    <w:p>
      <w:pPr>
        <w:jc w:val="center"/>
        <w:outlineLvl w:val="0"/>
        <w:rPr>
          <w:rFonts w:ascii="隶书" w:hAnsi="Arial" w:eastAsia="隶书" w:cs="Arial"/>
          <w:b/>
          <w:sz w:val="72"/>
          <w:szCs w:val="72"/>
        </w:rPr>
      </w:pPr>
      <w:r>
        <w:rPr>
          <w:rFonts w:hint="eastAsia" w:ascii="隶书" w:hAnsi="Arial" w:eastAsia="隶书" w:cs="Arial"/>
          <w:b/>
          <w:sz w:val="72"/>
          <w:szCs w:val="72"/>
        </w:rPr>
        <w:t>标</w:t>
      </w:r>
    </w:p>
    <w:p>
      <w:pPr>
        <w:jc w:val="center"/>
        <w:outlineLvl w:val="0"/>
        <w:rPr>
          <w:rFonts w:ascii="隶书" w:eastAsia="隶书"/>
          <w:b/>
          <w:sz w:val="72"/>
          <w:szCs w:val="72"/>
        </w:rPr>
      </w:pPr>
      <w:r>
        <w:rPr>
          <w:rFonts w:hint="eastAsia" w:ascii="隶书" w:eastAsia="隶书"/>
          <w:b/>
          <w:sz w:val="72"/>
          <w:szCs w:val="72"/>
        </w:rPr>
        <w:t>文</w:t>
      </w:r>
    </w:p>
    <w:p>
      <w:pPr>
        <w:jc w:val="center"/>
        <w:outlineLvl w:val="0"/>
        <w:rPr>
          <w:rFonts w:ascii="隶书" w:eastAsia="隶书"/>
          <w:sz w:val="44"/>
        </w:rPr>
      </w:pPr>
      <w:r>
        <w:rPr>
          <w:rFonts w:hint="eastAsia" w:ascii="隶书" w:eastAsia="隶书"/>
          <w:b/>
          <w:sz w:val="72"/>
          <w:szCs w:val="72"/>
        </w:rPr>
        <w:t xml:space="preserve">件   </w:t>
      </w:r>
    </w:p>
    <w:p>
      <w:pPr>
        <w:jc w:val="center"/>
        <w:outlineLvl w:val="0"/>
        <w:rPr>
          <w:rFonts w:ascii="隶书" w:eastAsia="隶书"/>
          <w:sz w:val="44"/>
        </w:rPr>
      </w:pPr>
    </w:p>
    <w:p>
      <w:pPr>
        <w:spacing w:before="120" w:after="120"/>
        <w:jc w:val="center"/>
        <w:rPr>
          <w:rFonts w:ascii="宋体" w:hAnsi="宋体" w:cs="宋体"/>
          <w:kern w:val="0"/>
          <w:sz w:val="24"/>
        </w:rPr>
      </w:pPr>
      <w:r>
        <w:rPr>
          <w:rFonts w:hint="eastAsia" w:ascii="宋体" w:hAnsi="宋体" w:cs="宋体"/>
          <w:kern w:val="0"/>
          <w:sz w:val="24"/>
        </w:rPr>
        <w:t>采购单位：嵊州市政务服务中心</w:t>
      </w:r>
    </w:p>
    <w:p>
      <w:pPr>
        <w:spacing w:before="120" w:after="120"/>
        <w:jc w:val="center"/>
        <w:rPr>
          <w:rFonts w:ascii="宋体" w:hAnsi="宋体" w:cs="宋体"/>
          <w:b/>
          <w:bCs/>
          <w:color w:val="000000"/>
          <w:sz w:val="24"/>
        </w:rPr>
      </w:pPr>
      <w:r>
        <w:rPr>
          <w:rFonts w:hint="eastAsia" w:ascii="宋体" w:hAnsi="宋体" w:cs="宋体"/>
          <w:kern w:val="0"/>
          <w:sz w:val="24"/>
        </w:rPr>
        <w:t>采购代理机构：嵊州市公共资源交易中心</w:t>
      </w:r>
    </w:p>
    <w:p>
      <w:pPr>
        <w:jc w:val="center"/>
        <w:rPr>
          <w:rFonts w:ascii="隶书" w:eastAsia="隶书"/>
          <w:b/>
          <w:color w:val="FF0000"/>
          <w:sz w:val="28"/>
          <w:szCs w:val="28"/>
        </w:rPr>
      </w:pPr>
      <w:bookmarkStart w:id="0" w:name="用户单位名称"/>
      <w:bookmarkEnd w:id="0"/>
      <w:r>
        <w:rPr>
          <w:rFonts w:hint="eastAsia" w:ascii="宋体" w:hAnsi="宋体" w:cs="宋体"/>
          <w:sz w:val="24"/>
        </w:rPr>
        <w:t>2024年5月</w:t>
      </w:r>
    </w:p>
    <w:p>
      <w:pPr>
        <w:pageBreakBefore/>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合同的主要条款</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第六部分    投标文件及其附件格式</w:t>
      </w: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tbl>
      <w:tblPr>
        <w:tblStyle w:val="46"/>
        <w:tblW w:w="5000" w:type="pct"/>
        <w:tblInd w:w="0" w:type="dxa"/>
        <w:tblLayout w:type="autofit"/>
        <w:tblCellMar>
          <w:top w:w="0" w:type="dxa"/>
          <w:left w:w="0" w:type="dxa"/>
          <w:bottom w:w="0" w:type="dxa"/>
          <w:right w:w="0" w:type="dxa"/>
        </w:tblCellMar>
      </w:tblPr>
      <w:tblGrid>
        <w:gridCol w:w="8742"/>
      </w:tblGrid>
      <w:tr>
        <w:tblPrEx>
          <w:tblCellMar>
            <w:top w:w="0" w:type="dxa"/>
            <w:left w:w="0" w:type="dxa"/>
            <w:bottom w:w="0" w:type="dxa"/>
            <w:right w:w="0" w:type="dxa"/>
          </w:tblCellMar>
        </w:tblPrEx>
        <w:tc>
          <w:tcPr>
            <w:tcW w:w="5000" w:type="pct"/>
            <w:vAlign w:val="center"/>
          </w:tcPr>
          <w:p>
            <w:r>
              <w:rPr>
                <w:rFonts w:ascii="仿宋_GB2312" w:hAnsi="新宋体" w:eastAsia="仿宋_GB2312"/>
              </w:rPr>
              <w:br w:type="page"/>
            </w:r>
          </w:p>
          <w:tbl>
            <w:tblPr>
              <w:tblStyle w:val="4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612" w:type="dxa"/>
                </w:tcPr>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项目概况：</w:t>
                  </w:r>
                </w:p>
                <w:p>
                  <w:pPr>
                    <w:widowControl/>
                    <w:ind w:firstLine="480" w:firstLineChars="200"/>
                    <w:jc w:val="left"/>
                    <w:rPr>
                      <w:rFonts w:ascii="仿宋_GB2312" w:hAnsi="新宋体" w:eastAsia="仿宋_GB2312"/>
                    </w:rPr>
                  </w:pPr>
                  <w:r>
                    <w:rPr>
                      <w:rFonts w:hint="eastAsia" w:ascii="仿宋_GB2312" w:hAnsi="新宋体" w:eastAsia="仿宋_GB2312"/>
                      <w:kern w:val="0"/>
                      <w:sz w:val="24"/>
                    </w:rPr>
                    <w:t>嵊州市政务服务中心电子交易系统运维服务</w:t>
                  </w:r>
                  <w:r>
                    <w:rPr>
                      <w:rFonts w:hint="eastAsia" w:ascii="仿宋_GB2312" w:hAnsi="新宋体" w:eastAsia="仿宋_GB2312"/>
                    </w:rPr>
                    <w:t>采购项目的潜在投标人应在</w:t>
                  </w:r>
                  <w:r>
                    <w:rPr>
                      <w:rStyle w:val="280"/>
                      <w:rFonts w:ascii="仿宋" w:hAnsi="仿宋"/>
                      <w:sz w:val="27"/>
                      <w:szCs w:val="27"/>
                    </w:rPr>
                    <w:t>https://www.zcygov.c</w:t>
                  </w:r>
                  <w:r>
                    <w:rPr>
                      <w:rFonts w:hint="eastAsia" w:ascii="仿宋_GB2312" w:hAnsi="新宋体" w:eastAsia="仿宋_GB2312"/>
                      <w:kern w:val="0"/>
                      <w:sz w:val="24"/>
                    </w:rPr>
                    <w:t>n获取（下载）招标文件，并于2024年</w:t>
                  </w:r>
                  <w:r>
                    <w:rPr>
                      <w:rFonts w:hint="eastAsia" w:ascii="仿宋_GB2312" w:hAnsi="新宋体" w:eastAsia="仿宋_GB2312"/>
                      <w:kern w:val="0"/>
                      <w:sz w:val="24"/>
                      <w:lang w:val="en-US" w:eastAsia="zh-CN"/>
                    </w:rPr>
                    <w:t>6</w:t>
                  </w:r>
                  <w:r>
                    <w:rPr>
                      <w:rFonts w:hint="eastAsia" w:ascii="仿宋_GB2312" w:hAnsi="新宋体" w:eastAsia="仿宋_GB2312"/>
                      <w:kern w:val="0"/>
                      <w:sz w:val="24"/>
                    </w:rPr>
                    <w:t>月</w:t>
                  </w:r>
                  <w:r>
                    <w:rPr>
                      <w:rFonts w:hint="eastAsia" w:ascii="仿宋_GB2312" w:hAnsi="新宋体" w:eastAsia="仿宋_GB2312"/>
                      <w:kern w:val="0"/>
                      <w:sz w:val="24"/>
                      <w:lang w:val="en-US" w:eastAsia="zh-CN"/>
                    </w:rPr>
                    <w:t>5</w:t>
                  </w:r>
                  <w:r>
                    <w:rPr>
                      <w:rFonts w:hint="eastAsia" w:ascii="仿宋_GB2312" w:hAnsi="新宋体" w:eastAsia="仿宋_GB2312"/>
                      <w:kern w:val="0"/>
                      <w:sz w:val="24"/>
                    </w:rPr>
                    <w:t>日 09:30（北京时间）前递交（上传）投标文件。</w:t>
                  </w:r>
                </w:p>
              </w:tc>
            </w:tr>
          </w:tbl>
          <w:p>
            <w:pPr>
              <w:pStyle w:val="72"/>
              <w:spacing w:afterLines="0" w:line="440" w:lineRule="exact"/>
              <w:ind w:firstLine="480"/>
              <w:jc w:val="left"/>
              <w:rPr>
                <w:rFonts w:ascii="仿宋_GB2312" w:hAnsi="新宋体" w:eastAsia="仿宋_GB2312"/>
                <w:szCs w:val="24"/>
              </w:rPr>
            </w:pPr>
            <w:r>
              <w:rPr>
                <w:rFonts w:hint="eastAsia" w:ascii="仿宋_GB2312" w:hAnsi="新宋体" w:eastAsia="仿宋_GB2312"/>
                <w:szCs w:val="24"/>
              </w:rPr>
              <w:t>一、项目基本情况</w:t>
            </w:r>
          </w:p>
          <w:p>
            <w:pPr>
              <w:pStyle w:val="72"/>
              <w:spacing w:afterLines="0" w:line="440" w:lineRule="exact"/>
              <w:ind w:firstLine="480"/>
              <w:rPr>
                <w:rFonts w:ascii="仿宋_GB2312" w:hAnsi="新宋体" w:eastAsia="仿宋_GB2312"/>
                <w:color w:val="FF0000"/>
                <w:szCs w:val="24"/>
              </w:rPr>
            </w:pPr>
            <w:r>
              <w:rPr>
                <w:rFonts w:hint="eastAsia" w:ascii="仿宋_GB2312" w:hAnsi="新宋体" w:eastAsia="仿宋_GB2312"/>
                <w:szCs w:val="24"/>
              </w:rPr>
              <w:t>项目编号：政府采购2024-08</w:t>
            </w:r>
          </w:p>
          <w:p>
            <w:pPr>
              <w:widowControl/>
              <w:ind w:firstLine="480" w:firstLineChars="200"/>
              <w:jc w:val="left"/>
              <w:rPr>
                <w:rFonts w:ascii="仿宋_GB2312" w:hAnsi="新宋体" w:eastAsia="仿宋_GB2312"/>
              </w:rPr>
            </w:pPr>
            <w:r>
              <w:rPr>
                <w:rFonts w:hint="eastAsia" w:ascii="仿宋_GB2312" w:hAnsi="新宋体" w:eastAsia="仿宋_GB2312"/>
                <w:kern w:val="0"/>
                <w:sz w:val="24"/>
              </w:rPr>
              <w:t>项目名称：嵊州市政务服务中心电子交易系统运维服务</w:t>
            </w:r>
            <w:r>
              <w:rPr>
                <w:rFonts w:hint="eastAsia" w:ascii="仿宋_GB2312" w:hAnsi="新宋体" w:eastAsia="仿宋_GB2312"/>
              </w:rPr>
              <w:t>采购项目</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采购方式：公开招标</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预算金额（元）：360000.00</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最高限价（元）：360000.00</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采购需求：</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标项一:</w:t>
            </w:r>
          </w:p>
          <w:p>
            <w:pPr>
              <w:widowControl/>
              <w:jc w:val="left"/>
              <w:rPr>
                <w:rFonts w:ascii="仿宋_GB2312" w:hAnsi="新宋体" w:eastAsia="仿宋_GB2312"/>
              </w:rPr>
            </w:pPr>
            <w:r>
              <w:rPr>
                <w:rFonts w:ascii="仿宋_GB2312" w:hAnsi="新宋体" w:eastAsia="仿宋_GB2312"/>
              </w:rPr>
              <w:t>  </w:t>
            </w:r>
            <w:r>
              <w:rPr>
                <w:rFonts w:hint="eastAsia" w:ascii="仿宋_GB2312" w:hAnsi="新宋体" w:eastAsia="仿宋_GB2312"/>
                <w:kern w:val="0"/>
                <w:sz w:val="24"/>
              </w:rPr>
              <w:t>标项名称: 嵊州市政务服务中心电子交易系统运维服务采购</w:t>
            </w:r>
            <w:r>
              <w:rPr>
                <w:rFonts w:hint="eastAsia" w:ascii="仿宋_GB2312" w:hAnsi="新宋体" w:eastAsia="仿宋_GB2312"/>
              </w:rPr>
              <w:t>项目</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数量:1批</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预算金额（元）:</w:t>
            </w:r>
            <w:r>
              <w:rPr>
                <w:rFonts w:ascii="仿宋_GB2312" w:hAnsi="新宋体" w:eastAsia="仿宋_GB2312"/>
                <w:szCs w:val="24"/>
              </w:rPr>
              <w:t> </w:t>
            </w:r>
            <w:r>
              <w:rPr>
                <w:rFonts w:hint="eastAsia" w:ascii="仿宋_GB2312" w:hAnsi="新宋体" w:eastAsia="仿宋_GB2312"/>
                <w:szCs w:val="24"/>
              </w:rPr>
              <w:t>360000.00</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简要规格描述或项目基本概况介绍、用途：详见采购文件</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合同履约期限：按双方合同约定条款执行。</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本项目（否）接受联合体投标。</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二、申请人的资格要求：</w:t>
            </w:r>
          </w:p>
          <w:p>
            <w:pPr>
              <w:pStyle w:val="72"/>
              <w:spacing w:after="156" w:line="440" w:lineRule="exact"/>
              <w:ind w:firstLine="480"/>
              <w:jc w:val="left"/>
              <w:rPr>
                <w:rFonts w:ascii="仿宋_GB2312" w:hAnsi="新宋体" w:eastAsia="仿宋_GB2312"/>
                <w:szCs w:val="24"/>
              </w:rPr>
            </w:pPr>
            <w:r>
              <w:rPr>
                <w:rFonts w:hint="eastAsia" w:ascii="仿宋_GB2312" w:hAnsi="新宋体" w:eastAsia="仿宋_GB2312"/>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72"/>
              <w:spacing w:afterLines="0" w:line="440" w:lineRule="exact"/>
              <w:ind w:left="420" w:leftChars="200" w:firstLine="0" w:firstLineChars="0"/>
              <w:rPr>
                <w:rFonts w:ascii="仿宋_GB2312" w:hAnsi="新宋体" w:eastAsia="仿宋_GB2312"/>
                <w:szCs w:val="24"/>
              </w:rPr>
            </w:pPr>
            <w:r>
              <w:rPr>
                <w:rFonts w:hint="eastAsia" w:ascii="仿宋_GB2312" w:hAnsi="新宋体" w:eastAsia="仿宋_GB2312"/>
                <w:szCs w:val="24"/>
              </w:rPr>
              <w:t>2.落实政府采购政策需满足的资格要求：</w:t>
            </w:r>
            <w:r>
              <w:rPr>
                <w:rFonts w:hint="eastAsia" w:ascii="仿宋" w:hAnsi="仿宋" w:eastAsia="仿宋"/>
                <w:szCs w:val="24"/>
              </w:rPr>
              <w:t>无</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3.本项目的特定资格要求：无</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三、获取招标文件</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时间：/至2024年</w:t>
            </w:r>
            <w:r>
              <w:rPr>
                <w:rFonts w:hint="eastAsia" w:ascii="仿宋_GB2312" w:hAnsi="新宋体" w:eastAsia="仿宋_GB2312"/>
                <w:szCs w:val="24"/>
                <w:lang w:val="en-US" w:eastAsia="zh-CN"/>
              </w:rPr>
              <w:t>6</w:t>
            </w:r>
            <w:r>
              <w:rPr>
                <w:rFonts w:hint="eastAsia" w:ascii="仿宋_GB2312" w:hAnsi="新宋体" w:eastAsia="仿宋_GB2312"/>
                <w:szCs w:val="24"/>
              </w:rPr>
              <w:t>月</w:t>
            </w:r>
            <w:r>
              <w:rPr>
                <w:rFonts w:hint="eastAsia" w:ascii="仿宋_GB2312" w:hAnsi="新宋体" w:eastAsia="仿宋_GB2312"/>
                <w:szCs w:val="24"/>
                <w:lang w:val="en-US" w:eastAsia="zh-CN"/>
              </w:rPr>
              <w:t>5</w:t>
            </w:r>
            <w:r>
              <w:rPr>
                <w:rFonts w:hint="eastAsia" w:ascii="仿宋_GB2312" w:hAnsi="新宋体" w:eastAsia="仿宋_GB2312"/>
                <w:szCs w:val="24"/>
              </w:rPr>
              <w:t>日 ，每天上午00:00至12:00</w:t>
            </w:r>
            <w:r>
              <w:rPr>
                <w:rFonts w:ascii="仿宋_GB2312" w:hAnsi="新宋体" w:eastAsia="仿宋_GB2312"/>
                <w:szCs w:val="24"/>
              </w:rPr>
              <w:t> </w:t>
            </w:r>
            <w:r>
              <w:rPr>
                <w:rFonts w:hint="eastAsia" w:ascii="仿宋_GB2312" w:hAnsi="新宋体" w:eastAsia="仿宋_GB2312"/>
                <w:szCs w:val="24"/>
              </w:rPr>
              <w:t>，下午12:00至23:59（北京时间，线上获取法定节假日均可，线下获取文件法定节假日除外）</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地点（网址）：</w:t>
            </w:r>
            <w:r>
              <w:rPr>
                <w:rFonts w:ascii="仿宋_GB2312" w:hAnsi="新宋体" w:eastAsia="仿宋_GB2312" w:cs="Arial"/>
                <w:bCs/>
              </w:rPr>
              <w:t>http://www</w:t>
            </w:r>
            <w:r>
              <w:rPr>
                <w:rFonts w:hint="eastAsia" w:ascii="仿宋_GB2312" w:hAnsi="新宋体" w:eastAsia="仿宋_GB2312" w:cs="Arial"/>
                <w:bCs/>
              </w:rPr>
              <w:t>.</w:t>
            </w:r>
            <w:r>
              <w:rPr>
                <w:rFonts w:ascii="仿宋_GB2312" w:hAnsi="新宋体" w:eastAsia="仿宋_GB2312" w:cs="Arial"/>
                <w:bCs/>
              </w:rPr>
              <w:t>zcygov.cn/</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方式：</w:t>
            </w:r>
            <w:r>
              <w:rPr>
                <w:rFonts w:hint="eastAsia" w:ascii="仿宋_GB2312" w:hAnsi="新宋体" w:eastAsia="仿宋_GB2312" w:cs="Arial"/>
                <w:bCs/>
              </w:rPr>
              <w:t>供应商登陆政采云平台</w:t>
            </w:r>
            <w:r>
              <w:rPr>
                <w:rFonts w:ascii="仿宋_GB2312" w:hAnsi="新宋体" w:eastAsia="仿宋_GB2312" w:cs="Arial"/>
                <w:bCs/>
              </w:rPr>
              <w:t>http://www</w:t>
            </w:r>
            <w:r>
              <w:rPr>
                <w:rFonts w:hint="eastAsia" w:ascii="仿宋_GB2312" w:hAnsi="新宋体" w:eastAsia="仿宋_GB2312" w:cs="Arial"/>
                <w:bCs/>
              </w:rPr>
              <w:t>.</w:t>
            </w:r>
            <w:r>
              <w:rPr>
                <w:rFonts w:ascii="仿宋_GB2312" w:hAnsi="新宋体" w:eastAsia="仿宋_GB2312" w:cs="Arial"/>
                <w:bCs/>
              </w:rPr>
              <w:t>zcygov.cn/</w:t>
            </w:r>
            <w:r>
              <w:rPr>
                <w:rFonts w:hint="eastAsia" w:ascii="仿宋_GB2312" w:hAnsi="新宋体" w:eastAsia="仿宋_GB2312" w:cs="Arial"/>
                <w:bCs/>
              </w:rPr>
              <w:t>，在线申请获取采购文件（进入“项目采购”应用，在获取采购文件菜单中选择项目，申请获取采购文件）</w:t>
            </w:r>
            <w:r>
              <w:rPr>
                <w:rFonts w:ascii="仿宋_GB2312" w:hAnsi="新宋体" w:eastAsia="仿宋_GB2312" w:cs="Arial"/>
                <w:bCs/>
              </w:rPr>
              <w:t>。</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售价（元）：0</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四、提交投标文件截止时间、开标时间和地点</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提交投标文件截止时间：2024年</w:t>
            </w:r>
            <w:r>
              <w:rPr>
                <w:rFonts w:hint="eastAsia" w:ascii="仿宋_GB2312" w:hAnsi="新宋体" w:eastAsia="仿宋_GB2312"/>
                <w:szCs w:val="24"/>
                <w:lang w:val="en-US" w:eastAsia="zh-CN"/>
              </w:rPr>
              <w:t>6</w:t>
            </w:r>
            <w:r>
              <w:rPr>
                <w:rFonts w:hint="eastAsia" w:ascii="仿宋_GB2312" w:hAnsi="新宋体" w:eastAsia="仿宋_GB2312"/>
                <w:szCs w:val="24"/>
              </w:rPr>
              <w:t>月</w:t>
            </w:r>
            <w:r>
              <w:rPr>
                <w:rFonts w:hint="eastAsia" w:ascii="仿宋_GB2312" w:hAnsi="新宋体" w:eastAsia="仿宋_GB2312"/>
                <w:szCs w:val="24"/>
                <w:lang w:val="en-US" w:eastAsia="zh-CN"/>
              </w:rPr>
              <w:t>5</w:t>
            </w:r>
            <w:r>
              <w:rPr>
                <w:rFonts w:hint="eastAsia" w:ascii="仿宋_GB2312" w:hAnsi="新宋体" w:eastAsia="仿宋_GB2312"/>
                <w:szCs w:val="24"/>
              </w:rPr>
              <w:t>日  09:30（北京时间）</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投标地点（网址）：</w:t>
            </w:r>
            <w:r>
              <w:rPr>
                <w:rFonts w:ascii="仿宋_GB2312" w:hAnsi="新宋体" w:eastAsia="仿宋_GB2312" w:cs="Arial"/>
                <w:bCs/>
              </w:rPr>
              <w:t>http://www</w:t>
            </w:r>
            <w:r>
              <w:rPr>
                <w:rFonts w:hint="eastAsia" w:ascii="仿宋_GB2312" w:hAnsi="新宋体" w:eastAsia="仿宋_GB2312" w:cs="Arial"/>
                <w:bCs/>
              </w:rPr>
              <w:t>.</w:t>
            </w:r>
            <w:r>
              <w:rPr>
                <w:rFonts w:ascii="仿宋_GB2312" w:hAnsi="新宋体" w:eastAsia="仿宋_GB2312" w:cs="Arial"/>
                <w:bCs/>
              </w:rPr>
              <w:t>zcygov.cn/</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开标时间：2024年</w:t>
            </w:r>
            <w:r>
              <w:rPr>
                <w:rFonts w:hint="eastAsia" w:ascii="仿宋_GB2312" w:hAnsi="新宋体" w:eastAsia="仿宋_GB2312"/>
                <w:szCs w:val="24"/>
                <w:lang w:val="en-US" w:eastAsia="zh-CN"/>
              </w:rPr>
              <w:t>6</w:t>
            </w:r>
            <w:r>
              <w:rPr>
                <w:rFonts w:hint="eastAsia" w:ascii="仿宋_GB2312" w:hAnsi="新宋体" w:eastAsia="仿宋_GB2312"/>
                <w:szCs w:val="24"/>
              </w:rPr>
              <w:t>月</w:t>
            </w:r>
            <w:r>
              <w:rPr>
                <w:rFonts w:hint="eastAsia" w:ascii="仿宋_GB2312" w:hAnsi="新宋体" w:eastAsia="仿宋_GB2312"/>
                <w:szCs w:val="24"/>
                <w:lang w:val="en-US" w:eastAsia="zh-CN"/>
              </w:rPr>
              <w:t>5</w:t>
            </w:r>
            <w:bookmarkStart w:id="29" w:name="_GoBack"/>
            <w:bookmarkEnd w:id="29"/>
            <w:r>
              <w:rPr>
                <w:rFonts w:hint="eastAsia" w:ascii="仿宋_GB2312" w:hAnsi="新宋体" w:eastAsia="仿宋_GB2312"/>
                <w:szCs w:val="24"/>
              </w:rPr>
              <w:t>日 09:30</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开标地点（网址）：嵊州市公共资源交易中心(官河南路699号国际会展中心北楼三楼)，在政府采购云平台（www.zcygov.cn）上开启响应文件。</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五、公告期限</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自本公告发布之日起5个工作日。</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六、其他补充事宜</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2.其他事项：无</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七、对本次采购提出询问、质疑、投诉，请按以下方式联系</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1.采购人信息</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名称：嵊州市政务服务中心</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地址：嵊州市官河南路799号国际会展中心南楼四楼</w:t>
            </w:r>
            <w:r>
              <w:rPr>
                <w:rFonts w:ascii="仿宋_GB2312" w:hAnsi="新宋体" w:eastAsia="仿宋_GB2312"/>
                <w:szCs w:val="24"/>
              </w:rPr>
              <w:t xml:space="preserve">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传真：0575-83360009</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 xml:space="preserve">项目联系人（询问）：陈蕾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项目联系方式（询问）：13357553939</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质疑联系人：郑超</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质疑联系方式：18057533718</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 xml:space="preserve"> 2.采购代理机构信息 </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名称：嵊州市公共资源交易中心</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地址：嵊州市官河南路699号国际会展中心北楼三楼</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传真：0575-83360392 </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项目联系人（询问）：潘老师</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项目联系方式（询问）：0575-83360392</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质疑联系人：倪老师</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质疑联系方式：0575-83360392</w:t>
            </w:r>
            <w:r>
              <w:rPr>
                <w:rFonts w:ascii="仿宋_GB2312" w:hAnsi="新宋体" w:eastAsia="仿宋_GB2312"/>
                <w:szCs w:val="24"/>
              </w:rPr>
              <w:t> </w:t>
            </w:r>
            <w:r>
              <w:rPr>
                <w:rFonts w:hint="eastAsia" w:ascii="仿宋_GB2312" w:hAnsi="新宋体" w:eastAsia="仿宋_GB2312"/>
                <w:szCs w:val="24"/>
              </w:rPr>
              <w:t>　　　　　　</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 xml:space="preserve">3.同级政府采购监督管理部门 </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名称：嵊州市财政局</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地址：嵊州市三江街道国资大楼1004室</w:t>
            </w:r>
            <w:r>
              <w:rPr>
                <w:rFonts w:ascii="仿宋_GB2312" w:hAnsi="新宋体" w:eastAsia="仿宋_GB2312"/>
                <w:szCs w:val="24"/>
              </w:rPr>
              <w:t>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联系人 ：郑先生       </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监督投诉电话：0575-83032507</w:t>
            </w:r>
            <w:r>
              <w:rPr>
                <w:rFonts w:ascii="仿宋_GB2312" w:hAnsi="新宋体" w:eastAsia="仿宋_GB2312"/>
                <w:szCs w:val="24"/>
              </w:rPr>
              <w:t>   </w:t>
            </w:r>
          </w:p>
          <w:p>
            <w:pPr>
              <w:pStyle w:val="72"/>
              <w:spacing w:afterLines="0" w:line="440" w:lineRule="exact"/>
              <w:ind w:firstLine="480"/>
              <w:jc w:val="left"/>
              <w:rPr>
                <w:rFonts w:ascii="仿宋_GB2312" w:hAnsi="新宋体" w:eastAsia="仿宋_GB2312"/>
                <w:szCs w:val="24"/>
              </w:rPr>
            </w:pPr>
            <w:r>
              <w:rPr>
                <w:rFonts w:ascii="仿宋_GB2312" w:hAnsi="新宋体" w:eastAsia="仿宋_GB2312"/>
                <w:szCs w:val="24"/>
              </w:rPr>
              <w:t>  </w:t>
            </w:r>
            <w:r>
              <w:rPr>
                <w:rFonts w:hint="eastAsia" w:ascii="仿宋_GB2312" w:hAnsi="新宋体" w:eastAsia="仿宋_GB2312"/>
                <w:szCs w:val="24"/>
              </w:rPr>
              <w:t>若对项目采购电子交易系统操作有疑问，可登录政采云（https://www.zcygov.cn/），点击右侧咨询小采，获取采小蜜智能服务管家帮助，或拨打政采云服务热线400-881-7190获取热线服务帮助。</w:t>
            </w:r>
          </w:p>
          <w:p>
            <w:pPr>
              <w:pStyle w:val="72"/>
              <w:spacing w:afterLines="0" w:line="440" w:lineRule="exact"/>
              <w:ind w:firstLine="480"/>
              <w:rPr>
                <w:rFonts w:ascii="仿宋_GB2312" w:hAnsi="新宋体" w:eastAsia="仿宋_GB2312"/>
                <w:szCs w:val="24"/>
              </w:rPr>
            </w:pPr>
            <w:r>
              <w:rPr>
                <w:rFonts w:hint="eastAsia" w:ascii="仿宋_GB2312" w:hAnsi="新宋体" w:eastAsia="仿宋_GB2312"/>
                <w:szCs w:val="24"/>
              </w:rPr>
              <w:t>CA问题联系电话（人工）：汇信CA 400-888-4636；天谷CA 400-087-8198。</w:t>
            </w:r>
          </w:p>
        </w:tc>
      </w:tr>
    </w:tbl>
    <w:p>
      <w:pPr>
        <w:widowControl/>
        <w:jc w:val="left"/>
        <w:rPr>
          <w:rFonts w:ascii="仿宋_GB2312" w:hAnsi="新宋体" w:eastAsia="仿宋_GB2312"/>
          <w:kern w:val="0"/>
          <w:sz w:val="24"/>
        </w:rPr>
      </w:pPr>
    </w:p>
    <w:p>
      <w:pPr>
        <w:widowControl/>
        <w:jc w:val="left"/>
        <w:rPr>
          <w:rFonts w:ascii="仿宋_GB2312" w:hAnsi="新宋体" w:eastAsia="仿宋_GB2312"/>
          <w:kern w:val="0"/>
          <w:sz w:val="24"/>
        </w:rPr>
      </w:pPr>
      <w:r>
        <w:rPr>
          <w:rFonts w:ascii="仿宋_GB2312" w:hAnsi="新宋体" w:eastAsia="仿宋_GB2312"/>
        </w:rPr>
        <w:br w:type="page"/>
      </w:r>
    </w:p>
    <w:p>
      <w:pPr>
        <w:pageBreakBefore/>
        <w:ind w:left="238"/>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pPr>
        <w:ind w:left="238"/>
        <w:jc w:val="center"/>
        <w:rPr>
          <w:rFonts w:ascii="仿宋_GB2312" w:hAnsi="宋体" w:eastAsia="仿宋_GB2312"/>
          <w:b/>
          <w:sz w:val="30"/>
          <w:szCs w:val="36"/>
        </w:rPr>
      </w:pPr>
      <w:bookmarkStart w:id="1" w:name="_Hlk47616320"/>
      <w:r>
        <w:rPr>
          <w:rFonts w:hint="eastAsia" w:ascii="仿宋_GB2312" w:hAnsi="宋体" w:eastAsia="仿宋_GB2312"/>
          <w:b/>
          <w:sz w:val="30"/>
          <w:szCs w:val="36"/>
        </w:rPr>
        <w:t>前附表</w:t>
      </w:r>
    </w:p>
    <w:tbl>
      <w:tblPr>
        <w:tblStyle w:val="4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371"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371" w:type="dxa"/>
            <w:gridSpan w:val="2"/>
            <w:vAlign w:val="center"/>
          </w:tcPr>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（1）相关证明文件：</w:t>
            </w:r>
            <w:r>
              <w:rPr>
                <w:rFonts w:hint="eastAsia" w:ascii="仿宋_GB2312" w:hAnsi="仿宋_GB2312" w:eastAsia="仿宋_GB2312" w:cs="仿宋_GB2312"/>
                <w:sz w:val="24"/>
              </w:rPr>
              <w:t>营业执照复印件、2023年度资产负债表等财务报表资料文件、依法缴纳税收和社会保障资金的良好记录证明、参加本次政府采购活动前三年内，在经营活动中没有重大违法记录的声明（详见格式范例）。</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（2）资信证明文件（如果有，按招标文件第三部分招标项目范围及要求和第五部分评分标准提供）。</w:t>
            </w:r>
          </w:p>
          <w:p>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spacing w:line="440" w:lineRule="exact"/>
              <w:ind w:firstLine="480" w:firstLineChars="200"/>
              <w:rPr>
                <w:rFonts w:ascii="仿宋_GB2312" w:hAnsi="宋体"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371" w:type="dxa"/>
            <w:gridSpan w:val="2"/>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资格审查方式：</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1.资格后审。</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371" w:type="dxa"/>
            <w:gridSpan w:val="2"/>
            <w:vAlign w:val="center"/>
          </w:tcPr>
          <w:p>
            <w:pPr>
              <w:autoSpaceDE w:val="0"/>
              <w:autoSpaceDN w:val="0"/>
              <w:spacing w:line="44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_GB2312" w:hAnsi="仿宋" w:eastAsia="仿宋_GB2312" w:cs="仿宋_GB2312"/>
                <w:sz w:val="24"/>
              </w:rPr>
              <w:t>投标有效期为从提交投标文件的截止之日起90天。</w:t>
            </w:r>
            <w:r>
              <w:rPr>
                <w:rFonts w:hint="eastAsia" w:ascii="仿宋_GB2312" w:hAnsi="仿宋" w:eastAsia="仿宋_GB2312" w:cs="仿宋_GB2312"/>
                <w:b/>
                <w:sz w:val="24"/>
              </w:rPr>
              <w:t>投标人的投标文件中承</w:t>
            </w:r>
            <w:r>
              <w:rPr>
                <w:rFonts w:hint="eastAsia" w:ascii="仿宋_GB2312" w:hAnsi="仿宋" w:eastAsia="仿宋_GB2312" w:cs="仿宋_GB2312"/>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371" w:type="dxa"/>
            <w:gridSpan w:val="2"/>
            <w:vAlign w:val="center"/>
          </w:tcPr>
          <w:p>
            <w:pPr>
              <w:spacing w:line="440" w:lineRule="exact"/>
              <w:rPr>
                <w:rFonts w:ascii="仿宋_GB2312" w:hAnsi="宋体" w:eastAsia="仿宋_GB2312"/>
                <w:sz w:val="24"/>
              </w:rPr>
            </w:pPr>
            <w:r>
              <w:rPr>
                <w:rFonts w:hint="eastAsia" w:ascii="仿宋_GB2312" w:hAnsi="仿宋" w:eastAsia="仿宋_GB2312" w:cs="仿宋_GB2312"/>
                <w:b/>
                <w:sz w:val="24"/>
              </w:rPr>
              <w:t>分包或转包：</w:t>
            </w:r>
            <w:r>
              <w:rPr>
                <w:rFonts w:hint="eastAsia" w:ascii="仿宋_GB2312" w:hAnsi="仿宋" w:eastAsia="仿宋_GB2312" w:cs="仿宋_GB2312"/>
                <w:sz w:val="24"/>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371" w:type="dxa"/>
            <w:gridSpan w:val="2"/>
            <w:vAlign w:val="center"/>
          </w:tcPr>
          <w:p>
            <w:pPr>
              <w:spacing w:line="440" w:lineRule="exact"/>
              <w:rPr>
                <w:rFonts w:ascii="仿宋_GB2312" w:hAnsi="宋体" w:eastAsia="仿宋_GB2312"/>
                <w:sz w:val="24"/>
              </w:rPr>
            </w:pPr>
            <w:r>
              <w:rPr>
                <w:rFonts w:hint="eastAsia" w:ascii="仿宋_GB2312" w:hAnsi="宋体" w:eastAsia="仿宋_GB2312"/>
                <w:b/>
                <w:sz w:val="24"/>
              </w:rPr>
              <w:t>投标文件份数：</w:t>
            </w:r>
            <w:r>
              <w:rPr>
                <w:rFonts w:hint="eastAsia" w:ascii="仿宋_GB2312" w:hAnsi="宋体" w:eastAsia="仿宋_GB2312"/>
                <w:sz w:val="24"/>
              </w:rPr>
              <w:t>本项目实行网上投标，供应商于“政采云”上提供电子投标文件。供应商须在收到中标通知书5个工作日内提供一份与电子投标文件一致的纸质投标文件一正两副，并邮寄到嵊州市公共资源交易中心（嵊州市官河南路699号国际会展中心北楼三楼302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371" w:type="dxa"/>
            <w:gridSpan w:val="2"/>
            <w:vAlign w:val="center"/>
          </w:tcPr>
          <w:p>
            <w:pPr>
              <w:autoSpaceDE w:val="0"/>
              <w:autoSpaceDN w:val="0"/>
              <w:spacing w:line="440" w:lineRule="exact"/>
              <w:textAlignment w:val="bottom"/>
              <w:rPr>
                <w:rFonts w:ascii="仿宋" w:hAnsi="仿宋" w:eastAsia="仿宋" w:cs="仿宋_GB2312"/>
                <w:b/>
                <w:sz w:val="24"/>
              </w:rPr>
            </w:pPr>
            <w:r>
              <w:rPr>
                <w:rFonts w:hint="eastAsia" w:ascii="仿宋" w:hAnsi="仿宋" w:eastAsia="仿宋" w:cs="仿宋_GB2312"/>
                <w:b/>
                <w:sz w:val="24"/>
              </w:rPr>
              <w:t>开标前答疑会或现场考察：投标人可对采购人现有实际情况进行现场勘察，了解项目实施现场情况。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7</w:t>
            </w:r>
          </w:p>
        </w:tc>
        <w:tc>
          <w:tcPr>
            <w:tcW w:w="8371" w:type="dxa"/>
            <w:gridSpan w:val="2"/>
            <w:vAlign w:val="center"/>
          </w:tcPr>
          <w:p>
            <w:pPr>
              <w:autoSpaceDE w:val="0"/>
              <w:autoSpaceDN w:val="0"/>
              <w:adjustRightInd w:val="0"/>
              <w:spacing w:line="440" w:lineRule="exact"/>
              <w:jc w:val="left"/>
              <w:rPr>
                <w:rFonts w:ascii="仿宋_GB2312" w:hAnsi="宋体" w:eastAsia="仿宋_GB2312"/>
                <w:b/>
                <w:sz w:val="24"/>
              </w:rPr>
            </w:pPr>
            <w:r>
              <w:rPr>
                <w:rFonts w:hint="eastAsia" w:ascii="仿宋_GB2312" w:hAnsi="宋体" w:eastAsia="仿宋_GB2312"/>
                <w:b/>
                <w:sz w:val="24"/>
              </w:rPr>
              <w:t>样品提供：无</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8</w:t>
            </w:r>
          </w:p>
        </w:tc>
        <w:tc>
          <w:tcPr>
            <w:tcW w:w="8371" w:type="dxa"/>
            <w:gridSpan w:val="2"/>
            <w:vAlign w:val="center"/>
          </w:tcPr>
          <w:p>
            <w:pPr>
              <w:spacing w:line="440" w:lineRule="exact"/>
              <w:rPr>
                <w:rFonts w:ascii="仿宋_GB2312" w:hAnsi="宋体" w:eastAsia="仿宋_GB2312"/>
                <w:sz w:val="24"/>
              </w:rPr>
            </w:pPr>
            <w:r>
              <w:rPr>
                <w:rFonts w:hint="eastAsia" w:ascii="仿宋_GB2312" w:hAnsi="宋体" w:eastAsia="仿宋_GB2312"/>
                <w:b/>
                <w:sz w:val="24"/>
              </w:rPr>
              <w:t>演示(讲解)：无。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9</w:t>
            </w:r>
          </w:p>
        </w:tc>
        <w:tc>
          <w:tcPr>
            <w:tcW w:w="8371" w:type="dxa"/>
            <w:gridSpan w:val="2"/>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所属行业：软件和信息技术服务业。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10</w:t>
            </w:r>
          </w:p>
        </w:tc>
        <w:tc>
          <w:tcPr>
            <w:tcW w:w="855" w:type="dxa"/>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进口产 品</w:t>
            </w:r>
          </w:p>
        </w:tc>
        <w:tc>
          <w:tcPr>
            <w:tcW w:w="7516" w:type="dxa"/>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sz w:val="24"/>
              </w:rPr>
              <w:t>本项目不采购进口产品，供应商所提供的货物和服务须在我国境内合法生产、销售。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Merge w:val="restart"/>
            <w:vAlign w:val="center"/>
          </w:tcPr>
          <w:p>
            <w:pPr>
              <w:spacing w:line="440" w:lineRule="exact"/>
              <w:jc w:val="center"/>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p>
        </w:tc>
        <w:tc>
          <w:tcPr>
            <w:tcW w:w="855" w:type="dxa"/>
            <w:vMerge w:val="restart"/>
            <w:vAlign w:val="center"/>
          </w:tcPr>
          <w:p>
            <w:pPr>
              <w:snapToGrid w:val="0"/>
              <w:spacing w:line="440" w:lineRule="exact"/>
              <w:rPr>
                <w:rFonts w:ascii="仿宋_GB2312" w:hAnsi="仿宋_GB2312" w:eastAsia="仿宋_GB2312" w:cs="仿宋_GB2312"/>
                <w:b/>
                <w:sz w:val="24"/>
              </w:rPr>
            </w:pPr>
            <w:r>
              <w:rPr>
                <w:rFonts w:hint="eastAsia" w:ascii="仿宋_GB2312" w:hAnsi="宋体" w:eastAsia="仿宋_GB2312"/>
                <w:b/>
                <w:sz w:val="24"/>
              </w:rPr>
              <w:t>投标人信用信息事项</w:t>
            </w:r>
          </w:p>
        </w:tc>
        <w:tc>
          <w:tcPr>
            <w:tcW w:w="7516" w:type="dxa"/>
            <w:vAlign w:val="center"/>
          </w:tcPr>
          <w:p>
            <w:pPr>
              <w:snapToGrid w:val="0"/>
              <w:spacing w:line="440" w:lineRule="exact"/>
              <w:rPr>
                <w:rFonts w:ascii="仿宋_GB2312" w:hAnsi="仿宋_GB2312" w:eastAsia="仿宋_GB2312" w:cs="仿宋_GB2312"/>
                <w:b/>
                <w:sz w:val="24"/>
              </w:rPr>
            </w:pPr>
            <w:r>
              <w:rPr>
                <w:rFonts w:hint="eastAsia" w:ascii="仿宋_GB2312" w:hAnsi="宋体" w:eastAsia="仿宋_GB2312"/>
                <w:b/>
                <w:sz w:val="24"/>
              </w:rPr>
              <w:t>信用信息查询渠道及截止时间：</w:t>
            </w:r>
            <w:r>
              <w:rPr>
                <w:rFonts w:hint="eastAsia" w:ascii="仿宋_GB2312" w:hAnsi="宋体" w:eastAsia="仿宋_GB2312"/>
                <w:sz w:val="24"/>
              </w:rPr>
              <w:t>采购人或采购人委托的评审小组或采购代理机构将通过“信用中国”网站(www.creditchina.gov.cn)、中国政府采购网(www.ccgp.gov.cn)渠道查询投标人</w:t>
            </w:r>
            <w:r>
              <w:rPr>
                <w:rFonts w:hint="eastAsia" w:ascii="仿宋_GB2312" w:hAnsi="仿宋_GB2312" w:eastAsia="仿宋_GB2312" w:cs="仿宋_GB2312"/>
                <w:b/>
                <w:sz w:val="24"/>
              </w:rPr>
              <w:t>开标当天</w:t>
            </w:r>
            <w:r>
              <w:rPr>
                <w:rFonts w:hint="eastAsia" w:ascii="仿宋_GB2312" w:hAnsi="宋体" w:eastAsia="仿宋_GB2312"/>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Merge w:val="continue"/>
            <w:vAlign w:val="center"/>
          </w:tcPr>
          <w:p>
            <w:pPr>
              <w:spacing w:line="440" w:lineRule="exact"/>
              <w:jc w:val="center"/>
              <w:rPr>
                <w:rFonts w:ascii="仿宋_GB2312" w:hAnsi="宋体" w:eastAsia="仿宋_GB2312"/>
                <w:sz w:val="24"/>
              </w:rPr>
            </w:pPr>
          </w:p>
        </w:tc>
        <w:tc>
          <w:tcPr>
            <w:tcW w:w="855" w:type="dxa"/>
            <w:vMerge w:val="continue"/>
            <w:vAlign w:val="center"/>
          </w:tcPr>
          <w:p>
            <w:pPr>
              <w:snapToGrid w:val="0"/>
              <w:spacing w:line="440" w:lineRule="exact"/>
              <w:rPr>
                <w:rFonts w:ascii="仿宋_GB2312" w:hAnsi="仿宋_GB2312" w:eastAsia="仿宋_GB2312" w:cs="仿宋_GB2312"/>
                <w:b/>
                <w:sz w:val="24"/>
              </w:rPr>
            </w:pPr>
          </w:p>
        </w:tc>
        <w:tc>
          <w:tcPr>
            <w:tcW w:w="7516" w:type="dxa"/>
            <w:vAlign w:val="center"/>
          </w:tcPr>
          <w:p>
            <w:pPr>
              <w:snapToGrid w:val="0"/>
              <w:spacing w:line="440" w:lineRule="exact"/>
              <w:rPr>
                <w:rFonts w:ascii="仿宋_GB2312" w:hAnsi="仿宋_GB2312" w:eastAsia="仿宋_GB2312" w:cs="仿宋_GB2312"/>
                <w:b/>
                <w:sz w:val="24"/>
              </w:rPr>
            </w:pPr>
            <w:r>
              <w:rPr>
                <w:rFonts w:hint="eastAsia" w:ascii="仿宋_GB2312" w:hAnsi="宋体" w:eastAsia="仿宋_GB2312"/>
                <w:b/>
                <w:sz w:val="24"/>
              </w:rPr>
              <w:t>信用信息查询记录和证据留存的具体方式：</w:t>
            </w:r>
            <w:r>
              <w:rPr>
                <w:rFonts w:hint="eastAsia" w:ascii="仿宋_GB2312" w:hAnsi="宋体" w:eastAsia="仿宋_GB2312"/>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Merge w:val="continue"/>
            <w:vAlign w:val="center"/>
          </w:tcPr>
          <w:p>
            <w:pPr>
              <w:spacing w:line="440" w:lineRule="exact"/>
              <w:jc w:val="center"/>
              <w:rPr>
                <w:rFonts w:ascii="仿宋_GB2312" w:hAnsi="宋体" w:eastAsia="仿宋_GB2312"/>
                <w:sz w:val="24"/>
              </w:rPr>
            </w:pPr>
          </w:p>
        </w:tc>
        <w:tc>
          <w:tcPr>
            <w:tcW w:w="855" w:type="dxa"/>
            <w:vMerge w:val="continue"/>
            <w:vAlign w:val="center"/>
          </w:tcPr>
          <w:p>
            <w:pPr>
              <w:snapToGrid w:val="0"/>
              <w:spacing w:line="440" w:lineRule="exact"/>
              <w:rPr>
                <w:rFonts w:ascii="仿宋_GB2312" w:hAnsi="仿宋_GB2312" w:eastAsia="仿宋_GB2312" w:cs="仿宋_GB2312"/>
                <w:b/>
                <w:sz w:val="24"/>
              </w:rPr>
            </w:pPr>
          </w:p>
        </w:tc>
        <w:tc>
          <w:tcPr>
            <w:tcW w:w="7516" w:type="dxa"/>
            <w:vAlign w:val="center"/>
          </w:tcPr>
          <w:p>
            <w:pPr>
              <w:snapToGrid w:val="0"/>
              <w:spacing w:line="440" w:lineRule="exact"/>
              <w:rPr>
                <w:rFonts w:ascii="仿宋_GB2312" w:hAnsi="仿宋_GB2312" w:eastAsia="仿宋_GB2312" w:cs="仿宋_GB2312"/>
                <w:b/>
                <w:sz w:val="24"/>
              </w:rPr>
            </w:pPr>
            <w:r>
              <w:rPr>
                <w:rFonts w:hint="eastAsia" w:ascii="仿宋_GB2312" w:hAnsi="宋体" w:eastAsia="仿宋_GB2312"/>
                <w:b/>
                <w:sz w:val="24"/>
              </w:rPr>
              <w:t>信用信息的使用规则：</w:t>
            </w:r>
            <w:r>
              <w:rPr>
                <w:rFonts w:hint="eastAsia" w:ascii="仿宋_GB2312" w:hAnsi="宋体" w:eastAsia="仿宋_GB2312"/>
                <w:sz w:val="24"/>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12</w:t>
            </w:r>
          </w:p>
        </w:tc>
        <w:tc>
          <w:tcPr>
            <w:tcW w:w="8371" w:type="dxa"/>
            <w:gridSpan w:val="2"/>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扰乱公共资源交易市场秩序行为：</w:t>
            </w:r>
          </w:p>
          <w:p>
            <w:pPr>
              <w:snapToGrid w:val="0"/>
              <w:spacing w:line="440" w:lineRule="exact"/>
              <w:rPr>
                <w:rFonts w:ascii="仿宋_GB2312" w:hAnsi="仿宋" w:eastAsia="仿宋_GB2312"/>
                <w:sz w:val="24"/>
              </w:rPr>
            </w:pPr>
            <w:r>
              <w:rPr>
                <w:rFonts w:hint="eastAsia" w:ascii="仿宋_GB2312" w:hAnsi="仿宋" w:eastAsia="仿宋_GB2312"/>
                <w:sz w:val="24"/>
              </w:rPr>
              <w:t>不诚信参加公共资源交易活动，扰乱市场秩序，被</w:t>
            </w:r>
            <w:r>
              <w:rPr>
                <w:rFonts w:hint="eastAsia" w:ascii="仿宋_GB2312" w:hAnsi="宋体" w:eastAsia="仿宋_GB2312"/>
                <w:sz w:val="24"/>
              </w:rPr>
              <w:t>嵊州市公共资源交易中心</w:t>
            </w:r>
            <w:r>
              <w:rPr>
                <w:rFonts w:hint="eastAsia" w:ascii="仿宋_GB2312" w:hAnsi="仿宋" w:eastAsia="仿宋_GB2312"/>
                <w:sz w:val="24"/>
              </w:rPr>
              <w:t>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13</w:t>
            </w:r>
          </w:p>
        </w:tc>
        <w:tc>
          <w:tcPr>
            <w:tcW w:w="8371" w:type="dxa"/>
            <w:gridSpan w:val="2"/>
            <w:vAlign w:val="center"/>
          </w:tcPr>
          <w:p>
            <w:pPr>
              <w:snapToGrid w:val="0"/>
              <w:spacing w:line="440" w:lineRule="exact"/>
              <w:rPr>
                <w:rFonts w:ascii="仿宋_GB2312" w:hAnsi="仿宋" w:eastAsia="仿宋_GB2312"/>
                <w:sz w:val="24"/>
              </w:rPr>
            </w:pPr>
            <w:r>
              <w:rPr>
                <w:rFonts w:hint="eastAsia" w:ascii="仿宋_GB2312" w:hAnsi="仿宋" w:eastAsia="仿宋_GB2312"/>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14</w:t>
            </w:r>
          </w:p>
        </w:tc>
        <w:tc>
          <w:tcPr>
            <w:tcW w:w="8371" w:type="dxa"/>
            <w:gridSpan w:val="2"/>
            <w:vAlign w:val="center"/>
          </w:tcPr>
          <w:p>
            <w:pPr>
              <w:snapToGrid w:val="0"/>
              <w:spacing w:line="440" w:lineRule="exact"/>
              <w:rPr>
                <w:rFonts w:ascii="仿宋_GB2312" w:hAnsi="仿宋" w:eastAsia="仿宋_GB2312"/>
                <w:sz w:val="24"/>
              </w:rPr>
            </w:pPr>
            <w:r>
              <w:rPr>
                <w:rFonts w:hint="eastAsia" w:ascii="仿宋_GB2312" w:hAnsi="仿宋" w:eastAsia="仿宋_GB2312"/>
                <w:sz w:val="24"/>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15</w:t>
            </w:r>
          </w:p>
        </w:tc>
        <w:tc>
          <w:tcPr>
            <w:tcW w:w="8371" w:type="dxa"/>
            <w:gridSpan w:val="2"/>
            <w:vAlign w:val="center"/>
          </w:tcPr>
          <w:p>
            <w:pPr>
              <w:snapToGrid w:val="0"/>
              <w:spacing w:line="440" w:lineRule="exact"/>
              <w:rPr>
                <w:rFonts w:ascii="仿宋_GB2312" w:hAnsi="仿宋" w:eastAsia="仿宋_GB2312"/>
                <w:sz w:val="24"/>
              </w:rPr>
            </w:pPr>
            <w:r>
              <w:rPr>
                <w:rFonts w:hint="eastAsia" w:ascii="仿宋_GB2312" w:hAnsi="仿宋" w:eastAsia="仿宋_GB2312"/>
                <w:sz w:val="24"/>
              </w:rPr>
              <w:t>投标与开标注意事项：</w:t>
            </w:r>
          </w:p>
          <w:p>
            <w:pPr>
              <w:snapToGrid w:val="0"/>
              <w:spacing w:line="440" w:lineRule="exact"/>
              <w:rPr>
                <w:rFonts w:ascii="仿宋_GB2312" w:hAnsi="仿宋" w:eastAsia="仿宋_GB2312"/>
                <w:sz w:val="24"/>
              </w:rPr>
            </w:pPr>
            <w:r>
              <w:rPr>
                <w:rFonts w:hint="eastAsia" w:ascii="仿宋_GB2312" w:hAnsi="仿宋" w:eastAsia="仿宋_GB2312"/>
                <w:sz w:val="24"/>
              </w:rPr>
              <w:t>1.本项目实行网上投标，采用电子投标文件。若供应商参与投标，自行承担投标一切费用。</w:t>
            </w:r>
          </w:p>
          <w:p>
            <w:pPr>
              <w:snapToGrid w:val="0"/>
              <w:spacing w:line="440" w:lineRule="exact"/>
              <w:rPr>
                <w:rFonts w:ascii="仿宋_GB2312" w:hAnsi="仿宋" w:eastAsia="仿宋_GB2312"/>
                <w:sz w:val="24"/>
              </w:rPr>
            </w:pPr>
            <w:r>
              <w:rPr>
                <w:rFonts w:hint="eastAsia" w:ascii="仿宋_GB2312" w:hAnsi="仿宋" w:eastAsia="仿宋_GB2312"/>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440" w:lineRule="exact"/>
              <w:rPr>
                <w:rFonts w:ascii="仿宋_GB2312" w:hAnsi="仿宋" w:eastAsia="仿宋_GB2312"/>
                <w:sz w:val="24"/>
              </w:rPr>
            </w:pPr>
            <w:r>
              <w:rPr>
                <w:rFonts w:hint="eastAsia" w:ascii="仿宋_GB2312" w:hAnsi="仿宋" w:eastAsia="仿宋_GB2312"/>
                <w:sz w:val="24"/>
              </w:rPr>
              <w:t>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仿宋_GB2312" w:hAnsi="仿宋" w:eastAsia="仿宋_GB2312"/>
                <w:sz w:val="24"/>
              </w:rPr>
            </w:pPr>
            <w:r>
              <w:rPr>
                <w:rFonts w:hint="eastAsia" w:ascii="仿宋_GB2312" w:hAnsi="仿宋" w:eastAsia="仿宋_GB2312"/>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440" w:lineRule="exact"/>
              <w:jc w:val="left"/>
              <w:rPr>
                <w:rFonts w:ascii="仿宋_GB2312" w:hAnsi="仿宋" w:eastAsia="仿宋_GB2312"/>
                <w:sz w:val="24"/>
              </w:rPr>
            </w:pPr>
            <w:r>
              <w:rPr>
                <w:rFonts w:hint="eastAsia" w:ascii="仿宋_GB2312" w:hAnsi="仿宋" w:eastAsia="仿宋_GB2312"/>
                <w:sz w:val="24"/>
              </w:rPr>
              <w:t>《CA申领操作指南》：https://help.zcygov.cn/web/site_2/2018/11-29/2452.html</w:t>
            </w:r>
          </w:p>
          <w:p>
            <w:pPr>
              <w:snapToGrid w:val="0"/>
              <w:spacing w:line="440" w:lineRule="exact"/>
              <w:jc w:val="left"/>
              <w:rPr>
                <w:rFonts w:ascii="仿宋_GB2312" w:hAnsi="仿宋" w:eastAsia="仿宋_GB2312"/>
                <w:sz w:val="24"/>
              </w:rPr>
            </w:pPr>
            <w:r>
              <w:rPr>
                <w:rFonts w:hint="eastAsia" w:ascii="仿宋_GB2312" w:hAnsi="仿宋" w:eastAsia="仿宋_GB2312"/>
                <w:sz w:val="24"/>
              </w:rPr>
              <w:t>《CA管理操作指南》：https://help.zcygov.cn/web/site_2/2019/08-20/3405.html</w:t>
            </w:r>
          </w:p>
          <w:p>
            <w:pPr>
              <w:snapToGrid w:val="0"/>
              <w:spacing w:line="440" w:lineRule="exact"/>
              <w:rPr>
                <w:rFonts w:ascii="仿宋_GB2312" w:hAnsi="仿宋" w:eastAsia="仿宋_GB2312"/>
                <w:sz w:val="24"/>
              </w:rPr>
            </w:pPr>
            <w:r>
              <w:rPr>
                <w:rFonts w:hint="eastAsia" w:ascii="仿宋_GB2312" w:hAnsi="仿宋" w:eastAsia="仿宋_GB2312"/>
                <w:sz w:val="24"/>
              </w:rPr>
              <w:t>《CA驱动和申领流程》:</w:t>
            </w:r>
          </w:p>
          <w:p>
            <w:pPr>
              <w:snapToGrid w:val="0"/>
              <w:spacing w:line="440" w:lineRule="exact"/>
              <w:rPr>
                <w:rFonts w:ascii="仿宋_GB2312" w:hAnsi="仿宋" w:eastAsia="仿宋_GB2312"/>
                <w:sz w:val="24"/>
              </w:rPr>
            </w:pPr>
            <w:r>
              <w:rPr>
                <w:rFonts w:hint="eastAsia" w:ascii="仿宋_GB2312" w:hAnsi="仿宋" w:eastAsia="仿宋_GB2312"/>
                <w:sz w:val="24"/>
              </w:rPr>
              <w:t>http://zfcg.czt.zj.gov.cn//bidClientTemplate/2019-05-27/12945.html</w:t>
            </w:r>
          </w:p>
          <w:p>
            <w:pPr>
              <w:snapToGrid w:val="0"/>
              <w:spacing w:line="440" w:lineRule="exact"/>
              <w:rPr>
                <w:rFonts w:ascii="仿宋_GB2312" w:hAnsi="仿宋" w:eastAsia="仿宋_GB2312"/>
                <w:sz w:val="24"/>
              </w:rPr>
            </w:pPr>
            <w:r>
              <w:rPr>
                <w:rFonts w:hint="eastAsia" w:ascii="仿宋_GB2312" w:hAnsi="仿宋" w:eastAsia="仿宋_GB2312"/>
                <w:sz w:val="24"/>
              </w:rPr>
              <w:t>3.投标文件制作、递交、解密：</w:t>
            </w:r>
          </w:p>
          <w:p>
            <w:pPr>
              <w:snapToGrid w:val="0"/>
              <w:spacing w:line="440" w:lineRule="exact"/>
              <w:rPr>
                <w:rFonts w:ascii="仿宋_GB2312" w:hAnsi="仿宋" w:eastAsia="仿宋_GB2312"/>
                <w:sz w:val="24"/>
              </w:rPr>
            </w:pPr>
            <w:r>
              <w:rPr>
                <w:rFonts w:hint="eastAsia" w:ascii="仿宋_GB2312" w:hAnsi="仿宋" w:eastAsia="仿宋_GB2312"/>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_GB2312" w:hAnsi="仿宋" w:eastAsia="仿宋_GB2312"/>
                <w:sz w:val="24"/>
              </w:rPr>
            </w:pPr>
            <w:r>
              <w:rPr>
                <w:rFonts w:hint="eastAsia" w:ascii="仿宋_GB2312" w:hAnsi="仿宋" w:eastAsia="仿宋_GB2312"/>
                <w:sz w:val="24"/>
              </w:rPr>
              <w:t>3.2投标人通过“政采云”平台制作电子投标文件，投标文件制作详见“供应商-政府采购项目电子交易操作指南：</w:t>
            </w:r>
            <w:r>
              <w:fldChar w:fldCharType="begin"/>
            </w:r>
            <w:r>
              <w:instrText xml:space="preserve"> HYPERLINK "https://help.zcygov.cn/web/site_2/2018/12-28/2573.html" </w:instrText>
            </w:r>
            <w:r>
              <w:fldChar w:fldCharType="separate"/>
            </w:r>
            <w:r>
              <w:rPr>
                <w:rStyle w:val="53"/>
                <w:rFonts w:hint="eastAsia" w:ascii="仿宋_GB2312" w:hAnsi="仿宋" w:eastAsia="仿宋_GB2312"/>
                <w:color w:val="auto"/>
                <w:sz w:val="24"/>
              </w:rPr>
              <w:t>https://help.zcygov.cn/web/site_2/2018/12-28/2573.html</w:t>
            </w:r>
            <w:r>
              <w:rPr>
                <w:rStyle w:val="53"/>
                <w:rFonts w:hint="eastAsia" w:ascii="仿宋_GB2312" w:hAnsi="仿宋" w:eastAsia="仿宋_GB2312"/>
                <w:color w:val="auto"/>
                <w:sz w:val="24"/>
              </w:rPr>
              <w:fldChar w:fldCharType="end"/>
            </w:r>
            <w:r>
              <w:rPr>
                <w:rFonts w:hint="eastAsia" w:ascii="仿宋_GB2312" w:hAnsi="仿宋" w:eastAsia="仿宋_GB2312"/>
                <w:sz w:val="24"/>
              </w:rPr>
              <w:t>”。</w:t>
            </w:r>
          </w:p>
          <w:p>
            <w:pPr>
              <w:snapToGrid w:val="0"/>
              <w:spacing w:line="440" w:lineRule="exact"/>
              <w:rPr>
                <w:rFonts w:ascii="仿宋" w:hAnsi="仿宋" w:eastAsia="仿宋"/>
                <w:sz w:val="24"/>
              </w:rPr>
            </w:pPr>
            <w:r>
              <w:rPr>
                <w:rFonts w:hint="eastAsia" w:ascii="仿宋_GB2312" w:hAnsi="仿宋" w:eastAsia="仿宋_GB2312"/>
                <w:sz w:val="24"/>
              </w:rPr>
              <w:t>3.3</w:t>
            </w:r>
            <w:r>
              <w:rPr>
                <w:rFonts w:hint="eastAsia" w:ascii="仿宋_GB2312" w:hAnsi="新宋体" w:eastAsia="仿宋_GB2312" w:cs="Arial"/>
                <w:sz w:val="24"/>
              </w:rPr>
              <w:t>开标时间后3</w:t>
            </w:r>
            <w:r>
              <w:rPr>
                <w:rFonts w:ascii="仿宋_GB2312" w:hAnsi="新宋体" w:eastAsia="仿宋_GB2312" w:cs="Arial"/>
                <w:sz w:val="24"/>
              </w:rPr>
              <w:t>0</w:t>
            </w:r>
            <w:r>
              <w:rPr>
                <w:rFonts w:hint="eastAsia" w:ascii="仿宋_GB2312" w:hAnsi="新宋体" w:eastAsia="仿宋_GB2312" w:cs="Arial"/>
                <w:sz w:val="24"/>
              </w:rPr>
              <w:t>分钟内供应商可以登录“政采云”平台，用“项目采购-开标评标”功能进行解密投标文件。若供应商</w:t>
            </w:r>
            <w:r>
              <w:rPr>
                <w:rFonts w:hint="eastAsia" w:ascii="仿宋_GB2312" w:hAnsi="宋体" w:eastAsia="仿宋_GB2312"/>
                <w:b/>
                <w:sz w:val="24"/>
                <w:u w:val="single"/>
              </w:rPr>
              <w:t>未按时解密的</w:t>
            </w:r>
            <w:r>
              <w:rPr>
                <w:rFonts w:hint="eastAsia" w:ascii="仿宋_GB2312" w:hAnsi="新宋体" w:eastAsia="仿宋_GB2312" w:cs="Arial"/>
                <w:sz w:val="24"/>
              </w:rPr>
              <w:t>，</w:t>
            </w:r>
            <w:r>
              <w:rPr>
                <w:rFonts w:hint="eastAsia" w:ascii="仿宋_GB2312" w:hAnsi="宋体" w:eastAsia="仿宋_GB2312"/>
                <w:b/>
                <w:sz w:val="24"/>
                <w:u w:val="single"/>
              </w:rPr>
              <w:t>视为投标文件撤回</w:t>
            </w:r>
            <w:r>
              <w:rPr>
                <w:rFonts w:hint="eastAsia" w:ascii="仿宋_GB2312" w:hAnsi="新宋体" w:eastAsia="仿宋_GB2312"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pPr>
              <w:spacing w:line="440" w:lineRule="exact"/>
              <w:rPr>
                <w:rFonts w:ascii="仿宋_GB2312" w:hAnsi="宋体" w:eastAsia="仿宋_GB2312"/>
                <w:sz w:val="24"/>
              </w:rPr>
            </w:pPr>
            <w:r>
              <w:rPr>
                <w:rFonts w:hint="eastAsia" w:ascii="仿宋_GB2312" w:hAnsi="宋体" w:eastAsia="仿宋_GB2312"/>
                <w:sz w:val="24"/>
              </w:rPr>
              <w:t>解释：凡涉及本招标文件的解释权属于采购人和本中心。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pPr>
              <w:spacing w:line="440" w:lineRule="exact"/>
              <w:rPr>
                <w:rFonts w:ascii="仿宋_GB2312" w:eastAsia="仿宋_GB2312"/>
                <w:b/>
                <w:sz w:val="24"/>
              </w:rPr>
            </w:pPr>
            <w:r>
              <w:rPr>
                <w:rFonts w:hint="eastAsia" w:ascii="仿宋_GB2312" w:eastAsia="仿宋_GB2312"/>
                <w:b/>
                <w:sz w:val="24"/>
              </w:rPr>
              <w:t>注：中标人放弃中标资格或因质疑、投诉被取消中标资格或不能履行合同的，本项目重新组织采购。</w:t>
            </w:r>
          </w:p>
        </w:tc>
      </w:tr>
      <w:bookmarkEnd w:id="1"/>
    </w:tbl>
    <w:p>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1.1本招标文件</w:t>
      </w:r>
      <w:r>
        <w:rPr>
          <w:rFonts w:hint="eastAsia" w:ascii="仿宋" w:hAnsi="仿宋" w:eastAsia="仿宋"/>
          <w:sz w:val="24"/>
        </w:rPr>
        <w:t>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sz w:val="24"/>
        </w:rPr>
      </w:pPr>
      <w:r>
        <w:rPr>
          <w:rFonts w:hint="eastAsia" w:ascii="仿宋_GB2312" w:hAnsi="宋体" w:eastAsia="仿宋_GB2312"/>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_GB2312" w:hAnsi="宋体" w:eastAsia="仿宋_GB2312"/>
          <w:sz w:val="24"/>
        </w:rPr>
      </w:pPr>
      <w:r>
        <w:rPr>
          <w:rFonts w:hint="eastAsia" w:ascii="仿宋_GB2312" w:hAnsi="宋体" w:eastAsia="仿宋_GB2312"/>
          <w:sz w:val="24"/>
        </w:rPr>
        <w:t>1.4本招标文件所称公章是指单位法定名称章或者冠以法定名称的投标业务专用章或单位法定名称电子公章。</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jc w:val="left"/>
        <w:rPr>
          <w:rFonts w:ascii="仿宋_GB2312" w:hAnsi="宋体" w:eastAsia="仿宋_GB2312"/>
          <w:sz w:val="24"/>
        </w:rPr>
      </w:pPr>
      <w:r>
        <w:rPr>
          <w:rFonts w:hint="eastAsia" w:ascii="仿宋_GB2312" w:hAnsi="仿宋_GB2312" w:eastAsia="仿宋_GB2312" w:cs="仿宋_GB2312"/>
          <w:sz w:val="24"/>
        </w:rPr>
        <w:t>2.1政府采购当事人及监管部门：嵊州市政务服务中心为本项目的采购人（合同中的甲方），嵊州市公共资源交易中心为集中采购机构，响应招标、参加投标竞争的法人、其他组织或者自然人为投标人，经评审产生并经批准的投标人为中标候选人，经公告无异议，并签订合同后的中标人为供应商（合同中的乙方），嵊州市财政局为政府采购监督管理部门。</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2.3“服务”系指招标文件规定投标人须承担的安装、调试、技术协助、校准、培训、技术指导以及其他类似的义务。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2.4“项目”系指投标人按招标文件规定向采购人提供的产品和服务。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napToGrid w:val="0"/>
        <w:spacing w:line="440" w:lineRule="exact"/>
        <w:jc w:val="left"/>
        <w:rPr>
          <w:rFonts w:ascii="仿宋_GB2312" w:hAnsi="宋体" w:eastAsia="仿宋_GB2312"/>
          <w:sz w:val="24"/>
        </w:rPr>
      </w:pPr>
      <w:r>
        <w:rPr>
          <w:rFonts w:hint="eastAsia" w:ascii="仿宋_GB2312" w:hAnsi="宋体" w:eastAsia="仿宋_GB2312"/>
          <w:sz w:val="24"/>
        </w:rPr>
        <w:t>2.6 “★”系指实质性指标要求条款，“▲” 系指主要性能指标要求条款。如任意一条打“★”的指标出现负偏离按无效投标处理，如任意一条打“▲”的指标出现负偏离按评分标准作扣分处理。</w:t>
      </w:r>
    </w:p>
    <w:p>
      <w:pPr>
        <w:snapToGrid w:val="0"/>
        <w:spacing w:line="440" w:lineRule="exact"/>
        <w:jc w:val="left"/>
        <w:rPr>
          <w:rFonts w:ascii="仿宋_GB2312" w:hAnsi="宋体" w:eastAsia="仿宋_GB2312"/>
          <w:sz w:val="24"/>
        </w:rPr>
      </w:pP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rPr>
      </w:pPr>
      <w:r>
        <w:rPr>
          <w:rFonts w:hint="eastAsia" w:ascii="仿宋_GB2312" w:hAnsi="仿宋" w:eastAsia="仿宋_GB2312"/>
          <w:sz w:val="24"/>
        </w:rPr>
        <w:t>3.2 节能环保要求</w:t>
      </w:r>
    </w:p>
    <w:p>
      <w:pPr>
        <w:spacing w:line="440" w:lineRule="exact"/>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p>
    <w:p>
      <w:pPr>
        <w:spacing w:line="440" w:lineRule="exact"/>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rPr>
      </w:pPr>
      <w:r>
        <w:rPr>
          <w:rFonts w:hint="eastAsia" w:ascii="仿宋_GB2312" w:hAnsi="仿宋" w:eastAsia="仿宋_GB2312"/>
          <w:sz w:val="24"/>
        </w:rPr>
        <w:t>3.3.4小微企业应按照招标文件格式要求提供《中小企业声明函》。</w:t>
      </w:r>
    </w:p>
    <w:p>
      <w:pPr>
        <w:spacing w:line="440" w:lineRule="exact"/>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单位、采购代理机构应当对符合规定的小微企业报价按最高优惠幅度（货物和服务项目为10%、工程项目为5%）给予扣除，用扣除后的价格参加评审。</w:t>
      </w:r>
    </w:p>
    <w:p>
      <w:pPr>
        <w:spacing w:line="440" w:lineRule="exact"/>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按最高优惠幅度（货物和服务项目为3%、工程项目为2%）给予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rPr>
      </w:pPr>
      <w:r>
        <w:rPr>
          <w:rFonts w:hint="eastAsia" w:ascii="仿宋_GB2312" w:hAnsi="宋体" w:eastAsia="仿宋_GB2312"/>
          <w:sz w:val="24"/>
        </w:rPr>
        <w:t>★</w:t>
      </w:r>
      <w:r>
        <w:rPr>
          <w:rFonts w:hint="eastAsia" w:ascii="仿宋_GB2312" w:hAnsi="仿宋" w:eastAsia="仿宋_GB2312"/>
          <w:sz w:val="24"/>
        </w:rPr>
        <w:t>4.特别说明：</w:t>
      </w:r>
    </w:p>
    <w:p>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pPr>
        <w:spacing w:line="440" w:lineRule="exact"/>
        <w:rPr>
          <w:rFonts w:ascii="仿宋_GB2312" w:hAnsi="仿宋" w:eastAsia="仿宋_GB2312"/>
          <w:sz w:val="24"/>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156" w:beforeLines="50" w:after="156" w:afterLines="50"/>
        <w:jc w:val="center"/>
        <w:rPr>
          <w:rFonts w:ascii="仿宋_GB2312" w:hAnsi="宋体" w:eastAsia="仿宋_GB2312"/>
          <w:sz w:val="24"/>
        </w:rPr>
      </w:pPr>
      <w:r>
        <w:rPr>
          <w:rFonts w:hint="eastAsia" w:ascii="仿宋_GB2312" w:hAnsi="宋体" w:eastAsia="仿宋_GB2312"/>
          <w:b/>
          <w:sz w:val="36"/>
          <w:szCs w:val="36"/>
        </w:rPr>
        <w:t>二、招标文件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1．招标方式</w:t>
      </w:r>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pStyle w:val="20"/>
        <w:snapToGrid w:val="0"/>
        <w:spacing w:after="0" w:line="440" w:lineRule="exact"/>
        <w:ind w:left="0" w:leftChars="0"/>
        <w:jc w:val="left"/>
        <w:rPr>
          <w:rFonts w:ascii="仿宋_GB2312" w:hAnsi="宋体" w:eastAsia="仿宋_GB2312"/>
          <w:b/>
          <w:sz w:val="24"/>
        </w:rPr>
      </w:pPr>
      <w:r>
        <w:rPr>
          <w:rFonts w:hint="eastAsia" w:ascii="仿宋_GB2312" w:hAnsi="宋体" w:eastAsia="仿宋_GB2312"/>
          <w:b/>
          <w:sz w:val="24"/>
        </w:rPr>
        <w:t>2.授权委托</w:t>
      </w:r>
    </w:p>
    <w:p>
      <w:pPr>
        <w:pStyle w:val="16"/>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本项目为电子投标项目，投标人的法定代表人或其授权代表或个体工商户不需要参加现场投标和开标。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 投标费用</w:t>
      </w:r>
    </w:p>
    <w:p>
      <w:pPr>
        <w:pStyle w:val="16"/>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投标人应自行承担编制投标文件及参加本次投标所涉及的一切费用。不管投标结果如何，招标人对上述费用不负任何责任。对中标人免收政府采购代理服务费。</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招标文件的修改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4.1 </w:t>
      </w:r>
      <w:r>
        <w:rPr>
          <w:rFonts w:hint="eastAsia" w:ascii="仿宋_GB2312" w:hAnsi="宋体" w:eastAsia="仿宋_GB2312"/>
          <w:bCs/>
          <w:sz w:val="24"/>
        </w:rPr>
        <w:t>招标文件包括本招标文件及所有的招标答疑记录（澄清、修改）和发出的补充通知</w:t>
      </w:r>
      <w:r>
        <w:rPr>
          <w:rFonts w:hint="eastAsia" w:ascii="仿宋_GB2312" w:hAnsi="宋体" w:eastAsia="仿宋_GB2312"/>
          <w:sz w:val="24"/>
        </w:rPr>
        <w:t>。</w:t>
      </w:r>
    </w:p>
    <w:p>
      <w:pPr>
        <w:pStyle w:val="16"/>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4.2招标文件的澄清 </w:t>
      </w:r>
    </w:p>
    <w:p>
      <w:pPr>
        <w:pStyle w:val="16"/>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6"/>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4.3招标文件的修改</w:t>
      </w:r>
    </w:p>
    <w:p>
      <w:pPr>
        <w:pStyle w:val="16"/>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_GB2312" w:hAnsi="宋体" w:eastAsia="仿宋_GB2312"/>
          <w:sz w:val="24"/>
        </w:rPr>
      </w:pPr>
      <w:r>
        <w:rPr>
          <w:rFonts w:hint="eastAsia" w:ascii="仿宋_GB2312" w:hAnsi="宋体" w:eastAsia="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5.参考品牌</w:t>
      </w:r>
    </w:p>
    <w:p>
      <w:pPr>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三、投标文件</w:t>
      </w:r>
    </w:p>
    <w:p>
      <w:pPr>
        <w:numPr>
          <w:ilvl w:val="0"/>
          <w:numId w:val="7"/>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1.5.2投标文件的效力：</w:t>
      </w:r>
    </w:p>
    <w:p>
      <w:pPr>
        <w:snapToGrid w:val="0"/>
        <w:spacing w:line="440" w:lineRule="exact"/>
        <w:ind w:firstLine="472" w:firstLineChars="196"/>
        <w:jc w:val="left"/>
        <w:rPr>
          <w:rFonts w:ascii="仿宋_GB2312" w:hAnsi="宋体" w:eastAsia="仿宋_GB2312"/>
          <w:b/>
          <w:sz w:val="24"/>
          <w:u w:val="single"/>
        </w:rPr>
      </w:pPr>
      <w:r>
        <w:rPr>
          <w:rFonts w:hint="eastAsia" w:ascii="仿宋_GB2312" w:hAnsi="宋体" w:eastAsia="仿宋_GB2312"/>
          <w:b/>
          <w:sz w:val="24"/>
          <w:u w:val="single"/>
        </w:rPr>
        <w:t>投标文件未在投标截止时间前完成传输的，视为投标文件撤回；投标文件未按时解密，亦视为投标文件撤回。</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投标文件的组成</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投标文件由“报价文件资料”、“商务技术（资信）文件资料”两部分组成，</w:t>
      </w:r>
      <w:r>
        <w:rPr>
          <w:rFonts w:hint="eastAsia" w:ascii="仿宋" w:hAnsi="仿宋" w:eastAsia="仿宋"/>
          <w:sz w:val="24"/>
        </w:rPr>
        <w:t>其中</w:t>
      </w:r>
      <w:r>
        <w:rPr>
          <w:rFonts w:hint="eastAsia" w:ascii="仿宋" w:hAnsi="仿宋" w:eastAsia="仿宋"/>
          <w:b/>
          <w:sz w:val="24"/>
        </w:rPr>
        <w:t>电子投标文件中所须加盖公章部分均应采用电子签章。</w:t>
      </w:r>
    </w:p>
    <w:p>
      <w:pPr>
        <w:spacing w:line="440" w:lineRule="exact"/>
        <w:jc w:val="left"/>
        <w:rPr>
          <w:rFonts w:ascii="仿宋_GB2312" w:hAnsi="宋体" w:eastAsia="仿宋_GB2312"/>
          <w:sz w:val="24"/>
        </w:rPr>
      </w:pPr>
      <w:r>
        <w:rPr>
          <w:rFonts w:hint="eastAsia" w:ascii="仿宋_GB2312" w:hAnsi="宋体" w:eastAsia="仿宋_GB2312"/>
          <w:sz w:val="24"/>
        </w:rPr>
        <w:t>2.1 “报价文件资料”应包含以下内容：</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2.1.1投标响应函（格式见第六部分附件）； </w:t>
      </w:r>
    </w:p>
    <w:p>
      <w:pPr>
        <w:snapToGrid w:val="0"/>
        <w:spacing w:line="440" w:lineRule="exact"/>
        <w:jc w:val="left"/>
        <w:rPr>
          <w:rFonts w:ascii="仿宋_GB2312" w:hAnsi="宋体" w:eastAsia="仿宋_GB2312"/>
          <w:sz w:val="24"/>
        </w:rPr>
      </w:pPr>
      <w:r>
        <w:rPr>
          <w:rFonts w:hint="eastAsia" w:ascii="仿宋_GB2312" w:hAnsi="宋体" w:eastAsia="仿宋_GB2312"/>
          <w:sz w:val="24"/>
        </w:rPr>
        <w:t>2.1.2开标一览表（格式见第六部分附件）；</w:t>
      </w:r>
    </w:p>
    <w:p>
      <w:pPr>
        <w:pStyle w:val="27"/>
        <w:spacing w:line="440" w:lineRule="exact"/>
        <w:rPr>
          <w:rFonts w:ascii="仿宋_GB2312" w:hAnsi="宋体" w:eastAsia="仿宋_GB2312"/>
          <w:b w:val="0"/>
          <w:sz w:val="24"/>
        </w:rPr>
      </w:pPr>
      <w:r>
        <w:rPr>
          <w:rFonts w:hint="eastAsia" w:ascii="仿宋_GB2312" w:hAnsi="宋体" w:eastAsia="仿宋_GB2312"/>
          <w:b w:val="0"/>
          <w:sz w:val="24"/>
        </w:rPr>
        <w:t>2.1.3中小企业声明函（如有，格式见第六部分附件）；</w:t>
      </w:r>
    </w:p>
    <w:p>
      <w:pPr>
        <w:pStyle w:val="27"/>
        <w:spacing w:line="440" w:lineRule="exact"/>
        <w:rPr>
          <w:rFonts w:ascii="仿宋_GB2312" w:hAnsi="宋体" w:eastAsia="仿宋_GB2312"/>
          <w:b w:val="0"/>
          <w:sz w:val="24"/>
        </w:rPr>
      </w:pPr>
      <w:r>
        <w:rPr>
          <w:rFonts w:hint="eastAsia" w:ascii="仿宋_GB2312" w:hAnsi="宋体" w:eastAsia="仿宋_GB2312"/>
          <w:b w:val="0"/>
          <w:sz w:val="24"/>
        </w:rPr>
        <w:t>2.1.4残疾人福利性单位声明函（如有，格式见第六部分附件）。</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 “商务技术（资信）文件资料”应包括以下内容（正本用原件）：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2.2.2授权代表社保证明（格式见第六部分附件）；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2.2.3法定代表人身份证明书（格式见第六部分附件）；</w:t>
      </w:r>
    </w:p>
    <w:p>
      <w:pPr>
        <w:snapToGrid w:val="0"/>
        <w:spacing w:line="440" w:lineRule="exact"/>
        <w:rPr>
          <w:rFonts w:ascii="仿宋_GB2312" w:hAnsi="Arial" w:eastAsia="仿宋_GB2312" w:cs="Arial"/>
          <w:kern w:val="0"/>
          <w:sz w:val="24"/>
        </w:rPr>
      </w:pPr>
      <w:r>
        <w:rPr>
          <w:rFonts w:hint="eastAsia" w:ascii="仿宋_GB2312" w:hAnsi="宋体" w:eastAsia="仿宋_GB2312"/>
          <w:sz w:val="24"/>
        </w:rPr>
        <w:t>2.2.4相关资质证明或文件复印件</w:t>
      </w:r>
      <w:r>
        <w:rPr>
          <w:rFonts w:hint="eastAsia" w:ascii="仿宋_GB2312" w:hAnsi="仿宋_GB2312" w:eastAsia="仿宋_GB2312" w:cs="仿宋_GB2312"/>
          <w:sz w:val="24"/>
        </w:rPr>
        <w:t>（均需加盖公章）：</w:t>
      </w:r>
      <w:r>
        <w:rPr>
          <w:rFonts w:hint="eastAsia" w:ascii="仿宋_GB2312" w:hAnsi="仿宋_GB2312" w:eastAsia="仿宋_GB2312" w:cs="仿宋_GB2312"/>
          <w:kern w:val="0"/>
          <w:sz w:val="24"/>
        </w:rPr>
        <w:t>证明其符合《中华人民共和国政府采购法》</w:t>
      </w:r>
      <w:r>
        <w:rPr>
          <w:rFonts w:hint="eastAsia" w:ascii="仿宋_GB2312" w:hAnsi="Arial" w:eastAsia="仿宋_GB2312" w:cs="Arial"/>
          <w:kern w:val="0"/>
          <w:sz w:val="24"/>
        </w:rPr>
        <w:t>规定的供应商基本条件和采购项目对供应商的特定要求</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p>
    <w:p>
      <w:pPr>
        <w:pStyle w:val="26"/>
        <w:spacing w:line="440" w:lineRule="exact"/>
        <w:ind w:firstLine="480" w:firstLineChars="200"/>
        <w:rPr>
          <w:rFonts w:ascii="仿宋_GB2312" w:hAnsi="仿宋" w:eastAsia="仿宋_GB2312"/>
          <w:sz w:val="24"/>
        </w:rPr>
      </w:pPr>
      <w:bookmarkStart w:id="2" w:name="_Hlt68073093"/>
      <w:bookmarkEnd w:id="2"/>
      <w:bookmarkStart w:id="3" w:name="_Hlt68403820"/>
      <w:bookmarkEnd w:id="3"/>
      <w:bookmarkStart w:id="4" w:name="_Hlt68072998"/>
      <w:bookmarkEnd w:id="4"/>
      <w:r>
        <w:rPr>
          <w:rFonts w:hint="eastAsia" w:ascii="仿宋_GB2312" w:hAnsi="仿宋" w:eastAsia="仿宋_GB2312"/>
          <w:sz w:val="24"/>
        </w:rPr>
        <w:t>（1）营业执照(或事业法人登记证或其他工商等登记证明材料)复印件，实施“五证合一、一照一码”登记制度改革的，只需提供改革后取得的营业执照复印件 ；</w:t>
      </w:r>
    </w:p>
    <w:p>
      <w:pPr>
        <w:pStyle w:val="26"/>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（2）2023年度资产负债表等财务报表资料文件(新成立的公司提供情况证明)；</w:t>
      </w:r>
    </w:p>
    <w:p>
      <w:pPr>
        <w:pStyle w:val="26"/>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（3）具有履行合同所必需的设备和专业技术能力的承诺函；</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sz w:val="24"/>
        </w:rPr>
        <w:t>（4）参加本次政府采购活动前三年内，在经营活动中没有重大违法记录的声明（</w:t>
      </w:r>
      <w:r>
        <w:rPr>
          <w:rFonts w:hint="eastAsia" w:ascii="仿宋_GB2312" w:hAnsi="仿宋_GB2312" w:eastAsia="仿宋_GB2312" w:cs="仿宋_GB2312"/>
          <w:sz w:val="24"/>
          <w:szCs w:val="20"/>
        </w:rPr>
        <w:t>需要特别声明“没有因违反《浙江省政府采购供应商注册及诚信管理暂行办法》被列入‘黑名单’，在处罚有效期”）；</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w:t>
      </w:r>
      <w:r>
        <w:rPr>
          <w:rFonts w:hint="eastAsia" w:ascii="仿宋_GB2312" w:hAnsi="仿宋_GB2312" w:eastAsia="仿宋_GB2312" w:cs="仿宋_GB2312"/>
          <w:sz w:val="24"/>
          <w:szCs w:val="20"/>
        </w:rPr>
        <w:t>提供依法缴纳税收和社会保障资金的良好记录证明，税收和社保证明打印时间不得早于投标截止时间前1个月；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(7</w:t>
      </w:r>
      <w:r>
        <w:rPr>
          <w:rFonts w:hint="eastAsia" w:ascii="仿宋_GB2312" w:hAnsi="仿宋_GB2312" w:eastAsia="仿宋_GB2312" w:cs="仿宋_GB2312"/>
          <w:sz w:val="24"/>
        </w:rPr>
        <w:t>)符合特定资格条件（如果项目要求）的有关证明材料（复印件）；</w:t>
      </w:r>
    </w:p>
    <w:p>
      <w:pPr>
        <w:pStyle w:val="26"/>
        <w:snapToGrid w:val="0"/>
        <w:spacing w:line="440" w:lineRule="exact"/>
        <w:rPr>
          <w:rFonts w:ascii="仿宋_GB2312" w:hAnsi="仿宋_GB2312" w:eastAsia="仿宋_GB2312" w:cs="仿宋_GB2312"/>
          <w:sz w:val="24"/>
          <w:lang w:val="zh-CN"/>
        </w:rPr>
      </w:pPr>
      <w:r>
        <w:rPr>
          <w:rFonts w:hint="eastAsia" w:ascii="仿宋_GB2312" w:hAnsi="宋体" w:eastAsia="仿宋_GB2312"/>
          <w:sz w:val="24"/>
        </w:rPr>
        <w:t>2.2.5</w:t>
      </w:r>
      <w:r>
        <w:rPr>
          <w:rFonts w:hint="eastAsia" w:ascii="仿宋_GB2312" w:hAnsi="仿宋_GB2312" w:eastAsia="仿宋_GB2312" w:cs="仿宋_GB2312"/>
          <w:sz w:val="24"/>
          <w:lang w:val="zh-CN"/>
        </w:rPr>
        <w:t>投标人应提供针对项目的完整技术解决方案：</w:t>
      </w:r>
    </w:p>
    <w:p>
      <w:pPr>
        <w:snapToGrid w:val="0"/>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440" w:lineRule="exact"/>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如果本项目涉及硬件设备采购，还需提供相关设备完整配置方案（设备名称、品牌、规格型号、数量、主要技术参数等）</w:t>
      </w:r>
      <w:r>
        <w:rPr>
          <w:rFonts w:hint="eastAsia" w:ascii="仿宋_GB2312" w:hAnsi="仿宋_GB2312" w:eastAsia="仿宋_GB2312" w:cs="仿宋_GB2312"/>
          <w:sz w:val="24"/>
        </w:rPr>
        <w:t>，</w:t>
      </w:r>
      <w:r>
        <w:rPr>
          <w:rFonts w:hint="eastAsia" w:ascii="仿宋_GB2312" w:hAnsi="仿宋_GB2312" w:eastAsia="仿宋_GB2312" w:cs="仿宋_GB2312"/>
          <w:b/>
          <w:sz w:val="24"/>
        </w:rPr>
        <w:t>提供主要投标产品的技术参数证明材料（如原厂技术说明、官网截图、产品彩页等），</w:t>
      </w:r>
      <w:r>
        <w:rPr>
          <w:rFonts w:hint="eastAsia" w:ascii="仿宋_GB2312" w:hAnsi="仿宋_GB2312" w:eastAsia="仿宋_GB2312" w:cs="仿宋_GB2312"/>
          <w:sz w:val="24"/>
        </w:rPr>
        <w:t>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（所有技术指标表述均应采用中文，如当前公布的技术指标只有英文表述的，必须由投标人作出中文注释，否则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评标委员会技术扣分直至认定为投标无效都将是投标人的责任）</w:t>
      </w:r>
      <w:r>
        <w:rPr>
          <w:rFonts w:hint="eastAsia" w:ascii="仿宋_GB2312" w:hAnsi="仿宋_GB2312" w:eastAsia="仿宋_GB2312" w:cs="仿宋_GB2312"/>
          <w:sz w:val="24"/>
        </w:rPr>
        <w:t>。</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投标人须按格式提供节能产品、环境标志产品认证证书复印件。</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2.2.6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2.2.8</w:t>
      </w:r>
      <w:r>
        <w:rPr>
          <w:rFonts w:hint="eastAsia" w:ascii="仿宋_GB2312" w:hAnsi="仿宋_GB2312" w:eastAsia="仿宋_GB2312" w:cs="仿宋_GB2312"/>
          <w:sz w:val="24"/>
        </w:rPr>
        <w:t>投标人在投标文件技术偏离说明表中，</w:t>
      </w:r>
      <w:r>
        <w:rPr>
          <w:rFonts w:hint="eastAsia" w:ascii="仿宋_GB2312" w:hAnsi="仿宋_GB2312" w:eastAsia="仿宋_GB2312" w:cs="仿宋_GB2312"/>
          <w:kern w:val="0"/>
          <w:sz w:val="24"/>
          <w:lang w:val="zh-CN"/>
        </w:rPr>
        <w:t>应对</w:t>
      </w:r>
      <w:r>
        <w:rPr>
          <w:rFonts w:hint="eastAsia" w:ascii="仿宋_GB2312" w:hAnsi="仿宋_GB2312" w:eastAsia="仿宋_GB2312" w:cs="仿宋_GB2312"/>
          <w:sz w:val="24"/>
        </w:rPr>
        <w:t>项目技术规范和服务要求</w:t>
      </w:r>
      <w:r>
        <w:rPr>
          <w:rFonts w:hint="eastAsia" w:ascii="仿宋_GB2312" w:hAnsi="仿宋_GB2312"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2.2.9针对本项目建设的详细实施计划。本项目详细工作实施组织方案，包括(但不限于)以下内容：组织机构、工作时间进度表、工作程序和步骤、管理和协调方法、关键步骤的思路和要点；</w:t>
      </w:r>
    </w:p>
    <w:p>
      <w:pPr>
        <w:tabs>
          <w:tab w:val="left" w:pos="0"/>
          <w:tab w:val="left" w:pos="840"/>
        </w:tabs>
        <w:autoSpaceDE w:val="0"/>
        <w:autoSpaceDN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2.2.10项目维护方案；针对本项目的维护方案，包括本地(嵊州)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培训计划；</w:t>
      </w:r>
    </w:p>
    <w:p>
      <w:pPr>
        <w:snapToGrid w:val="0"/>
        <w:spacing w:line="440" w:lineRule="exact"/>
        <w:rPr>
          <w:rFonts w:ascii="仿宋_GB2312" w:hAnsi="仿宋_GB2312" w:eastAsia="仿宋_GB2312" w:cs="仿宋_GB2312"/>
          <w:sz w:val="24"/>
          <w:lang w:val="zh-CN"/>
        </w:rPr>
      </w:pPr>
      <w:r>
        <w:rPr>
          <w:rFonts w:hint="eastAsia" w:ascii="仿宋_GB2312" w:hAnsi="仿宋_GB2312" w:eastAsia="仿宋_GB2312" w:cs="仿宋_GB2312"/>
          <w:kern w:val="0"/>
          <w:sz w:val="24"/>
        </w:rPr>
        <w:t>2.2.11</w:t>
      </w:r>
      <w:r>
        <w:rPr>
          <w:rFonts w:hint="eastAsia" w:ascii="仿宋_GB2312" w:hAnsi="仿宋_GB2312" w:eastAsia="仿宋_GB2312" w:cs="仿宋_GB2312"/>
          <w:snapToGrid w:val="0"/>
          <w:sz w:val="24"/>
        </w:rPr>
        <w:t>非本地投标人售后服务机构证明材料。非本地投标人</w:t>
      </w:r>
      <w:r>
        <w:rPr>
          <w:rFonts w:hint="eastAsia" w:ascii="仿宋_GB2312" w:hAnsi="仿宋_GB2312" w:eastAsia="仿宋_GB2312" w:cs="仿宋_GB2312"/>
          <w:sz w:val="24"/>
          <w:lang w:val="zh-CN"/>
        </w:rPr>
        <w:t>在嵊州的分公司</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需提供本地工商注册</w:t>
      </w:r>
      <w:r>
        <w:rPr>
          <w:rFonts w:hint="eastAsia" w:ascii="仿宋_GB2312" w:hAnsi="仿宋_GB2312" w:eastAsia="仿宋_GB2312" w:cs="仿宋_GB2312"/>
          <w:sz w:val="24"/>
        </w:rPr>
        <w:t>登记</w:t>
      </w:r>
      <w:r>
        <w:rPr>
          <w:rFonts w:hint="eastAsia" w:ascii="仿宋_GB2312" w:hAnsi="仿宋_GB2312" w:eastAsia="仿宋_GB2312" w:cs="仿宋_GB2312"/>
          <w:sz w:val="24"/>
          <w:lang w:val="zh-CN"/>
        </w:rPr>
        <w:t>资料）或办事处</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需提供本地国内经济合作办注册资料</w:t>
      </w:r>
      <w:r>
        <w:rPr>
          <w:rFonts w:hint="eastAsia" w:ascii="仿宋_GB2312" w:hAnsi="仿宋_GB2312" w:eastAsia="仿宋_GB2312" w:cs="仿宋_GB2312"/>
          <w:kern w:val="0"/>
          <w:sz w:val="24"/>
        </w:rPr>
        <w:t>）或符合本项目服务能力并签订合作协议的第三方机构或者在中标（成交）公示后在本地设立售后服务机构作</w:t>
      </w:r>
      <w:r>
        <w:rPr>
          <w:rFonts w:hint="eastAsia" w:ascii="仿宋_GB2312" w:hAnsi="仿宋_GB2312" w:eastAsia="仿宋_GB2312" w:cs="仿宋_GB2312"/>
          <w:sz w:val="24"/>
          <w:lang w:val="zh-CN"/>
        </w:rPr>
        <w:t>为常驻服务和技术支持机构；</w:t>
      </w:r>
    </w:p>
    <w:p>
      <w:pPr>
        <w:snapToGrid w:val="0"/>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lang w:val="zh-CN"/>
        </w:rPr>
        <w:t>2.2.1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廉政承诺书</w:t>
      </w:r>
      <w:r>
        <w:rPr>
          <w:rFonts w:hint="eastAsia" w:ascii="仿宋_GB2312" w:hAnsi="宋体" w:eastAsia="仿宋_GB2312"/>
          <w:sz w:val="24"/>
        </w:rPr>
        <w:t>（格式见第六部分附件）；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2.2.13</w:t>
      </w:r>
      <w:r>
        <w:rPr>
          <w:rFonts w:hint="eastAsia" w:ascii="仿宋_GB2312" w:hAnsi="宋体" w:eastAsia="仿宋_GB2312"/>
          <w:sz w:val="24"/>
          <w:u w:val="wave"/>
        </w:rPr>
        <w:t>未尽事宜请各投标单位按评分细则和相对应标项相关要求制作(重要)</w:t>
      </w:r>
      <w:r>
        <w:rPr>
          <w:rFonts w:hint="eastAsia" w:ascii="仿宋_GB2312" w:hAnsi="宋体" w:eastAsia="仿宋_GB2312"/>
          <w:sz w:val="24"/>
        </w:rPr>
        <w:t>；</w:t>
      </w:r>
    </w:p>
    <w:p>
      <w:pPr>
        <w:pStyle w:val="21"/>
        <w:tabs>
          <w:tab w:val="left" w:pos="1854"/>
          <w:tab w:val="clear" w:pos="482"/>
        </w:tabs>
        <w:spacing w:afterLines="0" w:line="440" w:lineRule="exact"/>
        <w:ind w:left="0" w:firstLine="0"/>
        <w:rPr>
          <w:rFonts w:ascii="仿宋_GB2312" w:hAnsi="宋体" w:eastAsia="仿宋_GB2312"/>
        </w:rPr>
      </w:pPr>
      <w:r>
        <w:rPr>
          <w:rFonts w:hint="eastAsia" w:ascii="仿宋_GB2312" w:hAnsi="宋体" w:eastAsia="仿宋_GB2312"/>
        </w:rPr>
        <w:t>2.2.14投标人需要说明的其他文件和说明（格式自拟）。</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以上文件组成“商务技术（资信）文件资料”。投标人在“商务技术（资信）文件资料”中应对招标文件作实质性响应，该项内容将作为评标重要指标。</w:t>
      </w:r>
    </w:p>
    <w:p>
      <w:pPr>
        <w:pStyle w:val="21"/>
        <w:tabs>
          <w:tab w:val="left" w:pos="1854"/>
          <w:tab w:val="clear" w:pos="482"/>
        </w:tabs>
        <w:spacing w:afterLines="0" w:line="440" w:lineRule="exact"/>
        <w:ind w:left="0" w:right="-78" w:rightChars="-37" w:firstLine="480" w:firstLineChars="200"/>
        <w:rPr>
          <w:rFonts w:ascii="仿宋_GB2312" w:hAnsi="宋体" w:eastAsia="仿宋_GB2312"/>
          <w:b/>
        </w:rPr>
      </w:pPr>
      <w:r>
        <w:rPr>
          <w:rFonts w:hint="eastAsia" w:ascii="仿宋_GB2312" w:hAnsi="宋体" w:eastAsia="仿宋_GB2312"/>
        </w:rPr>
        <w:t>投标人不按招标文件的要求提供的投标文件，可能会被评标委员会视为未实质性响应，其风险应由投标人自行承担。</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26"/>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26"/>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pPr>
        <w:pStyle w:val="26"/>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b/>
          <w:kern w:val="0"/>
          <w:sz w:val="24"/>
        </w:rPr>
      </w:pPr>
      <w:r>
        <w:rPr>
          <w:rFonts w:hint="eastAsia" w:ascii="仿宋_GB2312" w:hAnsi="宋体" w:eastAsia="仿宋_GB2312"/>
          <w:sz w:val="24"/>
        </w:rPr>
        <w:t>3.4</w:t>
      </w:r>
      <w:r>
        <w:rPr>
          <w:rFonts w:hint="eastAsia" w:ascii="仿宋_GB2312" w:hAnsi="宋体" w:eastAsia="仿宋_GB2312"/>
          <w:b/>
          <w:kern w:val="0"/>
          <w:sz w:val="24"/>
        </w:rPr>
        <w:t>投标报价只允许有一个报价，有选择的报价将不予接受（除指定外）。</w:t>
      </w:r>
    </w:p>
    <w:p>
      <w:pPr>
        <w:pStyle w:val="16"/>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6"/>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 w:hAnsi="仿宋" w:eastAsia="仿宋" w:cs="仿宋_GB2312"/>
        </w:rPr>
        <w:t>投标有效期为从提交投标文件的截止之日起90天。</w:t>
      </w:r>
      <w:r>
        <w:rPr>
          <w:rFonts w:hint="eastAsia" w:ascii="仿宋" w:hAnsi="仿宋" w:eastAsia="仿宋" w:cs="仿宋_GB2312"/>
          <w:b/>
        </w:rPr>
        <w:t>投标人的投标文件中承</w:t>
      </w:r>
      <w:r>
        <w:rPr>
          <w:rFonts w:hint="eastAsia" w:ascii="仿宋" w:hAnsi="仿宋" w:eastAsia="仿宋" w:cs="仿宋_GB2312"/>
          <w:b/>
          <w:szCs w:val="21"/>
        </w:rPr>
        <w:t>诺的投标有效期少于招标文件中载明的投标有效期的，投标无效。</w:t>
      </w:r>
    </w:p>
    <w:p>
      <w:pPr>
        <w:pStyle w:val="16"/>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6"/>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5.投标文件的规定</w:t>
      </w:r>
    </w:p>
    <w:p>
      <w:pPr>
        <w:pStyle w:val="26"/>
        <w:spacing w:line="440" w:lineRule="exact"/>
        <w:jc w:val="left"/>
        <w:rPr>
          <w:rFonts w:ascii="仿宋_GB2312" w:hAnsi="宋体" w:eastAsia="仿宋_GB2312"/>
          <w:sz w:val="24"/>
          <w:szCs w:val="24"/>
        </w:rPr>
      </w:pPr>
      <w:r>
        <w:rPr>
          <w:rFonts w:hint="eastAsia" w:ascii="仿宋_GB2312" w:hAnsi="宋体" w:eastAsia="仿宋_GB2312"/>
          <w:sz w:val="24"/>
          <w:szCs w:val="24"/>
        </w:rPr>
        <w:t>5.1投标文件由“商务技术（资信）文件资料”、“报价文件资料”两部分文件组成，应按统一格式填写。</w:t>
      </w:r>
    </w:p>
    <w:p>
      <w:pPr>
        <w:pStyle w:val="26"/>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5.2投标文件须按附件格式要求进行电子签章，投标人应写全称。</w:t>
      </w:r>
    </w:p>
    <w:p>
      <w:pPr>
        <w:pStyle w:val="26"/>
        <w:spacing w:line="440" w:lineRule="exact"/>
        <w:jc w:val="left"/>
        <w:rPr>
          <w:rFonts w:ascii="仿宋_GB2312" w:hAnsi="宋体" w:eastAsia="仿宋_GB2312"/>
          <w:sz w:val="24"/>
          <w:szCs w:val="24"/>
        </w:rPr>
      </w:pPr>
      <w:r>
        <w:rPr>
          <w:rFonts w:hint="eastAsia" w:ascii="仿宋_GB2312" w:hAnsi="宋体" w:eastAsia="仿宋_GB2312"/>
          <w:sz w:val="24"/>
          <w:szCs w:val="24"/>
        </w:rPr>
        <w:t>5.3投标文件不得涂改，若有修改错漏处，须加盖单位公章（或电子签章）或者法定代表人或其授权代表签字或盖章。</w:t>
      </w:r>
    </w:p>
    <w:p>
      <w:pPr>
        <w:snapToGrid w:val="0"/>
        <w:spacing w:line="440" w:lineRule="exact"/>
        <w:jc w:val="left"/>
        <w:rPr>
          <w:rFonts w:ascii="仿宋_GB2312" w:hAnsi="宋体" w:eastAsia="仿宋_GB2312"/>
          <w:sz w:val="24"/>
        </w:rPr>
      </w:pPr>
      <w:r>
        <w:rPr>
          <w:rFonts w:hint="eastAsia" w:ascii="仿宋_GB2312" w:hAnsi="宋体" w:eastAsia="仿宋_GB2312"/>
          <w:sz w:val="24"/>
        </w:rPr>
        <w:t>5.4投标文件因字迹潦草或表达不清所引起的后果由投标人负责。</w:t>
      </w:r>
    </w:p>
    <w:p>
      <w:pPr>
        <w:spacing w:line="440" w:lineRule="exact"/>
        <w:jc w:val="left"/>
        <w:rPr>
          <w:rFonts w:ascii="仿宋_GB2312" w:hAnsi="宋体" w:eastAsia="仿宋_GB2312"/>
          <w:sz w:val="24"/>
        </w:rPr>
      </w:pPr>
      <w:r>
        <w:rPr>
          <w:rFonts w:hint="eastAsia" w:ascii="仿宋_GB2312" w:hAnsi="宋体" w:eastAsia="仿宋_GB2312"/>
          <w:sz w:val="24"/>
        </w:rPr>
        <w:t>5.5投标人应认真阅读招标文件中所有的内容。如果投标人编制的投标文件实质上不响应招标文件的要求，其投标文件将被招标人拒绝。</w:t>
      </w:r>
    </w:p>
    <w:p>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5.6电子投标文件：投标人应根据“政采云供应商项目采购-电子招投标操作指南”及本招标文件规定的格式和顺序编制电子投标文件并进行关联定位。</w:t>
      </w:r>
    </w:p>
    <w:p>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pPr>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投标人应按“招标公告”规定的时间、方式将投标文件提交给采购机构，</w:t>
      </w:r>
      <w:r>
        <w:rPr>
          <w:rFonts w:hint="eastAsia" w:ascii="仿宋_GB2312" w:eastAsia="仿宋_GB2312"/>
          <w:b/>
          <w:sz w:val="24"/>
        </w:rPr>
        <w:t>采购机构将拒绝接受逾期提交的投标文件。</w:t>
      </w:r>
    </w:p>
    <w:p>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pPr>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1．电子招投标开标及评审程序</w:t>
      </w:r>
    </w:p>
    <w:p>
      <w:pPr>
        <w:snapToGrid w:val="0"/>
        <w:spacing w:line="480" w:lineRule="exact"/>
        <w:jc w:val="left"/>
        <w:rPr>
          <w:rFonts w:ascii="仿宋_GB2312" w:hAnsi="宋体" w:eastAsia="仿宋_GB2312"/>
          <w:sz w:val="24"/>
        </w:rPr>
      </w:pPr>
      <w:r>
        <w:rPr>
          <w:rFonts w:hint="eastAsia" w:ascii="仿宋_GB2312" w:hAnsi="宋体" w:eastAsia="仿宋_GB2312"/>
          <w:sz w:val="24"/>
        </w:rPr>
        <w:t>1.1投标截止时间后，主持人宣布开标开始。</w:t>
      </w:r>
    </w:p>
    <w:p>
      <w:pPr>
        <w:snapToGrid w:val="0"/>
        <w:spacing w:line="480" w:lineRule="exact"/>
        <w:jc w:val="left"/>
        <w:rPr>
          <w:rFonts w:ascii="仿宋_GB2312" w:hAnsi="宋体" w:eastAsia="仿宋_GB2312"/>
          <w:sz w:val="24"/>
        </w:rPr>
      </w:pPr>
      <w:r>
        <w:rPr>
          <w:rFonts w:hint="eastAsia" w:ascii="仿宋_GB2312" w:hAnsi="宋体" w:eastAsia="仿宋_GB2312"/>
          <w:sz w:val="24"/>
        </w:rPr>
        <w:t>1.2投标人登录政采云平台，用“项目采购-开标评标”功能对电子投标文件进行在线解密。在线解密电子投标文件时间为开标时间起3</w:t>
      </w:r>
      <w:r>
        <w:rPr>
          <w:rFonts w:ascii="仿宋_GB2312" w:hAnsi="宋体" w:eastAsia="仿宋_GB2312"/>
          <w:sz w:val="24"/>
        </w:rPr>
        <w:t>0</w:t>
      </w:r>
      <w:r>
        <w:rPr>
          <w:rFonts w:hint="eastAsia" w:ascii="仿宋_GB2312" w:hAnsi="宋体" w:eastAsia="仿宋_GB2312"/>
          <w:sz w:val="24"/>
        </w:rPr>
        <w:t>分钟内。</w:t>
      </w:r>
    </w:p>
    <w:p>
      <w:pPr>
        <w:snapToGrid w:val="0"/>
        <w:spacing w:line="480" w:lineRule="exact"/>
        <w:jc w:val="left"/>
        <w:rPr>
          <w:rFonts w:ascii="仿宋_GB2312" w:hAnsi="宋体" w:eastAsia="仿宋_GB2312"/>
          <w:sz w:val="24"/>
        </w:rPr>
      </w:pPr>
      <w:r>
        <w:rPr>
          <w:rFonts w:hint="eastAsia" w:ascii="仿宋_GB2312" w:hAnsi="宋体" w:eastAsia="仿宋_GB2312"/>
          <w:sz w:val="24"/>
        </w:rPr>
        <w:t>1.3评标委员会对资格和商务技术响应文件进行评审；</w:t>
      </w:r>
    </w:p>
    <w:p>
      <w:pPr>
        <w:snapToGrid w:val="0"/>
        <w:spacing w:line="480" w:lineRule="exact"/>
        <w:jc w:val="left"/>
        <w:rPr>
          <w:rFonts w:ascii="仿宋_GB2312" w:eastAsia="仿宋_GB2312"/>
          <w:sz w:val="24"/>
        </w:rPr>
      </w:pPr>
      <w:r>
        <w:rPr>
          <w:rFonts w:hint="eastAsia" w:ascii="仿宋_GB2312" w:hAnsi="宋体" w:eastAsia="仿宋_GB2312"/>
          <w:sz w:val="24"/>
        </w:rPr>
        <w:t>1.4主持人宣布商务技术得分及</w:t>
      </w:r>
      <w:r>
        <w:rPr>
          <w:rFonts w:hint="eastAsia" w:ascii="仿宋_GB2312" w:eastAsia="仿宋_GB2312"/>
          <w:sz w:val="24"/>
        </w:rPr>
        <w:t>无效（废）投标情形</w:t>
      </w:r>
      <w:r>
        <w:rPr>
          <w:rFonts w:hint="eastAsia" w:ascii="仿宋_GB2312" w:hAnsi="宋体" w:eastAsia="仿宋_GB2312"/>
          <w:sz w:val="24"/>
        </w:rPr>
        <w:t>（如有），</w:t>
      </w:r>
      <w:r>
        <w:rPr>
          <w:rFonts w:hint="eastAsia" w:ascii="仿宋_GB2312" w:hAnsi="Arial" w:eastAsia="仿宋_GB2312" w:cs="Arial"/>
          <w:sz w:val="24"/>
        </w:rPr>
        <w:t>公布经商务技术（资信）评审符合招标文件要求的投标人名单及其商务技术得分。</w:t>
      </w:r>
    </w:p>
    <w:p>
      <w:pPr>
        <w:snapToGrid w:val="0"/>
        <w:spacing w:line="480" w:lineRule="exact"/>
        <w:jc w:val="left"/>
        <w:rPr>
          <w:rFonts w:ascii="仿宋_GB2312" w:hAnsi="宋体" w:eastAsia="仿宋_GB2312"/>
          <w:sz w:val="24"/>
        </w:rPr>
      </w:pPr>
      <w:r>
        <w:rPr>
          <w:rFonts w:hint="eastAsia" w:ascii="仿宋_GB2312" w:eastAsia="仿宋_GB2312"/>
          <w:sz w:val="24"/>
        </w:rPr>
        <w:t>1.5</w:t>
      </w:r>
      <w:r>
        <w:rPr>
          <w:rFonts w:hint="eastAsia" w:ascii="仿宋_GB2312" w:hAnsi="宋体" w:eastAsia="仿宋_GB2312"/>
          <w:sz w:val="24"/>
        </w:rPr>
        <w:t>启封</w:t>
      </w:r>
      <w:r>
        <w:rPr>
          <w:rFonts w:hint="eastAsia" w:ascii="仿宋_GB2312" w:hAnsi="Arial" w:eastAsia="仿宋_GB2312" w:cs="Arial"/>
          <w:sz w:val="24"/>
        </w:rPr>
        <w:t>报价文件资料</w:t>
      </w:r>
      <w:r>
        <w:rPr>
          <w:rFonts w:hint="eastAsia" w:ascii="仿宋_GB2312" w:hAnsi="宋体" w:eastAsia="仿宋_GB2312"/>
          <w:sz w:val="24"/>
        </w:rPr>
        <w:t>，主持人宣读投标人名称、投标价格和投标文件的其他内容。未宣读的投标报价和招标文件未允许提供的备选投标方案等实质性内容，评标时不予承认。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_GB2312" w:hAnsi="宋体" w:eastAsia="仿宋_GB2312"/>
          <w:sz w:val="24"/>
        </w:rPr>
      </w:pPr>
      <w:r>
        <w:rPr>
          <w:rFonts w:hint="eastAsia" w:ascii="仿宋_GB2312" w:hAnsi="宋体" w:eastAsia="仿宋_GB2312"/>
          <w:sz w:val="24"/>
        </w:rPr>
        <w:t>1.6评标委员会对投标文件</w:t>
      </w:r>
      <w:r>
        <w:rPr>
          <w:rFonts w:hint="eastAsia" w:ascii="仿宋_GB2312" w:hAnsi="Arial" w:eastAsia="仿宋_GB2312" w:cs="Arial"/>
          <w:sz w:val="24"/>
        </w:rPr>
        <w:t>报价文件资料</w:t>
      </w:r>
      <w:r>
        <w:rPr>
          <w:rFonts w:hint="eastAsia" w:ascii="仿宋_GB2312" w:hAnsi="宋体" w:eastAsia="仿宋_GB2312"/>
          <w:sz w:val="24"/>
        </w:rPr>
        <w:t>进行评审，核准投标报价及计算价格分，汇总商务技术分、价格分，根据得分排序确定中标候选人。</w:t>
      </w:r>
    </w:p>
    <w:p>
      <w:pPr>
        <w:snapToGrid w:val="0"/>
        <w:spacing w:line="480" w:lineRule="exact"/>
        <w:jc w:val="left"/>
        <w:rPr>
          <w:rFonts w:ascii="仿宋_GB2312" w:hAnsi="宋体" w:eastAsia="仿宋_GB2312"/>
          <w:sz w:val="24"/>
        </w:rPr>
      </w:pPr>
      <w:r>
        <w:rPr>
          <w:rFonts w:hint="eastAsia" w:ascii="仿宋_GB2312" w:hAnsi="宋体" w:eastAsia="仿宋_GB2312"/>
          <w:sz w:val="24"/>
        </w:rPr>
        <w:t>1.7主持人公布评标结果。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_GB2312" w:hAnsi="宋体" w:eastAsia="仿宋_GB2312"/>
          <w:sz w:val="24"/>
        </w:rPr>
      </w:pPr>
      <w:r>
        <w:rPr>
          <w:rFonts w:hint="eastAsia" w:ascii="仿宋_GB2312" w:hAnsi="宋体" w:eastAsia="仿宋_GB2312"/>
          <w:sz w:val="24"/>
        </w:rPr>
        <w:t xml:space="preserve">2.1电子交易平台发生故障而无法登录访问的； </w:t>
      </w:r>
    </w:p>
    <w:p>
      <w:pPr>
        <w:snapToGrid w:val="0"/>
        <w:spacing w:line="480" w:lineRule="exact"/>
        <w:jc w:val="left"/>
        <w:rPr>
          <w:rFonts w:ascii="仿宋_GB2312" w:hAnsi="宋体" w:eastAsia="仿宋_GB2312"/>
          <w:sz w:val="24"/>
        </w:rPr>
      </w:pPr>
      <w:r>
        <w:rPr>
          <w:rFonts w:hint="eastAsia" w:ascii="仿宋_GB2312" w:hAnsi="宋体" w:eastAsia="仿宋_GB2312"/>
          <w:sz w:val="24"/>
        </w:rPr>
        <w:t>2.2电子交易平台应用或数据库出现错误，不能进行正常操作的；</w:t>
      </w:r>
    </w:p>
    <w:p>
      <w:pPr>
        <w:snapToGrid w:val="0"/>
        <w:spacing w:line="480" w:lineRule="exact"/>
        <w:jc w:val="left"/>
        <w:rPr>
          <w:rFonts w:ascii="仿宋_GB2312" w:hAnsi="宋体" w:eastAsia="仿宋_GB2312"/>
          <w:sz w:val="24"/>
        </w:rPr>
      </w:pPr>
      <w:r>
        <w:rPr>
          <w:rFonts w:hint="eastAsia" w:ascii="仿宋_GB2312" w:hAnsi="宋体" w:eastAsia="仿宋_GB2312"/>
          <w:sz w:val="24"/>
        </w:rPr>
        <w:t>2.3电子交易平台发现严重安全漏洞，有潜在泄密危险的；</w:t>
      </w:r>
    </w:p>
    <w:p>
      <w:pPr>
        <w:snapToGrid w:val="0"/>
        <w:spacing w:line="480" w:lineRule="exact"/>
        <w:jc w:val="left"/>
        <w:rPr>
          <w:rFonts w:ascii="仿宋_GB2312" w:hAnsi="宋体" w:eastAsia="仿宋_GB2312"/>
          <w:sz w:val="24"/>
        </w:rPr>
      </w:pPr>
      <w:r>
        <w:rPr>
          <w:rFonts w:hint="eastAsia" w:ascii="仿宋_GB2312" w:hAnsi="宋体" w:eastAsia="仿宋_GB2312"/>
          <w:sz w:val="24"/>
        </w:rPr>
        <w:t xml:space="preserve">2.4病毒发作导致不能进行正常操作的； </w:t>
      </w:r>
    </w:p>
    <w:p>
      <w:pPr>
        <w:snapToGrid w:val="0"/>
        <w:spacing w:line="480" w:lineRule="exact"/>
        <w:jc w:val="left"/>
        <w:rPr>
          <w:rFonts w:ascii="仿宋_GB2312" w:hAnsi="宋体" w:eastAsia="仿宋_GB2312"/>
          <w:sz w:val="24"/>
        </w:rPr>
      </w:pPr>
      <w:r>
        <w:rPr>
          <w:rFonts w:hint="eastAsia" w:ascii="仿宋_GB2312" w:hAnsi="宋体" w:eastAsia="仿宋_GB2312"/>
          <w:sz w:val="24"/>
        </w:rPr>
        <w:t>2.5其他无法保证电子交易的公平、公正和安全的情况。</w:t>
      </w:r>
    </w:p>
    <w:p>
      <w:pPr>
        <w:snapToGrid w:val="0"/>
        <w:spacing w:line="480" w:lineRule="exact"/>
        <w:jc w:val="left"/>
        <w:rPr>
          <w:rFonts w:ascii="仿宋_GB2312" w:hAnsi="宋体" w:eastAsia="仿宋_GB2312"/>
          <w:sz w:val="24"/>
        </w:rPr>
      </w:pPr>
      <w:r>
        <w:rPr>
          <w:rFonts w:hint="eastAsia" w:ascii="仿宋_GB2312" w:hAnsi="宋体" w:eastAsia="仿宋_GB2312"/>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3．评标</w:t>
      </w:r>
    </w:p>
    <w:p>
      <w:pPr>
        <w:spacing w:line="480" w:lineRule="exact"/>
        <w:jc w:val="left"/>
        <w:rPr>
          <w:rFonts w:ascii="仿宋_GB2312" w:hAnsi="宋体" w:eastAsia="仿宋_GB2312" w:cs="宋体"/>
          <w:sz w:val="24"/>
        </w:rPr>
      </w:pPr>
      <w:r>
        <w:rPr>
          <w:rFonts w:hint="eastAsia" w:ascii="仿宋_GB2312" w:hAnsi="宋体" w:eastAsia="仿宋_GB2312"/>
          <w:sz w:val="24"/>
        </w:rPr>
        <w:t>3.1</w:t>
      </w:r>
      <w:r>
        <w:rPr>
          <w:rFonts w:hint="eastAsia" w:ascii="仿宋_GB2312" w:hAnsi="宋体" w:eastAsia="仿宋_GB2312" w:cs="宋体"/>
          <w:sz w:val="24"/>
        </w:rPr>
        <w:t>评标委员会由招标采购单位依法组建，负责评标活动。评标委员会遵循公开、公平、公正、科学合理、竞争择优的原则。</w:t>
      </w:r>
    </w:p>
    <w:p>
      <w:pPr>
        <w:spacing w:line="480" w:lineRule="exact"/>
        <w:jc w:val="left"/>
        <w:rPr>
          <w:rFonts w:ascii="仿宋_GB2312" w:hAnsi="宋体" w:eastAsia="仿宋_GB2312" w:cs="宋体"/>
          <w:sz w:val="24"/>
        </w:rPr>
      </w:pPr>
      <w:r>
        <w:rPr>
          <w:rFonts w:hint="eastAsia" w:ascii="仿宋_GB2312" w:hAnsi="宋体" w:eastAsia="仿宋_GB2312" w:cs="宋体"/>
          <w:sz w:val="24"/>
        </w:rPr>
        <w:t>3.2评标委员会由采购人代表和有关方面的专家组成，成员人数为五人以上单数。</w:t>
      </w:r>
    </w:p>
    <w:p>
      <w:pPr>
        <w:spacing w:line="480" w:lineRule="exact"/>
        <w:jc w:val="left"/>
        <w:rPr>
          <w:rFonts w:ascii="仿宋_GB2312" w:hAnsi="宋体" w:eastAsia="仿宋_GB2312" w:cs="宋体"/>
          <w:sz w:val="24"/>
        </w:rPr>
      </w:pPr>
      <w:r>
        <w:rPr>
          <w:rFonts w:hint="eastAsia" w:ascii="仿宋_GB2312" w:hAnsi="宋体" w:eastAsia="仿宋_GB2312" w:cs="宋体"/>
          <w:sz w:val="24"/>
        </w:rPr>
        <w:t>3.3评标委员会负责对投标人资格的最终审定。</w:t>
      </w:r>
    </w:p>
    <w:p>
      <w:pPr>
        <w:spacing w:line="480" w:lineRule="exact"/>
        <w:jc w:val="left"/>
        <w:rPr>
          <w:rFonts w:ascii="仿宋_GB2312" w:hAnsi="宋体" w:eastAsia="仿宋_GB2312"/>
          <w:sz w:val="24"/>
        </w:rPr>
      </w:pPr>
      <w:r>
        <w:rPr>
          <w:rFonts w:hint="eastAsia" w:ascii="仿宋_GB2312" w:hAnsi="宋体" w:eastAsia="仿宋_GB2312"/>
          <w:sz w:val="24"/>
        </w:rPr>
        <w:t>3.4评标委员会可以要求投标人对其投标文件中含义不明确的内容作必要的澄清或者说明，但澄清或者说明不得超过投标文件的范围或者改变投标文件的实质性内容。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供应商通过政采云平台交换的数据电文必须进行电子签章。</w:t>
      </w:r>
    </w:p>
    <w:p>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3.5</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3.6评标委员会不向落标方解释落标的原因。</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4．投标文件的初审鉴定</w:t>
      </w:r>
    </w:p>
    <w:p>
      <w:pPr>
        <w:snapToGrid w:val="0"/>
        <w:spacing w:line="480" w:lineRule="exact"/>
        <w:jc w:val="left"/>
        <w:rPr>
          <w:rFonts w:ascii="仿宋_GB2312" w:hAnsi="宋体" w:eastAsia="仿宋_GB2312"/>
          <w:sz w:val="24"/>
        </w:rPr>
      </w:pPr>
      <w:r>
        <w:rPr>
          <w:rFonts w:hint="eastAsia" w:ascii="仿宋_GB2312" w:hAnsi="宋体" w:eastAsia="仿宋_GB2312"/>
          <w:sz w:val="24"/>
        </w:rPr>
        <w:t>4.1资格性审查</w:t>
      </w:r>
    </w:p>
    <w:p>
      <w:pPr>
        <w:snapToGrid w:val="0"/>
        <w:spacing w:line="480" w:lineRule="exact"/>
        <w:jc w:val="left"/>
        <w:rPr>
          <w:rFonts w:ascii="仿宋_GB2312" w:hAnsi="宋体" w:eastAsia="仿宋_GB2312"/>
          <w:sz w:val="24"/>
        </w:rPr>
      </w:pPr>
      <w:r>
        <w:rPr>
          <w:rFonts w:hint="eastAsia" w:ascii="仿宋_GB2312" w:hAnsi="宋体" w:eastAsia="仿宋_GB2312"/>
          <w:sz w:val="24"/>
        </w:rPr>
        <w:t>4.1.1依据法律、法规和招标文件规定，采购人或采购人代表对投标人进行资格审查，以确定投标人是否具备投标资格。</w:t>
      </w:r>
    </w:p>
    <w:p>
      <w:pPr>
        <w:spacing w:line="480" w:lineRule="exact"/>
        <w:jc w:val="left"/>
        <w:rPr>
          <w:rFonts w:ascii="仿宋_GB2312" w:hAnsi="宋体" w:eastAsia="仿宋_GB2312" w:cs="宋体"/>
          <w:sz w:val="24"/>
        </w:rPr>
      </w:pPr>
      <w:r>
        <w:rPr>
          <w:rFonts w:hint="eastAsia" w:ascii="仿宋_GB2312" w:hAnsi="宋体" w:eastAsia="仿宋_GB2312" w:cs="宋体"/>
          <w:sz w:val="24"/>
        </w:rPr>
        <w:t>4.2符合性审查</w:t>
      </w:r>
    </w:p>
    <w:p>
      <w:pPr>
        <w:spacing w:line="480" w:lineRule="exact"/>
        <w:jc w:val="left"/>
        <w:rPr>
          <w:rFonts w:ascii="仿宋_GB2312" w:hAnsi="宋体" w:eastAsia="仿宋_GB2312" w:cs="宋体"/>
          <w:sz w:val="24"/>
        </w:rPr>
      </w:pPr>
      <w:r>
        <w:rPr>
          <w:rFonts w:hint="eastAsia" w:ascii="仿宋_GB2312" w:hAnsi="宋体" w:eastAsia="仿宋_GB2312"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_GB2312" w:hAnsi="宋体" w:eastAsia="仿宋_GB2312" w:cs="宋体"/>
          <w:sz w:val="24"/>
        </w:rPr>
      </w:pPr>
      <w:r>
        <w:rPr>
          <w:rFonts w:hint="eastAsia" w:ascii="仿宋_GB2312" w:hAnsi="宋体" w:eastAsia="仿宋_GB2312" w:cs="宋体"/>
          <w:sz w:val="24"/>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_GB2312" w:hAnsi="宋体" w:eastAsia="仿宋_GB2312" w:cs="宋体"/>
          <w:b/>
          <w:sz w:val="24"/>
        </w:rPr>
      </w:pPr>
      <w:r>
        <w:rPr>
          <w:rFonts w:hint="eastAsia" w:ascii="仿宋_GB2312" w:hAnsi="宋体" w:eastAsia="仿宋_GB2312"/>
          <w:b/>
          <w:kern w:val="0"/>
          <w:sz w:val="24"/>
        </w:rPr>
        <w:t xml:space="preserve">5.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5.1投标文件中开标一览表（报价表）内容与投标文件中相应内容不一致的，以开标一览表（报价表）为准；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6.投标文件的评审、比较和否决</w:t>
      </w:r>
    </w:p>
    <w:p>
      <w:pPr>
        <w:spacing w:line="480" w:lineRule="exact"/>
        <w:jc w:val="left"/>
        <w:rPr>
          <w:rFonts w:ascii="仿宋_GB2312" w:hAnsi="宋体" w:eastAsia="仿宋_GB2312" w:cs="宋体"/>
          <w:sz w:val="24"/>
        </w:rPr>
      </w:pPr>
      <w:r>
        <w:rPr>
          <w:rFonts w:hint="eastAsia" w:ascii="仿宋_GB2312" w:hAnsi="宋体" w:eastAsia="仿宋_GB2312" w:cs="宋体"/>
          <w:sz w:val="24"/>
        </w:rPr>
        <w:t>6.1评标委员会将对在实质上响应招标文件要求的投标文件进行评估和比较。</w:t>
      </w:r>
    </w:p>
    <w:p>
      <w:pPr>
        <w:spacing w:line="480" w:lineRule="exact"/>
        <w:jc w:val="left"/>
        <w:rPr>
          <w:rFonts w:ascii="仿宋_GB2312" w:hAnsi="宋体" w:eastAsia="仿宋_GB2312" w:cs="宋体"/>
          <w:sz w:val="24"/>
        </w:rPr>
      </w:pPr>
      <w:r>
        <w:rPr>
          <w:rFonts w:hint="eastAsia" w:ascii="仿宋_GB2312" w:hAnsi="宋体" w:eastAsia="仿宋_GB2312" w:cs="宋体"/>
          <w:sz w:val="24"/>
        </w:rPr>
        <w:t>6.2在评审过程中，评标委员会可以书面形式要求投标人就投标文件含义不明确的内容可对其通过政采云平台进行书面说明并提供相关材料，但</w:t>
      </w:r>
      <w:r>
        <w:rPr>
          <w:rFonts w:hint="eastAsia" w:ascii="仿宋_GB2312" w:hAnsi="宋体" w:eastAsia="仿宋_GB2312"/>
          <w:sz w:val="24"/>
        </w:rPr>
        <w:t>不得超过投标文件的范围或者改变投标文件的实质性内容。</w:t>
      </w:r>
    </w:p>
    <w:p>
      <w:pPr>
        <w:spacing w:line="480" w:lineRule="exact"/>
        <w:jc w:val="left"/>
        <w:rPr>
          <w:rFonts w:ascii="仿宋_GB2312" w:hAnsi="宋体" w:eastAsia="仿宋_GB2312" w:cs="宋体"/>
          <w:sz w:val="24"/>
        </w:rPr>
      </w:pPr>
      <w:r>
        <w:rPr>
          <w:rFonts w:hint="eastAsia" w:ascii="仿宋_GB2312" w:hAnsi="宋体" w:eastAsia="仿宋_GB2312" w:cs="宋体"/>
          <w:sz w:val="24"/>
        </w:rPr>
        <w:t>6.3在评标过程中，如发现与招标文件要求相偏离的，评标委员会可对其偏离情形进行必要的核实。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仿宋_GB2312" w:hAnsi="宋体" w:eastAsia="仿宋_GB2312" w:cs="宋体"/>
          <w:sz w:val="24"/>
        </w:rPr>
      </w:pPr>
      <w:r>
        <w:rPr>
          <w:rFonts w:hint="eastAsia" w:ascii="仿宋_GB2312" w:hAnsi="宋体" w:eastAsia="仿宋_GB2312" w:cs="宋体"/>
          <w:sz w:val="24"/>
        </w:rPr>
        <w:t>6.5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标委员会应当按照评标标准，对符合性审查合格的投标文件进行商务和技术评估，综合比较与评价。</w:t>
      </w:r>
    </w:p>
    <w:p>
      <w:pPr>
        <w:spacing w:line="480" w:lineRule="exact"/>
        <w:jc w:val="left"/>
        <w:rPr>
          <w:rFonts w:ascii="仿宋_GB2312" w:hAnsi="宋体" w:eastAsia="仿宋_GB2312" w:cs="宋体"/>
          <w:sz w:val="24"/>
        </w:rPr>
      </w:pPr>
      <w:r>
        <w:rPr>
          <w:rFonts w:hint="eastAsia" w:ascii="仿宋_GB2312" w:hAnsi="宋体" w:eastAsia="仿宋_GB2312" w:cs="宋体"/>
          <w:sz w:val="24"/>
        </w:rPr>
        <w:t>6.6</w:t>
      </w:r>
      <w:r>
        <w:rPr>
          <w:rFonts w:ascii="仿宋_GB2312" w:hAnsi="宋体" w:eastAsia="仿宋_GB2312" w:cs="宋体"/>
          <w:sz w:val="24"/>
        </w:rPr>
        <w:t>汇总</w:t>
      </w:r>
      <w:r>
        <w:rPr>
          <w:rFonts w:hint="eastAsia" w:ascii="仿宋_GB2312" w:hAnsi="宋体" w:eastAsia="仿宋_GB2312" w:cs="宋体"/>
          <w:sz w:val="24"/>
        </w:rPr>
        <w:t>（商务技术得分情况）。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商务技术（资信）文件</w:t>
      </w:r>
      <w:r>
        <w:rPr>
          <w:rFonts w:ascii="仿宋_GB2312" w:hAnsi="宋体" w:eastAsia="仿宋_GB2312" w:cs="宋体"/>
          <w:sz w:val="24"/>
        </w:rPr>
        <w:t>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pPr>
        <w:spacing w:line="480" w:lineRule="exact"/>
        <w:jc w:val="left"/>
        <w:rPr>
          <w:rFonts w:ascii="仿宋_GB2312" w:hAnsi="宋体" w:eastAsia="仿宋_GB2312" w:cs="宋体"/>
          <w:sz w:val="24"/>
        </w:rPr>
      </w:pPr>
      <w:r>
        <w:rPr>
          <w:rFonts w:hint="eastAsia" w:ascii="仿宋_GB2312" w:hAnsi="宋体" w:eastAsia="仿宋_GB2312" w:cs="宋体"/>
          <w:sz w:val="24"/>
        </w:rPr>
        <w:t>6.7 报价审核。对符合采购需求且通过商务技术（资信）评审的投标人的报价的合理性、准确性等进行审查核实。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仿宋_GB2312" w:hAnsi="宋体" w:eastAsia="仿宋_GB2312" w:cs="宋体"/>
          <w:sz w:val="24"/>
        </w:rPr>
      </w:pPr>
      <w:r>
        <w:rPr>
          <w:rFonts w:hint="eastAsia" w:ascii="仿宋_GB2312" w:hAnsi="宋体" w:eastAsia="仿宋_GB2312" w:cs="宋体"/>
          <w:sz w:val="24"/>
        </w:rPr>
        <w:t>6.7.2根据财政部发布的《政府采购促进中小企业发展管理办法》规定，对于非专门面向中小企业的项目，对小型和微型企业产品的价格给予一定的扣除，用扣除后的价格参与评审。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_GB2312" w:hAnsi="宋体" w:eastAsia="仿宋_GB2312" w:cs="宋体"/>
          <w:sz w:val="24"/>
        </w:rPr>
      </w:pPr>
      <w:r>
        <w:rPr>
          <w:rFonts w:hint="eastAsia" w:ascii="仿宋_GB2312" w:hAnsi="宋体" w:eastAsia="仿宋_GB2312" w:cs="宋体"/>
          <w:sz w:val="24"/>
        </w:rPr>
        <w:t>6.7.3如需投标价格修正，按财政部87号令第五十九条的规定对投标价格进行修正。</w:t>
      </w:r>
    </w:p>
    <w:p>
      <w:pPr>
        <w:spacing w:line="480" w:lineRule="exact"/>
        <w:jc w:val="left"/>
        <w:rPr>
          <w:rFonts w:ascii="仿宋_GB2312" w:hAnsi="宋体" w:eastAsia="仿宋_GB2312" w:cs="宋体"/>
          <w:sz w:val="24"/>
        </w:rPr>
      </w:pPr>
      <w:r>
        <w:rPr>
          <w:rFonts w:hint="eastAsia" w:ascii="仿宋_GB2312" w:hAnsi="宋体" w:eastAsia="仿宋_GB2312" w:cs="宋体"/>
          <w:sz w:val="24"/>
        </w:rPr>
        <w:t>6.8评标委员会依据招标文件规定的评标标准和方法，对投标文件进行评审和比较后，向本中心提供书面评标报告，并按得分高低排序推荐中标候选供应商。</w:t>
      </w:r>
    </w:p>
    <w:p>
      <w:pPr>
        <w:pStyle w:val="16"/>
        <w:widowControl w:val="0"/>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7.投标文件的澄清</w:t>
      </w:r>
    </w:p>
    <w:p>
      <w:pPr>
        <w:pStyle w:val="16"/>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6"/>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8.1未按照招标文件规定要求电子签章、签字或盖章的；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 xml:space="preserve">8.3为采购项目提供整体设计、规范编制或者项目管理、监理、检测等服务的供应商参加该采购项目的其他采购活动的； </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8.4投标人不具备招标文件中规定的资格要求的（投标人未提供有效的资格证明文件的，视为投标人不具备招标文件中规定的资格要求）；</w:t>
      </w:r>
    </w:p>
    <w:p>
      <w:pPr>
        <w:snapToGrid w:val="0"/>
        <w:spacing w:line="440" w:lineRule="exact"/>
        <w:jc w:val="left"/>
        <w:rPr>
          <w:rFonts w:ascii="仿宋_GB2312" w:hAnsi="宋体" w:eastAsia="仿宋_GB2312"/>
          <w:b/>
          <w:sz w:val="24"/>
        </w:rPr>
      </w:pPr>
      <w:r>
        <w:rPr>
          <w:rFonts w:hint="eastAsia" w:ascii="仿宋_GB2312" w:hAnsi="宋体" w:eastAsia="仿宋_GB2312"/>
          <w:b/>
          <w:kern w:val="0"/>
          <w:sz w:val="24"/>
        </w:rPr>
        <w:t>8.5《法定代表人身份证明书》与提供的身份证复印件信息不符的；《法定代表人授权委托书》与提供的身份证复印件信息不符的；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8.6《法定代表人授权委托书》或《法定代表人身份证明书》填写不全、错误、未电子签章(《法定代表人授权委托书》要求“电子签章”和“签字或盖章”缺一不可）的；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8.7授权代表非投标单位正式职工的（以</w:t>
      </w:r>
      <w:r>
        <w:rPr>
          <w:rFonts w:ascii="仿宋_GB2312" w:hAnsi="宋体" w:eastAsia="仿宋_GB2312"/>
          <w:b/>
          <w:kern w:val="0"/>
          <w:sz w:val="24"/>
        </w:rPr>
        <w:t>社保证明</w:t>
      </w:r>
      <w:r>
        <w:rPr>
          <w:rFonts w:hint="eastAsia" w:ascii="仿宋_GB2312" w:hAnsi="宋体" w:eastAsia="仿宋_GB2312"/>
          <w:b/>
          <w:kern w:val="0"/>
          <w:sz w:val="24"/>
        </w:rPr>
        <w:t>为准，如授权代表为</w:t>
      </w:r>
      <w:r>
        <w:rPr>
          <w:rFonts w:ascii="仿宋_GB2312" w:hAnsi="宋体" w:eastAsia="仿宋_GB2312"/>
          <w:b/>
          <w:kern w:val="0"/>
          <w:sz w:val="24"/>
        </w:rPr>
        <w:t>离退休返聘人员的，</w:t>
      </w:r>
      <w:r>
        <w:rPr>
          <w:rFonts w:hint="eastAsia" w:ascii="仿宋_GB2312" w:hAnsi="宋体" w:eastAsia="仿宋_GB2312"/>
          <w:b/>
          <w:kern w:val="0"/>
          <w:sz w:val="24"/>
        </w:rPr>
        <w:t>需提供</w:t>
      </w:r>
      <w:r>
        <w:rPr>
          <w:rFonts w:ascii="仿宋_GB2312" w:hAnsi="宋体" w:eastAsia="仿宋_GB2312"/>
          <w:b/>
          <w:kern w:val="0"/>
          <w:sz w:val="24"/>
        </w:rPr>
        <w:t>退休证明及单位聘用证明</w:t>
      </w:r>
      <w:r>
        <w:rPr>
          <w:rFonts w:hint="eastAsia" w:ascii="仿宋_GB2312" w:hAnsi="宋体" w:eastAsia="仿宋_GB2312"/>
          <w:b/>
          <w:kern w:val="0"/>
          <w:sz w:val="24"/>
        </w:rPr>
        <w:t>），法定代表人及个体工商户除外；</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8.8投标文件中的投标函无投标人的电子签章或填写不全的；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8.9报</w:t>
      </w:r>
      <w:r>
        <w:rPr>
          <w:rFonts w:hint="eastAsia" w:ascii="仿宋_GB2312" w:hAnsi="宋体" w:eastAsia="仿宋_GB2312"/>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8.10</w:t>
      </w:r>
      <w:r>
        <w:rPr>
          <w:rFonts w:hint="eastAsia" w:ascii="仿宋_GB2312" w:hAnsi="宋体" w:eastAsia="仿宋_GB2312"/>
          <w:b/>
          <w:sz w:val="24"/>
        </w:rPr>
        <w:t>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26"/>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8.11出现同一标的物或本次招标产品(服务)内的主要产品(重要组成部分)出现</w:t>
      </w:r>
      <w:r>
        <w:rPr>
          <w:rFonts w:hint="eastAsia" w:ascii="仿宋_GB2312" w:hAnsi="宋体" w:eastAsia="仿宋_GB2312"/>
          <w:b/>
          <w:sz w:val="24"/>
        </w:rPr>
        <w:t>商务技术（资信）文件资料</w:t>
      </w:r>
      <w:r>
        <w:rPr>
          <w:rFonts w:hint="eastAsia" w:ascii="仿宋_GB2312" w:hAnsi="宋体" w:eastAsia="仿宋_GB2312"/>
          <w:b/>
          <w:sz w:val="24"/>
          <w:szCs w:val="24"/>
        </w:rPr>
        <w:t>、</w:t>
      </w:r>
      <w:r>
        <w:rPr>
          <w:rFonts w:hint="eastAsia" w:ascii="仿宋_GB2312" w:hAnsi="宋体" w:eastAsia="仿宋_GB2312"/>
          <w:b/>
          <w:sz w:val="24"/>
        </w:rPr>
        <w:t>报价文件资料</w:t>
      </w:r>
      <w:r>
        <w:rPr>
          <w:rFonts w:hint="eastAsia" w:ascii="仿宋_GB2312" w:hAnsi="宋体" w:eastAsia="仿宋_GB2312"/>
          <w:b/>
          <w:sz w:val="24"/>
          <w:szCs w:val="24"/>
        </w:rPr>
        <w:t>描述不一致或前后描述不一致，经评标委员会认定后为无法评审的；</w:t>
      </w:r>
    </w:p>
    <w:p>
      <w:pPr>
        <w:pStyle w:val="26"/>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8.12《技</w:t>
      </w:r>
      <w:r>
        <w:rPr>
          <w:rFonts w:hint="eastAsia" w:ascii="仿宋_GB2312" w:hAnsi="宋体" w:eastAsia="仿宋_GB2312"/>
          <w:b/>
          <w:sz w:val="24"/>
        </w:rPr>
        <w:t>术偏离说明表</w:t>
      </w:r>
      <w:r>
        <w:rPr>
          <w:rFonts w:hint="eastAsia" w:ascii="仿宋_GB2312" w:hAnsi="宋体" w:eastAsia="仿宋_GB2312"/>
          <w:b/>
          <w:sz w:val="24"/>
          <w:szCs w:val="24"/>
        </w:rPr>
        <w:t>》</w:t>
      </w:r>
      <w:r>
        <w:rPr>
          <w:rFonts w:hint="eastAsia" w:ascii="仿宋_GB2312" w:hAnsi="宋体" w:eastAsia="仿宋_GB2312"/>
          <w:b/>
          <w:sz w:val="24"/>
        </w:rPr>
        <w:t>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8.13投</w:t>
      </w:r>
      <w:r>
        <w:rPr>
          <w:rFonts w:hint="eastAsia" w:ascii="仿宋_GB2312" w:hAnsi="宋体" w:eastAsia="仿宋_GB2312"/>
          <w:b/>
          <w:kern w:val="0"/>
          <w:sz w:val="24"/>
        </w:rPr>
        <w:t>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8.14评</w:t>
      </w:r>
      <w:r>
        <w:rPr>
          <w:rFonts w:hint="eastAsia" w:ascii="仿宋_GB2312" w:hAnsi="宋体" w:eastAsia="仿宋_GB2312"/>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8.15报</w:t>
      </w:r>
      <w:r>
        <w:rPr>
          <w:rFonts w:hint="eastAsia" w:ascii="仿宋_GB2312" w:eastAsia="仿宋_GB2312"/>
          <w:b/>
          <w:sz w:val="24"/>
        </w:rPr>
        <w:t>价超过招标文件中规定的预算金额或最高限价的；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_GB2312"/>
          <w:b/>
          <w:sz w:val="24"/>
          <w:szCs w:val="21"/>
        </w:rPr>
      </w:pPr>
      <w:r>
        <w:rPr>
          <w:rFonts w:hint="eastAsia" w:ascii="仿宋_GB2312" w:hAnsi="仿宋" w:eastAsia="仿宋_GB2312" w:cs="仿宋_GB2312"/>
          <w:b/>
          <w:sz w:val="24"/>
          <w:szCs w:val="21"/>
        </w:rPr>
        <w:t>8.17采</w:t>
      </w:r>
      <w:r>
        <w:rPr>
          <w:rFonts w:ascii="仿宋" w:hAnsi="仿宋" w:eastAsia="仿宋" w:cs="仿宋_GB2312"/>
          <w:b/>
          <w:sz w:val="24"/>
          <w:szCs w:val="21"/>
        </w:rPr>
        <w:t>购人拟采购的产品属于</w:t>
      </w:r>
      <w:r>
        <w:rPr>
          <w:rFonts w:hint="eastAsia" w:ascii="仿宋" w:hAnsi="仿宋" w:eastAsia="仿宋"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8.19投标人对根据修正原则修正后的报价不确认的；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8.20投标人提供虚假材料投标的（包括但不限于以下情节）；</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8.20.1使用伪造、变造的许可证件；</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    8.20.2提供虚假的财务状况或者业绩；</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    8.20.3提供虚假的项目负责人或者主要技术人员简历、劳动关系证明；</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    8.20.4提供虚假的信用状况；</w:t>
      </w:r>
    </w:p>
    <w:p>
      <w:pPr>
        <w:tabs>
          <w:tab w:val="left" w:pos="3870"/>
          <w:tab w:val="left" w:pos="4085"/>
        </w:tabs>
        <w:snapToGrid w:val="0"/>
        <w:spacing w:line="440" w:lineRule="exact"/>
        <w:ind w:firstLine="480"/>
        <w:jc w:val="left"/>
        <w:rPr>
          <w:rFonts w:ascii="仿宋_GB2312" w:hAnsi="宋体" w:eastAsia="仿宋_GB2312"/>
          <w:sz w:val="24"/>
        </w:rPr>
      </w:pPr>
      <w:r>
        <w:rPr>
          <w:rFonts w:hint="eastAsia" w:ascii="仿宋_GB2312" w:hAnsi="宋体" w:eastAsia="仿宋_GB2312"/>
          <w:sz w:val="24"/>
        </w:rPr>
        <w:t>8.20.5其他弄虚作假的行为。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8.21下列情形之一的，视为投标人串通投标，其投标无效：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8.21.5不同投标人的投标文件相互混装；</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8.22有下列情形之一的，属于恶意串通，其投标无效：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8.22.1</w:t>
      </w:r>
      <w:r>
        <w:rPr>
          <w:rFonts w:hint="eastAsia" w:ascii="仿宋_GB2312" w:hAnsi="仿宋" w:eastAsia="仿宋_GB2312" w:cs="仿宋_GB2312"/>
          <w:sz w:val="24"/>
        </w:rPr>
        <w:t>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8.22.2供应商按照采购人或者采购机构的授意撤换、修改投标文件或者响应文件；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8.22.3供应商之间协商报价、技术方案等投标文件或者响应文件的实质性内容；</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8.22.4属于同一集团、协会、商会等组织成员的供应商按照该组织要求协同参加政府采购活动；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8.22.5供应商之间事先约定由某一特定供应商中标、成交；</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仿宋_GB2312" w:eastAsia="仿宋_GB2312" w:cs="仿宋_GB2312"/>
          <w:b/>
          <w:sz w:val="24"/>
          <w:szCs w:val="21"/>
        </w:rPr>
        <w:t>8.23</w:t>
      </w:r>
      <w:r>
        <w:rPr>
          <w:rFonts w:hint="eastAsia" w:ascii="仿宋_GB2312" w:hAnsi="宋体" w:eastAsia="仿宋_GB2312"/>
          <w:b/>
          <w:sz w:val="24"/>
        </w:rPr>
        <w:t>评标委员会认定有重大偏差或实质性不响应招标文件要求的；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8.24报价文件中出现2个(含)以上的报价或方案的；</w:t>
      </w:r>
    </w:p>
    <w:p>
      <w:pPr>
        <w:spacing w:line="440" w:lineRule="exact"/>
      </w:pPr>
      <w:r>
        <w:rPr>
          <w:rFonts w:hint="eastAsia" w:ascii="仿宋_GB2312" w:eastAsia="仿宋_GB2312"/>
          <w:b/>
          <w:sz w:val="24"/>
        </w:rPr>
        <w:t>8.25</w:t>
      </w:r>
      <w:r>
        <w:rPr>
          <w:rFonts w:hint="eastAsia" w:ascii="仿宋_GB2312" w:hAnsi="宋体" w:eastAsia="仿宋_GB2312"/>
          <w:b/>
          <w:sz w:val="24"/>
        </w:rPr>
        <w:t>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9.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9.1</w:t>
      </w:r>
      <w:r>
        <w:rPr>
          <w:rFonts w:hint="eastAsia" w:ascii="仿宋_GB2312" w:hAnsi="仿宋" w:eastAsia="仿宋_GB2312"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26"/>
        <w:spacing w:line="800" w:lineRule="exact"/>
        <w:ind w:firstLine="726"/>
        <w:jc w:val="center"/>
        <w:rPr>
          <w:rFonts w:ascii="仿宋_GB2312" w:hAnsi="宋体" w:eastAsia="仿宋_GB2312"/>
          <w:b/>
          <w:sz w:val="36"/>
          <w:szCs w:val="36"/>
        </w:rPr>
      </w:pPr>
      <w:bookmarkStart w:id="5" w:name="_Toc84325929"/>
      <w:bookmarkStart w:id="6" w:name="_Toc81372953"/>
      <w:bookmarkStart w:id="7" w:name="_Toc81372776"/>
      <w:r>
        <w:rPr>
          <w:rFonts w:hint="eastAsia" w:ascii="仿宋_GB2312" w:hAnsi="宋体" w:eastAsia="仿宋_GB2312"/>
          <w:b/>
          <w:sz w:val="36"/>
          <w:szCs w:val="36"/>
        </w:rPr>
        <w:t>五、授予合同</w:t>
      </w:r>
    </w:p>
    <w:p>
      <w:pPr>
        <w:pStyle w:val="16"/>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6"/>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6"/>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6"/>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6"/>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bookmarkEnd w:id="5"/>
    <w:bookmarkEnd w:id="6"/>
    <w:bookmarkEnd w:id="7"/>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sz w:val="24"/>
        </w:rPr>
      </w:pPr>
      <w:r>
        <w:rPr>
          <w:rFonts w:hint="eastAsia" w:ascii="仿宋_GB2312" w:hAnsi="宋体" w:eastAsia="仿宋_GB2312"/>
          <w:sz w:val="24"/>
        </w:rPr>
        <w:t>2.3采购人应在确认中标人前再次对资格条件和相关证件材料进一步查验核实。</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56"/>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w:t>
      </w:r>
      <w:r>
        <w:fldChar w:fldCharType="begin"/>
      </w:r>
      <w:r>
        <w:instrText xml:space="preserve"> HYPERLINK "http://www.zjzfcg.gov.cn" </w:instrText>
      </w:r>
      <w:r>
        <w:fldChar w:fldCharType="separate"/>
      </w:r>
      <w:r>
        <w:rPr>
          <w:rStyle w:val="53"/>
          <w:rFonts w:hint="eastAsia" w:ascii="仿宋_GB2312" w:hAnsi="Helvetica" w:eastAsia="仿宋_GB2312" w:cs="Helvetica"/>
          <w:color w:val="auto"/>
          <w:kern w:val="0"/>
        </w:rPr>
        <w:t>http://zfcg.czt.zj.gov.cn/</w:t>
      </w:r>
      <w:r>
        <w:rPr>
          <w:rStyle w:val="53"/>
          <w:rFonts w:hint="eastAsia" w:ascii="仿宋_GB2312" w:hAnsi="Helvetica" w:eastAsia="仿宋_GB2312" w:cs="Helvetica"/>
          <w:color w:val="auto"/>
          <w:kern w:val="0"/>
        </w:rPr>
        <w:fldChar w:fldCharType="end"/>
      </w:r>
      <w:r>
        <w:rPr>
          <w:rFonts w:hint="eastAsia" w:ascii="仿宋_GB2312" w:hAnsi="Helvetica" w:eastAsia="仿宋_GB2312" w:cs="Helvetica"/>
          <w:kern w:val="0"/>
        </w:rPr>
        <w:t>）发布中标公告，中标公告期限为1个工作日。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spacing w:line="440" w:lineRule="exact"/>
        <w:jc w:val="left"/>
        <w:rPr>
          <w:rFonts w:ascii="仿宋_GB2312" w:hAnsi="宋体" w:eastAsia="仿宋_GB2312"/>
          <w:sz w:val="24"/>
        </w:rPr>
      </w:pPr>
      <w:r>
        <w:rPr>
          <w:rFonts w:hint="eastAsia" w:ascii="仿宋_GB2312" w:hAnsi="宋体" w:eastAsia="仿宋_GB2312"/>
          <w:sz w:val="24"/>
        </w:rPr>
        <w:t>3.3采购代理机构对中标结果不作任何说明和解释，也不回答任何提问。</w:t>
      </w:r>
    </w:p>
    <w:p>
      <w:pPr>
        <w:spacing w:line="440" w:lineRule="exact"/>
        <w:jc w:val="left"/>
        <w:rPr>
          <w:rFonts w:ascii="仿宋_GB2312" w:hAnsi="宋体" w:eastAsia="仿宋_GB2312"/>
          <w:b/>
          <w:sz w:val="24"/>
        </w:rPr>
      </w:pPr>
      <w:r>
        <w:rPr>
          <w:rFonts w:hint="eastAsia" w:ascii="仿宋_GB2312" w:hAnsi="宋体" w:eastAsia="仿宋_GB2312"/>
          <w:b/>
          <w:sz w:val="24"/>
        </w:rPr>
        <w:t>4．履约保证金</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鼓励采购单位根据项目特点、供应商诚信等因素免收履约保证金或降低缴纳比例。政府采购货物和服务项目收取履约保证金的，最高缴纳比例不超过合同金额的1%，项目验收结束后应及时退还。供应商以银行、保险公司出具保函形式提交履约保证金的，采购单位不得拒收。</w:t>
      </w:r>
    </w:p>
    <w:p>
      <w:pPr>
        <w:spacing w:line="440" w:lineRule="exact"/>
        <w:jc w:val="left"/>
        <w:rPr>
          <w:rFonts w:ascii="仿宋_GB2312" w:hAnsi="宋体" w:eastAsia="仿宋_GB2312"/>
          <w:b/>
          <w:sz w:val="24"/>
        </w:rPr>
      </w:pPr>
      <w:r>
        <w:rPr>
          <w:rFonts w:hint="eastAsia" w:ascii="仿宋_GB2312" w:hAnsi="宋体" w:eastAsia="仿宋_GB2312"/>
          <w:b/>
          <w:sz w:val="24"/>
        </w:rPr>
        <w:t>5．合同备案</w:t>
      </w:r>
    </w:p>
    <w:p>
      <w:pPr>
        <w:spacing w:line="440" w:lineRule="exact"/>
        <w:jc w:val="left"/>
        <w:rPr>
          <w:rFonts w:ascii="仿宋_GB2312" w:hAnsi="宋体" w:eastAsia="仿宋_GB2312"/>
          <w:sz w:val="24"/>
        </w:rPr>
      </w:pPr>
      <w:r>
        <w:rPr>
          <w:rFonts w:hint="eastAsia" w:ascii="仿宋_GB2312" w:hAnsi="宋体" w:eastAsia="仿宋_GB2312"/>
          <w:sz w:val="24"/>
        </w:rPr>
        <w:t>5.1中标人应当在中标通知书发出之日起5天内与采购人签订合同，自采购合同签订之日起</w:t>
      </w:r>
      <w:r>
        <w:rPr>
          <w:rFonts w:hint="eastAsia" w:ascii="仿宋_GB2312" w:hAnsi="宋体" w:eastAsia="仿宋_GB2312"/>
          <w:b/>
          <w:sz w:val="24"/>
        </w:rPr>
        <w:t>3个工作日内</w:t>
      </w:r>
      <w:r>
        <w:rPr>
          <w:rFonts w:hint="eastAsia" w:ascii="仿宋_GB2312" w:hAnsi="宋体" w:eastAsia="仿宋_GB2312"/>
          <w:sz w:val="24"/>
        </w:rPr>
        <w:t>，将</w:t>
      </w:r>
      <w:r>
        <w:rPr>
          <w:rFonts w:hint="eastAsia" w:ascii="仿宋_GB2312" w:hAnsi="宋体" w:eastAsia="仿宋_GB2312"/>
          <w:b/>
          <w:sz w:val="24"/>
        </w:rPr>
        <w:t>采购合同原件</w:t>
      </w:r>
      <w:r>
        <w:rPr>
          <w:rFonts w:hint="eastAsia" w:ascii="仿宋_GB2312" w:hAnsi="宋体" w:eastAsia="仿宋_GB2312"/>
          <w:sz w:val="24"/>
        </w:rPr>
        <w:t>报嵊州市公共资源交易中心备案。</w:t>
      </w:r>
    </w:p>
    <w:p>
      <w:pPr>
        <w:spacing w:line="440" w:lineRule="exact"/>
        <w:jc w:val="left"/>
        <w:rPr>
          <w:rFonts w:ascii="仿宋_GB2312" w:hAnsi="宋体" w:eastAsia="仿宋_GB2312"/>
          <w:sz w:val="24"/>
        </w:rPr>
      </w:pPr>
      <w:r>
        <w:rPr>
          <w:rFonts w:hint="eastAsia" w:ascii="仿宋_GB2312" w:hAnsi="宋体" w:eastAsia="仿宋_GB2312"/>
          <w:sz w:val="24"/>
        </w:rPr>
        <w:t>5.2未领取中标通知书，采购双方自行签订的合同不予备案。</w:t>
      </w:r>
    </w:p>
    <w:p>
      <w:pPr>
        <w:spacing w:line="440" w:lineRule="exact"/>
        <w:jc w:val="left"/>
        <w:rPr>
          <w:rFonts w:ascii="仿宋_GB2312" w:hAnsi="宋体" w:eastAsia="仿宋_GB2312"/>
          <w:b/>
          <w:sz w:val="24"/>
        </w:rPr>
      </w:pPr>
      <w:r>
        <w:rPr>
          <w:rFonts w:hint="eastAsia" w:ascii="仿宋_GB2312" w:hAnsi="宋体" w:eastAsia="仿宋_GB2312"/>
          <w:b/>
          <w:sz w:val="24"/>
        </w:rPr>
        <w:t>6.验收</w:t>
      </w:r>
    </w:p>
    <w:p>
      <w:pPr>
        <w:spacing w:line="440" w:lineRule="exact"/>
        <w:jc w:val="left"/>
        <w:rPr>
          <w:rFonts w:ascii="仿宋_GB2312" w:hAnsi="宋体" w:eastAsia="仿宋_GB2312"/>
          <w:sz w:val="24"/>
        </w:rPr>
      </w:pPr>
      <w:r>
        <w:rPr>
          <w:rFonts w:hint="eastAsia" w:ascii="仿宋_GB2312" w:hAnsi="宋体" w:eastAsia="仿宋_GB2312"/>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_GB2312" w:hAnsi="宋体" w:eastAsia="仿宋_GB2312"/>
          <w:sz w:val="24"/>
        </w:rPr>
      </w:pPr>
      <w:r>
        <w:rPr>
          <w:rFonts w:hint="eastAsia" w:ascii="仿宋_GB2312" w:hAnsi="宋体" w:eastAsia="仿宋_GB2312"/>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_GB2312" w:hAnsi="宋体" w:eastAsia="仿宋_GB2312"/>
          <w:sz w:val="24"/>
        </w:rPr>
      </w:pPr>
      <w:r>
        <w:rPr>
          <w:rFonts w:hint="eastAsia" w:ascii="仿宋_GB2312" w:hAnsi="宋体" w:eastAsia="仿宋_GB2312"/>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_GB2312" w:hAnsi="宋体" w:eastAsia="仿宋_GB2312"/>
          <w:b/>
          <w:sz w:val="24"/>
        </w:rPr>
      </w:pPr>
      <w:r>
        <w:rPr>
          <w:rFonts w:hint="eastAsia" w:ascii="仿宋_GB2312" w:hAnsi="宋体" w:eastAsia="仿宋_GB2312"/>
          <w:b/>
          <w:sz w:val="24"/>
        </w:rPr>
        <w:t>7. 售后服务考核</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z w:val="24"/>
        </w:rPr>
        <w:tab/>
      </w:r>
      <w:r>
        <w:rPr>
          <w:rFonts w:hint="eastAsia" w:ascii="仿宋_GB2312" w:hAnsi="仿宋" w:eastAsia="仿宋_GB2312"/>
          <w:sz w:val="24"/>
        </w:rPr>
        <w:t>原则上由采购人回复的质疑：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（1）对采购文件中特定资格条件、采购需求、评分办法提出的质疑；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（2）对采购过程中有关现场考察或开标前答疑会事项提出的质疑。</w:t>
      </w:r>
    </w:p>
    <w:p>
      <w:pPr>
        <w:pStyle w:val="26"/>
        <w:spacing w:line="360" w:lineRule="auto"/>
        <w:ind w:firstLine="720" w:firstLineChars="300"/>
        <w:rPr>
          <w:rFonts w:ascii="仿宋_GB2312" w:hAnsi="仿宋" w:eastAsia="仿宋_GB2312"/>
          <w:sz w:val="24"/>
        </w:rPr>
      </w:pPr>
      <w:r>
        <w:rPr>
          <w:rFonts w:hint="eastAsia" w:ascii="仿宋_GB2312" w:hAnsi="仿宋" w:eastAsia="仿宋_GB2312"/>
          <w:sz w:val="24"/>
        </w:rPr>
        <w:t>原则上由采购代理机构回复的质疑：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（1）除特定资格条件、采购需求、评分办法外，对采购文件中其他内容提出的质疑；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（2）除有关现场考察或开标前答疑会事项外，对采购过程中其它事项提出的质疑；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（3）对采购结果提出的质疑。</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6"/>
        <w:spacing w:line="360" w:lineRule="auto"/>
        <w:ind w:firstLine="480" w:firstLineChars="200"/>
        <w:rPr>
          <w:rFonts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26"/>
        <w:spacing w:line="360" w:lineRule="auto"/>
        <w:ind w:firstLine="480" w:firstLineChars="200"/>
        <w:rPr>
          <w:rFonts w:ascii="仿宋_GB2312" w:hAnsi="仿宋" w:eastAsia="仿宋_GB2312"/>
          <w:sz w:val="24"/>
        </w:rPr>
      </w:pPr>
      <w:r>
        <w:rPr>
          <w:rFonts w:hint="eastAsia" w:ascii="仿宋_GB2312" w:hAnsi="宋体" w:eastAsia="仿宋_GB2312" w:cs="宋体"/>
          <w:kern w:val="0"/>
          <w:sz w:val="24"/>
        </w:rPr>
        <w:t>7.质疑函范本、投诉书范本请到浙江政府采购网下载专区下载。</w:t>
      </w:r>
    </w:p>
    <w:p>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一、项目概述</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通过对现有的嵊州市政务服务中心电子交易系统进行有效、科学的监控和管理，及时掌握系统资源现状和配置信息，反映系统资源的可用性情况和健康状况，创建一个可知可控的IT环境，从而保证嵊州市政务服务中心电子交易系统的可靠、高效、持续、安全运行，保证嵊州市政务服务中心电子交易系统正常运行，不发生大的数据和安全事故。</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二、运维需求</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需提供1人专人驻现场开展运维工作，技术人员在本市交易场地提供开评标技术保障，并面向平台所有使用对象，提供全面的技术服务支持工作，确保系统的稳定安全运行。</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驻场人员主要承担以下工作内容：</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（1）现场开标环节的技术保障。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（2）现场评标环节的技术保障。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（3）招标人使用过程中遇到问题的处理。</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（4）因政策性变化导致系统升级服务工作。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（5）系统使用方技术培训工作。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（6）系统与其他各方的数据对接工作：包括省政策性要求服务平台数据对接工作、信用数据对接工作。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（7）其他本中心要求的系统相关服务工作。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2.1软件及信息资源维护需求</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2.1.1公共资源交易平台运行维护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2.1.1.1公共资源交易网运行维护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现场运维小组全面保障人员可以通过网站正常进行，频道规划、信息发布、网上办事导航、诚信信息公示功能。同时，定期排查系统故障，及时解决突发问题。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2.1.1.2项目交易平台运行维护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现场运维小组全面保障项目交易平台的稳定运行，维护的内容需包括工程建设业务管理子系统、交易用户网上办事子系统。同时，定期排查系统故障，及时解决突发问题。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2.1.1.3建设工程网上开评标系统运行维护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现场运维小组全面保障建设工程网上开评标系统的稳定运行，维护的内容需包括电子招标文件制作子系统、网上开标子系统、网上评标子系统。同时，定期排查系统故障，及时解决突发问题。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2.1.1.4综合管理系统运行维护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现场运维小组全面保障交易中心工作人员可以通过综合管理系统对交易过程中的辅助性工作进行信息化管理。同时，定期排查系统故障，及时解决突发问题。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2.1.1.5数据交换及接口运行维护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现场运维小组需全面保障第三方系统接口正常运行。同时，定期排查系统故障，及时解决突发问题。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2.1.2不见面开标大厅运行维护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不见面开标大厅正常运行，保障系统正常提供在线不见面开标业务，具体维护内容需包括开标主持人登录、公布投标人名单、开标结束、视音频直播、实时交互相关业务。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2.1.3乡镇（街道）交易平台运行维护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2.1.3.1平台网站运行维护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运维小组全面保障平台网站的正常运行，需包括乡镇平台通知公告以及交易信息，招标公告、中标候选人公示、中标公示、变更公示。同时，定期排查系统故障，及时解决突发问题。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2.1.3.2工作人员网上办事系统运行维护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运维小组全面保障工作人员网上办事系统的正常运行，需包括业务核验、投标人管理、场地管理、交易过程监控。同时，定期排查系统故障，及时解决突发问题。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2.1.3.3代理机构网上办事系统运行维护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代理机构网上办事系统的正常运行，需包括工作台、招标方式采购，功能包括项目管理、投标邀请、招标文件、澄清答疑、专家抽取通知、开标信息获取、评标信息获取、授标、合同备案、招标异常。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2.1.3.4投标人网上办事系统运行维护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运维小组全面保障投标人网上办事系统的正常运行，需包括投标信息完善、网上下载标书、网上提问、网上下载答疑文件、网上递交投标文件、交易信息查询。同时，定期排查系统故障，及时解决突发问题。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2.1.3.5网上开标评标系统运行维护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运维小组全面保障网上开标评标系统的正常运行，维护的内容需包括网上开标子系统、网上评标子系统。同时，定期排查系统故障，及时解决突发问题。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2.1.3.6电子文件编制子系统运行维护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运维小组全面保障电子文件编制子系统的正常运行，系统需正常提供招标文件制作软件。同时，定期排查系统故障，及时解决突发问题。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2.1.3.7综合管理子系统运行维护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运维小组全面保障综合管理子系统正常运行，需保障系统正常协同管理、后台管理业务。同时，定期排查系统故障，及时解决突发问题。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2.1.3.8数据交换及接口平台运行维护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运维小组需全面保障第三方系统接口正常运行。同时，定期排查系统故障，及时解决突发问题，并对现有模块的功能进行完善、优化与丰富。</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2.2日常维护工作（驻场运维工作）需求</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2.2.1现场运维工作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现场运维人员主要工作是项目运维日常查看保障、制定相关实施计划，保证计划实现；组织、指导工作；负责数据准备；发现、解决问题，提出解决办法和建议；制定递交相关规章制度。</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提供的运维工作需包括日常咨询、技术指导与服务、重大项目保障实施、临时安排的突击性工作。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2.2.2远程运维工作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出于流程规范以及平台安全、释放现场交付工程师的工作压力，现场不接触代码，配备远程运维团队支撑，配合现场人员，解决问题，保障系统稳定运行。并可以提供相关安全服务、系统测试，以及其他优化建议。</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提供的运维工作需包括技术支持（配合现场解决问题）、安全服务、系统测试、电子保函调试维护、移动数字证书调试维护、行业跨区域协作平台调试维护。</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2.3400客服需求</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需提供5*8小时的400客服服务。</w:t>
      </w:r>
    </w:p>
    <w:p>
      <w:pPr>
        <w:pStyle w:val="295"/>
        <w:ind w:left="0" w:leftChars="0" w:firstLine="0" w:firstLineChars="0"/>
        <w:jc w:val="both"/>
        <w:rPr>
          <w:rFonts w:hint="eastAsia" w:ascii="仿宋_GB2312" w:hAnsi="宋体" w:eastAsia="仿宋_GB2312" w:cs="宋体"/>
          <w:kern w:val="0"/>
          <w:sz w:val="24"/>
          <w:szCs w:val="20"/>
          <w:lang w:val="en-US" w:eastAsia="zh-CN" w:bidi="ar-SA"/>
        </w:rPr>
      </w:pPr>
      <w:r>
        <w:rPr>
          <w:rFonts w:hint="eastAsia" w:ascii="仿宋_GB2312" w:hAnsi="宋体" w:eastAsia="仿宋_GB2312" w:cs="宋体"/>
          <w:b w:val="0"/>
          <w:bCs/>
          <w:kern w:val="0"/>
          <w:sz w:val="24"/>
          <w:szCs w:val="20"/>
          <w:lang w:val="en-US" w:eastAsia="zh-CN" w:bidi="ar-SA"/>
        </w:rPr>
        <w:t>三、付款方式</w:t>
      </w:r>
    </w:p>
    <w:p>
      <w:pPr>
        <w:pStyle w:val="296"/>
        <w:tabs>
          <w:tab w:val="left" w:pos="4980"/>
        </w:tabs>
        <w:spacing w:line="360" w:lineRule="auto"/>
        <w:ind w:firstLine="480" w:firstLineChars="0"/>
        <w:rPr>
          <w:rFonts w:ascii="仿宋" w:hAnsi="仿宋" w:eastAsia="仿宋"/>
          <w:sz w:val="24"/>
        </w:rPr>
      </w:pPr>
      <w:r>
        <w:rPr>
          <w:rFonts w:hint="eastAsia" w:ascii="仿宋" w:hAnsi="仿宋" w:eastAsia="仿宋"/>
          <w:sz w:val="24"/>
          <w:lang w:val="en-US" w:eastAsia="zh-CN"/>
        </w:rPr>
        <w:t>3.1</w:t>
      </w:r>
      <w:r>
        <w:rPr>
          <w:rFonts w:hint="eastAsia" w:ascii="仿宋" w:hAnsi="仿宋" w:eastAsia="仿宋"/>
          <w:sz w:val="24"/>
        </w:rPr>
        <w:t>合同签订后支付合同总额的50%，剩余部分在合同期满前一个月内支付。</w:t>
      </w:r>
    </w:p>
    <w:p>
      <w:pPr>
        <w:pStyle w:val="295"/>
        <w:ind w:left="0" w:leftChars="0" w:firstLine="0" w:firstLineChars="0"/>
        <w:jc w:val="both"/>
        <w:rPr>
          <w:rFonts w:hint="eastAsia" w:ascii="仿宋_GB2312" w:hAnsi="宋体" w:eastAsia="仿宋_GB2312" w:cs="宋体"/>
          <w:b w:val="0"/>
          <w:bCs/>
          <w:kern w:val="0"/>
          <w:sz w:val="24"/>
          <w:szCs w:val="20"/>
          <w:lang w:val="en-US" w:eastAsia="zh-CN" w:bidi="ar-SA"/>
        </w:rPr>
      </w:pPr>
      <w:bookmarkStart w:id="8" w:name="_Toc340583510"/>
      <w:bookmarkStart w:id="9" w:name="_Toc341171206"/>
      <w:bookmarkStart w:id="10" w:name="_Toc341171257"/>
      <w:bookmarkStart w:id="11" w:name="_Toc341171136"/>
      <w:bookmarkStart w:id="12" w:name="_Toc132966121"/>
      <w:bookmarkStart w:id="13" w:name="_Toc340583619"/>
      <w:r>
        <w:rPr>
          <w:rFonts w:hint="eastAsia" w:ascii="仿宋_GB2312" w:hAnsi="宋体" w:eastAsia="仿宋_GB2312" w:cs="宋体"/>
          <w:b w:val="0"/>
          <w:bCs/>
          <w:kern w:val="0"/>
          <w:sz w:val="24"/>
          <w:szCs w:val="20"/>
          <w:lang w:val="en-US" w:eastAsia="zh-CN" w:bidi="ar-SA"/>
        </w:rPr>
        <w:t>四、售后服务及要求</w:t>
      </w:r>
      <w:bookmarkEnd w:id="8"/>
      <w:bookmarkEnd w:id="9"/>
      <w:bookmarkEnd w:id="10"/>
      <w:bookmarkEnd w:id="11"/>
      <w:bookmarkEnd w:id="12"/>
      <w:bookmarkEnd w:id="13"/>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4.1</w:t>
      </w:r>
      <w:r>
        <w:rPr>
          <w:rFonts w:hint="eastAsia" w:ascii="仿宋_GB2312" w:hAnsi="宋体" w:eastAsia="仿宋_GB2312" w:cs="宋体"/>
          <w:kern w:val="0"/>
          <w:sz w:val="24"/>
        </w:rPr>
        <w:t>供应商售后服务的具体要求如下：</w:t>
      </w:r>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（1）承诺提供5×8小时售后服务，及时解决故障。</w:t>
      </w:r>
    </w:p>
    <w:p>
      <w:pPr>
        <w:pStyle w:val="26"/>
        <w:spacing w:line="360" w:lineRule="auto"/>
        <w:ind w:firstLine="480" w:firstLineChars="200"/>
        <w:rPr>
          <w:rFonts w:ascii="仿宋" w:hAnsi="仿宋" w:eastAsia="仿宋"/>
          <w:sz w:val="24"/>
        </w:rPr>
      </w:pPr>
      <w:r>
        <w:rPr>
          <w:rFonts w:hint="eastAsia" w:ascii="仿宋_GB2312" w:hAnsi="宋体" w:eastAsia="仿宋_GB2312" w:cs="宋体"/>
          <w:kern w:val="0"/>
          <w:sz w:val="24"/>
        </w:rPr>
        <w:t>⑵电话零等待响应，一般情</w:t>
      </w:r>
      <w:r>
        <w:rPr>
          <w:rFonts w:hint="eastAsia" w:ascii="仿宋" w:hAnsi="仿宋" w:eastAsia="仿宋"/>
          <w:sz w:val="24"/>
        </w:rPr>
        <w:t>况2小时现场处理，6小时内恢复系统正常运行；如遇紧急情况1小时到达现场进行维修，3小时恢复正常运行。若24小时内无法修复的，及时提供备用设备并负责安装调试。</w:t>
      </w:r>
    </w:p>
    <w:p>
      <w:pPr>
        <w:autoSpaceDE w:val="0"/>
        <w:autoSpaceDN w:val="0"/>
        <w:spacing w:line="360" w:lineRule="auto"/>
        <w:ind w:firstLine="440"/>
        <w:textAlignment w:val="bottom"/>
        <w:rPr>
          <w:rFonts w:ascii="仿宋" w:hAnsi="仿宋" w:eastAsia="仿宋"/>
          <w:sz w:val="24"/>
          <w:szCs w:val="21"/>
        </w:rPr>
      </w:pPr>
      <w:r>
        <w:rPr>
          <w:rFonts w:hint="eastAsia" w:ascii="仿宋" w:hAnsi="仿宋" w:eastAsia="仿宋"/>
          <w:sz w:val="22"/>
          <w:szCs w:val="22"/>
        </w:rPr>
        <w:t>（</w:t>
      </w:r>
      <w:r>
        <w:rPr>
          <w:rFonts w:ascii="仿宋" w:hAnsi="仿宋" w:eastAsia="仿宋"/>
          <w:sz w:val="22"/>
          <w:szCs w:val="22"/>
        </w:rPr>
        <w:t>3</w:t>
      </w:r>
      <w:r>
        <w:rPr>
          <w:rFonts w:hint="eastAsia" w:ascii="仿宋" w:hAnsi="仿宋" w:eastAsia="仿宋"/>
          <w:sz w:val="22"/>
          <w:szCs w:val="22"/>
        </w:rPr>
        <w:t>）</w:t>
      </w:r>
      <w:r>
        <w:rPr>
          <w:rFonts w:hint="eastAsia" w:ascii="仿宋" w:hAnsi="仿宋" w:eastAsia="仿宋"/>
          <w:sz w:val="24"/>
          <w:szCs w:val="21"/>
        </w:rPr>
        <w:t>供应商应根据发现的问题以及用户需求应及时对系统平台作进一步完善和改进，并提前与采购方进行沟通确认。所提供技术服务，包括网络维护、软件维护、软件升级、系统调试。</w:t>
      </w:r>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4.2</w:t>
      </w:r>
      <w:r>
        <w:rPr>
          <w:rFonts w:hint="eastAsia" w:ascii="仿宋_GB2312" w:hAnsi="宋体" w:eastAsia="仿宋_GB2312" w:cs="宋体"/>
          <w:kern w:val="0"/>
          <w:sz w:val="24"/>
        </w:rPr>
        <w:t>服务期</w:t>
      </w:r>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本项目服务期为一年，服务期内提供系统运行维护服务。</w:t>
      </w:r>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4.3</w:t>
      </w:r>
      <w:r>
        <w:rPr>
          <w:rFonts w:hint="eastAsia" w:ascii="仿宋_GB2312" w:hAnsi="宋体" w:eastAsia="仿宋_GB2312" w:cs="宋体"/>
          <w:kern w:val="0"/>
          <w:sz w:val="24"/>
        </w:rPr>
        <w:t>运维服务要求</w:t>
      </w:r>
    </w:p>
    <w:p>
      <w:pPr>
        <w:spacing w:line="360" w:lineRule="auto"/>
        <w:ind w:left="-6" w:leftChars="-3" w:firstLine="480"/>
        <w:rPr>
          <w:rFonts w:ascii="仿宋" w:hAnsi="仿宋" w:eastAsia="仿宋"/>
          <w:sz w:val="24"/>
          <w:szCs w:val="21"/>
        </w:rPr>
      </w:pPr>
      <w:r>
        <w:rPr>
          <w:rFonts w:hint="eastAsia" w:ascii="仿宋" w:hAnsi="仿宋" w:eastAsia="仿宋"/>
          <w:sz w:val="24"/>
          <w:szCs w:val="21"/>
        </w:rPr>
        <w:t>由服务单位提供包括平台的部署、维护，网络设备的部署、实施、运维服务、数据提供服务。</w:t>
      </w:r>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4.4</w:t>
      </w:r>
      <w:r>
        <w:rPr>
          <w:rFonts w:hint="eastAsia" w:ascii="仿宋_GB2312" w:hAnsi="宋体" w:eastAsia="仿宋_GB2312" w:cs="宋体"/>
          <w:kern w:val="0"/>
          <w:sz w:val="24"/>
        </w:rPr>
        <w:t>验收要求</w:t>
      </w:r>
    </w:p>
    <w:p>
      <w:pPr>
        <w:pStyle w:val="26"/>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采购方应做好组织验收的准备工作，制定验收方案，成立验收小组，组织实施验收和履约评价。供应商应及时搜集各项资料配合采购方做好交付和年度验收工作。</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pageBreakBefore/>
        <w:spacing w:line="800" w:lineRule="exact"/>
        <w:jc w:val="center"/>
        <w:rPr>
          <w:rFonts w:ascii="仿宋_GB2312" w:hAnsi="宋体" w:eastAsia="仿宋_GB2312"/>
          <w:b/>
          <w:sz w:val="36"/>
          <w:szCs w:val="36"/>
        </w:rPr>
      </w:pPr>
      <w:bookmarkStart w:id="14" w:name="_Toc84325981"/>
      <w:bookmarkStart w:id="15" w:name="_Toc80157775"/>
      <w:bookmarkStart w:id="16" w:name="_Toc81372787"/>
      <w:bookmarkStart w:id="17" w:name="_Toc81372964"/>
      <w:r>
        <w:rPr>
          <w:rFonts w:hint="eastAsia" w:ascii="仿宋_GB2312" w:hAnsi="宋体" w:eastAsia="仿宋_GB2312"/>
          <w:b/>
          <w:sz w:val="36"/>
          <w:szCs w:val="36"/>
        </w:rPr>
        <w:t>第四部分 合同主要条款</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本合同是由以下各方于 年 月 日在 市签订。</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购买方（甲方）：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单位地址：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联系电话：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传真号码：           邮  编：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法定代表人：                     经办人：                 </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提供方（乙方）：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注册地址：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通信地址：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联系电话：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传真号码：        邮  编：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法定代表人：             经办人：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 开户银行：     账  号：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甲、乙双方经友好协商，根据《中华人民共和国合同法》、《计算机软件保护条例》及国家有关法律、法规之规定，就甲方购买乙方提供的</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，双方达成如下协议并共同遵守：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一、甲方委托乙方全权负责</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的安装、调试、培训、维护等工作，包括</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二、双方权责</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2.1甲方的权利及义务：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kern w:val="0"/>
          <w:sz w:val="24"/>
        </w:rPr>
        <w:tab/>
      </w:r>
      <w:r>
        <w:rPr>
          <w:rFonts w:hint="eastAsia" w:ascii="仿宋_GB2312" w:hAnsi="宋体" w:eastAsia="仿宋_GB2312" w:cs="宋体"/>
          <w:kern w:val="0"/>
          <w:sz w:val="24"/>
        </w:rPr>
        <w:t>甲方依据合同支付相应价款后获得“项目”的使用权，有权合法使用“项目”。</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rPr>
        <w:tab/>
      </w:r>
      <w:r>
        <w:rPr>
          <w:rFonts w:hint="eastAsia" w:ascii="仿宋_GB2312" w:hAnsi="宋体" w:eastAsia="仿宋_GB2312" w:cs="宋体"/>
          <w:kern w:val="0"/>
          <w:sz w:val="24"/>
        </w:rPr>
        <w:t>甲方有权基于乙方提供的系统功能说明，确认和验收乙方提供的系统。</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kern w:val="0"/>
          <w:sz w:val="24"/>
        </w:rPr>
        <w:tab/>
      </w:r>
      <w:r>
        <w:rPr>
          <w:rFonts w:hint="eastAsia" w:ascii="仿宋_GB2312" w:hAnsi="宋体" w:eastAsia="仿宋_GB2312" w:cs="宋体"/>
          <w:kern w:val="0"/>
          <w:sz w:val="24"/>
        </w:rPr>
        <w:t>甲方根据本合同的有关约定，有权享有乙方提供的技术培训以及维护服务。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kern w:val="0"/>
          <w:sz w:val="24"/>
        </w:rPr>
        <w:tab/>
      </w:r>
      <w:r>
        <w:rPr>
          <w:rFonts w:hint="eastAsia" w:ascii="仿宋_GB2312" w:hAnsi="宋体" w:eastAsia="仿宋_GB2312" w:cs="宋体"/>
          <w:kern w:val="0"/>
          <w:sz w:val="24"/>
        </w:rPr>
        <w:t>甲方有义务在项目安装和培训过程中给予乙方支持和便利。</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w:t>
      </w:r>
      <w:r>
        <w:rPr>
          <w:rFonts w:hint="eastAsia" w:ascii="仿宋_GB2312" w:hAnsi="宋体" w:eastAsia="仿宋_GB2312" w:cs="宋体"/>
          <w:kern w:val="0"/>
          <w:sz w:val="24"/>
        </w:rPr>
        <w:tab/>
      </w:r>
      <w:r>
        <w:rPr>
          <w:rFonts w:hint="eastAsia" w:ascii="仿宋_GB2312" w:hAnsi="宋体" w:eastAsia="仿宋_GB2312" w:cs="宋体"/>
          <w:kern w:val="0"/>
          <w:sz w:val="24"/>
        </w:rPr>
        <w:t>甲方应签收乙方书面或电子方式提交的资料、文档，并表明是否同意或是否接受。常规问题在一周内给予答复，重大问题一个月内给予答复，超过上述时间又不明确表态的，默认甲方同意或接受了乙方递交的资料、文档。</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w:t>
      </w:r>
      <w:r>
        <w:rPr>
          <w:rFonts w:hint="eastAsia" w:ascii="仿宋_GB2312" w:hAnsi="宋体" w:eastAsia="仿宋_GB2312" w:cs="宋体"/>
          <w:kern w:val="0"/>
          <w:sz w:val="24"/>
        </w:rPr>
        <w:tab/>
      </w:r>
      <w:r>
        <w:rPr>
          <w:rFonts w:hint="eastAsia" w:ascii="仿宋_GB2312" w:hAnsi="宋体" w:eastAsia="仿宋_GB2312" w:cs="宋体"/>
          <w:kern w:val="0"/>
          <w:sz w:val="24"/>
        </w:rPr>
        <w:t>甲方承诺，甲方及其相关单位在本合同履行期间以及本合同终止后三年内不得雇佣乙方参与本合同履行的员工。</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2.2乙方权利及义务：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kern w:val="0"/>
          <w:sz w:val="24"/>
        </w:rPr>
        <w:tab/>
      </w:r>
      <w:r>
        <w:rPr>
          <w:rFonts w:hint="eastAsia" w:ascii="仿宋_GB2312" w:hAnsi="宋体" w:eastAsia="仿宋_GB2312" w:cs="宋体"/>
          <w:kern w:val="0"/>
          <w:sz w:val="24"/>
        </w:rPr>
        <w:t>乙方依据合同的约定，获得“项目”的相应价款。</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rPr>
        <w:tab/>
      </w:r>
      <w:r>
        <w:rPr>
          <w:rFonts w:hint="eastAsia" w:ascii="仿宋_GB2312" w:hAnsi="宋体" w:eastAsia="仿宋_GB2312" w:cs="宋体"/>
          <w:kern w:val="0"/>
          <w:sz w:val="24"/>
        </w:rPr>
        <w:t>乙方为甲方提供“项目”，并按照采购文件、投标文件及本合同的约定提供软件技术服务。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kern w:val="0"/>
          <w:sz w:val="24"/>
        </w:rPr>
        <w:tab/>
      </w:r>
      <w:r>
        <w:rPr>
          <w:rFonts w:hint="eastAsia" w:ascii="仿宋_GB2312" w:hAnsi="宋体" w:eastAsia="仿宋_GB2312" w:cs="宋体"/>
          <w:kern w:val="0"/>
          <w:sz w:val="24"/>
        </w:rPr>
        <w:t>乙方根据约定的安装进度，为甲方提供服务。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kern w:val="0"/>
          <w:sz w:val="24"/>
        </w:rPr>
        <w:tab/>
      </w:r>
      <w:r>
        <w:rPr>
          <w:rFonts w:hint="eastAsia" w:ascii="仿宋_GB2312" w:hAnsi="宋体" w:eastAsia="仿宋_GB2312" w:cs="宋体"/>
          <w:kern w:val="0"/>
          <w:sz w:val="24"/>
        </w:rPr>
        <w:t>在规定的时间内，乙方将与系统有关的资料，连同其载体移交给甲方。</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w:t>
      </w:r>
      <w:r>
        <w:rPr>
          <w:rFonts w:hint="eastAsia" w:ascii="仿宋_GB2312" w:hAnsi="宋体" w:eastAsia="仿宋_GB2312" w:cs="宋体"/>
          <w:kern w:val="0"/>
          <w:sz w:val="24"/>
        </w:rPr>
        <w:tab/>
      </w:r>
      <w:r>
        <w:rPr>
          <w:rFonts w:hint="eastAsia" w:ascii="仿宋_GB2312" w:hAnsi="宋体" w:eastAsia="仿宋_GB2312" w:cs="宋体"/>
          <w:kern w:val="0"/>
          <w:sz w:val="24"/>
        </w:rPr>
        <w:t>乙方根据约定，向甲方提供“项目”的维护服务，保证系统的正常运行。</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w:t>
      </w:r>
      <w:r>
        <w:rPr>
          <w:rFonts w:hint="eastAsia" w:ascii="仿宋_GB2312" w:hAnsi="宋体" w:eastAsia="仿宋_GB2312" w:cs="宋体"/>
          <w:kern w:val="0"/>
          <w:sz w:val="24"/>
        </w:rPr>
        <w:tab/>
      </w:r>
      <w:r>
        <w:rPr>
          <w:rFonts w:hint="eastAsia" w:ascii="仿宋_GB2312" w:hAnsi="宋体" w:eastAsia="仿宋_GB2312" w:cs="宋体"/>
          <w:kern w:val="0"/>
          <w:sz w:val="24"/>
        </w:rPr>
        <w:t>乙方确保所提供的产品具有合法的知识产权，如提供的产品因侵犯第三方的知识产权而引起的法律责任由乙方承担。</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三、维护期。本合同有效期自从  年  月  日起，  年 月 日止，有效期  年。在维护期到期前一个月，双方协商续约事宜。</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四、合同价款及支付方式</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3.1  甲方应向乙方支付的合同总价款为</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，即  年至  年共计  年年度项目维护维护费，每年度维护费用大写</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3.2  付款方式：</w:t>
      </w:r>
      <w:r>
        <w:rPr>
          <w:rFonts w:hint="eastAsia" w:ascii="仿宋_GB2312" w:hAnsi="宋体" w:eastAsia="仿宋_GB2312" w:cs="宋体"/>
          <w:kern w:val="0"/>
          <w:sz w:val="24"/>
          <w:u w:val="single"/>
        </w:rPr>
        <w:t xml:space="preserve">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3.3  开票内容：软件技术服务费。</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五、维护服务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u w:val="single"/>
        </w:rPr>
        <w:t xml:space="preserve">      </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六、若甲方未按本合同相关约定支付款项，超过付款期限3个月后仍未按时足额支付的，乙方有权暂停系统的建设或运营，由此产生的损失均由甲方承担。超过付款期限6个月后仍未按时足额支付的，乙方有权单方面停止服务、解除本合同，并要求甲方赔偿实际损失以及违约金。如因乙方原因，违反本合同有关进度的约定，造成系统安装上线延期超过6个月的，甲方有权终止合同，并要求乙方赔偿实际损失。由于甲方原因造成的工期延误，乙方不承担合同工期延误的违约责任。</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七、如因一方违约导致合同暂停或终止的，由此产生的诉讼成本。包括但不限于诉讼费律师费、差旅费等均由违约方支付。</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八、信息保密与安全</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甲方、乙方均应注意资料和技术的保密，乙方不得将接触到的任何资料、数据、技术泄露给第三方，甲方也不得将乙方提供的文档、资料、技术泄露给第三方。</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九、如发生不可抗力，受影响的一方应毫无延误地通知另一方，应当采取所有合理行为消除不可抗力的条件及减少不可抗力对另一方的损失。根据不可抗力的影响，可以终止或推迟本合同的履行，或部分或全部地免除受影响方在本合同中的义务。</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十、双方正式通知的形式包括：当面递交文档、信函邮寄、电子邮件、传真等方式。</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十一、争议解决</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13.1因服务的质量问题发生争议的，应当邀请国家认可的质量检测机构对服务质量进行鉴定。符合标准的，鉴定费由甲方承担；不符合质量标准的，鉴定费由乙方承担。</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13.2因履行本合同引起的或与本合同有关的争议，甲、乙双方应首先通过友好协商解决。如果协商不能解决争议，则向原告所在地有管辖权的人民法院提起诉讼。</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十二、合同附件与正文具有同等法律效力。</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十三、本协议一式陆份，均为正本，双方各执叁份，具有同等法律效力。本协议自甲乙双方代表签字盖章之日起生效。</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（以下无正文）</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（此页为盖章页）</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甲方： (盖章)</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 xml:space="preserve">代表签字：                             </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签订日期：二○二  年    月    日</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乙方： (盖章)</w:t>
      </w: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代表签字：</w:t>
      </w: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p>
    <w:p>
      <w:pPr>
        <w:pStyle w:val="26"/>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签订日期：二○二  年    月    日</w:t>
      </w:r>
    </w:p>
    <w:p>
      <w:pPr>
        <w:pStyle w:val="26"/>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w:t>
      </w:r>
      <w:r>
        <w:rPr>
          <w:rFonts w:hint="eastAsia" w:ascii="仿宋_GB2312" w:hAnsi="宋体" w:eastAsia="仿宋_GB2312"/>
          <w:sz w:val="24"/>
          <w:lang w:eastAsia="zh-CN"/>
        </w:rPr>
        <w:t>资信</w:t>
      </w:r>
      <w:r>
        <w:rPr>
          <w:rFonts w:hint="eastAsia" w:ascii="仿宋_GB2312" w:hAnsi="宋体" w:eastAsia="仿宋_GB2312"/>
          <w:sz w:val="24"/>
        </w:rPr>
        <w:t>技术分</w:t>
      </w:r>
      <w:r>
        <w:rPr>
          <w:rFonts w:hint="eastAsia" w:ascii="仿宋_GB2312" w:hAnsi="宋体" w:eastAsia="仿宋_GB2312"/>
          <w:sz w:val="24"/>
          <w:lang w:val="en-US" w:eastAsia="zh-CN"/>
        </w:rPr>
        <w:t>8</w:t>
      </w:r>
      <w:r>
        <w:rPr>
          <w:rFonts w:hint="eastAsia" w:ascii="仿宋_GB2312" w:hAnsi="宋体" w:eastAsia="仿宋_GB2312"/>
          <w:sz w:val="24"/>
        </w:rPr>
        <w:t>0分，商务分</w:t>
      </w:r>
      <w:r>
        <w:rPr>
          <w:rFonts w:hint="eastAsia" w:ascii="仿宋_GB2312" w:hAnsi="宋体" w:eastAsia="仿宋_GB2312"/>
          <w:sz w:val="24"/>
          <w:lang w:val="en-US" w:eastAsia="zh-CN"/>
        </w:rPr>
        <w:t>2</w:t>
      </w:r>
      <w:r>
        <w:rPr>
          <w:rFonts w:hint="eastAsia" w:ascii="仿宋_GB2312" w:hAnsi="宋体" w:eastAsia="仿宋_GB2312"/>
          <w:sz w:val="24"/>
        </w:rPr>
        <w:t>0分。评分依下述所列为评标打分依据，分值如下（计算分值时，按其算术平均值保留小数2位）。</w:t>
      </w:r>
    </w:p>
    <w:p>
      <w:pPr>
        <w:spacing w:line="440" w:lineRule="exact"/>
        <w:rPr>
          <w:rFonts w:ascii="仿宋_GB2312" w:hAnsi="宋体" w:eastAsia="仿宋_GB2312"/>
          <w:b/>
          <w:bCs/>
          <w:iCs/>
          <w:sz w:val="24"/>
        </w:rPr>
      </w:pPr>
      <w:r>
        <w:rPr>
          <w:rFonts w:hint="eastAsia" w:ascii="仿宋_GB2312" w:hAnsi="宋体" w:eastAsia="仿宋_GB2312"/>
          <w:b/>
          <w:sz w:val="24"/>
        </w:rPr>
        <w:t>2.</w:t>
      </w:r>
      <w:r>
        <w:rPr>
          <w:rFonts w:hint="eastAsia" w:ascii="仿宋_GB2312" w:hAnsi="宋体" w:eastAsia="仿宋_GB2312"/>
          <w:b/>
          <w:sz w:val="24"/>
          <w:lang w:val="en-US" w:eastAsia="zh-CN"/>
        </w:rPr>
        <w:t>1</w:t>
      </w:r>
      <w:r>
        <w:rPr>
          <w:rFonts w:hint="eastAsia" w:ascii="仿宋_GB2312" w:hAnsi="宋体" w:eastAsia="仿宋_GB2312"/>
          <w:b/>
          <w:bCs/>
          <w:iCs/>
          <w:sz w:val="24"/>
          <w:lang w:eastAsia="zh-CN"/>
        </w:rPr>
        <w:t>资信</w:t>
      </w:r>
      <w:r>
        <w:rPr>
          <w:rFonts w:hint="eastAsia" w:ascii="仿宋_GB2312" w:hAnsi="宋体" w:eastAsia="仿宋_GB2312"/>
          <w:b/>
          <w:bCs/>
          <w:iCs/>
          <w:sz w:val="24"/>
        </w:rPr>
        <w:t>技术分（</w:t>
      </w:r>
      <w:r>
        <w:rPr>
          <w:rFonts w:hint="eastAsia" w:ascii="仿宋_GB2312" w:hAnsi="宋体" w:eastAsia="仿宋_GB2312"/>
          <w:b/>
          <w:bCs/>
          <w:iCs/>
          <w:sz w:val="24"/>
          <w:lang w:val="en-US" w:eastAsia="zh-CN"/>
        </w:rPr>
        <w:t>8</w:t>
      </w:r>
      <w:r>
        <w:rPr>
          <w:rFonts w:hint="eastAsia" w:ascii="仿宋_GB2312" w:hAnsi="宋体" w:eastAsia="仿宋_GB2312"/>
          <w:b/>
          <w:bCs/>
          <w:iCs/>
          <w:sz w:val="24"/>
        </w:rPr>
        <w:t>0分）</w:t>
      </w:r>
    </w:p>
    <w:p>
      <w:pPr>
        <w:spacing w:line="440" w:lineRule="exact"/>
        <w:rPr>
          <w:rFonts w:ascii="仿宋_GB2312" w:hAnsi="宋体" w:eastAsia="仿宋_GB2312"/>
          <w:bCs/>
          <w:iCs/>
          <w:sz w:val="24"/>
        </w:rPr>
      </w:pPr>
    </w:p>
    <w:tbl>
      <w:tblPr>
        <w:tblStyle w:val="46"/>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
        <w:gridCol w:w="1121"/>
        <w:gridCol w:w="1276"/>
        <w:gridCol w:w="5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86" w:type="dxa"/>
            <w:gridSpan w:val="3"/>
            <w:tcBorders>
              <w:top w:val="single" w:color="auto" w:sz="12" w:space="0"/>
            </w:tcBorders>
            <w:vAlign w:val="center"/>
          </w:tcPr>
          <w:p>
            <w:pPr>
              <w:spacing w:line="276" w:lineRule="auto"/>
              <w:jc w:val="center"/>
              <w:rPr>
                <w:rFonts w:ascii="仿宋" w:hAnsi="仿宋" w:eastAsia="仿宋"/>
                <w:b/>
                <w:bCs/>
                <w:color w:val="000000"/>
                <w:sz w:val="24"/>
              </w:rPr>
            </w:pPr>
            <w:r>
              <w:rPr>
                <w:rFonts w:hint="eastAsia" w:ascii="仿宋" w:hAnsi="仿宋" w:eastAsia="仿宋" w:cs="宋体"/>
                <w:b/>
                <w:bCs/>
                <w:color w:val="000000"/>
                <w:sz w:val="24"/>
              </w:rPr>
              <w:t>条款号</w:t>
            </w:r>
          </w:p>
        </w:tc>
        <w:tc>
          <w:tcPr>
            <w:tcW w:w="1276" w:type="dxa"/>
            <w:tcBorders>
              <w:top w:val="single" w:color="auto" w:sz="12" w:space="0"/>
            </w:tcBorders>
            <w:vAlign w:val="center"/>
          </w:tcPr>
          <w:p>
            <w:pPr>
              <w:spacing w:line="276" w:lineRule="auto"/>
              <w:jc w:val="center"/>
              <w:rPr>
                <w:rFonts w:ascii="仿宋" w:hAnsi="仿宋" w:eastAsia="仿宋"/>
                <w:b/>
                <w:bCs/>
                <w:color w:val="000000"/>
                <w:sz w:val="24"/>
              </w:rPr>
            </w:pPr>
            <w:r>
              <w:rPr>
                <w:rFonts w:hint="eastAsia" w:ascii="仿宋" w:hAnsi="仿宋" w:eastAsia="仿宋" w:cs="宋体"/>
                <w:b/>
                <w:bCs/>
                <w:color w:val="000000"/>
                <w:sz w:val="24"/>
              </w:rPr>
              <w:t>评审因素</w:t>
            </w:r>
          </w:p>
        </w:tc>
        <w:tc>
          <w:tcPr>
            <w:tcW w:w="5543" w:type="dxa"/>
            <w:tcBorders>
              <w:top w:val="single" w:color="auto" w:sz="12" w:space="0"/>
            </w:tcBorders>
            <w:vAlign w:val="center"/>
          </w:tcPr>
          <w:p>
            <w:pPr>
              <w:spacing w:line="276" w:lineRule="auto"/>
              <w:jc w:val="center"/>
              <w:rPr>
                <w:rFonts w:ascii="仿宋" w:hAnsi="仿宋" w:eastAsia="仿宋"/>
                <w:b/>
                <w:bCs/>
                <w:color w:val="000000"/>
                <w:sz w:val="24"/>
              </w:rPr>
            </w:pPr>
            <w:r>
              <w:rPr>
                <w:rFonts w:hint="eastAsia" w:ascii="仿宋" w:hAnsi="仿宋" w:eastAsia="仿宋" w:cs="宋体"/>
                <w:b/>
                <w:bCs/>
                <w:color w:val="000000"/>
                <w:sz w:val="24"/>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52" w:type="dxa"/>
            <w:vMerge w:val="restart"/>
            <w:vAlign w:val="center"/>
          </w:tcPr>
          <w:p>
            <w:pPr>
              <w:spacing w:line="276" w:lineRule="auto"/>
              <w:jc w:val="center"/>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1</w:t>
            </w:r>
          </w:p>
        </w:tc>
        <w:tc>
          <w:tcPr>
            <w:tcW w:w="1134" w:type="dxa"/>
            <w:gridSpan w:val="2"/>
            <w:vMerge w:val="restart"/>
            <w:vAlign w:val="center"/>
          </w:tcPr>
          <w:p>
            <w:pPr>
              <w:spacing w:line="276" w:lineRule="auto"/>
              <w:jc w:val="center"/>
              <w:rPr>
                <w:rFonts w:ascii="仿宋" w:hAnsi="仿宋" w:eastAsia="仿宋"/>
                <w:color w:val="000000"/>
                <w:sz w:val="24"/>
              </w:rPr>
            </w:pPr>
            <w:r>
              <w:rPr>
                <w:rFonts w:hint="eastAsia" w:ascii="仿宋" w:hAnsi="仿宋" w:eastAsia="仿宋" w:cs="宋体"/>
                <w:color w:val="000000"/>
                <w:sz w:val="24"/>
              </w:rPr>
              <w:t>商务分</w:t>
            </w:r>
          </w:p>
          <w:p>
            <w:pPr>
              <w:spacing w:line="276" w:lineRule="auto"/>
              <w:jc w:val="center"/>
              <w:rPr>
                <w:rFonts w:ascii="仿宋" w:hAnsi="仿宋" w:eastAsia="仿宋" w:cs="宋体"/>
                <w:color w:val="000000"/>
                <w:sz w:val="24"/>
              </w:rPr>
            </w:pPr>
            <w:r>
              <w:rPr>
                <w:rFonts w:hint="eastAsia" w:ascii="仿宋" w:hAnsi="仿宋" w:eastAsia="仿宋" w:cs="宋体"/>
                <w:color w:val="000000"/>
                <w:sz w:val="24"/>
              </w:rPr>
              <w:t>（30分）</w:t>
            </w:r>
          </w:p>
        </w:tc>
        <w:tc>
          <w:tcPr>
            <w:tcW w:w="1276" w:type="dxa"/>
            <w:vAlign w:val="center"/>
          </w:tcPr>
          <w:p>
            <w:pPr>
              <w:spacing w:line="276" w:lineRule="auto"/>
              <w:jc w:val="center"/>
              <w:rPr>
                <w:rFonts w:ascii="仿宋" w:hAnsi="仿宋" w:eastAsia="仿宋" w:cs="宋体"/>
                <w:color w:val="000000"/>
                <w:sz w:val="24"/>
              </w:rPr>
            </w:pPr>
            <w:r>
              <w:rPr>
                <w:rFonts w:hint="eastAsia" w:ascii="仿宋" w:hAnsi="仿宋" w:eastAsia="仿宋" w:cs="宋体"/>
                <w:color w:val="000000"/>
                <w:sz w:val="24"/>
              </w:rPr>
              <w:t>综合实力（</w:t>
            </w:r>
            <w:r>
              <w:rPr>
                <w:rFonts w:ascii="仿宋" w:hAnsi="仿宋" w:eastAsia="仿宋" w:cs="宋体"/>
                <w:color w:val="000000"/>
                <w:sz w:val="24"/>
              </w:rPr>
              <w:t>1</w:t>
            </w:r>
            <w:r>
              <w:rPr>
                <w:rFonts w:hint="eastAsia" w:ascii="仿宋" w:hAnsi="仿宋" w:eastAsia="仿宋" w:cs="宋体"/>
                <w:color w:val="000000"/>
                <w:sz w:val="24"/>
              </w:rPr>
              <w:t>8分）</w:t>
            </w:r>
          </w:p>
        </w:tc>
        <w:tc>
          <w:tcPr>
            <w:tcW w:w="5543" w:type="dxa"/>
            <w:vAlign w:val="center"/>
          </w:tcPr>
          <w:p>
            <w:pPr>
              <w:spacing w:line="276" w:lineRule="auto"/>
              <w:rPr>
                <w:rFonts w:ascii="仿宋" w:hAnsi="仿宋" w:eastAsia="仿宋"/>
                <w:color w:val="000000"/>
                <w:sz w:val="24"/>
              </w:rPr>
            </w:pPr>
            <w:r>
              <w:rPr>
                <w:rFonts w:hint="eastAsia" w:ascii="仿宋" w:hAnsi="仿宋" w:eastAsia="仿宋"/>
                <w:color w:val="000000"/>
                <w:sz w:val="24"/>
                <w:lang w:val="en-US" w:eastAsia="zh-CN"/>
              </w:rPr>
              <w:t>1.</w:t>
            </w:r>
            <w:r>
              <w:rPr>
                <w:rFonts w:hint="eastAsia" w:ascii="仿宋" w:hAnsi="仿宋" w:eastAsia="仿宋"/>
                <w:color w:val="000000"/>
                <w:sz w:val="24"/>
              </w:rPr>
              <w:t>投标人需通过ISO9001质量管理体系认证、ISO20000信息技术服务管理体系认证、ISO27001信息安全管理体系认证，每提供一项得2分，最高得6分，未提供不得分。</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lang w:eastAsia="zh-CN"/>
              </w:rPr>
              <w:t>.</w:t>
            </w:r>
            <w:r>
              <w:rPr>
                <w:rFonts w:hint="eastAsia" w:ascii="仿宋" w:hAnsi="仿宋" w:eastAsia="仿宋"/>
                <w:color w:val="000000"/>
                <w:sz w:val="24"/>
              </w:rPr>
              <w:t>投标人具有信息安全服务资质，提供有效期内的、由国家认可的（中国网络安全审查技术与认证中心等）权威机构或法定机构颁发的信息系统安全运维二级及以上资质证书、信息系统安全集成二级及以上资质证书，提供复印件或扫描件，并加盖投标人公章。提供一项得3分，最高得6分，未提供不得分。</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sz w:val="24"/>
                <w:lang w:eastAsia="zh-CN"/>
              </w:rPr>
              <w:t>.</w:t>
            </w:r>
            <w:r>
              <w:rPr>
                <w:rFonts w:hint="eastAsia" w:ascii="仿宋" w:hAnsi="仿宋" w:eastAsia="仿宋"/>
                <w:color w:val="000000"/>
                <w:sz w:val="24"/>
              </w:rPr>
              <w:t>投标人具有标准化服务能力，具有有效期内的、由国家认可的权威机构或法定机构颁发的信息技术服务标准符合性证书(ITSS)，提供复印件或扫描件，并加盖投标人公章。提供二级及以上证书得3分，三级得2分，未提供不得分。</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sz w:val="24"/>
                <w:lang w:eastAsia="zh-CN"/>
              </w:rPr>
              <w:t>.</w:t>
            </w:r>
            <w:r>
              <w:rPr>
                <w:rFonts w:hint="eastAsia" w:ascii="仿宋" w:hAnsi="仿宋" w:eastAsia="仿宋"/>
                <w:color w:val="000000"/>
                <w:sz w:val="24"/>
              </w:rPr>
              <w:t>投标人具备有效的售后服务认证（五星）证书，提供复印件或扫描件，并加盖投标人公章。提供得3分，未提供不得分。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52" w:type="dxa"/>
            <w:vMerge w:val="continue"/>
            <w:vAlign w:val="center"/>
          </w:tcPr>
          <w:p>
            <w:pPr>
              <w:spacing w:line="276" w:lineRule="auto"/>
              <w:jc w:val="center"/>
              <w:rPr>
                <w:rFonts w:ascii="仿宋" w:hAnsi="仿宋" w:eastAsia="仿宋" w:cs="宋体"/>
                <w:color w:val="000000"/>
                <w:sz w:val="24"/>
              </w:rPr>
            </w:pPr>
          </w:p>
        </w:tc>
        <w:tc>
          <w:tcPr>
            <w:tcW w:w="1134" w:type="dxa"/>
            <w:gridSpan w:val="2"/>
            <w:vMerge w:val="continue"/>
            <w:vAlign w:val="center"/>
          </w:tcPr>
          <w:p>
            <w:pPr>
              <w:spacing w:line="276" w:lineRule="auto"/>
              <w:jc w:val="center"/>
              <w:rPr>
                <w:rFonts w:ascii="仿宋" w:hAnsi="仿宋" w:eastAsia="仿宋" w:cs="宋体"/>
                <w:color w:val="000000"/>
                <w:sz w:val="24"/>
              </w:rPr>
            </w:pPr>
          </w:p>
        </w:tc>
        <w:tc>
          <w:tcPr>
            <w:tcW w:w="1276" w:type="dxa"/>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业绩</w:t>
            </w:r>
          </w:p>
          <w:p>
            <w:pPr>
              <w:spacing w:line="276" w:lineRule="auto"/>
              <w:jc w:val="center"/>
              <w:rPr>
                <w:rFonts w:ascii="仿宋" w:hAnsi="仿宋" w:eastAsia="仿宋"/>
                <w:color w:val="000000"/>
                <w:sz w:val="24"/>
              </w:rPr>
            </w:pPr>
            <w:r>
              <w:rPr>
                <w:rFonts w:hint="eastAsia" w:ascii="仿宋" w:hAnsi="仿宋" w:eastAsia="仿宋"/>
                <w:color w:val="000000"/>
                <w:sz w:val="24"/>
              </w:rPr>
              <w:t>（2分）</w:t>
            </w:r>
          </w:p>
        </w:tc>
        <w:tc>
          <w:tcPr>
            <w:tcW w:w="5543" w:type="dxa"/>
            <w:vAlign w:val="center"/>
          </w:tcPr>
          <w:p>
            <w:pPr>
              <w:spacing w:line="276" w:lineRule="auto"/>
              <w:rPr>
                <w:rFonts w:ascii="仿宋" w:hAnsi="仿宋" w:eastAsia="仿宋"/>
                <w:color w:val="000000"/>
                <w:sz w:val="24"/>
              </w:rPr>
            </w:pPr>
            <w:r>
              <w:rPr>
                <w:rFonts w:hint="eastAsia" w:ascii="仿宋" w:hAnsi="仿宋" w:eastAsia="仿宋"/>
                <w:color w:val="000000"/>
                <w:sz w:val="24"/>
              </w:rPr>
              <w:t>投标人近三年以来承担过软件信息化项目业绩，每提供一个得1分，满分2分。</w:t>
            </w:r>
          </w:p>
          <w:p>
            <w:pPr>
              <w:spacing w:line="276" w:lineRule="auto"/>
              <w:rPr>
                <w:rFonts w:ascii="仿宋" w:hAnsi="仿宋" w:eastAsia="仿宋"/>
                <w:color w:val="000000"/>
                <w:sz w:val="24"/>
              </w:rPr>
            </w:pPr>
            <w:r>
              <w:rPr>
                <w:rFonts w:hint="eastAsia" w:ascii="仿宋" w:hAnsi="仿宋" w:eastAsia="仿宋"/>
                <w:color w:val="000000"/>
                <w:sz w:val="24"/>
              </w:rPr>
              <w:t>须提供项目合同关键页复印件或扫描件并加盖投标人公章，</w:t>
            </w:r>
            <w:r>
              <w:rPr>
                <w:rFonts w:hint="eastAsia" w:ascii="仿宋" w:hAnsi="仿宋" w:eastAsia="仿宋"/>
                <w:color w:val="000000"/>
                <w:sz w:val="24"/>
                <w:lang w:eastAsia="zh-CN"/>
              </w:rPr>
              <w:t>未提供不得</w:t>
            </w:r>
            <w:r>
              <w:rPr>
                <w:rFonts w:hint="eastAsia" w:ascii="仿宋" w:hAnsi="仿宋" w:eastAsia="仿宋"/>
                <w:color w:val="000000"/>
                <w:sz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52" w:type="dxa"/>
            <w:vMerge w:val="continue"/>
            <w:vAlign w:val="center"/>
          </w:tcPr>
          <w:p>
            <w:pPr>
              <w:spacing w:line="276" w:lineRule="auto"/>
              <w:jc w:val="center"/>
              <w:rPr>
                <w:rFonts w:ascii="仿宋" w:hAnsi="仿宋" w:eastAsia="仿宋" w:cs="宋体"/>
                <w:color w:val="000000"/>
                <w:sz w:val="24"/>
              </w:rPr>
            </w:pPr>
          </w:p>
        </w:tc>
        <w:tc>
          <w:tcPr>
            <w:tcW w:w="1134" w:type="dxa"/>
            <w:gridSpan w:val="2"/>
            <w:vMerge w:val="continue"/>
            <w:vAlign w:val="center"/>
          </w:tcPr>
          <w:p>
            <w:pPr>
              <w:spacing w:line="276" w:lineRule="auto"/>
              <w:jc w:val="center"/>
              <w:rPr>
                <w:rFonts w:ascii="仿宋" w:hAnsi="仿宋" w:eastAsia="仿宋" w:cs="宋体"/>
                <w:color w:val="000000"/>
                <w:sz w:val="24"/>
              </w:rPr>
            </w:pPr>
          </w:p>
        </w:tc>
        <w:tc>
          <w:tcPr>
            <w:tcW w:w="1276" w:type="dxa"/>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项目团队能力</w:t>
            </w:r>
          </w:p>
          <w:p>
            <w:pPr>
              <w:spacing w:line="276" w:lineRule="auto"/>
              <w:jc w:val="center"/>
              <w:rPr>
                <w:rFonts w:ascii="仿宋" w:hAnsi="仿宋" w:eastAsia="仿宋" w:cs="宋体"/>
                <w:color w:val="000000"/>
                <w:sz w:val="24"/>
              </w:rPr>
            </w:pPr>
            <w:r>
              <w:rPr>
                <w:rFonts w:hint="eastAsia" w:ascii="仿宋" w:hAnsi="仿宋" w:eastAsia="仿宋"/>
                <w:color w:val="000000"/>
                <w:sz w:val="24"/>
              </w:rPr>
              <w:t>（10分）</w:t>
            </w:r>
          </w:p>
        </w:tc>
        <w:tc>
          <w:tcPr>
            <w:tcW w:w="5543" w:type="dxa"/>
            <w:vAlign w:val="center"/>
          </w:tcPr>
          <w:p>
            <w:pPr>
              <w:spacing w:line="276" w:lineRule="auto"/>
              <w:rPr>
                <w:rFonts w:ascii="仿宋" w:hAnsi="仿宋" w:eastAsia="仿宋"/>
                <w:sz w:val="24"/>
              </w:rPr>
            </w:pPr>
            <w:r>
              <w:rPr>
                <w:rFonts w:hint="eastAsia" w:ascii="仿宋" w:hAnsi="仿宋" w:eastAsia="仿宋"/>
                <w:color w:val="000000"/>
                <w:sz w:val="24"/>
              </w:rPr>
              <w:t>供应商需提供为本项目拟派的项目组人员名单，提供人员名单的得10分，不提供不得分。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65" w:type="dxa"/>
            <w:gridSpan w:val="2"/>
            <w:vMerge w:val="restart"/>
            <w:vAlign w:val="center"/>
          </w:tcPr>
          <w:p>
            <w:pPr>
              <w:spacing w:line="276" w:lineRule="auto"/>
              <w:jc w:val="center"/>
              <w:rPr>
                <w:rFonts w:hint="eastAsia" w:ascii="仿宋" w:hAnsi="仿宋" w:eastAsia="仿宋"/>
                <w:color w:val="000000"/>
                <w:sz w:val="24"/>
                <w:lang w:eastAsia="zh-CN"/>
              </w:rPr>
            </w:pPr>
            <w:r>
              <w:rPr>
                <w:rFonts w:hint="eastAsia" w:ascii="仿宋" w:hAnsi="仿宋" w:eastAsia="仿宋" w:cs="宋体"/>
                <w:color w:val="000000"/>
                <w:sz w:val="24"/>
                <w:lang w:val="en-US" w:eastAsia="zh-CN"/>
              </w:rPr>
              <w:t>2</w:t>
            </w:r>
          </w:p>
        </w:tc>
        <w:tc>
          <w:tcPr>
            <w:tcW w:w="1121" w:type="dxa"/>
            <w:vMerge w:val="restart"/>
            <w:vAlign w:val="center"/>
          </w:tcPr>
          <w:p>
            <w:pPr>
              <w:spacing w:line="276" w:lineRule="auto"/>
              <w:jc w:val="center"/>
              <w:rPr>
                <w:rFonts w:ascii="仿宋" w:hAnsi="仿宋" w:eastAsia="仿宋"/>
                <w:color w:val="000000"/>
                <w:sz w:val="24"/>
              </w:rPr>
            </w:pPr>
            <w:r>
              <w:rPr>
                <w:rFonts w:hint="eastAsia" w:ascii="仿宋" w:hAnsi="仿宋" w:eastAsia="仿宋" w:cs="宋体"/>
                <w:color w:val="000000"/>
                <w:sz w:val="24"/>
              </w:rPr>
              <w:t>技术分</w:t>
            </w:r>
          </w:p>
          <w:p>
            <w:pPr>
              <w:spacing w:line="276" w:lineRule="auto"/>
              <w:jc w:val="center"/>
              <w:rPr>
                <w:rFonts w:ascii="仿宋" w:hAnsi="仿宋" w:eastAsia="仿宋"/>
                <w:color w:val="000000"/>
                <w:sz w:val="24"/>
              </w:rPr>
            </w:pPr>
            <w:r>
              <w:rPr>
                <w:rFonts w:hint="eastAsia" w:ascii="仿宋" w:hAnsi="仿宋" w:eastAsia="仿宋" w:cs="宋体"/>
                <w:color w:val="000000"/>
                <w:sz w:val="24"/>
              </w:rPr>
              <w:t>（50分）</w:t>
            </w:r>
          </w:p>
        </w:tc>
        <w:tc>
          <w:tcPr>
            <w:tcW w:w="1276" w:type="dxa"/>
            <w:vAlign w:val="center"/>
          </w:tcPr>
          <w:p>
            <w:pPr>
              <w:widowControl/>
              <w:jc w:val="center"/>
              <w:rPr>
                <w:rFonts w:ascii="仿宋" w:hAnsi="仿宋" w:eastAsia="仿宋"/>
                <w:color w:val="000000"/>
                <w:sz w:val="24"/>
              </w:rPr>
            </w:pPr>
            <w:r>
              <w:rPr>
                <w:rFonts w:hint="eastAsia" w:ascii="仿宋" w:hAnsi="仿宋" w:eastAsia="仿宋"/>
                <w:color w:val="000000"/>
                <w:sz w:val="24"/>
              </w:rPr>
              <w:t>运维需求（24分）</w:t>
            </w:r>
          </w:p>
        </w:tc>
        <w:tc>
          <w:tcPr>
            <w:tcW w:w="5543" w:type="dxa"/>
            <w:vAlign w:val="center"/>
          </w:tcPr>
          <w:p>
            <w:pPr>
              <w:spacing w:line="276" w:lineRule="auto"/>
              <w:rPr>
                <w:rFonts w:ascii="仿宋" w:hAnsi="仿宋" w:eastAsia="仿宋"/>
                <w:color w:val="000000"/>
                <w:sz w:val="24"/>
              </w:rPr>
            </w:pPr>
            <w:r>
              <w:rPr>
                <w:rFonts w:hint="eastAsia" w:ascii="仿宋" w:hAnsi="仿宋" w:eastAsia="仿宋"/>
                <w:color w:val="000000"/>
                <w:sz w:val="24"/>
              </w:rPr>
              <w:t>投标人完全响应招标文件中“运维需求”，无任何负偏离的，得基本分24分；每有一处负偏离的扣2分，扣完为止。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5" w:type="dxa"/>
            <w:gridSpan w:val="2"/>
            <w:vMerge w:val="continue"/>
            <w:vAlign w:val="center"/>
          </w:tcPr>
          <w:p>
            <w:pPr>
              <w:spacing w:line="276" w:lineRule="auto"/>
              <w:jc w:val="center"/>
              <w:rPr>
                <w:rFonts w:ascii="仿宋" w:hAnsi="仿宋" w:eastAsia="仿宋"/>
                <w:color w:val="000000"/>
                <w:sz w:val="24"/>
              </w:rPr>
            </w:pPr>
          </w:p>
        </w:tc>
        <w:tc>
          <w:tcPr>
            <w:tcW w:w="1121" w:type="dxa"/>
            <w:vMerge w:val="continue"/>
            <w:vAlign w:val="center"/>
          </w:tcPr>
          <w:p>
            <w:pPr>
              <w:spacing w:line="276" w:lineRule="auto"/>
              <w:jc w:val="center"/>
              <w:rPr>
                <w:rFonts w:ascii="仿宋" w:hAnsi="仿宋" w:eastAsia="仿宋"/>
                <w:color w:val="000000"/>
                <w:sz w:val="24"/>
              </w:rPr>
            </w:pPr>
          </w:p>
        </w:tc>
        <w:tc>
          <w:tcPr>
            <w:tcW w:w="1276" w:type="dxa"/>
            <w:vAlign w:val="center"/>
          </w:tcPr>
          <w:p>
            <w:pPr>
              <w:jc w:val="center"/>
              <w:rPr>
                <w:rFonts w:hint="eastAsia" w:ascii="仿宋" w:hAnsi="仿宋" w:eastAsia="仿宋"/>
                <w:color w:val="000000"/>
                <w:sz w:val="24"/>
              </w:rPr>
            </w:pPr>
            <w:r>
              <w:rPr>
                <w:rFonts w:hint="eastAsia" w:ascii="仿宋" w:hAnsi="仿宋" w:eastAsia="仿宋"/>
                <w:color w:val="000000"/>
                <w:sz w:val="24"/>
              </w:rPr>
              <w:t>运维服务方案</w:t>
            </w:r>
          </w:p>
          <w:p>
            <w:pPr>
              <w:jc w:val="center"/>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12</w:t>
            </w:r>
            <w:r>
              <w:rPr>
                <w:rFonts w:hint="eastAsia" w:ascii="仿宋" w:hAnsi="仿宋" w:eastAsia="仿宋"/>
                <w:color w:val="000000"/>
                <w:sz w:val="24"/>
              </w:rPr>
              <w:t>分）</w:t>
            </w:r>
          </w:p>
        </w:tc>
        <w:tc>
          <w:tcPr>
            <w:tcW w:w="5543" w:type="dxa"/>
            <w:vAlign w:val="center"/>
          </w:tcPr>
          <w:p>
            <w:pPr>
              <w:spacing w:line="276" w:lineRule="auto"/>
              <w:rPr>
                <w:rFonts w:ascii="仿宋" w:hAnsi="仿宋" w:eastAsia="仿宋"/>
                <w:color w:val="000000"/>
                <w:sz w:val="24"/>
              </w:rPr>
            </w:pPr>
            <w:r>
              <w:rPr>
                <w:rFonts w:hint="eastAsia" w:ascii="仿宋" w:hAnsi="仿宋" w:eastAsia="仿宋"/>
                <w:color w:val="000000"/>
                <w:sz w:val="24"/>
              </w:rPr>
              <w:t>投标人需提供完整的运维服务方案，具体需包括</w:t>
            </w:r>
            <w:r>
              <w:rPr>
                <w:rFonts w:ascii="仿宋" w:hAnsi="仿宋" w:eastAsia="仿宋"/>
                <w:color w:val="000000"/>
                <w:sz w:val="24"/>
              </w:rPr>
              <w:t>：</w:t>
            </w:r>
            <w:r>
              <w:rPr>
                <w:rFonts w:hint="eastAsia" w:ascii="仿宋" w:hAnsi="仿宋" w:eastAsia="仿宋"/>
                <w:sz w:val="24"/>
              </w:rPr>
              <w:t>服务方案编制目的及原则、</w:t>
            </w:r>
            <w:r>
              <w:rPr>
                <w:rFonts w:hint="eastAsia" w:ascii="仿宋" w:hAnsi="仿宋" w:eastAsia="仿宋"/>
                <w:color w:val="000000"/>
                <w:sz w:val="24"/>
              </w:rPr>
              <w:t>组织</w:t>
            </w:r>
            <w:r>
              <w:rPr>
                <w:rFonts w:ascii="仿宋" w:hAnsi="仿宋" w:eastAsia="仿宋"/>
                <w:color w:val="000000"/>
                <w:sz w:val="24"/>
              </w:rPr>
              <w:t>体系、</w:t>
            </w:r>
            <w:r>
              <w:rPr>
                <w:rFonts w:hint="eastAsia" w:ascii="仿宋" w:hAnsi="仿宋" w:eastAsia="仿宋"/>
                <w:color w:val="000000"/>
                <w:sz w:val="24"/>
              </w:rPr>
              <w:t>响应及维护体系、维护范围及内容、应急处理程序、保障措施</w:t>
            </w:r>
            <w:r>
              <w:rPr>
                <w:rFonts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方案内容完整无缺项、全面详实，可行性强，科学合理的得12分；方案内容不完整、有缺项，可行性、合理性一般的得6分；方案内容不完整、有缺项，可行性、合理性较差的得1分。其余不得分。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5" w:type="dxa"/>
            <w:gridSpan w:val="2"/>
            <w:vMerge w:val="continue"/>
            <w:vAlign w:val="center"/>
          </w:tcPr>
          <w:p>
            <w:pPr>
              <w:spacing w:line="276" w:lineRule="auto"/>
              <w:jc w:val="center"/>
              <w:rPr>
                <w:rFonts w:ascii="仿宋" w:hAnsi="仿宋" w:eastAsia="仿宋"/>
                <w:color w:val="000000"/>
                <w:sz w:val="24"/>
              </w:rPr>
            </w:pPr>
          </w:p>
        </w:tc>
        <w:tc>
          <w:tcPr>
            <w:tcW w:w="1121" w:type="dxa"/>
            <w:vMerge w:val="continue"/>
            <w:vAlign w:val="center"/>
          </w:tcPr>
          <w:p>
            <w:pPr>
              <w:spacing w:line="276" w:lineRule="auto"/>
              <w:jc w:val="center"/>
              <w:rPr>
                <w:rFonts w:ascii="仿宋" w:hAnsi="仿宋" w:eastAsia="仿宋"/>
                <w:color w:val="000000"/>
                <w:sz w:val="24"/>
              </w:rPr>
            </w:pPr>
          </w:p>
        </w:tc>
        <w:tc>
          <w:tcPr>
            <w:tcW w:w="1276" w:type="dxa"/>
            <w:vAlign w:val="center"/>
          </w:tcPr>
          <w:p>
            <w:pPr>
              <w:widowControl/>
              <w:jc w:val="center"/>
              <w:rPr>
                <w:rFonts w:ascii="仿宋" w:hAnsi="仿宋" w:eastAsia="仿宋" w:cs="宋体"/>
                <w:color w:val="000000"/>
                <w:kern w:val="0"/>
                <w:sz w:val="24"/>
                <w:lang w:bidi="ar"/>
              </w:rPr>
            </w:pPr>
            <w:r>
              <w:rPr>
                <w:rFonts w:hint="eastAsia" w:ascii="仿宋" w:hAnsi="仿宋" w:eastAsia="仿宋"/>
                <w:color w:val="000000"/>
                <w:sz w:val="24"/>
              </w:rPr>
              <w:t>培训方案（</w:t>
            </w:r>
            <w:r>
              <w:rPr>
                <w:rFonts w:ascii="仿宋" w:hAnsi="仿宋" w:eastAsia="仿宋"/>
                <w:color w:val="000000"/>
                <w:sz w:val="24"/>
              </w:rPr>
              <w:t>1</w:t>
            </w:r>
            <w:r>
              <w:rPr>
                <w:rFonts w:hint="eastAsia" w:ascii="仿宋" w:hAnsi="仿宋" w:eastAsia="仿宋"/>
                <w:color w:val="000000"/>
                <w:sz w:val="24"/>
              </w:rPr>
              <w:t>4分）</w:t>
            </w:r>
          </w:p>
        </w:tc>
        <w:tc>
          <w:tcPr>
            <w:tcW w:w="5543" w:type="dxa"/>
            <w:vAlign w:val="center"/>
          </w:tcPr>
          <w:p>
            <w:pPr>
              <w:spacing w:line="276" w:lineRule="auto"/>
              <w:rPr>
                <w:rFonts w:ascii="仿宋" w:hAnsi="仿宋" w:eastAsia="仿宋"/>
                <w:color w:val="000000"/>
                <w:sz w:val="24"/>
              </w:rPr>
            </w:pPr>
            <w:r>
              <w:rPr>
                <w:rFonts w:hint="eastAsia" w:ascii="仿宋" w:hAnsi="仿宋" w:eastAsia="仿宋"/>
                <w:color w:val="000000"/>
                <w:sz w:val="24"/>
              </w:rPr>
              <w:t>投标人需提供完整的技术培训方案，具体需包括：项目培训的基本原则、</w:t>
            </w:r>
            <w:r>
              <w:rPr>
                <w:rFonts w:hint="eastAsia" w:ascii="仿宋_GB2312" w:hAnsi="仿宋_GB2312" w:eastAsia="仿宋_GB2312" w:cs="仿宋_GB2312"/>
                <w:bCs/>
                <w:iCs/>
                <w:sz w:val="24"/>
                <w:lang w:val="zh-CN"/>
              </w:rPr>
              <w:t>培训体系、</w:t>
            </w:r>
            <w:r>
              <w:rPr>
                <w:rFonts w:hint="eastAsia" w:ascii="仿宋" w:hAnsi="仿宋" w:eastAsia="仿宋"/>
                <w:color w:val="000000"/>
                <w:sz w:val="24"/>
              </w:rPr>
              <w:t>系统培训前与客户负责人沟通、项目实施培训方式、</w:t>
            </w:r>
            <w:bookmarkStart w:id="18" w:name="_Toc411344578"/>
            <w:bookmarkStart w:id="19" w:name="_Toc448820737"/>
            <w:bookmarkStart w:id="20" w:name="_Toc367699377"/>
            <w:bookmarkStart w:id="21" w:name="_Toc411361670"/>
            <w:bookmarkStart w:id="22" w:name="_Toc366171516"/>
            <w:r>
              <w:rPr>
                <w:rFonts w:hint="eastAsia" w:ascii="仿宋" w:hAnsi="仿宋" w:eastAsia="仿宋"/>
                <w:sz w:val="24"/>
              </w:rPr>
              <w:t>人员培训计划及师资配备</w:t>
            </w:r>
            <w:bookmarkEnd w:id="18"/>
            <w:bookmarkEnd w:id="19"/>
            <w:bookmarkEnd w:id="20"/>
            <w:bookmarkEnd w:id="21"/>
            <w:bookmarkEnd w:id="22"/>
            <w:r>
              <w:rPr>
                <w:rFonts w:hint="eastAsia" w:ascii="仿宋" w:hAnsi="仿宋" w:eastAsia="仿宋"/>
                <w:sz w:val="24"/>
              </w:rPr>
              <w:t>、</w:t>
            </w:r>
            <w:r>
              <w:rPr>
                <w:rFonts w:hint="eastAsia" w:ascii="仿宋" w:hAnsi="仿宋" w:eastAsia="仿宋"/>
                <w:color w:val="000000"/>
                <w:sz w:val="24"/>
              </w:rPr>
              <w:t>培训总结、答疑、培训应急预案。</w:t>
            </w:r>
          </w:p>
          <w:p>
            <w:pPr>
              <w:spacing w:line="276" w:lineRule="auto"/>
              <w:rPr>
                <w:rFonts w:ascii="仿宋" w:hAnsi="仿宋" w:eastAsia="仿宋"/>
                <w:color w:val="000000"/>
                <w:sz w:val="24"/>
              </w:rPr>
            </w:pPr>
            <w:r>
              <w:rPr>
                <w:rFonts w:hint="eastAsia" w:ascii="仿宋" w:hAnsi="仿宋" w:eastAsia="仿宋"/>
                <w:color w:val="000000"/>
                <w:sz w:val="24"/>
              </w:rPr>
              <w:t>方案内容完整无缺项、全面详实，可行性强，科学合理的得14分；方案内容不完整、有缺项，可行性、合理性一般的得7分；方案内容不完整、有缺项，可行性、合理性较差的得1分。其余不得分。</w:t>
            </w:r>
          </w:p>
        </w:tc>
      </w:tr>
    </w:tbl>
    <w:p>
      <w:pPr>
        <w:spacing w:line="440" w:lineRule="exact"/>
        <w:rPr>
          <w:rFonts w:ascii="仿宋_GB2312" w:hAnsi="宋体" w:eastAsia="仿宋_GB2312"/>
          <w:bCs/>
          <w:iCs/>
          <w:sz w:val="24"/>
        </w:rPr>
      </w:pPr>
      <w:r>
        <w:rPr>
          <w:rFonts w:hint="eastAsia" w:ascii="仿宋_GB2312" w:hAnsi="宋体" w:eastAsia="仿宋_GB2312"/>
          <w:bCs/>
          <w:iCs/>
          <w:sz w:val="24"/>
        </w:rPr>
        <w:t>注：投标文件评分索引不全或与内容不一致所导致的不良后果由投标人承担。</w:t>
      </w:r>
    </w:p>
    <w:p>
      <w:pPr>
        <w:spacing w:line="440" w:lineRule="exact"/>
        <w:rPr>
          <w:rFonts w:ascii="仿宋_GB2312" w:hAnsi="宋体" w:eastAsia="仿宋_GB2312"/>
          <w:b/>
          <w:bCs/>
          <w:iCs/>
          <w:sz w:val="24"/>
        </w:rPr>
      </w:pPr>
      <w:r>
        <w:rPr>
          <w:rFonts w:hint="eastAsia" w:ascii="仿宋_GB2312" w:hAnsi="宋体" w:eastAsia="仿宋_GB2312"/>
          <w:b/>
          <w:bCs/>
          <w:iCs/>
          <w:sz w:val="24"/>
        </w:rPr>
        <w:t>2.2</w:t>
      </w:r>
      <w:r>
        <w:rPr>
          <w:rFonts w:hint="eastAsia" w:ascii="仿宋_GB2312" w:hAnsi="宋体" w:eastAsia="仿宋_GB2312"/>
          <w:b/>
          <w:bCs/>
          <w:iCs/>
          <w:sz w:val="24"/>
          <w:lang w:eastAsia="zh-CN"/>
        </w:rPr>
        <w:t>商务</w:t>
      </w:r>
      <w:r>
        <w:rPr>
          <w:rFonts w:hint="eastAsia" w:ascii="仿宋_GB2312" w:hAnsi="宋体" w:eastAsia="仿宋_GB2312"/>
          <w:b/>
          <w:bCs/>
          <w:iCs/>
          <w:sz w:val="24"/>
        </w:rPr>
        <w:t>分（</w:t>
      </w:r>
      <w:r>
        <w:rPr>
          <w:rFonts w:hint="eastAsia" w:ascii="仿宋_GB2312" w:hAnsi="宋体" w:eastAsia="仿宋_GB2312"/>
          <w:b/>
          <w:bCs/>
          <w:iCs/>
          <w:sz w:val="24"/>
          <w:lang w:val="en-US" w:eastAsia="zh-CN"/>
        </w:rPr>
        <w:t>2</w:t>
      </w:r>
      <w:r>
        <w:rPr>
          <w:rFonts w:hint="eastAsia" w:ascii="仿宋_GB2312" w:hAnsi="宋体" w:eastAsia="仿宋_GB2312"/>
          <w:b/>
          <w:bCs/>
          <w:iCs/>
          <w:sz w:val="24"/>
        </w:rPr>
        <w:t>0分）</w:t>
      </w:r>
    </w:p>
    <w:p>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spacing w:line="440" w:lineRule="exact"/>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spacing w:line="440" w:lineRule="exact"/>
        <w:ind w:firstLine="482" w:firstLineChars="200"/>
        <w:rPr>
          <w:rFonts w:hint="eastAsia" w:ascii="仿宋" w:hAnsi="仿宋" w:eastAsia="仿宋" w:cs="仿宋"/>
          <w:b/>
          <w:sz w:val="36"/>
          <w:szCs w:val="36"/>
        </w:rPr>
      </w:pPr>
      <w:r>
        <w:rPr>
          <w:rFonts w:hint="eastAsia" w:ascii="仿宋_GB2312" w:hAnsi="宋体" w:eastAsia="仿宋_GB2312"/>
          <w:b/>
          <w:i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仿宋_GB2312" w:hAnsi="宋体" w:eastAsia="仿宋_GB2312"/>
          <w:bCs/>
          <w:iCs/>
          <w:sz w:val="24"/>
        </w:rPr>
      </w:pPr>
    </w:p>
    <w:bookmarkEnd w:id="14"/>
    <w:bookmarkEnd w:id="15"/>
    <w:bookmarkEnd w:id="16"/>
    <w:bookmarkEnd w:id="17"/>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投标人按照以下格式编制投标文件，并将报价文件、商务技术（资信）文件分别编制成册。</w:t>
      </w: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numPr>
          <w:ilvl w:val="0"/>
          <w:numId w:val="8"/>
        </w:num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（2）开标一览表……………………………………………………（页码）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（3）中小企业声明函………………………………………………（页码）</w:t>
      </w:r>
    </w:p>
    <w:p>
      <w:pPr>
        <w:spacing w:line="360" w:lineRule="auto"/>
        <w:outlineLvl w:val="0"/>
        <w:rPr>
          <w:rFonts w:ascii="仿宋_GB2312" w:hAnsi="宋体" w:eastAsia="仿宋_GB2312"/>
          <w:b/>
          <w:sz w:val="36"/>
          <w:szCs w:val="36"/>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残疾人福利性单位声明函</w:t>
      </w:r>
      <w:r>
        <w:rPr>
          <w:rFonts w:hint="eastAsia" w:ascii="仿宋_GB2312" w:hAnsi="仿宋_GB2312" w:eastAsia="仿宋_GB2312" w:cs="仿宋_GB2312"/>
          <w:kern w:val="0"/>
          <w:sz w:val="24"/>
        </w:rPr>
        <w:t>……………………………………（页码）</w:t>
      </w:r>
    </w:p>
    <w:p>
      <w:pPr>
        <w:pStyle w:val="20"/>
        <w:spacing w:line="800" w:lineRule="atLeast"/>
        <w:ind w:left="0" w:leftChars="0"/>
        <w:rPr>
          <w:rFonts w:ascii="仿宋_GB2312" w:hAnsi="宋体" w:eastAsia="仿宋_GB2312"/>
          <w:b/>
          <w:sz w:val="36"/>
          <w:szCs w:val="36"/>
        </w:rPr>
      </w:pPr>
    </w:p>
    <w:p>
      <w:pPr>
        <w:pStyle w:val="20"/>
        <w:spacing w:line="800" w:lineRule="atLeast"/>
        <w:ind w:left="0" w:leftChars="0"/>
        <w:rPr>
          <w:rFonts w:ascii="仿宋_GB2312" w:hAnsi="宋体" w:eastAsia="仿宋_GB2312"/>
          <w:b/>
          <w:sz w:val="36"/>
          <w:szCs w:val="36"/>
        </w:rPr>
      </w:pPr>
    </w:p>
    <w:p>
      <w:pPr>
        <w:pStyle w:val="20"/>
        <w:spacing w:line="800" w:lineRule="atLeast"/>
        <w:ind w:left="0" w:leftChars="0"/>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rPr>
          <w:rFonts w:ascii="仿宋_GB2312" w:hAnsi="宋体" w:eastAsia="仿宋_GB2312"/>
          <w:b/>
          <w:sz w:val="30"/>
          <w:szCs w:val="30"/>
        </w:rPr>
      </w:pPr>
      <w:r>
        <w:rPr>
          <w:rFonts w:hint="eastAsia" w:ascii="仿宋_GB2312" w:hAnsi="宋体" w:eastAsia="仿宋_GB2312"/>
          <w:b/>
          <w:sz w:val="30"/>
          <w:szCs w:val="30"/>
        </w:rPr>
        <w:t>1、投标响应函（格式）</w:t>
      </w:r>
    </w:p>
    <w:p>
      <w:pPr>
        <w:pStyle w:val="72"/>
        <w:spacing w:afterLines="0" w:line="440" w:lineRule="exact"/>
        <w:ind w:firstLine="0" w:firstLineChars="0"/>
        <w:rPr>
          <w:rFonts w:ascii="仿宋_GB2312" w:hAnsi="宋体" w:eastAsia="仿宋_GB2312"/>
          <w:szCs w:val="24"/>
        </w:rPr>
      </w:pPr>
      <w:r>
        <w:rPr>
          <w:rFonts w:hint="eastAsia" w:ascii="仿宋_GB2312" w:hAnsi="宋体" w:eastAsia="仿宋_GB2312"/>
          <w:szCs w:val="24"/>
        </w:rPr>
        <w:t>致：</w:t>
      </w:r>
      <w:r>
        <w:rPr>
          <w:rFonts w:hint="eastAsia" w:ascii="仿宋_GB2312" w:hAnsi="宋体" w:eastAsia="仿宋_GB2312"/>
          <w:szCs w:val="24"/>
          <w:u w:val="single"/>
        </w:rPr>
        <w:t>嵊州市政务服务中心、嵊州市公共资源交易中心</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根据贵方招标文件（</w:t>
      </w:r>
      <w:r>
        <w:rPr>
          <w:rFonts w:hint="eastAsia" w:ascii="仿宋_GB2312" w:hAnsi="宋体" w:eastAsia="仿宋_GB2312"/>
          <w:b/>
          <w:szCs w:val="24"/>
          <w:u w:val="single"/>
        </w:rPr>
        <w:t>填写招标编号：</w:t>
      </w:r>
      <w:r>
        <w:rPr>
          <w:rFonts w:hint="eastAsia" w:ascii="仿宋_GB2312" w:hAnsi="宋体" w:eastAsia="仿宋_GB2312"/>
          <w:szCs w:val="24"/>
        </w:rPr>
        <w:t>）的要求，正式授权</w:t>
      </w:r>
      <w:r>
        <w:rPr>
          <w:rFonts w:hint="eastAsia" w:ascii="仿宋_GB2312" w:hAnsi="宋体" w:eastAsia="仿宋_GB2312"/>
          <w:b/>
          <w:szCs w:val="24"/>
          <w:u w:val="single"/>
        </w:rPr>
        <w:t>（全权代表姓名    、单位    、职务   ）</w:t>
      </w:r>
      <w:r>
        <w:rPr>
          <w:rFonts w:hint="eastAsia" w:ascii="仿宋_GB2312" w:hAnsi="宋体" w:eastAsia="仿宋_GB2312"/>
          <w:szCs w:val="24"/>
        </w:rPr>
        <w:t>代表投标人</w:t>
      </w:r>
      <w:r>
        <w:rPr>
          <w:rFonts w:hint="eastAsia" w:ascii="仿宋_GB2312" w:hAnsi="宋体" w:eastAsia="仿宋_GB2312"/>
          <w:szCs w:val="24"/>
          <w:u w:val="single"/>
        </w:rPr>
        <w:t>（</w:t>
      </w:r>
      <w:r>
        <w:rPr>
          <w:rFonts w:hint="eastAsia" w:ascii="仿宋_GB2312" w:hAnsi="宋体" w:eastAsia="仿宋_GB2312"/>
          <w:b/>
          <w:szCs w:val="24"/>
          <w:u w:val="single"/>
        </w:rPr>
        <w:t xml:space="preserve">填写单位    、地址   </w:t>
      </w:r>
      <w:r>
        <w:rPr>
          <w:rFonts w:hint="eastAsia" w:ascii="仿宋_GB2312" w:hAnsi="宋体" w:eastAsia="仿宋_GB2312"/>
          <w:szCs w:val="24"/>
          <w:u w:val="single"/>
        </w:rPr>
        <w:t>）</w:t>
      </w:r>
      <w:r>
        <w:rPr>
          <w:rFonts w:hint="eastAsia" w:ascii="仿宋_GB2312" w:hAnsi="宋体" w:eastAsia="仿宋_GB2312"/>
          <w:szCs w:val="24"/>
        </w:rPr>
        <w:t>提交投标文件。</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我方已完全明白招标文件的所有条款要求，兹声明同意如下：</w:t>
      </w:r>
    </w:p>
    <w:p>
      <w:pPr>
        <w:pStyle w:val="14"/>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szCs w:val="24"/>
        </w:rPr>
        <w:t>1.</w:t>
      </w:r>
      <w:r>
        <w:rPr>
          <w:rFonts w:hint="eastAsia" w:ascii="仿宋_GB2312" w:hAnsi="仿宋" w:eastAsia="仿宋_GB2312" w:cs="仿宋_GB2312"/>
        </w:rPr>
        <w:t>我方同意在投标人</w:t>
      </w:r>
      <w:r>
        <w:rPr>
          <w:rFonts w:hint="eastAsia" w:ascii="仿宋_GB2312" w:hAnsi="仿宋" w:eastAsia="仿宋_GB2312" w:cs="仿宋_GB2312"/>
          <w:kern w:val="44"/>
        </w:rPr>
        <w:t>须知</w:t>
      </w:r>
      <w:r>
        <w:rPr>
          <w:rFonts w:hint="eastAsia" w:ascii="仿宋_GB2312" w:hAnsi="仿宋" w:eastAsia="仿宋_GB2312" w:cs="仿宋_GB2312"/>
        </w:rPr>
        <w:t>规定的开标日期起遵守本投标文件中的承诺且在投标有效期满之前均具有约束力</w:t>
      </w:r>
      <w:r>
        <w:rPr>
          <w:rFonts w:hint="eastAsia" w:ascii="仿宋_GB2312" w:hAnsi="宋体" w:eastAsia="仿宋_GB2312"/>
          <w:szCs w:val="24"/>
        </w:rPr>
        <w:t>。</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72"/>
        <w:spacing w:afterLines="0" w:line="440" w:lineRule="exact"/>
        <w:ind w:firstLine="480"/>
        <w:rPr>
          <w:rFonts w:ascii="仿宋_GB2312" w:eastAsia="仿宋_GB2312"/>
        </w:rPr>
      </w:pPr>
      <w:r>
        <w:rPr>
          <w:rFonts w:hint="eastAsia" w:ascii="仿宋_GB2312" w:hAnsi="宋体" w:eastAsia="仿宋_GB2312"/>
          <w:szCs w:val="24"/>
        </w:rPr>
        <w:t>3.</w:t>
      </w:r>
      <w:r>
        <w:rPr>
          <w:rFonts w:hint="eastAsia" w:ascii="仿宋_GB2312" w:eastAsia="仿宋_GB2312"/>
        </w:rPr>
        <w:t>本公司投标文件中填列的技术参数、配置、服务、数量等相关内容都是真实、准确的。保证在本次项目中所提供的资料全部真实和合法。同意向嵊州市公共资源交易中心提供可能另外要求的与投标有关的任何数据或资料。</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4.我方理解贵方将不受你们所收到的最低报价的约束。</w:t>
      </w:r>
    </w:p>
    <w:p>
      <w:pPr>
        <w:pStyle w:val="14"/>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rPr>
        <w:t>5.</w:t>
      </w:r>
      <w:r>
        <w:rPr>
          <w:rFonts w:hint="eastAsia" w:ascii="仿宋_GB2312" w:hAnsi="宋体" w:eastAsia="仿宋_GB2312"/>
          <w:szCs w:val="24"/>
        </w:rPr>
        <w:t>本投标自开标之日（投标截止之日）起90天内有效。</w:t>
      </w:r>
    </w:p>
    <w:p>
      <w:pPr>
        <w:pStyle w:val="72"/>
        <w:spacing w:afterLines="0" w:line="440" w:lineRule="exact"/>
        <w:ind w:firstLine="480"/>
        <w:rPr>
          <w:rFonts w:ascii="仿宋_GB2312" w:hAnsi="仿宋_GB2312" w:eastAsia="仿宋_GB2312" w:cs="仿宋_GB2312"/>
        </w:rPr>
      </w:pPr>
      <w:r>
        <w:rPr>
          <w:rFonts w:hint="eastAsia" w:ascii="仿宋_GB2312" w:hAnsi="宋体" w:eastAsia="仿宋_GB2312"/>
          <w:szCs w:val="24"/>
        </w:rPr>
        <w:t>6</w:t>
      </w:r>
      <w:r>
        <w:rPr>
          <w:rFonts w:hint="eastAsia" w:ascii="仿宋_GB2312" w:hAnsi="仿宋_GB2312" w:eastAsia="仿宋_GB2312" w:cs="仿宋_GB2312"/>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72"/>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法定代表人或其授权代表(签字或盖章)：</w:t>
      </w:r>
    </w:p>
    <w:p>
      <w:pPr>
        <w:pStyle w:val="72"/>
        <w:spacing w:afterLines="0" w:line="440" w:lineRule="exact"/>
        <w:ind w:firstLine="480"/>
        <w:rPr>
          <w:rFonts w:ascii="仿宋_GB2312" w:hAnsi="宋体" w:eastAsia="仿宋_GB2312"/>
          <w:b/>
          <w:sz w:val="30"/>
          <w:szCs w:val="30"/>
        </w:rPr>
      </w:pPr>
      <w:r>
        <w:rPr>
          <w:rFonts w:hint="eastAsia" w:ascii="仿宋_GB2312" w:hAnsi="宋体" w:eastAsia="仿宋_GB2312"/>
          <w:szCs w:val="24"/>
        </w:rPr>
        <w:t xml:space="preserve">投标人(电子签章)：　　　　　　　　　日期：   </w:t>
      </w:r>
    </w:p>
    <w:p>
      <w:pPr>
        <w:pStyle w:val="4"/>
        <w:numPr>
          <w:ilvl w:val="0"/>
          <w:numId w:val="0"/>
        </w:numPr>
        <w:tabs>
          <w:tab w:val="left" w:pos="358"/>
          <w:tab w:val="clear" w:pos="1145"/>
        </w:tabs>
        <w:rPr>
          <w:rFonts w:ascii="宋体" w:hAnsi="宋体"/>
          <w:bCs/>
          <w:sz w:val="28"/>
        </w:rPr>
      </w:pPr>
      <w:bookmarkStart w:id="23" w:name="_Toc8044859"/>
      <w:r>
        <w:rPr>
          <w:rFonts w:hint="eastAsia" w:ascii="宋体" w:hAnsi="宋体"/>
          <w:bCs/>
          <w:sz w:val="28"/>
        </w:rPr>
        <w:t>2、</w:t>
      </w:r>
      <w:bookmarkStart w:id="24" w:name="_Toc340322188"/>
      <w:bookmarkStart w:id="25" w:name="_Toc340321933"/>
      <w:bookmarkStart w:id="26" w:name="_Toc339302149"/>
      <w:bookmarkStart w:id="27" w:name="_Toc16808"/>
      <w:bookmarkStart w:id="28" w:name="_Toc452965656"/>
      <w:r>
        <w:rPr>
          <w:rFonts w:hint="eastAsia" w:ascii="宋体" w:hAnsi="宋体"/>
          <w:bCs/>
          <w:sz w:val="28"/>
        </w:rPr>
        <w:t>开标一览表（报价表）</w:t>
      </w:r>
      <w:bookmarkEnd w:id="23"/>
      <w:bookmarkEnd w:id="24"/>
      <w:bookmarkEnd w:id="25"/>
      <w:bookmarkEnd w:id="26"/>
      <w:bookmarkEnd w:id="27"/>
      <w:bookmarkEnd w:id="28"/>
    </w:p>
    <w:p>
      <w:pPr>
        <w:pStyle w:val="44"/>
        <w:ind w:firstLine="210"/>
      </w:pPr>
    </w:p>
    <w:p>
      <w:pPr>
        <w:pStyle w:val="44"/>
        <w:ind w:firstLine="210"/>
      </w:pPr>
    </w:p>
    <w:p>
      <w:pPr>
        <w:spacing w:line="360" w:lineRule="auto"/>
        <w:ind w:firstLine="480"/>
        <w:rPr>
          <w:rFonts w:ascii="宋体" w:hAnsi="宋体"/>
          <w:szCs w:val="21"/>
          <w:u w:val="single"/>
        </w:rPr>
      </w:pPr>
      <w:r>
        <w:rPr>
          <w:rFonts w:hint="eastAsia" w:ascii="宋体" w:hAnsi="宋体"/>
          <w:szCs w:val="21"/>
        </w:rPr>
        <w:t>标</w:t>
      </w:r>
      <w:r>
        <w:rPr>
          <w:rFonts w:ascii="宋体" w:hAnsi="宋体"/>
          <w:szCs w:val="21"/>
        </w:rPr>
        <w:t xml:space="preserve">    </w:t>
      </w:r>
      <w:r>
        <w:rPr>
          <w:rFonts w:hint="eastAsia" w:ascii="宋体" w:hAnsi="宋体"/>
          <w:szCs w:val="21"/>
        </w:rPr>
        <w:t>项：</w:t>
      </w:r>
    </w:p>
    <w:p>
      <w:pPr>
        <w:spacing w:line="360" w:lineRule="auto"/>
        <w:ind w:firstLine="480"/>
        <w:rPr>
          <w:rFonts w:ascii="宋体" w:hAnsi="宋体"/>
          <w:szCs w:val="21"/>
        </w:rPr>
      </w:pPr>
      <w:r>
        <w:rPr>
          <w:rFonts w:hint="eastAsia" w:ascii="宋体" w:hAnsi="宋体"/>
          <w:szCs w:val="21"/>
        </w:rPr>
        <w:t>价格单位：（人民币）元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676" w:type="dxa"/>
            <w:vAlign w:val="center"/>
          </w:tcPr>
          <w:p>
            <w:pPr>
              <w:spacing w:line="360" w:lineRule="auto"/>
              <w:jc w:val="center"/>
              <w:rPr>
                <w:rFonts w:ascii="宋体" w:hAnsi="宋体"/>
                <w:b/>
                <w:szCs w:val="21"/>
              </w:rPr>
            </w:pPr>
            <w:r>
              <w:rPr>
                <w:rFonts w:hint="eastAsia" w:ascii="宋体" w:hAnsi="宋体"/>
                <w:b/>
                <w:szCs w:val="21"/>
              </w:rPr>
              <w:t>采购内容</w:t>
            </w:r>
          </w:p>
        </w:tc>
        <w:tc>
          <w:tcPr>
            <w:tcW w:w="4253" w:type="dxa"/>
            <w:vAlign w:val="center"/>
          </w:tcPr>
          <w:p>
            <w:pPr>
              <w:spacing w:line="360" w:lineRule="auto"/>
              <w:jc w:val="center"/>
              <w:rPr>
                <w:rFonts w:ascii="宋体" w:hAnsi="宋体"/>
                <w:b/>
                <w:szCs w:val="21"/>
              </w:rPr>
            </w:pPr>
            <w:r>
              <w:rPr>
                <w:rFonts w:hint="eastAsia" w:ascii="宋体" w:hAnsi="宋体"/>
                <w:b/>
                <w:szCs w:val="21"/>
              </w:rPr>
              <w:t>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pPr>
              <w:spacing w:line="360" w:lineRule="auto"/>
              <w:jc w:val="center"/>
              <w:rPr>
                <w:rFonts w:ascii="宋体" w:hAnsi="宋体"/>
                <w:spacing w:val="6"/>
                <w:szCs w:val="21"/>
              </w:rPr>
            </w:pPr>
            <w:r>
              <w:rPr>
                <w:rFonts w:hint="eastAsia" w:ascii="宋体" w:hAnsi="宋体"/>
                <w:b/>
                <w:szCs w:val="21"/>
              </w:rPr>
              <w:t>大写（人民币）：</w:t>
            </w:r>
          </w:p>
        </w:tc>
        <w:tc>
          <w:tcPr>
            <w:tcW w:w="4253" w:type="dxa"/>
            <w:vAlign w:val="center"/>
          </w:tcPr>
          <w:p>
            <w:pPr>
              <w:spacing w:line="360" w:lineRule="auto"/>
              <w:jc w:val="center"/>
              <w:rPr>
                <w:rFonts w:ascii="宋体" w:hAnsi="宋体"/>
                <w:szCs w:val="21"/>
              </w:rPr>
            </w:pPr>
          </w:p>
        </w:tc>
      </w:tr>
    </w:tbl>
    <w:p>
      <w:pPr>
        <w:spacing w:line="360" w:lineRule="auto"/>
        <w:ind w:firstLine="480"/>
        <w:rPr>
          <w:rFonts w:ascii="宋体" w:hAnsi="宋体"/>
          <w:szCs w:val="21"/>
        </w:rPr>
      </w:pPr>
    </w:p>
    <w:p>
      <w:pPr>
        <w:spacing w:line="360" w:lineRule="auto"/>
        <w:ind w:firstLine="482"/>
        <w:rPr>
          <w:rFonts w:ascii="宋体" w:hAnsi="宋体"/>
          <w:szCs w:val="21"/>
        </w:rPr>
      </w:pPr>
      <w:r>
        <w:rPr>
          <w:rFonts w:hint="eastAsia" w:ascii="宋体" w:hAnsi="宋体"/>
          <w:szCs w:val="21"/>
        </w:rPr>
        <w:t>注：此表的报价系本次投标所有需买方支付的金额总数即投标报价；</w:t>
      </w:r>
    </w:p>
    <w:p>
      <w:pPr>
        <w:adjustRightInd w:val="0"/>
        <w:snapToGrid w:val="0"/>
        <w:spacing w:line="360" w:lineRule="auto"/>
        <w:jc w:val="center"/>
        <w:rPr>
          <w:rFonts w:ascii="宋体" w:hAnsi="宋体" w:cs="Arial"/>
          <w:b/>
          <w:szCs w:val="21"/>
        </w:rPr>
      </w:pPr>
    </w:p>
    <w:p>
      <w:pPr>
        <w:adjustRightInd w:val="0"/>
        <w:snapToGrid w:val="0"/>
        <w:spacing w:line="360" w:lineRule="auto"/>
        <w:jc w:val="center"/>
        <w:rPr>
          <w:rFonts w:ascii="宋体" w:hAnsi="宋体" w:cs="Arial"/>
          <w:b/>
          <w:szCs w:val="21"/>
        </w:rPr>
      </w:pPr>
    </w:p>
    <w:p>
      <w:pPr>
        <w:spacing w:line="360" w:lineRule="auto"/>
        <w:ind w:firstLine="482"/>
        <w:rPr>
          <w:rFonts w:ascii="宋体" w:hAnsi="宋体"/>
          <w:szCs w:val="21"/>
        </w:rPr>
      </w:pPr>
      <w:r>
        <w:rPr>
          <w:rFonts w:hint="eastAsia" w:ascii="宋体" w:hAnsi="宋体"/>
          <w:szCs w:val="21"/>
        </w:rPr>
        <w:t>投标人（</w:t>
      </w:r>
      <w:r>
        <w:rPr>
          <w:rFonts w:hint="eastAsia" w:ascii="仿宋_GB2312" w:hAnsi="宋体" w:eastAsia="仿宋_GB2312"/>
          <w:sz w:val="24"/>
        </w:rPr>
        <w:t>电子签章</w:t>
      </w:r>
      <w:r>
        <w:rPr>
          <w:rFonts w:hint="eastAsia" w:ascii="宋体" w:hAnsi="宋体"/>
          <w:szCs w:val="21"/>
        </w:rPr>
        <w:t>）：</w:t>
      </w:r>
    </w:p>
    <w:p>
      <w:pPr>
        <w:spacing w:line="360" w:lineRule="auto"/>
        <w:ind w:firstLine="482"/>
        <w:rPr>
          <w:rFonts w:ascii="宋体" w:hAnsi="宋体"/>
          <w:szCs w:val="21"/>
        </w:rPr>
      </w:pPr>
      <w:r>
        <w:rPr>
          <w:rFonts w:hint="eastAsia" w:ascii="宋体" w:hAnsi="宋体"/>
          <w:szCs w:val="21"/>
        </w:rPr>
        <w:t>法定代表人或其授权代表（</w:t>
      </w:r>
      <w:r>
        <w:rPr>
          <w:rFonts w:hint="eastAsia" w:ascii="仿宋_GB2312" w:hAnsi="宋体" w:eastAsia="仿宋_GB2312"/>
          <w:sz w:val="24"/>
        </w:rPr>
        <w:t>签字或盖章</w:t>
      </w:r>
      <w:r>
        <w:rPr>
          <w:rFonts w:hint="eastAsia" w:ascii="宋体" w:hAnsi="宋体"/>
          <w:szCs w:val="21"/>
        </w:rPr>
        <w:t>）：</w:t>
      </w:r>
    </w:p>
    <w:p>
      <w:pPr>
        <w:spacing w:line="360" w:lineRule="auto"/>
        <w:ind w:firstLine="482"/>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p>
    <w:p>
      <w:pPr>
        <w:pageBreakBefore/>
        <w:rPr>
          <w:rFonts w:ascii="仿宋_GB2312" w:hAnsi="仿宋_GB2312" w:eastAsia="仿宋_GB2312" w:cs="仿宋_GB2312"/>
          <w:b/>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、中小企业声明函（二选一）</w:t>
      </w: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1、从业人员、营业收入、资产总额填报上一年度数据，无上一年度数据的新成立企业可不填报。</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lang w:val="en-US" w:eastAsia="zh-CN"/>
        </w:rPr>
        <w:t>4</w:t>
      </w: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ascii="仿宋_GB2312" w:hAnsi="仿宋_GB2312" w:eastAsia="仿宋_GB2312" w:cs="仿宋_GB2312"/>
          <w:sz w:val="24"/>
        </w:rPr>
        <w:object>
          <v:shape id="_x0000_i1025" o:spt="75" type="#_x0000_t75" style="height:42pt;width:390pt;" o:ole="t" filled="f" o:preferrelative="t" stroked="f" coordsize="21600,21600">
            <v:path/>
            <v:fill on="f" focussize="0,0"/>
            <v:stroke on="f" joinstyle="miter"/>
            <v:imagedata r:id="rId8" o:title=""/>
            <o:lock v:ext="edit" aspectratio="t"/>
            <w10:wrap type="none"/>
            <w10:anchorlock/>
          </v:shape>
          <o:OLEObject Type="Embed" ProgID="Package" ShapeID="_x0000_i1025" DrawAspect="Content" ObjectID="_1468075725" r:id="rId7">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pageBreakBefore/>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商务技术（资信）文件部分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195"/>
        <w:spacing w:line="360" w:lineRule="auto"/>
        <w:ind w:left="0" w:firstLine="0" w:firstLineChars="0"/>
        <w:rPr>
          <w:rFonts w:hAnsi="仿宋_GB2312" w:cs="仿宋_GB2312"/>
        </w:rPr>
      </w:pPr>
      <w:r>
        <w:rPr>
          <w:rFonts w:hint="eastAsia" w:hAnsi="仿宋_GB2312" w:cs="仿宋_GB2312"/>
        </w:rPr>
        <w:t>（1）法定代表人授权书 …………………………………………………………（页码）</w:t>
      </w:r>
    </w:p>
    <w:p>
      <w:pPr>
        <w:pStyle w:val="195"/>
        <w:spacing w:line="360" w:lineRule="auto"/>
        <w:ind w:left="0" w:firstLine="0" w:firstLineChars="0"/>
        <w:rPr>
          <w:rFonts w:hAnsi="仿宋_GB2312" w:cs="仿宋_GB2312"/>
        </w:rPr>
      </w:pPr>
      <w:r>
        <w:rPr>
          <w:rFonts w:hint="eastAsia" w:hAnsi="仿宋_GB2312" w:cs="仿宋_GB2312"/>
        </w:rPr>
        <w:t>（2）授权代表社保证明（复印件）………………………………………………（页码）</w:t>
      </w:r>
    </w:p>
    <w:p>
      <w:pPr>
        <w:pStyle w:val="195"/>
        <w:spacing w:line="360" w:lineRule="auto"/>
        <w:ind w:left="0" w:firstLine="0" w:firstLineChars="0"/>
        <w:rPr>
          <w:rFonts w:hAnsi="仿宋_GB2312" w:cs="仿宋_GB2312"/>
        </w:rPr>
      </w:pPr>
      <w:r>
        <w:rPr>
          <w:rFonts w:hint="eastAsia" w:hAnsi="仿宋_GB2312" w:cs="仿宋_GB2312"/>
        </w:rPr>
        <w:t>（3）法定代表人及其授权代表的身份证（复印件）……………………………（页码）（4）法定代表人身份证明书………………………………………………………（页码）</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（5）所有与符合性审查有关的资信文件（复印件）（营业执照、202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年度财务报表、纳税和社保缴纳证明</w:t>
      </w:r>
      <w:r>
        <w:rPr>
          <w:rFonts w:hint="eastAsia" w:ascii="仿宋_GB2312" w:hAnsi="仿宋_GB2312" w:eastAsia="仿宋_GB2312" w:cs="仿宋_GB2312"/>
          <w:kern w:val="0"/>
          <w:sz w:val="24"/>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（6）具有履</w:t>
      </w:r>
      <w:r>
        <w:rPr>
          <w:rFonts w:hint="eastAsia" w:ascii="仿宋_GB2312" w:hAnsi="仿宋_GB2312" w:eastAsia="仿宋_GB2312" w:cs="仿宋_GB2312"/>
          <w:kern w:val="0"/>
          <w:sz w:val="24"/>
        </w:rPr>
        <w:t>行合同所必需的设备和专业技术能力的承诺函……………………（页码）</w:t>
      </w:r>
    </w:p>
    <w:p>
      <w:pPr>
        <w:pStyle w:val="195"/>
        <w:spacing w:line="360" w:lineRule="auto"/>
        <w:ind w:firstLine="0" w:firstLineChars="0"/>
        <w:rPr>
          <w:rFonts w:hAnsi="仿宋_GB2312" w:cs="仿宋_GB2312"/>
        </w:rPr>
      </w:pPr>
      <w:r>
        <w:rPr>
          <w:rFonts w:hint="eastAsia" w:hAnsi="仿宋_GB2312" w:cs="仿宋_GB2312"/>
        </w:rPr>
        <w:t>（7）重大违法记录的声明</w:t>
      </w:r>
      <w:r>
        <w:rPr>
          <w:rFonts w:hint="eastAsia" w:hAnsi="仿宋_GB2312" w:cs="仿宋_GB2312"/>
          <w:kern w:val="0"/>
        </w:rPr>
        <w:t xml:space="preserve"> …</w:t>
      </w:r>
      <w:r>
        <w:rPr>
          <w:rFonts w:hint="eastAsia" w:hAnsi="仿宋_GB2312" w:cs="仿宋_GB2312"/>
        </w:rPr>
        <w:t>……………………………………………………</w:t>
      </w:r>
      <w:r>
        <w:rPr>
          <w:rFonts w:hint="eastAsia" w:hAnsi="仿宋_GB2312" w:cs="仿宋_GB2312"/>
          <w:kern w:val="0"/>
        </w:rPr>
        <w:t>（页码）</w:t>
      </w:r>
      <w:r>
        <w:rPr>
          <w:rFonts w:hint="eastAsia" w:hAnsi="仿宋_GB2312" w:cs="仿宋_GB2312"/>
        </w:rPr>
        <w:t>（8）符合特定资格条件（如果项目要求）的有关证明材料（复印件）………（页码）</w:t>
      </w:r>
    </w:p>
    <w:p>
      <w:pPr>
        <w:pStyle w:val="195"/>
        <w:spacing w:line="360" w:lineRule="auto"/>
        <w:ind w:left="0" w:firstLine="0" w:firstLineChars="0"/>
        <w:rPr>
          <w:rFonts w:hAnsi="仿宋_GB2312" w:cs="仿宋_GB2312"/>
        </w:rPr>
      </w:pPr>
      <w:r>
        <w:rPr>
          <w:rFonts w:hint="eastAsia" w:hAnsi="仿宋_GB2312" w:cs="仿宋_GB2312"/>
        </w:rPr>
        <w:t>（9）</w:t>
      </w:r>
      <w:r>
        <w:rPr>
          <w:rFonts w:hint="eastAsia" w:hAnsi="仿宋_GB2312" w:cs="仿宋_GB2312"/>
          <w:snapToGrid w:val="0"/>
        </w:rPr>
        <w:t>非本地投标人售后服务机构证明材料</w:t>
      </w:r>
      <w:r>
        <w:rPr>
          <w:rFonts w:hint="eastAsia" w:hAnsi="仿宋_GB2312" w:cs="仿宋_GB2312"/>
        </w:rPr>
        <w:t>……………………………………（页码）</w:t>
      </w:r>
    </w:p>
    <w:p>
      <w:pPr>
        <w:pStyle w:val="195"/>
        <w:spacing w:line="360" w:lineRule="auto"/>
        <w:ind w:left="0" w:firstLine="0" w:firstLineChars="0"/>
        <w:rPr>
          <w:rFonts w:hAnsi="仿宋_GB2312" w:cs="仿宋_GB2312"/>
        </w:rPr>
      </w:pPr>
      <w:r>
        <w:rPr>
          <w:rFonts w:hint="eastAsia" w:hAnsi="仿宋_GB2312" w:cs="仿宋_GB2312"/>
        </w:rPr>
        <w:t>（10）</w:t>
      </w:r>
      <w:r>
        <w:rPr>
          <w:rFonts w:hint="eastAsia" w:hAnsi="仿宋_GB2312" w:cs="仿宋_GB2312"/>
          <w:lang w:val="zh-CN"/>
        </w:rPr>
        <w:t>主要业绩证明…………………………………………………</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195"/>
        <w:spacing w:line="360" w:lineRule="auto"/>
        <w:ind w:left="0" w:firstLine="0" w:firstLineChars="0"/>
        <w:rPr>
          <w:rFonts w:hAnsi="仿宋_GB2312" w:cs="仿宋_GB2312"/>
        </w:rPr>
      </w:pPr>
      <w:r>
        <w:rPr>
          <w:rFonts w:hint="eastAsia" w:hAnsi="仿宋_GB2312" w:cs="仿宋_GB2312"/>
        </w:rPr>
        <w:t>（11）廉政承诺书 …………………………………………………………………（页码）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（12）技术解决方案…………………………………………………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（13）技术偏离说明表………………………………………………</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（14）组织实施方案……………………………………………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（15）售后服务方案……………………………………………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（16）</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（填写投标人单位全称）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rPr>
        <w:t>嵊州市中医院、嵊州市公共资源交易中心</w:t>
      </w:r>
      <w:r>
        <w:rPr>
          <w:rFonts w:hint="eastAsia" w:ascii="仿宋_GB2312" w:hAnsi="宋体" w:eastAsia="仿宋_GB2312"/>
          <w:sz w:val="24"/>
        </w:rPr>
        <w:t>组织的</w:t>
      </w:r>
      <w:r>
        <w:rPr>
          <w:rFonts w:hint="eastAsia" w:ascii="仿宋_GB2312" w:hAnsi="宋体" w:eastAsia="仿宋_GB2312"/>
          <w:sz w:val="24"/>
          <w:u w:val="single"/>
        </w:rPr>
        <w:t>嵊州市中医院服务器交换机设备采购项目</w:t>
      </w:r>
      <w:r>
        <w:rPr>
          <w:rFonts w:hint="eastAsia" w:ascii="仿宋_GB2312" w:hAnsi="宋体" w:eastAsia="仿宋_GB2312"/>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投标人（电子签章）：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；如由第三方代理社保事项的，则需提供委托代理协议复印件），格式自拟。</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（填写投标人名称）</w:t>
      </w:r>
      <w:r>
        <w:rPr>
          <w:rFonts w:hint="eastAsia" w:ascii="仿宋_GB2312" w:hAnsi="宋体" w:eastAsia="仿宋_GB2312"/>
          <w:sz w:val="24"/>
        </w:rPr>
        <w:t>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（电子签章）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   月   日</w:t>
      </w:r>
    </w:p>
    <w:p>
      <w:pPr>
        <w:spacing w:line="440" w:lineRule="exact"/>
        <w:ind w:right="720"/>
        <w:jc w:val="right"/>
        <w:rPr>
          <w:rFonts w:ascii="仿宋_GB2312" w:hAnsi="宋体" w:eastAsia="仿宋_GB2312"/>
          <w:sz w:val="24"/>
        </w:rPr>
      </w:pPr>
    </w:p>
    <w:p>
      <w:pPr>
        <w:pageBreakBefore/>
        <w:spacing w:line="440" w:lineRule="exact"/>
        <w:ind w:right="-47"/>
        <w:jc w:val="left"/>
        <w:rPr>
          <w:rFonts w:ascii="仿宋_GB2312" w:hAnsi="仿宋_GB2312" w:eastAsia="仿宋_GB2312" w:cs="仿宋_GB2312"/>
          <w:b/>
          <w:sz w:val="28"/>
          <w:szCs w:val="28"/>
        </w:rPr>
      </w:pPr>
      <w:r>
        <w:rPr>
          <w:rFonts w:hint="eastAsia" w:ascii="仿宋_GB2312" w:hAnsi="宋体" w:eastAsia="仿宋_GB2312"/>
          <w:b/>
          <w:sz w:val="30"/>
          <w:szCs w:val="30"/>
        </w:rPr>
        <w:t>5、与符合性审查有关的资信文件（复印件）</w:t>
      </w:r>
      <w:r>
        <w:rPr>
          <w:rFonts w:hint="eastAsia" w:ascii="仿宋_GB2312" w:hAnsi="宋体" w:eastAsia="仿宋_GB2312"/>
          <w:b/>
          <w:sz w:val="28"/>
          <w:szCs w:val="28"/>
        </w:rPr>
        <w:t>（1</w:t>
      </w:r>
      <w:r>
        <w:rPr>
          <w:rFonts w:hint="eastAsia" w:ascii="仿宋_GB2312" w:hAnsi="仿宋_GB2312" w:eastAsia="仿宋_GB2312" w:cs="仿宋_GB2312"/>
          <w:b/>
          <w:kern w:val="0"/>
          <w:sz w:val="28"/>
          <w:szCs w:val="28"/>
          <w:lang w:val="zh-CN"/>
        </w:rPr>
        <w:t>.</w:t>
      </w:r>
      <w:r>
        <w:rPr>
          <w:rFonts w:hint="eastAsia" w:ascii="仿宋_GB2312" w:hAnsi="仿宋_GB2312" w:eastAsia="仿宋_GB2312" w:cs="仿宋_GB2312"/>
          <w:b/>
          <w:sz w:val="28"/>
          <w:szCs w:val="28"/>
        </w:rPr>
        <w:t>营业执照（或事业法人登记证或其他登记证明材料）（复印件）；2.财务报表资料文件（2021年度资产负债表等财务报表资料文件(新成立的公司，提供情况说明，格式自拟)）；</w:t>
      </w:r>
      <w:r>
        <w:rPr>
          <w:rFonts w:hint="eastAsia" w:ascii="仿宋_GB2312" w:hAnsi="宋体" w:eastAsia="仿宋_GB2312"/>
          <w:b/>
          <w:sz w:val="28"/>
          <w:szCs w:val="28"/>
        </w:rPr>
        <w:t>3.提供依法缴纳税收和社会保障资金的良好记录证明，税收和社保证明打印时间不得早于投标截止时间前1个月；4.其他资料由投标人根据采购需求及招标文件要求编制。）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napToGrid w:val="0"/>
        <w:spacing w:line="360" w:lineRule="auto"/>
        <w:ind w:right="480"/>
        <w:jc w:val="center"/>
        <w:rPr>
          <w:rFonts w:ascii="仿宋_GB2312" w:hAnsi="仿宋_GB2312" w:eastAsia="仿宋_GB2312" w:cs="仿宋_GB2312"/>
          <w:b/>
          <w:kern w:val="0"/>
          <w:sz w:val="32"/>
          <w:szCs w:val="32"/>
          <w:lang w:val="zh-CN"/>
        </w:rPr>
      </w:pPr>
    </w:p>
    <w:p>
      <w:pPr>
        <w:snapToGrid w:val="0"/>
        <w:spacing w:line="360" w:lineRule="auto"/>
        <w:ind w:right="48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6、具有履行合同所必需的设备和专业技术能力的承诺函</w:t>
      </w:r>
    </w:p>
    <w:p>
      <w:pPr>
        <w:snapToGrid w:val="0"/>
        <w:spacing w:line="360" w:lineRule="auto"/>
        <w:rPr>
          <w:rFonts w:ascii="仿宋" w:hAnsi="仿宋" w:eastAsia="仿宋" w:cs="仿宋_GB2312"/>
          <w:sz w:val="24"/>
        </w:rPr>
      </w:pPr>
      <w:r>
        <w:rPr>
          <w:rFonts w:hint="eastAsia" w:ascii="仿宋" w:hAnsi="仿宋" w:eastAsia="仿宋" w:cs="仿宋_GB2312"/>
          <w:sz w:val="24"/>
        </w:rPr>
        <w:t>嵊州市政务服务中心</w:t>
      </w:r>
      <w:r>
        <w:rPr>
          <w:rFonts w:hint="eastAsia" w:ascii="仿宋_GB2312" w:hAnsi="仿宋_GB2312" w:eastAsia="仿宋_GB2312" w:cs="仿宋_GB2312"/>
          <w:sz w:val="24"/>
        </w:rPr>
        <w:t>、嵊州市公共资源交易中心</w:t>
      </w:r>
      <w:r>
        <w:rPr>
          <w:rFonts w:hint="eastAsia" w:ascii="仿宋_GB2312" w:hAnsi="仿宋_GB2312" w:eastAsia="仿宋_GB2312" w:cs="仿宋_GB2312"/>
          <w:kern w:val="0"/>
          <w:sz w:val="24"/>
          <w:lang w:val="zh-CN"/>
        </w:rPr>
        <w:t>：</w:t>
      </w:r>
    </w:p>
    <w:p>
      <w:pPr>
        <w:snapToGrid w:val="0"/>
        <w:spacing w:line="360" w:lineRule="auto"/>
        <w:rPr>
          <w:rFonts w:ascii="仿宋" w:hAnsi="仿宋" w:eastAsia="仿宋" w:cs="仿宋_GB2312"/>
          <w:sz w:val="24"/>
        </w:rPr>
      </w:pPr>
      <w:r>
        <w:rPr>
          <w:rFonts w:hint="eastAsia" w:ascii="仿宋" w:hAnsi="仿宋" w:eastAsia="仿宋" w:cs="仿宋_GB2312"/>
          <w:sz w:val="24"/>
        </w:rPr>
        <w:t>我方郑重承诺，我方具有履行嵊州市政务服务中心电子交易系统运维服务采购项目（招标编号:2024-08合同所必需的设备和专业技术能力。如中标，我方将保证合同顺利履行。</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  日</w:t>
      </w:r>
    </w:p>
    <w:p>
      <w:pPr>
        <w:spacing w:line="360" w:lineRule="auto"/>
        <w:jc w:val="center"/>
        <w:rPr>
          <w:rFonts w:ascii="仿宋_GB2312" w:hAnsi="仿宋_GB2312" w:eastAsia="仿宋_GB2312" w:cs="仿宋_GB2312"/>
          <w:b/>
          <w:kern w:val="0"/>
          <w:sz w:val="32"/>
          <w:szCs w:val="32"/>
        </w:rPr>
      </w:pPr>
    </w:p>
    <w:p>
      <w:pPr>
        <w:spacing w:line="360" w:lineRule="auto"/>
        <w:jc w:val="center"/>
        <w:rPr>
          <w:rFonts w:ascii="仿宋_GB2312" w:hAnsi="仿宋_GB2312" w:eastAsia="仿宋_GB2312" w:cs="仿宋_GB2312"/>
          <w:b/>
          <w:kern w:val="0"/>
          <w:sz w:val="32"/>
          <w:szCs w:val="32"/>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7、重大违法记录的声明</w:t>
      </w:r>
    </w:p>
    <w:p>
      <w:pPr>
        <w:snapToGrid w:val="0"/>
        <w:spacing w:before="156" w:beforeLines="50" w:line="360" w:lineRule="auto"/>
        <w:rPr>
          <w:rFonts w:ascii="仿宋_GB2312" w:hAnsi="仿宋_GB2312" w:eastAsia="仿宋_GB2312" w:cs="仿宋_GB2312"/>
          <w:kern w:val="0"/>
          <w:sz w:val="24"/>
        </w:rPr>
      </w:pPr>
      <w:r>
        <w:rPr>
          <w:rFonts w:hint="eastAsia" w:ascii="仿宋" w:hAnsi="仿宋" w:eastAsia="仿宋" w:cs="仿宋_GB2312"/>
          <w:sz w:val="24"/>
        </w:rPr>
        <w:t>嵊州市政务服务中心</w:t>
      </w:r>
      <w:r>
        <w:rPr>
          <w:rFonts w:hint="eastAsia" w:ascii="仿宋_GB2312" w:hAnsi="仿宋_GB2312" w:eastAsia="仿宋_GB2312" w:cs="仿宋_GB2312"/>
          <w:sz w:val="24"/>
        </w:rPr>
        <w:t>、嵊州市公共资源交易中心</w:t>
      </w:r>
      <w:r>
        <w:rPr>
          <w:rFonts w:hint="eastAsia" w:ascii="仿宋_GB2312" w:hAnsi="仿宋_GB2312" w:eastAsia="仿宋_GB2312" w:cs="仿宋_GB2312"/>
          <w:kern w:val="0"/>
          <w:sz w:val="24"/>
          <w:lang w:val="zh-CN"/>
        </w:rPr>
        <w:t>：</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声明参加本次政府采购活动前三年内，在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没有重大违法记录；也</w:t>
      </w:r>
      <w:r>
        <w:rPr>
          <w:rFonts w:hint="eastAsia" w:ascii="仿宋_GB2312" w:hAnsi="仿宋_GB2312" w:eastAsia="仿宋_GB2312"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8、特定资格条件要求的资质文件（复印件）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9、非本地投标人售后服务机构证明材料</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（由非本地投标人根据采购需求及招标文件要求编制）</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46"/>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签订日期</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采购单位名称</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注：投标人可按上述的格式自行编制，须随表提交相应的合同复印件和成交通知书（含公开招标、网上询价、网上超市等类型）并注明页码。</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Style w:val="196"/>
        <w:ind w:firstLine="0"/>
        <w:jc w:val="both"/>
        <w:rPr>
          <w:rFonts w:hAnsi="仿宋_GB2312" w:cs="仿宋_GB2312"/>
        </w:rPr>
      </w:pPr>
    </w:p>
    <w:p>
      <w:pPr>
        <w:pStyle w:val="196"/>
        <w:pageBreakBefore/>
        <w:ind w:firstLine="0"/>
        <w:jc w:val="both"/>
        <w:rPr>
          <w:rFonts w:hAnsi="仿宋_GB2312" w:cs="仿宋_GB2312"/>
        </w:rPr>
      </w:pPr>
      <w:r>
        <w:rPr>
          <w:rFonts w:hint="eastAsia" w:hAnsi="仿宋_GB2312" w:cs="仿宋_GB2312"/>
        </w:rPr>
        <w:t>11、廉政承诺书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 w:hAnsi="仿宋" w:eastAsia="仿宋" w:cs="仿宋_GB2312"/>
          <w:sz w:val="24"/>
        </w:rPr>
        <w:t>嵊州市政务服务中心</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12、技术解决方案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lang w:val="zh-CN"/>
        </w:rPr>
        <w:tab/>
      </w:r>
      <w:r>
        <w:rPr>
          <w:rFonts w:hint="eastAsia" w:ascii="仿宋_GB2312" w:hAnsi="仿宋_GB2312" w:eastAsia="仿宋_GB2312" w:cs="仿宋_GB2312"/>
          <w:b/>
          <w:bCs/>
          <w:kern w:val="0"/>
          <w:sz w:val="24"/>
          <w:lang w:val="zh-CN"/>
        </w:rPr>
        <w:tab/>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lang w:val="zh-CN"/>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13、技术偏离说明表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注：1.此表须与</w:t>
      </w:r>
      <w:r>
        <w:rPr>
          <w:rFonts w:hint="eastAsia" w:ascii="仿宋_GB2312" w:hAnsi="宋体" w:eastAsia="仿宋_GB2312"/>
          <w:kern w:val="0"/>
          <w:sz w:val="24"/>
        </w:rPr>
        <w:t>招标文件“</w:t>
      </w:r>
      <w:r>
        <w:rPr>
          <w:rFonts w:hint="eastAsia" w:ascii="仿宋_GB2312" w:hAnsi="宋体" w:eastAsia="仿宋_GB2312"/>
          <w:sz w:val="24"/>
        </w:rPr>
        <w:t>招标项目说明及要求</w:t>
      </w:r>
      <w:r>
        <w:rPr>
          <w:rFonts w:hint="eastAsia" w:ascii="仿宋_GB2312" w:hAnsi="宋体" w:eastAsia="仿宋_GB2312"/>
          <w:kern w:val="0"/>
          <w:sz w:val="24"/>
        </w:rPr>
        <w:t>”</w:t>
      </w:r>
      <w:r>
        <w:rPr>
          <w:rFonts w:hint="eastAsia" w:ascii="仿宋_GB2312" w:hAnsi="宋体" w:eastAsia="仿宋_GB2312"/>
          <w:sz w:val="24"/>
        </w:rPr>
        <w:t>相应标项内的所有技术规格相比较且一一对应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14、组织实施方案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15、售后服务方案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16、认为需要的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jc w:val="center"/>
        <w:rPr>
          <w:rFonts w:ascii="仿宋_GB2312" w:hAnsi="仿宋" w:eastAsia="仿宋_GB2312" w:cs="仿宋"/>
          <w:b/>
          <w:bCs/>
          <w:sz w:val="32"/>
          <w:szCs w:val="32"/>
        </w:rPr>
      </w:pPr>
      <w:r>
        <w:rPr>
          <w:rFonts w:hint="eastAsia" w:ascii="仿宋_GB2312" w:hAnsi="仿宋" w:eastAsia="仿宋_GB2312" w:cs="仿宋"/>
          <w:b/>
          <w:bCs/>
          <w:sz w:val="32"/>
          <w:szCs w:val="32"/>
        </w:rPr>
        <w:t>质疑函范本</w:t>
      </w:r>
    </w:p>
    <w:p>
      <w:pPr>
        <w:adjustRightInd w:val="0"/>
        <w:snapToGrid w:val="0"/>
        <w:spacing w:before="312" w:beforeLines="100" w:line="360" w:lineRule="auto"/>
        <w:rPr>
          <w:rFonts w:ascii="仿宋_GB2312" w:hAnsi="黑体" w:eastAsia="仿宋_GB2312" w:cs="仿宋"/>
          <w:bCs/>
          <w:sz w:val="24"/>
        </w:rPr>
      </w:pPr>
      <w:r>
        <w:rPr>
          <w:rFonts w:hint="eastAsia" w:ascii="仿宋_GB2312" w:hAnsi="黑体" w:eastAsia="仿宋_GB2312" w:cs="仿宋"/>
          <w:bCs/>
          <w:sz w:val="24"/>
        </w:rPr>
        <w:t>一、质疑供应商基本信息</w:t>
      </w: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adjustRightInd w:val="0"/>
        <w:snapToGrid w:val="0"/>
        <w:spacing w:line="360" w:lineRule="auto"/>
        <w:rPr>
          <w:rFonts w:ascii="仿宋_GB2312" w:hAnsi="黑体" w:eastAsia="仿宋_GB2312" w:cs="仿宋"/>
          <w:bCs/>
          <w:sz w:val="24"/>
        </w:rPr>
      </w:pPr>
      <w:r>
        <w:rPr>
          <w:rFonts w:hint="eastAsia" w:ascii="仿宋_GB2312" w:hAnsi="黑体" w:eastAsia="仿宋_GB2312" w:cs="仿宋"/>
          <w:bCs/>
          <w:sz w:val="24"/>
        </w:rPr>
        <w:t>二、质疑项目基本情况</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adjustRightInd w:val="0"/>
        <w:snapToGrid w:val="0"/>
        <w:spacing w:line="360" w:lineRule="auto"/>
        <w:rPr>
          <w:rFonts w:ascii="仿宋_GB2312" w:hAnsi="黑体" w:eastAsia="仿宋_GB2312" w:cs="仿宋"/>
          <w:bCs/>
          <w:sz w:val="24"/>
        </w:rPr>
      </w:pPr>
      <w:r>
        <w:rPr>
          <w:rFonts w:hint="eastAsia" w:ascii="仿宋_GB2312" w:hAnsi="黑体" w:eastAsia="仿宋_GB2312" w:cs="仿宋"/>
          <w:bCs/>
          <w:sz w:val="24"/>
        </w:rPr>
        <w:t>三、质疑事项具体内容</w:t>
      </w: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质疑事项1：</w:t>
      </w: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adjustRightInd w:val="0"/>
        <w:snapToGrid w:val="0"/>
        <w:spacing w:line="360" w:lineRule="auto"/>
        <w:rPr>
          <w:rFonts w:ascii="仿宋_GB2312" w:hAnsi="仿宋" w:eastAsia="仿宋_GB2312" w:cs="仿宋"/>
          <w:sz w:val="24"/>
        </w:rPr>
      </w:pP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adjustRightInd w:val="0"/>
        <w:snapToGrid w:val="0"/>
        <w:spacing w:line="360" w:lineRule="auto"/>
        <w:rPr>
          <w:rFonts w:ascii="仿宋_GB2312" w:hAnsi="仿宋" w:eastAsia="仿宋_GB2312" w:cs="仿宋"/>
          <w:sz w:val="24"/>
          <w:u w:val="dotted"/>
        </w:rPr>
      </w:pP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质疑事项2</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adjustRightInd w:val="0"/>
        <w:snapToGrid w:val="0"/>
        <w:spacing w:line="360" w:lineRule="auto"/>
        <w:rPr>
          <w:rFonts w:ascii="仿宋_GB2312" w:hAnsi="黑体" w:eastAsia="仿宋_GB2312" w:cs="仿宋"/>
          <w:bCs/>
          <w:sz w:val="24"/>
        </w:rPr>
      </w:pPr>
      <w:r>
        <w:rPr>
          <w:rFonts w:hint="eastAsia" w:ascii="仿宋_GB2312" w:hAnsi="黑体" w:eastAsia="仿宋_GB2312" w:cs="仿宋"/>
          <w:bCs/>
          <w:sz w:val="24"/>
        </w:rPr>
        <w:t>四、与质疑事项相关的质疑请求</w:t>
      </w:r>
    </w:p>
    <w:p>
      <w:pPr>
        <w:adjustRightInd w:val="0"/>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rPr>
          <w:rFonts w:ascii="仿宋_GB2312" w:eastAsia="仿宋_GB2312"/>
          <w:sz w:val="24"/>
        </w:rPr>
      </w:pPr>
      <w:r>
        <w:rPr>
          <w:rFonts w:hint="eastAsia" w:ascii="仿宋_GB2312" w:eastAsia="仿宋_GB2312"/>
          <w:sz w:val="24"/>
        </w:rPr>
        <w:t xml:space="preserve">签字(签章)：                   公章：                      </w:t>
      </w:r>
    </w:p>
    <w:p>
      <w:pPr>
        <w:rPr>
          <w:rFonts w:ascii="仿宋_GB2312" w:eastAsia="仿宋_GB2312"/>
          <w:sz w:val="24"/>
        </w:rPr>
      </w:pPr>
      <w:r>
        <w:rPr>
          <w:rFonts w:hint="eastAsia" w:ascii="仿宋_GB2312" w:eastAsia="仿宋_GB2312"/>
          <w:sz w:val="24"/>
        </w:rPr>
        <w:t xml:space="preserve">日期：    </w:t>
      </w:r>
    </w:p>
    <w:p>
      <w:pPr>
        <w:adjustRightInd w:val="0"/>
        <w:snapToGrid w:val="0"/>
        <w:spacing w:line="360" w:lineRule="auto"/>
        <w:rPr>
          <w:rFonts w:ascii="仿宋_GB2312" w:hAnsi="仿宋" w:eastAsia="仿宋_GB2312" w:cs="仿宋"/>
          <w:sz w:val="24"/>
        </w:rPr>
      </w:pPr>
    </w:p>
    <w:p>
      <w:pPr>
        <w:adjustRightInd w:val="0"/>
        <w:snapToGrid w:val="0"/>
        <w:spacing w:line="360" w:lineRule="auto"/>
        <w:rPr>
          <w:rFonts w:ascii="仿宋_GB2312" w:hAnsi="仿宋" w:eastAsia="仿宋_GB2312" w:cs="仿宋"/>
          <w:sz w:val="24"/>
        </w:rPr>
      </w:pPr>
    </w:p>
    <w:p>
      <w:pPr>
        <w:jc w:val="center"/>
        <w:rPr>
          <w:rFonts w:ascii="仿宋_GB2312" w:hAnsi="仿宋" w:eastAsia="仿宋_GB2312" w:cs="仿宋"/>
          <w:b/>
          <w:bCs/>
          <w:sz w:val="24"/>
        </w:rPr>
      </w:pPr>
    </w:p>
    <w:p>
      <w:pPr>
        <w:jc w:val="center"/>
        <w:rPr>
          <w:rFonts w:ascii="仿宋_GB2312" w:hAnsi="仿宋" w:eastAsia="仿宋_GB2312" w:cs="仿宋"/>
          <w:b/>
          <w:bCs/>
          <w:sz w:val="24"/>
        </w:rPr>
      </w:pPr>
    </w:p>
    <w:p>
      <w:pPr>
        <w:jc w:val="center"/>
        <w:rPr>
          <w:rFonts w:ascii="仿宋_GB2312" w:hAnsi="仿宋" w:eastAsia="仿宋_GB2312" w:cs="仿宋"/>
          <w:b/>
          <w:bCs/>
          <w:sz w:val="24"/>
        </w:rPr>
      </w:pPr>
    </w:p>
    <w:p>
      <w:pPr>
        <w:rPr>
          <w:rFonts w:ascii="仿宋_GB2312" w:hAnsi="黑体" w:eastAsia="仿宋_GB2312"/>
          <w:b/>
          <w:sz w:val="24"/>
        </w:rPr>
      </w:pPr>
    </w:p>
    <w:p>
      <w:pPr>
        <w:rPr>
          <w:rFonts w:ascii="仿宋_GB2312" w:hAnsi="黑体" w:eastAsia="仿宋_GB2312"/>
          <w:b/>
          <w:sz w:val="24"/>
        </w:rPr>
      </w:pPr>
      <w:r>
        <w:rPr>
          <w:rFonts w:hint="eastAsia" w:ascii="仿宋_GB2312" w:hAnsi="黑体" w:eastAsia="仿宋_GB2312"/>
          <w:b/>
          <w:sz w:val="24"/>
        </w:rPr>
        <w:t>质疑函制作说明：</w:t>
      </w:r>
    </w:p>
    <w:p>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w:t>
      </w:r>
    </w:p>
    <w:p>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pPr>
        <w:widowControl/>
        <w:ind w:firstLine="480" w:firstLineChars="200"/>
        <w:jc w:val="left"/>
        <w:rPr>
          <w:rFonts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_GB2312" w:eastAsia="仿宋_GB2312"/>
          <w:sz w:val="24"/>
        </w:rPr>
      </w:pP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rPr>
      </w:pPr>
    </w:p>
    <w:sectPr>
      <w:headerReference r:id="rId3" w:type="default"/>
      <w:footerReference r:id="rId4" w:type="default"/>
      <w:footerReference r:id="rId5" w:type="even"/>
      <w:pgSz w:w="11906" w:h="16838"/>
      <w:pgMar w:top="1440" w:right="1406" w:bottom="1246" w:left="1758" w:header="1021" w:footer="90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简">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Helvetica Neue">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kern w:val="0"/>
        <w:szCs w:val="21"/>
      </w:rPr>
      <w:t xml:space="preserve"> -</w: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0"/>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嵊州市公共资源交易中心                                                       招标文件编号:2024-08</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DD69F"/>
    <w:multiLevelType w:val="singleLevel"/>
    <w:tmpl w:val="DB9DD69F"/>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2">
    <w:nsid w:val="FFFFFF88"/>
    <w:multiLevelType w:val="singleLevel"/>
    <w:tmpl w:val="FFFFFF88"/>
    <w:lvl w:ilvl="0" w:tentative="0">
      <w:start w:val="1"/>
      <w:numFmt w:val="decimal"/>
      <w:pStyle w:val="4"/>
      <w:lvlText w:val="%1."/>
      <w:lvlJc w:val="left"/>
      <w:pPr>
        <w:tabs>
          <w:tab w:val="left" w:pos="360"/>
        </w:tabs>
        <w:ind w:left="360" w:hanging="360" w:hangingChars="200"/>
      </w:pPr>
    </w:lvl>
  </w:abstractNum>
  <w:abstractNum w:abstractNumId="3">
    <w:nsid w:val="38AE3BF9"/>
    <w:multiLevelType w:val="multilevel"/>
    <w:tmpl w:val="38AE3BF9"/>
    <w:lvl w:ilvl="0" w:tentative="0">
      <w:start w:val="1"/>
      <w:numFmt w:val="bullet"/>
      <w:pStyle w:val="290"/>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59F72BE"/>
    <w:multiLevelType w:val="multilevel"/>
    <w:tmpl w:val="559F72BE"/>
    <w:lvl w:ilvl="0" w:tentative="0">
      <w:start w:val="1"/>
      <w:numFmt w:val="decimal"/>
      <w:pStyle w:val="297"/>
      <w:lvlText w:val="%1."/>
      <w:lvlJc w:val="left"/>
      <w:pPr>
        <w:ind w:left="480" w:hanging="480"/>
      </w:pPr>
    </w:lvl>
    <w:lvl w:ilvl="1" w:tentative="0">
      <w:start w:val="2"/>
      <w:numFmt w:val="decimalEnclosedParen"/>
      <w:lvlText w:val="%2"/>
      <w:lvlJc w:val="left"/>
      <w:pPr>
        <w:ind w:left="786" w:hanging="360"/>
      </w:pPr>
      <w:rPr>
        <w:rFonts w:hint="default"/>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5CB017FC"/>
    <w:multiLevelType w:val="multilevel"/>
    <w:tmpl w:val="5CB017FC"/>
    <w:lvl w:ilvl="0" w:tentative="0">
      <w:start w:val="1"/>
      <w:numFmt w:val="decimal"/>
      <w:pStyle w:val="3"/>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NTdlMDY4OWRmYzg1MzBkYjJmZjAwMTk4ZTg2NDQifQ=="/>
  </w:docVars>
  <w:rsids>
    <w:rsidRoot w:val="00417C8A"/>
    <w:rsid w:val="00002EF8"/>
    <w:rsid w:val="00003B69"/>
    <w:rsid w:val="00005125"/>
    <w:rsid w:val="00010C9A"/>
    <w:rsid w:val="00010FC1"/>
    <w:rsid w:val="0001278F"/>
    <w:rsid w:val="0002045E"/>
    <w:rsid w:val="00021D87"/>
    <w:rsid w:val="0002203D"/>
    <w:rsid w:val="0002468D"/>
    <w:rsid w:val="00025A9F"/>
    <w:rsid w:val="00026762"/>
    <w:rsid w:val="00027515"/>
    <w:rsid w:val="00031F75"/>
    <w:rsid w:val="00032922"/>
    <w:rsid w:val="000329A7"/>
    <w:rsid w:val="00033D7B"/>
    <w:rsid w:val="000354C7"/>
    <w:rsid w:val="000402F5"/>
    <w:rsid w:val="00040A03"/>
    <w:rsid w:val="00047118"/>
    <w:rsid w:val="0005172F"/>
    <w:rsid w:val="000517D0"/>
    <w:rsid w:val="00051C47"/>
    <w:rsid w:val="000535F4"/>
    <w:rsid w:val="00056199"/>
    <w:rsid w:val="00056713"/>
    <w:rsid w:val="0005700A"/>
    <w:rsid w:val="0006049D"/>
    <w:rsid w:val="0006344A"/>
    <w:rsid w:val="000643A5"/>
    <w:rsid w:val="00065197"/>
    <w:rsid w:val="000657C6"/>
    <w:rsid w:val="00065EFB"/>
    <w:rsid w:val="00067FB2"/>
    <w:rsid w:val="00074373"/>
    <w:rsid w:val="00075850"/>
    <w:rsid w:val="0007656E"/>
    <w:rsid w:val="000812D0"/>
    <w:rsid w:val="000822F8"/>
    <w:rsid w:val="00082DC1"/>
    <w:rsid w:val="00083E93"/>
    <w:rsid w:val="00083EB1"/>
    <w:rsid w:val="00087605"/>
    <w:rsid w:val="000933A2"/>
    <w:rsid w:val="0009629C"/>
    <w:rsid w:val="00097421"/>
    <w:rsid w:val="00097868"/>
    <w:rsid w:val="000A2048"/>
    <w:rsid w:val="000A3FC5"/>
    <w:rsid w:val="000A4017"/>
    <w:rsid w:val="000A5AC0"/>
    <w:rsid w:val="000B0284"/>
    <w:rsid w:val="000B1744"/>
    <w:rsid w:val="000B1D0B"/>
    <w:rsid w:val="000B2A94"/>
    <w:rsid w:val="000B625B"/>
    <w:rsid w:val="000C14CF"/>
    <w:rsid w:val="000C1F3C"/>
    <w:rsid w:val="000C3344"/>
    <w:rsid w:val="000C3D44"/>
    <w:rsid w:val="000D0E6C"/>
    <w:rsid w:val="000D110F"/>
    <w:rsid w:val="000D122E"/>
    <w:rsid w:val="000D1267"/>
    <w:rsid w:val="000D1D59"/>
    <w:rsid w:val="000D4D0E"/>
    <w:rsid w:val="000E1C88"/>
    <w:rsid w:val="000E4A4F"/>
    <w:rsid w:val="000E5C9B"/>
    <w:rsid w:val="000E6F8C"/>
    <w:rsid w:val="000E72A0"/>
    <w:rsid w:val="000F51A7"/>
    <w:rsid w:val="000F5EF4"/>
    <w:rsid w:val="000F7FA8"/>
    <w:rsid w:val="001023D9"/>
    <w:rsid w:val="00103629"/>
    <w:rsid w:val="00103B47"/>
    <w:rsid w:val="00104327"/>
    <w:rsid w:val="00104663"/>
    <w:rsid w:val="00104A07"/>
    <w:rsid w:val="0010763D"/>
    <w:rsid w:val="00111E93"/>
    <w:rsid w:val="00112B08"/>
    <w:rsid w:val="001138D1"/>
    <w:rsid w:val="00114BF9"/>
    <w:rsid w:val="00114C81"/>
    <w:rsid w:val="00115363"/>
    <w:rsid w:val="00116EDA"/>
    <w:rsid w:val="00117D66"/>
    <w:rsid w:val="0012018C"/>
    <w:rsid w:val="00120D86"/>
    <w:rsid w:val="001259A5"/>
    <w:rsid w:val="001259AD"/>
    <w:rsid w:val="00125D70"/>
    <w:rsid w:val="00132EE2"/>
    <w:rsid w:val="001345B3"/>
    <w:rsid w:val="001349CF"/>
    <w:rsid w:val="0013527E"/>
    <w:rsid w:val="00135C35"/>
    <w:rsid w:val="00136F66"/>
    <w:rsid w:val="00137525"/>
    <w:rsid w:val="0014242C"/>
    <w:rsid w:val="00142B6B"/>
    <w:rsid w:val="0014545F"/>
    <w:rsid w:val="00145D25"/>
    <w:rsid w:val="00150E50"/>
    <w:rsid w:val="0015316D"/>
    <w:rsid w:val="00154591"/>
    <w:rsid w:val="00154E3A"/>
    <w:rsid w:val="00156633"/>
    <w:rsid w:val="00157269"/>
    <w:rsid w:val="0015771E"/>
    <w:rsid w:val="00157914"/>
    <w:rsid w:val="00157FB7"/>
    <w:rsid w:val="00160B0A"/>
    <w:rsid w:val="00161F66"/>
    <w:rsid w:val="00162DD9"/>
    <w:rsid w:val="001637A2"/>
    <w:rsid w:val="00163B9C"/>
    <w:rsid w:val="00165068"/>
    <w:rsid w:val="001657B2"/>
    <w:rsid w:val="00171701"/>
    <w:rsid w:val="0017455C"/>
    <w:rsid w:val="00174F52"/>
    <w:rsid w:val="001751A8"/>
    <w:rsid w:val="0018130F"/>
    <w:rsid w:val="00181544"/>
    <w:rsid w:val="0018376B"/>
    <w:rsid w:val="001841D9"/>
    <w:rsid w:val="00184C15"/>
    <w:rsid w:val="00185F55"/>
    <w:rsid w:val="00187AB1"/>
    <w:rsid w:val="0019064E"/>
    <w:rsid w:val="00190DB7"/>
    <w:rsid w:val="00191263"/>
    <w:rsid w:val="00191BE8"/>
    <w:rsid w:val="00191EE1"/>
    <w:rsid w:val="00193494"/>
    <w:rsid w:val="00194583"/>
    <w:rsid w:val="001A0C24"/>
    <w:rsid w:val="001A15C0"/>
    <w:rsid w:val="001A4123"/>
    <w:rsid w:val="001A4A9D"/>
    <w:rsid w:val="001A6712"/>
    <w:rsid w:val="001B2770"/>
    <w:rsid w:val="001B340C"/>
    <w:rsid w:val="001B485F"/>
    <w:rsid w:val="001B4C51"/>
    <w:rsid w:val="001B589D"/>
    <w:rsid w:val="001B70E5"/>
    <w:rsid w:val="001C07C7"/>
    <w:rsid w:val="001C2E3F"/>
    <w:rsid w:val="001C57F3"/>
    <w:rsid w:val="001C6042"/>
    <w:rsid w:val="001D24BB"/>
    <w:rsid w:val="001D3CEA"/>
    <w:rsid w:val="001D6ED7"/>
    <w:rsid w:val="001D76A1"/>
    <w:rsid w:val="001E3B20"/>
    <w:rsid w:val="001E4A9F"/>
    <w:rsid w:val="001E72ED"/>
    <w:rsid w:val="001F14C4"/>
    <w:rsid w:val="001F2767"/>
    <w:rsid w:val="001F429B"/>
    <w:rsid w:val="001F43C6"/>
    <w:rsid w:val="001F4C63"/>
    <w:rsid w:val="001F661E"/>
    <w:rsid w:val="001F7E31"/>
    <w:rsid w:val="00201062"/>
    <w:rsid w:val="0020236F"/>
    <w:rsid w:val="00204DA6"/>
    <w:rsid w:val="0020567D"/>
    <w:rsid w:val="002056F9"/>
    <w:rsid w:val="002062F2"/>
    <w:rsid w:val="0020786F"/>
    <w:rsid w:val="002102AD"/>
    <w:rsid w:val="00210450"/>
    <w:rsid w:val="002105F0"/>
    <w:rsid w:val="00214C2B"/>
    <w:rsid w:val="00220B57"/>
    <w:rsid w:val="00223848"/>
    <w:rsid w:val="00223A5B"/>
    <w:rsid w:val="002261D7"/>
    <w:rsid w:val="002266CD"/>
    <w:rsid w:val="0022698F"/>
    <w:rsid w:val="00230A8D"/>
    <w:rsid w:val="00231CB7"/>
    <w:rsid w:val="00233356"/>
    <w:rsid w:val="00235AC1"/>
    <w:rsid w:val="0023638E"/>
    <w:rsid w:val="00240411"/>
    <w:rsid w:val="00243D9A"/>
    <w:rsid w:val="002442F3"/>
    <w:rsid w:val="00244766"/>
    <w:rsid w:val="00247AB8"/>
    <w:rsid w:val="00251766"/>
    <w:rsid w:val="00251888"/>
    <w:rsid w:val="00251EE7"/>
    <w:rsid w:val="0025660E"/>
    <w:rsid w:val="00256A92"/>
    <w:rsid w:val="0025749B"/>
    <w:rsid w:val="00260A0D"/>
    <w:rsid w:val="00262E82"/>
    <w:rsid w:val="00264B31"/>
    <w:rsid w:val="00264FFB"/>
    <w:rsid w:val="00266447"/>
    <w:rsid w:val="00267D7C"/>
    <w:rsid w:val="00270E20"/>
    <w:rsid w:val="00271127"/>
    <w:rsid w:val="00271324"/>
    <w:rsid w:val="00274B01"/>
    <w:rsid w:val="00275F7B"/>
    <w:rsid w:val="00282A60"/>
    <w:rsid w:val="00283EAF"/>
    <w:rsid w:val="002860D2"/>
    <w:rsid w:val="00286495"/>
    <w:rsid w:val="00291839"/>
    <w:rsid w:val="002945E5"/>
    <w:rsid w:val="00295DD9"/>
    <w:rsid w:val="002A0921"/>
    <w:rsid w:val="002A13E9"/>
    <w:rsid w:val="002A168D"/>
    <w:rsid w:val="002A22BB"/>
    <w:rsid w:val="002A2667"/>
    <w:rsid w:val="002A3119"/>
    <w:rsid w:val="002A4A75"/>
    <w:rsid w:val="002A683A"/>
    <w:rsid w:val="002A7EFA"/>
    <w:rsid w:val="002B0298"/>
    <w:rsid w:val="002B186A"/>
    <w:rsid w:val="002B1BA5"/>
    <w:rsid w:val="002B3711"/>
    <w:rsid w:val="002B4A4B"/>
    <w:rsid w:val="002B6B66"/>
    <w:rsid w:val="002C0C85"/>
    <w:rsid w:val="002C2C53"/>
    <w:rsid w:val="002D2F86"/>
    <w:rsid w:val="002D6849"/>
    <w:rsid w:val="002D6DC6"/>
    <w:rsid w:val="002D7C56"/>
    <w:rsid w:val="002E2C11"/>
    <w:rsid w:val="002E34F4"/>
    <w:rsid w:val="002E35C4"/>
    <w:rsid w:val="002E42FF"/>
    <w:rsid w:val="002E4DCA"/>
    <w:rsid w:val="002E6CF6"/>
    <w:rsid w:val="002E7ADA"/>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2E59"/>
    <w:rsid w:val="00323729"/>
    <w:rsid w:val="00323B52"/>
    <w:rsid w:val="00323E60"/>
    <w:rsid w:val="003250A1"/>
    <w:rsid w:val="0032789C"/>
    <w:rsid w:val="00327C7D"/>
    <w:rsid w:val="003302F0"/>
    <w:rsid w:val="00331540"/>
    <w:rsid w:val="00332DA4"/>
    <w:rsid w:val="00334D83"/>
    <w:rsid w:val="003371DD"/>
    <w:rsid w:val="0034305B"/>
    <w:rsid w:val="00344730"/>
    <w:rsid w:val="00347CAD"/>
    <w:rsid w:val="00350E72"/>
    <w:rsid w:val="00351EEF"/>
    <w:rsid w:val="0035254A"/>
    <w:rsid w:val="00355060"/>
    <w:rsid w:val="003565A0"/>
    <w:rsid w:val="003618CE"/>
    <w:rsid w:val="00365766"/>
    <w:rsid w:val="00365F56"/>
    <w:rsid w:val="003670EB"/>
    <w:rsid w:val="00367EAB"/>
    <w:rsid w:val="0037368A"/>
    <w:rsid w:val="00375107"/>
    <w:rsid w:val="0037517D"/>
    <w:rsid w:val="003822F9"/>
    <w:rsid w:val="00384E3C"/>
    <w:rsid w:val="00385098"/>
    <w:rsid w:val="00385323"/>
    <w:rsid w:val="0039130B"/>
    <w:rsid w:val="00391E7C"/>
    <w:rsid w:val="00393589"/>
    <w:rsid w:val="00393A4C"/>
    <w:rsid w:val="00393FDB"/>
    <w:rsid w:val="003949AE"/>
    <w:rsid w:val="00394A3E"/>
    <w:rsid w:val="003A137B"/>
    <w:rsid w:val="003A19D2"/>
    <w:rsid w:val="003A546B"/>
    <w:rsid w:val="003A74F5"/>
    <w:rsid w:val="003B1CEB"/>
    <w:rsid w:val="003B24CA"/>
    <w:rsid w:val="003B2B02"/>
    <w:rsid w:val="003B4EAE"/>
    <w:rsid w:val="003B72E2"/>
    <w:rsid w:val="003B774D"/>
    <w:rsid w:val="003B7907"/>
    <w:rsid w:val="003C28C3"/>
    <w:rsid w:val="003C46C5"/>
    <w:rsid w:val="003C4B74"/>
    <w:rsid w:val="003C527A"/>
    <w:rsid w:val="003C637D"/>
    <w:rsid w:val="003C7F20"/>
    <w:rsid w:val="003D10C3"/>
    <w:rsid w:val="003D1A22"/>
    <w:rsid w:val="003D7052"/>
    <w:rsid w:val="003E074D"/>
    <w:rsid w:val="003E0777"/>
    <w:rsid w:val="003E4007"/>
    <w:rsid w:val="003E5724"/>
    <w:rsid w:val="003E6C02"/>
    <w:rsid w:val="003F2982"/>
    <w:rsid w:val="003F4084"/>
    <w:rsid w:val="003F4C25"/>
    <w:rsid w:val="003F77E0"/>
    <w:rsid w:val="00400057"/>
    <w:rsid w:val="00400B4D"/>
    <w:rsid w:val="004014D1"/>
    <w:rsid w:val="00403FEC"/>
    <w:rsid w:val="0040644F"/>
    <w:rsid w:val="00407D88"/>
    <w:rsid w:val="004109FD"/>
    <w:rsid w:val="0041394C"/>
    <w:rsid w:val="00413B7A"/>
    <w:rsid w:val="00417C8A"/>
    <w:rsid w:val="0042136D"/>
    <w:rsid w:val="00422CD1"/>
    <w:rsid w:val="004236B6"/>
    <w:rsid w:val="00424C70"/>
    <w:rsid w:val="0042557D"/>
    <w:rsid w:val="00426003"/>
    <w:rsid w:val="00427A2E"/>
    <w:rsid w:val="00427BA5"/>
    <w:rsid w:val="004350B7"/>
    <w:rsid w:val="0043766D"/>
    <w:rsid w:val="00441896"/>
    <w:rsid w:val="00442935"/>
    <w:rsid w:val="0044422F"/>
    <w:rsid w:val="00445C1C"/>
    <w:rsid w:val="00447789"/>
    <w:rsid w:val="004511A0"/>
    <w:rsid w:val="00451D55"/>
    <w:rsid w:val="00452AD3"/>
    <w:rsid w:val="004540C2"/>
    <w:rsid w:val="00454AD4"/>
    <w:rsid w:val="00457231"/>
    <w:rsid w:val="00457BF2"/>
    <w:rsid w:val="004600A6"/>
    <w:rsid w:val="00460793"/>
    <w:rsid w:val="00461637"/>
    <w:rsid w:val="00463E5C"/>
    <w:rsid w:val="00464359"/>
    <w:rsid w:val="00465D0D"/>
    <w:rsid w:val="00467CFF"/>
    <w:rsid w:val="00470B6E"/>
    <w:rsid w:val="0047117D"/>
    <w:rsid w:val="00471407"/>
    <w:rsid w:val="00471DA5"/>
    <w:rsid w:val="00472E4E"/>
    <w:rsid w:val="0047483C"/>
    <w:rsid w:val="00474BED"/>
    <w:rsid w:val="00476C0B"/>
    <w:rsid w:val="00476D23"/>
    <w:rsid w:val="00477EFE"/>
    <w:rsid w:val="004817DB"/>
    <w:rsid w:val="004832BC"/>
    <w:rsid w:val="00484FD0"/>
    <w:rsid w:val="00485E04"/>
    <w:rsid w:val="00486B01"/>
    <w:rsid w:val="00487465"/>
    <w:rsid w:val="004939A7"/>
    <w:rsid w:val="004946C6"/>
    <w:rsid w:val="00497699"/>
    <w:rsid w:val="00497DB2"/>
    <w:rsid w:val="004A0174"/>
    <w:rsid w:val="004A236E"/>
    <w:rsid w:val="004A3418"/>
    <w:rsid w:val="004A403F"/>
    <w:rsid w:val="004A51BA"/>
    <w:rsid w:val="004A5DF1"/>
    <w:rsid w:val="004A6677"/>
    <w:rsid w:val="004A7A78"/>
    <w:rsid w:val="004A7FD7"/>
    <w:rsid w:val="004B3B15"/>
    <w:rsid w:val="004B5136"/>
    <w:rsid w:val="004B5B9E"/>
    <w:rsid w:val="004C0238"/>
    <w:rsid w:val="004C0EE6"/>
    <w:rsid w:val="004C3EFB"/>
    <w:rsid w:val="004C40D8"/>
    <w:rsid w:val="004C5147"/>
    <w:rsid w:val="004C6D62"/>
    <w:rsid w:val="004D0304"/>
    <w:rsid w:val="004D0DB1"/>
    <w:rsid w:val="004D0EA8"/>
    <w:rsid w:val="004D103A"/>
    <w:rsid w:val="004D2D24"/>
    <w:rsid w:val="004D314A"/>
    <w:rsid w:val="004D4938"/>
    <w:rsid w:val="004D5FE6"/>
    <w:rsid w:val="004D609E"/>
    <w:rsid w:val="004E0195"/>
    <w:rsid w:val="004E05D9"/>
    <w:rsid w:val="004E0E2C"/>
    <w:rsid w:val="004E1AB8"/>
    <w:rsid w:val="004E2D4B"/>
    <w:rsid w:val="004E3ED0"/>
    <w:rsid w:val="004E4899"/>
    <w:rsid w:val="004E7CD7"/>
    <w:rsid w:val="004F0164"/>
    <w:rsid w:val="004F3734"/>
    <w:rsid w:val="004F69CA"/>
    <w:rsid w:val="004F7507"/>
    <w:rsid w:val="004F7995"/>
    <w:rsid w:val="00503D74"/>
    <w:rsid w:val="005041C0"/>
    <w:rsid w:val="0050629F"/>
    <w:rsid w:val="00513DE6"/>
    <w:rsid w:val="005144B2"/>
    <w:rsid w:val="00517733"/>
    <w:rsid w:val="005215F9"/>
    <w:rsid w:val="00522169"/>
    <w:rsid w:val="005230CA"/>
    <w:rsid w:val="0052340D"/>
    <w:rsid w:val="00524FD6"/>
    <w:rsid w:val="00527A74"/>
    <w:rsid w:val="00527E1C"/>
    <w:rsid w:val="005303EA"/>
    <w:rsid w:val="00532937"/>
    <w:rsid w:val="00532A54"/>
    <w:rsid w:val="005351C1"/>
    <w:rsid w:val="00536FBF"/>
    <w:rsid w:val="0054018C"/>
    <w:rsid w:val="00544130"/>
    <w:rsid w:val="005459FE"/>
    <w:rsid w:val="00545F40"/>
    <w:rsid w:val="00553FE7"/>
    <w:rsid w:val="0055485E"/>
    <w:rsid w:val="0055544C"/>
    <w:rsid w:val="00555780"/>
    <w:rsid w:val="00556840"/>
    <w:rsid w:val="00557737"/>
    <w:rsid w:val="00557AC3"/>
    <w:rsid w:val="0056065C"/>
    <w:rsid w:val="00566FBC"/>
    <w:rsid w:val="0057066B"/>
    <w:rsid w:val="00572BAD"/>
    <w:rsid w:val="00573677"/>
    <w:rsid w:val="005738F4"/>
    <w:rsid w:val="00573BCB"/>
    <w:rsid w:val="00576529"/>
    <w:rsid w:val="00576EFE"/>
    <w:rsid w:val="005770CA"/>
    <w:rsid w:val="00586C3A"/>
    <w:rsid w:val="005879E7"/>
    <w:rsid w:val="00591190"/>
    <w:rsid w:val="00591584"/>
    <w:rsid w:val="00594CDD"/>
    <w:rsid w:val="005A26EE"/>
    <w:rsid w:val="005A32FB"/>
    <w:rsid w:val="005A3E6E"/>
    <w:rsid w:val="005A6BE8"/>
    <w:rsid w:val="005A7A4A"/>
    <w:rsid w:val="005B143A"/>
    <w:rsid w:val="005B180C"/>
    <w:rsid w:val="005C2908"/>
    <w:rsid w:val="005C30CF"/>
    <w:rsid w:val="005C3154"/>
    <w:rsid w:val="005C3A22"/>
    <w:rsid w:val="005C54A7"/>
    <w:rsid w:val="005C6EE6"/>
    <w:rsid w:val="005C6F10"/>
    <w:rsid w:val="005D0155"/>
    <w:rsid w:val="005D2F62"/>
    <w:rsid w:val="005D375C"/>
    <w:rsid w:val="005D6575"/>
    <w:rsid w:val="005D70ED"/>
    <w:rsid w:val="005E1E51"/>
    <w:rsid w:val="005E282B"/>
    <w:rsid w:val="005E33BD"/>
    <w:rsid w:val="005E68E7"/>
    <w:rsid w:val="005F510E"/>
    <w:rsid w:val="005F5691"/>
    <w:rsid w:val="005F6A6E"/>
    <w:rsid w:val="005F78A5"/>
    <w:rsid w:val="006029F2"/>
    <w:rsid w:val="00606ED5"/>
    <w:rsid w:val="006070BD"/>
    <w:rsid w:val="006073C6"/>
    <w:rsid w:val="00607E60"/>
    <w:rsid w:val="006107F3"/>
    <w:rsid w:val="006120C0"/>
    <w:rsid w:val="00615BAF"/>
    <w:rsid w:val="00617775"/>
    <w:rsid w:val="00621878"/>
    <w:rsid w:val="00622201"/>
    <w:rsid w:val="006225C8"/>
    <w:rsid w:val="006225CB"/>
    <w:rsid w:val="00624516"/>
    <w:rsid w:val="006257E9"/>
    <w:rsid w:val="00625BC2"/>
    <w:rsid w:val="0062625D"/>
    <w:rsid w:val="00630ADC"/>
    <w:rsid w:val="00630CF7"/>
    <w:rsid w:val="006351A3"/>
    <w:rsid w:val="006378C9"/>
    <w:rsid w:val="00642276"/>
    <w:rsid w:val="00643AA9"/>
    <w:rsid w:val="00643BDC"/>
    <w:rsid w:val="0064613F"/>
    <w:rsid w:val="006465FE"/>
    <w:rsid w:val="00646E44"/>
    <w:rsid w:val="00651F43"/>
    <w:rsid w:val="006608D4"/>
    <w:rsid w:val="00665466"/>
    <w:rsid w:val="00665C19"/>
    <w:rsid w:val="00665CBD"/>
    <w:rsid w:val="00671A32"/>
    <w:rsid w:val="00675C4B"/>
    <w:rsid w:val="0067762D"/>
    <w:rsid w:val="00680B4E"/>
    <w:rsid w:val="006839B6"/>
    <w:rsid w:val="00683E4B"/>
    <w:rsid w:val="006843E1"/>
    <w:rsid w:val="0068671B"/>
    <w:rsid w:val="00686F48"/>
    <w:rsid w:val="006872D9"/>
    <w:rsid w:val="00687DA3"/>
    <w:rsid w:val="006934A1"/>
    <w:rsid w:val="006936A5"/>
    <w:rsid w:val="006948E4"/>
    <w:rsid w:val="00694B34"/>
    <w:rsid w:val="00694B87"/>
    <w:rsid w:val="00694D00"/>
    <w:rsid w:val="006A1906"/>
    <w:rsid w:val="006A3D9E"/>
    <w:rsid w:val="006A69A8"/>
    <w:rsid w:val="006B183A"/>
    <w:rsid w:val="006B4F54"/>
    <w:rsid w:val="006B6B67"/>
    <w:rsid w:val="006C002F"/>
    <w:rsid w:val="006C02F5"/>
    <w:rsid w:val="006C5FEF"/>
    <w:rsid w:val="006C74BD"/>
    <w:rsid w:val="006C7EB3"/>
    <w:rsid w:val="006D629D"/>
    <w:rsid w:val="006E2170"/>
    <w:rsid w:val="006E51D3"/>
    <w:rsid w:val="006E64A5"/>
    <w:rsid w:val="006E6C77"/>
    <w:rsid w:val="006E772C"/>
    <w:rsid w:val="006E797A"/>
    <w:rsid w:val="006F0A0C"/>
    <w:rsid w:val="006F2510"/>
    <w:rsid w:val="006F30D0"/>
    <w:rsid w:val="006F3A0F"/>
    <w:rsid w:val="006F58BA"/>
    <w:rsid w:val="007014C0"/>
    <w:rsid w:val="00702458"/>
    <w:rsid w:val="007047D8"/>
    <w:rsid w:val="00707395"/>
    <w:rsid w:val="007122EB"/>
    <w:rsid w:val="007215CE"/>
    <w:rsid w:val="00721BF4"/>
    <w:rsid w:val="007266EE"/>
    <w:rsid w:val="0072764B"/>
    <w:rsid w:val="00727936"/>
    <w:rsid w:val="00727E2C"/>
    <w:rsid w:val="00727F6F"/>
    <w:rsid w:val="007327FF"/>
    <w:rsid w:val="00733171"/>
    <w:rsid w:val="00736D6B"/>
    <w:rsid w:val="007402C2"/>
    <w:rsid w:val="007402D5"/>
    <w:rsid w:val="00740EED"/>
    <w:rsid w:val="00741976"/>
    <w:rsid w:val="00741F19"/>
    <w:rsid w:val="00741F8E"/>
    <w:rsid w:val="007435B2"/>
    <w:rsid w:val="00743C5C"/>
    <w:rsid w:val="00743E3A"/>
    <w:rsid w:val="00747C21"/>
    <w:rsid w:val="0075094E"/>
    <w:rsid w:val="00751DF3"/>
    <w:rsid w:val="00752F32"/>
    <w:rsid w:val="00757BAC"/>
    <w:rsid w:val="0076108E"/>
    <w:rsid w:val="00762B5C"/>
    <w:rsid w:val="00771530"/>
    <w:rsid w:val="007715B9"/>
    <w:rsid w:val="00771654"/>
    <w:rsid w:val="00772AC2"/>
    <w:rsid w:val="00773A2C"/>
    <w:rsid w:val="00775269"/>
    <w:rsid w:val="0077608C"/>
    <w:rsid w:val="007774FA"/>
    <w:rsid w:val="00777C1A"/>
    <w:rsid w:val="00777F21"/>
    <w:rsid w:val="00780272"/>
    <w:rsid w:val="007804F7"/>
    <w:rsid w:val="007809BE"/>
    <w:rsid w:val="007814B9"/>
    <w:rsid w:val="0078178E"/>
    <w:rsid w:val="007822C3"/>
    <w:rsid w:val="00784810"/>
    <w:rsid w:val="00785B15"/>
    <w:rsid w:val="00787752"/>
    <w:rsid w:val="007910DD"/>
    <w:rsid w:val="0079174D"/>
    <w:rsid w:val="0079412B"/>
    <w:rsid w:val="00794F1B"/>
    <w:rsid w:val="00795558"/>
    <w:rsid w:val="00797407"/>
    <w:rsid w:val="007A06F3"/>
    <w:rsid w:val="007A160C"/>
    <w:rsid w:val="007A179B"/>
    <w:rsid w:val="007A4FF4"/>
    <w:rsid w:val="007A5361"/>
    <w:rsid w:val="007A6CC8"/>
    <w:rsid w:val="007B0001"/>
    <w:rsid w:val="007B3695"/>
    <w:rsid w:val="007B58B1"/>
    <w:rsid w:val="007B6A7E"/>
    <w:rsid w:val="007B7257"/>
    <w:rsid w:val="007C2503"/>
    <w:rsid w:val="007C2B7A"/>
    <w:rsid w:val="007C5716"/>
    <w:rsid w:val="007D0823"/>
    <w:rsid w:val="007D3E95"/>
    <w:rsid w:val="007D4361"/>
    <w:rsid w:val="007D7005"/>
    <w:rsid w:val="007E3068"/>
    <w:rsid w:val="007E6C18"/>
    <w:rsid w:val="007E765C"/>
    <w:rsid w:val="007F0029"/>
    <w:rsid w:val="007F0976"/>
    <w:rsid w:val="007F168D"/>
    <w:rsid w:val="007F3580"/>
    <w:rsid w:val="007F5965"/>
    <w:rsid w:val="007F5CEC"/>
    <w:rsid w:val="007F6983"/>
    <w:rsid w:val="00800AE2"/>
    <w:rsid w:val="00802471"/>
    <w:rsid w:val="008030DC"/>
    <w:rsid w:val="0080418D"/>
    <w:rsid w:val="00806D09"/>
    <w:rsid w:val="008070FB"/>
    <w:rsid w:val="008125CD"/>
    <w:rsid w:val="00813057"/>
    <w:rsid w:val="008148C4"/>
    <w:rsid w:val="00815230"/>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5C61"/>
    <w:rsid w:val="00827589"/>
    <w:rsid w:val="008310B0"/>
    <w:rsid w:val="008325F0"/>
    <w:rsid w:val="0083439A"/>
    <w:rsid w:val="00834788"/>
    <w:rsid w:val="00840AB3"/>
    <w:rsid w:val="008424CD"/>
    <w:rsid w:val="00842C80"/>
    <w:rsid w:val="00844F41"/>
    <w:rsid w:val="008457C1"/>
    <w:rsid w:val="0084613D"/>
    <w:rsid w:val="00850E6B"/>
    <w:rsid w:val="00852E88"/>
    <w:rsid w:val="008540A8"/>
    <w:rsid w:val="008557E8"/>
    <w:rsid w:val="00863478"/>
    <w:rsid w:val="00863945"/>
    <w:rsid w:val="00864E3D"/>
    <w:rsid w:val="00874F9F"/>
    <w:rsid w:val="00875064"/>
    <w:rsid w:val="00877F0F"/>
    <w:rsid w:val="008800C8"/>
    <w:rsid w:val="0088347A"/>
    <w:rsid w:val="00886234"/>
    <w:rsid w:val="008863D4"/>
    <w:rsid w:val="00886634"/>
    <w:rsid w:val="00887B85"/>
    <w:rsid w:val="00890B37"/>
    <w:rsid w:val="00890DCD"/>
    <w:rsid w:val="00896BE8"/>
    <w:rsid w:val="008A037C"/>
    <w:rsid w:val="008A17D1"/>
    <w:rsid w:val="008A251A"/>
    <w:rsid w:val="008A5161"/>
    <w:rsid w:val="008A6135"/>
    <w:rsid w:val="008A7376"/>
    <w:rsid w:val="008B22E2"/>
    <w:rsid w:val="008B43D4"/>
    <w:rsid w:val="008B470F"/>
    <w:rsid w:val="008B6655"/>
    <w:rsid w:val="008C3401"/>
    <w:rsid w:val="008C4226"/>
    <w:rsid w:val="008C4325"/>
    <w:rsid w:val="008C4B7C"/>
    <w:rsid w:val="008C4E5B"/>
    <w:rsid w:val="008C764A"/>
    <w:rsid w:val="008D18D9"/>
    <w:rsid w:val="008D4AB1"/>
    <w:rsid w:val="008D7471"/>
    <w:rsid w:val="008D7B31"/>
    <w:rsid w:val="008E19EE"/>
    <w:rsid w:val="008E1A0D"/>
    <w:rsid w:val="008E2A0D"/>
    <w:rsid w:val="008E316D"/>
    <w:rsid w:val="008E4242"/>
    <w:rsid w:val="008E4B80"/>
    <w:rsid w:val="008E6364"/>
    <w:rsid w:val="008F03D5"/>
    <w:rsid w:val="008F07DF"/>
    <w:rsid w:val="00900D76"/>
    <w:rsid w:val="0090287D"/>
    <w:rsid w:val="00906681"/>
    <w:rsid w:val="009073A1"/>
    <w:rsid w:val="00907AE2"/>
    <w:rsid w:val="00907BAD"/>
    <w:rsid w:val="00910AEC"/>
    <w:rsid w:val="00911FE1"/>
    <w:rsid w:val="00912BD2"/>
    <w:rsid w:val="009131EA"/>
    <w:rsid w:val="009175CE"/>
    <w:rsid w:val="0092030F"/>
    <w:rsid w:val="00921A52"/>
    <w:rsid w:val="009250EF"/>
    <w:rsid w:val="00926541"/>
    <w:rsid w:val="009271D3"/>
    <w:rsid w:val="00927477"/>
    <w:rsid w:val="009309E4"/>
    <w:rsid w:val="00933465"/>
    <w:rsid w:val="00933FD9"/>
    <w:rsid w:val="00934ED5"/>
    <w:rsid w:val="0093527E"/>
    <w:rsid w:val="00935678"/>
    <w:rsid w:val="00935C1D"/>
    <w:rsid w:val="00936426"/>
    <w:rsid w:val="00936632"/>
    <w:rsid w:val="009415ED"/>
    <w:rsid w:val="00941F51"/>
    <w:rsid w:val="009424EA"/>
    <w:rsid w:val="00947BAD"/>
    <w:rsid w:val="00947FE6"/>
    <w:rsid w:val="00952269"/>
    <w:rsid w:val="00952CE1"/>
    <w:rsid w:val="00953507"/>
    <w:rsid w:val="009557D2"/>
    <w:rsid w:val="009568DF"/>
    <w:rsid w:val="009626CD"/>
    <w:rsid w:val="009639DC"/>
    <w:rsid w:val="00963B11"/>
    <w:rsid w:val="0096450C"/>
    <w:rsid w:val="009700D6"/>
    <w:rsid w:val="00970329"/>
    <w:rsid w:val="00970F9E"/>
    <w:rsid w:val="009712BD"/>
    <w:rsid w:val="00974BCB"/>
    <w:rsid w:val="00975C87"/>
    <w:rsid w:val="00976585"/>
    <w:rsid w:val="00986357"/>
    <w:rsid w:val="009924D5"/>
    <w:rsid w:val="009931AC"/>
    <w:rsid w:val="00993E50"/>
    <w:rsid w:val="00994E09"/>
    <w:rsid w:val="00995623"/>
    <w:rsid w:val="0099775A"/>
    <w:rsid w:val="00997ACE"/>
    <w:rsid w:val="009A2940"/>
    <w:rsid w:val="009A373E"/>
    <w:rsid w:val="009A5E9D"/>
    <w:rsid w:val="009A728E"/>
    <w:rsid w:val="009A74ED"/>
    <w:rsid w:val="009B0779"/>
    <w:rsid w:val="009B19AA"/>
    <w:rsid w:val="009B206E"/>
    <w:rsid w:val="009B24E0"/>
    <w:rsid w:val="009B55F5"/>
    <w:rsid w:val="009C17E3"/>
    <w:rsid w:val="009C221E"/>
    <w:rsid w:val="009C3B05"/>
    <w:rsid w:val="009C473A"/>
    <w:rsid w:val="009C4D5D"/>
    <w:rsid w:val="009C4F71"/>
    <w:rsid w:val="009C6549"/>
    <w:rsid w:val="009C725B"/>
    <w:rsid w:val="009C76D3"/>
    <w:rsid w:val="009D13D6"/>
    <w:rsid w:val="009D1860"/>
    <w:rsid w:val="009D3E5A"/>
    <w:rsid w:val="009D5067"/>
    <w:rsid w:val="009D5C27"/>
    <w:rsid w:val="009D6520"/>
    <w:rsid w:val="009D744F"/>
    <w:rsid w:val="009E1AA0"/>
    <w:rsid w:val="009E3C73"/>
    <w:rsid w:val="009E4458"/>
    <w:rsid w:val="009E6D86"/>
    <w:rsid w:val="009E7112"/>
    <w:rsid w:val="009F1B31"/>
    <w:rsid w:val="009F3AC5"/>
    <w:rsid w:val="009F51CF"/>
    <w:rsid w:val="009F55BF"/>
    <w:rsid w:val="009F5CDD"/>
    <w:rsid w:val="009F7C75"/>
    <w:rsid w:val="00A042F1"/>
    <w:rsid w:val="00A0629A"/>
    <w:rsid w:val="00A10B9C"/>
    <w:rsid w:val="00A15C91"/>
    <w:rsid w:val="00A200B6"/>
    <w:rsid w:val="00A2031E"/>
    <w:rsid w:val="00A20F2A"/>
    <w:rsid w:val="00A216B1"/>
    <w:rsid w:val="00A22975"/>
    <w:rsid w:val="00A22F25"/>
    <w:rsid w:val="00A23624"/>
    <w:rsid w:val="00A23D3B"/>
    <w:rsid w:val="00A26379"/>
    <w:rsid w:val="00A27EE2"/>
    <w:rsid w:val="00A30D6F"/>
    <w:rsid w:val="00A36348"/>
    <w:rsid w:val="00A36FB8"/>
    <w:rsid w:val="00A40FD5"/>
    <w:rsid w:val="00A41EAC"/>
    <w:rsid w:val="00A428D5"/>
    <w:rsid w:val="00A42B9E"/>
    <w:rsid w:val="00A44F6D"/>
    <w:rsid w:val="00A44FE5"/>
    <w:rsid w:val="00A4609C"/>
    <w:rsid w:val="00A472EC"/>
    <w:rsid w:val="00A5358B"/>
    <w:rsid w:val="00A53D4A"/>
    <w:rsid w:val="00A55F87"/>
    <w:rsid w:val="00A56E2E"/>
    <w:rsid w:val="00A67420"/>
    <w:rsid w:val="00A7154B"/>
    <w:rsid w:val="00A746F5"/>
    <w:rsid w:val="00A773A7"/>
    <w:rsid w:val="00A773DA"/>
    <w:rsid w:val="00A84FC6"/>
    <w:rsid w:val="00A86340"/>
    <w:rsid w:val="00A864EB"/>
    <w:rsid w:val="00A9044C"/>
    <w:rsid w:val="00A90951"/>
    <w:rsid w:val="00A9106B"/>
    <w:rsid w:val="00A91DE3"/>
    <w:rsid w:val="00A91F9A"/>
    <w:rsid w:val="00A93222"/>
    <w:rsid w:val="00A93BC2"/>
    <w:rsid w:val="00A94DF2"/>
    <w:rsid w:val="00A95DBC"/>
    <w:rsid w:val="00A95E12"/>
    <w:rsid w:val="00A96926"/>
    <w:rsid w:val="00A97180"/>
    <w:rsid w:val="00AA0167"/>
    <w:rsid w:val="00AA17DC"/>
    <w:rsid w:val="00AA7A18"/>
    <w:rsid w:val="00AB01E4"/>
    <w:rsid w:val="00AB1582"/>
    <w:rsid w:val="00AB29D3"/>
    <w:rsid w:val="00AB39F3"/>
    <w:rsid w:val="00AB44CD"/>
    <w:rsid w:val="00AB454D"/>
    <w:rsid w:val="00AC1694"/>
    <w:rsid w:val="00AC200A"/>
    <w:rsid w:val="00AC2B19"/>
    <w:rsid w:val="00AC3A1C"/>
    <w:rsid w:val="00AC4A89"/>
    <w:rsid w:val="00AC60E0"/>
    <w:rsid w:val="00AC648A"/>
    <w:rsid w:val="00AC6CEC"/>
    <w:rsid w:val="00AC7411"/>
    <w:rsid w:val="00AD0DBF"/>
    <w:rsid w:val="00AD6ACB"/>
    <w:rsid w:val="00AE1B40"/>
    <w:rsid w:val="00AE2ED6"/>
    <w:rsid w:val="00AF039F"/>
    <w:rsid w:val="00AF4A99"/>
    <w:rsid w:val="00AF6325"/>
    <w:rsid w:val="00AF7A6A"/>
    <w:rsid w:val="00B00F7A"/>
    <w:rsid w:val="00B012D5"/>
    <w:rsid w:val="00B0332B"/>
    <w:rsid w:val="00B05E7D"/>
    <w:rsid w:val="00B077EB"/>
    <w:rsid w:val="00B11F7D"/>
    <w:rsid w:val="00B1230F"/>
    <w:rsid w:val="00B127DA"/>
    <w:rsid w:val="00B12ECD"/>
    <w:rsid w:val="00B14C0B"/>
    <w:rsid w:val="00B2146D"/>
    <w:rsid w:val="00B243CC"/>
    <w:rsid w:val="00B257CC"/>
    <w:rsid w:val="00B25D56"/>
    <w:rsid w:val="00B26E26"/>
    <w:rsid w:val="00B27632"/>
    <w:rsid w:val="00B31EAF"/>
    <w:rsid w:val="00B3313A"/>
    <w:rsid w:val="00B340CF"/>
    <w:rsid w:val="00B34302"/>
    <w:rsid w:val="00B36043"/>
    <w:rsid w:val="00B37734"/>
    <w:rsid w:val="00B37BCC"/>
    <w:rsid w:val="00B41870"/>
    <w:rsid w:val="00B4243B"/>
    <w:rsid w:val="00B43301"/>
    <w:rsid w:val="00B44816"/>
    <w:rsid w:val="00B47039"/>
    <w:rsid w:val="00B47E7B"/>
    <w:rsid w:val="00B55791"/>
    <w:rsid w:val="00B63318"/>
    <w:rsid w:val="00B665B5"/>
    <w:rsid w:val="00B66DC1"/>
    <w:rsid w:val="00B67101"/>
    <w:rsid w:val="00B73A67"/>
    <w:rsid w:val="00B76E55"/>
    <w:rsid w:val="00B8043F"/>
    <w:rsid w:val="00B8308E"/>
    <w:rsid w:val="00B84AA2"/>
    <w:rsid w:val="00B85012"/>
    <w:rsid w:val="00B91124"/>
    <w:rsid w:val="00B9180C"/>
    <w:rsid w:val="00B9298C"/>
    <w:rsid w:val="00B929F6"/>
    <w:rsid w:val="00B94480"/>
    <w:rsid w:val="00B97B7B"/>
    <w:rsid w:val="00BA18A9"/>
    <w:rsid w:val="00BA2C2D"/>
    <w:rsid w:val="00BA4F14"/>
    <w:rsid w:val="00BB14F8"/>
    <w:rsid w:val="00BB1D3E"/>
    <w:rsid w:val="00BB20A2"/>
    <w:rsid w:val="00BC02D7"/>
    <w:rsid w:val="00BC058F"/>
    <w:rsid w:val="00BC2AB7"/>
    <w:rsid w:val="00BC3D6F"/>
    <w:rsid w:val="00BC500A"/>
    <w:rsid w:val="00BC61AC"/>
    <w:rsid w:val="00BD0EBD"/>
    <w:rsid w:val="00BD20CF"/>
    <w:rsid w:val="00BD3984"/>
    <w:rsid w:val="00BD3B87"/>
    <w:rsid w:val="00BD4C35"/>
    <w:rsid w:val="00BD4F3F"/>
    <w:rsid w:val="00BE5F2D"/>
    <w:rsid w:val="00BE6FA5"/>
    <w:rsid w:val="00BF28ED"/>
    <w:rsid w:val="00BF4A9B"/>
    <w:rsid w:val="00C013D8"/>
    <w:rsid w:val="00C0150B"/>
    <w:rsid w:val="00C036EC"/>
    <w:rsid w:val="00C04372"/>
    <w:rsid w:val="00C0598F"/>
    <w:rsid w:val="00C05D83"/>
    <w:rsid w:val="00C06B27"/>
    <w:rsid w:val="00C1042C"/>
    <w:rsid w:val="00C13CEC"/>
    <w:rsid w:val="00C13CF5"/>
    <w:rsid w:val="00C142D9"/>
    <w:rsid w:val="00C14BD8"/>
    <w:rsid w:val="00C17776"/>
    <w:rsid w:val="00C1781A"/>
    <w:rsid w:val="00C2059D"/>
    <w:rsid w:val="00C20DC8"/>
    <w:rsid w:val="00C23661"/>
    <w:rsid w:val="00C2561D"/>
    <w:rsid w:val="00C300F2"/>
    <w:rsid w:val="00C31EB2"/>
    <w:rsid w:val="00C320DF"/>
    <w:rsid w:val="00C329C3"/>
    <w:rsid w:val="00C34C64"/>
    <w:rsid w:val="00C35D54"/>
    <w:rsid w:val="00C4126C"/>
    <w:rsid w:val="00C42C0C"/>
    <w:rsid w:val="00C42C40"/>
    <w:rsid w:val="00C536E9"/>
    <w:rsid w:val="00C55889"/>
    <w:rsid w:val="00C55E95"/>
    <w:rsid w:val="00C62563"/>
    <w:rsid w:val="00C6395F"/>
    <w:rsid w:val="00C649BC"/>
    <w:rsid w:val="00C64C3E"/>
    <w:rsid w:val="00C65CE1"/>
    <w:rsid w:val="00C66128"/>
    <w:rsid w:val="00C66BD5"/>
    <w:rsid w:val="00C66EE6"/>
    <w:rsid w:val="00C66FCB"/>
    <w:rsid w:val="00C670AB"/>
    <w:rsid w:val="00C712A4"/>
    <w:rsid w:val="00C71D3E"/>
    <w:rsid w:val="00C721C3"/>
    <w:rsid w:val="00C80DB1"/>
    <w:rsid w:val="00C83068"/>
    <w:rsid w:val="00C83429"/>
    <w:rsid w:val="00C8410F"/>
    <w:rsid w:val="00C8637A"/>
    <w:rsid w:val="00C870A4"/>
    <w:rsid w:val="00C87C97"/>
    <w:rsid w:val="00C90ECA"/>
    <w:rsid w:val="00C93022"/>
    <w:rsid w:val="00C946D2"/>
    <w:rsid w:val="00CA02A2"/>
    <w:rsid w:val="00CA4195"/>
    <w:rsid w:val="00CA45AE"/>
    <w:rsid w:val="00CA535D"/>
    <w:rsid w:val="00CA6080"/>
    <w:rsid w:val="00CA61D7"/>
    <w:rsid w:val="00CA70BF"/>
    <w:rsid w:val="00CA7348"/>
    <w:rsid w:val="00CB16E8"/>
    <w:rsid w:val="00CB2CE8"/>
    <w:rsid w:val="00CB364F"/>
    <w:rsid w:val="00CB394A"/>
    <w:rsid w:val="00CB4681"/>
    <w:rsid w:val="00CB7229"/>
    <w:rsid w:val="00CB7B5B"/>
    <w:rsid w:val="00CC1D36"/>
    <w:rsid w:val="00CC28E1"/>
    <w:rsid w:val="00CC4095"/>
    <w:rsid w:val="00CC5BDB"/>
    <w:rsid w:val="00CC6070"/>
    <w:rsid w:val="00CC718E"/>
    <w:rsid w:val="00CD1CAB"/>
    <w:rsid w:val="00CD3770"/>
    <w:rsid w:val="00CD3E5C"/>
    <w:rsid w:val="00CD6568"/>
    <w:rsid w:val="00CD74F8"/>
    <w:rsid w:val="00CE2BA4"/>
    <w:rsid w:val="00CE3AD7"/>
    <w:rsid w:val="00CE4EFC"/>
    <w:rsid w:val="00CE50F5"/>
    <w:rsid w:val="00CF33C3"/>
    <w:rsid w:val="00CF33D2"/>
    <w:rsid w:val="00CF3AC6"/>
    <w:rsid w:val="00CF438E"/>
    <w:rsid w:val="00CF7F2A"/>
    <w:rsid w:val="00CF7F8F"/>
    <w:rsid w:val="00D00991"/>
    <w:rsid w:val="00D019ED"/>
    <w:rsid w:val="00D0225D"/>
    <w:rsid w:val="00D026F7"/>
    <w:rsid w:val="00D03B6A"/>
    <w:rsid w:val="00D05597"/>
    <w:rsid w:val="00D05BBB"/>
    <w:rsid w:val="00D1373D"/>
    <w:rsid w:val="00D13ABF"/>
    <w:rsid w:val="00D16316"/>
    <w:rsid w:val="00D200E4"/>
    <w:rsid w:val="00D2049A"/>
    <w:rsid w:val="00D213FC"/>
    <w:rsid w:val="00D24803"/>
    <w:rsid w:val="00D24ACD"/>
    <w:rsid w:val="00D25F92"/>
    <w:rsid w:val="00D268BA"/>
    <w:rsid w:val="00D311D4"/>
    <w:rsid w:val="00D318F1"/>
    <w:rsid w:val="00D322B6"/>
    <w:rsid w:val="00D32534"/>
    <w:rsid w:val="00D32B75"/>
    <w:rsid w:val="00D32C0A"/>
    <w:rsid w:val="00D32C17"/>
    <w:rsid w:val="00D353FF"/>
    <w:rsid w:val="00D402F9"/>
    <w:rsid w:val="00D44839"/>
    <w:rsid w:val="00D46F16"/>
    <w:rsid w:val="00D47043"/>
    <w:rsid w:val="00D47915"/>
    <w:rsid w:val="00D51479"/>
    <w:rsid w:val="00D55FFA"/>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94B21"/>
    <w:rsid w:val="00DA0B33"/>
    <w:rsid w:val="00DA2036"/>
    <w:rsid w:val="00DA3FC7"/>
    <w:rsid w:val="00DA4EC4"/>
    <w:rsid w:val="00DA55DB"/>
    <w:rsid w:val="00DA5953"/>
    <w:rsid w:val="00DA5BA5"/>
    <w:rsid w:val="00DA5D11"/>
    <w:rsid w:val="00DA662A"/>
    <w:rsid w:val="00DA7361"/>
    <w:rsid w:val="00DA7B21"/>
    <w:rsid w:val="00DA7BFE"/>
    <w:rsid w:val="00DB2FD1"/>
    <w:rsid w:val="00DB3137"/>
    <w:rsid w:val="00DB663C"/>
    <w:rsid w:val="00DC10A7"/>
    <w:rsid w:val="00DC168D"/>
    <w:rsid w:val="00DC33B6"/>
    <w:rsid w:val="00DC63F9"/>
    <w:rsid w:val="00DC65F6"/>
    <w:rsid w:val="00DD29D3"/>
    <w:rsid w:val="00DD4B24"/>
    <w:rsid w:val="00DD5651"/>
    <w:rsid w:val="00DD6196"/>
    <w:rsid w:val="00DE0E2E"/>
    <w:rsid w:val="00DE12F4"/>
    <w:rsid w:val="00DE1DFC"/>
    <w:rsid w:val="00DE208C"/>
    <w:rsid w:val="00DE49A9"/>
    <w:rsid w:val="00DE53B2"/>
    <w:rsid w:val="00DE6B52"/>
    <w:rsid w:val="00DE70D7"/>
    <w:rsid w:val="00DF13FF"/>
    <w:rsid w:val="00DF1553"/>
    <w:rsid w:val="00DF4624"/>
    <w:rsid w:val="00DF46D3"/>
    <w:rsid w:val="00DF4743"/>
    <w:rsid w:val="00DF7B2B"/>
    <w:rsid w:val="00E01909"/>
    <w:rsid w:val="00E04FDF"/>
    <w:rsid w:val="00E05A53"/>
    <w:rsid w:val="00E05F15"/>
    <w:rsid w:val="00E07D2B"/>
    <w:rsid w:val="00E10531"/>
    <w:rsid w:val="00E10877"/>
    <w:rsid w:val="00E1304F"/>
    <w:rsid w:val="00E13BC1"/>
    <w:rsid w:val="00E1419F"/>
    <w:rsid w:val="00E17315"/>
    <w:rsid w:val="00E17D79"/>
    <w:rsid w:val="00E20A02"/>
    <w:rsid w:val="00E238C5"/>
    <w:rsid w:val="00E26943"/>
    <w:rsid w:val="00E34C20"/>
    <w:rsid w:val="00E35D90"/>
    <w:rsid w:val="00E3742A"/>
    <w:rsid w:val="00E4159A"/>
    <w:rsid w:val="00E42DE4"/>
    <w:rsid w:val="00E45EE2"/>
    <w:rsid w:val="00E46623"/>
    <w:rsid w:val="00E4774E"/>
    <w:rsid w:val="00E51C1B"/>
    <w:rsid w:val="00E5377A"/>
    <w:rsid w:val="00E56E61"/>
    <w:rsid w:val="00E57296"/>
    <w:rsid w:val="00E6080E"/>
    <w:rsid w:val="00E622B2"/>
    <w:rsid w:val="00E633B5"/>
    <w:rsid w:val="00E644CD"/>
    <w:rsid w:val="00E65A9B"/>
    <w:rsid w:val="00E715C6"/>
    <w:rsid w:val="00E720E4"/>
    <w:rsid w:val="00E7370C"/>
    <w:rsid w:val="00E73E15"/>
    <w:rsid w:val="00E775D2"/>
    <w:rsid w:val="00E8010C"/>
    <w:rsid w:val="00E80AE9"/>
    <w:rsid w:val="00E85789"/>
    <w:rsid w:val="00E87A62"/>
    <w:rsid w:val="00E9005A"/>
    <w:rsid w:val="00E90688"/>
    <w:rsid w:val="00E91461"/>
    <w:rsid w:val="00E91B94"/>
    <w:rsid w:val="00E93356"/>
    <w:rsid w:val="00EA357D"/>
    <w:rsid w:val="00EA37AB"/>
    <w:rsid w:val="00EA4736"/>
    <w:rsid w:val="00EA60CE"/>
    <w:rsid w:val="00EA62B8"/>
    <w:rsid w:val="00EA6B0D"/>
    <w:rsid w:val="00EB0AE3"/>
    <w:rsid w:val="00EB0BD9"/>
    <w:rsid w:val="00EB4FA7"/>
    <w:rsid w:val="00EB5222"/>
    <w:rsid w:val="00EB68EE"/>
    <w:rsid w:val="00EB7174"/>
    <w:rsid w:val="00EB7E69"/>
    <w:rsid w:val="00EC155E"/>
    <w:rsid w:val="00EC2706"/>
    <w:rsid w:val="00EC287E"/>
    <w:rsid w:val="00EC3182"/>
    <w:rsid w:val="00EC35BE"/>
    <w:rsid w:val="00EC3F23"/>
    <w:rsid w:val="00EC57BD"/>
    <w:rsid w:val="00EC74CE"/>
    <w:rsid w:val="00EC7697"/>
    <w:rsid w:val="00EC77D6"/>
    <w:rsid w:val="00EC7AA0"/>
    <w:rsid w:val="00ED1F25"/>
    <w:rsid w:val="00ED3A71"/>
    <w:rsid w:val="00ED758C"/>
    <w:rsid w:val="00ED7A3F"/>
    <w:rsid w:val="00EE06ED"/>
    <w:rsid w:val="00EE232E"/>
    <w:rsid w:val="00EE4212"/>
    <w:rsid w:val="00EE54FE"/>
    <w:rsid w:val="00EE55D8"/>
    <w:rsid w:val="00EE5E15"/>
    <w:rsid w:val="00EF011C"/>
    <w:rsid w:val="00EF1A94"/>
    <w:rsid w:val="00EF20FA"/>
    <w:rsid w:val="00EF52D6"/>
    <w:rsid w:val="00EF7E5B"/>
    <w:rsid w:val="00F00B43"/>
    <w:rsid w:val="00F0162F"/>
    <w:rsid w:val="00F01C96"/>
    <w:rsid w:val="00F0661F"/>
    <w:rsid w:val="00F12CBB"/>
    <w:rsid w:val="00F1355C"/>
    <w:rsid w:val="00F226E8"/>
    <w:rsid w:val="00F2566F"/>
    <w:rsid w:val="00F30D38"/>
    <w:rsid w:val="00F30E51"/>
    <w:rsid w:val="00F31AD0"/>
    <w:rsid w:val="00F33527"/>
    <w:rsid w:val="00F3506F"/>
    <w:rsid w:val="00F35DF7"/>
    <w:rsid w:val="00F37942"/>
    <w:rsid w:val="00F37F36"/>
    <w:rsid w:val="00F41632"/>
    <w:rsid w:val="00F42267"/>
    <w:rsid w:val="00F43D6D"/>
    <w:rsid w:val="00F454C9"/>
    <w:rsid w:val="00F5002B"/>
    <w:rsid w:val="00F502E8"/>
    <w:rsid w:val="00F51AF2"/>
    <w:rsid w:val="00F5295B"/>
    <w:rsid w:val="00F55C7F"/>
    <w:rsid w:val="00F564F6"/>
    <w:rsid w:val="00F56AD8"/>
    <w:rsid w:val="00F57CCC"/>
    <w:rsid w:val="00F601E7"/>
    <w:rsid w:val="00F6137E"/>
    <w:rsid w:val="00F63771"/>
    <w:rsid w:val="00F6386C"/>
    <w:rsid w:val="00F63922"/>
    <w:rsid w:val="00F65AA1"/>
    <w:rsid w:val="00F673BD"/>
    <w:rsid w:val="00F675E2"/>
    <w:rsid w:val="00F70C83"/>
    <w:rsid w:val="00F75E0E"/>
    <w:rsid w:val="00F76826"/>
    <w:rsid w:val="00F76A15"/>
    <w:rsid w:val="00F77A72"/>
    <w:rsid w:val="00F8112C"/>
    <w:rsid w:val="00F8143A"/>
    <w:rsid w:val="00F825E8"/>
    <w:rsid w:val="00F82E38"/>
    <w:rsid w:val="00F83C52"/>
    <w:rsid w:val="00F83D25"/>
    <w:rsid w:val="00F849A3"/>
    <w:rsid w:val="00F84A1B"/>
    <w:rsid w:val="00F85561"/>
    <w:rsid w:val="00F85A41"/>
    <w:rsid w:val="00F87DA7"/>
    <w:rsid w:val="00F90A9D"/>
    <w:rsid w:val="00F92229"/>
    <w:rsid w:val="00F942DD"/>
    <w:rsid w:val="00F94983"/>
    <w:rsid w:val="00F94ADC"/>
    <w:rsid w:val="00F97C8E"/>
    <w:rsid w:val="00F97E58"/>
    <w:rsid w:val="00FA0AAD"/>
    <w:rsid w:val="00FA1DC1"/>
    <w:rsid w:val="00FA791B"/>
    <w:rsid w:val="00FB0DEE"/>
    <w:rsid w:val="00FB0E70"/>
    <w:rsid w:val="00FB1EB6"/>
    <w:rsid w:val="00FB1F05"/>
    <w:rsid w:val="00FB2CE2"/>
    <w:rsid w:val="00FB3989"/>
    <w:rsid w:val="00FB5FF6"/>
    <w:rsid w:val="00FB67DD"/>
    <w:rsid w:val="00FB748E"/>
    <w:rsid w:val="00FC02C4"/>
    <w:rsid w:val="00FC066F"/>
    <w:rsid w:val="00FC33BC"/>
    <w:rsid w:val="00FC5B79"/>
    <w:rsid w:val="00FC7905"/>
    <w:rsid w:val="00FD0273"/>
    <w:rsid w:val="00FD32EF"/>
    <w:rsid w:val="00FD4F36"/>
    <w:rsid w:val="00FD5A7B"/>
    <w:rsid w:val="00FD6F12"/>
    <w:rsid w:val="00FE2461"/>
    <w:rsid w:val="00FE5E89"/>
    <w:rsid w:val="00FE7260"/>
    <w:rsid w:val="00FF0866"/>
    <w:rsid w:val="00FF0CA9"/>
    <w:rsid w:val="00FF5529"/>
    <w:rsid w:val="00FF724C"/>
    <w:rsid w:val="00FF7BD2"/>
    <w:rsid w:val="0160084E"/>
    <w:rsid w:val="01D809DA"/>
    <w:rsid w:val="02EB5598"/>
    <w:rsid w:val="02EE3C38"/>
    <w:rsid w:val="047020E1"/>
    <w:rsid w:val="047D268D"/>
    <w:rsid w:val="049D30BA"/>
    <w:rsid w:val="04A0363B"/>
    <w:rsid w:val="050D4849"/>
    <w:rsid w:val="05832D5D"/>
    <w:rsid w:val="061331AE"/>
    <w:rsid w:val="0772129E"/>
    <w:rsid w:val="077520F8"/>
    <w:rsid w:val="08684DF5"/>
    <w:rsid w:val="09CA6405"/>
    <w:rsid w:val="0A073F5D"/>
    <w:rsid w:val="0B197C69"/>
    <w:rsid w:val="0B1C3A38"/>
    <w:rsid w:val="0B6F50D6"/>
    <w:rsid w:val="0C3C3C66"/>
    <w:rsid w:val="0DF547FC"/>
    <w:rsid w:val="103709CC"/>
    <w:rsid w:val="11AD363C"/>
    <w:rsid w:val="123829DB"/>
    <w:rsid w:val="12D40754"/>
    <w:rsid w:val="136F05E1"/>
    <w:rsid w:val="13AF364A"/>
    <w:rsid w:val="141F703F"/>
    <w:rsid w:val="14471B75"/>
    <w:rsid w:val="15AC2564"/>
    <w:rsid w:val="161218F2"/>
    <w:rsid w:val="169E52BE"/>
    <w:rsid w:val="17284747"/>
    <w:rsid w:val="177B5642"/>
    <w:rsid w:val="188A384C"/>
    <w:rsid w:val="18EB32A2"/>
    <w:rsid w:val="18ED4BE6"/>
    <w:rsid w:val="19080538"/>
    <w:rsid w:val="1B8F226A"/>
    <w:rsid w:val="1BF603FD"/>
    <w:rsid w:val="1C4457E0"/>
    <w:rsid w:val="1C6012AB"/>
    <w:rsid w:val="1C954E9B"/>
    <w:rsid w:val="1D28444D"/>
    <w:rsid w:val="1DC21FC9"/>
    <w:rsid w:val="1E4B14A4"/>
    <w:rsid w:val="1EC57AEB"/>
    <w:rsid w:val="1F3E7747"/>
    <w:rsid w:val="1F6447EB"/>
    <w:rsid w:val="1FAB7EC9"/>
    <w:rsid w:val="1FB674A0"/>
    <w:rsid w:val="20BA2F5F"/>
    <w:rsid w:val="210A2DE2"/>
    <w:rsid w:val="227E0BA8"/>
    <w:rsid w:val="231869C0"/>
    <w:rsid w:val="233D1B3B"/>
    <w:rsid w:val="237325A6"/>
    <w:rsid w:val="248363AB"/>
    <w:rsid w:val="249400B8"/>
    <w:rsid w:val="24AA6B7F"/>
    <w:rsid w:val="254F1848"/>
    <w:rsid w:val="25C07C71"/>
    <w:rsid w:val="25D0734D"/>
    <w:rsid w:val="273805A1"/>
    <w:rsid w:val="277B2E99"/>
    <w:rsid w:val="29253080"/>
    <w:rsid w:val="293D15A7"/>
    <w:rsid w:val="29B03871"/>
    <w:rsid w:val="2A5B24CB"/>
    <w:rsid w:val="2B084FE7"/>
    <w:rsid w:val="2B2A4CD2"/>
    <w:rsid w:val="2BA91FA1"/>
    <w:rsid w:val="2BB974A6"/>
    <w:rsid w:val="2C546CE8"/>
    <w:rsid w:val="2C8B4122"/>
    <w:rsid w:val="2E222102"/>
    <w:rsid w:val="2E4B07DF"/>
    <w:rsid w:val="2F1F0986"/>
    <w:rsid w:val="306E4ABB"/>
    <w:rsid w:val="317B29B7"/>
    <w:rsid w:val="34FC3E4E"/>
    <w:rsid w:val="351A1AE7"/>
    <w:rsid w:val="35AE0E2F"/>
    <w:rsid w:val="35D43E02"/>
    <w:rsid w:val="35E05169"/>
    <w:rsid w:val="365145DD"/>
    <w:rsid w:val="365A5908"/>
    <w:rsid w:val="365F672B"/>
    <w:rsid w:val="36FA25D0"/>
    <w:rsid w:val="379350B9"/>
    <w:rsid w:val="381E5863"/>
    <w:rsid w:val="38A10829"/>
    <w:rsid w:val="38CD161E"/>
    <w:rsid w:val="39326803"/>
    <w:rsid w:val="39363588"/>
    <w:rsid w:val="39495371"/>
    <w:rsid w:val="3A1D3923"/>
    <w:rsid w:val="3A484490"/>
    <w:rsid w:val="3AA12967"/>
    <w:rsid w:val="3AAB0A5D"/>
    <w:rsid w:val="3AAE682B"/>
    <w:rsid w:val="3AF31C72"/>
    <w:rsid w:val="3B345644"/>
    <w:rsid w:val="3BAB6D11"/>
    <w:rsid w:val="3BDA0EC2"/>
    <w:rsid w:val="3C1F5FC2"/>
    <w:rsid w:val="3C9A142D"/>
    <w:rsid w:val="3D9018F7"/>
    <w:rsid w:val="3DD23226"/>
    <w:rsid w:val="3EEE4289"/>
    <w:rsid w:val="3F8769CB"/>
    <w:rsid w:val="3FEA1741"/>
    <w:rsid w:val="42170A45"/>
    <w:rsid w:val="42D12FED"/>
    <w:rsid w:val="42F26F57"/>
    <w:rsid w:val="435C016E"/>
    <w:rsid w:val="43725651"/>
    <w:rsid w:val="455B3ADE"/>
    <w:rsid w:val="45941E41"/>
    <w:rsid w:val="45AA0F97"/>
    <w:rsid w:val="45B0020C"/>
    <w:rsid w:val="46A05519"/>
    <w:rsid w:val="47121270"/>
    <w:rsid w:val="471D6FE0"/>
    <w:rsid w:val="477F6B97"/>
    <w:rsid w:val="478D4315"/>
    <w:rsid w:val="47E50732"/>
    <w:rsid w:val="489F0E4D"/>
    <w:rsid w:val="48B910A2"/>
    <w:rsid w:val="48CC1A93"/>
    <w:rsid w:val="49271B0E"/>
    <w:rsid w:val="49875F22"/>
    <w:rsid w:val="49D35E4A"/>
    <w:rsid w:val="4A342BAF"/>
    <w:rsid w:val="4A575D4B"/>
    <w:rsid w:val="4A905564"/>
    <w:rsid w:val="4B160DC5"/>
    <w:rsid w:val="4BCF3F9F"/>
    <w:rsid w:val="4C177328"/>
    <w:rsid w:val="4DF47921"/>
    <w:rsid w:val="4E4828F3"/>
    <w:rsid w:val="4EBA2924"/>
    <w:rsid w:val="4F786DF7"/>
    <w:rsid w:val="4FA5029A"/>
    <w:rsid w:val="4FA85327"/>
    <w:rsid w:val="5024065B"/>
    <w:rsid w:val="508915C5"/>
    <w:rsid w:val="50AF6190"/>
    <w:rsid w:val="512668A4"/>
    <w:rsid w:val="51C9470D"/>
    <w:rsid w:val="53090BCE"/>
    <w:rsid w:val="53662E9D"/>
    <w:rsid w:val="53C07A27"/>
    <w:rsid w:val="546264E1"/>
    <w:rsid w:val="54F51190"/>
    <w:rsid w:val="55010379"/>
    <w:rsid w:val="55261830"/>
    <w:rsid w:val="55B0753C"/>
    <w:rsid w:val="55E824E3"/>
    <w:rsid w:val="566913D9"/>
    <w:rsid w:val="56753CBB"/>
    <w:rsid w:val="570A19A7"/>
    <w:rsid w:val="587C01ED"/>
    <w:rsid w:val="58C048C7"/>
    <w:rsid w:val="596C5459"/>
    <w:rsid w:val="5AD0472F"/>
    <w:rsid w:val="5ADA7E9F"/>
    <w:rsid w:val="5B9D7EDB"/>
    <w:rsid w:val="5CAB4900"/>
    <w:rsid w:val="5D4B6E32"/>
    <w:rsid w:val="5DF7516B"/>
    <w:rsid w:val="5E845967"/>
    <w:rsid w:val="5EEE3F19"/>
    <w:rsid w:val="60F56A97"/>
    <w:rsid w:val="61B10945"/>
    <w:rsid w:val="62F35FA1"/>
    <w:rsid w:val="632C5010"/>
    <w:rsid w:val="634B193A"/>
    <w:rsid w:val="63E458EA"/>
    <w:rsid w:val="647E189B"/>
    <w:rsid w:val="64F53130"/>
    <w:rsid w:val="654C7DBC"/>
    <w:rsid w:val="65BA4B55"/>
    <w:rsid w:val="65FC33BF"/>
    <w:rsid w:val="665045A0"/>
    <w:rsid w:val="672B4DBE"/>
    <w:rsid w:val="697B7601"/>
    <w:rsid w:val="6A183A5C"/>
    <w:rsid w:val="6A586CFB"/>
    <w:rsid w:val="6AFD1920"/>
    <w:rsid w:val="6B0868C7"/>
    <w:rsid w:val="6CD56961"/>
    <w:rsid w:val="6DE62AE6"/>
    <w:rsid w:val="6ED47B86"/>
    <w:rsid w:val="6EDC16EB"/>
    <w:rsid w:val="6FD32CF2"/>
    <w:rsid w:val="6FE06CEC"/>
    <w:rsid w:val="708E730A"/>
    <w:rsid w:val="70B352AA"/>
    <w:rsid w:val="70BC17A4"/>
    <w:rsid w:val="71013DE5"/>
    <w:rsid w:val="72C37A54"/>
    <w:rsid w:val="72E87C49"/>
    <w:rsid w:val="739377A8"/>
    <w:rsid w:val="73A669E1"/>
    <w:rsid w:val="744505BC"/>
    <w:rsid w:val="74547E66"/>
    <w:rsid w:val="745C1FFB"/>
    <w:rsid w:val="74FA31C0"/>
    <w:rsid w:val="75376144"/>
    <w:rsid w:val="75512651"/>
    <w:rsid w:val="7625604C"/>
    <w:rsid w:val="77C948CA"/>
    <w:rsid w:val="78C4665E"/>
    <w:rsid w:val="78D67BCB"/>
    <w:rsid w:val="78F65F6E"/>
    <w:rsid w:val="793F7A9D"/>
    <w:rsid w:val="79B24069"/>
    <w:rsid w:val="7A9A011D"/>
    <w:rsid w:val="7A9A3672"/>
    <w:rsid w:val="7AA73CAE"/>
    <w:rsid w:val="7ACE4206"/>
    <w:rsid w:val="7B541514"/>
    <w:rsid w:val="7C394BF4"/>
    <w:rsid w:val="7CEA3B0F"/>
    <w:rsid w:val="7CFC202C"/>
    <w:rsid w:val="7D34470F"/>
    <w:rsid w:val="7EB11458"/>
    <w:rsid w:val="7EC5540D"/>
    <w:rsid w:val="7F71407E"/>
    <w:rsid w:val="7FA40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qFormat="1" w:unhideWhenUsed="0" w:uiPriority="39"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58"/>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6"/>
    <w:link w:val="59"/>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6"/>
    <w:link w:val="60"/>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6"/>
    <w:link w:val="61"/>
    <w:qFormat/>
    <w:uiPriority w:val="9"/>
    <w:pPr>
      <w:keepNext/>
      <w:widowControl/>
      <w:numPr>
        <w:ilvl w:val="0"/>
        <w:numId w:val="4"/>
      </w:numPr>
      <w:jc w:val="left"/>
      <w:outlineLvl w:val="4"/>
    </w:pPr>
    <w:rPr>
      <w:kern w:val="0"/>
      <w:sz w:val="24"/>
      <w:szCs w:val="20"/>
    </w:rPr>
  </w:style>
  <w:style w:type="paragraph" w:styleId="9">
    <w:name w:val="heading 6"/>
    <w:basedOn w:val="1"/>
    <w:next w:val="1"/>
    <w:link w:val="62"/>
    <w:qFormat/>
    <w:uiPriority w:val="9"/>
    <w:pPr>
      <w:widowControl/>
      <w:spacing w:before="60" w:after="60" w:line="440" w:lineRule="atLeast"/>
      <w:textAlignment w:val="baseline"/>
      <w:outlineLvl w:val="5"/>
    </w:pPr>
    <w:rPr>
      <w:rFonts w:ascii="宋体" w:hAnsi="Arial"/>
      <w:kern w:val="0"/>
      <w:sz w:val="24"/>
      <w:szCs w:val="20"/>
    </w:rPr>
  </w:style>
  <w:style w:type="paragraph" w:styleId="10">
    <w:name w:val="heading 7"/>
    <w:basedOn w:val="1"/>
    <w:next w:val="1"/>
    <w:link w:val="63"/>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1">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7"/>
    <w:qFormat/>
    <w:uiPriority w:val="99"/>
    <w:pPr>
      <w:spacing w:line="360" w:lineRule="auto"/>
    </w:pPr>
    <w:rPr>
      <w:rFonts w:eastAsia="仿宋_GB2312"/>
      <w:sz w:val="28"/>
    </w:rPr>
  </w:style>
  <w:style w:type="paragraph" w:styleId="6">
    <w:name w:val="Normal Indent"/>
    <w:basedOn w:val="1"/>
    <w:link w:val="56"/>
    <w:qFormat/>
    <w:uiPriority w:val="0"/>
    <w:pPr>
      <w:ind w:firstLine="420" w:firstLineChars="200"/>
    </w:pPr>
  </w:style>
  <w:style w:type="paragraph" w:styleId="13">
    <w:name w:val="toc 7"/>
    <w:basedOn w:val="1"/>
    <w:next w:val="1"/>
    <w:qFormat/>
    <w:uiPriority w:val="39"/>
    <w:pPr>
      <w:ind w:left="2520" w:leftChars="1200"/>
    </w:pPr>
    <w:rPr>
      <w:rFonts w:ascii="Calibri" w:hAnsi="Calibri" w:cs="宋体"/>
      <w:szCs w:val="22"/>
    </w:r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table of authorities"/>
    <w:basedOn w:val="1"/>
    <w:next w:val="1"/>
    <w:qFormat/>
    <w:uiPriority w:val="0"/>
    <w:pPr>
      <w:ind w:left="420" w:leftChars="200"/>
    </w:pPr>
    <w:rPr>
      <w:rFonts w:ascii="Calibri" w:hAnsi="Calibri" w:cs="宋体"/>
      <w:szCs w:val="22"/>
    </w:rPr>
  </w:style>
  <w:style w:type="paragraph" w:styleId="16">
    <w:name w:val="List Number"/>
    <w:basedOn w:val="1"/>
    <w:qFormat/>
    <w:uiPriority w:val="0"/>
    <w:pPr>
      <w:widowControl/>
      <w:tabs>
        <w:tab w:val="left" w:pos="454"/>
      </w:tabs>
      <w:spacing w:afterLines="50"/>
      <w:ind w:left="454" w:hanging="284"/>
      <w:jc w:val="left"/>
    </w:pPr>
    <w:rPr>
      <w:kern w:val="0"/>
      <w:sz w:val="24"/>
      <w:szCs w:val="20"/>
    </w:rPr>
  </w:style>
  <w:style w:type="paragraph" w:styleId="17">
    <w:name w:val="caption"/>
    <w:basedOn w:val="1"/>
    <w:next w:val="1"/>
    <w:qFormat/>
    <w:uiPriority w:val="0"/>
    <w:pPr>
      <w:spacing w:line="360" w:lineRule="auto"/>
      <w:jc w:val="center"/>
    </w:pPr>
    <w:rPr>
      <w:rFonts w:ascii="Calibri" w:hAnsi="Calibri"/>
      <w:sz w:val="20"/>
      <w:szCs w:val="20"/>
    </w:rPr>
  </w:style>
  <w:style w:type="paragraph" w:styleId="18">
    <w:name w:val="Document Map"/>
    <w:basedOn w:val="1"/>
    <w:link w:val="122"/>
    <w:semiHidden/>
    <w:qFormat/>
    <w:uiPriority w:val="0"/>
    <w:pPr>
      <w:shd w:val="clear" w:color="auto" w:fill="000080"/>
    </w:pPr>
  </w:style>
  <w:style w:type="paragraph" w:styleId="19">
    <w:name w:val="annotation text"/>
    <w:basedOn w:val="1"/>
    <w:link w:val="74"/>
    <w:qFormat/>
    <w:uiPriority w:val="0"/>
    <w:pPr>
      <w:jc w:val="left"/>
    </w:pPr>
  </w:style>
  <w:style w:type="paragraph" w:styleId="20">
    <w:name w:val="Body Text Indent"/>
    <w:basedOn w:val="1"/>
    <w:next w:val="1"/>
    <w:link w:val="68"/>
    <w:qFormat/>
    <w:uiPriority w:val="99"/>
    <w:pPr>
      <w:spacing w:after="120"/>
      <w:ind w:left="420" w:leftChars="200"/>
    </w:pPr>
  </w:style>
  <w:style w:type="paragraph" w:styleId="21">
    <w:name w:val="List Number 3"/>
    <w:basedOn w:val="1"/>
    <w:qFormat/>
    <w:uiPriority w:val="0"/>
    <w:pPr>
      <w:widowControl/>
      <w:tabs>
        <w:tab w:val="left" w:pos="482"/>
      </w:tabs>
      <w:spacing w:afterLines="50"/>
      <w:ind w:left="482" w:hanging="340"/>
      <w:jc w:val="left"/>
    </w:pPr>
    <w:rPr>
      <w:kern w:val="0"/>
      <w:sz w:val="24"/>
      <w:szCs w:val="20"/>
    </w:rPr>
  </w:style>
  <w:style w:type="paragraph" w:styleId="22">
    <w:name w:val="List 2"/>
    <w:basedOn w:val="1"/>
    <w:qFormat/>
    <w:uiPriority w:val="0"/>
    <w:pPr>
      <w:ind w:left="100" w:leftChars="200" w:hanging="200" w:hangingChars="200"/>
    </w:pPr>
    <w:rPr>
      <w:rFonts w:ascii="等线" w:hAnsi="等线" w:eastAsia="宋体-简"/>
      <w:sz w:val="24"/>
    </w:rPr>
  </w:style>
  <w:style w:type="paragraph" w:styleId="23">
    <w:name w:val="Block Text"/>
    <w:basedOn w:val="1"/>
    <w:qFormat/>
    <w:uiPriority w:val="0"/>
    <w:pPr>
      <w:spacing w:before="120" w:line="360" w:lineRule="auto"/>
      <w:ind w:left="824" w:right="202"/>
    </w:pPr>
    <w:rPr>
      <w:rFonts w:ascii="宋体" w:hAnsi="宋体"/>
      <w:sz w:val="24"/>
      <w:szCs w:val="21"/>
    </w:rPr>
  </w:style>
  <w:style w:type="paragraph" w:styleId="24">
    <w:name w:val="index 4"/>
    <w:basedOn w:val="1"/>
    <w:next w:val="1"/>
    <w:unhideWhenUsed/>
    <w:qFormat/>
    <w:uiPriority w:val="99"/>
    <w:pPr>
      <w:ind w:left="600" w:leftChars="600"/>
    </w:pPr>
  </w:style>
  <w:style w:type="paragraph" w:styleId="25">
    <w:name w:val="toc 3"/>
    <w:basedOn w:val="1"/>
    <w:next w:val="1"/>
    <w:unhideWhenUsed/>
    <w:qFormat/>
    <w:uiPriority w:val="0"/>
    <w:pPr>
      <w:ind w:left="840" w:leftChars="400"/>
    </w:pPr>
    <w:rPr>
      <w:rFonts w:ascii="Calibri" w:hAnsi="Calibri"/>
      <w:szCs w:val="22"/>
    </w:rPr>
  </w:style>
  <w:style w:type="paragraph" w:styleId="26">
    <w:name w:val="Plain Text"/>
    <w:basedOn w:val="1"/>
    <w:link w:val="66"/>
    <w:qFormat/>
    <w:uiPriority w:val="0"/>
    <w:rPr>
      <w:rFonts w:ascii="宋体" w:hAnsi="Courier New"/>
      <w:szCs w:val="20"/>
    </w:rPr>
  </w:style>
  <w:style w:type="paragraph" w:styleId="27">
    <w:name w:val="Date"/>
    <w:basedOn w:val="1"/>
    <w:next w:val="1"/>
    <w:link w:val="69"/>
    <w:qFormat/>
    <w:uiPriority w:val="99"/>
    <w:rPr>
      <w:rFonts w:ascii="楷体_GB2312" w:eastAsia="楷体_GB2312"/>
      <w:b/>
      <w:sz w:val="28"/>
      <w:szCs w:val="20"/>
    </w:rPr>
  </w:style>
  <w:style w:type="paragraph" w:styleId="28">
    <w:name w:val="Body Text Indent 2"/>
    <w:basedOn w:val="1"/>
    <w:link w:val="83"/>
    <w:qFormat/>
    <w:uiPriority w:val="99"/>
    <w:pPr>
      <w:spacing w:after="120" w:line="480" w:lineRule="auto"/>
      <w:ind w:left="420" w:leftChars="200"/>
    </w:pPr>
  </w:style>
  <w:style w:type="paragraph" w:styleId="29">
    <w:name w:val="Balloon Text"/>
    <w:basedOn w:val="1"/>
    <w:link w:val="200"/>
    <w:qFormat/>
    <w:uiPriority w:val="99"/>
    <w:rPr>
      <w:sz w:val="18"/>
      <w:szCs w:val="18"/>
    </w:rPr>
  </w:style>
  <w:style w:type="paragraph" w:styleId="30">
    <w:name w:val="footer"/>
    <w:basedOn w:val="1"/>
    <w:link w:val="71"/>
    <w:qFormat/>
    <w:uiPriority w:val="99"/>
    <w:pPr>
      <w:tabs>
        <w:tab w:val="center" w:pos="4153"/>
        <w:tab w:val="right" w:pos="8306"/>
      </w:tabs>
      <w:snapToGrid w:val="0"/>
      <w:jc w:val="left"/>
    </w:pPr>
    <w:rPr>
      <w:sz w:val="18"/>
      <w:szCs w:val="18"/>
    </w:rPr>
  </w:style>
  <w:style w:type="paragraph" w:styleId="31">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style>
  <w:style w:type="paragraph" w:styleId="33">
    <w:name w:val="toc 4"/>
    <w:basedOn w:val="1"/>
    <w:next w:val="1"/>
    <w:semiHidden/>
    <w:qFormat/>
    <w:uiPriority w:val="0"/>
    <w:pPr>
      <w:tabs>
        <w:tab w:val="right" w:leader="dot" w:pos="8314"/>
      </w:tabs>
      <w:ind w:firstLine="588" w:firstLineChars="245"/>
    </w:pPr>
  </w:style>
  <w:style w:type="paragraph" w:styleId="34">
    <w:name w:val="toc 6"/>
    <w:basedOn w:val="1"/>
    <w:next w:val="1"/>
    <w:qFormat/>
    <w:uiPriority w:val="0"/>
    <w:pPr>
      <w:ind w:left="2100" w:leftChars="1000"/>
    </w:pPr>
  </w:style>
  <w:style w:type="paragraph" w:styleId="35">
    <w:name w:val="Body Text Indent 3"/>
    <w:basedOn w:val="1"/>
    <w:link w:val="201"/>
    <w:qFormat/>
    <w:uiPriority w:val="0"/>
    <w:pPr>
      <w:spacing w:after="120"/>
      <w:ind w:left="420" w:leftChars="200"/>
    </w:pPr>
    <w:rPr>
      <w:sz w:val="16"/>
      <w:szCs w:val="16"/>
    </w:rPr>
  </w:style>
  <w:style w:type="paragraph" w:styleId="36">
    <w:name w:val="toc 2"/>
    <w:basedOn w:val="1"/>
    <w:next w:val="1"/>
    <w:semiHidden/>
    <w:qFormat/>
    <w:uiPriority w:val="0"/>
    <w:pPr>
      <w:ind w:left="420" w:leftChars="200"/>
    </w:pPr>
  </w:style>
  <w:style w:type="paragraph" w:styleId="37">
    <w:name w:val="Body Text 2"/>
    <w:basedOn w:val="1"/>
    <w:link w:val="75"/>
    <w:qFormat/>
    <w:uiPriority w:val="99"/>
    <w:pPr>
      <w:widowControl/>
      <w:spacing w:afterLines="50" w:line="216" w:lineRule="auto"/>
      <w:jc w:val="center"/>
    </w:pPr>
    <w:rPr>
      <w:rFonts w:ascii="隶书" w:eastAsia="隶书"/>
      <w:bCs/>
      <w:kern w:val="0"/>
      <w:sz w:val="72"/>
      <w:szCs w:val="84"/>
    </w:rPr>
  </w:style>
  <w:style w:type="paragraph" w:styleId="38">
    <w:name w:val="List Continue 2"/>
    <w:basedOn w:val="1"/>
    <w:qFormat/>
    <w:uiPriority w:val="0"/>
    <w:pPr>
      <w:spacing w:after="120"/>
      <w:ind w:left="840" w:leftChars="400"/>
    </w:pPr>
  </w:style>
  <w:style w:type="paragraph" w:styleId="39">
    <w:name w:val="HTML Preformatted"/>
    <w:basedOn w:val="1"/>
    <w:link w:val="2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0">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1">
    <w:name w:val="index 1"/>
    <w:basedOn w:val="1"/>
    <w:next w:val="1"/>
    <w:semiHidden/>
    <w:qFormat/>
    <w:uiPriority w:val="0"/>
    <w:pPr>
      <w:spacing w:line="320" w:lineRule="exact"/>
    </w:pPr>
    <w:rPr>
      <w:b/>
      <w:snapToGrid w:val="0"/>
      <w:color w:val="FF6600"/>
      <w:kern w:val="0"/>
      <w:sz w:val="18"/>
      <w:szCs w:val="21"/>
    </w:rPr>
  </w:style>
  <w:style w:type="paragraph" w:styleId="42">
    <w:name w:val="Title"/>
    <w:basedOn w:val="1"/>
    <w:next w:val="1"/>
    <w:link w:val="177"/>
    <w:qFormat/>
    <w:uiPriority w:val="0"/>
    <w:pPr>
      <w:adjustRightInd w:val="0"/>
      <w:spacing w:before="240" w:after="60"/>
      <w:jc w:val="center"/>
      <w:outlineLvl w:val="0"/>
    </w:pPr>
    <w:rPr>
      <w:rFonts w:ascii="Calibri Light" w:hAnsi="Calibri Light"/>
      <w:b/>
      <w:bCs/>
      <w:sz w:val="32"/>
      <w:szCs w:val="32"/>
    </w:rPr>
  </w:style>
  <w:style w:type="paragraph" w:styleId="43">
    <w:name w:val="annotation subject"/>
    <w:basedOn w:val="19"/>
    <w:next w:val="19"/>
    <w:link w:val="203"/>
    <w:qFormat/>
    <w:uiPriority w:val="99"/>
    <w:pPr>
      <w:widowControl/>
      <w:spacing w:afterLines="50"/>
    </w:pPr>
    <w:rPr>
      <w:b/>
      <w:bCs/>
      <w:kern w:val="0"/>
      <w:sz w:val="24"/>
      <w:szCs w:val="20"/>
    </w:rPr>
  </w:style>
  <w:style w:type="paragraph" w:styleId="44">
    <w:name w:val="Body Text First Indent"/>
    <w:basedOn w:val="2"/>
    <w:next w:val="1"/>
    <w:link w:val="204"/>
    <w:qFormat/>
    <w:uiPriority w:val="0"/>
    <w:pPr>
      <w:spacing w:after="120" w:line="240" w:lineRule="auto"/>
      <w:ind w:firstLine="420" w:firstLineChars="100"/>
    </w:pPr>
    <w:rPr>
      <w:rFonts w:eastAsia="宋体"/>
      <w:sz w:val="21"/>
    </w:rPr>
  </w:style>
  <w:style w:type="paragraph" w:styleId="45">
    <w:name w:val="Body Text First Indent 2"/>
    <w:basedOn w:val="20"/>
    <w:next w:val="44"/>
    <w:link w:val="205"/>
    <w:qFormat/>
    <w:uiPriority w:val="99"/>
    <w:pPr>
      <w:ind w:firstLine="420" w:firstLineChars="200"/>
    </w:p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标题 1 字符"/>
    <w:link w:val="3"/>
    <w:qFormat/>
    <w:uiPriority w:val="0"/>
    <w:rPr>
      <w:rFonts w:eastAsia="仿宋_GB2312"/>
      <w:b/>
      <w:kern w:val="44"/>
      <w:sz w:val="44"/>
      <w:lang w:val="en-US" w:eastAsia="zh-CN" w:bidi="ar-SA"/>
    </w:rPr>
  </w:style>
  <w:style w:type="character" w:customStyle="1" w:styleId="56">
    <w:name w:val="正文缩进 字符"/>
    <w:link w:val="6"/>
    <w:qFormat/>
    <w:uiPriority w:val="0"/>
    <w:rPr>
      <w:rFonts w:eastAsia="宋体"/>
      <w:kern w:val="2"/>
      <w:sz w:val="21"/>
      <w:szCs w:val="24"/>
      <w:lang w:val="en-US" w:eastAsia="zh-CN" w:bidi="ar-SA"/>
    </w:rPr>
  </w:style>
  <w:style w:type="paragraph" w:customStyle="1" w:styleId="57">
    <w:name w:val="_Style 15"/>
    <w:basedOn w:val="1"/>
    <w:qFormat/>
    <w:uiPriority w:val="0"/>
    <w:rPr>
      <w:rFonts w:ascii="Tahoma" w:hAnsi="Tahoma"/>
      <w:sz w:val="24"/>
      <w:szCs w:val="20"/>
    </w:rPr>
  </w:style>
  <w:style w:type="character" w:customStyle="1" w:styleId="58">
    <w:name w:val="标题 2 字符"/>
    <w:link w:val="4"/>
    <w:qFormat/>
    <w:uiPriority w:val="0"/>
    <w:rPr>
      <w:rFonts w:ascii="Arial" w:hAnsi="Arial" w:eastAsia="黑体"/>
      <w:b/>
      <w:kern w:val="2"/>
      <w:sz w:val="32"/>
      <w:lang w:val="en-US" w:eastAsia="zh-CN" w:bidi="ar-SA"/>
    </w:rPr>
  </w:style>
  <w:style w:type="character" w:customStyle="1" w:styleId="59">
    <w:name w:val="标题 3 字符"/>
    <w:link w:val="5"/>
    <w:qFormat/>
    <w:uiPriority w:val="0"/>
    <w:rPr>
      <w:rFonts w:eastAsia="仿宋_GB2312"/>
      <w:b/>
      <w:kern w:val="2"/>
      <w:sz w:val="32"/>
      <w:lang w:val="en-US" w:eastAsia="zh-CN" w:bidi="ar-SA"/>
    </w:rPr>
  </w:style>
  <w:style w:type="character" w:customStyle="1" w:styleId="60">
    <w:name w:val="标题 4 字符"/>
    <w:link w:val="7"/>
    <w:qFormat/>
    <w:uiPriority w:val="0"/>
    <w:rPr>
      <w:rFonts w:ascii="Arial" w:hAnsi="Arial" w:eastAsia="黑体"/>
      <w:b/>
      <w:kern w:val="2"/>
      <w:sz w:val="28"/>
      <w:lang w:val="en-US" w:eastAsia="zh-CN" w:bidi="ar-SA"/>
    </w:rPr>
  </w:style>
  <w:style w:type="character" w:customStyle="1" w:styleId="61">
    <w:name w:val="标题 5 字符"/>
    <w:link w:val="8"/>
    <w:qFormat/>
    <w:uiPriority w:val="0"/>
    <w:rPr>
      <w:rFonts w:eastAsia="宋体"/>
      <w:sz w:val="24"/>
      <w:lang w:val="en-US" w:eastAsia="zh-CN" w:bidi="ar-SA"/>
    </w:rPr>
  </w:style>
  <w:style w:type="character" w:customStyle="1" w:styleId="62">
    <w:name w:val="标题 6 字符"/>
    <w:link w:val="9"/>
    <w:qFormat/>
    <w:uiPriority w:val="0"/>
    <w:rPr>
      <w:rFonts w:ascii="宋体" w:hAnsi="Arial" w:eastAsia="宋体"/>
      <w:sz w:val="24"/>
      <w:lang w:val="en-US" w:eastAsia="zh-CN" w:bidi="ar-SA"/>
    </w:rPr>
  </w:style>
  <w:style w:type="character" w:customStyle="1" w:styleId="63">
    <w:name w:val="标题 7 字符"/>
    <w:link w:val="10"/>
    <w:qFormat/>
    <w:uiPriority w:val="0"/>
    <w:rPr>
      <w:rFonts w:ascii="宋体" w:hAnsi="Arial" w:eastAsia="宋体"/>
      <w:b/>
      <w:sz w:val="24"/>
      <w:lang w:val="en-US" w:eastAsia="zh-CN" w:bidi="ar-SA"/>
    </w:rPr>
  </w:style>
  <w:style w:type="character" w:customStyle="1" w:styleId="64">
    <w:name w:val="标题 8 字符"/>
    <w:link w:val="11"/>
    <w:qFormat/>
    <w:uiPriority w:val="0"/>
    <w:rPr>
      <w:rFonts w:ascii="Arial" w:hAnsi="Arial" w:eastAsia="黑体"/>
      <w:sz w:val="24"/>
      <w:lang w:val="en-US" w:eastAsia="zh-CN" w:bidi="ar-SA"/>
    </w:rPr>
  </w:style>
  <w:style w:type="character" w:customStyle="1" w:styleId="65">
    <w:name w:val="标题 9 字符"/>
    <w:link w:val="12"/>
    <w:qFormat/>
    <w:uiPriority w:val="0"/>
    <w:rPr>
      <w:rFonts w:ascii="Arial" w:hAnsi="Arial" w:eastAsia="黑体"/>
      <w:sz w:val="24"/>
      <w:lang w:val="en-US" w:eastAsia="zh-CN" w:bidi="ar-SA"/>
    </w:rPr>
  </w:style>
  <w:style w:type="character" w:customStyle="1" w:styleId="66">
    <w:name w:val="纯文本 字符1"/>
    <w:link w:val="26"/>
    <w:qFormat/>
    <w:uiPriority w:val="0"/>
    <w:rPr>
      <w:rFonts w:ascii="宋体" w:hAnsi="Courier New" w:eastAsia="宋体"/>
      <w:kern w:val="2"/>
      <w:sz w:val="21"/>
      <w:lang w:val="en-US" w:eastAsia="zh-CN" w:bidi="ar-SA"/>
    </w:rPr>
  </w:style>
  <w:style w:type="paragraph" w:customStyle="1" w:styleId="67">
    <w:name w:val="表正文"/>
    <w:basedOn w:val="1"/>
    <w:next w:val="26"/>
    <w:qFormat/>
    <w:uiPriority w:val="0"/>
    <w:rPr>
      <w:rFonts w:ascii="宋体" w:hAnsi="Courier New"/>
      <w:szCs w:val="20"/>
    </w:rPr>
  </w:style>
  <w:style w:type="character" w:customStyle="1" w:styleId="68">
    <w:name w:val="正文文本缩进 字符"/>
    <w:link w:val="20"/>
    <w:qFormat/>
    <w:uiPriority w:val="99"/>
    <w:rPr>
      <w:rFonts w:eastAsia="宋体"/>
      <w:kern w:val="2"/>
      <w:sz w:val="21"/>
      <w:szCs w:val="24"/>
      <w:lang w:val="en-US" w:eastAsia="zh-CN" w:bidi="ar-SA"/>
    </w:rPr>
  </w:style>
  <w:style w:type="character" w:customStyle="1" w:styleId="69">
    <w:name w:val="日期 字符"/>
    <w:link w:val="27"/>
    <w:qFormat/>
    <w:uiPriority w:val="0"/>
    <w:rPr>
      <w:rFonts w:ascii="楷体_GB2312" w:eastAsia="楷体_GB2312"/>
      <w:b/>
      <w:kern w:val="2"/>
      <w:sz w:val="28"/>
      <w:lang w:val="en-US" w:eastAsia="zh-CN" w:bidi="ar-SA"/>
    </w:rPr>
  </w:style>
  <w:style w:type="character" w:customStyle="1" w:styleId="70">
    <w:name w:val="页眉 字符"/>
    <w:link w:val="31"/>
    <w:qFormat/>
    <w:uiPriority w:val="0"/>
    <w:rPr>
      <w:rFonts w:eastAsia="宋体"/>
      <w:kern w:val="2"/>
      <w:sz w:val="18"/>
      <w:szCs w:val="18"/>
      <w:lang w:val="en-US" w:eastAsia="zh-CN" w:bidi="ar-SA"/>
    </w:rPr>
  </w:style>
  <w:style w:type="character" w:customStyle="1" w:styleId="71">
    <w:name w:val="页脚 字符"/>
    <w:link w:val="30"/>
    <w:qFormat/>
    <w:locked/>
    <w:uiPriority w:val="99"/>
    <w:rPr>
      <w:rFonts w:eastAsia="宋体"/>
      <w:kern w:val="2"/>
      <w:sz w:val="18"/>
      <w:szCs w:val="18"/>
      <w:lang w:val="en-US" w:eastAsia="zh-CN" w:bidi="ar-SA"/>
    </w:rPr>
  </w:style>
  <w:style w:type="paragraph" w:customStyle="1" w:styleId="72">
    <w:name w:val="正文段"/>
    <w:basedOn w:val="1"/>
    <w:link w:val="73"/>
    <w:qFormat/>
    <w:uiPriority w:val="0"/>
    <w:pPr>
      <w:widowControl/>
      <w:snapToGrid w:val="0"/>
      <w:spacing w:afterLines="50"/>
      <w:ind w:firstLine="200" w:firstLineChars="200"/>
    </w:pPr>
    <w:rPr>
      <w:kern w:val="0"/>
      <w:sz w:val="24"/>
      <w:szCs w:val="20"/>
    </w:rPr>
  </w:style>
  <w:style w:type="character" w:customStyle="1" w:styleId="73">
    <w:name w:val="正文段 Char"/>
    <w:link w:val="72"/>
    <w:qFormat/>
    <w:uiPriority w:val="0"/>
    <w:rPr>
      <w:rFonts w:eastAsia="宋体"/>
      <w:sz w:val="24"/>
      <w:lang w:val="en-US" w:eastAsia="zh-CN" w:bidi="ar-SA"/>
    </w:rPr>
  </w:style>
  <w:style w:type="character" w:customStyle="1" w:styleId="74">
    <w:name w:val="批注文字 字符"/>
    <w:link w:val="19"/>
    <w:qFormat/>
    <w:uiPriority w:val="0"/>
    <w:rPr>
      <w:rFonts w:eastAsia="宋体"/>
      <w:kern w:val="2"/>
      <w:sz w:val="21"/>
      <w:szCs w:val="24"/>
      <w:lang w:val="en-US" w:eastAsia="zh-CN" w:bidi="ar-SA"/>
    </w:rPr>
  </w:style>
  <w:style w:type="character" w:customStyle="1" w:styleId="75">
    <w:name w:val="正文文本 2 字符"/>
    <w:link w:val="37"/>
    <w:qFormat/>
    <w:uiPriority w:val="0"/>
    <w:rPr>
      <w:rFonts w:ascii="隶书" w:eastAsia="隶书"/>
      <w:bCs/>
      <w:sz w:val="72"/>
      <w:szCs w:val="84"/>
      <w:lang w:val="en-US" w:eastAsia="zh-CN" w:bidi="ar-SA"/>
    </w:rPr>
  </w:style>
  <w:style w:type="paragraph" w:customStyle="1" w:styleId="76">
    <w:name w:val="Char"/>
    <w:basedOn w:val="1"/>
    <w:qFormat/>
    <w:uiPriority w:val="0"/>
    <w:rPr>
      <w:rFonts w:ascii="仿宋_GB2312" w:eastAsia="仿宋_GB2312"/>
      <w:b/>
      <w:sz w:val="32"/>
      <w:szCs w:val="32"/>
    </w:rPr>
  </w:style>
  <w:style w:type="paragraph" w:customStyle="1" w:styleId="77">
    <w:name w:val="Table Text"/>
    <w:link w:val="78"/>
    <w:qFormat/>
    <w:uiPriority w:val="0"/>
    <w:pPr>
      <w:snapToGrid w:val="0"/>
      <w:spacing w:before="80" w:after="80"/>
    </w:pPr>
    <w:rPr>
      <w:rFonts w:ascii="Arial" w:hAnsi="Arial" w:eastAsia="宋体" w:cs="Times New Roman"/>
      <w:sz w:val="18"/>
      <w:lang w:val="en-US" w:eastAsia="zh-CN" w:bidi="ar-SA"/>
    </w:rPr>
  </w:style>
  <w:style w:type="character" w:customStyle="1" w:styleId="78">
    <w:name w:val="Table Text Char1"/>
    <w:link w:val="77"/>
    <w:qFormat/>
    <w:uiPriority w:val="0"/>
    <w:rPr>
      <w:rFonts w:ascii="Arial" w:hAnsi="Arial"/>
      <w:sz w:val="18"/>
      <w:lang w:val="en-US" w:eastAsia="zh-CN" w:bidi="ar-SA"/>
    </w:rPr>
  </w:style>
  <w:style w:type="character" w:customStyle="1" w:styleId="79">
    <w:name w:val="正文（缩进2汉字） Char"/>
    <w:link w:val="80"/>
    <w:qFormat/>
    <w:uiPriority w:val="0"/>
    <w:rPr>
      <w:rFonts w:ascii="宋体"/>
      <w:kern w:val="2"/>
      <w:sz w:val="21"/>
      <w:lang w:bidi="ar-SA"/>
    </w:rPr>
  </w:style>
  <w:style w:type="paragraph" w:customStyle="1" w:styleId="80">
    <w:name w:val="正文（缩进2汉字）"/>
    <w:basedOn w:val="1"/>
    <w:link w:val="79"/>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1">
    <w:name w:val="Char111"/>
    <w:basedOn w:val="1"/>
    <w:qFormat/>
    <w:uiPriority w:val="0"/>
    <w:pPr>
      <w:tabs>
        <w:tab w:val="left" w:pos="432"/>
      </w:tabs>
      <w:spacing w:beforeLines="50" w:afterLines="50"/>
      <w:ind w:left="432" w:hanging="432"/>
      <w:jc w:val="center"/>
    </w:pPr>
    <w:rPr>
      <w:sz w:val="24"/>
    </w:rPr>
  </w:style>
  <w:style w:type="paragraph" w:customStyle="1" w:styleId="82">
    <w:name w:val="模板普通正文"/>
    <w:basedOn w:val="20"/>
    <w:qFormat/>
    <w:uiPriority w:val="0"/>
    <w:pPr>
      <w:spacing w:beforeLines="50" w:after="10" w:line="360" w:lineRule="auto"/>
      <w:ind w:left="0" w:leftChars="0" w:firstLine="175" w:firstLineChars="175"/>
      <w:jc w:val="left"/>
    </w:pPr>
    <w:rPr>
      <w:sz w:val="24"/>
    </w:rPr>
  </w:style>
  <w:style w:type="character" w:customStyle="1" w:styleId="83">
    <w:name w:val="正文文本缩进 2 字符1"/>
    <w:link w:val="28"/>
    <w:qFormat/>
    <w:locked/>
    <w:uiPriority w:val="0"/>
    <w:rPr>
      <w:rFonts w:eastAsia="宋体"/>
      <w:kern w:val="2"/>
      <w:sz w:val="21"/>
      <w:szCs w:val="24"/>
      <w:lang w:val="en-US" w:eastAsia="zh-CN" w:bidi="ar-SA"/>
    </w:rPr>
  </w:style>
  <w:style w:type="paragraph" w:customStyle="1" w:styleId="84">
    <w:name w:val="缺省文本"/>
    <w:basedOn w:val="1"/>
    <w:qFormat/>
    <w:uiPriority w:val="0"/>
    <w:pPr>
      <w:autoSpaceDE w:val="0"/>
      <w:autoSpaceDN w:val="0"/>
      <w:adjustRightInd w:val="0"/>
      <w:jc w:val="left"/>
    </w:pPr>
    <w:rPr>
      <w:kern w:val="0"/>
      <w:sz w:val="24"/>
    </w:rPr>
  </w:style>
  <w:style w:type="paragraph" w:customStyle="1" w:styleId="85">
    <w:name w:val="WW-正文文字缩进 2"/>
    <w:basedOn w:val="1"/>
    <w:qFormat/>
    <w:uiPriority w:val="0"/>
    <w:pPr>
      <w:suppressAutoHyphens/>
      <w:ind w:firstLine="420"/>
    </w:pPr>
    <w:rPr>
      <w:kern w:val="1"/>
      <w:szCs w:val="20"/>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character" w:customStyle="1" w:styleId="87">
    <w:name w:val="正文文本 字符"/>
    <w:link w:val="2"/>
    <w:qFormat/>
    <w:locked/>
    <w:uiPriority w:val="0"/>
    <w:rPr>
      <w:rFonts w:eastAsia="仿宋_GB2312"/>
      <w:kern w:val="2"/>
      <w:sz w:val="28"/>
      <w:szCs w:val="24"/>
      <w:lang w:val="en-US" w:eastAsia="zh-CN" w:bidi="ar-SA"/>
    </w:rPr>
  </w:style>
  <w:style w:type="paragraph" w:customStyle="1" w:styleId="88">
    <w:name w:val="项目排列"/>
    <w:basedOn w:val="1"/>
    <w:link w:val="89"/>
    <w:qFormat/>
    <w:uiPriority w:val="0"/>
    <w:pPr>
      <w:tabs>
        <w:tab w:val="left" w:pos="900"/>
      </w:tabs>
      <w:spacing w:beforeLines="50" w:afterLines="50" w:line="300" w:lineRule="auto"/>
      <w:ind w:left="900" w:hanging="420"/>
    </w:pPr>
    <w:rPr>
      <w:sz w:val="24"/>
    </w:rPr>
  </w:style>
  <w:style w:type="character" w:customStyle="1" w:styleId="89">
    <w:name w:val="项目排列 Char"/>
    <w:link w:val="88"/>
    <w:qFormat/>
    <w:uiPriority w:val="0"/>
    <w:rPr>
      <w:kern w:val="2"/>
      <w:sz w:val="24"/>
      <w:szCs w:val="24"/>
    </w:rPr>
  </w:style>
  <w:style w:type="character" w:customStyle="1" w:styleId="90">
    <w:name w:val="style21"/>
    <w:qFormat/>
    <w:uiPriority w:val="0"/>
    <w:rPr>
      <w:sz w:val="15"/>
      <w:szCs w:val="15"/>
    </w:rPr>
  </w:style>
  <w:style w:type="paragraph" w:customStyle="1" w:styleId="91">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2">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93">
    <w:name w:val="Char1"/>
    <w:basedOn w:val="1"/>
    <w:qFormat/>
    <w:uiPriority w:val="0"/>
    <w:rPr>
      <w:szCs w:val="20"/>
    </w:rPr>
  </w:style>
  <w:style w:type="paragraph" w:customStyle="1" w:styleId="94">
    <w:name w:val="列出段落1"/>
    <w:basedOn w:val="1"/>
    <w:qFormat/>
    <w:uiPriority w:val="99"/>
    <w:pPr>
      <w:ind w:firstLine="420" w:firstLineChars="200"/>
    </w:pPr>
    <w:rPr>
      <w:rFonts w:ascii="Calibri" w:hAnsi="Calibri"/>
      <w:szCs w:val="22"/>
    </w:rPr>
  </w:style>
  <w:style w:type="paragraph" w:customStyle="1" w:styleId="95">
    <w:name w:val="默认段落字体 Para Char Char Char Char"/>
    <w:basedOn w:val="1"/>
    <w:qFormat/>
    <w:uiPriority w:val="0"/>
  </w:style>
  <w:style w:type="paragraph" w:customStyle="1" w:styleId="96">
    <w:name w:val="Char Char Char1 Char Char Char1 Char Char Char Char"/>
    <w:basedOn w:val="1"/>
    <w:qFormat/>
    <w:uiPriority w:val="0"/>
  </w:style>
  <w:style w:type="character" w:customStyle="1" w:styleId="97">
    <w:name w:val="font1"/>
    <w:qFormat/>
    <w:uiPriority w:val="0"/>
    <w:rPr>
      <w:color w:val="999999"/>
      <w:sz w:val="18"/>
      <w:szCs w:val="18"/>
      <w:u w:val="none"/>
    </w:rPr>
  </w:style>
  <w:style w:type="paragraph" w:customStyle="1" w:styleId="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Char Char Char"/>
    <w:basedOn w:val="1"/>
    <w:qFormat/>
    <w:uiPriority w:val="0"/>
    <w:rPr>
      <w:rFonts w:ascii="Tahoma" w:hAnsi="Tahoma"/>
      <w:sz w:val="24"/>
      <w:szCs w:val="20"/>
    </w:rPr>
  </w:style>
  <w:style w:type="character" w:customStyle="1" w:styleId="100">
    <w:name w:val="apple-style-span"/>
    <w:basedOn w:val="48"/>
    <w:qFormat/>
    <w:uiPriority w:val="0"/>
  </w:style>
  <w:style w:type="paragraph" w:customStyle="1" w:styleId="101">
    <w:name w:val="正文无缩进"/>
    <w:basedOn w:val="1"/>
    <w:link w:val="102"/>
    <w:qFormat/>
    <w:uiPriority w:val="0"/>
    <w:pPr>
      <w:spacing w:line="360" w:lineRule="auto"/>
    </w:pPr>
    <w:rPr>
      <w:rFonts w:ascii="宋体"/>
      <w:color w:val="000000"/>
      <w:sz w:val="24"/>
    </w:rPr>
  </w:style>
  <w:style w:type="character" w:customStyle="1" w:styleId="102">
    <w:name w:val="正文无缩进 Char"/>
    <w:link w:val="101"/>
    <w:qFormat/>
    <w:uiPriority w:val="0"/>
    <w:rPr>
      <w:rFonts w:ascii="宋体" w:eastAsia="宋体"/>
      <w:color w:val="000000"/>
      <w:kern w:val="2"/>
      <w:sz w:val="24"/>
      <w:szCs w:val="24"/>
      <w:lang w:val="en-US" w:eastAsia="zh-CN" w:bidi="ar-SA"/>
    </w:rPr>
  </w:style>
  <w:style w:type="paragraph" w:customStyle="1" w:styleId="10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4">
    <w:name w:val="ca-3"/>
    <w:basedOn w:val="48"/>
    <w:qFormat/>
    <w:uiPriority w:val="0"/>
  </w:style>
  <w:style w:type="paragraph" w:customStyle="1" w:styleId="105">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6">
    <w:name w:val="表格 Char Char"/>
    <w:link w:val="107"/>
    <w:qFormat/>
    <w:locked/>
    <w:uiPriority w:val="0"/>
    <w:rPr>
      <w:rFonts w:ascii="宋体" w:hAnsi="宋体" w:eastAsia="宋体"/>
      <w:lang w:val="en-US" w:eastAsia="zh-CN" w:bidi="ar-SA"/>
    </w:rPr>
  </w:style>
  <w:style w:type="paragraph" w:customStyle="1" w:styleId="107">
    <w:name w:val="表格"/>
    <w:basedOn w:val="1"/>
    <w:link w:val="106"/>
    <w:qFormat/>
    <w:uiPriority w:val="0"/>
    <w:pPr>
      <w:snapToGrid w:val="0"/>
      <w:ind w:firstLine="42" w:firstLineChars="21"/>
    </w:pPr>
    <w:rPr>
      <w:rFonts w:ascii="宋体" w:hAnsi="宋体"/>
      <w:kern w:val="0"/>
      <w:sz w:val="20"/>
      <w:szCs w:val="20"/>
    </w:rPr>
  </w:style>
  <w:style w:type="paragraph" w:customStyle="1" w:styleId="108">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9">
    <w:name w:val="Char Char1 Char Char Char Char Char Char"/>
    <w:basedOn w:val="1"/>
    <w:qFormat/>
    <w:uiPriority w:val="0"/>
    <w:pPr>
      <w:widowControl/>
      <w:spacing w:after="160" w:line="240" w:lineRule="exact"/>
      <w:jc w:val="left"/>
    </w:pPr>
  </w:style>
  <w:style w:type="character" w:customStyle="1" w:styleId="110">
    <w:name w:val="Char Char"/>
    <w:qFormat/>
    <w:uiPriority w:val="0"/>
    <w:rPr>
      <w:rFonts w:hint="eastAsia" w:ascii="宋体" w:hAnsi="Courier New" w:eastAsia="宋体"/>
      <w:kern w:val="2"/>
      <w:sz w:val="21"/>
      <w:lang w:val="en-US" w:eastAsia="zh-CN" w:bidi="ar-SA"/>
    </w:rPr>
  </w:style>
  <w:style w:type="character" w:customStyle="1" w:styleId="111">
    <w:name w:val="style51"/>
    <w:qFormat/>
    <w:uiPriority w:val="0"/>
    <w:rPr>
      <w:sz w:val="21"/>
      <w:szCs w:val="21"/>
    </w:rPr>
  </w:style>
  <w:style w:type="paragraph" w:customStyle="1" w:styleId="112">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3">
    <w:name w:val="标准文本"/>
    <w:basedOn w:val="1"/>
    <w:link w:val="114"/>
    <w:qFormat/>
    <w:uiPriority w:val="0"/>
    <w:pPr>
      <w:spacing w:line="360" w:lineRule="auto"/>
      <w:ind w:firstLine="480" w:firstLineChars="200"/>
    </w:pPr>
    <w:rPr>
      <w:rFonts w:cs="宋体"/>
      <w:sz w:val="24"/>
      <w:szCs w:val="20"/>
    </w:rPr>
  </w:style>
  <w:style w:type="character" w:customStyle="1" w:styleId="114">
    <w:name w:val="标准文本 Char"/>
    <w:link w:val="113"/>
    <w:qFormat/>
    <w:uiPriority w:val="0"/>
    <w:rPr>
      <w:rFonts w:eastAsia="宋体" w:cs="宋体"/>
      <w:kern w:val="2"/>
      <w:sz w:val="24"/>
      <w:lang w:val="en-US" w:eastAsia="zh-CN" w:bidi="ar-SA"/>
    </w:rPr>
  </w:style>
  <w:style w:type="paragraph" w:customStyle="1" w:styleId="1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自定义正文"/>
    <w:basedOn w:val="1"/>
    <w:link w:val="117"/>
    <w:qFormat/>
    <w:uiPriority w:val="0"/>
    <w:pPr>
      <w:spacing w:line="480" w:lineRule="exact"/>
      <w:ind w:firstLine="200" w:firstLineChars="200"/>
      <w:jc w:val="left"/>
    </w:pPr>
    <w:rPr>
      <w:rFonts w:ascii="仿宋_GB2312" w:eastAsia="仿宋_GB2312"/>
      <w:sz w:val="28"/>
    </w:rPr>
  </w:style>
  <w:style w:type="character" w:customStyle="1" w:styleId="117">
    <w:name w:val="自定义正文 Char"/>
    <w:link w:val="116"/>
    <w:qFormat/>
    <w:uiPriority w:val="0"/>
    <w:rPr>
      <w:rFonts w:ascii="仿宋_GB2312" w:eastAsia="仿宋_GB2312"/>
      <w:kern w:val="2"/>
      <w:sz w:val="28"/>
      <w:szCs w:val="24"/>
      <w:lang w:val="en-US" w:eastAsia="zh-CN" w:bidi="ar-SA"/>
    </w:rPr>
  </w:style>
  <w:style w:type="paragraph" w:customStyle="1" w:styleId="11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9">
    <w:name w:val="自定义表格文字"/>
    <w:basedOn w:val="1"/>
    <w:qFormat/>
    <w:uiPriority w:val="0"/>
    <w:pPr>
      <w:spacing w:before="60" w:after="60" w:line="320" w:lineRule="exact"/>
      <w:jc w:val="left"/>
    </w:pPr>
    <w:rPr>
      <w:rFonts w:ascii="宋体" w:eastAsia="楷体_GB2312"/>
    </w:rPr>
  </w:style>
  <w:style w:type="paragraph" w:customStyle="1" w:styleId="120">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2">
    <w:name w:val="文档结构图 字符"/>
    <w:link w:val="18"/>
    <w:semiHidden/>
    <w:qFormat/>
    <w:uiPriority w:val="0"/>
    <w:rPr>
      <w:rFonts w:eastAsia="宋体"/>
      <w:kern w:val="2"/>
      <w:sz w:val="21"/>
      <w:szCs w:val="24"/>
      <w:lang w:val="en-US" w:eastAsia="zh-CN" w:bidi="ar-SA"/>
    </w:rPr>
  </w:style>
  <w:style w:type="character" w:customStyle="1" w:styleId="123">
    <w:name w:val="Char Char12"/>
    <w:qFormat/>
    <w:uiPriority w:val="0"/>
    <w:rPr>
      <w:rFonts w:ascii="宋体" w:hAnsi="Courier New" w:eastAsia="宋体"/>
      <w:kern w:val="2"/>
      <w:sz w:val="21"/>
      <w:lang w:val="en-US" w:eastAsia="zh-CN" w:bidi="ar-SA"/>
    </w:rPr>
  </w:style>
  <w:style w:type="character" w:customStyle="1" w:styleId="124">
    <w:name w:val="H4 Char"/>
    <w:qFormat/>
    <w:uiPriority w:val="0"/>
    <w:rPr>
      <w:rFonts w:ascii="宋体" w:hAnsi="宋体" w:eastAsia="黑体"/>
      <w:b/>
      <w:bCs/>
      <w:color w:val="000000"/>
      <w:spacing w:val="-4"/>
      <w:kern w:val="2"/>
      <w:sz w:val="24"/>
      <w:szCs w:val="30"/>
      <w:lang w:val="en-US" w:eastAsia="zh-CN" w:bidi="ar-SA"/>
    </w:rPr>
  </w:style>
  <w:style w:type="character" w:customStyle="1" w:styleId="125">
    <w:name w:val="H5 Char"/>
    <w:qFormat/>
    <w:uiPriority w:val="0"/>
    <w:rPr>
      <w:rFonts w:ascii="Arial" w:hAnsi="Arial" w:eastAsia="宋体"/>
      <w:sz w:val="24"/>
      <w:lang w:val="en-US" w:eastAsia="zh-CN" w:bidi="ar-SA"/>
    </w:rPr>
  </w:style>
  <w:style w:type="character" w:customStyle="1" w:styleId="126">
    <w:name w:val="Char Char8"/>
    <w:qFormat/>
    <w:uiPriority w:val="0"/>
    <w:rPr>
      <w:rFonts w:ascii="宋体" w:eastAsia="宋体"/>
      <w:kern w:val="2"/>
      <w:sz w:val="28"/>
      <w:lang w:val="en-US" w:eastAsia="zh-CN" w:bidi="ar-SA"/>
    </w:rPr>
  </w:style>
  <w:style w:type="character" w:customStyle="1" w:styleId="127">
    <w:name w:val="Char Char7"/>
    <w:qFormat/>
    <w:uiPriority w:val="0"/>
    <w:rPr>
      <w:rFonts w:eastAsia="仿宋_GB2312"/>
      <w:kern w:val="2"/>
      <w:sz w:val="24"/>
      <w:szCs w:val="24"/>
      <w:lang w:val="en-US" w:eastAsia="zh-CN" w:bidi="ar-SA"/>
    </w:rPr>
  </w:style>
  <w:style w:type="paragraph" w:customStyle="1" w:styleId="128">
    <w:name w:val="表内文字"/>
    <w:basedOn w:val="1"/>
    <w:qFormat/>
    <w:uiPriority w:val="0"/>
    <w:pPr>
      <w:jc w:val="center"/>
    </w:pPr>
    <w:rPr>
      <w:color w:val="FF0000"/>
      <w:kern w:val="0"/>
      <w:sz w:val="24"/>
    </w:rPr>
  </w:style>
  <w:style w:type="character" w:customStyle="1" w:styleId="129">
    <w:name w:val="Char Char3"/>
    <w:qFormat/>
    <w:uiPriority w:val="0"/>
    <w:rPr>
      <w:rFonts w:eastAsia="仿宋_GB2312"/>
      <w:kern w:val="2"/>
      <w:sz w:val="28"/>
      <w:szCs w:val="24"/>
      <w:lang w:val="en-US" w:eastAsia="zh-CN" w:bidi="ar-SA"/>
    </w:rPr>
  </w:style>
  <w:style w:type="paragraph" w:customStyle="1" w:styleId="130">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1">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项目1"/>
    <w:basedOn w:val="1"/>
    <w:qFormat/>
    <w:uiPriority w:val="0"/>
    <w:pPr>
      <w:tabs>
        <w:tab w:val="left" w:pos="840"/>
      </w:tabs>
      <w:spacing w:after="60"/>
      <w:ind w:left="840" w:hanging="420"/>
    </w:pPr>
    <w:rPr>
      <w:rFonts w:ascii="宋体"/>
      <w:spacing w:val="4"/>
      <w:szCs w:val="20"/>
    </w:rPr>
  </w:style>
  <w:style w:type="paragraph" w:customStyle="1" w:styleId="135">
    <w:name w:val="编10号"/>
    <w:basedOn w:val="1"/>
    <w:qFormat/>
    <w:uiPriority w:val="0"/>
    <w:pPr>
      <w:tabs>
        <w:tab w:val="left" w:pos="1620"/>
      </w:tabs>
      <w:ind w:left="1620" w:hanging="360"/>
    </w:pPr>
  </w:style>
  <w:style w:type="paragraph" w:customStyle="1" w:styleId="136">
    <w:name w:val="段"/>
    <w:basedOn w:val="1"/>
    <w:qFormat/>
    <w:uiPriority w:val="0"/>
    <w:pPr>
      <w:ind w:firstLine="425"/>
    </w:pPr>
    <w:rPr>
      <w:rFonts w:ascii="宋体"/>
      <w:szCs w:val="20"/>
    </w:rPr>
  </w:style>
  <w:style w:type="paragraph" w:customStyle="1" w:styleId="137">
    <w:name w:val="Char Char Char Char"/>
    <w:basedOn w:val="1"/>
    <w:qFormat/>
    <w:uiPriority w:val="0"/>
    <w:pPr>
      <w:widowControl/>
      <w:spacing w:after="160" w:line="240" w:lineRule="exact"/>
      <w:jc w:val="left"/>
    </w:pPr>
    <w:rPr>
      <w:kern w:val="0"/>
      <w:sz w:val="24"/>
    </w:rPr>
  </w:style>
  <w:style w:type="paragraph" w:customStyle="1" w:styleId="138">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9">
    <w:name w:val="bulletintext1"/>
    <w:qFormat/>
    <w:uiPriority w:val="0"/>
    <w:rPr>
      <w:rFonts w:hint="eastAsia" w:ascii="宋体" w:hAnsi="宋体" w:eastAsia="宋体"/>
      <w:sz w:val="18"/>
      <w:szCs w:val="18"/>
    </w:rPr>
  </w:style>
  <w:style w:type="paragraph" w:customStyle="1" w:styleId="140">
    <w:name w:val="Char1 Char Char Char Char Char Char"/>
    <w:basedOn w:val="1"/>
    <w:qFormat/>
    <w:uiPriority w:val="0"/>
    <w:rPr>
      <w:rFonts w:ascii="Tahoma" w:hAnsi="Tahoma"/>
      <w:sz w:val="24"/>
      <w:szCs w:val="20"/>
    </w:rPr>
  </w:style>
  <w:style w:type="paragraph" w:customStyle="1" w:styleId="141">
    <w:name w:val="Char Char2 Char Char Char Char"/>
    <w:basedOn w:val="18"/>
    <w:qFormat/>
    <w:uiPriority w:val="0"/>
    <w:rPr>
      <w:rFonts w:ascii="Tahoma" w:hAnsi="Tahoma"/>
      <w:sz w:val="24"/>
    </w:rPr>
  </w:style>
  <w:style w:type="paragraph" w:customStyle="1" w:styleId="142">
    <w:name w:val="Char Char Char"/>
    <w:basedOn w:val="18"/>
    <w:qFormat/>
    <w:uiPriority w:val="0"/>
    <w:rPr>
      <w:rFonts w:ascii="Tahoma" w:hAnsi="Tahoma"/>
      <w:sz w:val="24"/>
    </w:rPr>
  </w:style>
  <w:style w:type="paragraph" w:customStyle="1" w:styleId="143">
    <w:name w:val="正文缩进 New"/>
    <w:basedOn w:val="1"/>
    <w:qFormat/>
    <w:uiPriority w:val="0"/>
    <w:pPr>
      <w:ind w:firstLine="420" w:firstLineChars="200"/>
    </w:pPr>
    <w:rPr>
      <w:szCs w:val="20"/>
    </w:rPr>
  </w:style>
  <w:style w:type="paragraph" w:customStyle="1" w:styleId="144">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5">
    <w:name w:val="tpc_content1"/>
    <w:qFormat/>
    <w:uiPriority w:val="0"/>
    <w:rPr>
      <w:sz w:val="20"/>
      <w:szCs w:val="20"/>
    </w:rPr>
  </w:style>
  <w:style w:type="character" w:customStyle="1" w:styleId="146">
    <w:name w:val="Char Char11"/>
    <w:qFormat/>
    <w:uiPriority w:val="0"/>
    <w:rPr>
      <w:b/>
      <w:kern w:val="44"/>
      <w:sz w:val="44"/>
    </w:rPr>
  </w:style>
  <w:style w:type="character" w:customStyle="1" w:styleId="147">
    <w:name w:val="Char Char10"/>
    <w:qFormat/>
    <w:uiPriority w:val="0"/>
    <w:rPr>
      <w:b/>
      <w:kern w:val="2"/>
      <w:sz w:val="28"/>
      <w:szCs w:val="28"/>
    </w:rPr>
  </w:style>
  <w:style w:type="character" w:customStyle="1" w:styleId="148">
    <w:name w:val="Char Char9"/>
    <w:qFormat/>
    <w:uiPriority w:val="0"/>
    <w:rPr>
      <w:b/>
      <w:kern w:val="2"/>
      <w:sz w:val="24"/>
      <w:szCs w:val="24"/>
    </w:rPr>
  </w:style>
  <w:style w:type="paragraph" w:customStyle="1" w:styleId="149">
    <w:name w:val="Char Char Char 字元 字元"/>
    <w:basedOn w:val="1"/>
    <w:qFormat/>
    <w:uiPriority w:val="0"/>
    <w:pPr>
      <w:spacing w:line="360" w:lineRule="auto"/>
      <w:ind w:firstLine="200" w:firstLineChars="200"/>
    </w:pPr>
    <w:rPr>
      <w:szCs w:val="20"/>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2">
    <w:name w:val="style11"/>
    <w:qFormat/>
    <w:uiPriority w:val="0"/>
    <w:rPr>
      <w:b/>
      <w:bCs/>
      <w:color w:val="FF0000"/>
    </w:rPr>
  </w:style>
  <w:style w:type="character" w:customStyle="1" w:styleId="153">
    <w:name w:val="info"/>
    <w:basedOn w:val="48"/>
    <w:qFormat/>
    <w:uiPriority w:val="0"/>
  </w:style>
  <w:style w:type="paragraph" w:customStyle="1" w:styleId="154">
    <w:name w:val="样式 正文缩进 + 首行缩进:  2 字符"/>
    <w:basedOn w:val="6"/>
    <w:link w:val="155"/>
    <w:qFormat/>
    <w:uiPriority w:val="0"/>
    <w:pPr>
      <w:spacing w:line="360" w:lineRule="auto"/>
      <w:ind w:firstLine="480"/>
    </w:pPr>
    <w:rPr>
      <w:rFonts w:ascii="宋体" w:hAnsi="宋体"/>
      <w:color w:val="000000"/>
      <w:kern w:val="0"/>
      <w:sz w:val="24"/>
      <w:szCs w:val="20"/>
    </w:rPr>
  </w:style>
  <w:style w:type="character" w:customStyle="1" w:styleId="155">
    <w:name w:val="样式 正文缩进 + 首行缩进:  2 字符 Char"/>
    <w:link w:val="154"/>
    <w:qFormat/>
    <w:locked/>
    <w:uiPriority w:val="0"/>
    <w:rPr>
      <w:rFonts w:ascii="宋体" w:hAnsi="宋体" w:eastAsia="宋体"/>
      <w:color w:val="000000"/>
      <w:sz w:val="24"/>
      <w:lang w:bidi="ar-SA"/>
    </w:rPr>
  </w:style>
  <w:style w:type="paragraph" w:customStyle="1" w:styleId="156">
    <w:name w:val="正文2"/>
    <w:basedOn w:val="1"/>
    <w:link w:val="157"/>
    <w:qFormat/>
    <w:uiPriority w:val="0"/>
    <w:pPr>
      <w:spacing w:before="156" w:line="360" w:lineRule="auto"/>
      <w:ind w:firstLine="510" w:firstLineChars="200"/>
    </w:pPr>
    <w:rPr>
      <w:sz w:val="24"/>
      <w:szCs w:val="20"/>
    </w:rPr>
  </w:style>
  <w:style w:type="character" w:customStyle="1" w:styleId="157">
    <w:name w:val="正文2 Char"/>
    <w:link w:val="156"/>
    <w:qFormat/>
    <w:uiPriority w:val="0"/>
    <w:rPr>
      <w:rFonts w:eastAsia="宋体"/>
      <w:kern w:val="2"/>
      <w:sz w:val="24"/>
      <w:lang w:val="en-US" w:eastAsia="zh-CN" w:bidi="ar-SA"/>
    </w:rPr>
  </w:style>
  <w:style w:type="paragraph" w:customStyle="1" w:styleId="158">
    <w:name w:val="p0"/>
    <w:basedOn w:val="1"/>
    <w:qFormat/>
    <w:uiPriority w:val="0"/>
    <w:pPr>
      <w:widowControl/>
    </w:pPr>
    <w:rPr>
      <w:kern w:val="0"/>
      <w:szCs w:val="21"/>
    </w:rPr>
  </w:style>
  <w:style w:type="character" w:customStyle="1" w:styleId="159">
    <w:name w:val="param-name"/>
    <w:basedOn w:val="48"/>
    <w:qFormat/>
    <w:uiPriority w:val="0"/>
  </w:style>
  <w:style w:type="character" w:customStyle="1" w:styleId="160">
    <w:name w:val="日期 Char"/>
    <w:qFormat/>
    <w:uiPriority w:val="99"/>
    <w:rPr>
      <w:rFonts w:ascii="楷体_GB2312" w:eastAsia="楷体_GB2312"/>
      <w:b/>
      <w:kern w:val="2"/>
      <w:sz w:val="28"/>
      <w:lang w:val="en-US" w:eastAsia="zh-CN" w:bidi="ar-SA"/>
    </w:rPr>
  </w:style>
  <w:style w:type="character" w:customStyle="1" w:styleId="161">
    <w:name w:val="标题 4 Char"/>
    <w:qFormat/>
    <w:uiPriority w:val="9"/>
    <w:rPr>
      <w:rFonts w:ascii="Arial" w:hAnsi="Arial" w:eastAsia="黑体"/>
      <w:b/>
      <w:kern w:val="2"/>
      <w:sz w:val="28"/>
      <w:lang w:val="en-US" w:eastAsia="zh-CN" w:bidi="ar-SA"/>
    </w:rPr>
  </w:style>
  <w:style w:type="character" w:customStyle="1" w:styleId="162">
    <w:name w:val="标题 6 Char"/>
    <w:qFormat/>
    <w:uiPriority w:val="0"/>
    <w:rPr>
      <w:rFonts w:ascii="宋体" w:hAnsi="Arial" w:eastAsia="宋体"/>
      <w:sz w:val="24"/>
      <w:lang w:val="en-US" w:eastAsia="zh-CN" w:bidi="ar-SA"/>
    </w:rPr>
  </w:style>
  <w:style w:type="character" w:customStyle="1" w:styleId="163">
    <w:name w:val="标题 8 Char"/>
    <w:qFormat/>
    <w:uiPriority w:val="0"/>
    <w:rPr>
      <w:rFonts w:ascii="Arial" w:hAnsi="Arial" w:eastAsia="黑体"/>
      <w:sz w:val="24"/>
      <w:lang w:val="en-US" w:eastAsia="zh-CN" w:bidi="ar-SA"/>
    </w:rPr>
  </w:style>
  <w:style w:type="character" w:customStyle="1" w:styleId="164">
    <w:name w:val="标题 9 Char"/>
    <w:qFormat/>
    <w:uiPriority w:val="0"/>
    <w:rPr>
      <w:rFonts w:ascii="Arial" w:hAnsi="Arial" w:eastAsia="黑体"/>
      <w:sz w:val="24"/>
      <w:lang w:val="en-US" w:eastAsia="zh-CN" w:bidi="ar-SA"/>
    </w:rPr>
  </w:style>
  <w:style w:type="character" w:customStyle="1" w:styleId="165">
    <w:name w:val="标题 5 Char"/>
    <w:qFormat/>
    <w:uiPriority w:val="0"/>
    <w:rPr>
      <w:rFonts w:eastAsia="宋体"/>
      <w:sz w:val="24"/>
      <w:lang w:val="en-US" w:eastAsia="zh-CN" w:bidi="ar-SA"/>
    </w:rPr>
  </w:style>
  <w:style w:type="character" w:customStyle="1" w:styleId="166">
    <w:name w:val="正文文本 Char"/>
    <w:qFormat/>
    <w:locked/>
    <w:uiPriority w:val="0"/>
    <w:rPr>
      <w:rFonts w:eastAsia="仿宋_GB2312"/>
      <w:kern w:val="2"/>
      <w:sz w:val="28"/>
      <w:szCs w:val="24"/>
      <w:lang w:val="en-US" w:eastAsia="zh-CN" w:bidi="ar-SA"/>
    </w:rPr>
  </w:style>
  <w:style w:type="character" w:customStyle="1" w:styleId="167">
    <w:name w:val="正文文本缩进 2 Char"/>
    <w:qFormat/>
    <w:locked/>
    <w:uiPriority w:val="99"/>
    <w:rPr>
      <w:rFonts w:eastAsia="宋体"/>
      <w:kern w:val="2"/>
      <w:sz w:val="21"/>
      <w:szCs w:val="24"/>
      <w:lang w:val="en-US" w:eastAsia="zh-CN" w:bidi="ar-SA"/>
    </w:rPr>
  </w:style>
  <w:style w:type="character" w:customStyle="1" w:styleId="168">
    <w:name w:val="正文文本 2 Char"/>
    <w:qFormat/>
    <w:uiPriority w:val="99"/>
    <w:rPr>
      <w:rFonts w:ascii="隶书" w:eastAsia="隶书"/>
      <w:bCs/>
      <w:sz w:val="72"/>
      <w:szCs w:val="84"/>
      <w:lang w:val="en-US" w:eastAsia="zh-CN" w:bidi="ar-SA"/>
    </w:rPr>
  </w:style>
  <w:style w:type="character" w:customStyle="1" w:styleId="169">
    <w:name w:val="标题 7 Char"/>
    <w:qFormat/>
    <w:uiPriority w:val="0"/>
    <w:rPr>
      <w:rFonts w:ascii="宋体" w:hAnsi="Arial" w:eastAsia="宋体"/>
      <w:b/>
      <w:sz w:val="24"/>
      <w:lang w:val="en-US" w:eastAsia="zh-CN" w:bidi="ar-SA"/>
    </w:rPr>
  </w:style>
  <w:style w:type="character" w:customStyle="1" w:styleId="170">
    <w:name w:val="页眉 Char"/>
    <w:qFormat/>
    <w:uiPriority w:val="99"/>
    <w:rPr>
      <w:rFonts w:eastAsia="宋体"/>
      <w:kern w:val="2"/>
      <w:sz w:val="18"/>
      <w:szCs w:val="18"/>
      <w:lang w:val="en-US" w:eastAsia="zh-CN" w:bidi="ar-SA"/>
    </w:rPr>
  </w:style>
  <w:style w:type="character" w:customStyle="1" w:styleId="171">
    <w:name w:val="批注文字 Char"/>
    <w:qFormat/>
    <w:uiPriority w:val="99"/>
    <w:rPr>
      <w:rFonts w:eastAsia="宋体"/>
      <w:kern w:val="2"/>
      <w:sz w:val="21"/>
      <w:szCs w:val="24"/>
      <w:lang w:val="en-US" w:eastAsia="zh-CN" w:bidi="ar-SA"/>
    </w:rPr>
  </w:style>
  <w:style w:type="character" w:customStyle="1" w:styleId="172">
    <w:name w:val="汇视源正文 Char"/>
    <w:link w:val="173"/>
    <w:qFormat/>
    <w:uiPriority w:val="0"/>
    <w:rPr>
      <w:rFonts w:cs="宋体"/>
      <w:kern w:val="2"/>
      <w:sz w:val="24"/>
      <w:lang w:val="en-US" w:eastAsia="zh-CN" w:bidi="ar-SA"/>
    </w:rPr>
  </w:style>
  <w:style w:type="paragraph" w:customStyle="1" w:styleId="173">
    <w:name w:val="汇视源正文"/>
    <w:link w:val="172"/>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4">
    <w:name w:val="样式 列表编号 + 段后: 0.5 行"/>
    <w:basedOn w:val="16"/>
    <w:qFormat/>
    <w:uiPriority w:val="0"/>
    <w:pPr>
      <w:tabs>
        <w:tab w:val="left" w:pos="840"/>
      </w:tabs>
      <w:spacing w:afterLines="0"/>
      <w:ind w:left="425" w:hanging="425"/>
    </w:pPr>
    <w:rPr>
      <w:rFonts w:cs="宋体"/>
    </w:rPr>
  </w:style>
  <w:style w:type="paragraph" w:customStyle="1" w:styleId="175">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6">
    <w:name w:val="TOC 标题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7">
    <w:name w:val="标题 字符"/>
    <w:link w:val="42"/>
    <w:qFormat/>
    <w:locked/>
    <w:uiPriority w:val="0"/>
    <w:rPr>
      <w:rFonts w:ascii="Calibri Light" w:hAnsi="Calibri Light" w:eastAsia="宋体"/>
      <w:b/>
      <w:bCs/>
      <w:kern w:val="2"/>
      <w:sz w:val="32"/>
      <w:szCs w:val="32"/>
      <w:lang w:val="en-US" w:eastAsia="zh-CN" w:bidi="ar-SA"/>
    </w:rPr>
  </w:style>
  <w:style w:type="character" w:customStyle="1" w:styleId="178">
    <w:name w:val="Date Char"/>
    <w:qFormat/>
    <w:locked/>
    <w:uiPriority w:val="0"/>
    <w:rPr>
      <w:rFonts w:ascii="宋体"/>
      <w:sz w:val="21"/>
      <w:lang w:val="zh-CN"/>
    </w:rPr>
  </w:style>
  <w:style w:type="character" w:customStyle="1" w:styleId="179">
    <w:name w:val="Normal Indent Char"/>
    <w:qFormat/>
    <w:locked/>
    <w:uiPriority w:val="0"/>
    <w:rPr>
      <w:rFonts w:ascii="宋体" w:eastAsia="宋体"/>
      <w:snapToGrid w:val="0"/>
      <w:color w:val="000000"/>
      <w:kern w:val="28"/>
      <w:sz w:val="28"/>
    </w:rPr>
  </w:style>
  <w:style w:type="character" w:customStyle="1" w:styleId="180">
    <w:name w:val="Plain Text Char"/>
    <w:qFormat/>
    <w:locked/>
    <w:uiPriority w:val="0"/>
    <w:rPr>
      <w:rFonts w:ascii="宋体" w:hAnsi="Courier New" w:eastAsia="宋体"/>
      <w:snapToGrid w:val="0"/>
      <w:sz w:val="21"/>
    </w:rPr>
  </w:style>
  <w:style w:type="character" w:customStyle="1" w:styleId="181">
    <w:name w:val="日期 Char1"/>
    <w:qFormat/>
    <w:uiPriority w:val="0"/>
    <w:rPr>
      <w:rFonts w:ascii="Times New Roman" w:hAnsi="Times New Roman" w:eastAsia="宋体" w:cs="Times New Roman"/>
      <w:sz w:val="24"/>
      <w:szCs w:val="24"/>
    </w:rPr>
  </w:style>
  <w:style w:type="character" w:customStyle="1" w:styleId="182">
    <w:name w:val="纯文本 Char1"/>
    <w:qFormat/>
    <w:uiPriority w:val="99"/>
    <w:rPr>
      <w:rFonts w:ascii="宋体" w:hAnsi="Courier New" w:eastAsia="宋体" w:cs="Courier New"/>
      <w:sz w:val="21"/>
      <w:szCs w:val="21"/>
    </w:rPr>
  </w:style>
  <w:style w:type="paragraph" w:customStyle="1" w:styleId="1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4">
    <w:name w:val="列出段落112"/>
    <w:basedOn w:val="1"/>
    <w:link w:val="208"/>
    <w:qFormat/>
    <w:uiPriority w:val="0"/>
    <w:pPr>
      <w:adjustRightInd w:val="0"/>
      <w:spacing w:line="360" w:lineRule="auto"/>
      <w:ind w:firstLine="200" w:firstLineChars="200"/>
    </w:pPr>
    <w:rPr>
      <w:rFonts w:eastAsia="楷体_GB2312" w:cs="Lucida Sans"/>
      <w:sz w:val="24"/>
    </w:rPr>
  </w:style>
  <w:style w:type="paragraph" w:customStyle="1" w:styleId="185">
    <w:name w:val="标题2def"/>
    <w:basedOn w:val="42"/>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6">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7">
    <w:name w:val="Header Char"/>
    <w:qFormat/>
    <w:locked/>
    <w:uiPriority w:val="0"/>
    <w:rPr>
      <w:rFonts w:ascii="Times New Roman" w:hAnsi="Times New Roman" w:eastAsia="宋体" w:cs="Times New Roman"/>
      <w:sz w:val="18"/>
      <w:szCs w:val="18"/>
    </w:rPr>
  </w:style>
  <w:style w:type="paragraph" w:customStyle="1" w:styleId="1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9">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0">
    <w:name w:val="Comment Text Char"/>
    <w:qFormat/>
    <w:locked/>
    <w:uiPriority w:val="0"/>
    <w:rPr>
      <w:rFonts w:ascii="Times New Roman" w:hAnsi="Times New Roman" w:eastAsia="宋体" w:cs="Times New Roman"/>
      <w:kern w:val="0"/>
      <w:sz w:val="24"/>
      <w:szCs w:val="24"/>
      <w:lang w:val="zh-CN" w:eastAsia="zh-CN"/>
    </w:rPr>
  </w:style>
  <w:style w:type="paragraph" w:customStyle="1" w:styleId="191">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3">
    <w:name w:val="Char Char Char Char1"/>
    <w:basedOn w:val="1"/>
    <w:qFormat/>
    <w:uiPriority w:val="0"/>
    <w:rPr>
      <w:rFonts w:ascii="Tahoma" w:hAnsi="Tahoma"/>
      <w:sz w:val="24"/>
      <w:szCs w:val="20"/>
    </w:rPr>
  </w:style>
  <w:style w:type="paragraph" w:customStyle="1" w:styleId="194">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6">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7">
    <w:name w:val="正文2 Char Char"/>
    <w:qFormat/>
    <w:uiPriority w:val="0"/>
    <w:rPr>
      <w:kern w:val="2"/>
      <w:sz w:val="24"/>
    </w:rPr>
  </w:style>
  <w:style w:type="character" w:customStyle="1" w:styleId="198">
    <w:name w:val="普通文字 Char Char3"/>
    <w:qFormat/>
    <w:uiPriority w:val="0"/>
    <w:rPr>
      <w:rFonts w:ascii="宋体" w:hAnsi="Courier New"/>
      <w:kern w:val="2"/>
      <w:sz w:val="24"/>
      <w:szCs w:val="24"/>
    </w:rPr>
  </w:style>
  <w:style w:type="character" w:customStyle="1" w:styleId="199">
    <w:name w:val="特点 Char2"/>
    <w:qFormat/>
    <w:uiPriority w:val="0"/>
    <w:rPr>
      <w:rFonts w:ascii="Times New Roman" w:hAnsi="Times New Roman" w:eastAsia="宋体" w:cs="Times New Roman"/>
      <w:szCs w:val="24"/>
    </w:rPr>
  </w:style>
  <w:style w:type="character" w:customStyle="1" w:styleId="200">
    <w:name w:val="批注框文本 字符"/>
    <w:basedOn w:val="48"/>
    <w:link w:val="29"/>
    <w:qFormat/>
    <w:uiPriority w:val="99"/>
    <w:rPr>
      <w:kern w:val="2"/>
      <w:sz w:val="18"/>
      <w:szCs w:val="18"/>
    </w:rPr>
  </w:style>
  <w:style w:type="character" w:customStyle="1" w:styleId="201">
    <w:name w:val="正文文本缩进 3 字符"/>
    <w:basedOn w:val="48"/>
    <w:link w:val="35"/>
    <w:qFormat/>
    <w:uiPriority w:val="0"/>
    <w:rPr>
      <w:kern w:val="2"/>
      <w:sz w:val="16"/>
      <w:szCs w:val="16"/>
    </w:rPr>
  </w:style>
  <w:style w:type="character" w:customStyle="1" w:styleId="202">
    <w:name w:val="HTML 预设格式 字符"/>
    <w:basedOn w:val="48"/>
    <w:link w:val="39"/>
    <w:qFormat/>
    <w:uiPriority w:val="0"/>
    <w:rPr>
      <w:rFonts w:ascii="黑体" w:hAnsi="Courier New" w:eastAsia="黑体" w:cs="Courier New"/>
    </w:rPr>
  </w:style>
  <w:style w:type="character" w:customStyle="1" w:styleId="203">
    <w:name w:val="批注主题 字符"/>
    <w:basedOn w:val="171"/>
    <w:link w:val="43"/>
    <w:qFormat/>
    <w:uiPriority w:val="99"/>
    <w:rPr>
      <w:rFonts w:eastAsia="宋体"/>
      <w:b/>
      <w:bCs/>
      <w:kern w:val="2"/>
      <w:sz w:val="24"/>
      <w:szCs w:val="24"/>
      <w:lang w:val="en-US" w:eastAsia="zh-CN" w:bidi="ar-SA"/>
    </w:rPr>
  </w:style>
  <w:style w:type="character" w:customStyle="1" w:styleId="204">
    <w:name w:val="正文文本首行缩进 字符"/>
    <w:basedOn w:val="166"/>
    <w:link w:val="44"/>
    <w:qFormat/>
    <w:uiPriority w:val="0"/>
    <w:rPr>
      <w:rFonts w:eastAsia="仿宋_GB2312"/>
      <w:kern w:val="2"/>
      <w:sz w:val="21"/>
      <w:szCs w:val="24"/>
      <w:lang w:val="en-US" w:eastAsia="zh-CN" w:bidi="ar-SA"/>
    </w:rPr>
  </w:style>
  <w:style w:type="character" w:customStyle="1" w:styleId="205">
    <w:name w:val="正文文本首行缩进 2 字符"/>
    <w:basedOn w:val="68"/>
    <w:link w:val="45"/>
    <w:qFormat/>
    <w:uiPriority w:val="99"/>
    <w:rPr>
      <w:rFonts w:eastAsia="宋体"/>
      <w:kern w:val="2"/>
      <w:sz w:val="21"/>
      <w:szCs w:val="24"/>
      <w:lang w:val="en-US" w:eastAsia="zh-CN" w:bidi="ar-SA"/>
    </w:rPr>
  </w:style>
  <w:style w:type="paragraph" w:customStyle="1" w:styleId="206">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7">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8">
    <w:name w:val="列出段落 Char"/>
    <w:link w:val="184"/>
    <w:qFormat/>
    <w:uiPriority w:val="99"/>
    <w:rPr>
      <w:rFonts w:eastAsia="楷体_GB2312" w:cs="Lucida Sans"/>
      <w:kern w:val="2"/>
      <w:sz w:val="24"/>
      <w:szCs w:val="24"/>
    </w:rPr>
  </w:style>
  <w:style w:type="paragraph" w:customStyle="1" w:styleId="209">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10">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1">
    <w:name w:val="TOC 标题1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2">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3">
    <w:name w:val="正文缩进2格"/>
    <w:basedOn w:val="1"/>
    <w:link w:val="214"/>
    <w:qFormat/>
    <w:uiPriority w:val="0"/>
    <w:pPr>
      <w:spacing w:line="600" w:lineRule="exact"/>
      <w:ind w:firstLine="639" w:firstLineChars="206"/>
    </w:pPr>
    <w:rPr>
      <w:rFonts w:ascii="仿宋_GB2312" w:hAnsi="宋体" w:eastAsia="仿宋_GB2312"/>
      <w:kern w:val="0"/>
      <w:sz w:val="31"/>
      <w:szCs w:val="20"/>
    </w:rPr>
  </w:style>
  <w:style w:type="character" w:customStyle="1" w:styleId="214">
    <w:name w:val="正文缩进2格 Char"/>
    <w:link w:val="213"/>
    <w:qFormat/>
    <w:uiPriority w:val="0"/>
    <w:rPr>
      <w:rFonts w:ascii="仿宋_GB2312" w:hAnsi="宋体" w:eastAsia="仿宋_GB2312"/>
      <w:sz w:val="31"/>
    </w:rPr>
  </w:style>
  <w:style w:type="paragraph" w:customStyle="1" w:styleId="215">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6">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7">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8">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2">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50">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3">
    <w:name w:val="正文1级"/>
    <w:link w:val="254"/>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4">
    <w:name w:val="正文1级 Char Char"/>
    <w:link w:val="253"/>
    <w:qFormat/>
    <w:uiPriority w:val="0"/>
    <w:rPr>
      <w:bCs/>
      <w:kern w:val="44"/>
      <w:sz w:val="24"/>
      <w:szCs w:val="44"/>
    </w:rPr>
  </w:style>
  <w:style w:type="character" w:customStyle="1" w:styleId="255">
    <w:name w:val="Char Char1"/>
    <w:qFormat/>
    <w:uiPriority w:val="0"/>
    <w:rPr>
      <w:rFonts w:ascii="宋体" w:hAnsi="Courier New" w:eastAsia="宋体"/>
      <w:kern w:val="2"/>
      <w:sz w:val="21"/>
      <w:lang w:val="en-US" w:eastAsia="zh-CN" w:bidi="ar-SA"/>
    </w:rPr>
  </w:style>
  <w:style w:type="paragraph" w:customStyle="1" w:styleId="256">
    <w:name w:val="列出段落2"/>
    <w:basedOn w:val="1"/>
    <w:qFormat/>
    <w:uiPriority w:val="34"/>
    <w:pPr>
      <w:spacing w:line="440" w:lineRule="exact"/>
      <w:ind w:firstLine="420" w:firstLineChars="200"/>
    </w:pPr>
    <w:rPr>
      <w:rFonts w:eastAsia="仿宋_GB2312"/>
      <w:sz w:val="24"/>
    </w:rPr>
  </w:style>
  <w:style w:type="paragraph" w:customStyle="1" w:styleId="257">
    <w:name w:val="TOC 标题2"/>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8">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列出段落21"/>
    <w:basedOn w:val="1"/>
    <w:qFormat/>
    <w:uiPriority w:val="0"/>
    <w:pPr>
      <w:ind w:firstLine="420" w:firstLineChars="200"/>
    </w:pPr>
    <w:rPr>
      <w:rFonts w:ascii="Calibri" w:hAnsi="Calibri"/>
      <w:szCs w:val="22"/>
    </w:rPr>
  </w:style>
  <w:style w:type="paragraph" w:customStyle="1" w:styleId="260">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2">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_Style 151"/>
    <w:basedOn w:val="1"/>
    <w:qFormat/>
    <w:uiPriority w:val="0"/>
    <w:rPr>
      <w:rFonts w:ascii="Tahoma" w:hAnsi="Tahoma"/>
      <w:sz w:val="24"/>
      <w:szCs w:val="20"/>
    </w:rPr>
  </w:style>
  <w:style w:type="paragraph" w:customStyle="1" w:styleId="266">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7">
    <w:name w:val="font01"/>
    <w:basedOn w:val="48"/>
    <w:qFormat/>
    <w:uiPriority w:val="0"/>
    <w:rPr>
      <w:rFonts w:hint="eastAsia" w:ascii="宋体" w:hAnsi="宋体" w:eastAsia="宋体" w:cs="宋体"/>
      <w:color w:val="000000"/>
      <w:sz w:val="22"/>
      <w:szCs w:val="22"/>
      <w:u w:val="none"/>
    </w:rPr>
  </w:style>
  <w:style w:type="character" w:customStyle="1" w:styleId="268">
    <w:name w:val="font11"/>
    <w:basedOn w:val="48"/>
    <w:qFormat/>
    <w:uiPriority w:val="0"/>
    <w:rPr>
      <w:rFonts w:hint="eastAsia" w:ascii="宋体" w:hAnsi="宋体" w:eastAsia="宋体" w:cs="宋体"/>
      <w:color w:val="FF0000"/>
      <w:sz w:val="22"/>
      <w:szCs w:val="22"/>
      <w:u w:val="none"/>
    </w:rPr>
  </w:style>
  <w:style w:type="character" w:customStyle="1" w:styleId="269">
    <w:name w:val="font41"/>
    <w:basedOn w:val="48"/>
    <w:qFormat/>
    <w:uiPriority w:val="0"/>
    <w:rPr>
      <w:rFonts w:hint="default" w:ascii="等线" w:hAnsi="等线" w:eastAsia="等线" w:cs="等线"/>
      <w:color w:val="FF0000"/>
      <w:sz w:val="22"/>
      <w:szCs w:val="22"/>
      <w:u w:val="none"/>
    </w:rPr>
  </w:style>
  <w:style w:type="character" w:customStyle="1" w:styleId="270">
    <w:name w:val="font21"/>
    <w:basedOn w:val="48"/>
    <w:qFormat/>
    <w:uiPriority w:val="0"/>
    <w:rPr>
      <w:rFonts w:hint="default" w:ascii="等线" w:hAnsi="等线" w:eastAsia="等线" w:cs="等线"/>
      <w:color w:val="000000"/>
      <w:sz w:val="22"/>
      <w:szCs w:val="22"/>
      <w:u w:val="none"/>
    </w:rPr>
  </w:style>
  <w:style w:type="character" w:customStyle="1" w:styleId="271">
    <w:name w:val="font51"/>
    <w:basedOn w:val="48"/>
    <w:qFormat/>
    <w:uiPriority w:val="0"/>
    <w:rPr>
      <w:rFonts w:hint="default" w:ascii="等线" w:hAnsi="等线" w:eastAsia="等线" w:cs="等线"/>
      <w:color w:val="FF0000"/>
      <w:sz w:val="22"/>
      <w:szCs w:val="22"/>
      <w:u w:val="none"/>
    </w:rPr>
  </w:style>
  <w:style w:type="character" w:customStyle="1" w:styleId="272">
    <w:name w:val="font61"/>
    <w:basedOn w:val="48"/>
    <w:qFormat/>
    <w:uiPriority w:val="0"/>
    <w:rPr>
      <w:rFonts w:hint="default" w:ascii="等线" w:hAnsi="等线" w:eastAsia="等线" w:cs="等线"/>
      <w:color w:val="000000"/>
      <w:sz w:val="22"/>
      <w:szCs w:val="22"/>
      <w:u w:val="none"/>
    </w:rPr>
  </w:style>
  <w:style w:type="paragraph" w:customStyle="1" w:styleId="27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8">
    <w:name w:val="未处理的提及1"/>
    <w:basedOn w:val="48"/>
    <w:semiHidden/>
    <w:unhideWhenUsed/>
    <w:qFormat/>
    <w:uiPriority w:val="99"/>
    <w:rPr>
      <w:color w:val="605E5C"/>
      <w:shd w:val="clear" w:color="auto" w:fill="E1DFDD"/>
    </w:rPr>
  </w:style>
  <w:style w:type="paragraph" w:customStyle="1" w:styleId="279">
    <w:name w:val="p15"/>
    <w:basedOn w:val="1"/>
    <w:qFormat/>
    <w:uiPriority w:val="0"/>
    <w:pPr>
      <w:widowControl/>
      <w:adjustRightInd w:val="0"/>
    </w:pPr>
    <w:rPr>
      <w:rFonts w:ascii="宋体" w:hAnsi="宋体" w:cs="宋体"/>
      <w:kern w:val="0"/>
      <w:sz w:val="20"/>
      <w:szCs w:val="20"/>
    </w:rPr>
  </w:style>
  <w:style w:type="character" w:customStyle="1" w:styleId="280">
    <w:name w:val="bookmark-item"/>
    <w:basedOn w:val="48"/>
    <w:qFormat/>
    <w:uiPriority w:val="0"/>
  </w:style>
  <w:style w:type="paragraph" w:customStyle="1" w:styleId="28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8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3">
    <w:name w:val="首行缩进"/>
    <w:basedOn w:val="1"/>
    <w:qFormat/>
    <w:uiPriority w:val="99"/>
    <w:pPr>
      <w:widowControl/>
      <w:tabs>
        <w:tab w:val="left" w:pos="0"/>
        <w:tab w:val="left" w:pos="360"/>
        <w:tab w:val="left" w:pos="822"/>
      </w:tabs>
      <w:snapToGrid w:val="0"/>
      <w:spacing w:before="40" w:after="40" w:line="300" w:lineRule="atLeast"/>
    </w:pPr>
    <w:rPr>
      <w:rFonts w:ascii="Arial" w:hAnsi="Arial"/>
    </w:rPr>
  </w:style>
  <w:style w:type="character" w:customStyle="1" w:styleId="284">
    <w:name w:val="内容序号（N） Char"/>
    <w:link w:val="285"/>
    <w:qFormat/>
    <w:uiPriority w:val="0"/>
    <w:rPr>
      <w:rFonts w:ascii="宋体" w:hAnsi="宋体"/>
      <w:sz w:val="24"/>
      <w:szCs w:val="28"/>
    </w:rPr>
  </w:style>
  <w:style w:type="paragraph" w:customStyle="1" w:styleId="285">
    <w:name w:val="内容序号（N）"/>
    <w:basedOn w:val="92"/>
    <w:link w:val="284"/>
    <w:qFormat/>
    <w:uiPriority w:val="0"/>
    <w:pPr>
      <w:widowControl w:val="0"/>
      <w:tabs>
        <w:tab w:val="left" w:pos="1134"/>
      </w:tabs>
      <w:spacing w:after="0" w:line="360" w:lineRule="auto"/>
      <w:ind w:left="0"/>
      <w:contextualSpacing w:val="0"/>
      <w:jc w:val="both"/>
    </w:pPr>
    <w:rPr>
      <w:rFonts w:ascii="宋体" w:hAnsi="宋体"/>
      <w:sz w:val="24"/>
      <w:szCs w:val="28"/>
    </w:rPr>
  </w:style>
  <w:style w:type="character" w:customStyle="1" w:styleId="286">
    <w:name w:val="font121"/>
    <w:qFormat/>
    <w:uiPriority w:val="0"/>
    <w:rPr>
      <w:rFonts w:hint="eastAsia" w:ascii="宋体" w:hAnsi="宋体" w:eastAsia="宋体" w:cs="宋体"/>
      <w:color w:val="000000"/>
      <w:sz w:val="24"/>
      <w:szCs w:val="24"/>
      <w:u w:val="none"/>
    </w:rPr>
  </w:style>
  <w:style w:type="character" w:customStyle="1" w:styleId="287">
    <w:name w:val="纯文本 字符"/>
    <w:qFormat/>
    <w:uiPriority w:val="0"/>
    <w:rPr>
      <w:rFonts w:ascii="宋体" w:hAnsi="Courier New"/>
      <w:kern w:val="2"/>
      <w:sz w:val="21"/>
    </w:rPr>
  </w:style>
  <w:style w:type="character" w:customStyle="1" w:styleId="288">
    <w:name w:val="正文文本缩进 2 字符"/>
    <w:qFormat/>
    <w:uiPriority w:val="0"/>
    <w:rPr>
      <w:rFonts w:ascii="Times New Roman" w:hAnsi="Times New Roman"/>
      <w:color w:val="FF0000"/>
      <w:kern w:val="2"/>
      <w:sz w:val="24"/>
      <w:szCs w:val="24"/>
    </w:rPr>
  </w:style>
  <w:style w:type="paragraph" w:styleId="289">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paragraph" w:customStyle="1" w:styleId="290">
    <w:name w:val="Bullet - Table LeveL 2"/>
    <w:basedOn w:val="1"/>
    <w:qFormat/>
    <w:uiPriority w:val="0"/>
    <w:pPr>
      <w:numPr>
        <w:ilvl w:val="0"/>
        <w:numId w:val="5"/>
      </w:numPr>
      <w:ind w:firstLine="0"/>
    </w:pPr>
    <w:rPr>
      <w:rFonts w:ascii="Arial" w:hAnsi="Arial" w:eastAsia="PMingLiU"/>
      <w:kern w:val="0"/>
      <w:sz w:val="20"/>
      <w:szCs w:val="20"/>
      <w:lang w:eastAsia="en-US"/>
    </w:rPr>
  </w:style>
  <w:style w:type="paragraph" w:customStyle="1" w:styleId="291">
    <w:name w:val="文本正文"/>
    <w:basedOn w:val="1"/>
    <w:qFormat/>
    <w:uiPriority w:val="0"/>
    <w:pPr>
      <w:spacing w:before="156" w:after="156" w:line="360" w:lineRule="auto"/>
      <w:ind w:firstLine="480"/>
    </w:pPr>
    <w:rPr>
      <w:color w:val="000000"/>
    </w:rPr>
  </w:style>
  <w:style w:type="paragraph" w:customStyle="1" w:styleId="29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93">
    <w:name w:val="正文首行缩进 21"/>
    <w:basedOn w:val="1"/>
    <w:qFormat/>
    <w:uiPriority w:val="0"/>
    <w:pPr>
      <w:spacing w:after="120"/>
      <w:ind w:left="420" w:leftChars="200" w:firstLine="420"/>
    </w:pPr>
    <w:rPr>
      <w:rFonts w:cs="宋体"/>
      <w:color w:val="000000"/>
      <w:szCs w:val="21"/>
    </w:rPr>
  </w:style>
  <w:style w:type="character" w:customStyle="1" w:styleId="294">
    <w:name w:val="正文缩进 Char2"/>
    <w:qFormat/>
    <w:uiPriority w:val="0"/>
    <w:rPr>
      <w:rFonts w:ascii="宋体" w:eastAsia="宋体"/>
      <w:snapToGrid w:val="0"/>
      <w:color w:val="000000"/>
      <w:kern w:val="28"/>
      <w:sz w:val="28"/>
      <w:lang w:val="en-US" w:eastAsia="zh-CN" w:bidi="ar-SA"/>
    </w:rPr>
  </w:style>
  <w:style w:type="paragraph" w:customStyle="1" w:styleId="295">
    <w:name w:val="2章节"/>
    <w:basedOn w:val="4"/>
    <w:qFormat/>
    <w:uiPriority w:val="0"/>
    <w:pPr>
      <w:keepLines w:val="0"/>
      <w:numPr>
        <w:numId w:val="0"/>
      </w:numPr>
      <w:tabs>
        <w:tab w:val="clear" w:pos="1145"/>
      </w:tabs>
      <w:spacing w:before="0" w:after="0" w:line="216" w:lineRule="auto"/>
      <w:jc w:val="center"/>
    </w:pPr>
    <w:rPr>
      <w:rFonts w:ascii="仿宋" w:hAnsi="仿宋" w:eastAsia="仿宋"/>
      <w:szCs w:val="32"/>
    </w:rPr>
  </w:style>
  <w:style w:type="paragraph" w:customStyle="1" w:styleId="296">
    <w:name w:val="彩色列表1"/>
    <w:basedOn w:val="1"/>
    <w:qFormat/>
    <w:uiPriority w:val="34"/>
    <w:pPr>
      <w:ind w:firstLine="420" w:firstLineChars="200"/>
    </w:pPr>
    <w:rPr>
      <w:rFonts w:ascii="Calibri" w:hAnsi="Calibri"/>
      <w:sz w:val="28"/>
      <w:szCs w:val="21"/>
    </w:rPr>
  </w:style>
  <w:style w:type="paragraph" w:customStyle="1" w:styleId="297">
    <w:name w:val="三章节"/>
    <w:basedOn w:val="3"/>
    <w:qFormat/>
    <w:uiPriority w:val="0"/>
    <w:pPr>
      <w:keepLines w:val="0"/>
      <w:numPr>
        <w:numId w:val="6"/>
      </w:numPr>
      <w:spacing w:before="0" w:after="0" w:line="360" w:lineRule="auto"/>
      <w:jc w:val="left"/>
    </w:pPr>
    <w:rPr>
      <w:rFonts w:ascii="仿宋" w:hAnsi="仿宋" w:eastAsia="仿宋"/>
      <w:b w:val="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3D26-51C0-4FB3-AFF8-5C2FC22969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4868</Words>
  <Characters>27750</Characters>
  <Lines>231</Lines>
  <Paragraphs>65</Paragraphs>
  <TotalTime>47</TotalTime>
  <ScaleCrop>false</ScaleCrop>
  <LinksUpToDate>false</LinksUpToDate>
  <CharactersWithSpaces>32553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2024-05-11T08:06:00Z</dcterms:created>
  <dc:creator>USER</dc:creator>
  <cp:lastModifiedBy>Administrator</cp:lastModifiedBy>
  <cp:lastPrinted>2022-12-27T02:58:00Z</cp:lastPrinted>
  <dcterms:modified xsi:type="dcterms:W3CDTF">2024-05-16T02:42:15Z</dcterms:modified>
  <dc:title>绍兴文理学院计算机机房设备及录播系统供货项目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222708DC074C42BE9D677D8D06CBE5F6_13</vt:lpwstr>
  </property>
</Properties>
</file>