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26"/>
                    <a:stretch>
                      <a:fillRect/>
                    </a:stretch>
                  </pic:blipFill>
                  <pic:spPr>
                    <a:xfrm>
                      <a:off x="0" y="0"/>
                      <a:ext cx="677545" cy="655320"/>
                    </a:xfrm>
                    <a:prstGeom prst="rect">
                      <a:avLst/>
                    </a:prstGeom>
                  </pic:spPr>
                </pic:pic>
              </a:graphicData>
            </a:graphic>
          </wp:inline>
        </w:drawing>
      </w:r>
    </w:p>
    <w:p>
      <w:pPr>
        <w:adjustRightInd/>
        <w:spacing w:line="360" w:lineRule="auto"/>
        <w:jc w:val="center"/>
        <w:rPr>
          <w:rFonts w:ascii="仿宋" w:hAnsi="仿宋" w:eastAsia="仿宋" w:cs="仿宋_GB2312"/>
          <w:b/>
          <w:sz w:val="44"/>
          <w:szCs w:val="44"/>
        </w:rPr>
      </w:pPr>
    </w:p>
    <w:p>
      <w:pPr>
        <w:adjustRightInd/>
        <w:spacing w:line="360" w:lineRule="auto"/>
        <w:jc w:val="center"/>
        <w:rPr>
          <w:rFonts w:hint="default" w:ascii="仿宋" w:hAnsi="仿宋" w:eastAsia="仿宋" w:cs="仿宋_GB2312"/>
          <w:sz w:val="48"/>
          <w:szCs w:val="48"/>
          <w:lang w:val="en-US" w:eastAsia="zh-CN"/>
        </w:rPr>
      </w:pPr>
      <w:r>
        <w:rPr>
          <w:rFonts w:hint="eastAsia" w:ascii="仿宋" w:hAnsi="仿宋" w:eastAsia="仿宋" w:cs="仿宋_GB2312"/>
          <w:sz w:val="48"/>
          <w:szCs w:val="48"/>
          <w:lang w:eastAsia="zh-CN"/>
        </w:rPr>
        <w:t>嵊州市图书馆2023年度纸质图书采购项目</w:t>
      </w:r>
    </w:p>
    <w:p>
      <w:pPr>
        <w:pStyle w:val="60"/>
        <w:rPr>
          <w:rFonts w:hint="eastAsia" w:ascii="仿宋" w:hAnsi="仿宋" w:eastAsia="仿宋" w:cs="仿宋_GB2312"/>
          <w:sz w:val="48"/>
          <w:szCs w:val="48"/>
          <w:lang w:eastAsia="zh-CN"/>
        </w:rPr>
      </w:pPr>
    </w:p>
    <w:p>
      <w:pPr>
        <w:rPr>
          <w:rFonts w:hint="eastAsia"/>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041"/>
      </w:tblGrid>
      <w:tr>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041" w:type="dxa"/>
            <w:noWrap w:val="0"/>
            <w:vAlign w:val="center"/>
          </w:tcPr>
          <w:p>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tblPrEx>
          <w:tblCellMar>
            <w:top w:w="0" w:type="dxa"/>
            <w:left w:w="108" w:type="dxa"/>
            <w:bottom w:w="0" w:type="dxa"/>
            <w:right w:w="108" w:type="dxa"/>
          </w:tblCellMar>
        </w:tblPrEx>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041" w:type="dxa"/>
            <w:noWrap w:val="0"/>
            <w:vAlign w:val="center"/>
          </w:tcPr>
          <w:p>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SZLB-202311WLM</w:t>
            </w:r>
          </w:p>
        </w:tc>
      </w:tr>
      <w:tr>
        <w:tblPrEx>
          <w:tblCellMar>
            <w:top w:w="0" w:type="dxa"/>
            <w:left w:w="108" w:type="dxa"/>
            <w:bottom w:w="0" w:type="dxa"/>
            <w:right w:w="108" w:type="dxa"/>
          </w:tblCellMar>
        </w:tblPrEx>
        <w:trPr>
          <w:trHeight w:val="851" w:hRule="atLeast"/>
        </w:trPr>
        <w:tc>
          <w:tcPr>
            <w:tcW w:w="1911" w:type="dxa"/>
            <w:noWrap w:val="0"/>
            <w:vAlign w:val="center"/>
          </w:tcPr>
          <w:p>
            <w:pPr>
              <w:pStyle w:val="57"/>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041" w:type="dxa"/>
            <w:noWrap w:val="0"/>
            <w:vAlign w:val="center"/>
          </w:tcPr>
          <w:p>
            <w:pPr>
              <w:pStyle w:val="57"/>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w:t>
            </w:r>
            <w:r>
              <w:rPr>
                <w:rFonts w:hint="eastAsia" w:ascii="仿宋" w:hAnsi="仿宋" w:eastAsia="仿宋" w:cs="仿宋"/>
                <w:color w:val="auto"/>
                <w:sz w:val="36"/>
                <w:szCs w:val="36"/>
                <w:lang w:val="en-US" w:eastAsia="zh-CN"/>
              </w:rPr>
              <w:t>2023</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438</w:t>
            </w:r>
            <w:r>
              <w:rPr>
                <w:rFonts w:hint="eastAsia" w:ascii="仿宋" w:hAnsi="仿宋" w:eastAsia="仿宋" w:cs="仿宋"/>
                <w:color w:val="auto"/>
                <w:sz w:val="36"/>
                <w:szCs w:val="36"/>
                <w:lang w:eastAsia="zh-CN"/>
              </w:rPr>
              <w:t>号</w:t>
            </w:r>
          </w:p>
        </w:tc>
      </w:tr>
    </w:tbl>
    <w:p>
      <w:pPr>
        <w:adjustRightInd/>
        <w:spacing w:line="360" w:lineRule="auto"/>
        <w:jc w:val="center"/>
        <w:rPr>
          <w:rFonts w:ascii="仿宋" w:hAnsi="仿宋" w:eastAsia="仿宋" w:cs="仿宋_GB2312"/>
          <w:b/>
          <w:sz w:val="44"/>
          <w:szCs w:val="44"/>
        </w:rPr>
      </w:pPr>
    </w:p>
    <w:p>
      <w:pPr>
        <w:pStyle w:val="60"/>
      </w:pPr>
    </w:p>
    <w:p>
      <w:pPr>
        <w:snapToGrid w:val="0"/>
        <w:spacing w:line="360" w:lineRule="auto"/>
        <w:jc w:val="center"/>
        <w:rPr>
          <w:rFonts w:hint="eastAsia" w:ascii="仿宋" w:hAnsi="仿宋" w:eastAsia="仿宋" w:cs="仿宋_GB2312"/>
          <w:sz w:val="36"/>
          <w:szCs w:val="36"/>
          <w:lang w:eastAsia="zh-CN"/>
        </w:rPr>
      </w:pPr>
    </w:p>
    <w:p>
      <w:pPr>
        <w:snapToGrid w:val="0"/>
        <w:spacing w:line="360" w:lineRule="auto"/>
        <w:jc w:val="center"/>
        <w:rPr>
          <w:rFonts w:hint="eastAsia" w:ascii="仿宋" w:hAnsi="仿宋" w:eastAsia="仿宋" w:cs="仿宋_GB2312"/>
          <w:sz w:val="36"/>
          <w:szCs w:val="36"/>
          <w:lang w:eastAsia="zh-CN"/>
        </w:rPr>
      </w:pPr>
    </w:p>
    <w:p>
      <w:pPr>
        <w:snapToGrid w:val="0"/>
        <w:spacing w:line="360" w:lineRule="auto"/>
        <w:jc w:val="center"/>
        <w:rPr>
          <w:rFonts w:hint="eastAsia" w:ascii="仿宋" w:hAnsi="仿宋" w:eastAsia="仿宋" w:cs="仿宋_GB2312"/>
          <w:sz w:val="36"/>
          <w:szCs w:val="36"/>
          <w:lang w:eastAsia="zh-CN"/>
        </w:rPr>
      </w:pPr>
    </w:p>
    <w:p>
      <w:pPr>
        <w:snapToGrid w:val="0"/>
        <w:spacing w:line="360" w:lineRule="auto"/>
        <w:jc w:val="center"/>
        <w:rPr>
          <w:rFonts w:hint="eastAsia" w:ascii="仿宋" w:hAnsi="仿宋" w:eastAsia="仿宋" w:cs="仿宋_GB2312"/>
          <w:sz w:val="36"/>
          <w:szCs w:val="36"/>
          <w:lang w:eastAsia="zh-CN"/>
        </w:rPr>
      </w:pPr>
    </w:p>
    <w:p>
      <w:pPr>
        <w:snapToGrid w:val="0"/>
        <w:spacing w:line="360" w:lineRule="auto"/>
        <w:jc w:val="center"/>
        <w:rPr>
          <w:rFonts w:hint="default" w:ascii="仿宋" w:hAnsi="仿宋" w:eastAsia="仿宋" w:cs="仿宋_GB2312"/>
          <w:sz w:val="36"/>
          <w:szCs w:val="36"/>
          <w:lang w:val="en-US" w:eastAsia="zh-CN"/>
        </w:rPr>
      </w:pPr>
    </w:p>
    <w:p>
      <w:pPr>
        <w:spacing w:line="360" w:lineRule="auto"/>
        <w:rPr>
          <w:rFonts w:ascii="仿宋" w:hAnsi="仿宋" w:eastAsia="仿宋" w:cs="仿宋_GB2312"/>
          <w:sz w:val="32"/>
          <w:szCs w:val="32"/>
        </w:rPr>
      </w:pPr>
    </w:p>
    <w:p>
      <w:pPr>
        <w:spacing w:line="360" w:lineRule="auto"/>
        <w:jc w:val="center"/>
        <w:rPr>
          <w:rFonts w:hint="eastAsia" w:ascii="仿宋" w:hAnsi="仿宋" w:eastAsia="仿宋" w:cs="仿宋_GB2312"/>
          <w:sz w:val="36"/>
          <w:szCs w:val="36"/>
          <w:lang w:val="en-US" w:eastAsia="zh-CN"/>
        </w:rPr>
      </w:pPr>
      <w:r>
        <w:rPr>
          <w:rFonts w:hint="eastAsia" w:ascii="仿宋" w:hAnsi="仿宋" w:eastAsia="仿宋" w:cs="仿宋_GB2312"/>
          <w:sz w:val="36"/>
          <w:szCs w:val="36"/>
          <w:lang w:eastAsia="zh-CN"/>
        </w:rPr>
        <w:t>采购</w:t>
      </w:r>
      <w:r>
        <w:rPr>
          <w:rFonts w:hint="eastAsia" w:ascii="仿宋" w:hAnsi="仿宋" w:eastAsia="仿宋" w:cs="仿宋_GB2312"/>
          <w:color w:val="auto"/>
          <w:sz w:val="36"/>
          <w:szCs w:val="36"/>
          <w:lang w:eastAsia="zh-CN"/>
        </w:rPr>
        <w:t>单位：嵊州市图书馆</w:t>
      </w:r>
    </w:p>
    <w:p>
      <w:pPr>
        <w:spacing w:line="360" w:lineRule="auto"/>
        <w:jc w:val="center"/>
        <w:rPr>
          <w:rFonts w:hint="eastAsia" w:ascii="仿宋" w:hAnsi="仿宋" w:eastAsia="仿宋" w:cs="仿宋_GB2312"/>
          <w:bCs/>
          <w:sz w:val="36"/>
          <w:szCs w:val="36"/>
          <w:lang w:eastAsia="zh-CN"/>
        </w:rPr>
      </w:pPr>
      <w:r>
        <w:rPr>
          <w:rFonts w:hint="eastAsia" w:ascii="仿宋" w:hAnsi="仿宋" w:eastAsia="仿宋" w:cs="仿宋_GB2312"/>
          <w:bCs/>
          <w:sz w:val="36"/>
          <w:szCs w:val="36"/>
          <w:lang w:eastAsia="zh-CN"/>
        </w:rPr>
        <w:t>采购</w:t>
      </w:r>
      <w:r>
        <w:rPr>
          <w:rFonts w:hint="eastAsia" w:ascii="仿宋" w:hAnsi="仿宋" w:eastAsia="仿宋" w:cs="仿宋_GB2312"/>
          <w:bCs/>
          <w:sz w:val="36"/>
          <w:szCs w:val="36"/>
        </w:rPr>
        <w:t>代理机构</w:t>
      </w:r>
      <w:r>
        <w:rPr>
          <w:rFonts w:hint="eastAsia" w:ascii="仿宋" w:hAnsi="仿宋" w:eastAsia="仿宋" w:cs="仿宋_GB2312"/>
          <w:bCs/>
          <w:sz w:val="36"/>
          <w:szCs w:val="36"/>
          <w:lang w:eastAsia="zh-CN"/>
        </w:rPr>
        <w:t>：嵊州市力标招标代理有限公司</w:t>
      </w:r>
    </w:p>
    <w:p>
      <w:pPr>
        <w:snapToGrid w:val="0"/>
        <w:spacing w:line="360" w:lineRule="auto"/>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lang w:eastAsia="zh-CN"/>
        </w:rPr>
        <w:t>日期：</w:t>
      </w:r>
      <w:r>
        <w:rPr>
          <w:rFonts w:hint="eastAsia" w:ascii="仿宋_GB2312" w:hAnsi="仿宋_GB2312" w:eastAsia="仿宋_GB2312" w:cs="仿宋_GB2312"/>
          <w:bCs/>
          <w:sz w:val="36"/>
          <w:szCs w:val="36"/>
        </w:rPr>
        <w:t>二</w:t>
      </w:r>
      <w:r>
        <w:rPr>
          <w:rFonts w:hint="eastAsia" w:ascii="宋体" w:hAnsi="宋体" w:cs="宋体"/>
          <w:bCs/>
          <w:sz w:val="36"/>
          <w:szCs w:val="36"/>
        </w:rPr>
        <w:t>〇</w:t>
      </w:r>
      <w:r>
        <w:rPr>
          <w:rFonts w:hint="eastAsia" w:ascii="仿宋_GB2312" w:hAnsi="仿宋_GB2312" w:eastAsia="仿宋_GB2312" w:cs="仿宋_GB2312"/>
          <w:bCs/>
          <w:sz w:val="36"/>
          <w:szCs w:val="36"/>
        </w:rPr>
        <w:t>二</w:t>
      </w:r>
      <w:r>
        <w:rPr>
          <w:rFonts w:hint="eastAsia" w:ascii="宋体" w:hAnsi="宋体" w:eastAsia="仿宋_GB2312" w:cs="宋体"/>
          <w:bCs/>
          <w:sz w:val="36"/>
          <w:szCs w:val="36"/>
          <w:lang w:val="en-US" w:eastAsia="zh-CN"/>
        </w:rPr>
        <w:t>三</w:t>
      </w:r>
      <w:r>
        <w:rPr>
          <w:rFonts w:hint="eastAsia" w:ascii="仿宋_GB2312" w:hAnsi="仿宋_GB2312" w:eastAsia="仿宋_GB2312" w:cs="仿宋_GB2312"/>
          <w:bCs/>
          <w:sz w:val="36"/>
          <w:szCs w:val="36"/>
        </w:rPr>
        <w:t>年</w:t>
      </w:r>
      <w:r>
        <w:rPr>
          <w:rFonts w:hint="eastAsia" w:ascii="仿宋_GB2312" w:hAnsi="仿宋_GB2312" w:eastAsia="仿宋_GB2312" w:cs="仿宋_GB2312"/>
          <w:bCs/>
          <w:sz w:val="36"/>
          <w:szCs w:val="36"/>
          <w:lang w:eastAsia="zh-CN"/>
        </w:rPr>
        <w:t>三</w:t>
      </w:r>
      <w:r>
        <w:rPr>
          <w:rFonts w:hint="eastAsia" w:ascii="仿宋_GB2312" w:hAnsi="仿宋_GB2312" w:eastAsia="仿宋_GB2312" w:cs="仿宋_GB2312"/>
          <w:bCs/>
          <w:sz w:val="36"/>
          <w:szCs w:val="36"/>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s="仿宋_GB2312"/>
          <w:sz w:val="24"/>
          <w:u w:val="single"/>
          <w:lang w:eastAsia="zh-CN"/>
        </w:rPr>
        <w:t>嵊州市图书馆2023年度纸质图书采购项目</w:t>
      </w:r>
      <w:r>
        <w:rPr>
          <w:rFonts w:hint="eastAsia" w:ascii="仿宋_GB2312" w:hAnsi="仿宋" w:eastAsia="仿宋_GB2312" w:cs="仿宋_GB2312"/>
          <w:sz w:val="24"/>
          <w:u w:val="single"/>
          <w:lang w:val="en-US" w:eastAsia="zh-CN"/>
        </w:rPr>
        <w:t xml:space="preserve"> </w:t>
      </w:r>
      <w:r>
        <w:rPr>
          <w:rFonts w:hint="eastAsia" w:ascii="仿宋_GB2312" w:hAnsi="仿宋" w:eastAsia="仿宋_GB2312"/>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8"/>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color w:val="auto"/>
          <w:sz w:val="24"/>
          <w:u w:val="single"/>
          <w:lang w:eastAsia="zh-CN"/>
        </w:rPr>
        <w:t>2023年</w:t>
      </w:r>
      <w:r>
        <w:rPr>
          <w:rFonts w:hint="eastAsia" w:ascii="仿宋_GB2312" w:hAnsi="仿宋" w:eastAsia="仿宋_GB2312"/>
          <w:color w:val="auto"/>
          <w:sz w:val="24"/>
          <w:u w:val="single"/>
          <w:lang w:val="en-US" w:eastAsia="zh-CN"/>
        </w:rPr>
        <w:t>4</w:t>
      </w:r>
      <w:r>
        <w:rPr>
          <w:rFonts w:hint="eastAsia" w:ascii="仿宋_GB2312" w:hAnsi="仿宋" w:eastAsia="仿宋_GB2312"/>
          <w:color w:val="auto"/>
          <w:sz w:val="24"/>
          <w:u w:val="single"/>
          <w:lang w:eastAsia="zh-CN"/>
        </w:rPr>
        <w:t>月</w:t>
      </w:r>
      <w:r>
        <w:rPr>
          <w:rFonts w:hint="eastAsia" w:ascii="仿宋_GB2312" w:hAnsi="仿宋" w:eastAsia="仿宋_GB2312"/>
          <w:color w:val="auto"/>
          <w:sz w:val="24"/>
          <w:u w:val="single"/>
          <w:lang w:val="en-US" w:eastAsia="zh-CN"/>
        </w:rPr>
        <w:t>17</w:t>
      </w:r>
      <w:r>
        <w:rPr>
          <w:rFonts w:hint="eastAsia" w:ascii="仿宋_GB2312" w:hAnsi="仿宋" w:eastAsia="仿宋_GB2312"/>
          <w:color w:val="auto"/>
          <w:sz w:val="24"/>
          <w:u w:val="single"/>
          <w:lang w:eastAsia="zh-CN"/>
        </w:rPr>
        <w:t>日</w:t>
      </w:r>
      <w:r>
        <w:rPr>
          <w:rFonts w:hint="eastAsia" w:ascii="仿宋_GB2312" w:hAnsi="仿宋" w:eastAsia="仿宋_GB2312"/>
          <w:color w:val="auto"/>
          <w:sz w:val="24"/>
          <w:u w:val="single"/>
          <w:lang w:val="en-US" w:eastAsia="zh-CN"/>
        </w:rPr>
        <w:t>09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color w:val="auto"/>
          <w:sz w:val="24"/>
          <w:lang w:val="en-US" w:eastAsia="zh-CN"/>
        </w:rPr>
        <w:t>1.</w:t>
      </w:r>
      <w:r>
        <w:rPr>
          <w:rFonts w:hint="eastAsia" w:ascii="仿宋_GB2312" w:hAnsi="仿宋" w:eastAsia="仿宋_GB2312"/>
          <w:b/>
          <w:color w:val="auto"/>
          <w:sz w:val="24"/>
        </w:rPr>
        <w:t>项目编号：</w:t>
      </w:r>
      <w:r>
        <w:rPr>
          <w:rFonts w:hint="eastAsia" w:ascii="仿宋_GB2312" w:hAnsi="仿宋" w:eastAsia="仿宋_GB2312"/>
          <w:b w:val="0"/>
          <w:bCs/>
          <w:color w:val="auto"/>
          <w:sz w:val="24"/>
          <w:lang w:val="en-US" w:eastAsia="zh-CN"/>
        </w:rPr>
        <w:t>SZLB-202311WLM</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w:t>
      </w:r>
      <w:r>
        <w:rPr>
          <w:rFonts w:ascii="仿宋_GB2312" w:hAnsi="仿宋" w:eastAsia="仿宋_GB2312"/>
          <w:b/>
          <w:color w:val="auto"/>
          <w:sz w:val="24"/>
        </w:rPr>
        <w:t xml:space="preserve"> </w:t>
      </w:r>
      <w:r>
        <w:rPr>
          <w:rFonts w:hint="eastAsia" w:ascii="仿宋_GB2312" w:hAnsi="仿宋" w:eastAsia="仿宋_GB2312"/>
          <w:b/>
          <w:color w:val="auto"/>
          <w:sz w:val="24"/>
          <w:lang w:val="en-US" w:eastAsia="zh-CN"/>
        </w:rPr>
        <w:t>2.</w:t>
      </w:r>
      <w:r>
        <w:rPr>
          <w:rFonts w:ascii="仿宋_GB2312" w:hAnsi="仿宋" w:eastAsia="仿宋_GB2312"/>
          <w:b/>
          <w:color w:val="auto"/>
          <w:sz w:val="24"/>
        </w:rPr>
        <w:t>项目名称：</w:t>
      </w:r>
      <w:r>
        <w:rPr>
          <w:rFonts w:hint="eastAsia" w:ascii="仿宋_GB2312" w:hAnsi="仿宋" w:eastAsia="仿宋_GB2312" w:cs="仿宋_GB2312"/>
          <w:color w:val="auto"/>
          <w:sz w:val="24"/>
          <w:lang w:eastAsia="zh-CN"/>
        </w:rPr>
        <w:t>嵊州市图书馆2023年度纸质图书采购项目</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ascii="仿宋_GB2312" w:hAnsi="仿宋" w:eastAsia="仿宋_GB2312"/>
          <w:b/>
          <w:color w:val="auto"/>
          <w:sz w:val="24"/>
        </w:rPr>
        <w:t xml:space="preserve"> </w:t>
      </w:r>
      <w:r>
        <w:rPr>
          <w:rFonts w:hint="eastAsia" w:ascii="仿宋_GB2312" w:hAnsi="仿宋" w:eastAsia="仿宋_GB2312"/>
          <w:b/>
          <w:color w:val="auto"/>
          <w:sz w:val="24"/>
          <w:lang w:val="en-US" w:eastAsia="zh-CN"/>
        </w:rPr>
        <w:t>3.</w:t>
      </w:r>
      <w:r>
        <w:rPr>
          <w:rFonts w:ascii="仿宋_GB2312" w:hAnsi="仿宋" w:eastAsia="仿宋_GB2312"/>
          <w:b/>
          <w:color w:val="auto"/>
          <w:sz w:val="24"/>
        </w:rPr>
        <w:t>预算金额（元）：</w:t>
      </w:r>
      <w:r>
        <w:rPr>
          <w:rFonts w:hint="eastAsia" w:ascii="仿宋_GB2312" w:hAnsi="仿宋" w:eastAsia="仿宋_GB2312"/>
          <w:b w:val="0"/>
          <w:bCs/>
          <w:color w:val="auto"/>
          <w:sz w:val="24"/>
          <w:lang w:val="en-US" w:eastAsia="zh-CN"/>
        </w:rPr>
        <w:t>900000</w:t>
      </w:r>
      <w:r>
        <w:rPr>
          <w:rFonts w:hint="eastAsia" w:ascii="仿宋_GB2312" w:hAnsi="仿宋" w:eastAsia="仿宋_GB2312"/>
          <w:b w:val="0"/>
          <w:bCs/>
          <w:color w:val="auto"/>
          <w:sz w:val="24"/>
        </w:rPr>
        <w:t xml:space="preserve"> </w:t>
      </w:r>
    </w:p>
    <w:p>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lang w:val="en-US" w:eastAsia="zh-CN"/>
        </w:rPr>
        <w:t>4.</w:t>
      </w:r>
      <w:r>
        <w:rPr>
          <w:rFonts w:hint="eastAsia" w:ascii="仿宋_GB2312" w:hAnsi="仿宋" w:eastAsia="仿宋_GB2312"/>
          <w:b/>
          <w:color w:val="auto"/>
          <w:sz w:val="24"/>
        </w:rPr>
        <w:t>最高限价（元）：</w:t>
      </w:r>
      <w:r>
        <w:rPr>
          <w:rFonts w:hint="eastAsia" w:ascii="仿宋_GB2312" w:hAnsi="仿宋" w:eastAsia="仿宋_GB2312"/>
          <w:b w:val="0"/>
          <w:bCs/>
          <w:color w:val="auto"/>
          <w:sz w:val="24"/>
          <w:lang w:val="en-US" w:eastAsia="zh-CN"/>
        </w:rPr>
        <w:t>900000</w:t>
      </w:r>
      <w:r>
        <w:rPr>
          <w:rFonts w:hint="eastAsia" w:ascii="仿宋_GB2312" w:hAnsi="仿宋" w:eastAsia="仿宋_GB2312"/>
          <w:color w:val="auto"/>
          <w:sz w:val="24"/>
        </w:rPr>
        <w:t xml:space="preserve"> </w:t>
      </w:r>
    </w:p>
    <w:p>
      <w:pPr>
        <w:pStyle w:val="6"/>
        <w:spacing w:line="360" w:lineRule="auto"/>
        <w:ind w:firstLine="480"/>
        <w:rPr>
          <w:rFonts w:hint="eastAsia" w:ascii="仿宋_GB2312" w:hAnsi="仿宋" w:eastAsia="仿宋_GB2312"/>
          <w:bCs/>
          <w:snapToGrid/>
          <w:color w:val="auto"/>
          <w:kern w:val="2"/>
          <w:sz w:val="24"/>
          <w:szCs w:val="24"/>
        </w:rPr>
      </w:pPr>
      <w:r>
        <w:rPr>
          <w:rFonts w:hint="eastAsia" w:ascii="仿宋_GB2312" w:hAnsi="仿宋" w:eastAsia="仿宋_GB2312"/>
          <w:b/>
          <w:color w:val="auto"/>
          <w:sz w:val="24"/>
          <w:lang w:val="en-US" w:eastAsia="zh-CN"/>
        </w:rPr>
        <w:t>5.</w:t>
      </w:r>
      <w:r>
        <w:rPr>
          <w:rFonts w:hint="eastAsia" w:ascii="仿宋_GB2312" w:hAnsi="仿宋" w:eastAsia="仿宋_GB2312"/>
          <w:b/>
          <w:color w:val="auto"/>
          <w:sz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12"/>
        <w:gridCol w:w="2479"/>
        <w:gridCol w:w="847"/>
        <w:gridCol w:w="915"/>
        <w:gridCol w:w="1560"/>
        <w:gridCol w:w="1156"/>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32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42"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7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828"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60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71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325"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color w:val="auto"/>
                <w:sz w:val="24"/>
                <w:u w:val="none"/>
                <w:lang w:eastAsia="zh-CN"/>
              </w:rPr>
              <w:t>嵊州市图书馆2023年度纸质图书采购项目</w:t>
            </w:r>
          </w:p>
        </w:tc>
        <w:tc>
          <w:tcPr>
            <w:tcW w:w="442"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47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828"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900000</w:t>
            </w:r>
          </w:p>
        </w:tc>
        <w:tc>
          <w:tcPr>
            <w:tcW w:w="60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715"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eastAsia="zh-CN"/>
              </w:rPr>
              <w:t>最高折扣率：</w:t>
            </w:r>
            <w:r>
              <w:rPr>
                <w:rFonts w:hint="eastAsia" w:ascii="仿宋" w:hAnsi="仿宋" w:eastAsia="仿宋" w:cs="仿宋"/>
                <w:bCs/>
                <w:color w:val="auto"/>
                <w:sz w:val="24"/>
                <w:lang w:val="en-US" w:eastAsia="zh-CN"/>
              </w:rPr>
              <w:t>70%</w:t>
            </w:r>
          </w:p>
        </w:tc>
      </w:tr>
    </w:tbl>
    <w:p>
      <w:pPr>
        <w:pStyle w:val="132"/>
        <w:ind w:firstLine="482"/>
        <w:outlineLvl w:val="2"/>
        <w:rPr>
          <w:rFonts w:ascii="仿宋_GB2312" w:hAnsi="仿宋" w:eastAsia="仿宋_GB2312"/>
        </w:rPr>
      </w:pPr>
      <w:r>
        <w:rPr>
          <w:rFonts w:hint="eastAsia" w:ascii="仿宋_GB2312" w:hAnsi="仿宋" w:eastAsia="仿宋_GB2312" w:cs="Times New Roman"/>
          <w:b/>
          <w:lang w:val="en-US" w:eastAsia="zh-CN"/>
        </w:rPr>
        <w:t>6.</w:t>
      </w:r>
      <w:r>
        <w:rPr>
          <w:rFonts w:hint="eastAsia" w:ascii="仿宋_GB2312" w:hAnsi="仿宋" w:eastAsia="仿宋_GB2312"/>
          <w:b/>
        </w:rPr>
        <w:t>合同履约期限：</w:t>
      </w:r>
      <w:r>
        <w:rPr>
          <w:rFonts w:hint="eastAsia" w:ascii="仿宋_GB2312" w:hAnsi="仿宋" w:eastAsia="仿宋_GB2312"/>
          <w:b/>
          <w:lang w:eastAsia="zh-CN"/>
        </w:rPr>
        <w:t>详见</w:t>
      </w:r>
      <w:r>
        <w:rPr>
          <w:rFonts w:hint="eastAsia" w:ascii="仿宋_GB2312" w:hAnsi="仿宋" w:eastAsia="仿宋_GB2312"/>
          <w:b/>
        </w:rPr>
        <w:t>招标文件</w:t>
      </w:r>
    </w:p>
    <w:p>
      <w:pPr>
        <w:pStyle w:val="6"/>
        <w:spacing w:line="360" w:lineRule="auto"/>
        <w:ind w:firstLine="480"/>
        <w:rPr>
          <w:rFonts w:ascii="仿宋_GB2312" w:hAnsi="仿宋" w:eastAsia="仿宋_GB2312"/>
          <w:b/>
          <w:sz w:val="24"/>
        </w:rPr>
      </w:pPr>
      <w:r>
        <w:rPr>
          <w:rFonts w:hint="eastAsia" w:ascii="仿宋_GB2312" w:hAnsi="仿宋" w:eastAsia="仿宋_GB2312"/>
          <w:b/>
          <w:color w:val="auto"/>
          <w:sz w:val="24"/>
          <w:lang w:val="en-US" w:eastAsia="zh-CN"/>
        </w:rPr>
        <w:t>7.</w:t>
      </w:r>
      <w:r>
        <w:rPr>
          <w:rFonts w:hint="eastAsia" w:ascii="仿宋_GB2312" w:hAnsi="仿宋" w:eastAsia="仿宋_GB2312"/>
          <w:b/>
          <w:color w:val="auto"/>
          <w:sz w:val="24"/>
        </w:rPr>
        <w:t>本项目（否）接受联合体投标</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w:t>
      </w:r>
      <w:r>
        <w:rPr>
          <w:rFonts w:hint="eastAsia" w:ascii="仿宋" w:hAnsi="仿宋" w:eastAsia="仿宋" w:cs="仿宋_GB2312"/>
          <w:snapToGrid w:val="0"/>
          <w:color w:val="auto"/>
          <w:kern w:val="28"/>
          <w:sz w:val="24"/>
          <w:szCs w:val="20"/>
        </w:rPr>
        <w:t>的资格要求：</w:t>
      </w:r>
      <w:r>
        <w:rPr>
          <w:rFonts w:hint="eastAsia" w:ascii="仿宋" w:hAnsi="仿宋" w:eastAsia="仿宋" w:cs="仿宋_GB2312"/>
          <w:snapToGrid w:val="0"/>
          <w:color w:val="auto"/>
          <w:kern w:val="28"/>
          <w:sz w:val="24"/>
          <w:szCs w:val="20"/>
          <w:lang w:eastAsia="zh-CN"/>
        </w:rPr>
        <w:t>无；</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color w:val="auto"/>
          <w:sz w:val="24"/>
          <w:lang w:eastAsia="zh-CN"/>
        </w:rPr>
        <w:t>标项</w:t>
      </w:r>
      <w:r>
        <w:rPr>
          <w:rFonts w:hint="eastAsia" w:ascii="仿宋_GB2312" w:hAnsi="仿宋" w:eastAsia="仿宋_GB2312"/>
          <w:color w:val="auto"/>
          <w:sz w:val="24"/>
          <w:lang w:val="en-US" w:eastAsia="zh-CN"/>
        </w:rPr>
        <w:t>1</w:t>
      </w:r>
      <w:r>
        <w:rPr>
          <w:rFonts w:hint="eastAsia" w:ascii="仿宋_GB2312" w:hAnsi="仿宋" w:eastAsia="仿宋_GB2312"/>
          <w:color w:val="auto"/>
          <w:sz w:val="24"/>
        </w:rPr>
        <w:t>投标</w:t>
      </w:r>
      <w:r>
        <w:rPr>
          <w:rFonts w:hint="eastAsia" w:ascii="仿宋_GB2312" w:hAnsi="仿宋" w:eastAsia="仿宋_GB2312"/>
          <w:color w:val="auto"/>
          <w:sz w:val="24"/>
          <w:lang w:eastAsia="zh-CN"/>
        </w:rPr>
        <w:t>人</w:t>
      </w:r>
      <w:r>
        <w:rPr>
          <w:rFonts w:hint="eastAsia" w:ascii="仿宋_GB2312" w:hAnsi="仿宋" w:eastAsia="仿宋_GB2312"/>
          <w:color w:val="auto"/>
          <w:sz w:val="24"/>
        </w:rPr>
        <w:t>具</w:t>
      </w:r>
      <w:r>
        <w:rPr>
          <w:rFonts w:hint="eastAsia" w:ascii="仿宋_GB2312" w:hAnsi="仿宋" w:eastAsia="仿宋_GB2312"/>
          <w:color w:val="auto"/>
          <w:sz w:val="24"/>
          <w:lang w:eastAsia="zh-CN"/>
        </w:rPr>
        <w:t>有有效期内的</w:t>
      </w:r>
      <w:r>
        <w:rPr>
          <w:rFonts w:hint="eastAsia" w:ascii="仿宋_GB2312" w:hAnsi="仿宋" w:eastAsia="仿宋_GB2312"/>
          <w:color w:val="auto"/>
          <w:sz w:val="24"/>
        </w:rPr>
        <w:t>中华人民共和国出版物经营许可证</w:t>
      </w:r>
      <w:r>
        <w:rPr>
          <w:rFonts w:hint="eastAsia" w:ascii="仿宋_GB2312" w:hAnsi="仿宋" w:eastAsia="仿宋_GB2312"/>
          <w:color w:val="auto"/>
          <w:sz w:val="24"/>
          <w:lang w:val="en-US" w:eastAsia="zh-CN"/>
        </w:rPr>
        <w:t>；</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1.</w:t>
      </w: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lang w:eastAsia="zh-CN"/>
        </w:rPr>
        <w:t>2023年</w:t>
      </w:r>
      <w:r>
        <w:rPr>
          <w:rFonts w:hint="eastAsia" w:ascii="仿宋_GB2312" w:hAnsi="仿宋" w:eastAsia="仿宋_GB2312"/>
          <w:color w:val="auto"/>
          <w:sz w:val="24"/>
          <w:u w:val="single"/>
          <w:lang w:val="en-US" w:eastAsia="zh-CN"/>
        </w:rPr>
        <w:t>4</w:t>
      </w:r>
      <w:r>
        <w:rPr>
          <w:rFonts w:hint="eastAsia" w:ascii="仿宋_GB2312" w:hAnsi="仿宋" w:eastAsia="仿宋_GB2312"/>
          <w:color w:val="auto"/>
          <w:sz w:val="24"/>
          <w:u w:val="single"/>
          <w:lang w:eastAsia="zh-CN"/>
        </w:rPr>
        <w:t>月</w:t>
      </w:r>
      <w:r>
        <w:rPr>
          <w:rFonts w:hint="eastAsia" w:ascii="仿宋_GB2312" w:hAnsi="仿宋" w:eastAsia="仿宋_GB2312"/>
          <w:color w:val="auto"/>
          <w:sz w:val="24"/>
          <w:u w:val="single"/>
          <w:lang w:val="en-US" w:eastAsia="zh-CN"/>
        </w:rPr>
        <w:t>17</w:t>
      </w:r>
      <w:r>
        <w:rPr>
          <w:rFonts w:hint="eastAsia" w:ascii="仿宋_GB2312" w:hAnsi="仿宋" w:eastAsia="仿宋_GB2312"/>
          <w:color w:val="auto"/>
          <w:sz w:val="24"/>
          <w:u w:val="single"/>
          <w:lang w:eastAsia="zh-CN"/>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2.</w:t>
      </w: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3.</w:t>
      </w: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4.</w:t>
      </w: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1.</w:t>
      </w: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2023年</w:t>
      </w:r>
      <w:r>
        <w:rPr>
          <w:rFonts w:hint="eastAsia" w:ascii="仿宋_GB2312" w:hAnsi="仿宋" w:eastAsia="仿宋_GB2312"/>
          <w:color w:val="auto"/>
          <w:sz w:val="24"/>
          <w:u w:val="single"/>
          <w:lang w:val="en-US" w:eastAsia="zh-CN"/>
        </w:rPr>
        <w:t>4</w:t>
      </w:r>
      <w:r>
        <w:rPr>
          <w:rFonts w:hint="eastAsia" w:ascii="仿宋_GB2312" w:hAnsi="仿宋" w:eastAsia="仿宋_GB2312"/>
          <w:color w:val="auto"/>
          <w:sz w:val="24"/>
          <w:u w:val="single"/>
          <w:lang w:eastAsia="zh-CN"/>
        </w:rPr>
        <w:t>月</w:t>
      </w:r>
      <w:r>
        <w:rPr>
          <w:rFonts w:hint="eastAsia" w:ascii="仿宋_GB2312" w:hAnsi="仿宋" w:eastAsia="仿宋_GB2312"/>
          <w:color w:val="auto"/>
          <w:sz w:val="24"/>
          <w:u w:val="single"/>
          <w:lang w:val="en-US" w:eastAsia="zh-CN"/>
        </w:rPr>
        <w:t>17</w:t>
      </w:r>
      <w:r>
        <w:rPr>
          <w:rFonts w:hint="eastAsia" w:ascii="仿宋_GB2312" w:hAnsi="仿宋" w:eastAsia="仿宋_GB2312"/>
          <w:color w:val="auto"/>
          <w:sz w:val="24"/>
          <w:u w:val="single"/>
          <w:lang w:eastAsia="zh-CN"/>
        </w:rPr>
        <w:t>日</w:t>
      </w:r>
      <w:r>
        <w:rPr>
          <w:rFonts w:hint="eastAsia" w:ascii="仿宋_GB2312" w:hAnsi="仿宋" w:eastAsia="仿宋_GB2312"/>
          <w:color w:val="auto"/>
          <w:sz w:val="24"/>
          <w:u w:val="single"/>
          <w:lang w:val="en-US" w:eastAsia="zh-CN"/>
        </w:rPr>
        <w:t>09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lang w:val="en-US" w:eastAsia="zh-CN"/>
        </w:rPr>
        <w:t>2.</w:t>
      </w: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color w:val="auto"/>
          <w:sz w:val="24"/>
          <w:lang w:val="en-US" w:eastAsia="zh-CN"/>
        </w:rPr>
        <w:t>3.</w:t>
      </w:r>
      <w:r>
        <w:rPr>
          <w:rFonts w:hint="eastAsia" w:ascii="仿宋_GB2312" w:hAnsi="仿宋" w:eastAsia="仿宋_GB2312"/>
          <w:b/>
          <w:color w:val="auto"/>
          <w:sz w:val="24"/>
        </w:rPr>
        <w:t>开标时间：</w:t>
      </w:r>
      <w:r>
        <w:rPr>
          <w:rFonts w:hint="eastAsia" w:ascii="仿宋_GB2312" w:hAnsi="仿宋" w:eastAsia="仿宋_GB2312"/>
          <w:color w:val="auto"/>
          <w:sz w:val="24"/>
          <w:u w:val="single"/>
          <w:lang w:eastAsia="zh-CN"/>
        </w:rPr>
        <w:t>2023年</w:t>
      </w:r>
      <w:r>
        <w:rPr>
          <w:rFonts w:hint="eastAsia" w:ascii="仿宋_GB2312" w:hAnsi="仿宋" w:eastAsia="仿宋_GB2312"/>
          <w:color w:val="auto"/>
          <w:sz w:val="24"/>
          <w:u w:val="single"/>
          <w:lang w:val="en-US" w:eastAsia="zh-CN"/>
        </w:rPr>
        <w:t>4</w:t>
      </w:r>
      <w:r>
        <w:rPr>
          <w:rFonts w:hint="eastAsia" w:ascii="仿宋_GB2312" w:hAnsi="仿宋" w:eastAsia="仿宋_GB2312"/>
          <w:color w:val="auto"/>
          <w:sz w:val="24"/>
          <w:u w:val="single"/>
          <w:lang w:eastAsia="zh-CN"/>
        </w:rPr>
        <w:t>月</w:t>
      </w:r>
      <w:r>
        <w:rPr>
          <w:rFonts w:hint="eastAsia" w:ascii="仿宋_GB2312" w:hAnsi="仿宋" w:eastAsia="仿宋_GB2312"/>
          <w:color w:val="auto"/>
          <w:sz w:val="24"/>
          <w:u w:val="single"/>
          <w:lang w:val="en-US" w:eastAsia="zh-CN"/>
        </w:rPr>
        <w:t>17</w:t>
      </w:r>
      <w:r>
        <w:rPr>
          <w:rFonts w:hint="eastAsia" w:ascii="仿宋_GB2312" w:hAnsi="仿宋" w:eastAsia="仿宋_GB2312"/>
          <w:color w:val="auto"/>
          <w:sz w:val="24"/>
          <w:u w:val="single"/>
          <w:lang w:eastAsia="zh-CN"/>
        </w:rPr>
        <w:t>日</w:t>
      </w:r>
      <w:r>
        <w:rPr>
          <w:rFonts w:hint="eastAsia" w:ascii="仿宋_GB2312" w:hAnsi="仿宋" w:eastAsia="仿宋_GB2312"/>
          <w:color w:val="auto"/>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lang w:val="en-US" w:eastAsia="zh-CN"/>
        </w:rPr>
        <w:t>4.</w:t>
      </w: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ascii="仿宋_GB2312" w:hAnsi="仿宋" w:eastAsia="仿宋_GB2312" w:cs="仿宋_GB2312"/>
          <w:color w:val="auto"/>
          <w:sz w:val="24"/>
        </w:rPr>
        <w:t>第二部分第15点—“备份投标文件”</w:t>
      </w:r>
      <w:r>
        <w:rPr>
          <w:rFonts w:hint="eastAsia" w:ascii="仿宋_GB2312" w:hAnsi="仿宋" w:eastAsia="仿宋_GB2312" w:cs="仿宋_GB2312"/>
          <w:color w:val="auto"/>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color w:val="auto"/>
          <w:sz w:val="24"/>
        </w:rPr>
      </w:pPr>
      <w:r>
        <w:rPr>
          <w:rFonts w:ascii="仿宋_GB2312" w:hAnsi="仿宋" w:eastAsia="仿宋_GB2312"/>
          <w:sz w:val="24"/>
        </w:rPr>
        <w:t xml:space="preserve">    </w:t>
      </w:r>
      <w:r>
        <w:rPr>
          <w:rFonts w:ascii="仿宋_GB2312" w:hAnsi="仿宋" w:eastAsia="仿宋_GB2312"/>
          <w:color w:val="auto"/>
          <w:sz w:val="24"/>
        </w:rPr>
        <w:t>名    称：</w:t>
      </w:r>
      <w:r>
        <w:rPr>
          <w:rFonts w:hint="eastAsia" w:ascii="仿宋_GB2312" w:hAnsi="仿宋" w:eastAsia="仿宋_GB2312"/>
          <w:color w:val="auto"/>
          <w:sz w:val="24"/>
          <w:lang w:eastAsia="zh-CN"/>
        </w:rPr>
        <w:t>嵊州市图书馆</w:t>
      </w: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地    址：</w:t>
      </w:r>
      <w:r>
        <w:rPr>
          <w:rFonts w:hint="eastAsia" w:ascii="仿宋_GB2312" w:hAnsi="仿宋" w:eastAsia="仿宋_GB2312"/>
          <w:color w:val="auto"/>
          <w:sz w:val="24"/>
          <w:lang w:eastAsia="zh-CN"/>
        </w:rPr>
        <w:t>嵊州市</w:t>
      </w:r>
      <w:r>
        <w:rPr>
          <w:rFonts w:ascii="仿宋_GB2312" w:hAnsi="仿宋" w:eastAsia="仿宋_GB2312"/>
          <w:color w:val="auto"/>
          <w:sz w:val="24"/>
        </w:rPr>
        <w:t xml:space="preserve">龙会中路26号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 </w:t>
      </w:r>
      <w:r>
        <w:rPr>
          <w:rFonts w:ascii="仿宋" w:hAnsi="仿宋" w:eastAsia="仿宋"/>
          <w:color w:val="auto"/>
          <w:sz w:val="24"/>
        </w:rPr>
        <w:t>/</w:t>
      </w:r>
    </w:p>
    <w:p>
      <w:pPr>
        <w:spacing w:line="360" w:lineRule="auto"/>
        <w:ind w:firstLine="480"/>
        <w:rPr>
          <w:rFonts w:ascii="仿宋_GB2312" w:hAnsi="仿宋" w:eastAsia="仿宋"/>
          <w:color w:val="auto"/>
          <w:sz w:val="24"/>
        </w:rPr>
      </w:pPr>
      <w:r>
        <w:rPr>
          <w:rFonts w:hint="eastAsia" w:ascii="仿宋_GB2312" w:hAnsi="仿宋" w:eastAsia="仿宋_GB2312"/>
          <w:color w:val="auto"/>
          <w:sz w:val="24"/>
        </w:rPr>
        <w:t>项目联系人（询问）：</w:t>
      </w:r>
      <w:r>
        <w:rPr>
          <w:rFonts w:hint="eastAsia" w:ascii="仿宋_GB2312" w:hAnsi="仿宋" w:eastAsia="仿宋_GB2312"/>
          <w:color w:val="auto"/>
          <w:sz w:val="24"/>
          <w:lang w:eastAsia="zh-CN"/>
        </w:rPr>
        <w:t>蒋采洪</w:t>
      </w:r>
      <w:r>
        <w:rPr>
          <w:rFonts w:hint="eastAsia" w:ascii="仿宋" w:hAnsi="仿宋" w:eastAsia="仿宋"/>
          <w:color w:val="auto"/>
          <w:sz w:val="24"/>
        </w:rPr>
        <w:t xml:space="preserve"> </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项目联系方式（询问）：</w:t>
      </w:r>
      <w:r>
        <w:rPr>
          <w:rFonts w:hint="eastAsia" w:ascii="仿宋_GB2312" w:hAnsi="仿宋" w:eastAsia="仿宋_GB2312"/>
          <w:color w:val="auto"/>
          <w:sz w:val="24"/>
          <w:lang w:eastAsia="zh-CN"/>
        </w:rPr>
        <w:t>0575-83011103</w:t>
      </w:r>
    </w:p>
    <w:p>
      <w:pPr>
        <w:spacing w:line="360" w:lineRule="auto"/>
        <w:rPr>
          <w:rFonts w:ascii="仿宋" w:hAnsi="仿宋" w:eastAsia="仿宋"/>
          <w:color w:val="auto"/>
          <w:sz w:val="24"/>
        </w:rPr>
      </w:pPr>
      <w:r>
        <w:rPr>
          <w:rFonts w:ascii="仿宋_GB2312" w:hAnsi="仿宋" w:eastAsia="仿宋_GB2312"/>
          <w:color w:val="auto"/>
          <w:sz w:val="24"/>
        </w:rPr>
        <w:t xml:space="preserve">    质疑联系人：</w:t>
      </w:r>
      <w:r>
        <w:rPr>
          <w:rFonts w:hint="eastAsia" w:ascii="仿宋_GB2312" w:hAnsi="仿宋" w:eastAsia="仿宋_GB2312"/>
          <w:color w:val="auto"/>
          <w:sz w:val="24"/>
          <w:lang w:eastAsia="zh-CN"/>
        </w:rPr>
        <w:t>张馆长</w:t>
      </w:r>
      <w:r>
        <w:rPr>
          <w:rFonts w:hint="eastAsia" w:ascii="仿宋" w:hAnsi="仿宋" w:eastAsia="仿宋"/>
          <w:color w:val="auto"/>
          <w:sz w:val="24"/>
        </w:rPr>
        <w:t xml:space="preserve"> </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质疑联系方式：</w:t>
      </w:r>
      <w:r>
        <w:rPr>
          <w:rFonts w:hint="eastAsia" w:ascii="仿宋_GB2312" w:hAnsi="仿宋" w:eastAsia="仿宋_GB2312"/>
          <w:color w:val="auto"/>
          <w:sz w:val="24"/>
          <w:lang w:eastAsia="zh-CN"/>
        </w:rPr>
        <w:t>0575-83028526</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val="en-US" w:eastAsia="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eastAsia="zh-CN"/>
        </w:rPr>
        <w:t>嵊州市力标招标代理有限公司</w:t>
      </w:r>
    </w:p>
    <w:p>
      <w:pPr>
        <w:spacing w:line="360" w:lineRule="auto"/>
        <w:ind w:firstLine="480"/>
        <w:rPr>
          <w:rFonts w:hint="default" w:ascii="仿宋_GB2312" w:hAnsi="仿宋" w:eastAsia="仿宋"/>
          <w:sz w:val="24"/>
          <w:lang w:val="en-US" w:eastAsia="zh-CN"/>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 w:hAnsi="仿宋" w:eastAsia="仿宋"/>
          <w:sz w:val="24"/>
          <w:lang w:eastAsia="zh-CN"/>
        </w:rPr>
        <w:t>嵊州市三江街道迪贝路</w:t>
      </w:r>
      <w:r>
        <w:rPr>
          <w:rFonts w:hint="eastAsia" w:ascii="仿宋" w:hAnsi="仿宋" w:eastAsia="仿宋"/>
          <w:sz w:val="24"/>
          <w:lang w:val="en-US" w:eastAsia="zh-CN"/>
        </w:rPr>
        <w:t>101号2楼</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eastAsia="zh-CN"/>
        </w:rPr>
        <w:t>王黎明</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0575-81389228</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徐军</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0575-81389228</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 </w:t>
      </w:r>
      <w:r>
        <w:rPr>
          <w:rFonts w:hint="eastAsia" w:ascii="仿宋_GB2312" w:hAnsi="仿宋" w:eastAsia="仿宋_GB2312"/>
          <w:sz w:val="24"/>
          <w:lang w:val="en-US" w:eastAsia="zh-CN"/>
        </w:rPr>
        <w:t>嵊州市财政局采监科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 嵊州市三江街道国资综合大楼1004室</w:t>
      </w:r>
    </w:p>
    <w:p>
      <w:pPr>
        <w:spacing w:line="360" w:lineRule="auto"/>
        <w:ind w:firstLine="240" w:firstLineChars="100"/>
        <w:rPr>
          <w:rFonts w:hint="eastAsia"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lang w:val="en-US" w:eastAsia="zh-CN"/>
        </w:rPr>
        <w:t>/</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 </w:t>
      </w:r>
      <w:r>
        <w:rPr>
          <w:rFonts w:hint="eastAsia" w:ascii="仿宋_GB2312" w:hAnsi="仿宋" w:eastAsia="仿宋_GB2312"/>
          <w:sz w:val="24"/>
          <w:lang w:val="en-US" w:eastAsia="zh-CN"/>
        </w:rPr>
        <w:t>郑老师</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 0575-83032507</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kern w:val="0"/>
                <w:sz w:val="24"/>
                <w:lang w:val="zh-CN"/>
              </w:rPr>
              <w:t>有关本项</w:t>
            </w:r>
            <w:r>
              <w:rPr>
                <w:rFonts w:hint="eastAsia" w:ascii="仿宋_GB2312" w:hAnsi="仿宋" w:eastAsia="仿宋_GB2312"/>
                <w:color w:val="auto"/>
                <w:kern w:val="0"/>
                <w:sz w:val="24"/>
                <w:lang w:val="zh-CN"/>
              </w:rPr>
              <w:t>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。投标文件中价格全部采用人民币报价</w:t>
            </w:r>
            <w:r>
              <w:rPr>
                <w:rFonts w:hint="eastAsia" w:ascii="仿宋_GB2312" w:hAnsi="仿宋" w:eastAsia="仿宋_GB2312" w:cs="仿宋_GB2312"/>
                <w:color w:val="auto"/>
                <w:kern w:val="0"/>
                <w:sz w:val="24"/>
                <w:lang w:val="en-US" w:eastAsia="zh-CN"/>
              </w:rPr>
              <w:t>【</w:t>
            </w:r>
            <w:r>
              <w:rPr>
                <w:rFonts w:hint="eastAsia" w:ascii="仿宋_GB2312" w:hAnsi="仿宋" w:eastAsia="仿宋_GB2312" w:cs="仿宋_GB2312"/>
                <w:color w:val="auto"/>
                <w:kern w:val="0"/>
                <w:sz w:val="24"/>
                <w:lang w:val="zh-CN"/>
              </w:rPr>
              <w:t>开标一览表（报价表）另有约定的除外】。招标文件未列明，而投标人认为必需的费用也需列入报价。</w:t>
            </w:r>
            <w:r>
              <w:rPr>
                <w:rFonts w:hint="eastAsia" w:ascii="仿宋_GB2312" w:hAnsi="仿宋" w:eastAsia="仿宋_GB2312" w:cs="仿宋_GB2312"/>
                <w:b/>
                <w:color w:val="auto"/>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240" w:firstLineChars="100"/>
              <w:jc w:val="left"/>
              <w:rPr>
                <w:rFonts w:ascii="仿宋_GB2312" w:hAnsi="仿宋" w:eastAsia="仿宋_GB2312" w:cs="仿宋_GB2312"/>
                <w:b/>
                <w:color w:val="auto"/>
                <w:kern w:val="0"/>
                <w:sz w:val="24"/>
                <w:lang w:val="zh-CN"/>
              </w:rPr>
            </w:pPr>
            <w:r>
              <w:rPr>
                <w:rFonts w:hint="eastAsia" w:ascii="仿宋_GB2312" w:hAnsi="仿宋" w:eastAsia="仿宋_GB2312"/>
                <w:color w:val="auto"/>
                <w:sz w:val="24"/>
              </w:rPr>
              <w:t>▲</w:t>
            </w: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240" w:firstLineChars="100"/>
              <w:jc w:val="left"/>
              <w:rPr>
                <w:rFonts w:ascii="仿宋_GB2312" w:hAnsi="仿宋" w:eastAsia="仿宋_GB2312"/>
                <w:color w:val="auto"/>
                <w:kern w:val="0"/>
                <w:sz w:val="24"/>
                <w:lang w:val="zh-CN"/>
              </w:rPr>
            </w:pPr>
            <w:r>
              <w:rPr>
                <w:rFonts w:hint="eastAsia" w:ascii="仿宋_GB2312" w:hAnsi="仿宋" w:eastAsia="仿宋_GB2312"/>
                <w:color w:val="auto"/>
                <w:sz w:val="24"/>
              </w:rPr>
              <w:t>▲</w:t>
            </w: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pacing w:line="360" w:lineRule="auto"/>
              <w:ind w:firstLine="240" w:firstLineChars="100"/>
              <w:rPr>
                <w:rFonts w:ascii="仿宋_GB2312" w:hAnsi="仿宋" w:eastAsia="仿宋_GB2312" w:cs="仿宋_GB2312"/>
                <w:b/>
                <w:color w:val="auto"/>
                <w:sz w:val="24"/>
              </w:rPr>
            </w:pPr>
            <w:r>
              <w:rPr>
                <w:rFonts w:hint="eastAsia" w:ascii="仿宋_GB2312" w:hAnsi="仿宋" w:eastAsia="仿宋_GB2312"/>
                <w:color w:val="auto"/>
                <w:sz w:val="24"/>
              </w:rPr>
              <w:t>▲</w:t>
            </w: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pacing w:line="360" w:lineRule="auto"/>
              <w:ind w:firstLine="240" w:firstLineChars="100"/>
              <w:rPr>
                <w:rFonts w:ascii="仿宋_GB2312" w:hAnsi="仿宋" w:eastAsia="仿宋_GB2312"/>
                <w:sz w:val="24"/>
              </w:rPr>
            </w:pPr>
            <w:r>
              <w:rPr>
                <w:rFonts w:hint="eastAsia" w:ascii="仿宋_GB2312" w:hAnsi="仿宋" w:eastAsia="仿宋_GB2312"/>
                <w:color w:val="auto"/>
                <w:sz w:val="24"/>
              </w:rPr>
              <w:t>▲</w:t>
            </w:r>
            <w:r>
              <w:rPr>
                <w:rFonts w:hint="eastAsia" w:ascii="仿宋_GB2312" w:hAnsi="仿宋" w:eastAsia="仿宋_GB2312" w:cs="Arial"/>
                <w:b/>
                <w:color w:val="auto"/>
                <w:kern w:val="0"/>
                <w:sz w:val="24"/>
              </w:rPr>
              <w:t>投标</w:t>
            </w:r>
            <w:r>
              <w:rPr>
                <w:rFonts w:hint="eastAsia" w:ascii="仿宋_GB2312" w:hAnsi="仿宋" w:eastAsia="仿宋_GB2312" w:cs="Arial"/>
                <w:b/>
                <w:kern w:val="0"/>
                <w:sz w:val="24"/>
              </w:rPr>
              <w:t>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w:t>
            </w:r>
            <w:r>
              <w:rPr>
                <w:rFonts w:hint="eastAsia" w:ascii="仿宋_GB2312" w:hAnsi="仿宋" w:eastAsia="仿宋_GB2312" w:cs="仿宋_GB2312"/>
                <w:b/>
                <w:sz w:val="24"/>
                <w:lang w:eastAsia="zh-CN"/>
              </w:rPr>
              <w:t>证明</w:t>
            </w:r>
            <w:r>
              <w:rPr>
                <w:rFonts w:hint="eastAsia" w:ascii="仿宋_GB2312" w:hAnsi="仿宋" w:eastAsia="仿宋_GB2312" w:cs="仿宋_GB2312"/>
                <w:b/>
                <w:sz w:val="24"/>
              </w:rPr>
              <w:t>、</w:t>
            </w:r>
            <w:r>
              <w:rPr>
                <w:rFonts w:hint="eastAsia" w:ascii="仿宋_GB2312" w:hAnsi="仿宋" w:eastAsia="仿宋_GB2312" w:cs="仿宋_GB2312"/>
                <w:b/>
                <w:sz w:val="24"/>
                <w:lang w:eastAsia="zh-CN"/>
              </w:rPr>
              <w:t>商务技术、报价</w:t>
            </w:r>
            <w:r>
              <w:rPr>
                <w:rFonts w:hint="eastAsia" w:ascii="仿宋_GB2312" w:hAnsi="仿宋" w:eastAsia="仿宋_GB2312" w:cs="仿宋_GB2312"/>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w:t>
            </w:r>
            <w:r>
              <w:rPr>
                <w:rFonts w:hint="eastAsia" w:ascii="仿宋_GB2312" w:hAnsi="仿宋" w:eastAsia="仿宋_GB2312"/>
                <w:color w:val="auto"/>
                <w:sz w:val="24"/>
                <w:lang w:eastAsia="zh-CN"/>
              </w:rPr>
              <w:t>商务技术</w:t>
            </w:r>
            <w:r>
              <w:rPr>
                <w:rFonts w:ascii="仿宋_GB2312" w:hAnsi="仿宋" w:eastAsia="仿宋_GB2312"/>
                <w:color w:val="auto"/>
                <w:sz w:val="24"/>
              </w:rPr>
              <w:t>文件：根据招标文件第二部分11.</w:t>
            </w:r>
            <w:r>
              <w:rPr>
                <w:rFonts w:hint="eastAsia" w:ascii="仿宋_GB2312" w:hAnsi="仿宋" w:eastAsia="仿宋_GB2312"/>
                <w:color w:val="auto"/>
                <w:sz w:val="24"/>
                <w:lang w:val="en-US" w:eastAsia="zh-CN"/>
              </w:rPr>
              <w:t>2结合</w:t>
            </w:r>
            <w:r>
              <w:rPr>
                <w:rFonts w:ascii="仿宋_GB2312" w:hAnsi="仿宋" w:eastAsia="仿宋_GB2312"/>
                <w:color w:val="auto"/>
                <w:sz w:val="24"/>
              </w:rPr>
              <w:t>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pacing w:line="360" w:lineRule="auto"/>
            </w:pPr>
          </w:p>
        </w:tc>
        <w:tc>
          <w:tcPr>
            <w:tcW w:w="1843" w:type="dxa"/>
            <w:vMerge w:val="continue"/>
            <w:tcBorders>
              <w:left w:val="single" w:color="auto" w:sz="4" w:space="0"/>
              <w:bottom w:val="single" w:color="000000" w:sz="8" w:space="0"/>
              <w:right w:val="single" w:color="000000" w:sz="8" w:space="0"/>
            </w:tcBorders>
            <w:vAlign w:val="center"/>
          </w:tcPr>
          <w:p>
            <w:pPr>
              <w:spacing w:line="360" w:lineRule="auto"/>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w:t>
            </w:r>
            <w:r>
              <w:rPr>
                <w:rFonts w:hint="eastAsia" w:ascii="仿宋_GB2312" w:hAnsi="仿宋" w:eastAsia="仿宋_GB2312"/>
                <w:color w:val="auto"/>
                <w:sz w:val="24"/>
                <w:lang w:val="en-US" w:eastAsia="zh-CN"/>
              </w:rPr>
              <w:t>3</w:t>
            </w:r>
            <w:r>
              <w:rPr>
                <w:rFonts w:ascii="仿宋_GB2312" w:hAnsi="仿宋" w:eastAsia="仿宋_GB2312"/>
                <w:color w:val="auto"/>
                <w:sz w:val="24"/>
              </w:rPr>
              <w:t>）</w:t>
            </w:r>
            <w:r>
              <w:rPr>
                <w:rFonts w:hint="eastAsia" w:ascii="仿宋_GB2312" w:hAnsi="仿宋" w:eastAsia="仿宋_GB2312"/>
                <w:color w:val="auto"/>
                <w:sz w:val="24"/>
                <w:lang w:eastAsia="zh-CN"/>
              </w:rPr>
              <w:t>报价</w:t>
            </w:r>
            <w:r>
              <w:rPr>
                <w:rFonts w:ascii="仿宋_GB2312" w:hAnsi="仿宋" w:eastAsia="仿宋_GB2312"/>
                <w:color w:val="auto"/>
                <w:sz w:val="24"/>
              </w:rPr>
              <w:t>文件：见招标文件第二部分11.</w:t>
            </w:r>
            <w:r>
              <w:rPr>
                <w:rFonts w:hint="eastAsia" w:ascii="仿宋_GB2312" w:hAnsi="仿宋" w:eastAsia="仿宋_GB2312"/>
                <w:color w:val="auto"/>
                <w:sz w:val="24"/>
                <w:lang w:val="en-US" w:eastAsia="zh-CN"/>
              </w:rPr>
              <w:t>3</w:t>
            </w:r>
            <w:r>
              <w:rPr>
                <w:rFonts w:ascii="仿宋_GB2312" w:hAnsi="仿宋" w:eastAsia="仿宋_GB2312"/>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仿宋_GB2312" w:hAnsi="仿宋" w:eastAsia="仿宋_GB2312" w:cs="Arial"/>
                    <w:color w:val="auto"/>
                    <w:kern w:val="0"/>
                    <w:sz w:val="24"/>
                  </w:rPr>
                  <w:sym w:font="Wingdings" w:char="F0FE"/>
                </w:r>
              </w:sdtContent>
            </w:sdt>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sz w:val="24"/>
                <w:szCs w:val="20"/>
              </w:rPr>
            </w:pPr>
            <w:sdt>
              <w:sdtPr>
                <w:rPr>
                  <w:rFonts w:hint="eastAsia" w:ascii="仿宋_GB2312" w:hAnsi="仿宋" w:eastAsia="仿宋_GB2312" w:cs="Arial"/>
                  <w:color w:val="auto"/>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F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cs="仿宋_GB2312"/>
                <w:b/>
                <w:kern w:val="0"/>
                <w:sz w:val="24"/>
                <w:lang w:val="zh-CN"/>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sdt>
              <w:sdtPr>
                <w:rPr>
                  <w:rFonts w:hint="eastAsia" w:ascii="仿宋_GB2312" w:hAnsi="仿宋" w:eastAsia="仿宋_GB2312" w:cs="Arial"/>
                  <w:color w:val="auto"/>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仿宋_GB2312" w:hAnsi="仿宋" w:eastAsia="仿宋_GB2312" w:cs="Arial"/>
                    <w:color w:val="auto"/>
                    <w:kern w:val="0"/>
                    <w:sz w:val="24"/>
                  </w:rPr>
                  <w:sym w:font="Wingdings" w:char="F0FE"/>
                </w:r>
              </w:sdtContent>
            </w:sdt>
            <w:r>
              <w:rPr>
                <w:rFonts w:hint="eastAsia" w:ascii="仿宋_GB2312" w:hAnsi="仿宋" w:eastAsia="仿宋_GB2312" w:cs="Arial"/>
                <w:color w:val="auto"/>
                <w:kern w:val="0"/>
                <w:sz w:val="24"/>
              </w:rPr>
              <w:t>本项目不允许采购进口产品。</w:t>
            </w:r>
          </w:p>
          <w:p>
            <w:pPr>
              <w:spacing w:line="360" w:lineRule="auto"/>
              <w:rPr>
                <w:color w:val="auto"/>
              </w:rPr>
            </w:pPr>
            <w:sdt>
              <w:sdtPr>
                <w:rPr>
                  <w:rFonts w:hint="eastAsia" w:ascii="仿宋_GB2312" w:hAnsi="仿宋" w:eastAsia="仿宋_GB2312" w:cs="Arial"/>
                  <w:color w:val="auto"/>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11872786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p>
          <w:p>
            <w:pPr>
              <w:spacing w:line="360" w:lineRule="auto"/>
              <w:rPr>
                <w:rFonts w:ascii="仿宋_GB2312" w:hAnsi="仿宋" w:eastAsia="仿宋_GB2312"/>
                <w:color w:val="auto"/>
                <w:sz w:val="24"/>
              </w:rPr>
            </w:pPr>
            <w:sdt>
              <w:sdtPr>
                <w:rPr>
                  <w:rFonts w:hint="eastAsia" w:ascii="仿宋_GB2312" w:hAnsi="仿宋" w:eastAsia="仿宋_GB2312" w:cs="Arial"/>
                  <w:b w:val="0"/>
                  <w:bCs w:val="0"/>
                  <w:color w:val="auto"/>
                  <w:kern w:val="0"/>
                  <w:sz w:val="24"/>
                </w:rPr>
                <w:id w:val="474885559"/>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ascii="MS Gothic" w:hAnsi="MS Gothic" w:eastAsia="仿宋_GB2312" w:cs="Arial"/>
                    <w:b w:val="0"/>
                    <w:bCs w:val="0"/>
                    <w:color w:val="auto"/>
                    <w:kern w:val="0"/>
                    <w:sz w:val="24"/>
                    <w:szCs w:val="24"/>
                    <w:lang w:val="en-US" w:eastAsia="zh-CN" w:bidi="ar-SA"/>
                  </w:rPr>
                  <w:t>☐</w:t>
                </w:r>
              </w:sdtContent>
            </w:sdt>
            <w:r>
              <w:rPr>
                <w:rFonts w:ascii="仿宋_GB2312" w:hAnsi="仿宋" w:eastAsia="仿宋_GB2312" w:cs="Arial"/>
                <w:b w:val="0"/>
                <w:bCs w:val="0"/>
                <w:color w:val="auto"/>
                <w:kern w:val="0"/>
                <w:sz w:val="24"/>
              </w:rPr>
              <w:t>B</w:t>
            </w:r>
            <w:r>
              <w:rPr>
                <w:rFonts w:hint="eastAsia" w:ascii="仿宋_GB2312" w:hAnsi="仿宋" w:eastAsia="仿宋_GB2312"/>
                <w:b w:val="0"/>
                <w:bCs w:val="0"/>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olor w:val="auto"/>
                <w:sz w:val="24"/>
                <w:lang w:eastAsia="zh-CN"/>
              </w:rPr>
            </w:pPr>
            <w:r>
              <w:rPr>
                <w:rFonts w:hint="eastAsia" w:ascii="仿宋_GB2312" w:hAnsi="仿宋" w:eastAsia="仿宋_GB2312"/>
                <w:color w:val="auto"/>
                <w:sz w:val="24"/>
              </w:rPr>
              <w:t>根据《工业和信息化部、国家统计局、国家发展和改革委员会、财政部关于印发中小企业划型标准规定的通知》（工信部联企业[2011]300号）规定</w:t>
            </w:r>
            <w:r>
              <w:rPr>
                <w:rFonts w:hint="eastAsia" w:ascii="仿宋_GB2312" w:hAnsi="仿宋" w:eastAsia="仿宋_GB2312"/>
                <w:color w:val="auto"/>
                <w:sz w:val="24"/>
                <w:lang w:eastAsia="zh-CN"/>
              </w:rPr>
              <w:t>（有最新</w:t>
            </w:r>
            <w:r>
              <w:rPr>
                <w:rFonts w:hint="eastAsia" w:ascii="仿宋_GB2312" w:hAnsi="仿宋" w:eastAsia="仿宋_GB2312"/>
                <w:color w:val="auto"/>
                <w:sz w:val="24"/>
              </w:rPr>
              <w:t>中小企业划型标准</w:t>
            </w:r>
            <w:r>
              <w:rPr>
                <w:rFonts w:hint="eastAsia" w:ascii="仿宋_GB2312" w:hAnsi="仿宋" w:eastAsia="仿宋_GB2312"/>
                <w:color w:val="auto"/>
                <w:sz w:val="24"/>
                <w:lang w:eastAsia="zh-CN"/>
              </w:rPr>
              <w:t>的以更新后的为准）：</w:t>
            </w:r>
          </w:p>
          <w:p>
            <w:pPr>
              <w:spacing w:line="360" w:lineRule="auto"/>
              <w:rPr>
                <w:rFonts w:hint="eastAsia" w:ascii="仿宋_GB2312" w:hAnsi="仿宋" w:eastAsia="仿宋_GB2312" w:cs="Times New Roman"/>
                <w:b w:val="0"/>
                <w:bCs w:val="0"/>
                <w:color w:val="auto"/>
                <w:kern w:val="2"/>
                <w:sz w:val="24"/>
                <w:szCs w:val="24"/>
                <w:lang w:val="en-US" w:eastAsia="zh-CN" w:bidi="ar-SA"/>
              </w:rPr>
            </w:pPr>
            <w:r>
              <w:rPr>
                <w:rFonts w:hint="eastAsia" w:ascii="仿宋_GB2312" w:hAnsi="仿宋" w:eastAsia="仿宋_GB2312"/>
                <w:color w:val="auto"/>
                <w:sz w:val="24"/>
              </w:rPr>
              <w:t>（1）标的：</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嵊州市图书馆2023年度纸质图书采购项目</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，属于</w:t>
            </w:r>
            <w:r>
              <w:rPr>
                <w:rFonts w:hint="eastAsia" w:ascii="仿宋_GB2312" w:hAnsi="仿宋" w:eastAsia="仿宋_GB2312"/>
                <w:color w:val="auto"/>
                <w:sz w:val="24"/>
                <w:u w:val="single"/>
              </w:rPr>
              <w:t xml:space="preserve"> 零售业</w:t>
            </w:r>
            <w:r>
              <w:rPr>
                <w:rFonts w:hint="eastAsia" w:ascii="仿宋_GB2312" w:hAnsi="仿宋" w:eastAsia="仿宋_GB2312"/>
                <w:color w:val="auto"/>
                <w:sz w:val="24"/>
              </w:rPr>
              <w:t>；</w:t>
            </w:r>
          </w:p>
          <w:p>
            <w:pPr>
              <w:rPr>
                <w:color w:val="auto"/>
                <w:lang w:val="en-US"/>
              </w:rPr>
            </w:pPr>
            <w:r>
              <w:rPr>
                <w:rFonts w:hint="eastAsia" w:ascii="仿宋_GB2312" w:hAnsi="仿宋" w:eastAsia="仿宋_GB2312" w:cs="Times New Roman"/>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sz w:val="24"/>
                <w:lang w:eastAsia="zh-CN"/>
              </w:rPr>
            </w:pPr>
            <w:r>
              <w:rPr>
                <w:rFonts w:hint="eastAsia" w:ascii="仿宋_GB2312" w:hAnsi="仿宋" w:eastAsia="仿宋_GB2312" w:cs="Times New Roman"/>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60" w:lineRule="auto"/>
              <w:rPr>
                <w:rFonts w:hint="eastAsia" w:ascii="仿宋_GB2312" w:hAnsi="仿宋" w:eastAsia="仿宋_GB2312"/>
                <w:color w:val="auto"/>
                <w:sz w:val="24"/>
              </w:rPr>
            </w:pPr>
            <w:r>
              <w:rPr>
                <w:rFonts w:hint="eastAsia" w:ascii="仿宋_GB2312" w:hAnsi="仿宋" w:eastAsia="仿宋_GB2312"/>
                <w:color w:val="auto"/>
                <w:sz w:val="24"/>
              </w:rPr>
              <w:t>本项目代理服务费：</w:t>
            </w:r>
            <w:r>
              <w:rPr>
                <w:rFonts w:hint="eastAsia" w:ascii="仿宋_GB2312" w:hAnsi="仿宋" w:eastAsia="仿宋_GB2312"/>
                <w:color w:val="auto"/>
                <w:sz w:val="24"/>
                <w:lang w:eastAsia="zh-CN"/>
              </w:rPr>
              <w:t>参照</w:t>
            </w:r>
            <w:r>
              <w:rPr>
                <w:rFonts w:hint="eastAsia" w:ascii="仿宋_GB2312" w:hAnsi="仿宋" w:eastAsia="仿宋_GB2312"/>
                <w:color w:val="auto"/>
                <w:sz w:val="24"/>
              </w:rPr>
              <w:t>国家计委计价格[2002]1980号文件规定收费标准由中标人在领取中标通知书时支付；</w:t>
            </w:r>
          </w:p>
          <w:p>
            <w:pPr>
              <w:numPr>
                <w:ilvl w:val="0"/>
                <w:numId w:val="0"/>
              </w:numPr>
              <w:spacing w:line="360" w:lineRule="auto"/>
              <w:rPr>
                <w:rFonts w:hint="eastAsia" w:ascii="仿宋_GB2312" w:hAnsi="仿宋" w:eastAsia="仿宋_GB2312"/>
                <w:color w:val="auto"/>
                <w:sz w:val="24"/>
              </w:rPr>
            </w:pPr>
            <w:r>
              <w:rPr>
                <w:rFonts w:hint="eastAsia" w:ascii="仿宋_GB2312" w:hAnsi="仿宋" w:eastAsia="仿宋_GB2312"/>
                <w:color w:val="auto"/>
                <w:sz w:val="24"/>
                <w:lang w:val="en-US" w:eastAsia="zh-CN"/>
              </w:rPr>
              <w:t>2</w:t>
            </w:r>
            <w:r>
              <w:rPr>
                <w:rFonts w:hint="eastAsia" w:ascii="仿宋_GB2312" w:hAnsi="仿宋" w:eastAsia="仿宋_GB2312"/>
                <w:color w:val="auto"/>
                <w:sz w:val="24"/>
              </w:rPr>
              <w:t>.代理服务费以（转账或现金形式支付）转账账户 ：</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公司名称：嵊州市力标招标代理有限公司</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开户银行：中国农业银行嵊州市经济开发区支行</w:t>
            </w:r>
          </w:p>
          <w:p>
            <w:pPr>
              <w:spacing w:line="360" w:lineRule="auto"/>
              <w:rPr>
                <w:rFonts w:ascii="仿宋_GB2312" w:hAnsi="仿宋" w:eastAsia="仿宋_GB2312"/>
                <w:color w:val="auto"/>
                <w:sz w:val="24"/>
              </w:rPr>
            </w:pPr>
            <w:r>
              <w:rPr>
                <w:rFonts w:hint="eastAsia" w:ascii="仿宋_GB2312" w:hAnsi="仿宋" w:eastAsia="仿宋_GB2312"/>
                <w:color w:val="auto"/>
                <w:sz w:val="24"/>
              </w:rPr>
              <w:t>帐    号：19520601040003002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嵊州市三江街道</w:t>
            </w:r>
            <w:r>
              <w:rPr>
                <w:rFonts w:hint="eastAsia" w:ascii="仿宋_GB2312" w:hAnsi="仿宋" w:eastAsia="仿宋_GB2312"/>
                <w:sz w:val="24"/>
                <w:u w:val="single"/>
                <w:lang w:eastAsia="zh-CN"/>
              </w:rPr>
              <w:t>领带园一</w:t>
            </w:r>
            <w:r>
              <w:rPr>
                <w:rFonts w:hint="eastAsia" w:ascii="仿宋_GB2312" w:hAnsi="仿宋" w:eastAsia="仿宋_GB2312"/>
                <w:sz w:val="24"/>
                <w:u w:val="single"/>
              </w:rPr>
              <w:t>路</w:t>
            </w:r>
            <w:r>
              <w:rPr>
                <w:rFonts w:hint="eastAsia" w:ascii="仿宋_GB2312" w:hAnsi="仿宋" w:eastAsia="仿宋_GB2312"/>
                <w:sz w:val="24"/>
                <w:u w:val="single"/>
                <w:lang w:val="en-US" w:eastAsia="zh-CN"/>
              </w:rPr>
              <w:t>3</w:t>
            </w:r>
            <w:r>
              <w:rPr>
                <w:rFonts w:hint="eastAsia" w:ascii="仿宋_GB2312" w:hAnsi="仿宋" w:eastAsia="仿宋_GB2312"/>
                <w:sz w:val="24"/>
                <w:u w:val="single"/>
              </w:rPr>
              <w:t>号2楼</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13777339331</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cs="宋体"/>
                <w:b/>
                <w:kern w:val="0"/>
                <w:sz w:val="24"/>
              </w:rPr>
              <w:t>本招标文件的解释权属于嵊州市力标招标代理有限公司。</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sdt>
        <w:sdtPr>
          <w:rPr>
            <w:rFonts w:hint="eastAsia" w:ascii="仿宋_GB2312" w:hAnsi="仿宋" w:eastAsia="仿宋_GB2312" w:cs="Arial"/>
            <w:color w:val="auto"/>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rPr>
            <w:t></w:t>
          </w:r>
        </w:sdtContent>
      </w:sdt>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sdt>
        <w:sdtPr>
          <w:rPr>
            <w:rFonts w:hint="eastAsia" w:ascii="仿宋_GB2312" w:hAnsi="仿宋" w:eastAsia="仿宋_GB2312" w:cs="Arial"/>
            <w:color w:val="auto"/>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pacing w:line="360" w:lineRule="auto"/>
        <w:ind w:firstLine="241" w:firstLineChars="100"/>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w:t>
      </w:r>
      <w:r>
        <w:rPr>
          <w:rFonts w:hint="eastAsia" w:ascii="仿宋_GB2312" w:hAnsi="仿宋" w:eastAsia="仿宋_GB2312"/>
          <w:sz w:val="24"/>
        </w:rPr>
        <w:t>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color w:val="auto"/>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hAnsi="仿宋" w:eastAsia="仿宋_GB2312"/>
          <w:color w:val="auto"/>
          <w:sz w:val="24"/>
        </w:rPr>
        <w:t>▲</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color w:val="auto"/>
          <w:sz w:val="24"/>
        </w:rPr>
        <w:t>3.3支持中小企业</w:t>
      </w:r>
      <w:r>
        <w:rPr>
          <w:rFonts w:ascii="仿宋_GB2312" w:hAnsi="仿宋" w:eastAsia="仿宋_GB2312"/>
          <w:sz w:val="24"/>
        </w:rPr>
        <w:t>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kern w:val="0"/>
          <w:sz w:val="24"/>
        </w:rPr>
        <w:t>3.3.2.3在服务采购项目中，服务由中小企业承接，即提供服务的人员为中小企业依照</w:t>
      </w:r>
      <w:r>
        <w:rPr>
          <w:rFonts w:ascii="仿宋_GB2312" w:hAnsi="宋体" w:eastAsia="仿宋_GB2312" w:cs="宋体"/>
          <w:color w:val="auto"/>
          <w:kern w:val="0"/>
          <w:sz w:val="24"/>
        </w:rPr>
        <w:t>《中华人民共和国劳动合同法》订立劳动合同的从业人员。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lang w:val="en-US" w:eastAsia="zh-CN"/>
        </w:rPr>
        <w:t>10</w:t>
      </w:r>
      <w:r>
        <w:rPr>
          <w:rFonts w:ascii="仿宋_GB2312" w:hAnsi="仿宋" w:eastAsia="仿宋_GB2312"/>
          <w:color w:val="auto"/>
          <w:sz w:val="24"/>
        </w:rPr>
        <w:t>%的扣除，用扣除后的价格参与评审。接受</w:t>
      </w:r>
      <w:r>
        <w:rPr>
          <w:rFonts w:ascii="仿宋_GB2312" w:hAnsi="仿宋" w:eastAsia="仿宋_GB2312"/>
          <w:sz w:val="24"/>
        </w:rPr>
        <w:t>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b/>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w:t>
      </w:r>
      <w:r>
        <w:rPr>
          <w:rFonts w:hint="eastAsia" w:ascii="仿宋_GB2312" w:hAnsi="仿宋" w:eastAsia="仿宋_GB2312" w:cs="微软雅黑"/>
          <w:color w:val="auto"/>
          <w:kern w:val="0"/>
          <w:sz w:val="24"/>
          <w:lang w:val="zh-CN"/>
        </w:rPr>
        <w:t>当在</w:t>
      </w:r>
      <w:r>
        <w:rPr>
          <w:rFonts w:ascii="仿宋_GB2312" w:hAnsi="仿宋" w:eastAsia="仿宋_GB2312" w:cs="微软雅黑"/>
          <w:color w:val="auto"/>
          <w:kern w:val="0"/>
          <w:sz w:val="24"/>
          <w:lang w:val="zh-CN"/>
        </w:rPr>
        <w:t>3个工作日内对供</w:t>
      </w:r>
      <w:r>
        <w:rPr>
          <w:rFonts w:ascii="仿宋_GB2312" w:hAnsi="仿宋" w:eastAsia="仿宋_GB2312" w:cs="微软雅黑"/>
          <w:kern w:val="0"/>
          <w:sz w:val="24"/>
          <w:lang w:val="zh-CN"/>
        </w:rPr>
        <w:t>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90"/>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w:t>
      </w:r>
      <w:r>
        <w:rPr>
          <w:rFonts w:hint="eastAsia" w:ascii="仿宋_GB2312" w:hAnsi="仿宋" w:eastAsia="仿宋_GB2312"/>
          <w:color w:val="auto"/>
        </w:rPr>
        <w:t>商和其他与质疑处理结果有利害关系的政府采购当事人，但答复的内容不得涉及商业秘密。</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132"/>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2"/>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lang w:eastAsia="zh-CN"/>
        </w:rPr>
        <w:t>根据浙财采监〔2019〕5</w:t>
      </w:r>
      <w:r>
        <w:rPr>
          <w:rFonts w:hint="eastAsia" w:ascii="仿宋_GB2312" w:hAnsi="仿宋" w:eastAsia="仿宋_GB2312" w:cs="仿宋_GB2312"/>
          <w:color w:val="auto"/>
          <w:sz w:val="24"/>
          <w:lang w:val="en-US" w:eastAsia="zh-CN"/>
        </w:rPr>
        <w:t>号文件要求，</w:t>
      </w:r>
      <w:r>
        <w:rPr>
          <w:rFonts w:hint="eastAsia" w:ascii="仿宋_GB2312" w:hAnsi="仿宋" w:eastAsia="仿宋_GB2312" w:cs="仿宋_GB2312"/>
          <w:color w:val="auto"/>
          <w:sz w:val="24"/>
        </w:rPr>
        <w:t>本项目</w:t>
      </w:r>
      <w:r>
        <w:rPr>
          <w:rFonts w:hint="eastAsia" w:ascii="仿宋_GB2312" w:hAnsi="仿宋" w:eastAsia="仿宋_GB2312" w:cs="仿宋_GB2312"/>
          <w:color w:val="auto"/>
          <w:sz w:val="24"/>
          <w:lang w:eastAsia="zh-CN"/>
        </w:rPr>
        <w:t>无</w:t>
      </w:r>
      <w:r>
        <w:rPr>
          <w:rFonts w:hint="eastAsia" w:ascii="仿宋_GB2312" w:hAnsi="仿宋" w:eastAsia="仿宋_GB2312" w:cs="仿宋_GB2312"/>
          <w:color w:val="auto"/>
          <w:sz w:val="24"/>
        </w:rPr>
        <w:t>需缴纳投标保证金。</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w:t>
      </w:r>
      <w:r>
        <w:rPr>
          <w:rFonts w:hint="eastAsia" w:ascii="仿宋_GB2312" w:hAnsi="仿宋" w:eastAsia="仿宋_GB2312" w:cs="仿宋_GB2312"/>
          <w:b/>
          <w:color w:val="auto"/>
          <w:sz w:val="24"/>
          <w:lang w:eastAsia="zh-CN"/>
        </w:rPr>
        <w:t>证明</w:t>
      </w:r>
      <w:r>
        <w:rPr>
          <w:rFonts w:hint="eastAsia" w:ascii="仿宋_GB2312" w:hAnsi="仿宋" w:eastAsia="仿宋_GB2312" w:cs="仿宋_GB2312"/>
          <w:b/>
          <w:color w:val="auto"/>
          <w:sz w:val="24"/>
        </w:rPr>
        <w:t>文件</w:t>
      </w:r>
      <w:r>
        <w:rPr>
          <w:rFonts w:hint="eastAsia" w:ascii="仿宋_GB2312" w:hAnsi="仿宋" w:eastAsia="仿宋_GB2312" w:cs="仿宋_GB2312"/>
          <w:color w:val="auto"/>
          <w:sz w:val="24"/>
        </w:rPr>
        <w:t>：</w:t>
      </w:r>
    </w:p>
    <w:p>
      <w:pPr>
        <w:snapToGrid w:val="0"/>
        <w:spacing w:line="360" w:lineRule="auto"/>
        <w:ind w:firstLine="960" w:firstLineChars="400"/>
        <w:rPr>
          <w:rFonts w:hint="eastAsia" w:ascii="仿宋_GB2312" w:hAnsi="仿宋" w:eastAsia="仿宋_GB2312" w:cs="仿宋_GB2312"/>
          <w:color w:val="auto"/>
          <w:sz w:val="24"/>
          <w:lang w:eastAsia="zh-CN"/>
        </w:rPr>
      </w:pPr>
      <w:r>
        <w:rPr>
          <w:rFonts w:ascii="仿宋_GB2312" w:hAnsi="仿宋" w:eastAsia="仿宋_GB2312" w:cs="仿宋_GB2312"/>
          <w:color w:val="auto"/>
          <w:sz w:val="24"/>
        </w:rPr>
        <w:t>11.1.1</w:t>
      </w:r>
      <w:r>
        <w:rPr>
          <w:rFonts w:hint="eastAsia" w:ascii="仿宋_GB2312" w:hAnsi="仿宋" w:eastAsia="仿宋_GB2312" w:cs="仿宋_GB2312"/>
          <w:color w:val="auto"/>
          <w:sz w:val="24"/>
          <w:lang w:eastAsia="zh-CN"/>
        </w:rPr>
        <w:t>营业执照扫描件；</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11.1.2</w:t>
      </w:r>
      <w:r>
        <w:rPr>
          <w:rFonts w:ascii="仿宋_GB2312" w:hAnsi="仿宋" w:eastAsia="仿宋_GB2312" w:cs="仿宋_GB2312"/>
          <w:color w:val="auto"/>
          <w:sz w:val="24"/>
        </w:rPr>
        <w:t>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落实政府采购政策需满足的资格要求；</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本项目的特定资格要求</w:t>
      </w:r>
      <w:r>
        <w:rPr>
          <w:rFonts w:hint="eastAsia" w:ascii="仿宋_GB2312" w:hAnsi="仿宋" w:eastAsia="仿宋_GB2312" w:cs="仿宋_GB2312"/>
          <w:color w:val="auto"/>
          <w:sz w:val="24"/>
          <w:lang w:eastAsia="zh-CN"/>
        </w:rPr>
        <w:t>（若有）</w:t>
      </w:r>
      <w:r>
        <w:rPr>
          <w:rFonts w:ascii="仿宋_GB2312" w:hAnsi="仿宋" w:eastAsia="仿宋_GB2312" w:cs="仿宋_GB2312"/>
          <w:color w:val="auto"/>
          <w:sz w:val="24"/>
        </w:rPr>
        <w:t>。</w:t>
      </w:r>
    </w:p>
    <w:p>
      <w:pPr>
        <w:snapToGrid w:val="0"/>
        <w:spacing w:line="360" w:lineRule="auto"/>
        <w:ind w:firstLine="480" w:firstLineChars="200"/>
        <w:rPr>
          <w:rFonts w:ascii="仿宋_GB2312" w:hAnsi="仿宋" w:eastAsia="仿宋_GB2312" w:cs="仿宋_GB2312"/>
          <w:b/>
          <w:bCs/>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w:t>
      </w:r>
      <w:r>
        <w:rPr>
          <w:rFonts w:hint="eastAsia" w:ascii="仿宋_GB2312" w:hAnsi="仿宋" w:eastAsia="仿宋_GB2312" w:cs="仿宋_GB2312"/>
          <w:color w:val="auto"/>
          <w:sz w:val="24"/>
          <w:lang w:eastAsia="zh-CN"/>
        </w:rPr>
        <w:t>营业执照扫描件；</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11.2.2</w:t>
      </w:r>
      <w:r>
        <w:rPr>
          <w:rFonts w:ascii="仿宋_GB2312" w:hAnsi="仿宋" w:eastAsia="仿宋_GB2312" w:cs="仿宋_GB2312"/>
          <w:color w:val="auto"/>
          <w:sz w:val="24"/>
        </w:rPr>
        <w:t>投标函；</w:t>
      </w:r>
      <w:r>
        <w:rPr>
          <w:rFonts w:ascii="仿宋_GB2312" w:hAnsi="仿宋" w:eastAsia="仿宋_GB2312" w:cs="仿宋_GB2312"/>
          <w:color w:val="auto"/>
          <w:sz w:val="24"/>
          <w:lang w:val="zh-CN"/>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5</w:t>
      </w:r>
      <w:r>
        <w:rPr>
          <w:rFonts w:ascii="仿宋_GB2312" w:hAnsi="仿宋" w:eastAsia="仿宋_GB2312" w:cs="仿宋_GB2312"/>
          <w:color w:val="auto"/>
          <w:sz w:val="24"/>
        </w:rPr>
        <w:t>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6</w:t>
      </w:r>
      <w:r>
        <w:rPr>
          <w:rFonts w:ascii="仿宋_GB2312" w:hAnsi="仿宋" w:eastAsia="仿宋_GB2312" w:cs="仿宋_GB2312"/>
          <w:color w:val="auto"/>
          <w:sz w:val="24"/>
        </w:rPr>
        <w:t>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7</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32"/>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w:t>
      </w:r>
      <w:r>
        <w:rPr>
          <w:rFonts w:hint="eastAsia" w:ascii="仿宋_GB2312" w:hAnsi="仿宋" w:eastAsia="仿宋_GB2312" w:cs="仿宋_GB2312"/>
          <w:kern w:val="0"/>
          <w:sz w:val="24"/>
          <w:lang w:val="zh-CN"/>
        </w:rPr>
        <w:t>证明</w:t>
      </w:r>
      <w:r>
        <w:rPr>
          <w:rFonts w:ascii="仿宋_GB2312" w:hAnsi="仿宋" w:eastAsia="仿宋_GB2312" w:cs="仿宋_GB2312"/>
          <w:kern w:val="0"/>
          <w:sz w:val="24"/>
          <w:lang w:val="zh-CN"/>
        </w:rPr>
        <w:t>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2"/>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2"/>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lang w:val="en-US" w:eastAsia="zh-CN"/>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w:t>
      </w:r>
      <w:r>
        <w:rPr>
          <w:rFonts w:hint="eastAsia" w:ascii="仿宋_GB2312" w:hAnsi="仿宋" w:eastAsia="仿宋_GB2312" w:cs="仿宋_GB2312"/>
          <w:sz w:val="24"/>
          <w:szCs w:val="24"/>
        </w:rPr>
        <w:t>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w:t>
      </w:r>
      <w:r>
        <w:rPr>
          <w:rFonts w:ascii="仿宋_GB2312" w:hAnsi="仿宋" w:eastAsia="仿宋_GB2312" w:cs="仿宋_GB2312"/>
          <w:color w:val="auto"/>
          <w:sz w:val="24"/>
          <w:szCs w:val="24"/>
        </w:rPr>
        <w:t>时间之前送达</w:t>
      </w:r>
      <w:r>
        <w:rPr>
          <w:rFonts w:hint="eastAsia" w:ascii="仿宋_GB2312" w:hAnsi="仿宋" w:eastAsia="仿宋_GB2312" w:cs="仿宋_GB2312"/>
          <w:snapToGrid/>
          <w:color w:val="auto"/>
          <w:sz w:val="24"/>
          <w:szCs w:val="24"/>
        </w:rPr>
        <w:t>招标文件第二部分投标人须知前附表规定的备份投标文件送达地点；</w:t>
      </w:r>
      <w:r>
        <w:rPr>
          <w:rFonts w:hint="eastAsia" w:ascii="仿宋_GB2312" w:hAnsi="仿宋" w:eastAsia="仿宋_GB2312" w:cs="仿宋_GB2312"/>
          <w:color w:val="auto"/>
          <w:sz w:val="24"/>
          <w:szCs w:val="24"/>
        </w:rPr>
        <w:t>送达</w:t>
      </w:r>
      <w:r>
        <w:rPr>
          <w:rFonts w:hint="eastAsia" w:ascii="仿宋_GB2312" w:hAnsi="仿宋" w:eastAsia="仿宋_GB2312" w:cs="仿宋_GB2312"/>
          <w:sz w:val="24"/>
          <w:szCs w:val="24"/>
        </w:rPr>
        <w:t>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7"/>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2"/>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2"/>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643"/>
        <w:rPr>
          <w:rFonts w:ascii="仿宋_GB2312" w:hAnsi="仿宋" w:eastAsia="仿宋_GB2312" w:cs="仿宋_GB2312"/>
          <w:b/>
          <w:sz w:val="32"/>
        </w:rPr>
      </w:pPr>
    </w:p>
    <w:p>
      <w:pPr>
        <w:pStyle w:val="132"/>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8"/>
        <w:spacing w:before="0" w:line="360" w:lineRule="auto"/>
        <w:ind w:left="0" w:leftChars="0" w:firstLine="0" w:firstLineChars="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8"/>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ascii="仿宋_GB2312" w:hAnsi="仿宋" w:eastAsia="仿宋_GB2312" w:cs="仿宋_GB2312"/>
          <w:b/>
          <w:sz w:val="24"/>
          <w:szCs w:val="20"/>
        </w:rPr>
        <w:t>19</w:t>
      </w:r>
      <w:r>
        <w:rPr>
          <w:rFonts w:hint="eastAsia" w:ascii="仿宋_GB2312" w:hAnsi="仿宋" w:eastAsia="仿宋_GB2312" w:cs="仿宋_GB2312"/>
          <w:b/>
          <w:sz w:val="24"/>
          <w:szCs w:val="20"/>
          <w:lang w:val="en-US" w:eastAsia="zh-CN"/>
        </w:rPr>
        <w:t>.</w:t>
      </w:r>
      <w:r>
        <w:rPr>
          <w:rFonts w:ascii="仿宋_GB2312" w:hAnsi="仿宋" w:eastAsia="仿宋_GB2312" w:cs="仿宋_GB2312"/>
          <w:b/>
          <w:sz w:val="24"/>
          <w:szCs w:val="20"/>
        </w:rPr>
        <w:t>资格审查</w:t>
      </w:r>
    </w:p>
    <w:p>
      <w:pPr>
        <w:pStyle w:val="132"/>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2"/>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20</w:t>
      </w:r>
      <w:r>
        <w:rPr>
          <w:rFonts w:hint="eastAsia" w:ascii="仿宋_GB2312" w:hAnsi="仿宋" w:eastAsia="仿宋_GB2312" w:cs="仿宋_GB2312"/>
          <w:b/>
          <w:szCs w:val="24"/>
          <w:lang w:val="en-US" w:eastAsia="zh-CN"/>
        </w:rPr>
        <w:t>.</w:t>
      </w:r>
      <w:r>
        <w:rPr>
          <w:rFonts w:ascii="仿宋_GB2312" w:hAnsi="仿宋" w:eastAsia="仿宋_GB2312" w:cs="仿宋_GB2312"/>
          <w:b/>
          <w:szCs w:val="24"/>
        </w:rPr>
        <w:t>信用信息查询</w:t>
      </w:r>
    </w:p>
    <w:p>
      <w:pPr>
        <w:pStyle w:val="13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仿宋_GB2312" w:hAnsi="仿宋" w:eastAsia="仿宋_GB2312" w:cs="仿宋_GB2312"/>
        </w:rPr>
      </w:pPr>
      <w:r>
        <w:rPr>
          <w:rFonts w:ascii="仿宋_GB2312" w:hAnsi="仿宋" w:eastAsia="仿宋_GB2312" w:cs="Arial"/>
          <w:kern w:val="0"/>
          <w:szCs w:val="24"/>
        </w:rPr>
        <w:t>20.</w:t>
      </w:r>
      <w:r>
        <w:rPr>
          <w:rFonts w:ascii="仿宋_GB2312" w:hAnsi="仿宋" w:eastAsia="仿宋_GB2312" w:cs="Arial"/>
          <w:color w:val="auto"/>
          <w:kern w:val="0"/>
          <w:szCs w:val="24"/>
        </w:rPr>
        <w:t>4联合体信用信息查询：两个以上的自然人、法人或者其他组织组成一个联合体，</w:t>
      </w:r>
      <w:r>
        <w:rPr>
          <w:rFonts w:ascii="仿宋_GB2312" w:hAnsi="仿宋" w:eastAsia="仿宋_GB2312" w:cs="Arial"/>
          <w:kern w:val="0"/>
          <w:szCs w:val="24"/>
        </w:rPr>
        <w:t>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32"/>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hint="eastAsia" w:ascii="仿宋_GB2312" w:hAnsi="仿宋" w:eastAsia="仿宋_GB2312" w:cs="仿宋_GB2312"/>
          <w:b/>
          <w:sz w:val="24"/>
          <w:lang w:val="en-US" w:eastAsia="zh-CN"/>
        </w:rPr>
      </w:pPr>
      <w:bookmarkStart w:id="13" w:name="_Toc91899903"/>
      <w:r>
        <w:rPr>
          <w:rFonts w:hint="eastAsia" w:ascii="仿宋_GB2312" w:hAnsi="仿宋" w:eastAsia="仿宋_GB2312" w:cs="仿宋_GB2312"/>
          <w:b/>
          <w:sz w:val="24"/>
          <w:lang w:val="en-US" w:eastAsia="zh-CN"/>
        </w:rPr>
        <w:t>21. 评标方法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sz w:val="24"/>
          <w:lang w:val="en-US" w:eastAsia="zh-CN"/>
        </w:rPr>
      </w:pPr>
      <w:r>
        <w:rPr>
          <w:rFonts w:hint="eastAsia" w:ascii="仿宋_GB2312" w:hAnsi="仿宋" w:eastAsia="仿宋_GB2312" w:cs="仿宋_GB2312"/>
          <w:b w:val="0"/>
          <w:bCs/>
          <w:sz w:val="24"/>
          <w:lang w:val="en-US" w:eastAsia="zh-CN"/>
        </w:rPr>
        <w:t>本项目采用：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sz w:val="24"/>
          <w:lang w:val="en-US" w:eastAsia="zh-CN"/>
        </w:rPr>
      </w:pPr>
      <w:r>
        <w:rPr>
          <w:rFonts w:hint="eastAsia" w:ascii="仿宋" w:hAnsi="仿宋" w:eastAsia="仿宋" w:cs="仿宋"/>
          <w:b w:val="0"/>
          <w:bCs w:val="0"/>
          <w:kern w:val="2"/>
          <w:sz w:val="24"/>
          <w:szCs w:val="24"/>
          <w:lang w:val="en-US" w:eastAsia="zh-CN" w:bidi="ar-SA"/>
        </w:rPr>
        <w:t>☑</w:t>
      </w:r>
      <w:r>
        <w:rPr>
          <w:rFonts w:hint="eastAsia" w:ascii="仿宋_GB2312" w:hAnsi="仿宋" w:eastAsia="仿宋_GB2312" w:cs="仿宋_GB2312"/>
          <w:b w:val="0"/>
          <w:bCs/>
          <w:sz w:val="24"/>
          <w:lang w:val="en-US" w:eastAsia="zh-CN"/>
        </w:rPr>
        <w:t>综合评分法，</w:t>
      </w:r>
      <w:r>
        <w:rPr>
          <w:rFonts w:hint="eastAsia" w:ascii="仿宋_GB2312" w:hAnsi="仿宋" w:eastAsia="仿宋_GB2312" w:cs="仿宋_GB2312"/>
          <w:b w:val="0"/>
          <w:bCs/>
          <w:sz w:val="24"/>
        </w:rPr>
        <w:t>评标委员会将根据招标文件和有关规定，履行评标工作职责，并按照评标</w:t>
      </w:r>
      <w:r>
        <w:rPr>
          <w:rFonts w:hint="eastAsia" w:ascii="仿宋_GB2312" w:hAnsi="仿宋" w:eastAsia="仿宋_GB2312" w:cs="仿宋_GB2312"/>
          <w:b w:val="0"/>
          <w:bCs/>
          <w:sz w:val="24"/>
          <w:lang w:val="en-US" w:eastAsia="zh-CN"/>
        </w:rPr>
        <w:t>办</w:t>
      </w:r>
      <w:r>
        <w:rPr>
          <w:rFonts w:hint="eastAsia" w:ascii="仿宋_GB2312" w:hAnsi="仿宋" w:eastAsia="仿宋_GB2312" w:cs="仿宋_GB2312"/>
          <w:b w:val="0"/>
          <w:bCs/>
          <w:sz w:val="24"/>
        </w:rPr>
        <w:t>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bCs w:val="0"/>
          <w:sz w:val="24"/>
        </w:rPr>
        <w:t>详见招标文件第四部分评标办法。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sz w:val="24"/>
          <w:lang w:val="en-US" w:eastAsia="zh-CN"/>
        </w:rPr>
      </w:pPr>
      <w:r>
        <w:rPr>
          <w:rFonts w:hint="eastAsia" w:ascii="仿宋" w:hAnsi="仿宋" w:eastAsia="仿宋" w:cs="仿宋"/>
          <w:b w:val="0"/>
          <w:bCs w:val="0"/>
          <w:kern w:val="2"/>
          <w:sz w:val="24"/>
          <w:szCs w:val="24"/>
          <w:lang w:val="en-US" w:eastAsia="zh-CN" w:bidi="ar-SA"/>
        </w:rPr>
        <w:t>□</w:t>
      </w:r>
      <w:r>
        <w:rPr>
          <w:rFonts w:hint="eastAsia" w:ascii="仿宋_GB2312" w:hAnsi="仿宋" w:eastAsia="仿宋_GB2312" w:cs="仿宋_GB2312"/>
          <w:b w:val="0"/>
          <w:bCs/>
          <w:sz w:val="24"/>
          <w:lang w:val="en-US" w:eastAsia="zh-CN"/>
        </w:rPr>
        <w:t>最低评标价法，</w:t>
      </w:r>
      <w:r>
        <w:rPr>
          <w:rFonts w:hint="eastAsia" w:ascii="仿宋_GB2312" w:hAnsi="仿宋" w:eastAsia="仿宋_GB2312" w:cs="仿宋_GB2312"/>
          <w:b w:val="0"/>
          <w:bCs/>
          <w:sz w:val="24"/>
        </w:rPr>
        <w:t>评标委员会将根据招标文件和有关规定，履行评标工作职责，并按照评标</w:t>
      </w:r>
      <w:r>
        <w:rPr>
          <w:rFonts w:hint="eastAsia" w:ascii="仿宋_GB2312" w:hAnsi="仿宋" w:eastAsia="仿宋_GB2312" w:cs="仿宋_GB2312"/>
          <w:b w:val="0"/>
          <w:bCs/>
          <w:sz w:val="24"/>
          <w:lang w:val="en-US" w:eastAsia="zh-CN"/>
        </w:rPr>
        <w:t>办</w:t>
      </w:r>
      <w:r>
        <w:rPr>
          <w:rFonts w:hint="eastAsia" w:ascii="仿宋_GB2312" w:hAnsi="仿宋" w:eastAsia="仿宋_GB2312" w:cs="仿宋_GB2312"/>
          <w:b w:val="0"/>
          <w:bCs/>
          <w:sz w:val="24"/>
        </w:rPr>
        <w:t>法，全面衡量各投标人对招标文件的响应情况。对实质上响应招标文件的投标人，</w:t>
      </w:r>
      <w:r>
        <w:rPr>
          <w:rFonts w:hint="eastAsia" w:ascii="仿宋_GB2312" w:hAnsi="仿宋" w:eastAsia="仿宋_GB2312" w:cs="仿宋_GB2312"/>
          <w:b w:val="0"/>
          <w:bCs/>
          <w:sz w:val="24"/>
          <w:lang w:val="en-US" w:eastAsia="zh-CN"/>
        </w:rPr>
        <w:t>按照投标报价由低到高</w:t>
      </w:r>
      <w:r>
        <w:rPr>
          <w:rFonts w:hint="eastAsia" w:ascii="仿宋_GB2312" w:hAnsi="仿宋" w:eastAsia="仿宋_GB2312" w:cs="仿宋_GB2312"/>
          <w:b w:val="0"/>
          <w:bCs/>
          <w:sz w:val="24"/>
        </w:rPr>
        <w:t>排出推荐中标的投标人的先后顺序，并按顺序提出授标建议。</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32"/>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32"/>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sz w:val="24"/>
        </w:rPr>
        <w:t>23.1自中标人确定之日起2个工作日</w:t>
      </w:r>
      <w:r>
        <w:rPr>
          <w:rFonts w:ascii="仿宋_GB2312" w:hAnsi="仿宋" w:eastAsia="仿宋_GB2312" w:cs="仿宋_GB2312"/>
          <w:color w:val="auto"/>
          <w:sz w:val="24"/>
        </w:rPr>
        <w:t>内，采购机构</w:t>
      </w:r>
      <w:r>
        <w:rPr>
          <w:rFonts w:hint="eastAsia" w:ascii="仿宋_GB2312" w:hAnsi="仿宋" w:eastAsia="仿宋_GB2312" w:cs="仿宋_GB2312"/>
          <w:color w:val="auto"/>
          <w:sz w:val="24"/>
        </w:rPr>
        <w:t>编制发布采购结果公告</w:t>
      </w:r>
      <w:r>
        <w:rPr>
          <w:rFonts w:ascii="仿宋_GB2312" w:hAnsi="仿宋" w:eastAsia="仿宋_GB2312" w:cs="仿宋_GB2312"/>
          <w:color w:val="auto"/>
          <w:sz w:val="24"/>
        </w:rPr>
        <w:t>，</w:t>
      </w:r>
      <w:r>
        <w:rPr>
          <w:rFonts w:hint="eastAsia" w:ascii="仿宋_GB2312" w:hAnsi="仿宋" w:eastAsia="仿宋_GB2312" w:cs="仿宋_GB2312"/>
          <w:color w:val="auto"/>
          <w:sz w:val="24"/>
        </w:rPr>
        <w:t>同时</w:t>
      </w:r>
      <w:r>
        <w:rPr>
          <w:rFonts w:ascii="仿宋_GB2312" w:hAnsi="仿宋" w:eastAsia="仿宋_GB2312" w:cs="仿宋_GB2312"/>
          <w:color w:val="auto"/>
          <w:sz w:val="24"/>
        </w:rPr>
        <w:t>通过电子交易平台</w:t>
      </w:r>
      <w:r>
        <w:rPr>
          <w:rFonts w:hint="eastAsia" w:ascii="仿宋_GB2312" w:hAnsi="仿宋" w:eastAsia="仿宋_GB2312" w:cs="仿宋_GB2312"/>
          <w:color w:val="auto"/>
          <w:sz w:val="24"/>
          <w:lang w:eastAsia="zh-CN"/>
        </w:rPr>
        <w:t>或</w:t>
      </w:r>
      <w:r>
        <w:rPr>
          <w:rFonts w:hint="eastAsia" w:ascii="仿宋_GB2312" w:hAnsi="仿宋" w:eastAsia="仿宋_GB2312" w:cs="仿宋_GB2312"/>
          <w:color w:val="auto"/>
          <w:sz w:val="24"/>
        </w:rPr>
        <w:t>纸质形式</w:t>
      </w:r>
      <w:r>
        <w:rPr>
          <w:rFonts w:ascii="仿宋_GB2312" w:hAnsi="仿宋" w:eastAsia="仿宋_GB2312" w:cs="仿宋_GB2312"/>
          <w:color w:val="auto"/>
          <w:sz w:val="24"/>
        </w:rPr>
        <w:t>向中标人发出中标通知书</w:t>
      </w:r>
      <w:r>
        <w:rPr>
          <w:rFonts w:hint="eastAsia" w:ascii="仿宋_GB2312" w:hAnsi="仿宋" w:eastAsia="仿宋_GB2312" w:cs="仿宋_GB2312"/>
          <w:color w:val="auto"/>
          <w:sz w:val="24"/>
        </w:rPr>
        <w:t>。</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的名称、规格型号、数量、单价、服务要求，开标记录、中标公告期限以及评审专家名单、评分汇总及明细</w:t>
      </w:r>
      <w:r>
        <w:rPr>
          <w:rFonts w:hint="eastAsia" w:ascii="仿宋_GB2312" w:hAnsi="仿宋" w:eastAsia="仿宋_GB2312" w:cs="仿宋_GB2312"/>
          <w:color w:val="auto"/>
          <w:sz w:val="24"/>
          <w:lang w:eastAsia="zh-CN"/>
        </w:rPr>
        <w:t>（具体信息以政采云系统模板为准）</w:t>
      </w:r>
      <w:r>
        <w:rPr>
          <w:rFonts w:hint="eastAsia" w:ascii="仿宋_GB2312" w:hAnsi="仿宋" w:eastAsia="仿宋_GB2312" w:cs="仿宋_GB2312"/>
          <w:color w:val="auto"/>
          <w:sz w:val="24"/>
        </w:rPr>
        <w:t>。</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2"/>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w:t>
      </w:r>
      <w:r>
        <w:rPr>
          <w:rFonts w:hint="eastAsia" w:ascii="仿宋_GB2312" w:hAnsi="仿宋" w:eastAsia="仿宋_GB2312" w:cs="仿宋_GB2312"/>
          <w:lang w:eastAsia="zh-CN"/>
        </w:rPr>
        <w:t>的约定进行合同</w:t>
      </w:r>
      <w:r>
        <w:rPr>
          <w:rFonts w:hint="eastAsia" w:ascii="仿宋_GB2312" w:hAnsi="仿宋" w:eastAsia="仿宋_GB2312" w:cs="仿宋_GB2312"/>
        </w:rPr>
        <w:t>签</w:t>
      </w:r>
      <w:r>
        <w:rPr>
          <w:rFonts w:hint="eastAsia" w:ascii="仿宋_GB2312" w:hAnsi="仿宋" w:eastAsia="仿宋_GB2312" w:cs="仿宋_GB2312"/>
          <w:color w:val="auto"/>
        </w:rPr>
        <w:t>订，</w:t>
      </w:r>
      <w:r>
        <w:rPr>
          <w:rFonts w:hint="eastAsia" w:ascii="仿宋_GB2312" w:hAnsi="仿宋" w:eastAsia="仿宋_GB2312" w:cs="仿宋_GB2312"/>
          <w:color w:val="auto"/>
          <w:lang w:eastAsia="zh-CN"/>
        </w:rPr>
        <w:t>并提交（代理机构或采购人）进行</w:t>
      </w:r>
      <w:r>
        <w:rPr>
          <w:rFonts w:hint="eastAsia" w:ascii="仿宋_GB2312" w:hAnsi="仿宋" w:eastAsia="仿宋_GB2312" w:cs="仿宋_GB2312"/>
          <w:color w:val="auto"/>
        </w:rPr>
        <w:t>备案。</w:t>
      </w:r>
    </w:p>
    <w:p>
      <w:pPr>
        <w:pStyle w:val="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hint="eastAsia" w:ascii="仿宋_GB2312" w:hAnsi="仿宋" w:eastAsia="仿宋_GB2312"/>
          <w:color w:val="auto"/>
          <w:sz w:val="24"/>
          <w:lang w:val="en-US" w:eastAsia="zh-CN"/>
        </w:rPr>
        <w:t>1</w:t>
      </w:r>
      <w:r>
        <w:rPr>
          <w:rFonts w:ascii="仿宋_GB2312" w:hAnsi="仿宋" w:eastAsia="仿宋_GB2312"/>
          <w:color w:val="auto"/>
          <w:sz w:val="24"/>
        </w:rPr>
        <w:t>%。</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snapToGrid w:val="0"/>
        <w:spacing w:line="360" w:lineRule="auto"/>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2"/>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2"/>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7"/>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68057669"/>
      <w:bookmarkEnd w:id="15"/>
      <w:bookmarkStart w:id="16" w:name="_Hlt75236290"/>
      <w:bookmarkEnd w:id="16"/>
      <w:bookmarkStart w:id="17" w:name="_Hlt68072998"/>
      <w:bookmarkEnd w:id="17"/>
      <w:bookmarkStart w:id="18" w:name="_Hlt68403820"/>
      <w:bookmarkEnd w:id="18"/>
      <w:bookmarkStart w:id="19" w:name="_Hlt75236101"/>
      <w:bookmarkEnd w:id="19"/>
      <w:bookmarkStart w:id="20" w:name="_Hlt68072990"/>
      <w:bookmarkEnd w:id="20"/>
      <w:bookmarkStart w:id="21" w:name="_Hlt74730295"/>
      <w:bookmarkEnd w:id="21"/>
      <w:bookmarkStart w:id="22" w:name="_Hlt68073093"/>
      <w:bookmarkEnd w:id="22"/>
      <w:bookmarkStart w:id="23" w:name="_Hlt75236011"/>
      <w:bookmarkEnd w:id="23"/>
      <w:bookmarkStart w:id="24" w:name="_Hlt74707468"/>
      <w:bookmarkEnd w:id="24"/>
      <w:bookmarkStart w:id="25" w:name="_Hlt74714665"/>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Lines w:val="0"/>
        <w:pageBreakBefore w:val="0"/>
        <w:widowControl w:val="0"/>
        <w:kinsoku/>
        <w:wordWrap/>
        <w:overflowPunct/>
        <w:topLinePunct w:val="0"/>
        <w:autoSpaceDE/>
        <w:autoSpaceDN/>
        <w:bidi w:val="0"/>
        <w:adjustRightInd/>
        <w:snapToGrid/>
        <w:spacing w:line="360" w:lineRule="auto"/>
        <w:ind w:left="0" w:leftChars="0" w:firstLine="472" w:firstLineChars="196"/>
        <w:textAlignment w:val="auto"/>
        <w:rPr>
          <w:rFonts w:hint="eastAsia" w:ascii="仿宋" w:hAnsi="仿宋" w:eastAsia="仿宋" w:cs="仿宋"/>
          <w:b/>
          <w:bCs/>
          <w:sz w:val="24"/>
          <w:szCs w:val="24"/>
        </w:rPr>
      </w:pPr>
      <w:r>
        <w:rPr>
          <w:rFonts w:hint="eastAsia" w:ascii="仿宋" w:hAnsi="仿宋" w:eastAsia="仿宋" w:cs="仿宋"/>
          <w:b/>
          <w:bCs/>
          <w:color w:val="008000"/>
          <w:sz w:val="24"/>
          <w:szCs w:val="24"/>
        </w:rPr>
        <w:t>一</w:t>
      </w:r>
      <w:r>
        <w:rPr>
          <w:rFonts w:hint="eastAsia" w:ascii="仿宋" w:hAnsi="仿宋" w:eastAsia="仿宋" w:cs="仿宋"/>
          <w:b/>
          <w:bCs/>
          <w:sz w:val="24"/>
          <w:szCs w:val="24"/>
        </w:rPr>
        <w:t>、采购内容、数量</w:t>
      </w:r>
    </w:p>
    <w:p>
      <w:pPr>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及时、有效地提供采购人所采购的中文纸质图书和相关服务，包括图书出版信息数据提供、订单处理、图书配送和退换、</w:t>
      </w:r>
      <w:r>
        <w:rPr>
          <w:rFonts w:hint="eastAsia" w:ascii="仿宋" w:hAnsi="仿宋" w:eastAsia="仿宋" w:cs="仿宋"/>
          <w:color w:val="auto"/>
          <w:sz w:val="24"/>
          <w:szCs w:val="24"/>
        </w:rPr>
        <w:t>荐购服务</w:t>
      </w:r>
      <w:r>
        <w:rPr>
          <w:rFonts w:hint="eastAsia" w:ascii="仿宋" w:hAnsi="仿宋" w:eastAsia="仿宋" w:cs="仿宋"/>
          <w:color w:val="auto"/>
          <w:sz w:val="24"/>
          <w:szCs w:val="24"/>
          <w:lang w:eastAsia="zh-CN"/>
        </w:rPr>
        <w:t>、</w:t>
      </w:r>
      <w:r>
        <w:rPr>
          <w:rFonts w:hint="eastAsia" w:ascii="仿宋" w:hAnsi="仿宋" w:eastAsia="仿宋" w:cs="仿宋"/>
          <w:sz w:val="24"/>
          <w:szCs w:val="24"/>
        </w:rPr>
        <w:t>图书加工及其他相关服务。</w:t>
      </w:r>
    </w:p>
    <w:p>
      <w:pPr>
        <w:pStyle w:val="3"/>
        <w:keepLines w:val="0"/>
        <w:pageBreakBefore w:val="0"/>
        <w:widowControl w:val="0"/>
        <w:tabs>
          <w:tab w:val="left" w:pos="480"/>
          <w:tab w:val="clear" w:pos="432"/>
        </w:tabs>
        <w:kinsoku/>
        <w:wordWrap/>
        <w:overflowPunct/>
        <w:topLinePunct w:val="0"/>
        <w:autoSpaceDE/>
        <w:autoSpaceDN/>
        <w:bidi w:val="0"/>
        <w:adjustRightInd/>
        <w:snapToGrid/>
        <w:spacing w:before="0" w:after="0" w:line="360" w:lineRule="auto"/>
        <w:ind w:left="0" w:leftChars="0" w:firstLine="480" w:firstLineChars="200"/>
        <w:jc w:val="both"/>
        <w:textAlignment w:val="auto"/>
        <w:rPr>
          <w:rFonts w:hint="eastAsia" w:ascii="仿宋" w:hAnsi="仿宋" w:eastAsia="仿宋" w:cs="仿宋"/>
          <w:b w:val="0"/>
          <w:sz w:val="24"/>
          <w:szCs w:val="24"/>
        </w:rPr>
      </w:pPr>
      <w:r>
        <w:rPr>
          <w:rFonts w:hint="eastAsia" w:ascii="仿宋" w:hAnsi="仿宋" w:eastAsia="仿宋" w:cs="仿宋"/>
          <w:b w:val="0"/>
          <w:sz w:val="24"/>
          <w:szCs w:val="24"/>
          <w:lang w:val="en-US" w:eastAsia="zh-CN"/>
        </w:rPr>
        <w:t>2.</w:t>
      </w:r>
      <w:r>
        <w:rPr>
          <w:rFonts w:hint="eastAsia" w:ascii="仿宋" w:hAnsi="仿宋" w:eastAsia="仿宋" w:cs="仿宋"/>
          <w:b w:val="0"/>
          <w:sz w:val="24"/>
          <w:szCs w:val="24"/>
        </w:rPr>
        <w:t>采购预算金额总价</w:t>
      </w:r>
    </w:p>
    <w:tbl>
      <w:tblPr>
        <w:tblStyle w:val="64"/>
        <w:tblW w:w="8316" w:type="dxa"/>
        <w:tblInd w:w="8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1590"/>
        <w:gridCol w:w="1050"/>
        <w:gridCol w:w="2610"/>
        <w:gridCol w:w="1605"/>
        <w:gridCol w:w="7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26" w:type="dxa"/>
            <w:tcBorders>
              <w:top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500" w:lineRule="exact"/>
              <w:ind w:left="0" w:leftChars="0" w:firstLine="0" w:firstLineChars="0"/>
              <w:jc w:val="center"/>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标项</w:t>
            </w:r>
          </w:p>
        </w:tc>
        <w:tc>
          <w:tcPr>
            <w:tcW w:w="15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500" w:lineRule="exact"/>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采购内容</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500" w:lineRule="exact"/>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数量</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500" w:lineRule="exact"/>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color w:val="000000"/>
                <w:sz w:val="24"/>
                <w:szCs w:val="24"/>
                <w:lang w:eastAsia="zh-CN"/>
              </w:rPr>
              <w:t>预算控制价</w:t>
            </w:r>
            <w:r>
              <w:rPr>
                <w:rFonts w:hint="eastAsia" w:ascii="仿宋" w:hAnsi="仿宋" w:eastAsia="仿宋" w:cs="仿宋"/>
                <w:color w:val="000000"/>
                <w:sz w:val="24"/>
                <w:szCs w:val="24"/>
              </w:rPr>
              <w:t>（万元）</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50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最高折扣率</w:t>
            </w:r>
          </w:p>
        </w:tc>
        <w:tc>
          <w:tcPr>
            <w:tcW w:w="735"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adjustRightInd/>
              <w:spacing w:line="50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726" w:type="dxa"/>
            <w:tcBorders>
              <w:top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500" w:lineRule="exact"/>
              <w:ind w:left="0" w:leftChars="0" w:firstLine="0" w:firstLine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纸质图书</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500" w:lineRule="exact"/>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1批</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500" w:lineRule="exact"/>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万元</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50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70.00%</w:t>
            </w:r>
          </w:p>
        </w:tc>
        <w:tc>
          <w:tcPr>
            <w:tcW w:w="735" w:type="dxa"/>
            <w:tcBorders>
              <w:top w:val="single" w:color="auto" w:sz="4" w:space="0"/>
              <w:left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500" w:lineRule="exact"/>
              <w:ind w:left="0" w:leftChars="0" w:firstLine="480"/>
              <w:jc w:val="left"/>
              <w:textAlignment w:val="center"/>
              <w:rPr>
                <w:rFonts w:hint="eastAsia" w:ascii="仿宋" w:hAnsi="仿宋" w:eastAsia="仿宋" w:cs="仿宋"/>
                <w:bCs/>
                <w:color w:val="auto"/>
                <w:sz w:val="24"/>
                <w:szCs w:val="24"/>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textAlignment w:val="auto"/>
        <w:rPr>
          <w:rFonts w:hint="eastAsia" w:ascii="仿宋" w:hAnsi="仿宋" w:eastAsia="仿宋" w:cs="仿宋"/>
          <w:b w:val="0"/>
          <w:bCs w:val="0"/>
          <w:sz w:val="24"/>
          <w:szCs w:val="24"/>
        </w:rPr>
      </w:pPr>
      <w:r>
        <w:rPr>
          <w:rFonts w:hint="eastAsia" w:ascii="仿宋" w:hAnsi="仿宋" w:eastAsia="仿宋" w:cs="仿宋"/>
          <w:b w:val="0"/>
          <w:bCs w:val="0"/>
          <w:color w:val="auto"/>
          <w:sz w:val="24"/>
          <w:szCs w:val="24"/>
        </w:rPr>
        <w:t>1</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本次采购最高折扣率限价为70.00％，折扣率可保留到小数点后二位。任何超出最高折扣率的报价一律按无效报价处理。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折扣率低于62.00％的须缴纳风险保证金，每低一个百分点须缴纳风险保证金5万元（以此类推，不足百分之一按百分之一计），在签订合同前与履约保证金一起打入采购方指定的账户,货到验收合格后5个工作日内无息退还。如果中标人不配合，导致双方无法签订合同的，没收风险保证金且中标人承担全部责任及损失。</w:t>
      </w:r>
    </w:p>
    <w:p>
      <w:pPr>
        <w:keepLines w:val="0"/>
        <w:pageBreakBefore w:val="0"/>
        <w:widowControl w:val="0"/>
        <w:kinsoku/>
        <w:wordWrap/>
        <w:overflowPunct/>
        <w:topLinePunct w:val="0"/>
        <w:autoSpaceDE/>
        <w:autoSpaceDN/>
        <w:bidi w:val="0"/>
        <w:adjustRightInd/>
        <w:spacing w:line="360" w:lineRule="auto"/>
        <w:ind w:left="0" w:leftChars="0" w:firstLine="532" w:firstLineChars="221"/>
        <w:textAlignment w:val="auto"/>
        <w:rPr>
          <w:rFonts w:hint="eastAsia" w:ascii="仿宋" w:hAnsi="仿宋" w:eastAsia="仿宋" w:cs="仿宋"/>
          <w:b/>
          <w:bCs/>
          <w:sz w:val="24"/>
          <w:szCs w:val="24"/>
        </w:rPr>
      </w:pPr>
      <w:r>
        <w:rPr>
          <w:rFonts w:hint="eastAsia" w:ascii="仿宋" w:hAnsi="仿宋" w:eastAsia="仿宋" w:cs="仿宋"/>
          <w:b/>
          <w:color w:val="008000"/>
          <w:sz w:val="24"/>
          <w:szCs w:val="24"/>
        </w:rPr>
        <w:t>二、</w:t>
      </w:r>
      <w:r>
        <w:rPr>
          <w:rFonts w:hint="eastAsia" w:ascii="仿宋" w:hAnsi="仿宋" w:eastAsia="仿宋" w:cs="仿宋"/>
          <w:b/>
          <w:bCs/>
          <w:sz w:val="24"/>
          <w:szCs w:val="24"/>
        </w:rPr>
        <w:t>图书质量要求及采编服务要求</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图书质量要求</w:t>
      </w:r>
    </w:p>
    <w:p>
      <w:pPr>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1.1中标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必须严格按照采购人提供的订单采购图书，保证所购图书均为20</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-2023年</w:t>
      </w:r>
      <w:r>
        <w:rPr>
          <w:rFonts w:hint="eastAsia" w:ascii="仿宋" w:hAnsi="仿宋" w:eastAsia="仿宋" w:cs="仿宋"/>
          <w:color w:val="auto"/>
          <w:sz w:val="24"/>
          <w:szCs w:val="24"/>
        </w:rPr>
        <w:t>出版的</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lang w:val="en-US" w:eastAsia="zh-CN"/>
        </w:rPr>
        <w:t>2023年计划出版的期货等</w:t>
      </w:r>
      <w:r>
        <w:rPr>
          <w:rFonts w:hint="eastAsia" w:ascii="仿宋" w:hAnsi="仿宋" w:eastAsia="仿宋" w:cs="仿宋"/>
          <w:color w:val="auto"/>
          <w:sz w:val="24"/>
          <w:szCs w:val="24"/>
        </w:rPr>
        <w:t>全新正版合格图书（馆里特殊需求的除外），无污损、图文不清、缺页、倒装、缺附件（随书光盘、赠书等）等质量问题，承诺做到假一罚十，并承担所产生的一切法律责任。</w:t>
      </w:r>
    </w:p>
    <w:p>
      <w:pPr>
        <w:pStyle w:val="3"/>
        <w:keepLines w:val="0"/>
        <w:pageBreakBefore w:val="0"/>
        <w:widowControl w:val="0"/>
        <w:tabs>
          <w:tab w:val="left" w:pos="480"/>
          <w:tab w:val="clear" w:pos="432"/>
        </w:tabs>
        <w:kinsoku/>
        <w:wordWrap/>
        <w:overflowPunct/>
        <w:topLinePunct w:val="0"/>
        <w:autoSpaceDE/>
        <w:autoSpaceDN/>
        <w:bidi w:val="0"/>
        <w:adjustRightInd/>
        <w:snapToGrid/>
        <w:spacing w:before="0" w:after="0" w:line="360" w:lineRule="auto"/>
        <w:ind w:left="0" w:firstLine="480" w:firstLineChars="200"/>
        <w:jc w:val="both"/>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1.2本次采购图书类别涵盖文学类、社科类、科技类、少儿读物，以及与嵊州地方产业相关图书，兼顾学术性作品，涉及中图法各大类。少儿图书采购金额不少于采购图书总金额的30%。按采购人实际要求确定复本数，一般情况下以无复本为主。</w:t>
      </w:r>
    </w:p>
    <w:p>
      <w:pPr>
        <w:keepLines w:val="0"/>
        <w:pageBreakBefore w:val="0"/>
        <w:widowControl w:val="0"/>
        <w:kinsoku/>
        <w:wordWrap/>
        <w:overflowPunct/>
        <w:topLinePunct w:val="0"/>
        <w:autoSpaceDE/>
        <w:autoSpaceDN/>
        <w:bidi w:val="0"/>
        <w:adjustRightInd/>
        <w:spacing w:line="360" w:lineRule="auto"/>
        <w:ind w:left="0" w:leftChars="0" w:firstLine="482"/>
        <w:textAlignment w:val="auto"/>
        <w:rPr>
          <w:rFonts w:hint="eastAsia" w:ascii="仿宋" w:hAnsi="仿宋" w:eastAsia="仿宋" w:cs="仿宋"/>
          <w:color w:val="auto"/>
          <w:sz w:val="24"/>
          <w:szCs w:val="24"/>
        </w:rPr>
      </w:pPr>
      <w:r>
        <w:rPr>
          <w:rFonts w:hint="eastAsia" w:ascii="仿宋" w:hAnsi="仿宋" w:eastAsia="仿宋" w:cs="仿宋"/>
          <w:b w:val="0"/>
          <w:bCs/>
          <w:color w:val="auto"/>
          <w:sz w:val="24"/>
          <w:szCs w:val="24"/>
        </w:rPr>
        <w:t>2</w:t>
      </w:r>
      <w:r>
        <w:rPr>
          <w:rFonts w:hint="eastAsia" w:ascii="仿宋" w:hAnsi="仿宋" w:eastAsia="仿宋" w:cs="仿宋"/>
          <w:b w:val="0"/>
          <w:bCs/>
          <w:color w:val="auto"/>
          <w:sz w:val="24"/>
          <w:szCs w:val="24"/>
          <w:lang w:val="en-US" w:eastAsia="zh-CN"/>
        </w:rPr>
        <w:t>.</w:t>
      </w:r>
      <w:r>
        <w:rPr>
          <w:rFonts w:hint="eastAsia" w:ascii="仿宋" w:hAnsi="仿宋" w:eastAsia="仿宋" w:cs="仿宋"/>
          <w:color w:val="auto"/>
          <w:sz w:val="24"/>
          <w:szCs w:val="24"/>
        </w:rPr>
        <w:t>图书采编服务要求</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2.1采访书目信息的准确、覆盖程度和时效性：</w:t>
      </w:r>
    </w:p>
    <w:p>
      <w:pPr>
        <w:pStyle w:val="21"/>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采访书目数据包含作者（含著作方式：著、编著、编、译、主编等）、书名（注明教材）、丛书名、副书名、出版社、ISBN、出版时间、内容简介、适用范围、价格、开本、装帧、分类、版本、页码等内容。以标准中文MARC和EXCEL为格式，按现货和期货两种形式发送采访书目数据；能正确导入采购人图书管理系统（Interlib图书馆集群管理系统）。</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2.1.2要求中标单位具有较广的图书来源渠道，图书品种丰富，与全国多数的图书出版单位有稳定的供货关系。中标单位</w:t>
      </w:r>
      <w:r>
        <w:rPr>
          <w:rFonts w:hint="eastAsia" w:ascii="仿宋" w:hAnsi="仿宋" w:eastAsia="仿宋" w:cs="仿宋"/>
          <w:color w:val="auto"/>
          <w:sz w:val="24"/>
          <w:szCs w:val="24"/>
          <w:lang w:eastAsia="zh-CN"/>
        </w:rPr>
        <w:t>每周</w:t>
      </w:r>
      <w:r>
        <w:rPr>
          <w:rFonts w:hint="eastAsia" w:ascii="仿宋" w:hAnsi="仿宋" w:eastAsia="仿宋" w:cs="仿宋"/>
          <w:color w:val="auto"/>
          <w:sz w:val="24"/>
          <w:szCs w:val="24"/>
        </w:rPr>
        <w:t>向采购人提供纸质和电子版最新出版图书书目信息</w:t>
      </w:r>
      <w:r>
        <w:rPr>
          <w:rFonts w:hint="eastAsia" w:ascii="仿宋" w:hAnsi="仿宋" w:eastAsia="仿宋" w:cs="仿宋"/>
          <w:color w:val="auto"/>
          <w:sz w:val="24"/>
          <w:szCs w:val="24"/>
          <w:lang w:val="en-US" w:eastAsia="zh-CN"/>
        </w:rPr>
        <w:t>1次</w:t>
      </w:r>
      <w:r>
        <w:rPr>
          <w:rFonts w:hint="eastAsia" w:ascii="仿宋" w:hAnsi="仿宋" w:eastAsia="仿宋" w:cs="仿宋"/>
          <w:color w:val="auto"/>
          <w:sz w:val="24"/>
          <w:szCs w:val="24"/>
        </w:rPr>
        <w:t>，每次不少于2000条，近三个月或即将出版的新书的覆盖率要求达到90％以上。每次送选之前须预查重，与已送选的品种不能有重复，采购人已有馆藏或已订的，不得送选。明显不适合采购人需求的图书信息不在征订书目中反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并定期提供电子版书目数据，通过电子邮件发送新书的采访数据。</w:t>
      </w:r>
    </w:p>
    <w:p>
      <w:pPr>
        <w:pStyle w:val="3"/>
        <w:keepLines w:val="0"/>
        <w:pageBreakBefore w:val="0"/>
        <w:widowControl w:val="0"/>
        <w:tabs>
          <w:tab w:val="left" w:pos="480"/>
          <w:tab w:val="clear" w:pos="432"/>
        </w:tabs>
        <w:kinsoku/>
        <w:wordWrap/>
        <w:overflowPunct/>
        <w:topLinePunct w:val="0"/>
        <w:autoSpaceDE/>
        <w:autoSpaceDN/>
        <w:bidi w:val="0"/>
        <w:adjustRightInd/>
        <w:spacing w:before="0" w:after="0" w:line="360" w:lineRule="auto"/>
        <w:ind w:left="0" w:leftChars="0" w:firstLine="480" w:firstLineChars="200"/>
        <w:jc w:val="both"/>
        <w:textAlignment w:val="auto"/>
        <w:rPr>
          <w:rFonts w:hint="eastAsia" w:ascii="仿宋" w:hAnsi="仿宋" w:eastAsia="仿宋" w:cs="仿宋"/>
          <w:b w:val="0"/>
          <w:sz w:val="24"/>
          <w:szCs w:val="24"/>
        </w:rPr>
      </w:pPr>
      <w:r>
        <w:rPr>
          <w:rFonts w:hint="eastAsia" w:ascii="仿宋" w:hAnsi="仿宋" w:eastAsia="仿宋" w:cs="仿宋"/>
          <w:b w:val="0"/>
          <w:color w:val="auto"/>
          <w:sz w:val="24"/>
          <w:szCs w:val="24"/>
        </w:rPr>
        <w:t>2.1.3中标单位不得向采购单位限制性提供图书书目，采购人可自行组织采购目录，中标单位不得拒绝采购，不得低于最低订到率和到货率，否则视为不具备履行本项目基本服务能力，将被取消供货资格并被没收履约保证金。中标单位不得以任何理由拒绝完成采购人按</w:t>
      </w:r>
      <w:r>
        <w:rPr>
          <w:rFonts w:hint="eastAsia" w:ascii="仿宋" w:hAnsi="仿宋" w:eastAsia="仿宋" w:cs="仿宋"/>
          <w:b w:val="0"/>
          <w:sz w:val="24"/>
          <w:szCs w:val="24"/>
        </w:rPr>
        <w:t>工作规范提出的修改任务，采购人对此种修改不承担任何费用。</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2.2编目数据的完整程度：</w:t>
      </w:r>
    </w:p>
    <w:p>
      <w:pPr>
        <w:keepLines w:val="0"/>
        <w:pageBreakBefore w:val="0"/>
        <w:widowControl w:val="0"/>
        <w:kinsoku/>
        <w:wordWrap/>
        <w:overflowPunct/>
        <w:topLinePunct w:val="0"/>
        <w:autoSpaceDE/>
        <w:autoSpaceDN/>
        <w:bidi w:val="0"/>
        <w:adjustRightInd/>
        <w:spacing w:line="360" w:lineRule="auto"/>
        <w:ind w:left="0" w:leftChars="0" w:firstLine="477" w:firstLineChars="198"/>
        <w:textAlignment w:val="auto"/>
        <w:rPr>
          <w:rFonts w:hint="eastAsia" w:ascii="仿宋" w:hAnsi="仿宋" w:eastAsia="仿宋" w:cs="仿宋"/>
          <w:sz w:val="24"/>
          <w:szCs w:val="24"/>
        </w:rPr>
      </w:pPr>
      <w:r>
        <w:rPr>
          <w:rFonts w:hint="eastAsia" w:ascii="仿宋" w:hAnsi="仿宋" w:eastAsia="仿宋" w:cs="仿宋"/>
          <w:b/>
          <w:color w:val="000000"/>
          <w:sz w:val="24"/>
          <w:szCs w:val="24"/>
        </w:rPr>
        <w:t>▲</w:t>
      </w:r>
      <w:r>
        <w:rPr>
          <w:rFonts w:hint="eastAsia" w:ascii="仿宋" w:hAnsi="仿宋" w:eastAsia="仿宋" w:cs="仿宋"/>
          <w:sz w:val="24"/>
          <w:szCs w:val="24"/>
        </w:rPr>
        <w:t>2.2.1根据采购人提供的采购清单，为每种书配置完整的标准CNMARC编目数据，编目数据以国家图书馆的编目数据为准，包含010、100、101、102、105、106、200、210、215、300、600、690、701或711、801等字段，编目数据使用《中国图书馆分类法》（第五版）准确类分图书，遵循国际标准书目著录（ISBD）和中国文献著录国家标准的著录原则，遵循主题分类标引原则，使用《中国分类主题词表》进行文献分类标引。涉及MARC编目数据的著录标识符均为英文状态的半角。</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2.2.2 提供的所有数据都能在采购人图书管理系统（Interlib图书馆集群管理系统）无障碍的使用。</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2.2.3 提供的编目数据通过电子邮件或盘寄等多种方式在图书到达前传送至采购人，并能准确导入采购人的自动化集成系统，保证100％的覆盖率。</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2.2.4 到馆进行其他的编目服务。</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2.3 到书率</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2.3.1 保证年度的到书率不低于95％。</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2.3.2 其中现货</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现货选购订到率不低于</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1个月内到书率不低于</w:t>
      </w:r>
      <w:r>
        <w:rPr>
          <w:rFonts w:hint="eastAsia" w:ascii="仿宋" w:hAnsi="仿宋" w:eastAsia="仿宋" w:cs="仿宋"/>
          <w:color w:val="auto"/>
          <w:sz w:val="24"/>
          <w:szCs w:val="24"/>
          <w:lang w:val="en-US" w:eastAsia="zh-CN"/>
        </w:rPr>
        <w:t>95</w:t>
      </w:r>
      <w:r>
        <w:rPr>
          <w:rFonts w:hint="eastAsia" w:ascii="仿宋" w:hAnsi="仿宋" w:eastAsia="仿宋" w:cs="仿宋"/>
          <w:color w:val="auto"/>
          <w:sz w:val="24"/>
          <w:szCs w:val="24"/>
        </w:rPr>
        <w:t>％，3个月内到书率不低于9</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％；期货：全年的到书率不低于95％(不含更改出版计划、作者统一包销和出版年份较早图书)，前3个月到书率不低于</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0％，前6个月到书率不低于9</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2.3.3 每两个月统计一次到书率，列出清单反馈给采购人，并对现货20天、期货60天还不能到货的图书品种列出清单，说明原因及时反馈采购人。</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宋体" w:hAnsi="宋体" w:eastAsia="宋体" w:cs="宋体"/>
          <w:color w:val="auto"/>
          <w:sz w:val="24"/>
          <w:szCs w:val="24"/>
        </w:rPr>
        <w:t>▲</w:t>
      </w:r>
      <w:r>
        <w:rPr>
          <w:rFonts w:hint="eastAsia" w:ascii="仿宋" w:hAnsi="仿宋" w:eastAsia="仿宋" w:cs="仿宋"/>
          <w:color w:val="auto"/>
          <w:sz w:val="24"/>
          <w:szCs w:val="24"/>
        </w:rPr>
        <w:t>2.4对</w:t>
      </w:r>
      <w:r>
        <w:rPr>
          <w:rFonts w:hint="eastAsia" w:ascii="仿宋" w:hAnsi="仿宋" w:eastAsia="仿宋" w:cs="仿宋"/>
          <w:sz w:val="24"/>
          <w:szCs w:val="24"/>
        </w:rPr>
        <w:t>自备书目采购、自定较窄主题采购及零星采购、急需采购的响应速度：</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自备书目采购、自定较窄主题采购及零星采购、急需采购等图书采购的到书率不低于90％。</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自备书目采购及零星采购：十天内完成图书采购，送达采购人指定地点；</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自定较窄主题采购：十天内完成图书采购，送达采购人指定地点；</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急需采购：48小时内完成图书采购，送达采购人指定地点；</w:t>
      </w:r>
    </w:p>
    <w:p>
      <w:pPr>
        <w:keepLines w:val="0"/>
        <w:pageBreakBefore w:val="0"/>
        <w:widowControl w:val="0"/>
        <w:kinsoku/>
        <w:wordWrap/>
        <w:overflowPunct/>
        <w:topLinePunct w:val="0"/>
        <w:autoSpaceDE/>
        <w:autoSpaceDN/>
        <w:bidi w:val="0"/>
        <w:adjustRightInd/>
        <w:spacing w:line="360" w:lineRule="auto"/>
        <w:ind w:left="0" w:leftChars="0" w:firstLine="361" w:firstLineChars="150"/>
        <w:textAlignment w:val="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多卷、分册图书必须配齐才可发货，不可分多次配送，杜绝下册已配送而上册未配送类似的情况发生。</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2.5对订单调整要求的反应能力：</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2.5.1在三个工作日内做好订单接收、查重、采购等工作，顺延完成该批图书采购计划。</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2.5.2对采购人提供的订单在三天内回复确认。</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2.5.3</w:t>
      </w:r>
      <w:bookmarkStart w:id="27" w:name="OLE_LINK5"/>
      <w:r>
        <w:rPr>
          <w:rFonts w:hint="eastAsia" w:ascii="仿宋" w:hAnsi="仿宋" w:eastAsia="仿宋" w:cs="仿宋"/>
          <w:sz w:val="24"/>
          <w:szCs w:val="24"/>
        </w:rPr>
        <w:t>订</w:t>
      </w:r>
      <w:r>
        <w:rPr>
          <w:rFonts w:hint="eastAsia" w:ascii="仿宋" w:hAnsi="仿宋" w:eastAsia="仿宋" w:cs="仿宋"/>
          <w:color w:val="auto"/>
          <w:sz w:val="24"/>
          <w:szCs w:val="24"/>
        </w:rPr>
        <w:t>单</w:t>
      </w:r>
      <w:r>
        <w:rPr>
          <w:rFonts w:hint="eastAsia" w:ascii="仿宋" w:hAnsi="仿宋" w:eastAsia="仿宋" w:cs="仿宋"/>
          <w:color w:val="auto"/>
          <w:sz w:val="24"/>
          <w:szCs w:val="24"/>
          <w:lang w:eastAsia="zh-CN"/>
        </w:rPr>
        <w:t>处理</w:t>
      </w:r>
      <w:r>
        <w:rPr>
          <w:rFonts w:hint="eastAsia" w:ascii="仿宋" w:hAnsi="仿宋" w:eastAsia="仿宋" w:cs="仿宋"/>
          <w:color w:val="auto"/>
          <w:sz w:val="24"/>
          <w:szCs w:val="24"/>
        </w:rPr>
        <w:t>：专门建立预定图书库，对采购人报订的订单进行查重，大开本、小开本、大定数、线装、含磁带或图片、成套图书，以及高码洋（单册大于</w:t>
      </w:r>
      <w:r>
        <w:rPr>
          <w:rFonts w:hint="eastAsia" w:ascii="仿宋" w:hAnsi="仿宋" w:eastAsia="仿宋" w:cs="仿宋"/>
          <w:color w:val="auto"/>
          <w:sz w:val="24"/>
          <w:szCs w:val="24"/>
          <w:lang w:val="en-US" w:eastAsia="zh-CN"/>
        </w:rPr>
        <w:t>200</w:t>
      </w:r>
      <w:r>
        <w:rPr>
          <w:rFonts w:hint="eastAsia" w:ascii="仿宋" w:hAnsi="仿宋" w:eastAsia="仿宋" w:cs="仿宋"/>
          <w:color w:val="auto"/>
          <w:sz w:val="24"/>
          <w:szCs w:val="24"/>
        </w:rPr>
        <w:t>元）和高复本（复本大于</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本）订单需二次确认订单认真审查，严格把关。订单处理过程中，发现书名和ISBN变更、出版时间延后或出版计划取消、丛书或者连续出版物复本数不配套或品类不完全等情况应及时通报。</w:t>
      </w:r>
      <w:r>
        <w:rPr>
          <w:rFonts w:hint="eastAsia" w:ascii="仿宋" w:hAnsi="仿宋" w:eastAsia="仿宋" w:cs="仿宋"/>
          <w:sz w:val="24"/>
          <w:szCs w:val="24"/>
        </w:rPr>
        <w:t>以下情形的图书订单自动取消配送：高职高专类、中专类、英文版、影印版、含磁带、64开本以下（含64开）及其他特别规格的书、裸脊书、卷轴式、卡片、小册子、挂图、活页、填色书、模型制作书、教材、教辅、习题、试卷、习字帖等。</w:t>
      </w:r>
    </w:p>
    <w:bookmarkEnd w:id="27"/>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2.5.4调整订单要求：在接到要求调整订单的要求后，立即从中标单位的采访库中收集要求调整订单的数据，并二天内将该调整订单的数据（包括已送图书及未送图书）形成电子表格通过电子邮件传送到采购人。</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2.6对未能及时采购订单图书的处理</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对未能及时采购的订单图书进行及时梳理，并在十五个工作日内用书单形式反馈给采购人，或撤销订单或按可满足最大订数配货。该项纳入到书率的考核。</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2.7退书的处理</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2.7.1多订、重订的图书：在未加盖馆藏章和贴书标等图书加工前提下，作无条件退书处理。</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2.7.2对倒装缺页、少页、污页等有图书质量问题的图书无条件予以更换或退款，并承担由此产生的运输费用。</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（1）更换：由中标单位承担所发生的全部费用。</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（2）退货：中标单位应退还采购人支付的货款，同时承担所退图书的运输费用。如在使用过程中发生质量问题，中标单位应在接到采购人通告后三天内派人到达现场处理。</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2.8中标单位应及时建立“嵊州市图书馆预订图书数据库”，有对预订的图书进行查重的能力。</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2.9中标单位提供符合国家财税法律规定要求的售书发票。</w:t>
      </w:r>
    </w:p>
    <w:p>
      <w:pPr>
        <w:keepLines w:val="0"/>
        <w:pageBreakBefore w:val="0"/>
        <w:widowControl w:val="0"/>
        <w:kinsoku/>
        <w:wordWrap/>
        <w:overflowPunct/>
        <w:topLinePunct w:val="0"/>
        <w:autoSpaceDE/>
        <w:autoSpaceDN/>
        <w:bidi w:val="0"/>
        <w:adjustRightInd/>
        <w:spacing w:line="360" w:lineRule="auto"/>
        <w:ind w:left="0" w:leftChars="0" w:firstLine="472"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三、图书包装、运输、售后服务要求</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3.1图书包装、运输等要求</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3.1.1中标单位应严格按照采购人订货的规定期限送货到指定地点。</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3.1.2中标单位采用满足运输距离、防湿和防破装卸要求的隔水包装纸进行包装，以保证图书安全运输到达采购人指定地点，由此产生的费用由中标单位承担。</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3.1.3中标单位在发货时提供内容一致，不得涂改的图书清单一式两份，清单内容包括：包号、书号、书名、出版社、单价、册数，订购号、每包的种、册、码洋的小计。一份附于包装货件内，一包一单；另一份要求以包装号为序，统计该批次图书的总种数、总册数及总金额，并加盖公章交给采购人。</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3.1.4中标单位在递交每一批图书清单时，一并提供规范的机读编目数据。</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3.1.5中标单位在图书发运的前一天（如发运地非本地，则应在发运手续办理的24小时内），用电话、信函或传真通知采购人，以便准备接货。</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3.2售后服务要求</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3.2.1在收到采购人图书订单后按要求及时回复，确认是否收到订单，并按提出的书目及包装要求，将图书及时送交到指定地点，为此所发生的费用全部由中标单位承担。</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3.2.2必须按采购人订购的图书品种、数量及时供货。除不可抗力事情外，若不能按时供货的图书种数或册数超过订单订购数的20％即可认定中标单位不具备供货条件。一旦采购人提出终止供货的要求，中标单位必须无条件接受，终止供货所造成的损失由中标单位承担。为尽可能消除因中标单位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中标单位承担。</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b w:val="0"/>
          <w:bCs w:val="0"/>
          <w:sz w:val="24"/>
          <w:szCs w:val="24"/>
        </w:rPr>
        <w:t>3.2.3</w:t>
      </w:r>
      <w:r>
        <w:rPr>
          <w:rFonts w:hint="eastAsia" w:ascii="仿宋" w:hAnsi="仿宋" w:eastAsia="仿宋" w:cs="仿宋"/>
          <w:sz w:val="24"/>
          <w:szCs w:val="24"/>
        </w:rPr>
        <w:t>中标单位在递交每一批图书清单时，一并提供规范的机读编目数据。</w:t>
      </w:r>
    </w:p>
    <w:p>
      <w:pPr>
        <w:keepLines w:val="0"/>
        <w:pageBreakBefore w:val="0"/>
        <w:widowControl w:val="0"/>
        <w:kinsoku/>
        <w:wordWrap/>
        <w:overflowPunct/>
        <w:topLinePunct w:val="0"/>
        <w:autoSpaceDE/>
        <w:autoSpaceDN/>
        <w:bidi w:val="0"/>
        <w:adjustRightInd/>
        <w:spacing w:line="360" w:lineRule="auto"/>
        <w:ind w:left="0" w:leftChars="0" w:firstLine="475" w:firstLineChars="197"/>
        <w:textAlignment w:val="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b w:val="0"/>
          <w:bCs/>
          <w:sz w:val="24"/>
          <w:szCs w:val="24"/>
        </w:rPr>
        <w:t>3</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2</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4</w:t>
      </w:r>
      <w:r>
        <w:rPr>
          <w:rFonts w:hint="eastAsia" w:ascii="仿宋" w:hAnsi="仿宋" w:eastAsia="仿宋" w:cs="仿宋"/>
          <w:sz w:val="24"/>
          <w:szCs w:val="24"/>
        </w:rPr>
        <w:t>中标单位对送交到采购人的图书为全新的正版合格图书，不能有任何质量问题。若验收时发现有污染、图文不清、缺页、倒装、缺附件等不合格的图书，以及与订单不符的图书，一律予以退货，不能以已加工为理由拒绝，由此造成的损失及费用全部由中标单位承担。</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3.2.5凡交到采购人的图书，以图书码洋价作为计算书款的依据，经验收发现书款与发货单不符的，中标单位应及时派员到验收地核算，中标单位接到通知之日起三个工作日内不能派员核算的，以采购人验收的实际数额计算书款金额。</w:t>
      </w:r>
    </w:p>
    <w:p>
      <w:pPr>
        <w:keepLines w:val="0"/>
        <w:pageBreakBefore w:val="0"/>
        <w:widowControl w:val="0"/>
        <w:kinsoku/>
        <w:wordWrap/>
        <w:overflowPunct/>
        <w:topLinePunct w:val="0"/>
        <w:autoSpaceDE/>
        <w:autoSpaceDN/>
        <w:bidi w:val="0"/>
        <w:adjustRightInd/>
        <w:spacing w:line="360" w:lineRule="auto"/>
        <w:ind w:left="0" w:leftChars="0" w:firstLine="477" w:firstLineChars="198"/>
        <w:jc w:val="left"/>
        <w:textAlignment w:val="auto"/>
        <w:rPr>
          <w:rFonts w:hint="eastAsia" w:ascii="仿宋" w:hAnsi="仿宋" w:eastAsia="仿宋" w:cs="仿宋"/>
          <w:color w:val="auto"/>
          <w:sz w:val="24"/>
          <w:szCs w:val="24"/>
        </w:rPr>
      </w:pPr>
      <w:r>
        <w:rPr>
          <w:rFonts w:hint="eastAsia" w:ascii="仿宋" w:hAnsi="仿宋" w:eastAsia="仿宋" w:cs="仿宋"/>
          <w:b/>
          <w:sz w:val="24"/>
          <w:szCs w:val="24"/>
        </w:rPr>
        <w:t>▲</w:t>
      </w:r>
      <w:r>
        <w:rPr>
          <w:rFonts w:hint="eastAsia" w:ascii="仿宋" w:hAnsi="仿宋" w:eastAsia="仿宋" w:cs="仿宋"/>
          <w:sz w:val="24"/>
          <w:szCs w:val="24"/>
        </w:rPr>
        <w:t>3.2.6驻馆全加工服务：中标单位须安排人员驻馆全</w:t>
      </w:r>
      <w:r>
        <w:rPr>
          <w:rFonts w:hint="eastAsia" w:ascii="仿宋" w:hAnsi="仿宋" w:eastAsia="仿宋" w:cs="仿宋"/>
          <w:color w:val="auto"/>
          <w:sz w:val="24"/>
          <w:szCs w:val="24"/>
        </w:rPr>
        <w:t>加工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及时、有效完成需方所采购</w:t>
      </w:r>
      <w:r>
        <w:rPr>
          <w:rFonts w:hint="eastAsia" w:ascii="仿宋" w:hAnsi="仿宋" w:eastAsia="仿宋" w:cs="仿宋"/>
          <w:color w:val="auto"/>
          <w:sz w:val="24"/>
          <w:szCs w:val="24"/>
          <w:lang w:eastAsia="zh-CN"/>
        </w:rPr>
        <w:t>纸质</w:t>
      </w:r>
      <w:r>
        <w:rPr>
          <w:rFonts w:hint="eastAsia" w:ascii="仿宋" w:hAnsi="仿宋" w:eastAsia="仿宋" w:cs="仿宋"/>
          <w:color w:val="auto"/>
          <w:sz w:val="24"/>
          <w:szCs w:val="24"/>
        </w:rPr>
        <w:t>图书（最终统计以实际编制书目数据量为准）的编目、加工工作任务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全加工包括图书的辅助验收、数据加工（查重、分类、编目、典藏等）、物理加工，</w:t>
      </w:r>
      <w:r>
        <w:rPr>
          <w:rFonts w:hint="eastAsia" w:ascii="仿宋" w:hAnsi="仿宋" w:eastAsia="仿宋" w:cs="仿宋"/>
          <w:color w:val="auto"/>
          <w:sz w:val="24"/>
          <w:szCs w:val="24"/>
          <w:lang w:eastAsia="zh-CN"/>
        </w:rPr>
        <w:t>图书打包上架等，</w:t>
      </w:r>
      <w:r>
        <w:rPr>
          <w:rFonts w:hint="eastAsia" w:ascii="仿宋" w:hAnsi="仿宋" w:eastAsia="仿宋" w:cs="仿宋"/>
          <w:color w:val="auto"/>
          <w:sz w:val="24"/>
          <w:szCs w:val="24"/>
        </w:rPr>
        <w:t>并提供所需辅材（条形码、书标、书标保护膜、超高频RFID电子标签等），自备文献加工所需工作电脑及RFID阅读器。加工图书前，应将配送的书目（按订单顺序列好）发给采购单位核对，无误后方可按采购单位的要求加工。</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数据加工：中文图书分类依据《中国图书馆分类法》（第五版），中文图书著录依据《普通图书著录规则》国家标准GB3782-85 、中文普通图书机读目录格式，以及招标人相关规则进行编目。详见《中文普通图书机读目录数据处理细则》、《中国机读目录格式使用手册》。</w:t>
      </w:r>
    </w:p>
    <w:p>
      <w:pPr>
        <w:keepNext w:val="0"/>
        <w:keepLines w:val="0"/>
        <w:pageBreakBefore w:val="0"/>
        <w:widowControl w:val="0"/>
        <w:kinsoku/>
        <w:wordWrap/>
        <w:overflowPunct/>
        <w:topLinePunct w:val="0"/>
        <w:autoSpaceDE/>
        <w:autoSpaceDN/>
        <w:bidi w:val="0"/>
        <w:snapToGrid/>
        <w:spacing w:line="360" w:lineRule="auto"/>
        <w:ind w:firstLine="480"/>
        <w:textAlignment w:val="auto"/>
        <w:rPr>
          <w:rFonts w:ascii="仿宋_GB2312" w:hAnsi="宋体" w:eastAsia="仿宋_GB2312"/>
          <w:color w:val="auto"/>
          <w:sz w:val="24"/>
          <w:highlight w:val="none"/>
        </w:rPr>
      </w:pPr>
      <w:r>
        <w:rPr>
          <w:rFonts w:hint="eastAsia" w:ascii="仿宋" w:hAnsi="仿宋" w:eastAsia="仿宋" w:cs="仿宋"/>
          <w:color w:val="auto"/>
          <w:sz w:val="24"/>
          <w:szCs w:val="24"/>
        </w:rPr>
        <w:t>物理加工：</w:t>
      </w:r>
      <w:r>
        <w:rPr>
          <w:rFonts w:hint="eastAsia" w:ascii="仿宋" w:hAnsi="仿宋" w:eastAsia="仿宋" w:cs="仿宋"/>
          <w:color w:val="auto"/>
          <w:sz w:val="24"/>
          <w:szCs w:val="24"/>
          <w:highlight w:val="none"/>
        </w:rPr>
        <w:t>a、给每册图书加贴1根电子标签，切勿多贴</w:t>
      </w:r>
      <w:r>
        <w:rPr>
          <w:rFonts w:hint="eastAsia" w:ascii="仿宋" w:hAnsi="仿宋" w:eastAsia="仿宋" w:cs="仿宋"/>
          <w:color w:val="auto"/>
          <w:sz w:val="24"/>
          <w:szCs w:val="24"/>
        </w:rPr>
        <w:t>；b、每册图书在指定位置加盖馆藏章3个；c、每册图书贴条形码；d、每册图书打印、粘贴书标，加贴书标保护膜；e、每册图书按本馆分编规则查重分类、MARC著录、给出馆藏信息；f.索书号和条码号等业务标注手写在书名页上；g、每册图书进行条码和RFID电子标签的数据转换；h、每册图书送到书库并上架。</w:t>
      </w:r>
      <w:r>
        <w:rPr>
          <w:rFonts w:hint="eastAsia" w:ascii="仿宋" w:hAnsi="仿宋" w:eastAsia="仿宋" w:cs="仿宋"/>
          <w:color w:val="auto"/>
          <w:sz w:val="24"/>
          <w:szCs w:val="24"/>
          <w:highlight w:val="none"/>
        </w:rPr>
        <w:t>图书加工费用包括材料费由中标单位负责。</w:t>
      </w:r>
      <w:r>
        <w:rPr>
          <w:rFonts w:hint="eastAsia" w:ascii="仿宋_GB2312" w:hAnsi="宋体" w:eastAsia="仿宋_GB2312"/>
          <w:color w:val="auto"/>
          <w:sz w:val="24"/>
          <w:highlight w:val="none"/>
        </w:rPr>
        <w:t>为避免色差，要求书标、条码由几家中标单位选定同一生产厂家同一批次供货。</w:t>
      </w:r>
    </w:p>
    <w:p>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color w:val="auto"/>
          <w:sz w:val="24"/>
          <w:szCs w:val="24"/>
          <w:highlight w:val="none"/>
        </w:rPr>
      </w:pPr>
      <w:r>
        <w:rPr>
          <w:rFonts w:hint="eastAsia" w:ascii="仿宋_GB2312" w:hAnsi="宋体" w:eastAsia="仿宋_GB2312"/>
          <w:color w:val="auto"/>
          <w:sz w:val="24"/>
          <w:highlight w:val="none"/>
          <w:lang w:eastAsia="zh-CN"/>
        </w:rPr>
        <w:t>嵊州市</w:t>
      </w:r>
      <w:r>
        <w:rPr>
          <w:rFonts w:hint="eastAsia" w:ascii="仿宋_GB2312" w:hAnsi="宋体" w:eastAsia="仿宋_GB2312"/>
          <w:color w:val="auto"/>
          <w:sz w:val="24"/>
          <w:highlight w:val="none"/>
        </w:rPr>
        <w:t>图书馆</w:t>
      </w:r>
      <w:r>
        <w:rPr>
          <w:rFonts w:hint="eastAsia" w:ascii="仿宋_GB2312" w:hAnsi="宋体" w:eastAsia="仿宋_GB2312"/>
          <w:color w:val="auto"/>
          <w:sz w:val="24"/>
          <w:highlight w:val="none"/>
          <w:lang w:eastAsia="zh-CN"/>
        </w:rPr>
        <w:t>2023年</w:t>
      </w:r>
      <w:r>
        <w:rPr>
          <w:rFonts w:hint="eastAsia" w:ascii="仿宋_GB2312" w:hAnsi="宋体" w:eastAsia="仿宋_GB2312"/>
          <w:color w:val="auto"/>
          <w:sz w:val="24"/>
          <w:highlight w:val="none"/>
        </w:rPr>
        <w:t>度接受的捐赠、征集图书（约</w:t>
      </w:r>
      <w:r>
        <w:rPr>
          <w:rFonts w:hint="eastAsia" w:ascii="仿宋_GB2312" w:hAnsi="宋体" w:eastAsia="仿宋_GB2312"/>
          <w:color w:val="auto"/>
          <w:sz w:val="24"/>
          <w:highlight w:val="none"/>
          <w:lang w:val="en-US" w:eastAsia="zh-CN"/>
        </w:rPr>
        <w:t>1</w:t>
      </w:r>
      <w:r>
        <w:rPr>
          <w:rFonts w:hint="eastAsia" w:ascii="仿宋_GB2312" w:hAnsi="宋体" w:eastAsia="仿宋_GB2312"/>
          <w:color w:val="auto"/>
          <w:sz w:val="24"/>
          <w:highlight w:val="none"/>
        </w:rPr>
        <w:t>000册左右）加工费用，由中标</w:t>
      </w:r>
      <w:r>
        <w:rPr>
          <w:rFonts w:hint="eastAsia" w:ascii="仿宋_GB2312" w:hAnsi="宋体" w:eastAsia="仿宋_GB2312"/>
          <w:color w:val="auto"/>
          <w:sz w:val="24"/>
          <w:highlight w:val="none"/>
          <w:lang w:eastAsia="zh-CN"/>
        </w:rPr>
        <w:t>供应商承担</w:t>
      </w:r>
      <w:r>
        <w:rPr>
          <w:rFonts w:hint="eastAsia" w:ascii="仿宋_GB2312" w:hAnsi="宋体" w:eastAsia="仿宋_GB2312"/>
          <w:color w:val="auto"/>
          <w:sz w:val="24"/>
          <w:highlight w:val="none"/>
        </w:rPr>
        <w:t>相关加工费用。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w:t>
      </w:r>
      <w:r>
        <w:rPr>
          <w:rFonts w:hint="eastAsia" w:ascii="仿宋" w:hAnsi="仿宋" w:eastAsia="仿宋" w:cs="仿宋"/>
          <w:color w:val="auto"/>
          <w:sz w:val="24"/>
          <w:szCs w:val="24"/>
        </w:rPr>
        <w:t>(1)馆藏章:在指定位置加盖嵊州市图书馆馆藏章3个，即书名页、第11页（多卷书盖在前20页内页码尾号带“1”的页上）、正文末页（不要印在书末无字页），盖在空白适宜的地方，用印要端正、清晰，不得模糊歪倒。注意：如果封2的后一页不是书名页（空白页或图版），则要求在该页的中间加盖一个藏书章（即共印4个章），使馆藏章，条形码都在同一页。馆藏章样式由采购单位提供。】</w:t>
      </w:r>
    </w:p>
    <w:p>
      <w:pPr>
        <w:keepLines w:val="0"/>
        <w:pageBreakBefore w:val="0"/>
        <w:widowControl w:val="0"/>
        <w:tabs>
          <w:tab w:val="left" w:pos="0"/>
        </w:tabs>
        <w:kinsoku/>
        <w:wordWrap/>
        <w:overflowPunct/>
        <w:topLinePunct w:val="0"/>
        <w:autoSpaceDE/>
        <w:autoSpaceDN/>
        <w:bidi w:val="0"/>
        <w:adjustRightInd/>
        <w:spacing w:line="360" w:lineRule="auto"/>
        <w:ind w:left="0" w:leftChars="0" w:firstLine="472" w:firstLineChars="196"/>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)市馆图书专用RFID标签：统一贴在整书前60-80页间</w:t>
      </w:r>
      <w:r>
        <w:rPr>
          <w:rFonts w:hint="eastAsia" w:ascii="仿宋" w:hAnsi="仿宋" w:eastAsia="仿宋" w:cs="仿宋"/>
          <w:color w:val="auto"/>
          <w:sz w:val="24"/>
          <w:szCs w:val="24"/>
          <w:lang w:eastAsia="zh-CN"/>
        </w:rPr>
        <w:t>（不满</w:t>
      </w:r>
      <w:r>
        <w:rPr>
          <w:rFonts w:hint="eastAsia" w:ascii="仿宋" w:hAnsi="仿宋" w:eastAsia="仿宋" w:cs="仿宋"/>
          <w:color w:val="auto"/>
          <w:sz w:val="24"/>
          <w:szCs w:val="24"/>
          <w:lang w:val="en-US" w:eastAsia="zh-CN"/>
        </w:rPr>
        <w:t>65页，贴于图书末页往前第5页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，离书上端2-3cm处，出于定位管理考虑。只能贴1根，标签上的的两处三角朝内贴。</w:t>
      </w:r>
      <w:r>
        <w:rPr>
          <w:rFonts w:hint="eastAsia" w:ascii="仿宋" w:hAnsi="仿宋" w:eastAsia="仿宋" w:cs="仿宋"/>
          <w:color w:val="auto"/>
          <w:sz w:val="24"/>
          <w:szCs w:val="24"/>
          <w:shd w:val="clear" w:color="auto" w:fill="FFFFFF"/>
        </w:rPr>
        <w:t>鉴于每年入库图书中标签损耗较多，因此中标供货商需向采购人提供实际供货图书册数</w:t>
      </w:r>
      <w:r>
        <w:rPr>
          <w:rFonts w:hint="eastAsia" w:ascii="仿宋" w:hAnsi="仿宋" w:eastAsia="仿宋" w:cs="仿宋"/>
          <w:color w:val="auto"/>
          <w:sz w:val="24"/>
          <w:szCs w:val="24"/>
          <w:shd w:val="clear" w:color="auto" w:fill="FFFFFF"/>
          <w:lang w:val="en-US"/>
        </w:rPr>
        <w:t>10%</w:t>
      </w:r>
      <w:r>
        <w:rPr>
          <w:rFonts w:hint="eastAsia" w:ascii="仿宋" w:hAnsi="仿宋" w:eastAsia="仿宋" w:cs="仿宋"/>
          <w:color w:val="auto"/>
          <w:sz w:val="24"/>
          <w:szCs w:val="24"/>
          <w:shd w:val="clear" w:color="auto" w:fill="FFFFFF"/>
        </w:rPr>
        <w:t>的超高频</w:t>
      </w:r>
      <w:r>
        <w:rPr>
          <w:rFonts w:hint="eastAsia" w:ascii="仿宋" w:hAnsi="仿宋" w:eastAsia="仿宋" w:cs="仿宋"/>
          <w:color w:val="auto"/>
          <w:sz w:val="24"/>
          <w:szCs w:val="24"/>
          <w:shd w:val="clear" w:color="auto" w:fill="FFFFFF"/>
          <w:lang w:val="en-US"/>
        </w:rPr>
        <w:t>RFID</w:t>
      </w:r>
      <w:r>
        <w:rPr>
          <w:rFonts w:hint="eastAsia" w:ascii="仿宋" w:hAnsi="仿宋" w:eastAsia="仿宋" w:cs="仿宋"/>
          <w:color w:val="auto"/>
          <w:sz w:val="24"/>
          <w:szCs w:val="24"/>
          <w:shd w:val="clear" w:color="auto" w:fill="FFFFFF"/>
        </w:rPr>
        <w:t>图书标签，作后期损耗维护之用。</w:t>
      </w:r>
    </w:p>
    <w:p>
      <w:pPr>
        <w:keepLines w:val="0"/>
        <w:pageBreakBefore w:val="0"/>
        <w:widowControl w:val="0"/>
        <w:tabs>
          <w:tab w:val="left" w:pos="0"/>
        </w:tabs>
        <w:kinsoku/>
        <w:wordWrap/>
        <w:overflowPunct/>
        <w:topLinePunct w:val="0"/>
        <w:autoSpaceDE/>
        <w:autoSpaceDN/>
        <w:bidi w:val="0"/>
        <w:adjustRightInd/>
        <w:spacing w:line="360" w:lineRule="auto"/>
        <w:ind w:left="0" w:leftChars="0" w:firstLine="470" w:firstLineChars="196"/>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提供标签质量可靠，性能稳定，易读取识别，有效使用寿命10年以上，有效使用次数10万次以上，标签中有存储器，存储在其中的资料可重复读、写。标签可以非接触式地读取和写入，加快文献流通的处理速度。标签具有一定的抗冲突性，能保证多个标签地同时可靠识别。标签具有较高的安全性，防止存储在其中的信息被随意读取或改写。有效识读距离：符合自助借还、书架、安全门等设备读取要求。</w:t>
      </w:r>
    </w:p>
    <w:p>
      <w:pPr>
        <w:keepLines w:val="0"/>
        <w:pageBreakBefore w:val="0"/>
        <w:widowControl w:val="0"/>
        <w:tabs>
          <w:tab w:val="left" w:pos="0"/>
          <w:tab w:val="left" w:pos="1365"/>
        </w:tabs>
        <w:kinsoku/>
        <w:wordWrap/>
        <w:overflowPunct/>
        <w:topLinePunct w:val="0"/>
        <w:autoSpaceDE/>
        <w:autoSpaceDN/>
        <w:bidi w:val="0"/>
        <w:adjustRightInd/>
        <w:spacing w:line="360" w:lineRule="auto"/>
        <w:ind w:left="0" w:leftChars="0" w:firstLine="482"/>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)条形码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每册图书的书名页正下方空白处贴一张2cm×5cm的不干胶馆藏条形码，并在条形码上贴上一条胶带纸，长度以覆盖条形码左右各1cm为宜。不干胶条形码须质量好，耐磨、经久、不掉。】</w:t>
      </w:r>
    </w:p>
    <w:p>
      <w:pPr>
        <w:keepLines w:val="0"/>
        <w:pageBreakBefore w:val="0"/>
        <w:widowControl w:val="0"/>
        <w:tabs>
          <w:tab w:val="left" w:pos="0"/>
        </w:tabs>
        <w:kinsoku/>
        <w:wordWrap/>
        <w:overflowPunct/>
        <w:topLinePunct w:val="0"/>
        <w:autoSpaceDE/>
        <w:autoSpaceDN/>
        <w:bidi w:val="0"/>
        <w:adjustRightInd/>
        <w:spacing w:line="360" w:lineRule="auto"/>
        <w:ind w:left="0" w:leftChars="0" w:firstLine="482"/>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)书标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每册图书齐书脊下端平贴一个2cm×5cm不干胶的书标，并在书标上贴一片薄膜，长度以覆盖书标及封面与封底各2cm为宜。有封套者，封套不丢弃，同样方法在其上面加贴一个书标。】</w:t>
      </w:r>
    </w:p>
    <w:p>
      <w:pPr>
        <w:keepLines w:val="0"/>
        <w:pageBreakBefore w:val="0"/>
        <w:widowControl w:val="0"/>
        <w:tabs>
          <w:tab w:val="left" w:pos="0"/>
          <w:tab w:val="left" w:pos="2955"/>
        </w:tabs>
        <w:kinsoku/>
        <w:wordWrap/>
        <w:overflowPunct/>
        <w:topLinePunct w:val="0"/>
        <w:autoSpaceDE/>
        <w:autoSpaceDN/>
        <w:bidi w:val="0"/>
        <w:adjustRightInd/>
        <w:spacing w:line="360" w:lineRule="auto"/>
        <w:ind w:left="0" w:leftChars="0" w:firstLine="482"/>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)新书加固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为减少图书的破损率，根据采购单位的要求对易破损图书进行加固。】</w:t>
      </w:r>
    </w:p>
    <w:p>
      <w:pPr>
        <w:keepLines w:val="0"/>
        <w:pageBreakBefore w:val="0"/>
        <w:widowControl w:val="0"/>
        <w:tabs>
          <w:tab w:val="left" w:pos="0"/>
          <w:tab w:val="left" w:pos="2955"/>
        </w:tabs>
        <w:kinsoku/>
        <w:wordWrap/>
        <w:overflowPunct/>
        <w:topLinePunct w:val="0"/>
        <w:autoSpaceDE/>
        <w:autoSpaceDN/>
        <w:bidi w:val="0"/>
        <w:adjustRightInd/>
        <w:spacing w:line="360" w:lineRule="auto"/>
        <w:ind w:left="0" w:leftChars="0" w:firstLine="482"/>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)数据加工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图创系统内</w:t>
      </w:r>
      <w:r>
        <w:rPr>
          <w:rFonts w:hint="eastAsia" w:ascii="仿宋" w:hAnsi="仿宋" w:eastAsia="仿宋" w:cs="仿宋"/>
          <w:color w:val="auto"/>
          <w:sz w:val="24"/>
          <w:szCs w:val="24"/>
          <w:lang w:eastAsia="zh-CN"/>
        </w:rPr>
        <w:t>原则上</w:t>
      </w:r>
      <w:r>
        <w:rPr>
          <w:rFonts w:hint="eastAsia" w:ascii="仿宋" w:hAnsi="仿宋" w:eastAsia="仿宋" w:cs="仿宋"/>
          <w:color w:val="auto"/>
          <w:sz w:val="24"/>
          <w:szCs w:val="24"/>
        </w:rPr>
        <w:t>采用“整套验收”</w:t>
      </w:r>
      <w:r>
        <w:rPr>
          <w:rFonts w:hint="eastAsia" w:ascii="仿宋" w:hAnsi="仿宋" w:eastAsia="仿宋" w:cs="仿宋"/>
          <w:color w:val="auto"/>
          <w:sz w:val="24"/>
          <w:szCs w:val="24"/>
          <w:lang w:eastAsia="zh-CN"/>
        </w:rPr>
        <w:t>，根据图书出版实际情况及采编具体要求适时调整</w:t>
      </w:r>
      <w:r>
        <w:rPr>
          <w:rFonts w:hint="eastAsia" w:ascii="仿宋" w:hAnsi="仿宋" w:eastAsia="仿宋" w:cs="仿宋"/>
          <w:color w:val="auto"/>
          <w:sz w:val="24"/>
          <w:szCs w:val="24"/>
        </w:rPr>
        <w:t>。计算机编目主要项目用字段、子字段及使用注释略。】</w:t>
      </w:r>
    </w:p>
    <w:p>
      <w:pPr>
        <w:keepLines w:val="0"/>
        <w:pageBreakBefore w:val="0"/>
        <w:widowControl w:val="0"/>
        <w:tabs>
          <w:tab w:val="left" w:pos="0"/>
          <w:tab w:val="left" w:pos="2955"/>
        </w:tabs>
        <w:kinsoku/>
        <w:wordWrap/>
        <w:overflowPunct/>
        <w:topLinePunct w:val="0"/>
        <w:autoSpaceDE/>
        <w:autoSpaceDN/>
        <w:bidi w:val="0"/>
        <w:adjustRightInd/>
        <w:spacing w:line="360" w:lineRule="auto"/>
        <w:ind w:left="0" w:leftChars="0" w:firstLine="482"/>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 中文书书次号取号规则：书次号使用著者号，按主要著者姓名（或团体作者）四角号码取号。常见姓名取姓名左上角各一号，组成三位数字，不足三位者第三位补“0”。数字（汉字数字除外）、字母的责任者取“0”，如“20世纪……编”取：004。】</w:t>
      </w:r>
    </w:p>
    <w:p>
      <w:pPr>
        <w:pStyle w:val="3"/>
        <w:keepLines w:val="0"/>
        <w:pageBreakBefore w:val="0"/>
        <w:widowControl w:val="0"/>
        <w:tabs>
          <w:tab w:val="left" w:pos="480"/>
          <w:tab w:val="clear" w:pos="432"/>
        </w:tabs>
        <w:kinsoku/>
        <w:wordWrap/>
        <w:overflowPunct/>
        <w:topLinePunct w:val="0"/>
        <w:autoSpaceDE/>
        <w:autoSpaceDN/>
        <w:bidi w:val="0"/>
        <w:adjustRightInd/>
        <w:spacing w:before="0" w:after="0" w:line="360" w:lineRule="auto"/>
        <w:ind w:left="0" w:leftChars="0" w:firstLine="480" w:firstLineChars="200"/>
        <w:jc w:val="both"/>
        <w:textAlignment w:val="auto"/>
        <w:rPr>
          <w:rFonts w:hint="eastAsia" w:ascii="仿宋" w:hAnsi="仿宋" w:eastAsia="仿宋" w:cs="仿宋"/>
          <w:b w:val="0"/>
          <w:color w:val="auto"/>
          <w:sz w:val="24"/>
          <w:szCs w:val="24"/>
        </w:rPr>
      </w:pPr>
      <w:r>
        <w:rPr>
          <w:rFonts w:hint="eastAsia" w:ascii="仿宋" w:hAnsi="仿宋" w:eastAsia="仿宋" w:cs="仿宋"/>
          <w:b w:val="0"/>
          <w:color w:val="auto"/>
          <w:sz w:val="24"/>
          <w:szCs w:val="24"/>
          <w:lang w:eastAsia="zh-CN"/>
        </w:rPr>
        <w:t>【</w:t>
      </w:r>
      <w:r>
        <w:rPr>
          <w:rFonts w:hint="eastAsia" w:ascii="仿宋" w:hAnsi="仿宋" w:eastAsia="仿宋" w:cs="仿宋"/>
          <w:b w:val="0"/>
          <w:color w:val="auto"/>
          <w:sz w:val="24"/>
          <w:szCs w:val="24"/>
        </w:rPr>
        <w:t>（</w:t>
      </w:r>
      <w:r>
        <w:rPr>
          <w:rFonts w:hint="eastAsia" w:ascii="仿宋" w:hAnsi="仿宋" w:eastAsia="仿宋" w:cs="仿宋"/>
          <w:b w:val="0"/>
          <w:color w:val="auto"/>
          <w:sz w:val="24"/>
          <w:szCs w:val="24"/>
          <w:lang w:val="en-US" w:eastAsia="zh-CN"/>
        </w:rPr>
        <w:t>8</w:t>
      </w:r>
      <w:r>
        <w:rPr>
          <w:rFonts w:hint="eastAsia" w:ascii="仿宋" w:hAnsi="仿宋" w:eastAsia="仿宋" w:cs="仿宋"/>
          <w:b w:val="0"/>
          <w:color w:val="auto"/>
          <w:sz w:val="24"/>
          <w:szCs w:val="24"/>
        </w:rPr>
        <w:t>）所有加工图书的附件不能丢弃，</w:t>
      </w:r>
      <w:r>
        <w:rPr>
          <w:rFonts w:hint="eastAsia" w:ascii="仿宋" w:hAnsi="仿宋" w:eastAsia="仿宋" w:cs="仿宋"/>
          <w:b w:val="0"/>
          <w:color w:val="auto"/>
          <w:sz w:val="24"/>
          <w:szCs w:val="24"/>
          <w:lang w:eastAsia="zh-CN"/>
        </w:rPr>
        <w:t>分类</w:t>
      </w:r>
      <w:r>
        <w:rPr>
          <w:rFonts w:hint="eastAsia" w:ascii="仿宋" w:hAnsi="仿宋" w:eastAsia="仿宋" w:cs="仿宋"/>
          <w:b w:val="0"/>
          <w:color w:val="auto"/>
          <w:sz w:val="24"/>
          <w:szCs w:val="24"/>
        </w:rPr>
        <w:t>另行单独放置</w:t>
      </w:r>
      <w:r>
        <w:rPr>
          <w:rFonts w:hint="eastAsia" w:ascii="仿宋" w:hAnsi="仿宋" w:eastAsia="仿宋" w:cs="仿宋"/>
          <w:b w:val="0"/>
          <w:color w:val="auto"/>
          <w:sz w:val="24"/>
          <w:szCs w:val="24"/>
          <w:lang w:eastAsia="zh-CN"/>
        </w:rPr>
        <w:t>，加工完毕全部移交采编部】</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3.2.7工作地点和时间：中标方进入采购人指定场地现场加工图书。中标方人员在采购方指定场地工作，应遵守采购方的相关管理制度，若有违规问题发生，责任由中标方负责。中标方原则上按采购人工作时间安排工作。在节假日期间，采购人协调相关人员尽量保证供方在指定场地的正常工作。</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3.2.8人员培训：供应商应具备自编编目数据的能力（附编目证书），负责提供到馆图书加工的服务。招标人将对中标供应商的到馆加工能力进行考核，不能满足要求的将不得到馆加工，相关中标供应商可自行委托符合要求的供应商代为加工，并提供委托合同原件。</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向中标方提供编目业务培训，合同期内为供方免费培训一名编目工作人员，内容包括：嵊州市图书馆CNMARC的必备字段、索书号使用方法、INTERLIB集成管理系统操作及其他工作规范（文献著录及MARC格式等不在培训之列）。中标方工作人员需经过采购方业务考试后方可上岗工作，中标方应保证工作人员相对固定，无特殊原因不任意变动。如有人员变动，必须提前两个月告知采购方，中标方新进工作人员由采购人项目负责人负责培训，并须通过采购人业务考试方可从事本项目中文图书分编工作。</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3.2.9图书和书目数据安全：中标方应确保编目图书和书目数据安全。合作期间，因中标方原因造成编目图书损坏或遗失情况，采购人有权向中标方提出索赔。合作期间编制的书目数据，中标方不得以任何名义向外泄露。</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3.2.10编目人员资格：中标单位须有国图编目培训合格证人员至少2名，并作为招标方相应后续服务人员，未经招标人同意不得更换。</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3.2.11对现货20天、期货60天经反复采购还未能采购成功的图书，列出清单，说明原因并向采购人反馈。订购时间超过三个月，经反复采购仍未到货的，由采购人根据实际情况再确定是否改换供应商或继续征订。</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3.2.12由于图书采购的需要中标方须安排现场采购图书，每年提供采购人至少两名工作人员参加全国性大型书市现场采购，并提供相关工作方便，免费提供采集器（RF枪）供采购人使用，相关费用由中标人支付。</w:t>
      </w:r>
    </w:p>
    <w:p>
      <w:pPr>
        <w:pStyle w:val="3"/>
        <w:keepLines w:val="0"/>
        <w:pageBreakBefore w:val="0"/>
        <w:widowControl w:val="0"/>
        <w:tabs>
          <w:tab w:val="left" w:pos="480"/>
          <w:tab w:val="clear" w:pos="432"/>
        </w:tabs>
        <w:kinsoku/>
        <w:wordWrap/>
        <w:overflowPunct/>
        <w:topLinePunct w:val="0"/>
        <w:autoSpaceDE/>
        <w:autoSpaceDN/>
        <w:bidi w:val="0"/>
        <w:adjustRightInd/>
        <w:spacing w:before="0" w:after="0" w:line="360" w:lineRule="auto"/>
        <w:ind w:left="0" w:leftChars="0" w:firstLine="480"/>
        <w:jc w:val="both"/>
        <w:textAlignment w:val="auto"/>
        <w:rPr>
          <w:rFonts w:hint="eastAsia" w:ascii="仿宋" w:hAnsi="仿宋" w:eastAsia="仿宋" w:cs="仿宋"/>
          <w:b w:val="0"/>
          <w:color w:val="auto"/>
          <w:sz w:val="24"/>
          <w:szCs w:val="24"/>
        </w:rPr>
      </w:pPr>
      <w:r>
        <w:rPr>
          <w:rFonts w:hint="eastAsia" w:ascii="仿宋" w:hAnsi="仿宋" w:eastAsia="仿宋" w:cs="仿宋"/>
          <w:b w:val="0"/>
          <w:bCs/>
          <w:color w:val="auto"/>
          <w:sz w:val="24"/>
          <w:szCs w:val="24"/>
        </w:rPr>
        <w:t>3.2.13</w:t>
      </w:r>
      <w:r>
        <w:rPr>
          <w:rFonts w:hint="eastAsia" w:ascii="仿宋" w:hAnsi="仿宋" w:eastAsia="仿宋" w:cs="仿宋"/>
          <w:b w:val="0"/>
          <w:color w:val="auto"/>
          <w:sz w:val="24"/>
          <w:szCs w:val="24"/>
        </w:rPr>
        <w:t xml:space="preserve"> 配合招标人开展阅读推广活动3—5次。相关</w:t>
      </w:r>
      <w:r>
        <w:rPr>
          <w:rFonts w:hint="eastAsia" w:ascii="仿宋" w:hAnsi="仿宋" w:eastAsia="仿宋" w:cs="仿宋"/>
          <w:b w:val="0"/>
          <w:color w:val="auto"/>
          <w:sz w:val="24"/>
          <w:szCs w:val="24"/>
          <w:lang w:eastAsia="zh-CN"/>
        </w:rPr>
        <w:t>费用</w:t>
      </w:r>
      <w:r>
        <w:rPr>
          <w:rFonts w:hint="eastAsia" w:ascii="仿宋" w:hAnsi="仿宋" w:eastAsia="仿宋" w:cs="仿宋"/>
          <w:b w:val="0"/>
          <w:color w:val="auto"/>
          <w:sz w:val="24"/>
          <w:szCs w:val="24"/>
        </w:rPr>
        <w:t>由</w:t>
      </w:r>
      <w:r>
        <w:rPr>
          <w:rFonts w:hint="eastAsia" w:ascii="仿宋" w:hAnsi="仿宋" w:eastAsia="仿宋" w:cs="仿宋"/>
          <w:b w:val="0"/>
          <w:color w:val="auto"/>
          <w:sz w:val="24"/>
          <w:szCs w:val="24"/>
          <w:lang w:eastAsia="zh-CN"/>
        </w:rPr>
        <w:t>中标</w:t>
      </w:r>
      <w:r>
        <w:rPr>
          <w:rFonts w:hint="eastAsia" w:ascii="仿宋" w:hAnsi="仿宋" w:eastAsia="仿宋" w:cs="仿宋"/>
          <w:b w:val="0"/>
          <w:color w:val="auto"/>
          <w:sz w:val="24"/>
          <w:szCs w:val="24"/>
        </w:rPr>
        <w:t>供应商承担。</w:t>
      </w:r>
    </w:p>
    <w:p>
      <w:pPr>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w:t>
      </w:r>
      <w:r>
        <w:rPr>
          <w:rFonts w:hint="eastAsia" w:ascii="仿宋" w:hAnsi="仿宋" w:eastAsia="仿宋" w:cs="仿宋"/>
          <w:color w:val="auto"/>
          <w:sz w:val="24"/>
          <w:szCs w:val="24"/>
        </w:rPr>
        <w:t>3.2.14本次采购图书将送达市内各个不同地点上架，请投标方充分考虑后期服务成本。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四、考核要求</w:t>
      </w:r>
    </w:p>
    <w:p>
      <w:pPr>
        <w:keepNext w:val="0"/>
        <w:keepLines w:val="0"/>
        <w:pageBreakBefore w:val="0"/>
        <w:widowControl w:val="0"/>
        <w:kinsoku/>
        <w:wordWrap/>
        <w:overflowPunct/>
        <w:topLinePunct w:val="0"/>
        <w:autoSpaceDE/>
        <w:autoSpaceDN/>
        <w:bidi w:val="0"/>
        <w:adjustRightInd/>
        <w:snapToGrid/>
        <w:spacing w:line="360" w:lineRule="auto"/>
        <w:ind w:left="0" w:firstLine="470" w:firstLineChars="196"/>
        <w:textAlignment w:val="auto"/>
        <w:rPr>
          <w:rFonts w:hint="eastAsia" w:ascii="仿宋" w:hAnsi="仿宋" w:eastAsia="仿宋" w:cs="仿宋"/>
          <w:color w:val="auto"/>
          <w:sz w:val="24"/>
          <w:szCs w:val="24"/>
          <w:lang w:eastAsia="zh-CN"/>
        </w:rPr>
      </w:pPr>
      <w:r>
        <w:rPr>
          <w:rFonts w:hint="eastAsia" w:ascii="仿宋_GB2312" w:hAnsi="宋体" w:eastAsia="仿宋_GB2312"/>
          <w:color w:val="auto"/>
          <w:sz w:val="24"/>
        </w:rPr>
        <w:t>为保证合同的顺利执行以及合同双方的正当权益，根据招标具体要求，招标人将按照《</w:t>
      </w:r>
      <w:r>
        <w:rPr>
          <w:rFonts w:hint="eastAsia" w:ascii="仿宋_GB2312" w:hAnsi="宋体" w:eastAsia="仿宋_GB2312"/>
          <w:color w:val="auto"/>
          <w:sz w:val="24"/>
          <w:lang w:eastAsia="zh-CN"/>
        </w:rPr>
        <w:t>嵊州市</w:t>
      </w:r>
      <w:r>
        <w:rPr>
          <w:rFonts w:hint="eastAsia" w:ascii="仿宋_GB2312" w:hAnsi="宋体" w:eastAsia="仿宋_GB2312"/>
          <w:color w:val="auto"/>
          <w:sz w:val="24"/>
        </w:rPr>
        <w:t>图书馆馆配书商考核办法》</w:t>
      </w:r>
      <w:r>
        <w:rPr>
          <w:rFonts w:hint="eastAsia" w:ascii="仿宋_GB2312" w:hAnsi="宋体" w:eastAsia="仿宋_GB2312"/>
          <w:color w:val="auto"/>
          <w:sz w:val="24"/>
          <w:lang w:eastAsia="zh-CN"/>
        </w:rPr>
        <w:t>，</w:t>
      </w:r>
      <w:r>
        <w:rPr>
          <w:rFonts w:hint="eastAsia" w:ascii="仿宋" w:hAnsi="仿宋" w:eastAsia="仿宋" w:cs="仿宋"/>
          <w:color w:val="auto"/>
          <w:sz w:val="24"/>
          <w:szCs w:val="24"/>
        </w:rPr>
        <w:t>从</w:t>
      </w:r>
      <w:r>
        <w:rPr>
          <w:rFonts w:hint="eastAsia" w:ascii="仿宋_GB2312" w:hAnsi="宋体" w:eastAsia="仿宋_GB2312" w:cs="仿宋"/>
          <w:color w:val="auto"/>
          <w:sz w:val="24"/>
        </w:rPr>
        <w:t>承诺服务、荐购服</w:t>
      </w:r>
      <w:r>
        <w:rPr>
          <w:rFonts w:hint="eastAsia" w:ascii="仿宋_GB2312" w:hAnsi="宋体" w:eastAsia="仿宋_GB2312" w:cs="仿宋"/>
          <w:color w:val="auto"/>
          <w:sz w:val="24"/>
          <w:lang w:eastAsia="zh-CN"/>
        </w:rPr>
        <w:t>务</w:t>
      </w:r>
      <w:r>
        <w:rPr>
          <w:rFonts w:hint="eastAsia" w:ascii="仿宋_GB2312" w:hAnsi="宋体" w:eastAsia="仿宋_GB2312" w:cs="仿宋"/>
          <w:color w:val="auto"/>
          <w:sz w:val="24"/>
        </w:rPr>
        <w:t>、加工服务、编目服务</w:t>
      </w:r>
      <w:r>
        <w:rPr>
          <w:rFonts w:hint="eastAsia" w:ascii="仿宋" w:hAnsi="仿宋" w:eastAsia="仿宋" w:cs="仿宋"/>
          <w:color w:val="auto"/>
          <w:sz w:val="24"/>
          <w:szCs w:val="24"/>
        </w:rPr>
        <w:t>四个方面23个小项进行考核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本考核由采编部于年终统一组织</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ascii="仿宋" w:hAnsi="仿宋" w:eastAsia="仿宋" w:cs="仿宋"/>
          <w:b/>
          <w:bCs/>
          <w:color w:val="auto"/>
          <w:sz w:val="24"/>
          <w:szCs w:val="24"/>
        </w:rPr>
        <w:t>附：嵊州市图书馆馆配书商考核办法</w:t>
      </w:r>
    </w:p>
    <w:p>
      <w:pPr>
        <w:keepNext w:val="0"/>
        <w:keepLines w:val="0"/>
        <w:pageBreakBefore w:val="0"/>
        <w:widowControl w:val="0"/>
        <w:kinsoku/>
        <w:wordWrap/>
        <w:overflowPunct/>
        <w:topLinePunct w:val="0"/>
        <w:autoSpaceDE/>
        <w:autoSpaceDN/>
        <w:bidi w:val="0"/>
        <w:adjustRightInd/>
        <w:snapToGrid/>
        <w:spacing w:line="360" w:lineRule="auto"/>
        <w:ind w:left="0" w:firstLine="482"/>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嵊州市</w:t>
      </w:r>
      <w:r>
        <w:rPr>
          <w:rFonts w:hint="eastAsia" w:ascii="仿宋" w:hAnsi="仿宋" w:eastAsia="仿宋" w:cs="仿宋"/>
          <w:b/>
          <w:color w:val="auto"/>
          <w:sz w:val="24"/>
          <w:szCs w:val="24"/>
        </w:rPr>
        <w:t>图书馆</w:t>
      </w:r>
      <w:r>
        <w:rPr>
          <w:rFonts w:hint="eastAsia" w:ascii="仿宋" w:hAnsi="仿宋" w:eastAsia="仿宋" w:cs="仿宋"/>
          <w:b/>
          <w:bCs/>
          <w:color w:val="auto"/>
          <w:sz w:val="24"/>
          <w:szCs w:val="24"/>
        </w:rPr>
        <w:t>馆配书商考核办法</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为保证合同的顺利执行以及合同双方的正当权益，根据招标要求制定本考核细则，</w:t>
      </w:r>
      <w:r>
        <w:rPr>
          <w:rFonts w:hint="eastAsia" w:ascii="仿宋" w:hAnsi="仿宋" w:eastAsia="仿宋" w:cs="仿宋"/>
          <w:bCs/>
          <w:color w:val="auto"/>
          <w:sz w:val="24"/>
          <w:szCs w:val="24"/>
        </w:rPr>
        <w:t>嵊州市</w:t>
      </w:r>
      <w:r>
        <w:rPr>
          <w:rFonts w:hint="eastAsia" w:ascii="仿宋" w:hAnsi="仿宋" w:eastAsia="仿宋" w:cs="仿宋"/>
          <w:color w:val="auto"/>
          <w:sz w:val="24"/>
          <w:szCs w:val="24"/>
        </w:rPr>
        <w:t>图书馆采编部根据合同金额和完成时间合理分配月工作量，书商须按要求完成。</w:t>
      </w:r>
      <w:r>
        <w:rPr>
          <w:rFonts w:hint="eastAsia" w:ascii="仿宋" w:hAnsi="仿宋" w:eastAsia="仿宋" w:cs="仿宋"/>
          <w:color w:val="auto"/>
          <w:sz w:val="24"/>
          <w:szCs w:val="24"/>
          <w:lang w:eastAsia="zh-CN"/>
        </w:rPr>
        <w:t>考核分为</w:t>
      </w:r>
      <w:r>
        <w:rPr>
          <w:rFonts w:hint="eastAsia" w:ascii="仿宋" w:hAnsi="仿宋" w:eastAsia="仿宋" w:cs="仿宋"/>
          <w:color w:val="auto"/>
          <w:sz w:val="24"/>
          <w:szCs w:val="24"/>
        </w:rPr>
        <w:t>承诺服务、加工服务、编目服务、荐购服务四个方面</w:t>
      </w:r>
      <w:r>
        <w:rPr>
          <w:rFonts w:hint="eastAsia" w:ascii="仿宋" w:hAnsi="仿宋" w:eastAsia="仿宋" w:cs="仿宋"/>
          <w:color w:val="auto"/>
          <w:sz w:val="24"/>
          <w:szCs w:val="24"/>
          <w:lang w:eastAsia="zh-CN"/>
        </w:rPr>
        <w:t>。</w:t>
      </w:r>
      <w:r>
        <w:rPr>
          <w:rFonts w:hint="eastAsia" w:ascii="仿宋_GB2312" w:hAnsi="宋体" w:eastAsia="仿宋_GB2312" w:cs="仿宋"/>
          <w:color w:val="auto"/>
          <w:sz w:val="24"/>
        </w:rPr>
        <w:t>以100分制为标准，90（含90）分以上为合格，90分以下为不合格。按季度考核，连续两个季度考核不合格的，招标人有权终止合同，考核结果将作为</w:t>
      </w:r>
      <w:r>
        <w:rPr>
          <w:rFonts w:hint="eastAsia" w:ascii="仿宋_GB2312" w:hAnsi="宋体" w:eastAsia="仿宋_GB2312" w:cs="仿宋"/>
          <w:color w:val="auto"/>
          <w:sz w:val="24"/>
          <w:lang w:eastAsia="zh-CN"/>
        </w:rPr>
        <w:t>采购方</w:t>
      </w:r>
      <w:r>
        <w:rPr>
          <w:rFonts w:hint="eastAsia" w:ascii="仿宋_GB2312" w:hAnsi="宋体" w:eastAsia="仿宋_GB2312" w:cs="仿宋"/>
          <w:color w:val="auto"/>
          <w:sz w:val="24"/>
        </w:rPr>
        <w:t>今后招标的重要依据</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p>
      <w:pPr>
        <w:spacing w:line="400" w:lineRule="exact"/>
        <w:ind w:firstLine="480" w:firstLineChars="200"/>
        <w:rPr>
          <w:rFonts w:hint="eastAsia" w:ascii="仿宋_GB2312" w:hAnsi="宋体" w:eastAsia="仿宋_GB2312" w:cs="仿宋"/>
          <w:color w:val="auto"/>
          <w:sz w:val="24"/>
        </w:rPr>
      </w:pPr>
      <w:r>
        <w:rPr>
          <w:rFonts w:hint="eastAsia" w:ascii="仿宋_GB2312" w:hAnsi="宋体" w:eastAsia="仿宋_GB2312" w:cs="仿宋"/>
          <w:color w:val="auto"/>
          <w:sz w:val="24"/>
        </w:rPr>
        <w:t>本考核由采购人组织考核。</w:t>
      </w:r>
    </w:p>
    <w:p>
      <w:pPr>
        <w:rPr>
          <w:rFonts w:hint="eastAsia" w:ascii="仿宋_GB2312" w:hAnsi="宋体" w:eastAsia="仿宋_GB2312" w:cs="仿宋"/>
          <w:color w:val="auto"/>
          <w:sz w:val="24"/>
        </w:rPr>
      </w:pPr>
    </w:p>
    <w:p>
      <w:pPr>
        <w:rPr>
          <w:color w:val="auto"/>
        </w:rPr>
      </w:pPr>
    </w:p>
    <w:p>
      <w:pPr>
        <w:spacing w:line="360" w:lineRule="auto"/>
        <w:jc w:val="center"/>
        <w:rPr>
          <w:rFonts w:ascii="仿宋_GB2312" w:hAnsi="宋体" w:eastAsia="仿宋_GB2312" w:cs="仿宋"/>
          <w:b/>
          <w:color w:val="auto"/>
          <w:sz w:val="24"/>
        </w:rPr>
      </w:pPr>
      <w:r>
        <w:rPr>
          <w:rFonts w:hint="eastAsia" w:ascii="仿宋_GB2312" w:hAnsi="宋体" w:eastAsia="仿宋_GB2312" w:cs="仿宋"/>
          <w:b/>
          <w:color w:val="auto"/>
          <w:sz w:val="24"/>
          <w:lang w:eastAsia="zh-CN"/>
        </w:rPr>
        <w:t>嵊州市</w:t>
      </w:r>
      <w:r>
        <w:rPr>
          <w:rFonts w:hint="eastAsia" w:ascii="仿宋_GB2312" w:hAnsi="宋体" w:eastAsia="仿宋_GB2312" w:cs="仿宋"/>
          <w:b/>
          <w:color w:val="auto"/>
          <w:sz w:val="24"/>
        </w:rPr>
        <w:t>图书馆馆配书商月考核表</w:t>
      </w:r>
    </w:p>
    <w:p>
      <w:pPr>
        <w:spacing w:line="360" w:lineRule="auto"/>
        <w:rPr>
          <w:rFonts w:ascii="仿宋_GB2312" w:hAnsi="宋体" w:eastAsia="仿宋_GB2312" w:cs="仿宋"/>
          <w:bCs/>
          <w:color w:val="auto"/>
          <w:sz w:val="24"/>
        </w:rPr>
      </w:pPr>
      <w:r>
        <w:rPr>
          <w:rFonts w:hint="eastAsia" w:ascii="仿宋_GB2312" w:hAnsi="宋体" w:eastAsia="仿宋_GB2312" w:cs="仿宋"/>
          <w:bCs/>
          <w:color w:val="auto"/>
          <w:sz w:val="24"/>
        </w:rPr>
        <w:t>考核对象：                                           202</w:t>
      </w:r>
      <w:r>
        <w:rPr>
          <w:rFonts w:hint="eastAsia" w:ascii="仿宋_GB2312" w:hAnsi="宋体" w:eastAsia="仿宋_GB2312" w:cs="仿宋"/>
          <w:bCs/>
          <w:color w:val="auto"/>
          <w:sz w:val="24"/>
          <w:lang w:val="en-US" w:eastAsia="zh-CN"/>
        </w:rPr>
        <w:t>3</w:t>
      </w:r>
      <w:r>
        <w:rPr>
          <w:rFonts w:hint="eastAsia" w:ascii="仿宋_GB2312" w:hAnsi="宋体" w:eastAsia="仿宋_GB2312" w:cs="仿宋"/>
          <w:bCs/>
          <w:color w:val="auto"/>
          <w:sz w:val="24"/>
        </w:rPr>
        <w:t>年第    季度</w:t>
      </w:r>
    </w:p>
    <w:tbl>
      <w:tblPr>
        <w:tblStyle w:val="64"/>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5"/>
        <w:gridCol w:w="340"/>
        <w:gridCol w:w="2045"/>
        <w:gridCol w:w="724"/>
        <w:gridCol w:w="2272"/>
        <w:gridCol w:w="768"/>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考核</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项目</w:t>
            </w:r>
          </w:p>
        </w:tc>
        <w:tc>
          <w:tcPr>
            <w:tcW w:w="5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序号</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考核指标</w:t>
            </w: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分值</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考核标准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考核结果</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扣分原因须备注说明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承</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诺</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服</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务</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ascii="仿宋_GB2312" w:hAnsi="宋体" w:eastAsia="仿宋_GB2312" w:cs="仿宋"/>
                <w:color w:val="auto"/>
                <w:sz w:val="24"/>
              </w:rPr>
              <w:t>62</w:t>
            </w:r>
            <w:r>
              <w:rPr>
                <w:rFonts w:hint="eastAsia" w:ascii="仿宋_GB2312" w:hAnsi="宋体" w:eastAsia="仿宋_GB2312" w:cs="仿宋"/>
                <w:color w:val="auto"/>
                <w:sz w:val="24"/>
              </w:rPr>
              <w:t>分</w:t>
            </w:r>
          </w:p>
        </w:tc>
        <w:tc>
          <w:tcPr>
            <w:tcW w:w="5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宋体"/>
                <w:bCs/>
                <w:color w:val="auto"/>
                <w:sz w:val="24"/>
              </w:rPr>
            </w:pPr>
            <w:r>
              <w:rPr>
                <w:rFonts w:hint="eastAsia" w:ascii="仿宋_GB2312" w:hAnsi="宋体" w:eastAsia="仿宋_GB2312" w:cs="宋体"/>
                <w:bCs/>
                <w:color w:val="auto"/>
                <w:sz w:val="24"/>
              </w:rPr>
              <w:t>1</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到书率</w:t>
            </w:r>
          </w:p>
        </w:tc>
        <w:tc>
          <w:tcPr>
            <w:tcW w:w="724"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textAlignment w:val="bottom"/>
              <w:rPr>
                <w:rFonts w:ascii="仿宋_GB2312" w:hAnsi="宋体" w:eastAsia="仿宋_GB2312" w:cs="仿宋"/>
                <w:color w:val="auto"/>
                <w:sz w:val="24"/>
              </w:rPr>
            </w:pPr>
            <w:r>
              <w:rPr>
                <w:rFonts w:ascii="Arial" w:hAnsi="Arial" w:cs="Arial"/>
                <w:color w:val="auto"/>
                <w:kern w:val="0"/>
                <w:sz w:val="20"/>
                <w:szCs w:val="20"/>
              </w:rPr>
              <w:t>12</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jc w:val="center"/>
              <w:rPr>
                <w:rFonts w:ascii="仿宋_GB2312" w:hAnsi="宋体" w:eastAsia="仿宋_GB2312" w:cs="仿宋"/>
                <w:color w:val="auto"/>
                <w:sz w:val="24"/>
              </w:rPr>
            </w:pPr>
            <w:r>
              <w:rPr>
                <w:rFonts w:hint="eastAsia" w:ascii="仿宋_GB2312" w:hAnsi="宋体" w:eastAsia="仿宋_GB2312" w:cs="仿宋"/>
                <w:color w:val="auto"/>
                <w:sz w:val="24"/>
              </w:rPr>
              <w:t>未达承诺目标每次扣1分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5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宋体"/>
                <w:bCs/>
                <w:color w:val="auto"/>
                <w:sz w:val="24"/>
              </w:rPr>
            </w:pPr>
            <w:r>
              <w:rPr>
                <w:rFonts w:hint="eastAsia" w:ascii="仿宋_GB2312" w:hAnsi="宋体" w:eastAsia="仿宋_GB2312" w:cs="宋体"/>
                <w:bCs/>
                <w:color w:val="auto"/>
                <w:sz w:val="24"/>
              </w:rPr>
              <w:t>2</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订单处理</w:t>
            </w:r>
          </w:p>
        </w:tc>
        <w:tc>
          <w:tcPr>
            <w:tcW w:w="724"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textAlignment w:val="bottom"/>
              <w:rPr>
                <w:rFonts w:ascii="仿宋_GB2312" w:hAnsi="宋体" w:eastAsia="仿宋_GB2312" w:cs="仿宋"/>
                <w:color w:val="auto"/>
                <w:sz w:val="24"/>
              </w:rPr>
            </w:pPr>
            <w:r>
              <w:rPr>
                <w:rFonts w:ascii="Arial" w:hAnsi="Arial" w:cs="Arial"/>
                <w:color w:val="auto"/>
                <w:kern w:val="0"/>
                <w:sz w:val="20"/>
                <w:szCs w:val="20"/>
              </w:rPr>
              <w:t>5</w:t>
            </w:r>
          </w:p>
        </w:tc>
        <w:tc>
          <w:tcPr>
            <w:tcW w:w="2272"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jc w:val="center"/>
              <w:rPr>
                <w:rFonts w:ascii="仿宋_GB2312" w:hAnsi="宋体" w:eastAsia="仿宋_GB2312" w:cs="仿宋"/>
                <w:color w:val="auto"/>
                <w:sz w:val="24"/>
              </w:rPr>
            </w:pPr>
            <w:r>
              <w:rPr>
                <w:rFonts w:hint="eastAsia" w:ascii="仿宋_GB2312" w:hAnsi="宋体" w:eastAsia="仿宋_GB2312" w:cs="仿宋"/>
                <w:color w:val="auto"/>
                <w:sz w:val="24"/>
              </w:rPr>
              <w:t>未达承诺目标每次扣除0.5分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5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宋体"/>
                <w:bCs/>
                <w:color w:val="auto"/>
                <w:sz w:val="24"/>
              </w:rPr>
            </w:pPr>
            <w:r>
              <w:rPr>
                <w:rFonts w:hint="eastAsia" w:ascii="仿宋_GB2312" w:hAnsi="宋体" w:eastAsia="仿宋_GB2312" w:cs="宋体"/>
                <w:bCs/>
                <w:color w:val="auto"/>
                <w:sz w:val="24"/>
              </w:rPr>
              <w:t>3</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清单发送</w:t>
            </w:r>
          </w:p>
        </w:tc>
        <w:tc>
          <w:tcPr>
            <w:tcW w:w="724"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textAlignment w:val="bottom"/>
              <w:rPr>
                <w:rFonts w:ascii="仿宋_GB2312" w:hAnsi="宋体" w:eastAsia="仿宋_GB2312" w:cs="仿宋"/>
                <w:color w:val="auto"/>
                <w:sz w:val="24"/>
              </w:rPr>
            </w:pPr>
            <w:r>
              <w:rPr>
                <w:rFonts w:ascii="Arial" w:hAnsi="Arial" w:cs="Arial"/>
                <w:color w:val="auto"/>
                <w:kern w:val="0"/>
                <w:sz w:val="20"/>
                <w:szCs w:val="20"/>
              </w:rPr>
              <w:t>4</w:t>
            </w:r>
          </w:p>
        </w:tc>
        <w:tc>
          <w:tcPr>
            <w:tcW w:w="22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仿宋"/>
                <w:color w:val="auto"/>
                <w:sz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5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宋体"/>
                <w:bCs/>
                <w:color w:val="auto"/>
                <w:sz w:val="24"/>
              </w:rPr>
            </w:pPr>
            <w:r>
              <w:rPr>
                <w:rFonts w:hint="eastAsia" w:ascii="仿宋_GB2312" w:hAnsi="宋体" w:eastAsia="仿宋_GB2312" w:cs="宋体"/>
                <w:bCs/>
                <w:color w:val="auto"/>
                <w:sz w:val="24"/>
              </w:rPr>
              <w:t>4</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包装、配送</w:t>
            </w:r>
          </w:p>
        </w:tc>
        <w:tc>
          <w:tcPr>
            <w:tcW w:w="724"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textAlignment w:val="bottom"/>
              <w:rPr>
                <w:rFonts w:ascii="仿宋_GB2312" w:hAnsi="宋体" w:eastAsia="仿宋_GB2312" w:cs="仿宋"/>
                <w:color w:val="auto"/>
                <w:sz w:val="24"/>
              </w:rPr>
            </w:pPr>
            <w:r>
              <w:rPr>
                <w:rFonts w:ascii="Arial" w:hAnsi="Arial" w:cs="Arial"/>
                <w:color w:val="auto"/>
                <w:kern w:val="0"/>
                <w:sz w:val="20"/>
                <w:szCs w:val="20"/>
              </w:rPr>
              <w:t>4</w:t>
            </w:r>
          </w:p>
        </w:tc>
        <w:tc>
          <w:tcPr>
            <w:tcW w:w="22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仿宋"/>
                <w:color w:val="auto"/>
                <w:sz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5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宋体"/>
                <w:bCs/>
                <w:color w:val="auto"/>
                <w:sz w:val="24"/>
              </w:rPr>
            </w:pPr>
            <w:r>
              <w:rPr>
                <w:rFonts w:hint="eastAsia" w:ascii="仿宋_GB2312" w:hAnsi="宋体" w:eastAsia="仿宋_GB2312" w:cs="宋体"/>
                <w:bCs/>
                <w:color w:val="auto"/>
                <w:sz w:val="24"/>
              </w:rPr>
              <w:t>5</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hint="eastAsia" w:ascii="仿宋_GB2312" w:hAnsi="宋体" w:eastAsia="仿宋_GB2312" w:cs="仿宋"/>
                <w:color w:val="auto"/>
                <w:sz w:val="24"/>
                <w:lang w:eastAsia="zh-CN"/>
              </w:rPr>
            </w:pPr>
            <w:r>
              <w:rPr>
                <w:rFonts w:hint="eastAsia" w:ascii="仿宋_GB2312" w:hAnsi="宋体" w:eastAsia="仿宋_GB2312" w:cs="仿宋"/>
                <w:color w:val="auto"/>
                <w:sz w:val="24"/>
              </w:rPr>
              <w:t>图书质量</w:t>
            </w:r>
            <w:r>
              <w:rPr>
                <w:rFonts w:hint="eastAsia" w:ascii="仿宋_GB2312" w:hAnsi="宋体" w:eastAsia="仿宋_GB2312" w:cs="仿宋"/>
                <w:color w:val="auto"/>
                <w:sz w:val="24"/>
                <w:lang w:eastAsia="zh-CN"/>
              </w:rPr>
              <w:t>保证</w:t>
            </w:r>
          </w:p>
        </w:tc>
        <w:tc>
          <w:tcPr>
            <w:tcW w:w="724"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textAlignment w:val="bottom"/>
              <w:rPr>
                <w:rFonts w:ascii="仿宋_GB2312" w:hAnsi="宋体" w:eastAsia="仿宋_GB2312" w:cs="仿宋"/>
                <w:color w:val="auto"/>
                <w:sz w:val="24"/>
              </w:rPr>
            </w:pPr>
            <w:r>
              <w:rPr>
                <w:rFonts w:ascii="Arial" w:hAnsi="Arial" w:cs="Arial"/>
                <w:color w:val="auto"/>
                <w:kern w:val="0"/>
                <w:sz w:val="20"/>
                <w:szCs w:val="20"/>
              </w:rPr>
              <w:t>15</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jc w:val="center"/>
              <w:rPr>
                <w:rFonts w:ascii="仿宋_GB2312" w:hAnsi="宋体" w:eastAsia="仿宋_GB2312" w:cs="仿宋"/>
                <w:color w:val="auto"/>
                <w:sz w:val="24"/>
              </w:rPr>
            </w:pPr>
            <w:r>
              <w:rPr>
                <w:rFonts w:hint="eastAsia" w:ascii="仿宋_GB2312" w:hAnsi="宋体" w:eastAsia="仿宋_GB2312" w:cs="仿宋"/>
                <w:color w:val="auto"/>
                <w:sz w:val="24"/>
              </w:rPr>
              <w:t>未达承诺目标发现一册，0.5分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5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宋体"/>
                <w:bCs/>
                <w:color w:val="auto"/>
                <w:sz w:val="24"/>
              </w:rPr>
            </w:pPr>
            <w:r>
              <w:rPr>
                <w:rFonts w:hint="eastAsia" w:ascii="仿宋_GB2312" w:hAnsi="宋体" w:eastAsia="仿宋_GB2312" w:cs="宋体"/>
                <w:bCs/>
                <w:color w:val="auto"/>
                <w:sz w:val="24"/>
              </w:rPr>
              <w:t>6</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hint="eastAsia" w:ascii="仿宋_GB2312" w:hAnsi="宋体" w:eastAsia="仿宋_GB2312" w:cs="仿宋"/>
                <w:color w:val="auto"/>
                <w:sz w:val="24"/>
                <w:lang w:eastAsia="zh-CN"/>
              </w:rPr>
            </w:pPr>
            <w:r>
              <w:rPr>
                <w:rFonts w:hint="eastAsia" w:ascii="仿宋_GB2312" w:hAnsi="宋体" w:eastAsia="仿宋_GB2312" w:cs="仿宋"/>
                <w:color w:val="auto"/>
                <w:sz w:val="24"/>
              </w:rPr>
              <w:t>图书退换</w:t>
            </w:r>
            <w:r>
              <w:rPr>
                <w:rFonts w:hint="eastAsia" w:ascii="仿宋_GB2312" w:hAnsi="宋体" w:eastAsia="仿宋_GB2312" w:cs="仿宋"/>
                <w:color w:val="auto"/>
                <w:sz w:val="24"/>
                <w:lang w:eastAsia="zh-CN"/>
              </w:rPr>
              <w:t>处理</w:t>
            </w:r>
          </w:p>
        </w:tc>
        <w:tc>
          <w:tcPr>
            <w:tcW w:w="724"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textAlignment w:val="bottom"/>
              <w:rPr>
                <w:rFonts w:ascii="仿宋_GB2312" w:hAnsi="宋体" w:eastAsia="仿宋_GB2312" w:cs="仿宋"/>
                <w:color w:val="auto"/>
                <w:sz w:val="24"/>
              </w:rPr>
            </w:pPr>
            <w:r>
              <w:rPr>
                <w:rFonts w:ascii="Arial" w:hAnsi="Arial" w:cs="Arial"/>
                <w:color w:val="auto"/>
                <w:kern w:val="0"/>
                <w:sz w:val="20"/>
                <w:szCs w:val="20"/>
              </w:rPr>
              <w:t>2</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jc w:val="center"/>
              <w:rPr>
                <w:rFonts w:ascii="仿宋_GB2312" w:hAnsi="宋体" w:eastAsia="仿宋_GB2312" w:cs="仿宋"/>
                <w:color w:val="auto"/>
                <w:sz w:val="24"/>
              </w:rPr>
            </w:pPr>
            <w:r>
              <w:rPr>
                <w:rFonts w:hint="eastAsia" w:ascii="仿宋_GB2312" w:hAnsi="宋体" w:eastAsia="仿宋_GB2312" w:cs="仿宋"/>
                <w:color w:val="auto"/>
                <w:sz w:val="24"/>
              </w:rPr>
              <w:t>未达承诺目标未按承诺要求退还的，0.5分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5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宋体"/>
                <w:bCs/>
                <w:color w:val="auto"/>
                <w:sz w:val="24"/>
              </w:rPr>
            </w:pPr>
            <w:r>
              <w:rPr>
                <w:rFonts w:hint="eastAsia" w:ascii="仿宋_GB2312" w:hAnsi="宋体" w:eastAsia="仿宋_GB2312" w:cs="宋体"/>
                <w:bCs/>
                <w:color w:val="auto"/>
                <w:sz w:val="24"/>
              </w:rPr>
              <w:t>7</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jc w:val="center"/>
              <w:rPr>
                <w:rFonts w:ascii="仿宋_GB2312" w:hAnsi="宋体" w:eastAsia="仿宋_GB2312" w:cs="仿宋"/>
                <w:color w:val="auto"/>
                <w:sz w:val="24"/>
              </w:rPr>
            </w:pPr>
            <w:r>
              <w:rPr>
                <w:rFonts w:hint="eastAsia" w:ascii="仿宋_GB2312" w:hAnsi="宋体" w:eastAsia="仿宋_GB2312" w:cs="宋体"/>
                <w:color w:val="auto"/>
                <w:sz w:val="24"/>
              </w:rPr>
              <w:t>急采、</w:t>
            </w:r>
            <w:r>
              <w:rPr>
                <w:rFonts w:hint="eastAsia" w:ascii="仿宋_GB2312" w:hAnsi="宋体" w:eastAsia="仿宋_GB2312" w:cs="宋体"/>
                <w:color w:val="auto"/>
                <w:sz w:val="24"/>
                <w:lang w:eastAsia="zh-CN"/>
              </w:rPr>
              <w:t>地方文献、</w:t>
            </w:r>
            <w:r>
              <w:rPr>
                <w:rFonts w:hint="eastAsia" w:ascii="仿宋_GB2312" w:hAnsi="宋体" w:eastAsia="仿宋_GB2312" w:cs="宋体"/>
                <w:color w:val="auto"/>
                <w:sz w:val="24"/>
              </w:rPr>
              <w:t>专题采购</w:t>
            </w:r>
          </w:p>
        </w:tc>
        <w:tc>
          <w:tcPr>
            <w:tcW w:w="724"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textAlignment w:val="bottom"/>
              <w:rPr>
                <w:rFonts w:ascii="仿宋_GB2312" w:hAnsi="宋体" w:eastAsia="仿宋_GB2312" w:cs="宋体"/>
                <w:color w:val="auto"/>
                <w:sz w:val="24"/>
              </w:rPr>
            </w:pPr>
            <w:r>
              <w:rPr>
                <w:rFonts w:ascii="Arial" w:hAnsi="Arial" w:cs="Arial"/>
                <w:color w:val="auto"/>
                <w:kern w:val="0"/>
                <w:sz w:val="20"/>
                <w:szCs w:val="20"/>
              </w:rPr>
              <w:t>6</w:t>
            </w:r>
          </w:p>
        </w:tc>
        <w:tc>
          <w:tcPr>
            <w:tcW w:w="2272"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jc w:val="center"/>
              <w:rPr>
                <w:rFonts w:ascii="仿宋_GB2312" w:hAnsi="宋体" w:eastAsia="仿宋_GB2312" w:cs="仿宋"/>
                <w:color w:val="auto"/>
                <w:sz w:val="24"/>
              </w:rPr>
            </w:pPr>
            <w:r>
              <w:rPr>
                <w:rFonts w:hint="eastAsia" w:ascii="仿宋_GB2312" w:hAnsi="宋体" w:eastAsia="仿宋_GB2312" w:cs="宋体"/>
                <w:color w:val="auto"/>
                <w:sz w:val="24"/>
              </w:rPr>
              <w:t>未达承诺目标</w:t>
            </w:r>
            <w:r>
              <w:rPr>
                <w:rFonts w:hint="eastAsia" w:ascii="仿宋_GB2312" w:hAnsi="宋体" w:eastAsia="仿宋_GB2312" w:cs="仿宋"/>
                <w:color w:val="auto"/>
                <w:sz w:val="24"/>
              </w:rPr>
              <w:t>每次扣除1分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5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宋体"/>
                <w:bCs/>
                <w:color w:val="auto"/>
                <w:sz w:val="24"/>
              </w:rPr>
            </w:pPr>
            <w:r>
              <w:rPr>
                <w:rFonts w:hint="eastAsia" w:ascii="仿宋_GB2312" w:hAnsi="宋体" w:eastAsia="仿宋_GB2312" w:cs="宋体"/>
                <w:bCs/>
                <w:color w:val="auto"/>
                <w:sz w:val="24"/>
              </w:rPr>
              <w:t>8</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采访书目组织</w:t>
            </w:r>
          </w:p>
        </w:tc>
        <w:tc>
          <w:tcPr>
            <w:tcW w:w="724"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textAlignment w:val="bottom"/>
              <w:rPr>
                <w:rFonts w:ascii="仿宋_GB2312" w:hAnsi="宋体" w:eastAsia="仿宋_GB2312" w:cs="仿宋"/>
                <w:color w:val="auto"/>
                <w:sz w:val="24"/>
              </w:rPr>
            </w:pPr>
            <w:r>
              <w:rPr>
                <w:rFonts w:ascii="Arial" w:hAnsi="Arial" w:cs="Arial"/>
                <w:color w:val="auto"/>
                <w:kern w:val="0"/>
                <w:sz w:val="20"/>
                <w:szCs w:val="20"/>
              </w:rPr>
              <w:t>10</w:t>
            </w:r>
          </w:p>
        </w:tc>
        <w:tc>
          <w:tcPr>
            <w:tcW w:w="22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仿宋"/>
                <w:color w:val="auto"/>
                <w:sz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5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宋体"/>
                <w:bCs/>
                <w:color w:val="auto"/>
                <w:sz w:val="24"/>
              </w:rPr>
            </w:pPr>
            <w:r>
              <w:rPr>
                <w:rFonts w:hint="eastAsia" w:ascii="仿宋_GB2312" w:hAnsi="宋体" w:eastAsia="仿宋_GB2312" w:cs="宋体"/>
                <w:bCs/>
                <w:color w:val="auto"/>
                <w:sz w:val="24"/>
              </w:rPr>
              <w:t>9</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lang w:eastAsia="zh-CN"/>
              </w:rPr>
              <w:t>上架及</w:t>
            </w:r>
            <w:r>
              <w:rPr>
                <w:rFonts w:hint="eastAsia" w:ascii="仿宋_GB2312" w:hAnsi="宋体" w:eastAsia="仿宋_GB2312" w:cs="仿宋"/>
                <w:color w:val="auto"/>
                <w:sz w:val="24"/>
              </w:rPr>
              <w:t>其他服务承诺</w:t>
            </w:r>
          </w:p>
        </w:tc>
        <w:tc>
          <w:tcPr>
            <w:tcW w:w="724"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textAlignment w:val="bottom"/>
              <w:rPr>
                <w:rFonts w:ascii="仿宋_GB2312" w:hAnsi="宋体" w:eastAsia="仿宋_GB2312" w:cs="仿宋"/>
                <w:color w:val="auto"/>
                <w:sz w:val="24"/>
              </w:rPr>
            </w:pPr>
            <w:r>
              <w:rPr>
                <w:rFonts w:ascii="Arial" w:hAnsi="Arial" w:cs="Arial"/>
                <w:color w:val="auto"/>
                <w:kern w:val="0"/>
                <w:sz w:val="20"/>
                <w:szCs w:val="20"/>
              </w:rPr>
              <w:t>4</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未兑现每项扣除0.5分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rPr>
                <w:rFonts w:ascii="仿宋_GB2312" w:hAnsi="宋体" w:eastAsia="仿宋_GB2312" w:cs="仿宋"/>
                <w:color w:val="auto"/>
                <w:sz w:val="24"/>
              </w:rPr>
            </w:pPr>
            <w:r>
              <w:rPr>
                <w:rFonts w:hint="eastAsia" w:ascii="仿宋_GB2312" w:hAnsi="宋体" w:eastAsia="仿宋_GB2312" w:cs="仿宋"/>
                <w:color w:val="auto"/>
                <w:sz w:val="24"/>
              </w:rPr>
              <w:t>荐购</w:t>
            </w:r>
          </w:p>
          <w:p>
            <w:pPr>
              <w:tabs>
                <w:tab w:val="left" w:pos="454"/>
                <w:tab w:val="left" w:pos="840"/>
              </w:tabs>
              <w:spacing w:line="360" w:lineRule="exact"/>
              <w:ind w:left="425" w:hanging="425"/>
              <w:rPr>
                <w:rFonts w:ascii="仿宋_GB2312" w:hAnsi="宋体" w:eastAsia="仿宋_GB2312" w:cs="仿宋"/>
                <w:color w:val="auto"/>
                <w:sz w:val="24"/>
              </w:rPr>
            </w:pPr>
            <w:r>
              <w:rPr>
                <w:rFonts w:hint="eastAsia" w:ascii="仿宋_GB2312" w:hAnsi="宋体" w:eastAsia="仿宋_GB2312" w:cs="仿宋"/>
                <w:color w:val="auto"/>
                <w:sz w:val="24"/>
              </w:rPr>
              <w:t>服务</w:t>
            </w:r>
          </w:p>
          <w:p>
            <w:pPr>
              <w:tabs>
                <w:tab w:val="left" w:pos="454"/>
                <w:tab w:val="left" w:pos="840"/>
              </w:tabs>
              <w:spacing w:line="360" w:lineRule="exact"/>
              <w:ind w:left="425" w:hanging="425"/>
              <w:rPr>
                <w:rFonts w:ascii="仿宋_GB2312" w:hAnsi="宋体" w:eastAsia="仿宋_GB2312" w:cs="仿宋"/>
                <w:color w:val="auto"/>
                <w:sz w:val="24"/>
              </w:rPr>
            </w:pPr>
            <w:r>
              <w:rPr>
                <w:rFonts w:ascii="仿宋_GB2312" w:hAnsi="宋体" w:eastAsia="仿宋_GB2312" w:cs="仿宋"/>
                <w:color w:val="auto"/>
                <w:sz w:val="24"/>
              </w:rPr>
              <w:t>3</w:t>
            </w:r>
            <w:r>
              <w:rPr>
                <w:rFonts w:hint="eastAsia" w:ascii="仿宋_GB2312" w:hAnsi="宋体" w:eastAsia="仿宋_GB2312" w:cs="仿宋"/>
                <w:color w:val="auto"/>
                <w:sz w:val="24"/>
              </w:rPr>
              <w:t>8分</w:t>
            </w:r>
          </w:p>
        </w:tc>
        <w:tc>
          <w:tcPr>
            <w:tcW w:w="5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1</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读者投诉</w:t>
            </w:r>
          </w:p>
        </w:tc>
        <w:tc>
          <w:tcPr>
            <w:tcW w:w="724"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textAlignment w:val="bottom"/>
              <w:rPr>
                <w:rFonts w:ascii="仿宋_GB2312" w:hAnsi="宋体" w:eastAsia="仿宋_GB2312" w:cs="仿宋"/>
                <w:color w:val="auto"/>
                <w:sz w:val="24"/>
              </w:rPr>
            </w:pPr>
            <w:r>
              <w:rPr>
                <w:rFonts w:ascii="Arial" w:hAnsi="Arial" w:cs="Arial"/>
                <w:color w:val="auto"/>
                <w:kern w:val="0"/>
                <w:sz w:val="20"/>
                <w:szCs w:val="20"/>
              </w:rPr>
              <w:t>13</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工作过错引起读者投诉每次扣除2分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5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2</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账目错误</w:t>
            </w:r>
          </w:p>
        </w:tc>
        <w:tc>
          <w:tcPr>
            <w:tcW w:w="724"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textAlignment w:val="bottom"/>
              <w:rPr>
                <w:rFonts w:ascii="仿宋_GB2312" w:hAnsi="宋体" w:eastAsia="仿宋_GB2312" w:cs="仿宋"/>
                <w:color w:val="auto"/>
                <w:sz w:val="24"/>
              </w:rPr>
            </w:pPr>
            <w:r>
              <w:rPr>
                <w:rFonts w:ascii="Arial" w:hAnsi="Arial" w:cs="Arial"/>
                <w:color w:val="auto"/>
                <w:kern w:val="0"/>
                <w:sz w:val="20"/>
                <w:szCs w:val="20"/>
              </w:rPr>
              <w:t>13</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每次扣除3分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5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3</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未遵守荐购规则</w:t>
            </w:r>
          </w:p>
        </w:tc>
        <w:tc>
          <w:tcPr>
            <w:tcW w:w="724"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textAlignment w:val="bottom"/>
              <w:rPr>
                <w:rFonts w:ascii="仿宋_GB2312" w:hAnsi="宋体" w:eastAsia="仿宋_GB2312" w:cs="仿宋"/>
                <w:color w:val="auto"/>
                <w:sz w:val="24"/>
              </w:rPr>
            </w:pPr>
            <w:r>
              <w:rPr>
                <w:rFonts w:ascii="Arial" w:hAnsi="Arial" w:cs="Arial"/>
                <w:color w:val="auto"/>
                <w:kern w:val="0"/>
                <w:sz w:val="20"/>
                <w:szCs w:val="20"/>
              </w:rPr>
              <w:t>12</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每次扣除1分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28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合计</w:t>
            </w:r>
          </w:p>
        </w:tc>
        <w:tc>
          <w:tcPr>
            <w:tcW w:w="538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664" w:leftChars="316" w:firstLine="1195" w:firstLineChars="498"/>
              <w:rPr>
                <w:rFonts w:ascii="仿宋_GB2312" w:hAnsi="宋体" w:eastAsia="仿宋_GB2312" w:cs="仿宋"/>
                <w:color w:val="auto"/>
                <w:sz w:val="24"/>
              </w:rPr>
            </w:pPr>
            <w:r>
              <w:rPr>
                <w:rFonts w:hint="eastAsia" w:ascii="仿宋_GB2312" w:hAnsi="宋体" w:eastAsia="仿宋_GB2312" w:cs="仿宋"/>
                <w:color w:val="auto"/>
                <w:sz w:val="24"/>
              </w:rPr>
              <w:t>100</w:t>
            </w:r>
          </w:p>
        </w:tc>
        <w:tc>
          <w:tcPr>
            <w:tcW w:w="768"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7"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说明：若某项扣分较多，至该项扣完为止，不涉及其他项。</w:t>
            </w:r>
          </w:p>
        </w:tc>
      </w:tr>
    </w:tbl>
    <w:p>
      <w:pPr>
        <w:spacing w:line="360" w:lineRule="auto"/>
        <w:rPr>
          <w:rFonts w:hint="eastAsia" w:ascii="仿宋_GB2312" w:hAnsi="宋体" w:eastAsia="仿宋_GB2312" w:cs="Arial"/>
          <w:b/>
          <w:color w:val="auto"/>
          <w:sz w:val="24"/>
        </w:rPr>
      </w:pPr>
    </w:p>
    <w:p>
      <w:pPr>
        <w:spacing w:line="360" w:lineRule="auto"/>
        <w:rPr>
          <w:rFonts w:ascii="仿宋_GB2312" w:hAnsi="宋体" w:eastAsia="仿宋_GB2312" w:cs="Arial"/>
          <w:b/>
          <w:color w:val="auto"/>
          <w:sz w:val="24"/>
        </w:rPr>
      </w:pPr>
      <w:r>
        <w:rPr>
          <w:rFonts w:hint="eastAsia" w:ascii="仿宋_GB2312" w:hAnsi="宋体" w:eastAsia="仿宋_GB2312" w:cs="Arial"/>
          <w:b/>
          <w:color w:val="auto"/>
          <w:sz w:val="24"/>
        </w:rPr>
        <w:t xml:space="preserve">考核人员签名：                                   书商代表签名： </w:t>
      </w:r>
    </w:p>
    <w:p>
      <w:pPr>
        <w:spacing w:line="360" w:lineRule="auto"/>
        <w:jc w:val="right"/>
        <w:rPr>
          <w:rFonts w:ascii="仿宋_GB2312" w:hAnsi="宋体" w:eastAsia="仿宋_GB2312" w:cs="仿宋"/>
          <w:b/>
          <w:color w:val="auto"/>
          <w:sz w:val="24"/>
        </w:rPr>
      </w:pPr>
      <w:r>
        <w:rPr>
          <w:rFonts w:hint="eastAsia" w:ascii="仿宋_GB2312" w:hAnsi="宋体" w:eastAsia="仿宋_GB2312" w:cs="Arial"/>
          <w:b/>
          <w:color w:val="auto"/>
          <w:sz w:val="24"/>
        </w:rPr>
        <w:t xml:space="preserve">                                           年    月   日</w:t>
      </w:r>
    </w:p>
    <w:p>
      <w:pPr>
        <w:spacing w:line="360" w:lineRule="auto"/>
        <w:rPr>
          <w:rFonts w:ascii="Calibri" w:hAnsi="Calibri" w:eastAsia="仿宋_GB2312" w:cs="仿宋"/>
          <w:b/>
          <w:color w:val="auto"/>
          <w:sz w:val="24"/>
        </w:rPr>
      </w:pPr>
    </w:p>
    <w:p>
      <w:pPr>
        <w:spacing w:line="360" w:lineRule="auto"/>
        <w:rPr>
          <w:rFonts w:ascii="仿宋_GB2312" w:hAnsi="宋体" w:eastAsia="仿宋_GB2312" w:cs="仿宋"/>
          <w:b/>
          <w:color w:val="auto"/>
          <w:sz w:val="24"/>
        </w:rPr>
      </w:pPr>
    </w:p>
    <w:p>
      <w:pPr>
        <w:spacing w:line="360" w:lineRule="auto"/>
        <w:ind w:firstLine="2168" w:firstLineChars="900"/>
        <w:rPr>
          <w:rFonts w:hint="eastAsia" w:ascii="仿宋_GB2312" w:hAnsi="宋体" w:eastAsia="仿宋_GB2312" w:cs="仿宋"/>
          <w:b/>
          <w:color w:val="auto"/>
          <w:sz w:val="24"/>
          <w:lang w:eastAsia="zh-CN"/>
        </w:rPr>
      </w:pPr>
    </w:p>
    <w:p>
      <w:pPr>
        <w:spacing w:line="360" w:lineRule="auto"/>
        <w:rPr>
          <w:rFonts w:hint="eastAsia" w:ascii="仿宋_GB2312" w:hAnsi="宋体" w:eastAsia="仿宋_GB2312" w:cs="仿宋"/>
          <w:b/>
          <w:color w:val="auto"/>
          <w:sz w:val="24"/>
          <w:lang w:eastAsia="zh-CN"/>
        </w:rPr>
      </w:pPr>
    </w:p>
    <w:p>
      <w:pPr>
        <w:spacing w:line="360" w:lineRule="auto"/>
        <w:ind w:firstLine="2168" w:firstLineChars="900"/>
        <w:rPr>
          <w:rFonts w:ascii="仿宋_GB2312" w:hAnsi="宋体" w:eastAsia="仿宋_GB2312" w:cs="仿宋"/>
          <w:b/>
          <w:color w:val="auto"/>
          <w:sz w:val="24"/>
        </w:rPr>
      </w:pPr>
      <w:r>
        <w:rPr>
          <w:rFonts w:hint="eastAsia" w:ascii="仿宋_GB2312" w:hAnsi="宋体" w:eastAsia="仿宋_GB2312" w:cs="仿宋"/>
          <w:b/>
          <w:color w:val="auto"/>
          <w:sz w:val="24"/>
          <w:lang w:eastAsia="zh-CN"/>
        </w:rPr>
        <w:t>嵊州市</w:t>
      </w:r>
      <w:r>
        <w:rPr>
          <w:rFonts w:hint="eastAsia" w:ascii="仿宋_GB2312" w:hAnsi="宋体" w:eastAsia="仿宋_GB2312" w:cs="仿宋"/>
          <w:b/>
          <w:color w:val="auto"/>
          <w:sz w:val="24"/>
        </w:rPr>
        <w:t>图书馆馆配书商加工服务月考核表</w:t>
      </w:r>
    </w:p>
    <w:p>
      <w:pPr>
        <w:spacing w:line="360" w:lineRule="auto"/>
        <w:ind w:firstLine="723" w:firstLineChars="300"/>
        <w:jc w:val="left"/>
        <w:rPr>
          <w:rFonts w:ascii="仿宋_GB2312" w:hAnsi="宋体" w:eastAsia="仿宋_GB2312" w:cs="仿宋"/>
          <w:b/>
          <w:color w:val="auto"/>
          <w:sz w:val="24"/>
        </w:rPr>
      </w:pPr>
    </w:p>
    <w:p>
      <w:pPr>
        <w:spacing w:line="360" w:lineRule="auto"/>
        <w:jc w:val="left"/>
        <w:rPr>
          <w:rFonts w:ascii="仿宋_GB2312" w:hAnsi="宋体" w:eastAsia="仿宋_GB2312" w:cs="仿宋"/>
          <w:bCs/>
          <w:color w:val="auto"/>
          <w:sz w:val="24"/>
        </w:rPr>
      </w:pPr>
      <w:r>
        <w:rPr>
          <w:rFonts w:hint="eastAsia" w:ascii="仿宋_GB2312" w:hAnsi="宋体" w:eastAsia="仿宋_GB2312" w:cs="仿宋"/>
          <w:bCs/>
          <w:color w:val="auto"/>
          <w:sz w:val="24"/>
        </w:rPr>
        <w:t>考核对象：                                          202</w:t>
      </w:r>
      <w:r>
        <w:rPr>
          <w:rFonts w:hint="eastAsia" w:ascii="仿宋_GB2312" w:hAnsi="宋体" w:eastAsia="仿宋_GB2312" w:cs="仿宋"/>
          <w:bCs/>
          <w:color w:val="auto"/>
          <w:sz w:val="24"/>
          <w:lang w:val="en-US" w:eastAsia="zh-CN"/>
        </w:rPr>
        <w:t>3</w:t>
      </w:r>
      <w:r>
        <w:rPr>
          <w:rFonts w:hint="eastAsia" w:ascii="仿宋_GB2312" w:hAnsi="宋体" w:eastAsia="仿宋_GB2312" w:cs="仿宋"/>
          <w:bCs/>
          <w:color w:val="auto"/>
          <w:sz w:val="24"/>
        </w:rPr>
        <w:t xml:space="preserve">年第     季度                     </w:t>
      </w:r>
    </w:p>
    <w:tbl>
      <w:tblPr>
        <w:tblStyle w:val="64"/>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00"/>
        <w:gridCol w:w="1755"/>
        <w:gridCol w:w="490"/>
        <w:gridCol w:w="2582"/>
        <w:gridCol w:w="87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考核</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项目</w:t>
            </w: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序号</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考核指标</w:t>
            </w:r>
          </w:p>
        </w:tc>
        <w:tc>
          <w:tcPr>
            <w:tcW w:w="49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分值</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考核标准</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考核结果</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扣分原因须备注说明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加</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工</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服</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务</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ascii="仿宋_GB2312" w:hAnsi="宋体" w:eastAsia="仿宋_GB2312" w:cs="仿宋"/>
                <w:color w:val="auto"/>
                <w:sz w:val="24"/>
              </w:rPr>
              <w:t>34</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分</w:t>
            </w: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1</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藏书章加盖</w:t>
            </w:r>
          </w:p>
        </w:tc>
        <w:tc>
          <w:tcPr>
            <w:tcW w:w="490" w:type="dxa"/>
            <w:tcBorders>
              <w:top w:val="single" w:color="auto" w:sz="4" w:space="0"/>
              <w:left w:val="single" w:color="auto" w:sz="4" w:space="0"/>
              <w:bottom w:val="single" w:color="auto" w:sz="4" w:space="0"/>
              <w:right w:val="single" w:color="auto" w:sz="4" w:space="0"/>
            </w:tcBorders>
            <w:noWrap w:val="0"/>
            <w:vAlign w:val="bottom"/>
          </w:tcPr>
          <w:p>
            <w:pPr>
              <w:widowControl/>
              <w:jc w:val="right"/>
              <w:textAlignment w:val="bottom"/>
              <w:rPr>
                <w:rFonts w:ascii="仿宋_GB2312" w:hAnsi="宋体" w:eastAsia="仿宋_GB2312" w:cs="仿宋"/>
                <w:color w:val="auto"/>
                <w:sz w:val="24"/>
              </w:rPr>
            </w:pPr>
            <w:r>
              <w:rPr>
                <w:rFonts w:ascii="Arial" w:hAnsi="Arial" w:cs="Arial"/>
                <w:color w:val="auto"/>
                <w:kern w:val="0"/>
                <w:sz w:val="20"/>
                <w:szCs w:val="20"/>
              </w:rPr>
              <w:t>4</w:t>
            </w:r>
          </w:p>
        </w:tc>
        <w:tc>
          <w:tcPr>
            <w:tcW w:w="2582"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抽样错误率超达2％，扣除0.5分，超过3-5％扣除1分，超过6-10％以上扣完。</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2</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书标粘贴</w:t>
            </w:r>
          </w:p>
        </w:tc>
        <w:tc>
          <w:tcPr>
            <w:tcW w:w="490" w:type="dxa"/>
            <w:tcBorders>
              <w:top w:val="single" w:color="auto" w:sz="4" w:space="0"/>
              <w:left w:val="single" w:color="auto" w:sz="4" w:space="0"/>
              <w:bottom w:val="single" w:color="auto" w:sz="4" w:space="0"/>
              <w:right w:val="single" w:color="auto" w:sz="4" w:space="0"/>
            </w:tcBorders>
            <w:noWrap w:val="0"/>
            <w:vAlign w:val="bottom"/>
          </w:tcPr>
          <w:p>
            <w:pPr>
              <w:widowControl/>
              <w:jc w:val="right"/>
              <w:textAlignment w:val="bottom"/>
              <w:rPr>
                <w:rFonts w:ascii="仿宋_GB2312" w:hAnsi="宋体" w:eastAsia="仿宋_GB2312" w:cs="仿宋"/>
                <w:color w:val="auto"/>
                <w:sz w:val="24"/>
              </w:rPr>
            </w:pPr>
            <w:r>
              <w:rPr>
                <w:rFonts w:ascii="Arial" w:hAnsi="Arial" w:cs="Arial"/>
                <w:color w:val="auto"/>
                <w:kern w:val="0"/>
                <w:sz w:val="20"/>
                <w:szCs w:val="20"/>
              </w:rPr>
              <w:t>4</w:t>
            </w:r>
          </w:p>
        </w:tc>
        <w:tc>
          <w:tcPr>
            <w:tcW w:w="2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3</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条形码分配、粘贴</w:t>
            </w:r>
          </w:p>
        </w:tc>
        <w:tc>
          <w:tcPr>
            <w:tcW w:w="490" w:type="dxa"/>
            <w:tcBorders>
              <w:top w:val="single" w:color="auto" w:sz="4" w:space="0"/>
              <w:left w:val="single" w:color="auto" w:sz="4" w:space="0"/>
              <w:bottom w:val="single" w:color="auto" w:sz="4" w:space="0"/>
              <w:right w:val="single" w:color="auto" w:sz="4" w:space="0"/>
            </w:tcBorders>
            <w:noWrap w:val="0"/>
            <w:vAlign w:val="bottom"/>
          </w:tcPr>
          <w:p>
            <w:pPr>
              <w:widowControl/>
              <w:jc w:val="right"/>
              <w:textAlignment w:val="bottom"/>
              <w:rPr>
                <w:rFonts w:ascii="仿宋_GB2312" w:hAnsi="宋体" w:eastAsia="仿宋_GB2312" w:cs="仿宋"/>
                <w:color w:val="auto"/>
                <w:sz w:val="24"/>
              </w:rPr>
            </w:pPr>
            <w:r>
              <w:rPr>
                <w:rFonts w:ascii="Arial" w:hAnsi="Arial" w:cs="Arial"/>
                <w:color w:val="auto"/>
                <w:kern w:val="0"/>
                <w:sz w:val="20"/>
                <w:szCs w:val="20"/>
              </w:rPr>
              <w:t>4</w:t>
            </w:r>
          </w:p>
        </w:tc>
        <w:tc>
          <w:tcPr>
            <w:tcW w:w="2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4</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胶带粘贴</w:t>
            </w:r>
          </w:p>
        </w:tc>
        <w:tc>
          <w:tcPr>
            <w:tcW w:w="490" w:type="dxa"/>
            <w:tcBorders>
              <w:top w:val="single" w:color="auto" w:sz="4" w:space="0"/>
              <w:left w:val="single" w:color="auto" w:sz="4" w:space="0"/>
              <w:bottom w:val="single" w:color="auto" w:sz="4" w:space="0"/>
              <w:right w:val="single" w:color="auto" w:sz="4" w:space="0"/>
            </w:tcBorders>
            <w:noWrap w:val="0"/>
            <w:vAlign w:val="bottom"/>
          </w:tcPr>
          <w:p>
            <w:pPr>
              <w:widowControl/>
              <w:jc w:val="right"/>
              <w:textAlignment w:val="bottom"/>
              <w:rPr>
                <w:rFonts w:ascii="仿宋_GB2312" w:hAnsi="宋体" w:eastAsia="仿宋_GB2312" w:cs="仿宋"/>
                <w:color w:val="auto"/>
                <w:sz w:val="24"/>
              </w:rPr>
            </w:pPr>
            <w:r>
              <w:rPr>
                <w:rFonts w:hint="eastAsia" w:ascii="仿宋_GB2312" w:hAnsi="宋体" w:eastAsia="仿宋_GB2312" w:cs="仿宋"/>
                <w:color w:val="auto"/>
                <w:sz w:val="24"/>
              </w:rPr>
              <w:t>3</w:t>
            </w:r>
          </w:p>
        </w:tc>
        <w:tc>
          <w:tcPr>
            <w:tcW w:w="2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5</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RFID粘贴</w:t>
            </w:r>
          </w:p>
        </w:tc>
        <w:tc>
          <w:tcPr>
            <w:tcW w:w="490" w:type="dxa"/>
            <w:tcBorders>
              <w:top w:val="single" w:color="auto" w:sz="4" w:space="0"/>
              <w:left w:val="single" w:color="auto" w:sz="4" w:space="0"/>
              <w:bottom w:val="single" w:color="auto" w:sz="4" w:space="0"/>
              <w:right w:val="single" w:color="auto" w:sz="4" w:space="0"/>
            </w:tcBorders>
            <w:noWrap w:val="0"/>
            <w:vAlign w:val="bottom"/>
          </w:tcPr>
          <w:p>
            <w:pPr>
              <w:widowControl/>
              <w:jc w:val="right"/>
              <w:textAlignment w:val="bottom"/>
              <w:rPr>
                <w:rFonts w:hint="eastAsia" w:ascii="仿宋_GB2312" w:hAnsi="宋体" w:eastAsia="仿宋_GB2312" w:cs="仿宋"/>
                <w:color w:val="auto"/>
                <w:sz w:val="24"/>
                <w:lang w:eastAsia="zh-CN"/>
              </w:rPr>
            </w:pPr>
            <w:r>
              <w:rPr>
                <w:rFonts w:hint="eastAsia" w:ascii="Arial" w:hAnsi="Arial" w:eastAsia="仿宋_GB2312" w:cs="Arial"/>
                <w:color w:val="auto"/>
                <w:kern w:val="0"/>
                <w:sz w:val="20"/>
                <w:szCs w:val="20"/>
                <w:lang w:val="en-US" w:eastAsia="zh-CN"/>
              </w:rPr>
              <w:t>5</w:t>
            </w:r>
          </w:p>
        </w:tc>
        <w:tc>
          <w:tcPr>
            <w:tcW w:w="2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6</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RFID数据关联</w:t>
            </w:r>
          </w:p>
        </w:tc>
        <w:tc>
          <w:tcPr>
            <w:tcW w:w="490" w:type="dxa"/>
            <w:tcBorders>
              <w:top w:val="single" w:color="auto" w:sz="4" w:space="0"/>
              <w:left w:val="single" w:color="auto" w:sz="4" w:space="0"/>
              <w:bottom w:val="single" w:color="auto" w:sz="4" w:space="0"/>
              <w:right w:val="single" w:color="auto" w:sz="4" w:space="0"/>
            </w:tcBorders>
            <w:noWrap w:val="0"/>
            <w:vAlign w:val="bottom"/>
          </w:tcPr>
          <w:p>
            <w:pPr>
              <w:widowControl/>
              <w:jc w:val="right"/>
              <w:textAlignment w:val="bottom"/>
              <w:rPr>
                <w:rFonts w:hint="eastAsia" w:ascii="仿宋_GB2312" w:hAnsi="宋体" w:eastAsia="仿宋_GB2312" w:cs="仿宋"/>
                <w:color w:val="auto"/>
                <w:sz w:val="24"/>
                <w:lang w:eastAsia="zh-CN"/>
              </w:rPr>
            </w:pPr>
            <w:r>
              <w:rPr>
                <w:rFonts w:hint="eastAsia" w:ascii="Arial" w:hAnsi="Arial" w:eastAsia="仿宋_GB2312" w:cs="Arial"/>
                <w:color w:val="auto"/>
                <w:kern w:val="0"/>
                <w:sz w:val="20"/>
                <w:szCs w:val="20"/>
                <w:lang w:val="en-US" w:eastAsia="zh-CN"/>
              </w:rPr>
              <w:t>5</w:t>
            </w:r>
          </w:p>
        </w:tc>
        <w:tc>
          <w:tcPr>
            <w:tcW w:w="2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7</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bottom"/>
              <w:rPr>
                <w:rFonts w:hint="eastAsia" w:ascii="Arial" w:hAnsi="Arial" w:eastAsia="宋体" w:cs="Arial"/>
                <w:color w:val="auto"/>
                <w:kern w:val="0"/>
                <w:sz w:val="20"/>
                <w:szCs w:val="20"/>
                <w:lang w:eastAsia="zh-CN"/>
              </w:rPr>
            </w:pPr>
            <w:r>
              <w:rPr>
                <w:rFonts w:hint="eastAsia" w:ascii="仿宋_GB2312" w:hAnsi="宋体" w:eastAsia="仿宋_GB2312" w:cs="仿宋"/>
                <w:color w:val="auto"/>
                <w:sz w:val="24"/>
              </w:rPr>
              <w:t>月移交图书</w:t>
            </w:r>
            <w:r>
              <w:rPr>
                <w:rFonts w:hint="eastAsia" w:ascii="仿宋_GB2312" w:hAnsi="宋体" w:eastAsia="仿宋_GB2312" w:cs="仿宋"/>
                <w:color w:val="auto"/>
                <w:sz w:val="24"/>
                <w:lang w:eastAsia="zh-CN"/>
              </w:rPr>
              <w:t>率</w:t>
            </w:r>
          </w:p>
        </w:tc>
        <w:tc>
          <w:tcPr>
            <w:tcW w:w="490" w:type="dxa"/>
            <w:tcBorders>
              <w:top w:val="single" w:color="auto" w:sz="4" w:space="0"/>
              <w:left w:val="single" w:color="auto" w:sz="4" w:space="0"/>
              <w:bottom w:val="single" w:color="auto" w:sz="4" w:space="0"/>
              <w:right w:val="single" w:color="auto" w:sz="4" w:space="0"/>
            </w:tcBorders>
            <w:noWrap w:val="0"/>
            <w:vAlign w:val="bottom"/>
          </w:tcPr>
          <w:p>
            <w:pPr>
              <w:widowControl/>
              <w:jc w:val="right"/>
              <w:textAlignment w:val="bottom"/>
              <w:rPr>
                <w:rFonts w:ascii="Arial" w:hAnsi="Arial" w:cs="Arial"/>
                <w:color w:val="auto"/>
                <w:kern w:val="0"/>
                <w:sz w:val="20"/>
                <w:szCs w:val="20"/>
              </w:rPr>
            </w:pPr>
            <w:r>
              <w:rPr>
                <w:rFonts w:hint="eastAsia" w:ascii="Arial" w:hAnsi="Arial" w:cs="Arial"/>
                <w:color w:val="auto"/>
                <w:kern w:val="0"/>
                <w:sz w:val="20"/>
                <w:szCs w:val="20"/>
              </w:rPr>
              <w:t>7</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完成90-99%及扣除1分，85-89%扣2分，85%以下扣完。</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编</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目</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服</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务</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ascii="仿宋_GB2312" w:hAnsi="宋体" w:eastAsia="仿宋_GB2312" w:cs="仿宋"/>
                <w:color w:val="auto"/>
                <w:sz w:val="24"/>
              </w:rPr>
              <w:t>66</w:t>
            </w:r>
          </w:p>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分</w:t>
            </w: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1</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书目查重</w:t>
            </w:r>
          </w:p>
        </w:tc>
        <w:tc>
          <w:tcPr>
            <w:tcW w:w="490" w:type="dxa"/>
            <w:tcBorders>
              <w:top w:val="single" w:color="auto" w:sz="4" w:space="0"/>
              <w:left w:val="single" w:color="auto" w:sz="4" w:space="0"/>
              <w:bottom w:val="single" w:color="auto" w:sz="4" w:space="0"/>
              <w:right w:val="single" w:color="auto" w:sz="4" w:space="0"/>
            </w:tcBorders>
            <w:noWrap w:val="0"/>
            <w:vAlign w:val="bottom"/>
          </w:tcPr>
          <w:p>
            <w:pPr>
              <w:widowControl/>
              <w:jc w:val="right"/>
              <w:textAlignment w:val="bottom"/>
              <w:rPr>
                <w:rFonts w:ascii="仿宋_GB2312" w:hAnsi="宋体" w:eastAsia="仿宋_GB2312" w:cs="仿宋"/>
                <w:color w:val="auto"/>
                <w:sz w:val="24"/>
              </w:rPr>
            </w:pPr>
            <w:r>
              <w:rPr>
                <w:rFonts w:ascii="Arial" w:hAnsi="Arial" w:cs="Arial"/>
                <w:color w:val="auto"/>
                <w:kern w:val="0"/>
                <w:sz w:val="20"/>
                <w:szCs w:val="20"/>
              </w:rPr>
              <w:t>12</w:t>
            </w:r>
          </w:p>
        </w:tc>
        <w:tc>
          <w:tcPr>
            <w:tcW w:w="2582"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jc w:val="center"/>
              <w:rPr>
                <w:rFonts w:ascii="仿宋_GB2312" w:hAnsi="宋体" w:eastAsia="仿宋_GB2312" w:cs="仿宋"/>
                <w:color w:val="auto"/>
                <w:sz w:val="24"/>
              </w:rPr>
            </w:pPr>
            <w:r>
              <w:rPr>
                <w:rFonts w:hint="eastAsia" w:ascii="仿宋_GB2312" w:hAnsi="宋体" w:eastAsia="仿宋_GB2312" w:cs="仿宋"/>
                <w:color w:val="auto"/>
                <w:sz w:val="24"/>
              </w:rPr>
              <w:t>抽样错误率达2％，扣除0.5分，超过3-5％扣除5分，超过6-10％以上扣完。</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2</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编目数据</w:t>
            </w:r>
          </w:p>
        </w:tc>
        <w:tc>
          <w:tcPr>
            <w:tcW w:w="490" w:type="dxa"/>
            <w:tcBorders>
              <w:top w:val="single" w:color="auto" w:sz="4" w:space="0"/>
              <w:left w:val="single" w:color="auto" w:sz="4" w:space="0"/>
              <w:bottom w:val="single" w:color="auto" w:sz="4" w:space="0"/>
              <w:right w:val="single" w:color="auto" w:sz="4" w:space="0"/>
            </w:tcBorders>
            <w:noWrap w:val="0"/>
            <w:vAlign w:val="bottom"/>
          </w:tcPr>
          <w:p>
            <w:pPr>
              <w:widowControl/>
              <w:jc w:val="right"/>
              <w:textAlignment w:val="bottom"/>
              <w:rPr>
                <w:rFonts w:ascii="仿宋_GB2312" w:hAnsi="宋体" w:eastAsia="仿宋_GB2312" w:cs="仿宋"/>
                <w:color w:val="auto"/>
                <w:sz w:val="24"/>
              </w:rPr>
            </w:pPr>
            <w:r>
              <w:rPr>
                <w:rFonts w:hint="eastAsia" w:ascii="Arial" w:hAnsi="Arial" w:eastAsia="仿宋_GB2312" w:cs="Arial"/>
                <w:color w:val="auto"/>
                <w:kern w:val="0"/>
                <w:sz w:val="20"/>
                <w:szCs w:val="20"/>
              </w:rPr>
              <w:t>30</w:t>
            </w:r>
          </w:p>
        </w:tc>
        <w:tc>
          <w:tcPr>
            <w:tcW w:w="2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3</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验收著录</w:t>
            </w:r>
          </w:p>
        </w:tc>
        <w:tc>
          <w:tcPr>
            <w:tcW w:w="490" w:type="dxa"/>
            <w:tcBorders>
              <w:top w:val="single" w:color="auto" w:sz="4" w:space="0"/>
              <w:left w:val="single" w:color="auto" w:sz="4" w:space="0"/>
              <w:bottom w:val="single" w:color="auto" w:sz="4" w:space="0"/>
              <w:right w:val="single" w:color="auto" w:sz="4" w:space="0"/>
            </w:tcBorders>
            <w:noWrap w:val="0"/>
            <w:vAlign w:val="bottom"/>
          </w:tcPr>
          <w:p>
            <w:pPr>
              <w:widowControl/>
              <w:jc w:val="right"/>
              <w:textAlignment w:val="bottom"/>
              <w:rPr>
                <w:rFonts w:ascii="仿宋_GB2312" w:hAnsi="宋体" w:eastAsia="仿宋_GB2312" w:cs="仿宋"/>
                <w:color w:val="auto"/>
                <w:sz w:val="24"/>
              </w:rPr>
            </w:pPr>
            <w:r>
              <w:rPr>
                <w:rFonts w:hint="eastAsia" w:ascii="Arial" w:hAnsi="Arial" w:eastAsia="仿宋_GB2312" w:cs="Arial"/>
                <w:color w:val="auto"/>
                <w:kern w:val="0"/>
                <w:sz w:val="20"/>
                <w:szCs w:val="20"/>
              </w:rPr>
              <w:t>14</w:t>
            </w:r>
          </w:p>
        </w:tc>
        <w:tc>
          <w:tcPr>
            <w:tcW w:w="2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4</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四角号码取号</w:t>
            </w:r>
          </w:p>
        </w:tc>
        <w:tc>
          <w:tcPr>
            <w:tcW w:w="490" w:type="dxa"/>
            <w:tcBorders>
              <w:top w:val="single" w:color="auto" w:sz="4" w:space="0"/>
              <w:left w:val="single" w:color="auto" w:sz="4" w:space="0"/>
              <w:bottom w:val="single" w:color="auto" w:sz="4" w:space="0"/>
              <w:right w:val="single" w:color="auto" w:sz="4" w:space="0"/>
            </w:tcBorders>
            <w:noWrap w:val="0"/>
            <w:vAlign w:val="bottom"/>
          </w:tcPr>
          <w:p>
            <w:pPr>
              <w:widowControl/>
              <w:jc w:val="right"/>
              <w:textAlignment w:val="bottom"/>
              <w:rPr>
                <w:rFonts w:ascii="仿宋_GB2312" w:hAnsi="宋体" w:eastAsia="仿宋_GB2312" w:cs="仿宋"/>
                <w:color w:val="auto"/>
                <w:sz w:val="24"/>
              </w:rPr>
            </w:pPr>
            <w:r>
              <w:rPr>
                <w:rFonts w:hint="eastAsia" w:ascii="Arial" w:hAnsi="Arial" w:eastAsia="仿宋_GB2312" w:cs="Arial"/>
                <w:color w:val="auto"/>
                <w:kern w:val="0"/>
                <w:sz w:val="20"/>
                <w:szCs w:val="20"/>
              </w:rPr>
              <w:t>10</w:t>
            </w:r>
          </w:p>
        </w:tc>
        <w:tc>
          <w:tcPr>
            <w:tcW w:w="2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仿宋"/>
                <w:color w:val="auto"/>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hint="eastAsia" w:ascii="仿宋_GB2312" w:hAnsi="宋体" w:eastAsia="仿宋_GB2312" w:cs="仿宋"/>
                <w:color w:val="auto"/>
                <w:sz w:val="24"/>
                <w:lang w:eastAsia="zh-CN"/>
              </w:rPr>
            </w:pPr>
            <w:r>
              <w:rPr>
                <w:rFonts w:hint="eastAsia" w:ascii="仿宋_GB2312" w:hAnsi="宋体" w:eastAsia="仿宋_GB2312" w:cs="仿宋"/>
                <w:color w:val="auto"/>
                <w:sz w:val="24"/>
                <w:lang w:eastAsia="zh-CN"/>
              </w:rPr>
              <w:t>其他服务</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hint="eastAsia" w:ascii="仿宋_GB2312" w:hAnsi="宋体" w:eastAsia="仿宋_GB2312" w:cs="仿宋"/>
                <w:color w:val="auto"/>
                <w:sz w:val="24"/>
                <w:lang w:eastAsia="zh-CN"/>
              </w:rPr>
            </w:pPr>
            <w:r>
              <w:rPr>
                <w:rFonts w:hint="eastAsia" w:ascii="仿宋_GB2312" w:hAnsi="宋体" w:eastAsia="仿宋_GB2312" w:cs="仿宋"/>
                <w:color w:val="auto"/>
                <w:sz w:val="24"/>
                <w:lang w:eastAsia="zh-CN"/>
              </w:rPr>
              <w:t>上架</w:t>
            </w:r>
          </w:p>
        </w:tc>
        <w:tc>
          <w:tcPr>
            <w:tcW w:w="49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hint="eastAsia" w:ascii="仿宋_GB2312" w:hAnsi="宋体" w:eastAsia="仿宋_GB2312" w:cs="仿宋"/>
                <w:color w:val="auto"/>
                <w:sz w:val="24"/>
                <w:lang w:val="en-US" w:eastAsia="zh-CN"/>
              </w:rPr>
            </w:pPr>
            <w:r>
              <w:rPr>
                <w:rFonts w:hint="eastAsia" w:ascii="仿宋_GB2312" w:hAnsi="宋体" w:eastAsia="仿宋_GB2312" w:cs="仿宋"/>
                <w:color w:val="auto"/>
                <w:sz w:val="24"/>
                <w:lang w:val="en-US" w:eastAsia="zh-CN"/>
              </w:rPr>
              <w:t>2</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rPr>
                <w:rFonts w:hint="default" w:ascii="仿宋_GB2312" w:hAnsi="宋体" w:eastAsia="仿宋_GB2312" w:cs="仿宋"/>
                <w:color w:val="auto"/>
                <w:sz w:val="24"/>
                <w:lang w:val="en-US" w:eastAsia="zh-CN"/>
              </w:rPr>
            </w:pPr>
            <w:r>
              <w:rPr>
                <w:rFonts w:hint="eastAsia" w:ascii="仿宋_GB2312" w:hAnsi="宋体" w:eastAsia="仿宋_GB2312" w:cs="仿宋"/>
                <w:color w:val="auto"/>
                <w:sz w:val="24"/>
                <w:lang w:val="en-US" w:eastAsia="zh-CN"/>
              </w:rPr>
              <w:t>排架抽样错误率达6%，扣0.5分，超过7-9%扣1分，超过10%以上扣完。</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合计</w:t>
            </w:r>
          </w:p>
        </w:tc>
        <w:tc>
          <w:tcPr>
            <w:tcW w:w="4827"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rPr>
                <w:rFonts w:ascii="仿宋_GB2312" w:hAnsi="宋体" w:eastAsia="仿宋_GB2312" w:cs="仿宋"/>
                <w:color w:val="auto"/>
                <w:sz w:val="24"/>
              </w:rPr>
            </w:pPr>
            <w:r>
              <w:rPr>
                <w:rFonts w:hint="eastAsia" w:ascii="仿宋_GB2312" w:hAnsi="宋体" w:eastAsia="仿宋_GB2312" w:cs="仿宋"/>
                <w:color w:val="auto"/>
                <w:sz w:val="24"/>
              </w:rPr>
              <w:t xml:space="preserve">              100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2"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454"/>
                <w:tab w:val="left" w:pos="840"/>
              </w:tabs>
              <w:spacing w:line="360" w:lineRule="exact"/>
              <w:ind w:left="425" w:hanging="425"/>
              <w:jc w:val="center"/>
              <w:rPr>
                <w:rFonts w:ascii="仿宋_GB2312" w:hAnsi="宋体" w:eastAsia="仿宋_GB2312" w:cs="仿宋"/>
                <w:color w:val="auto"/>
                <w:sz w:val="24"/>
              </w:rPr>
            </w:pPr>
            <w:r>
              <w:rPr>
                <w:rFonts w:hint="eastAsia" w:ascii="仿宋_GB2312" w:hAnsi="宋体" w:eastAsia="仿宋_GB2312" w:cs="仿宋"/>
                <w:color w:val="auto"/>
                <w:sz w:val="24"/>
              </w:rPr>
              <w:t>说明：若某项扣分较多，至该项扣完为止，不涉及其他项。</w:t>
            </w:r>
          </w:p>
        </w:tc>
      </w:tr>
    </w:tbl>
    <w:p>
      <w:pPr>
        <w:spacing w:line="360" w:lineRule="auto"/>
        <w:rPr>
          <w:rFonts w:ascii="仿宋_GB2312" w:hAnsi="宋体" w:eastAsia="仿宋_GB2312" w:cs="Arial"/>
          <w:b/>
          <w:color w:val="auto"/>
          <w:sz w:val="24"/>
        </w:rPr>
      </w:pPr>
    </w:p>
    <w:p>
      <w:pPr>
        <w:spacing w:line="360" w:lineRule="auto"/>
        <w:rPr>
          <w:rFonts w:ascii="仿宋_GB2312" w:hAnsi="宋体" w:eastAsia="仿宋_GB2312" w:cs="Arial"/>
          <w:b/>
          <w:color w:val="auto"/>
          <w:sz w:val="24"/>
        </w:rPr>
      </w:pPr>
      <w:r>
        <w:rPr>
          <w:rFonts w:hint="eastAsia" w:ascii="仿宋_GB2312" w:hAnsi="宋体" w:eastAsia="仿宋_GB2312" w:cs="Arial"/>
          <w:b/>
          <w:color w:val="auto"/>
          <w:sz w:val="24"/>
        </w:rPr>
        <w:t xml:space="preserve">考核人员签名：                          书商代表签名： </w:t>
      </w:r>
    </w:p>
    <w:p>
      <w:pPr>
        <w:spacing w:line="360" w:lineRule="auto"/>
        <w:jc w:val="right"/>
        <w:rPr>
          <w:rFonts w:ascii="仿宋_GB2312" w:hAnsi="宋体" w:eastAsia="仿宋_GB2312" w:cs="Arial"/>
          <w:b/>
          <w:color w:val="auto"/>
          <w:sz w:val="24"/>
        </w:rPr>
      </w:pPr>
    </w:p>
    <w:p>
      <w:pPr>
        <w:spacing w:line="360" w:lineRule="auto"/>
        <w:jc w:val="right"/>
        <w:rPr>
          <w:rFonts w:hint="eastAsia"/>
          <w:color w:val="auto"/>
        </w:rPr>
      </w:pPr>
      <w:r>
        <w:rPr>
          <w:rFonts w:hint="eastAsia" w:ascii="仿宋_GB2312" w:hAnsi="宋体" w:eastAsia="仿宋_GB2312" w:cs="Arial"/>
          <w:b/>
          <w:color w:val="auto"/>
          <w:sz w:val="24"/>
        </w:rPr>
        <w:t>年    月   日</w:t>
      </w:r>
    </w:p>
    <w:p>
      <w:pPr>
        <w:keepNext w:val="0"/>
        <w:keepLines w:val="0"/>
        <w:pageBreakBefore w:val="0"/>
        <w:widowControl/>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auto"/>
          <w:sz w:val="24"/>
          <w:szCs w:val="24"/>
          <w:lang w:eastAsia="zh-CN"/>
        </w:rPr>
      </w:pPr>
    </w:p>
    <w:p>
      <w:pPr>
        <w:keepNext w:val="0"/>
        <w:keepLines w:val="0"/>
        <w:pageBreakBefore w:val="0"/>
        <w:widowControl/>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auto"/>
          <w:sz w:val="24"/>
          <w:szCs w:val="24"/>
          <w:lang w:eastAsia="zh-CN"/>
        </w:rPr>
      </w:pPr>
    </w:p>
    <w:p>
      <w:pPr>
        <w:keepNext w:val="0"/>
        <w:keepLines w:val="0"/>
        <w:pageBreakBefore w:val="0"/>
        <w:widowControl/>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五、商务条款</w:t>
      </w:r>
    </w:p>
    <w:tbl>
      <w:tblPr>
        <w:tblStyle w:val="64"/>
        <w:tblW w:w="8280" w:type="dxa"/>
        <w:tblInd w:w="130" w:type="dxa"/>
        <w:tblLayout w:type="fixed"/>
        <w:tblCellMar>
          <w:top w:w="0" w:type="dxa"/>
          <w:left w:w="108" w:type="dxa"/>
          <w:bottom w:w="0" w:type="dxa"/>
          <w:right w:w="108" w:type="dxa"/>
        </w:tblCellMar>
      </w:tblPr>
      <w:tblGrid>
        <w:gridCol w:w="731"/>
        <w:gridCol w:w="1317"/>
        <w:gridCol w:w="6232"/>
      </w:tblGrid>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序号</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内容</w:t>
            </w:r>
          </w:p>
        </w:tc>
        <w:tc>
          <w:tcPr>
            <w:tcW w:w="623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要求</w:t>
            </w:r>
          </w:p>
        </w:tc>
      </w:tr>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ind w:left="0" w:leftChars="0" w:firstLine="0" w:firstLineChars="0"/>
              <w:jc w:val="center"/>
              <w:rPr>
                <w:rFonts w:hint="eastAsia" w:ascii="仿宋" w:hAnsi="仿宋" w:eastAsia="仿宋" w:cs="仿宋"/>
                <w:kern w:val="1"/>
                <w:sz w:val="24"/>
                <w:szCs w:val="24"/>
              </w:rPr>
            </w:pPr>
            <w:r>
              <w:rPr>
                <w:rFonts w:hint="eastAsia" w:ascii="仿宋" w:hAnsi="仿宋" w:eastAsia="仿宋" w:cs="仿宋"/>
                <w:sz w:val="24"/>
                <w:szCs w:val="24"/>
              </w:rPr>
              <w:t>知识产权及其他</w:t>
            </w:r>
          </w:p>
        </w:tc>
        <w:tc>
          <w:tcPr>
            <w:tcW w:w="623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ascii="仿宋_GB2312" w:hAnsi="宋体" w:eastAsia="仿宋_GB2312"/>
                <w:color w:val="auto"/>
                <w:sz w:val="24"/>
                <w:highlight w:val="none"/>
              </w:rPr>
            </w:pPr>
            <w:r>
              <w:rPr>
                <w:rFonts w:hint="eastAsia" w:ascii="仿宋" w:hAnsi="仿宋" w:eastAsia="仿宋" w:cs="仿宋"/>
                <w:sz w:val="24"/>
                <w:szCs w:val="24"/>
              </w:rPr>
              <w:t>中标人须保证所供图书不违背我国宪法和法律、法令及政策等，不侵犯他人权益</w:t>
            </w:r>
            <w:r>
              <w:rPr>
                <w:rFonts w:hint="eastAsia" w:ascii="仿宋" w:hAnsi="仿宋" w:eastAsia="仿宋" w:cs="仿宋"/>
                <w:color w:val="auto"/>
                <w:sz w:val="24"/>
                <w:szCs w:val="24"/>
              </w:rPr>
              <w:t>。</w:t>
            </w:r>
            <w:r>
              <w:rPr>
                <w:rFonts w:hint="eastAsia" w:ascii="仿宋_GB2312" w:hAnsi="宋体" w:eastAsia="仿宋_GB2312"/>
                <w:color w:val="auto"/>
                <w:sz w:val="24"/>
                <w:highlight w:val="none"/>
              </w:rPr>
              <w:t>免受第三方提出的侵犯其著作权或其他知识产权的起诉，若被第三方起诉，中标单位承担由此产生的一切法律责任和费用。</w:t>
            </w:r>
          </w:p>
          <w:p>
            <w:pPr>
              <w:spacing w:line="440" w:lineRule="exact"/>
              <w:rPr>
                <w:rFonts w:hint="eastAsia" w:ascii="仿宋" w:hAnsi="仿宋" w:eastAsia="仿宋" w:cs="仿宋"/>
                <w:color w:val="auto"/>
                <w:sz w:val="24"/>
                <w:szCs w:val="24"/>
              </w:rPr>
            </w:pPr>
            <w:r>
              <w:rPr>
                <w:rFonts w:hint="eastAsia" w:ascii="仿宋_GB2312" w:hAnsi="宋体" w:eastAsia="仿宋_GB2312"/>
                <w:color w:val="auto"/>
                <w:sz w:val="24"/>
                <w:highlight w:val="none"/>
              </w:rPr>
              <w:t>投标人必须根据自身实际能力作出实事求是的承诺，不得夸大自身服务实力或作出不能完成的服务承诺。响应供应商未能完全履行基本服务要求或其自身服务承诺的，其供货商资格将被取消并被没收履约保证金。若中标单位夸大或虚假承诺，不能履行服务承诺造成采购人损失，须赔偿相应费用。</w:t>
            </w:r>
          </w:p>
        </w:tc>
      </w:tr>
      <w:tr>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ind w:left="0" w:leftChars="0" w:firstLine="0" w:firstLineChars="0"/>
              <w:jc w:val="center"/>
              <w:rPr>
                <w:rFonts w:hint="eastAsia" w:ascii="仿宋" w:hAnsi="仿宋" w:eastAsia="仿宋" w:cs="仿宋"/>
                <w:kern w:val="1"/>
                <w:sz w:val="24"/>
                <w:szCs w:val="24"/>
                <w:lang w:val="en-US" w:eastAsia="zh-CN" w:bidi="ar-SA"/>
              </w:rPr>
            </w:pPr>
            <w:r>
              <w:rPr>
                <w:rFonts w:hint="eastAsia" w:ascii="仿宋" w:hAnsi="仿宋" w:eastAsia="仿宋" w:cs="仿宋"/>
                <w:bCs/>
                <w:snapToGrid w:val="0"/>
                <w:kern w:val="0"/>
                <w:sz w:val="24"/>
                <w:szCs w:val="24"/>
              </w:rPr>
              <w:t>验收</w:t>
            </w:r>
          </w:p>
        </w:tc>
        <w:tc>
          <w:tcPr>
            <w:tcW w:w="623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int="eastAsia" w:ascii="仿宋" w:hAnsi="仿宋" w:eastAsia="仿宋" w:cs="仿宋"/>
                <w:sz w:val="24"/>
                <w:szCs w:val="24"/>
              </w:rPr>
            </w:pPr>
            <w:r>
              <w:rPr>
                <w:rFonts w:hint="eastAsia" w:ascii="仿宋" w:hAnsi="仿宋" w:eastAsia="仿宋" w:cs="仿宋"/>
                <w:sz w:val="24"/>
                <w:szCs w:val="24"/>
              </w:rPr>
              <w:t>1.采购人在图书送达指定地点之日起一个月内与中标人到馆加工服务人员一起验收。非不可抗力因素而拒绝验收或无故刁难，超过规定期限的，视同已经验收，损失自负。</w:t>
            </w:r>
          </w:p>
          <w:p>
            <w:pPr>
              <w:spacing w:line="440" w:lineRule="exact"/>
              <w:rPr>
                <w:rFonts w:hint="eastAsia" w:ascii="仿宋" w:hAnsi="仿宋" w:eastAsia="仿宋" w:cs="仿宋"/>
                <w:color w:val="auto"/>
                <w:sz w:val="24"/>
                <w:szCs w:val="24"/>
              </w:rPr>
            </w:pPr>
            <w:r>
              <w:rPr>
                <w:rFonts w:hint="eastAsia" w:ascii="仿宋" w:hAnsi="仿宋" w:eastAsia="仿宋" w:cs="仿宋"/>
                <w:sz w:val="24"/>
                <w:szCs w:val="24"/>
              </w:rPr>
              <w:t>2.采购人对中标人送交的图书合同规定的要求标准进行验收，对认为验收不合格图书由中标单位当天调换或无条件退货。</w:t>
            </w:r>
          </w:p>
        </w:tc>
      </w:tr>
      <w:tr>
        <w:tblPrEx>
          <w:tblCellMar>
            <w:top w:w="0" w:type="dxa"/>
            <w:left w:w="108" w:type="dxa"/>
            <w:bottom w:w="0" w:type="dxa"/>
            <w:right w:w="108" w:type="dxa"/>
          </w:tblCellMar>
        </w:tblPrEx>
        <w:trPr>
          <w:trHeight w:val="72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ind w:left="0" w:leftChars="0" w:firstLine="0" w:firstLineChars="0"/>
              <w:jc w:val="center"/>
              <w:rPr>
                <w:rFonts w:hint="eastAsia" w:ascii="仿宋" w:hAnsi="仿宋" w:eastAsia="仿宋" w:cs="仿宋"/>
                <w:kern w:val="1"/>
                <w:sz w:val="24"/>
                <w:szCs w:val="24"/>
                <w:lang w:val="en-US" w:eastAsia="zh-CN" w:bidi="ar-SA"/>
              </w:rPr>
            </w:pPr>
            <w:r>
              <w:rPr>
                <w:rFonts w:hint="eastAsia" w:ascii="仿宋" w:hAnsi="仿宋" w:eastAsia="仿宋" w:cs="仿宋"/>
                <w:sz w:val="24"/>
                <w:szCs w:val="24"/>
              </w:rPr>
              <w:t>培训</w:t>
            </w:r>
          </w:p>
        </w:tc>
        <w:tc>
          <w:tcPr>
            <w:tcW w:w="623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仿宋" w:hAnsi="仿宋" w:eastAsia="仿宋" w:cs="仿宋"/>
                <w:kern w:val="1"/>
                <w:sz w:val="24"/>
                <w:szCs w:val="24"/>
              </w:rPr>
            </w:pPr>
            <w:r>
              <w:rPr>
                <w:rFonts w:hint="eastAsia" w:ascii="仿宋" w:hAnsi="仿宋" w:eastAsia="仿宋" w:cs="仿宋"/>
                <w:sz w:val="24"/>
                <w:szCs w:val="24"/>
              </w:rPr>
              <w:t>免费提供人员培训</w:t>
            </w:r>
            <w:r>
              <w:rPr>
                <w:rFonts w:hint="eastAsia" w:ascii="仿宋" w:hAnsi="仿宋" w:eastAsia="仿宋" w:cs="仿宋"/>
                <w:sz w:val="24"/>
                <w:szCs w:val="24"/>
                <w:lang w:eastAsia="zh-CN"/>
              </w:rPr>
              <w:t>。</w:t>
            </w:r>
          </w:p>
        </w:tc>
      </w:tr>
      <w:tr>
        <w:tblPrEx>
          <w:tblCellMar>
            <w:top w:w="0" w:type="dxa"/>
            <w:left w:w="108" w:type="dxa"/>
            <w:bottom w:w="0" w:type="dxa"/>
            <w:right w:w="108" w:type="dxa"/>
          </w:tblCellMar>
        </w:tblPrEx>
        <w:trPr>
          <w:trHeight w:val="154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ind w:left="0" w:lef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结算方法</w:t>
            </w:r>
          </w:p>
        </w:tc>
        <w:tc>
          <w:tcPr>
            <w:tcW w:w="623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napToGrid w:val="0"/>
              <w:spacing w:line="4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投标报价以供货图书码洋供应价为基数，进行折扣率报价。即按实际入库的图书码洋乘以所报价图书折扣率后的金额作为合同结算金额，货款以人民币结算。</w:t>
            </w:r>
          </w:p>
          <w:p>
            <w:pPr>
              <w:numPr>
                <w:ilvl w:val="0"/>
                <w:numId w:val="0"/>
              </w:numPr>
              <w:snapToGrid w:val="0"/>
              <w:spacing w:line="4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总货款按照实际采购到货图书数量结算</w:t>
            </w:r>
            <w:r>
              <w:rPr>
                <w:rFonts w:hint="eastAsia" w:ascii="仿宋" w:hAnsi="仿宋" w:eastAsia="仿宋" w:cs="仿宋"/>
                <w:b w:val="0"/>
                <w:bCs w:val="0"/>
                <w:sz w:val="24"/>
                <w:szCs w:val="24"/>
                <w:lang w:eastAsia="zh-CN"/>
              </w:rPr>
              <w:t>。</w:t>
            </w:r>
          </w:p>
          <w:p>
            <w:pPr>
              <w:snapToGrid w:val="0"/>
              <w:spacing w:line="4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（如：某图书码洋供应价为50元/册，如投标折扣率为70％，则供货价格为50*0.7=35元/册。）</w:t>
            </w:r>
          </w:p>
        </w:tc>
      </w:tr>
      <w:tr>
        <w:tblPrEx>
          <w:tblCellMar>
            <w:top w:w="0" w:type="dxa"/>
            <w:left w:w="108" w:type="dxa"/>
            <w:bottom w:w="0" w:type="dxa"/>
            <w:right w:w="108" w:type="dxa"/>
          </w:tblCellMar>
        </w:tblPrEx>
        <w:trPr>
          <w:trHeight w:val="154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auto"/>
                <w:sz w:val="24"/>
                <w:szCs w:val="24"/>
                <w:highlight w:val="none"/>
              </w:rPr>
              <w:t>付款方式</w:t>
            </w:r>
          </w:p>
        </w:tc>
        <w:tc>
          <w:tcPr>
            <w:tcW w:w="623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分批结算</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rPr>
              <w:t>合同签订后</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个工作日内支付合同款</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0%作为预付款；每月采购图书经采购人验收合格后进行累计，在年中、年终分别由采购人将验收合格的累计约定货款在同比例扣除预付款后支付</w:t>
            </w:r>
            <w:r>
              <w:rPr>
                <w:rFonts w:hint="eastAsia" w:ascii="仿宋" w:hAnsi="仿宋" w:eastAsia="仿宋" w:cs="仿宋"/>
                <w:color w:val="auto"/>
                <w:sz w:val="24"/>
                <w:szCs w:val="24"/>
                <w:lang w:eastAsia="zh-CN"/>
              </w:rPr>
              <w:t>相应款项</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给中标</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p>
        </w:tc>
      </w:tr>
      <w:tr>
        <w:tblPrEx>
          <w:tblCellMar>
            <w:top w:w="0" w:type="dxa"/>
            <w:left w:w="108" w:type="dxa"/>
            <w:bottom w:w="0" w:type="dxa"/>
            <w:right w:w="108" w:type="dxa"/>
          </w:tblCellMar>
        </w:tblPrEx>
        <w:trPr>
          <w:trHeight w:val="154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交货时间及地点</w:t>
            </w:r>
          </w:p>
        </w:tc>
        <w:tc>
          <w:tcPr>
            <w:tcW w:w="623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交货时间：签订合同之日至</w:t>
            </w:r>
            <w:r>
              <w:rPr>
                <w:rFonts w:hint="eastAsia" w:ascii="仿宋" w:hAnsi="仿宋" w:eastAsia="仿宋" w:cs="仿宋"/>
                <w:color w:val="auto"/>
                <w:sz w:val="24"/>
                <w:szCs w:val="24"/>
                <w:highlight w:val="none"/>
                <w:lang w:eastAsia="zh-CN"/>
              </w:rPr>
              <w:t>2023年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月底完成。</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交货方式：将采购人所有订购的图书送至采购人指定地点并进行现场验收。</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交货地点：采购方指定地点。</w:t>
            </w:r>
          </w:p>
        </w:tc>
      </w:tr>
    </w:tbl>
    <w:p>
      <w:pPr>
        <w:spacing w:line="360" w:lineRule="auto"/>
        <w:rPr>
          <w:rFonts w:ascii="仿宋" w:hAnsi="仿宋" w:eastAsia="仿宋"/>
          <w:sz w:val="24"/>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8" w:name="_Toc184312103"/>
      <w:bookmarkEnd w:id="28"/>
      <w:bookmarkStart w:id="29" w:name="_Toc184310291"/>
      <w:bookmarkEnd w:id="29"/>
      <w:bookmarkStart w:id="30" w:name="_Toc184310301"/>
      <w:bookmarkEnd w:id="30"/>
      <w:bookmarkStart w:id="31" w:name="_Toc184313273"/>
      <w:bookmarkEnd w:id="31"/>
      <w:bookmarkStart w:id="32" w:name="_Toc184312095"/>
      <w:bookmarkEnd w:id="32"/>
      <w:bookmarkStart w:id="33" w:name="_Toc184312088"/>
      <w:bookmarkEnd w:id="33"/>
      <w:bookmarkStart w:id="34" w:name="_Toc184312106"/>
      <w:bookmarkEnd w:id="34"/>
      <w:bookmarkStart w:id="35" w:name="_Toc184314446"/>
      <w:bookmarkEnd w:id="35"/>
      <w:bookmarkStart w:id="36" w:name="_Toc184310341"/>
      <w:bookmarkEnd w:id="36"/>
      <w:bookmarkStart w:id="37" w:name="_Toc184313259"/>
      <w:bookmarkEnd w:id="37"/>
      <w:bookmarkStart w:id="38" w:name="_Toc184313254"/>
      <w:bookmarkEnd w:id="38"/>
      <w:bookmarkStart w:id="39" w:name="_Toc184310302"/>
      <w:bookmarkEnd w:id="39"/>
      <w:bookmarkStart w:id="40" w:name="_Toc184310282"/>
      <w:bookmarkEnd w:id="40"/>
      <w:bookmarkStart w:id="41" w:name="_Toc184314443"/>
      <w:bookmarkEnd w:id="41"/>
      <w:bookmarkStart w:id="42" w:name="_Toc184314473"/>
      <w:bookmarkEnd w:id="42"/>
      <w:bookmarkStart w:id="43" w:name="_Toc184310315"/>
      <w:bookmarkEnd w:id="43"/>
      <w:bookmarkStart w:id="44" w:name="_Toc184308057"/>
      <w:bookmarkEnd w:id="44"/>
      <w:bookmarkStart w:id="45" w:name="_Toc184312084"/>
      <w:bookmarkEnd w:id="45"/>
      <w:bookmarkStart w:id="46" w:name="_Toc184312100"/>
      <w:bookmarkEnd w:id="46"/>
      <w:bookmarkStart w:id="47" w:name="_Toc184314475"/>
      <w:bookmarkEnd w:id="47"/>
      <w:bookmarkStart w:id="48" w:name="_Toc184308065"/>
      <w:bookmarkEnd w:id="48"/>
      <w:bookmarkStart w:id="49" w:name="_Toc184308052"/>
      <w:bookmarkEnd w:id="49"/>
      <w:bookmarkStart w:id="50" w:name="_Toc184312083"/>
      <w:bookmarkEnd w:id="50"/>
      <w:bookmarkStart w:id="51" w:name="_Toc184310281"/>
      <w:bookmarkEnd w:id="51"/>
      <w:bookmarkStart w:id="52" w:name="_Toc184312098"/>
      <w:bookmarkEnd w:id="52"/>
      <w:bookmarkStart w:id="53" w:name="_Toc184314431"/>
      <w:bookmarkEnd w:id="53"/>
      <w:bookmarkStart w:id="54" w:name="_Toc184308055"/>
      <w:bookmarkEnd w:id="54"/>
      <w:bookmarkStart w:id="55" w:name="_Toc184308058"/>
      <w:bookmarkEnd w:id="55"/>
      <w:bookmarkStart w:id="56" w:name="_Toc184314447"/>
      <w:bookmarkEnd w:id="56"/>
      <w:bookmarkStart w:id="57" w:name="_Toc184314432"/>
      <w:bookmarkEnd w:id="57"/>
      <w:bookmarkStart w:id="58" w:name="_Toc184310273"/>
      <w:bookmarkEnd w:id="58"/>
      <w:bookmarkStart w:id="59" w:name="_Toc184314434"/>
      <w:bookmarkEnd w:id="59"/>
      <w:bookmarkStart w:id="60" w:name="_Toc184312097"/>
      <w:bookmarkEnd w:id="60"/>
      <w:bookmarkStart w:id="61" w:name="_Toc184312068"/>
      <w:bookmarkEnd w:id="61"/>
      <w:bookmarkStart w:id="62" w:name="_Toc184313266"/>
      <w:bookmarkEnd w:id="62"/>
      <w:bookmarkStart w:id="63" w:name="_Toc184313256"/>
      <w:bookmarkEnd w:id="63"/>
      <w:bookmarkStart w:id="64" w:name="_Toc184314438"/>
      <w:bookmarkEnd w:id="64"/>
      <w:bookmarkStart w:id="65" w:name="_Toc184308067"/>
      <w:bookmarkEnd w:id="65"/>
      <w:bookmarkStart w:id="66" w:name="_Toc184308061"/>
      <w:bookmarkEnd w:id="66"/>
      <w:bookmarkStart w:id="67" w:name="_Toc184312135"/>
      <w:bookmarkEnd w:id="67"/>
      <w:bookmarkStart w:id="68" w:name="_Toc184314455"/>
      <w:bookmarkEnd w:id="68"/>
      <w:bookmarkStart w:id="69" w:name="_Toc184308066"/>
      <w:bookmarkEnd w:id="69"/>
      <w:bookmarkStart w:id="70" w:name="_Toc184308053"/>
      <w:bookmarkEnd w:id="70"/>
      <w:bookmarkStart w:id="71" w:name="_Toc184312087"/>
      <w:bookmarkEnd w:id="71"/>
      <w:bookmarkStart w:id="72" w:name="_Toc184308074"/>
      <w:bookmarkEnd w:id="72"/>
      <w:bookmarkStart w:id="73" w:name="_Toc184314430"/>
      <w:bookmarkEnd w:id="73"/>
      <w:bookmarkStart w:id="74" w:name="_Toc184313251"/>
      <w:bookmarkEnd w:id="74"/>
      <w:bookmarkStart w:id="75" w:name="_Toc184312070"/>
      <w:bookmarkEnd w:id="75"/>
      <w:bookmarkStart w:id="76" w:name="_Toc184312117"/>
      <w:bookmarkEnd w:id="76"/>
      <w:bookmarkStart w:id="77" w:name="_Toc184310292"/>
      <w:bookmarkEnd w:id="77"/>
      <w:bookmarkStart w:id="78" w:name="_Toc184313303"/>
      <w:bookmarkEnd w:id="78"/>
      <w:bookmarkStart w:id="79" w:name="_Toc184308064"/>
      <w:bookmarkEnd w:id="79"/>
      <w:bookmarkStart w:id="80" w:name="_Toc184312094"/>
      <w:bookmarkEnd w:id="80"/>
      <w:bookmarkStart w:id="81" w:name="_Toc184310314"/>
      <w:bookmarkEnd w:id="81"/>
      <w:bookmarkStart w:id="82" w:name="_Toc184312115"/>
      <w:bookmarkEnd w:id="82"/>
      <w:bookmarkStart w:id="83" w:name="_Toc184308039"/>
      <w:bookmarkEnd w:id="83"/>
      <w:bookmarkStart w:id="84" w:name="_Toc184310322"/>
      <w:bookmarkEnd w:id="84"/>
      <w:bookmarkStart w:id="85" w:name="_Toc184310288"/>
      <w:bookmarkEnd w:id="85"/>
      <w:bookmarkStart w:id="86" w:name="_Toc184310299"/>
      <w:bookmarkEnd w:id="86"/>
      <w:bookmarkStart w:id="87" w:name="_Toc184312069"/>
      <w:bookmarkEnd w:id="87"/>
      <w:bookmarkStart w:id="88" w:name="_Toc184308081"/>
      <w:bookmarkEnd w:id="88"/>
      <w:bookmarkStart w:id="89" w:name="_Toc184308049"/>
      <w:bookmarkEnd w:id="89"/>
      <w:bookmarkStart w:id="90" w:name="_Toc184310298"/>
      <w:bookmarkEnd w:id="90"/>
      <w:bookmarkStart w:id="91" w:name="_Toc184314458"/>
      <w:bookmarkEnd w:id="91"/>
      <w:bookmarkStart w:id="92" w:name="_Toc184310336"/>
      <w:bookmarkEnd w:id="92"/>
      <w:bookmarkStart w:id="93" w:name="_Toc184308040"/>
      <w:bookmarkEnd w:id="93"/>
      <w:bookmarkStart w:id="94" w:name="_Toc184308054"/>
      <w:bookmarkEnd w:id="94"/>
      <w:bookmarkStart w:id="95" w:name="_Toc184313263"/>
      <w:bookmarkEnd w:id="95"/>
      <w:bookmarkStart w:id="96" w:name="_Toc184310275"/>
      <w:bookmarkEnd w:id="96"/>
      <w:bookmarkStart w:id="97" w:name="_Toc184313275"/>
      <w:bookmarkEnd w:id="97"/>
      <w:bookmarkStart w:id="98" w:name="_Toc184313253"/>
      <w:bookmarkEnd w:id="98"/>
      <w:bookmarkStart w:id="99" w:name="_Toc184313306"/>
      <w:bookmarkEnd w:id="99"/>
      <w:bookmarkStart w:id="100" w:name="_Toc184314413"/>
      <w:bookmarkEnd w:id="100"/>
      <w:bookmarkStart w:id="101" w:name="_Toc184314459"/>
      <w:bookmarkEnd w:id="101"/>
      <w:bookmarkStart w:id="102" w:name="_Toc184313307"/>
      <w:bookmarkEnd w:id="102"/>
      <w:bookmarkStart w:id="103" w:name="_Toc184312112"/>
      <w:bookmarkEnd w:id="103"/>
      <w:bookmarkStart w:id="104" w:name="_Toc184308056"/>
      <w:bookmarkEnd w:id="104"/>
      <w:bookmarkStart w:id="105" w:name="_Toc184308101"/>
      <w:bookmarkEnd w:id="105"/>
      <w:bookmarkStart w:id="106" w:name="_Toc184313287"/>
      <w:bookmarkEnd w:id="106"/>
      <w:bookmarkStart w:id="107" w:name="_Toc184312116"/>
      <w:bookmarkEnd w:id="107"/>
      <w:bookmarkStart w:id="108" w:name="_Toc184314454"/>
      <w:bookmarkEnd w:id="108"/>
      <w:bookmarkStart w:id="109" w:name="_Toc184310317"/>
      <w:bookmarkEnd w:id="109"/>
      <w:bookmarkStart w:id="110" w:name="_Toc184313292"/>
      <w:bookmarkEnd w:id="110"/>
      <w:bookmarkStart w:id="111" w:name="_Toc184313280"/>
      <w:bookmarkEnd w:id="111"/>
      <w:bookmarkStart w:id="112" w:name="_Toc184314429"/>
      <w:bookmarkEnd w:id="112"/>
      <w:bookmarkStart w:id="113" w:name="_Toc184312086"/>
      <w:bookmarkEnd w:id="113"/>
      <w:bookmarkStart w:id="114" w:name="_Toc184310296"/>
      <w:bookmarkEnd w:id="114"/>
      <w:bookmarkStart w:id="115" w:name="_Toc184310279"/>
      <w:bookmarkEnd w:id="115"/>
      <w:bookmarkStart w:id="116" w:name="_Toc184313244"/>
      <w:bookmarkEnd w:id="116"/>
      <w:bookmarkStart w:id="117" w:name="_Toc184314416"/>
      <w:bookmarkEnd w:id="117"/>
      <w:bookmarkStart w:id="118" w:name="_Toc184310339"/>
      <w:bookmarkEnd w:id="118"/>
      <w:bookmarkStart w:id="119" w:name="_Toc184314450"/>
      <w:bookmarkEnd w:id="119"/>
      <w:bookmarkStart w:id="120" w:name="_Toc184310335"/>
      <w:bookmarkEnd w:id="120"/>
      <w:bookmarkStart w:id="121" w:name="_Toc184310289"/>
      <w:bookmarkEnd w:id="121"/>
      <w:bookmarkStart w:id="122" w:name="_Toc184312067"/>
      <w:bookmarkEnd w:id="122"/>
      <w:bookmarkStart w:id="123" w:name="_Toc184310312"/>
      <w:bookmarkEnd w:id="123"/>
      <w:bookmarkStart w:id="124" w:name="_Toc184313277"/>
      <w:bookmarkEnd w:id="124"/>
      <w:bookmarkStart w:id="125" w:name="_Toc184310297"/>
      <w:bookmarkEnd w:id="125"/>
      <w:bookmarkStart w:id="126" w:name="_Toc184310316"/>
      <w:bookmarkEnd w:id="126"/>
      <w:bookmarkStart w:id="127" w:name="_Toc184313262"/>
      <w:bookmarkEnd w:id="127"/>
      <w:bookmarkStart w:id="128" w:name="_Toc184314449"/>
      <w:bookmarkEnd w:id="128"/>
      <w:bookmarkStart w:id="129" w:name="_Toc184314474"/>
      <w:bookmarkEnd w:id="129"/>
      <w:bookmarkStart w:id="130" w:name="_Toc184313260"/>
      <w:bookmarkEnd w:id="130"/>
      <w:bookmarkStart w:id="131" w:name="_Toc184308105"/>
      <w:bookmarkEnd w:id="131"/>
      <w:bookmarkStart w:id="132" w:name="_Toc184310274"/>
      <w:bookmarkEnd w:id="132"/>
      <w:bookmarkStart w:id="133" w:name="_Toc184310290"/>
      <w:bookmarkEnd w:id="133"/>
      <w:bookmarkStart w:id="134" w:name="_Toc184314478"/>
      <w:bookmarkEnd w:id="134"/>
      <w:bookmarkStart w:id="135" w:name="_Toc184314411"/>
      <w:bookmarkEnd w:id="135"/>
      <w:bookmarkStart w:id="136" w:name="_Toc184312085"/>
      <w:bookmarkEnd w:id="136"/>
      <w:bookmarkStart w:id="137" w:name="_Toc184308038"/>
      <w:bookmarkEnd w:id="137"/>
      <w:bookmarkStart w:id="138" w:name="_Toc184312072"/>
      <w:bookmarkEnd w:id="138"/>
      <w:bookmarkStart w:id="139" w:name="_Toc184313246"/>
      <w:bookmarkEnd w:id="139"/>
      <w:bookmarkStart w:id="140" w:name="_Toc184314418"/>
      <w:bookmarkEnd w:id="140"/>
      <w:bookmarkStart w:id="141" w:name="_Toc184308043"/>
      <w:bookmarkEnd w:id="141"/>
      <w:bookmarkStart w:id="142" w:name="_Toc184314417"/>
      <w:bookmarkEnd w:id="142"/>
      <w:bookmarkStart w:id="143" w:name="_Toc184312073"/>
      <w:bookmarkEnd w:id="143"/>
      <w:bookmarkStart w:id="144" w:name="_Toc184314428"/>
      <w:bookmarkEnd w:id="144"/>
      <w:bookmarkStart w:id="145" w:name="_Toc184308104"/>
      <w:bookmarkEnd w:id="145"/>
      <w:bookmarkStart w:id="146" w:name="_Toc184310342"/>
      <w:bookmarkEnd w:id="146"/>
      <w:bookmarkStart w:id="147" w:name="_Toc184310344"/>
      <w:bookmarkEnd w:id="147"/>
      <w:bookmarkStart w:id="148" w:name="_Toc184308075"/>
      <w:bookmarkEnd w:id="148"/>
      <w:bookmarkStart w:id="149" w:name="_Toc184312092"/>
      <w:bookmarkEnd w:id="149"/>
      <w:bookmarkStart w:id="150" w:name="_Toc184308042"/>
      <w:bookmarkEnd w:id="150"/>
      <w:bookmarkStart w:id="151" w:name="_Toc184314414"/>
      <w:bookmarkEnd w:id="151"/>
      <w:bookmarkStart w:id="152" w:name="_Toc184308059"/>
      <w:bookmarkEnd w:id="152"/>
      <w:bookmarkStart w:id="153" w:name="_Toc184313261"/>
      <w:bookmarkEnd w:id="153"/>
      <w:bookmarkStart w:id="154" w:name="_Toc184308060"/>
      <w:bookmarkEnd w:id="154"/>
      <w:bookmarkStart w:id="155" w:name="_Toc184308062"/>
      <w:bookmarkEnd w:id="155"/>
      <w:bookmarkStart w:id="156" w:name="_Toc184313276"/>
      <w:bookmarkEnd w:id="156"/>
      <w:bookmarkStart w:id="157" w:name="_Toc184310277"/>
      <w:bookmarkEnd w:id="157"/>
      <w:bookmarkStart w:id="158" w:name="_Toc184314448"/>
      <w:bookmarkEnd w:id="158"/>
      <w:bookmarkStart w:id="159" w:name="_Toc184312082"/>
      <w:bookmarkEnd w:id="159"/>
      <w:bookmarkStart w:id="160" w:name="_Toc184310276"/>
      <w:bookmarkEnd w:id="160"/>
      <w:bookmarkStart w:id="161" w:name="_Toc184308041"/>
      <w:bookmarkEnd w:id="161"/>
      <w:bookmarkStart w:id="162" w:name="_Toc184310280"/>
      <w:bookmarkEnd w:id="162"/>
      <w:bookmarkStart w:id="163" w:name="_Toc184312074"/>
      <w:bookmarkEnd w:id="163"/>
      <w:bookmarkStart w:id="164" w:name="_Toc184314433"/>
      <w:bookmarkEnd w:id="164"/>
      <w:bookmarkStart w:id="165" w:name="_Toc184314425"/>
      <w:bookmarkEnd w:id="165"/>
      <w:bookmarkStart w:id="166" w:name="_Toc184308106"/>
      <w:bookmarkEnd w:id="166"/>
      <w:bookmarkStart w:id="167" w:name="_Toc184312076"/>
      <w:bookmarkEnd w:id="167"/>
      <w:bookmarkStart w:id="168" w:name="_Toc184314415"/>
      <w:bookmarkEnd w:id="168"/>
      <w:bookmarkStart w:id="169" w:name="_Toc184310318"/>
      <w:bookmarkEnd w:id="169"/>
      <w:bookmarkStart w:id="170" w:name="_Toc184314472"/>
      <w:bookmarkEnd w:id="170"/>
      <w:bookmarkStart w:id="171" w:name="_Toc184308044"/>
      <w:bookmarkEnd w:id="171"/>
      <w:bookmarkStart w:id="172" w:name="_Toc184312077"/>
      <w:bookmarkEnd w:id="172"/>
      <w:bookmarkStart w:id="173" w:name="_Toc184312111"/>
      <w:bookmarkEnd w:id="173"/>
      <w:bookmarkStart w:id="174" w:name="_Toc184313282"/>
      <w:bookmarkEnd w:id="174"/>
      <w:bookmarkStart w:id="175" w:name="_Toc184312075"/>
      <w:bookmarkEnd w:id="175"/>
      <w:bookmarkStart w:id="176" w:name="_Toc184310272"/>
      <w:bookmarkEnd w:id="176"/>
      <w:bookmarkStart w:id="177" w:name="_Toc184313245"/>
      <w:bookmarkEnd w:id="177"/>
      <w:bookmarkStart w:id="178" w:name="_Toc184310278"/>
      <w:bookmarkEnd w:id="178"/>
      <w:bookmarkStart w:id="179" w:name="_Toc184314477"/>
      <w:bookmarkEnd w:id="179"/>
      <w:bookmarkStart w:id="180" w:name="_Toc184310332"/>
      <w:bookmarkEnd w:id="180"/>
      <w:bookmarkStart w:id="181" w:name="_Toc184313300"/>
      <w:bookmarkEnd w:id="181"/>
      <w:bookmarkStart w:id="182" w:name="_Toc184308036"/>
      <w:bookmarkEnd w:id="182"/>
      <w:bookmarkStart w:id="183" w:name="_Toc184310287"/>
      <w:bookmarkEnd w:id="183"/>
      <w:bookmarkStart w:id="184" w:name="_Toc184313309"/>
      <w:bookmarkEnd w:id="184"/>
      <w:bookmarkStart w:id="185" w:name="_Toc184312089"/>
      <w:bookmarkEnd w:id="185"/>
      <w:bookmarkStart w:id="186" w:name="_Toc184313243"/>
      <w:bookmarkEnd w:id="186"/>
      <w:bookmarkStart w:id="187" w:name="_Toc184313265"/>
      <w:bookmarkEnd w:id="187"/>
      <w:bookmarkStart w:id="188" w:name="_Toc184313278"/>
      <w:bookmarkEnd w:id="188"/>
      <w:bookmarkStart w:id="189" w:name="_Toc184314424"/>
      <w:bookmarkEnd w:id="189"/>
      <w:bookmarkStart w:id="190" w:name="_Toc184313290"/>
      <w:bookmarkEnd w:id="190"/>
      <w:bookmarkStart w:id="191" w:name="_Toc184314412"/>
      <w:bookmarkEnd w:id="191"/>
      <w:bookmarkStart w:id="192" w:name="_Toc184308096"/>
      <w:bookmarkEnd w:id="192"/>
      <w:bookmarkStart w:id="193" w:name="_Toc184308045"/>
      <w:bookmarkEnd w:id="193"/>
      <w:bookmarkStart w:id="194" w:name="_Toc184312125"/>
      <w:bookmarkEnd w:id="194"/>
      <w:bookmarkStart w:id="195" w:name="_Toc184310320"/>
      <w:bookmarkEnd w:id="195"/>
      <w:bookmarkStart w:id="196" w:name="_Toc184308050"/>
      <w:bookmarkEnd w:id="196"/>
      <w:bookmarkStart w:id="197" w:name="_Toc184314437"/>
      <w:bookmarkEnd w:id="197"/>
      <w:bookmarkStart w:id="198" w:name="_Toc184314471"/>
      <w:bookmarkEnd w:id="198"/>
      <w:bookmarkStart w:id="199" w:name="_Toc184314435"/>
      <w:bookmarkEnd w:id="199"/>
      <w:bookmarkStart w:id="200" w:name="_Toc184313284"/>
      <w:bookmarkEnd w:id="200"/>
      <w:bookmarkStart w:id="201" w:name="_Toc184308073"/>
      <w:bookmarkEnd w:id="201"/>
      <w:bookmarkStart w:id="202" w:name="_Toc184310304"/>
      <w:bookmarkEnd w:id="202"/>
      <w:bookmarkStart w:id="203" w:name="_Toc184312110"/>
      <w:bookmarkEnd w:id="203"/>
      <w:bookmarkStart w:id="204" w:name="_Toc184310321"/>
      <w:bookmarkEnd w:id="204"/>
      <w:bookmarkStart w:id="205" w:name="_Toc184314427"/>
      <w:bookmarkEnd w:id="205"/>
      <w:bookmarkStart w:id="206" w:name="_Toc184312090"/>
      <w:bookmarkEnd w:id="206"/>
      <w:bookmarkStart w:id="207" w:name="_Toc184313296"/>
      <w:bookmarkEnd w:id="207"/>
      <w:bookmarkStart w:id="208" w:name="_Toc184308080"/>
      <w:bookmarkEnd w:id="208"/>
      <w:bookmarkStart w:id="209" w:name="_Toc184310294"/>
      <w:bookmarkEnd w:id="209"/>
      <w:bookmarkStart w:id="210" w:name="_Toc184310295"/>
      <w:bookmarkEnd w:id="210"/>
      <w:bookmarkStart w:id="211" w:name="_Toc184308099"/>
      <w:bookmarkEnd w:id="211"/>
      <w:bookmarkStart w:id="212" w:name="_Toc184313304"/>
      <w:bookmarkEnd w:id="212"/>
      <w:bookmarkStart w:id="213" w:name="_Toc184312091"/>
      <w:bookmarkEnd w:id="213"/>
      <w:bookmarkStart w:id="214" w:name="_Toc184308046"/>
      <w:bookmarkEnd w:id="214"/>
      <w:bookmarkStart w:id="215" w:name="_Toc184312130"/>
      <w:bookmarkEnd w:id="215"/>
      <w:bookmarkStart w:id="216" w:name="_Toc184312132"/>
      <w:bookmarkEnd w:id="216"/>
      <w:bookmarkStart w:id="217" w:name="_Toc184314470"/>
      <w:bookmarkEnd w:id="217"/>
      <w:bookmarkStart w:id="218" w:name="_Toc184314481"/>
      <w:bookmarkEnd w:id="218"/>
      <w:bookmarkStart w:id="219" w:name="_Toc184308037"/>
      <w:bookmarkEnd w:id="219"/>
      <w:bookmarkStart w:id="220" w:name="_Toc184310334"/>
      <w:bookmarkEnd w:id="220"/>
      <w:bookmarkStart w:id="221" w:name="_Toc184314452"/>
      <w:bookmarkEnd w:id="221"/>
      <w:bookmarkStart w:id="222" w:name="_Toc184314468"/>
      <w:bookmarkEnd w:id="222"/>
      <w:bookmarkStart w:id="223" w:name="_Toc184312128"/>
      <w:bookmarkEnd w:id="223"/>
      <w:bookmarkStart w:id="224" w:name="_Toc184308092"/>
      <w:bookmarkEnd w:id="224"/>
      <w:bookmarkStart w:id="225" w:name="_Toc184308098"/>
      <w:bookmarkEnd w:id="225"/>
      <w:bookmarkStart w:id="226" w:name="_Toc184312134"/>
      <w:bookmarkEnd w:id="226"/>
      <w:bookmarkStart w:id="227" w:name="_Toc184312109"/>
      <w:bookmarkEnd w:id="227"/>
      <w:bookmarkStart w:id="228" w:name="_Toc184313297"/>
      <w:bookmarkEnd w:id="228"/>
      <w:bookmarkStart w:id="229" w:name="_Toc184314469"/>
      <w:bookmarkEnd w:id="229"/>
      <w:bookmarkStart w:id="230" w:name="_Toc184312122"/>
      <w:bookmarkEnd w:id="230"/>
      <w:bookmarkStart w:id="231" w:name="_Toc184313305"/>
      <w:bookmarkEnd w:id="231"/>
      <w:bookmarkStart w:id="232" w:name="_Toc184308097"/>
      <w:bookmarkEnd w:id="232"/>
      <w:bookmarkStart w:id="233" w:name="_Toc184308076"/>
      <w:bookmarkEnd w:id="233"/>
      <w:bookmarkStart w:id="234" w:name="_Toc184313286"/>
      <w:bookmarkEnd w:id="234"/>
      <w:bookmarkStart w:id="235" w:name="_Toc184308103"/>
      <w:bookmarkEnd w:id="235"/>
      <w:bookmarkStart w:id="236" w:name="_Toc184313299"/>
      <w:bookmarkEnd w:id="236"/>
      <w:bookmarkStart w:id="237" w:name="_Toc184313285"/>
      <w:bookmarkEnd w:id="237"/>
      <w:bookmarkStart w:id="238" w:name="_Toc184312129"/>
      <w:bookmarkEnd w:id="238"/>
      <w:bookmarkStart w:id="239" w:name="_Toc184310340"/>
      <w:bookmarkEnd w:id="239"/>
      <w:bookmarkStart w:id="240" w:name="_Toc184310330"/>
      <w:bookmarkEnd w:id="240"/>
      <w:bookmarkStart w:id="241" w:name="_Toc184308068"/>
      <w:bookmarkEnd w:id="241"/>
      <w:bookmarkStart w:id="242" w:name="_Toc184310329"/>
      <w:bookmarkEnd w:id="242"/>
      <w:bookmarkStart w:id="243" w:name="_Toc184312107"/>
      <w:bookmarkEnd w:id="243"/>
      <w:bookmarkStart w:id="244" w:name="_Toc184314457"/>
      <w:bookmarkEnd w:id="244"/>
      <w:bookmarkStart w:id="245" w:name="_Toc184313298"/>
      <w:bookmarkEnd w:id="245"/>
      <w:bookmarkStart w:id="246" w:name="_Toc184308090"/>
      <w:bookmarkEnd w:id="246"/>
      <w:bookmarkStart w:id="247" w:name="_Toc184310338"/>
      <w:bookmarkEnd w:id="247"/>
      <w:bookmarkStart w:id="248" w:name="_Toc184312127"/>
      <w:bookmarkEnd w:id="248"/>
      <w:bookmarkStart w:id="249" w:name="_Toc184313248"/>
      <w:bookmarkEnd w:id="249"/>
      <w:bookmarkStart w:id="250" w:name="_Toc184308094"/>
      <w:bookmarkEnd w:id="250"/>
      <w:bookmarkStart w:id="251" w:name="_Toc184310325"/>
      <w:bookmarkEnd w:id="251"/>
      <w:bookmarkStart w:id="252" w:name="_Toc184310333"/>
      <w:bookmarkEnd w:id="252"/>
      <w:bookmarkStart w:id="253" w:name="_Toc184308088"/>
      <w:bookmarkEnd w:id="253"/>
      <w:bookmarkStart w:id="254" w:name="_Toc184312137"/>
      <w:bookmarkEnd w:id="254"/>
      <w:bookmarkStart w:id="255" w:name="_Toc184313241"/>
      <w:bookmarkEnd w:id="255"/>
      <w:bookmarkStart w:id="256" w:name="_Toc184314466"/>
      <w:bookmarkEnd w:id="256"/>
      <w:bookmarkStart w:id="257" w:name="_Toc184312123"/>
      <w:bookmarkEnd w:id="257"/>
      <w:bookmarkStart w:id="258" w:name="_Toc184308085"/>
      <w:bookmarkEnd w:id="258"/>
      <w:bookmarkStart w:id="259" w:name="_Toc184308093"/>
      <w:bookmarkEnd w:id="259"/>
      <w:bookmarkStart w:id="260" w:name="_Toc184308087"/>
      <w:bookmarkEnd w:id="260"/>
      <w:bookmarkStart w:id="261" w:name="_Toc184312121"/>
      <w:bookmarkEnd w:id="261"/>
      <w:bookmarkStart w:id="262" w:name="_Toc184313294"/>
      <w:bookmarkEnd w:id="262"/>
      <w:bookmarkStart w:id="263" w:name="_Toc184308091"/>
      <w:bookmarkEnd w:id="263"/>
      <w:bookmarkStart w:id="264" w:name="_Toc184314476"/>
      <w:bookmarkEnd w:id="264"/>
      <w:bookmarkStart w:id="265" w:name="_Toc184314463"/>
      <w:bookmarkEnd w:id="265"/>
      <w:bookmarkStart w:id="266" w:name="_Toc184312114"/>
      <w:bookmarkEnd w:id="266"/>
      <w:bookmarkStart w:id="267" w:name="_Toc184308095"/>
      <w:bookmarkEnd w:id="267"/>
      <w:bookmarkStart w:id="268" w:name="_Toc184308089"/>
      <w:bookmarkEnd w:id="268"/>
      <w:bookmarkStart w:id="269" w:name="_Toc184312133"/>
      <w:bookmarkEnd w:id="269"/>
      <w:bookmarkStart w:id="270" w:name="_Toc184313288"/>
      <w:bookmarkEnd w:id="270"/>
      <w:bookmarkStart w:id="271" w:name="_Toc184312120"/>
      <w:bookmarkEnd w:id="271"/>
      <w:bookmarkStart w:id="272" w:name="_Toc184310331"/>
      <w:bookmarkEnd w:id="272"/>
      <w:bookmarkStart w:id="273" w:name="_Toc184310326"/>
      <w:bookmarkEnd w:id="273"/>
      <w:bookmarkStart w:id="274" w:name="_Toc184314467"/>
      <w:bookmarkEnd w:id="274"/>
      <w:bookmarkStart w:id="275" w:name="_Toc184312113"/>
      <w:bookmarkEnd w:id="275"/>
      <w:bookmarkStart w:id="276" w:name="_Toc184308077"/>
      <w:bookmarkEnd w:id="276"/>
      <w:bookmarkStart w:id="277" w:name="_Toc184314456"/>
      <w:bookmarkEnd w:id="277"/>
      <w:bookmarkStart w:id="278" w:name="_Toc184312080"/>
      <w:bookmarkEnd w:id="278"/>
      <w:bookmarkStart w:id="279" w:name="_Toc184312105"/>
      <w:bookmarkEnd w:id="279"/>
      <w:bookmarkStart w:id="280" w:name="_Toc184313250"/>
      <w:bookmarkEnd w:id="280"/>
      <w:bookmarkStart w:id="281" w:name="_Toc184310313"/>
      <w:bookmarkEnd w:id="281"/>
      <w:bookmarkStart w:id="282" w:name="_Toc184314461"/>
      <w:bookmarkEnd w:id="282"/>
      <w:bookmarkStart w:id="283" w:name="_Toc184313301"/>
      <w:bookmarkEnd w:id="283"/>
      <w:bookmarkStart w:id="284" w:name="_Toc184312071"/>
      <w:bookmarkEnd w:id="284"/>
      <w:bookmarkStart w:id="285" w:name="_Toc184314464"/>
      <w:bookmarkEnd w:id="285"/>
      <w:bookmarkStart w:id="286" w:name="_Toc184314451"/>
      <w:bookmarkEnd w:id="286"/>
      <w:bookmarkStart w:id="287" w:name="_Toc184308063"/>
      <w:bookmarkEnd w:id="287"/>
      <w:bookmarkStart w:id="288" w:name="_Toc184314479"/>
      <w:bookmarkEnd w:id="288"/>
      <w:bookmarkStart w:id="289" w:name="_Toc184314423"/>
      <w:bookmarkEnd w:id="289"/>
      <w:bookmarkStart w:id="290" w:name="_Toc184310286"/>
      <w:bookmarkEnd w:id="290"/>
      <w:bookmarkStart w:id="291" w:name="_Toc184308102"/>
      <w:bookmarkEnd w:id="291"/>
      <w:bookmarkStart w:id="292" w:name="_Toc184312124"/>
      <w:bookmarkEnd w:id="292"/>
      <w:bookmarkStart w:id="293" w:name="_Toc184313302"/>
      <w:bookmarkEnd w:id="293"/>
      <w:bookmarkStart w:id="294" w:name="_Toc184313252"/>
      <w:bookmarkEnd w:id="294"/>
      <w:bookmarkStart w:id="295" w:name="_Toc184314465"/>
      <w:bookmarkEnd w:id="295"/>
      <w:bookmarkStart w:id="296" w:name="_Toc184314422"/>
      <w:bookmarkEnd w:id="296"/>
      <w:bookmarkStart w:id="297" w:name="_Toc184312093"/>
      <w:bookmarkEnd w:id="297"/>
      <w:bookmarkStart w:id="298" w:name="_Toc184310324"/>
      <w:bookmarkEnd w:id="298"/>
      <w:bookmarkStart w:id="299" w:name="_Toc184312108"/>
      <w:bookmarkEnd w:id="299"/>
      <w:bookmarkStart w:id="300" w:name="_Toc184312119"/>
      <w:bookmarkEnd w:id="300"/>
      <w:bookmarkStart w:id="301" w:name="_Toc184313289"/>
      <w:bookmarkEnd w:id="301"/>
      <w:bookmarkStart w:id="302" w:name="_Toc184312118"/>
      <w:bookmarkEnd w:id="302"/>
      <w:bookmarkStart w:id="303" w:name="_Toc184310327"/>
      <w:bookmarkEnd w:id="303"/>
      <w:bookmarkStart w:id="304" w:name="_Toc184314480"/>
      <w:bookmarkEnd w:id="304"/>
      <w:bookmarkStart w:id="305" w:name="_Toc184314462"/>
      <w:bookmarkEnd w:id="305"/>
      <w:bookmarkStart w:id="306" w:name="_Toc184313242"/>
      <w:bookmarkEnd w:id="306"/>
      <w:bookmarkStart w:id="307" w:name="_Toc184312099"/>
      <w:bookmarkEnd w:id="307"/>
      <w:bookmarkStart w:id="308" w:name="_Toc184314482"/>
      <w:bookmarkEnd w:id="308"/>
      <w:bookmarkStart w:id="309" w:name="_Toc184308079"/>
      <w:bookmarkEnd w:id="309"/>
      <w:bookmarkStart w:id="310" w:name="_Toc184308108"/>
      <w:bookmarkEnd w:id="310"/>
      <w:bookmarkStart w:id="311" w:name="_Toc184312096"/>
      <w:bookmarkEnd w:id="311"/>
      <w:bookmarkStart w:id="312" w:name="_Toc184312136"/>
      <w:bookmarkEnd w:id="312"/>
      <w:bookmarkStart w:id="313" w:name="_Toc184314460"/>
      <w:bookmarkEnd w:id="313"/>
      <w:bookmarkStart w:id="314" w:name="_Toc184310328"/>
      <w:bookmarkEnd w:id="314"/>
      <w:bookmarkStart w:id="315" w:name="_Toc184314444"/>
      <w:bookmarkEnd w:id="315"/>
      <w:bookmarkStart w:id="316" w:name="_Toc184314420"/>
      <w:bookmarkEnd w:id="316"/>
      <w:bookmarkStart w:id="317" w:name="_Toc184308100"/>
      <w:bookmarkEnd w:id="317"/>
      <w:bookmarkStart w:id="318" w:name="_Toc184310323"/>
      <w:bookmarkEnd w:id="318"/>
      <w:bookmarkStart w:id="319" w:name="_Toc184310307"/>
      <w:bookmarkEnd w:id="319"/>
      <w:bookmarkStart w:id="320" w:name="_Toc184313274"/>
      <w:bookmarkEnd w:id="320"/>
      <w:bookmarkStart w:id="321" w:name="_Toc184312139"/>
      <w:bookmarkEnd w:id="321"/>
      <w:bookmarkStart w:id="322" w:name="_Toc184314419"/>
      <w:bookmarkEnd w:id="322"/>
      <w:bookmarkStart w:id="323" w:name="_Toc184308107"/>
      <w:bookmarkEnd w:id="323"/>
      <w:bookmarkStart w:id="324" w:name="_Toc184308086"/>
      <w:bookmarkEnd w:id="324"/>
      <w:bookmarkStart w:id="325" w:name="_Toc184312104"/>
      <w:bookmarkEnd w:id="325"/>
      <w:bookmarkStart w:id="326" w:name="_Toc184310319"/>
      <w:bookmarkEnd w:id="326"/>
      <w:bookmarkStart w:id="327" w:name="_Toc184313293"/>
      <w:bookmarkEnd w:id="327"/>
      <w:bookmarkStart w:id="328" w:name="_Toc184310284"/>
      <w:bookmarkEnd w:id="328"/>
      <w:bookmarkStart w:id="329" w:name="_Toc184312079"/>
      <w:bookmarkEnd w:id="329"/>
      <w:bookmarkStart w:id="330" w:name="_Toc184310309"/>
      <w:bookmarkEnd w:id="330"/>
      <w:bookmarkStart w:id="331" w:name="_Toc184312126"/>
      <w:bookmarkEnd w:id="331"/>
      <w:bookmarkStart w:id="332" w:name="_Toc184314421"/>
      <w:bookmarkEnd w:id="332"/>
      <w:bookmarkStart w:id="333" w:name="_Toc184314436"/>
      <w:bookmarkEnd w:id="333"/>
      <w:bookmarkStart w:id="334" w:name="_Toc184313310"/>
      <w:bookmarkEnd w:id="334"/>
      <w:bookmarkStart w:id="335" w:name="_Toc184312138"/>
      <w:bookmarkEnd w:id="335"/>
      <w:bookmarkStart w:id="336" w:name="_Toc184313295"/>
      <w:bookmarkEnd w:id="336"/>
      <w:bookmarkStart w:id="337" w:name="_Toc184308072"/>
      <w:bookmarkEnd w:id="337"/>
      <w:bookmarkStart w:id="338" w:name="_Toc184308051"/>
      <w:bookmarkEnd w:id="338"/>
      <w:bookmarkStart w:id="339" w:name="_Toc184310303"/>
      <w:bookmarkEnd w:id="339"/>
      <w:bookmarkStart w:id="340" w:name="_Toc184308048"/>
      <w:bookmarkEnd w:id="340"/>
      <w:bookmarkStart w:id="341" w:name="_Toc184313247"/>
      <w:bookmarkEnd w:id="341"/>
      <w:bookmarkStart w:id="342" w:name="_Toc184313279"/>
      <w:bookmarkEnd w:id="342"/>
      <w:bookmarkStart w:id="343" w:name="_Toc184313291"/>
      <w:bookmarkEnd w:id="343"/>
      <w:bookmarkStart w:id="344" w:name="_Toc184308071"/>
      <w:bookmarkEnd w:id="344"/>
      <w:bookmarkStart w:id="345" w:name="_Toc184308070"/>
      <w:bookmarkEnd w:id="345"/>
      <w:bookmarkStart w:id="346" w:name="_Toc184310343"/>
      <w:bookmarkEnd w:id="346"/>
      <w:bookmarkStart w:id="347" w:name="_Toc184310311"/>
      <w:bookmarkEnd w:id="347"/>
      <w:bookmarkStart w:id="348" w:name="_Toc184312078"/>
      <w:bookmarkEnd w:id="348"/>
      <w:bookmarkStart w:id="349" w:name="_Toc184313272"/>
      <w:bookmarkEnd w:id="349"/>
      <w:bookmarkStart w:id="350" w:name="_Toc184308084"/>
      <w:bookmarkEnd w:id="350"/>
      <w:bookmarkStart w:id="351" w:name="_Toc184314410"/>
      <w:bookmarkEnd w:id="351"/>
      <w:bookmarkStart w:id="352" w:name="_Toc184310337"/>
      <w:bookmarkEnd w:id="352"/>
      <w:bookmarkStart w:id="353" w:name="_Toc184313239"/>
      <w:bookmarkEnd w:id="353"/>
      <w:bookmarkStart w:id="354" w:name="_Toc184308083"/>
      <w:bookmarkEnd w:id="354"/>
      <w:bookmarkStart w:id="355" w:name="_Toc184313238"/>
      <w:bookmarkEnd w:id="355"/>
      <w:bookmarkStart w:id="356" w:name="_Toc184310285"/>
      <w:bookmarkEnd w:id="356"/>
      <w:bookmarkStart w:id="357" w:name="_Toc184314440"/>
      <w:bookmarkEnd w:id="357"/>
      <w:bookmarkStart w:id="358" w:name="_Toc184313264"/>
      <w:bookmarkEnd w:id="358"/>
      <w:bookmarkStart w:id="359" w:name="_Toc184314453"/>
      <w:bookmarkEnd w:id="359"/>
      <w:bookmarkStart w:id="360" w:name="_Toc184310283"/>
      <w:bookmarkEnd w:id="360"/>
      <w:bookmarkStart w:id="361" w:name="_Toc184312081"/>
      <w:bookmarkEnd w:id="361"/>
      <w:bookmarkStart w:id="362" w:name="_Toc184312102"/>
      <w:bookmarkEnd w:id="362"/>
      <w:bookmarkStart w:id="363" w:name="_Toc184313249"/>
      <w:bookmarkEnd w:id="363"/>
      <w:bookmarkStart w:id="364" w:name="_Toc184314442"/>
      <w:bookmarkEnd w:id="364"/>
      <w:bookmarkStart w:id="365" w:name="_Toc184310306"/>
      <w:bookmarkEnd w:id="365"/>
      <w:bookmarkStart w:id="366" w:name="_Toc184313270"/>
      <w:bookmarkEnd w:id="366"/>
      <w:bookmarkStart w:id="367" w:name="_Toc184314445"/>
      <w:bookmarkEnd w:id="367"/>
      <w:bookmarkStart w:id="368" w:name="_Toc184314441"/>
      <w:bookmarkEnd w:id="368"/>
      <w:bookmarkStart w:id="369" w:name="_Toc184313308"/>
      <w:bookmarkEnd w:id="369"/>
      <w:bookmarkStart w:id="370" w:name="_Toc184312131"/>
      <w:bookmarkEnd w:id="370"/>
      <w:bookmarkStart w:id="371" w:name="_Toc184313283"/>
      <w:bookmarkEnd w:id="371"/>
      <w:bookmarkStart w:id="372" w:name="_Toc184313240"/>
      <w:bookmarkEnd w:id="372"/>
      <w:bookmarkStart w:id="373" w:name="_Toc184314439"/>
      <w:bookmarkEnd w:id="373"/>
      <w:bookmarkStart w:id="374" w:name="_Toc184308069"/>
      <w:bookmarkEnd w:id="374"/>
      <w:bookmarkStart w:id="375" w:name="_Toc184310308"/>
      <w:bookmarkEnd w:id="375"/>
      <w:bookmarkStart w:id="376" w:name="_Toc184310293"/>
      <w:bookmarkEnd w:id="376"/>
      <w:bookmarkStart w:id="377" w:name="_Toc184312101"/>
      <w:bookmarkEnd w:id="377"/>
      <w:bookmarkStart w:id="378" w:name="_Toc184313268"/>
      <w:bookmarkEnd w:id="378"/>
      <w:bookmarkStart w:id="379" w:name="_Toc184310305"/>
      <w:bookmarkEnd w:id="379"/>
      <w:bookmarkStart w:id="380" w:name="_Toc184308078"/>
      <w:bookmarkEnd w:id="380"/>
      <w:bookmarkStart w:id="381" w:name="_Toc184313281"/>
      <w:bookmarkEnd w:id="381"/>
      <w:bookmarkStart w:id="382" w:name="_Toc184313271"/>
      <w:bookmarkEnd w:id="382"/>
      <w:bookmarkStart w:id="383" w:name="_Toc184310300"/>
      <w:bookmarkEnd w:id="383"/>
      <w:bookmarkStart w:id="384" w:name="_Toc184310310"/>
      <w:bookmarkEnd w:id="384"/>
      <w:bookmarkStart w:id="385" w:name="_Toc184313258"/>
      <w:bookmarkEnd w:id="385"/>
      <w:bookmarkStart w:id="386" w:name="_Toc184313269"/>
      <w:bookmarkEnd w:id="386"/>
      <w:bookmarkStart w:id="387" w:name="_Toc184308047"/>
      <w:bookmarkEnd w:id="387"/>
      <w:bookmarkStart w:id="388" w:name="_Toc184313255"/>
      <w:bookmarkEnd w:id="388"/>
      <w:bookmarkStart w:id="389" w:name="_Toc184314426"/>
      <w:bookmarkEnd w:id="389"/>
      <w:bookmarkStart w:id="390" w:name="_Toc184313257"/>
      <w:bookmarkEnd w:id="390"/>
      <w:bookmarkStart w:id="391" w:name="_Toc184308082"/>
      <w:bookmarkEnd w:id="391"/>
      <w:bookmarkStart w:id="392" w:name="_Toc184313267"/>
      <w:bookmarkEnd w:id="392"/>
      <w:r>
        <w:rPr>
          <w:rFonts w:hint="eastAsia" w:ascii="仿宋" w:hAnsi="仿宋" w:eastAsia="仿宋" w:cs="仿宋_GB2312"/>
          <w:b/>
          <w:sz w:val="36"/>
          <w:szCs w:val="36"/>
        </w:rPr>
        <w:t>评标办法</w:t>
      </w:r>
    </w:p>
    <w:p>
      <w:pPr>
        <w:snapToGrid w:val="0"/>
        <w:spacing w:line="360" w:lineRule="auto"/>
        <w:jc w:val="center"/>
        <w:rPr>
          <w:rFonts w:hint="default" w:ascii="仿宋" w:hAnsi="仿宋" w:eastAsia="仿宋" w:cs="仿宋_GB2312"/>
          <w:b/>
          <w:sz w:val="32"/>
          <w:szCs w:val="20"/>
          <w:lang w:val="en-US" w:eastAsia="zh-CN"/>
        </w:rPr>
      </w:pPr>
      <w:r>
        <w:rPr>
          <w:rFonts w:hint="eastAsia" w:ascii="仿宋" w:hAnsi="仿宋" w:eastAsia="仿宋" w:cs="仿宋_GB2312"/>
          <w:b/>
          <w:sz w:val="32"/>
          <w:szCs w:val="20"/>
        </w:rPr>
        <w:t>评标办法前附表</w:t>
      </w:r>
    </w:p>
    <w:tbl>
      <w:tblPr>
        <w:tblStyle w:val="64"/>
        <w:tblpPr w:leftFromText="180" w:rightFromText="180" w:vertAnchor="text" w:horzAnchor="page" w:tblpXSpec="center" w:tblpY="126"/>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06"/>
        <w:gridCol w:w="5367"/>
        <w:gridCol w:w="76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676" w:type="pct"/>
            <w:vAlign w:val="center"/>
          </w:tcPr>
          <w:p>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评标内容</w:t>
            </w:r>
          </w:p>
        </w:tc>
        <w:tc>
          <w:tcPr>
            <w:tcW w:w="3011" w:type="pct"/>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429" w:type="pct"/>
            <w:vAlign w:val="center"/>
          </w:tcPr>
          <w:p>
            <w:pPr>
              <w:spacing w:line="240" w:lineRule="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413" w:type="pct"/>
            <w:vAlign w:val="center"/>
          </w:tcPr>
          <w:p>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68" w:type="pct"/>
            <w:vMerge w:val="restart"/>
            <w:vAlign w:val="center"/>
          </w:tcPr>
          <w:p>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76" w:type="pct"/>
            <w:vMerge w:val="restart"/>
            <w:vAlign w:val="center"/>
          </w:tcPr>
          <w:p>
            <w:pPr>
              <w:spacing w:line="24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综合实力</w:t>
            </w:r>
          </w:p>
        </w:tc>
        <w:tc>
          <w:tcPr>
            <w:tcW w:w="3011" w:type="pct"/>
            <w:vAlign w:val="center"/>
          </w:tcPr>
          <w:p>
            <w:pPr>
              <w:spacing w:line="240" w:lineRule="auto"/>
              <w:jc w:val="left"/>
              <w:outlineLvl w:val="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自有图书现场采购场地</w:t>
            </w:r>
          </w:p>
          <w:p>
            <w:pPr>
              <w:spacing w:line="240" w:lineRule="auto"/>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zh-CN" w:eastAsia="zh-CN"/>
              </w:rPr>
              <w:t>投标人自有图书现场采购场地达</w:t>
            </w: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lang w:val="zh-CN" w:eastAsia="zh-CN"/>
              </w:rPr>
              <w:t>00平方米及以上得3分；</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000（含）-</w:t>
            </w: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lang w:val="zh-CN" w:eastAsia="zh-CN"/>
              </w:rPr>
              <w:t>00（不含）平方米得2分，</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eastAsia="zh-CN"/>
              </w:rPr>
              <w:t>00（含）-</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000（不含）平方米得1分，</w:t>
            </w: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lang w:val="zh-CN" w:eastAsia="zh-CN"/>
              </w:rPr>
              <w:t>00平方米以下不得分。（证明材料提供租房协议或房产证证明及现场图片）。</w:t>
            </w:r>
          </w:p>
        </w:tc>
        <w:tc>
          <w:tcPr>
            <w:tcW w:w="429" w:type="pct"/>
            <w:vAlign w:val="center"/>
          </w:tcPr>
          <w:p>
            <w:pPr>
              <w:spacing w:line="24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3分</w:t>
            </w:r>
          </w:p>
        </w:tc>
        <w:tc>
          <w:tcPr>
            <w:tcW w:w="413" w:type="pct"/>
            <w:vAlign w:val="center"/>
          </w:tcPr>
          <w:p>
            <w:pPr>
              <w:spacing w:line="240" w:lineRule="auto"/>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468" w:type="pct"/>
            <w:vMerge w:val="continue"/>
            <w:vAlign w:val="center"/>
          </w:tcPr>
          <w:p>
            <w:pPr>
              <w:spacing w:line="240" w:lineRule="auto"/>
              <w:jc w:val="center"/>
              <w:outlineLvl w:val="0"/>
              <w:rPr>
                <w:rFonts w:hint="eastAsia" w:ascii="仿宋" w:hAnsi="仿宋" w:eastAsia="仿宋" w:cs="仿宋"/>
                <w:color w:val="auto"/>
                <w:sz w:val="24"/>
                <w:szCs w:val="24"/>
              </w:rPr>
            </w:pPr>
          </w:p>
        </w:tc>
        <w:tc>
          <w:tcPr>
            <w:tcW w:w="676" w:type="pct"/>
            <w:vMerge w:val="continue"/>
            <w:vAlign w:val="center"/>
          </w:tcPr>
          <w:p>
            <w:pPr>
              <w:spacing w:line="240" w:lineRule="auto"/>
              <w:jc w:val="center"/>
              <w:outlineLvl w:val="0"/>
              <w:rPr>
                <w:rFonts w:hint="eastAsia" w:ascii="仿宋" w:hAnsi="仿宋" w:eastAsia="仿宋" w:cs="仿宋"/>
                <w:color w:val="auto"/>
                <w:sz w:val="24"/>
                <w:szCs w:val="24"/>
              </w:rPr>
            </w:pPr>
          </w:p>
        </w:tc>
        <w:tc>
          <w:tcPr>
            <w:tcW w:w="3011" w:type="pct"/>
            <w:vAlign w:val="center"/>
          </w:tcPr>
          <w:p>
            <w:pPr>
              <w:spacing w:line="240" w:lineRule="auto"/>
              <w:jc w:val="left"/>
              <w:outlineLvl w:val="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投标人拥有的技术力量情况：</w:t>
            </w:r>
          </w:p>
          <w:p>
            <w:pPr>
              <w:spacing w:line="240" w:lineRule="auto"/>
              <w:jc w:val="left"/>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投标人具有有效期内国家图书馆认证的编目资格证书每提供一个得</w:t>
            </w:r>
            <w:r>
              <w:rPr>
                <w:rFonts w:hint="eastAsia" w:ascii="仿宋" w:hAnsi="仿宋" w:eastAsia="仿宋" w:cs="仿宋"/>
                <w:color w:val="auto"/>
                <w:sz w:val="24"/>
                <w:szCs w:val="24"/>
                <w:lang w:val="en-US" w:eastAsia="zh-CN"/>
              </w:rPr>
              <w:t>1分，最高得6分。</w:t>
            </w:r>
          </w:p>
          <w:p>
            <w:pPr>
              <w:spacing w:line="240" w:lineRule="auto"/>
              <w:jc w:val="left"/>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以上人员需提供相关证书扫描件及本单位的近</w:t>
            </w:r>
            <w:r>
              <w:rPr>
                <w:rFonts w:hint="eastAsia" w:ascii="仿宋" w:hAnsi="仿宋" w:eastAsia="仿宋" w:cs="仿宋"/>
                <w:color w:val="auto"/>
                <w:sz w:val="24"/>
                <w:szCs w:val="24"/>
                <w:lang w:val="en-US" w:eastAsia="zh-CN"/>
              </w:rPr>
              <w:t>3个月社保缴纳证明。</w:t>
            </w:r>
          </w:p>
        </w:tc>
        <w:tc>
          <w:tcPr>
            <w:tcW w:w="429" w:type="pct"/>
            <w:vAlign w:val="center"/>
          </w:tcPr>
          <w:p>
            <w:pPr>
              <w:spacing w:line="24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分</w:t>
            </w:r>
          </w:p>
        </w:tc>
        <w:tc>
          <w:tcPr>
            <w:tcW w:w="413" w:type="pct"/>
            <w:vAlign w:val="center"/>
          </w:tcPr>
          <w:p>
            <w:pPr>
              <w:spacing w:line="240" w:lineRule="auto"/>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468" w:type="pct"/>
            <w:vMerge w:val="continue"/>
            <w:vAlign w:val="center"/>
          </w:tcPr>
          <w:p>
            <w:pPr>
              <w:spacing w:line="240" w:lineRule="auto"/>
              <w:jc w:val="center"/>
              <w:outlineLvl w:val="0"/>
              <w:rPr>
                <w:color w:val="auto"/>
                <w:sz w:val="24"/>
                <w:szCs w:val="24"/>
              </w:rPr>
            </w:pPr>
          </w:p>
        </w:tc>
        <w:tc>
          <w:tcPr>
            <w:tcW w:w="676" w:type="pct"/>
            <w:vMerge w:val="continue"/>
            <w:vAlign w:val="center"/>
          </w:tcPr>
          <w:p>
            <w:pPr>
              <w:spacing w:line="240" w:lineRule="auto"/>
              <w:jc w:val="center"/>
              <w:outlineLvl w:val="0"/>
              <w:rPr>
                <w:color w:val="auto"/>
                <w:sz w:val="24"/>
                <w:szCs w:val="24"/>
              </w:rPr>
            </w:pPr>
          </w:p>
        </w:tc>
        <w:tc>
          <w:tcPr>
            <w:tcW w:w="3011" w:type="pct"/>
            <w:vAlign w:val="center"/>
          </w:tcPr>
          <w:p>
            <w:pPr>
              <w:spacing w:line="240" w:lineRule="auto"/>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投标人满足图书应急采购、属地文献采购，以及属地其它专题采购的实际能力，</w:t>
            </w:r>
            <w:r>
              <w:rPr>
                <w:rFonts w:hint="eastAsia" w:ascii="仿宋" w:hAnsi="仿宋" w:eastAsia="仿宋" w:cs="仿宋"/>
                <w:color w:val="auto"/>
                <w:sz w:val="24"/>
                <w:szCs w:val="24"/>
                <w:lang w:eastAsia="zh-CN"/>
              </w:rPr>
              <w:t>专家对比所有投标人所提供的方案进行</w:t>
            </w:r>
            <w:r>
              <w:rPr>
                <w:rFonts w:hint="eastAsia" w:ascii="仿宋" w:hAnsi="仿宋" w:eastAsia="仿宋" w:cs="仿宋"/>
                <w:color w:val="auto"/>
                <w:sz w:val="24"/>
                <w:szCs w:val="24"/>
                <w:lang w:val="zh-CN" w:eastAsia="zh-CN"/>
              </w:rPr>
              <w:t>综合打分</w:t>
            </w:r>
            <w:r>
              <w:rPr>
                <w:rFonts w:hint="eastAsia" w:ascii="仿宋" w:hAnsi="仿宋" w:eastAsia="仿宋" w:cs="仿宋"/>
                <w:color w:val="auto"/>
                <w:sz w:val="24"/>
                <w:szCs w:val="24"/>
                <w:lang w:eastAsia="zh-CN"/>
              </w:rPr>
              <w:t>（0-</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分）。</w:t>
            </w:r>
          </w:p>
        </w:tc>
        <w:tc>
          <w:tcPr>
            <w:tcW w:w="429" w:type="pc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分</w:t>
            </w:r>
          </w:p>
        </w:tc>
        <w:tc>
          <w:tcPr>
            <w:tcW w:w="413" w:type="pct"/>
            <w:vAlign w:val="center"/>
          </w:tcPr>
          <w:p>
            <w:pPr>
              <w:spacing w:line="240" w:lineRule="auto"/>
              <w:jc w:val="center"/>
              <w:outlineLvl w:val="0"/>
              <w:rPr>
                <w:rFonts w:hint="eastAsia" w:ascii="仿宋" w:hAnsi="仿宋" w:eastAsia="仿宋" w:cs="仿宋"/>
                <w:color w:val="auto"/>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6" w:type="pct"/>
            <w:vAlign w:val="center"/>
          </w:tcPr>
          <w:p>
            <w:pPr>
              <w:spacing w:line="24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成功案例</w:t>
            </w:r>
          </w:p>
        </w:tc>
        <w:tc>
          <w:tcPr>
            <w:tcW w:w="3011" w:type="pct"/>
            <w:vAlign w:val="center"/>
          </w:tcPr>
          <w:p>
            <w:pPr>
              <w:spacing w:line="240" w:lineRule="auto"/>
              <w:jc w:val="left"/>
              <w:outlineLvl w:val="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投标人201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val="zh-CN" w:eastAsia="zh-CN"/>
              </w:rPr>
              <w:t>年1月1日至今有为公共图书馆及学校图书馆提供配送全加工图书的经验，有一家得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分，最多得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eastAsia="zh-CN"/>
              </w:rPr>
              <w:t>分（投标文件须提供合同扫描件）。</w:t>
            </w:r>
          </w:p>
        </w:tc>
        <w:tc>
          <w:tcPr>
            <w:tcW w:w="429" w:type="pct"/>
            <w:vAlign w:val="center"/>
          </w:tcPr>
          <w:p>
            <w:pPr>
              <w:spacing w:line="240" w:lineRule="auto"/>
              <w:jc w:val="center"/>
              <w:outlineLvl w:val="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eastAsia="zh-CN"/>
              </w:rPr>
              <w:t>分</w:t>
            </w:r>
          </w:p>
        </w:tc>
        <w:tc>
          <w:tcPr>
            <w:tcW w:w="413" w:type="pct"/>
          </w:tcPr>
          <w:p>
            <w:pPr>
              <w:spacing w:line="240" w:lineRule="auto"/>
              <w:outlineLvl w:val="0"/>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68" w:type="pct"/>
            <w:vMerge w:val="restart"/>
            <w:vAlign w:val="center"/>
          </w:tcPr>
          <w:p>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676" w:type="pct"/>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实施能力</w:t>
            </w:r>
          </w:p>
        </w:tc>
        <w:tc>
          <w:tcPr>
            <w:tcW w:w="301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进货渠道的保障能力：提供与各类别（社科、文艺、美术、科技、教育、少儿、古籍）出版社或供货商的清单。根据投标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提供的合作出版社或供货商数量</w:t>
            </w:r>
            <w:r>
              <w:rPr>
                <w:rFonts w:hint="eastAsia" w:ascii="仿宋" w:hAnsi="仿宋" w:eastAsia="仿宋" w:cs="仿宋"/>
                <w:color w:val="auto"/>
                <w:sz w:val="24"/>
                <w:szCs w:val="24"/>
                <w:lang w:eastAsia="zh-CN"/>
              </w:rPr>
              <w:t>进行打分，</w:t>
            </w:r>
            <w:r>
              <w:rPr>
                <w:rFonts w:hint="default" w:ascii="Arial" w:hAnsi="Arial" w:eastAsia="仿宋" w:cs="Arial"/>
                <w:color w:val="auto"/>
                <w:sz w:val="24"/>
                <w:szCs w:val="24"/>
                <w:lang w:eastAsia="zh-CN"/>
              </w:rPr>
              <w:t>≥</w:t>
            </w:r>
            <w:r>
              <w:rPr>
                <w:rFonts w:hint="eastAsia" w:ascii="仿宋" w:hAnsi="仿宋" w:eastAsia="仿宋" w:cs="仿宋"/>
                <w:color w:val="auto"/>
                <w:sz w:val="24"/>
                <w:szCs w:val="24"/>
                <w:lang w:val="en-US" w:eastAsia="zh-CN"/>
              </w:rPr>
              <w:t>700家</w:t>
            </w:r>
            <w:r>
              <w:rPr>
                <w:rFonts w:hint="eastAsia" w:ascii="仿宋" w:hAnsi="仿宋" w:eastAsia="仿宋" w:cs="仿宋"/>
                <w:color w:val="auto"/>
                <w:sz w:val="24"/>
                <w:szCs w:val="24"/>
              </w:rPr>
              <w:t>合作出版社</w:t>
            </w:r>
            <w:r>
              <w:rPr>
                <w:rFonts w:hint="eastAsia" w:ascii="仿宋" w:hAnsi="仿宋" w:eastAsia="仿宋" w:cs="仿宋"/>
                <w:color w:val="auto"/>
                <w:sz w:val="24"/>
                <w:szCs w:val="24"/>
                <w:lang w:val="en-US" w:eastAsia="zh-CN"/>
              </w:rPr>
              <w:t>的得2分，600-699家</w:t>
            </w:r>
            <w:r>
              <w:rPr>
                <w:rFonts w:hint="eastAsia" w:ascii="仿宋" w:hAnsi="仿宋" w:eastAsia="仿宋" w:cs="仿宋"/>
                <w:color w:val="auto"/>
                <w:sz w:val="24"/>
                <w:szCs w:val="24"/>
              </w:rPr>
              <w:t>合作出版社</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lang w:val="en-US" w:eastAsia="zh-CN"/>
              </w:rPr>
              <w:t>得1分，599家以下</w:t>
            </w:r>
            <w:r>
              <w:rPr>
                <w:rFonts w:hint="eastAsia" w:ascii="仿宋" w:hAnsi="仿宋" w:eastAsia="仿宋" w:cs="仿宋"/>
                <w:color w:val="auto"/>
                <w:sz w:val="24"/>
                <w:szCs w:val="24"/>
              </w:rPr>
              <w:t>合作出版社</w:t>
            </w:r>
            <w:r>
              <w:rPr>
                <w:rFonts w:hint="eastAsia" w:ascii="仿宋" w:hAnsi="仿宋" w:eastAsia="仿宋" w:cs="仿宋"/>
                <w:color w:val="auto"/>
                <w:sz w:val="24"/>
                <w:szCs w:val="24"/>
                <w:lang w:val="en-US" w:eastAsia="zh-CN"/>
              </w:rPr>
              <w:t>的得0.5分</w:t>
            </w:r>
            <w:r>
              <w:rPr>
                <w:rFonts w:hint="eastAsia" w:ascii="仿宋" w:hAnsi="仿宋" w:eastAsia="仿宋" w:cs="仿宋"/>
                <w:color w:val="auto"/>
                <w:sz w:val="24"/>
                <w:szCs w:val="24"/>
              </w:rPr>
              <w:t>（提供相关证明资料）</w:t>
            </w:r>
            <w:r>
              <w:rPr>
                <w:rFonts w:hint="eastAsia" w:ascii="仿宋" w:hAnsi="仿宋" w:eastAsia="仿宋" w:cs="仿宋"/>
                <w:color w:val="auto"/>
                <w:sz w:val="24"/>
                <w:szCs w:val="24"/>
                <w:lang w:eastAsia="zh-CN"/>
              </w:rPr>
              <w:t>。</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2分</w:t>
            </w:r>
          </w:p>
        </w:tc>
        <w:tc>
          <w:tcPr>
            <w:tcW w:w="413" w:type="pct"/>
          </w:tcPr>
          <w:p>
            <w:pPr>
              <w:spacing w:line="240" w:lineRule="auto"/>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676"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301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根据投标人提供的</w:t>
            </w:r>
            <w:r>
              <w:rPr>
                <w:rFonts w:hint="eastAsia" w:ascii="仿宋" w:hAnsi="仿宋" w:eastAsia="仿宋" w:cs="仿宋"/>
                <w:color w:val="auto"/>
                <w:sz w:val="24"/>
                <w:szCs w:val="24"/>
              </w:rPr>
              <w:t>订单处理、清单发送、图书质量保证、图书退换处理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图书包装质量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运送及时性，搬运到位程度和其他服务</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到书率</w:t>
            </w:r>
            <w:r>
              <w:rPr>
                <w:rFonts w:hint="eastAsia" w:ascii="仿宋" w:hAnsi="仿宋" w:eastAsia="仿宋" w:cs="仿宋"/>
                <w:color w:val="auto"/>
                <w:sz w:val="24"/>
                <w:szCs w:val="24"/>
                <w:lang w:eastAsia="zh-CN"/>
              </w:rPr>
              <w:t>等方案进行综合打分</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413"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pPr>
              <w:spacing w:line="240" w:lineRule="auto"/>
              <w:jc w:val="center"/>
              <w:rPr>
                <w:rFonts w:hint="eastAsia" w:ascii="仿宋" w:hAnsi="仿宋" w:eastAsia="仿宋" w:cs="仿宋"/>
                <w:bCs/>
                <w:iCs/>
                <w:color w:val="auto"/>
                <w:sz w:val="24"/>
                <w:szCs w:val="24"/>
              </w:rPr>
            </w:pPr>
          </w:p>
        </w:tc>
        <w:tc>
          <w:tcPr>
            <w:tcW w:w="676" w:type="pct"/>
            <w:vMerge w:val="continue"/>
            <w:vAlign w:val="center"/>
          </w:tcPr>
          <w:p>
            <w:pPr>
              <w:spacing w:line="240" w:lineRule="auto"/>
              <w:jc w:val="center"/>
              <w:rPr>
                <w:rFonts w:hint="eastAsia" w:ascii="仿宋" w:hAnsi="仿宋" w:eastAsia="仿宋" w:cs="仿宋"/>
                <w:bCs/>
                <w:iCs/>
                <w:color w:val="auto"/>
                <w:sz w:val="24"/>
                <w:szCs w:val="24"/>
              </w:rPr>
            </w:pPr>
          </w:p>
        </w:tc>
        <w:tc>
          <w:tcPr>
            <w:tcW w:w="301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4"/>
                <w:szCs w:val="24"/>
                <w:lang w:eastAsia="zh-CN"/>
              </w:rPr>
            </w:pPr>
            <w:r>
              <w:rPr>
                <w:rFonts w:hint="eastAsia" w:ascii="仿宋" w:hAnsi="仿宋" w:eastAsia="仿宋" w:cs="仿宋"/>
                <w:color w:val="auto"/>
                <w:sz w:val="24"/>
                <w:szCs w:val="24"/>
              </w:rPr>
              <w:t>投标人提供的采访书目信息的准确性、覆盖程度（完整性）和时效性、现货比例。</w:t>
            </w:r>
            <w:r>
              <w:rPr>
                <w:rFonts w:hint="eastAsia" w:ascii="仿宋" w:hAnsi="仿宋" w:eastAsia="仿宋" w:cs="仿宋"/>
                <w:color w:val="auto"/>
                <w:sz w:val="24"/>
                <w:szCs w:val="24"/>
                <w:lang w:val="zh-CN"/>
              </w:rPr>
              <w:t>投标人</w:t>
            </w:r>
            <w:r>
              <w:rPr>
                <w:rFonts w:hint="eastAsia" w:ascii="仿宋" w:hAnsi="仿宋" w:eastAsia="仿宋" w:cs="仿宋"/>
                <w:color w:val="auto"/>
                <w:sz w:val="24"/>
                <w:szCs w:val="24"/>
              </w:rPr>
              <w:t>自行提供相应材料佐证，由评标专家</w:t>
            </w:r>
            <w:r>
              <w:rPr>
                <w:rFonts w:hint="eastAsia" w:ascii="仿宋" w:hAnsi="仿宋" w:eastAsia="仿宋" w:cs="仿宋"/>
                <w:color w:val="auto"/>
                <w:sz w:val="24"/>
                <w:szCs w:val="24"/>
                <w:lang w:eastAsia="zh-CN"/>
              </w:rPr>
              <w:t>综合打分</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iCs/>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13" w:type="pct"/>
          </w:tcPr>
          <w:p>
            <w:pPr>
              <w:spacing w:line="240" w:lineRule="auto"/>
              <w:jc w:val="center"/>
              <w:rPr>
                <w:rFonts w:hint="eastAsia" w:ascii="仿宋" w:hAnsi="仿宋" w:eastAsia="仿宋" w:cs="仿宋"/>
                <w:bCs/>
                <w:i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pPr>
              <w:spacing w:line="240" w:lineRule="auto"/>
              <w:jc w:val="center"/>
              <w:rPr>
                <w:rFonts w:hint="eastAsia" w:ascii="仿宋" w:hAnsi="仿宋" w:eastAsia="仿宋" w:cs="仿宋"/>
                <w:bCs/>
                <w:iCs/>
                <w:color w:val="auto"/>
                <w:sz w:val="24"/>
                <w:szCs w:val="24"/>
              </w:rPr>
            </w:pPr>
          </w:p>
        </w:tc>
        <w:tc>
          <w:tcPr>
            <w:tcW w:w="676" w:type="pct"/>
            <w:vMerge w:val="continue"/>
            <w:vAlign w:val="center"/>
          </w:tcPr>
          <w:p>
            <w:pPr>
              <w:spacing w:line="240" w:lineRule="auto"/>
              <w:jc w:val="center"/>
              <w:rPr>
                <w:rFonts w:hint="eastAsia" w:ascii="仿宋" w:hAnsi="仿宋" w:eastAsia="仿宋" w:cs="仿宋"/>
                <w:bCs/>
                <w:iCs/>
                <w:color w:val="auto"/>
                <w:sz w:val="24"/>
                <w:szCs w:val="24"/>
              </w:rPr>
            </w:pPr>
          </w:p>
        </w:tc>
        <w:tc>
          <w:tcPr>
            <w:tcW w:w="301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根据投标人提供的实施方案全面性、满足采购要求等方面进行打分。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①</w:t>
            </w:r>
            <w:r>
              <w:rPr>
                <w:rFonts w:hint="eastAsia" w:ascii="仿宋" w:hAnsi="仿宋" w:eastAsia="仿宋" w:cs="仿宋"/>
                <w:snapToGrid/>
                <w:color w:val="auto"/>
                <w:kern w:val="2"/>
                <w:sz w:val="24"/>
                <w:szCs w:val="24"/>
                <w:lang w:val="en-US" w:eastAsia="zh-CN" w:bidi="ar-SA"/>
              </w:rPr>
              <w:t>实施方案全面科学，完全满足采购人要求的得6-8分；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②</w:t>
            </w:r>
            <w:r>
              <w:rPr>
                <w:rFonts w:hint="eastAsia" w:ascii="仿宋" w:hAnsi="仿宋" w:eastAsia="仿宋" w:cs="仿宋"/>
                <w:snapToGrid/>
                <w:color w:val="auto"/>
                <w:kern w:val="2"/>
                <w:sz w:val="24"/>
                <w:szCs w:val="24"/>
                <w:lang w:val="en-US" w:eastAsia="zh-CN" w:bidi="ar-SA"/>
              </w:rPr>
              <w:t>实施方案较为全面，基本满足采购人要求的得4-6分；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③</w:t>
            </w:r>
            <w:r>
              <w:rPr>
                <w:rFonts w:hint="eastAsia" w:ascii="仿宋" w:hAnsi="仿宋" w:eastAsia="仿宋" w:cs="仿宋"/>
                <w:snapToGrid/>
                <w:color w:val="auto"/>
                <w:kern w:val="2"/>
                <w:sz w:val="24"/>
                <w:szCs w:val="24"/>
                <w:lang w:val="en-US" w:eastAsia="zh-CN" w:bidi="ar-SA"/>
              </w:rPr>
              <w:t>实施方案缺项漏项，部分满足采购人要求的得2-4分；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4"/>
                <w:szCs w:val="24"/>
              </w:rPr>
            </w:pPr>
            <w:r>
              <w:rPr>
                <w:rFonts w:hint="eastAsia" w:ascii="仿宋" w:hAnsi="仿宋" w:eastAsia="仿宋" w:cs="仿宋"/>
                <w:snapToGrid/>
                <w:color w:val="auto"/>
                <w:kern w:val="2"/>
                <w:sz w:val="24"/>
                <w:szCs w:val="24"/>
                <w:lang w:val="en-US" w:eastAsia="zh-CN" w:bidi="ar-SA"/>
              </w:rPr>
              <w:t>④未提供实施方案的不得分。</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iCs/>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w:t>
            </w:r>
          </w:p>
        </w:tc>
        <w:tc>
          <w:tcPr>
            <w:tcW w:w="413" w:type="pct"/>
          </w:tcPr>
          <w:p>
            <w:pPr>
              <w:spacing w:line="240" w:lineRule="auto"/>
              <w:jc w:val="center"/>
              <w:rPr>
                <w:rFonts w:hint="eastAsia" w:ascii="仿宋" w:hAnsi="仿宋" w:eastAsia="仿宋" w:cs="仿宋"/>
                <w:bCs/>
                <w:i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restar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676" w:type="pct"/>
            <w:vMerge w:val="restart"/>
            <w:vAlign w:val="center"/>
          </w:tcPr>
          <w:p>
            <w:pPr>
              <w:spacing w:line="240" w:lineRule="auto"/>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配套服务</w:t>
            </w:r>
          </w:p>
        </w:tc>
        <w:tc>
          <w:tcPr>
            <w:tcW w:w="301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val="en-US" w:eastAsia="zh-CN" w:bidi="ar-SA"/>
              </w:rPr>
              <w:t>以公告之日起至投标截止时间止任一时间高德地图的推荐驾车模式，投标人营业执照上的地址到嵊州市图书馆驾车公里数，根据地理位置及图书配送的便捷性综合打分（0-5分）。（提供高德地图显示的相关截图证明需体现日期及截图时间）。</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5分</w:t>
            </w:r>
          </w:p>
        </w:tc>
        <w:tc>
          <w:tcPr>
            <w:tcW w:w="413" w:type="pct"/>
          </w:tcPr>
          <w:p>
            <w:pPr>
              <w:spacing w:line="24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spacing w:line="240" w:lineRule="auto"/>
              <w:rPr>
                <w:rFonts w:hint="eastAsia" w:ascii="仿宋" w:hAnsi="仿宋" w:eastAsia="仿宋" w:cs="仿宋"/>
                <w:color w:val="auto"/>
                <w:sz w:val="24"/>
                <w:szCs w:val="24"/>
              </w:rPr>
            </w:pPr>
          </w:p>
        </w:tc>
        <w:tc>
          <w:tcPr>
            <w:tcW w:w="676" w:type="pct"/>
            <w:vMerge w:val="continue"/>
            <w:vAlign w:val="center"/>
          </w:tcPr>
          <w:p>
            <w:pPr>
              <w:spacing w:line="240" w:lineRule="auto"/>
              <w:rPr>
                <w:rFonts w:hint="eastAsia" w:ascii="仿宋" w:hAnsi="仿宋" w:eastAsia="仿宋" w:cs="仿宋"/>
                <w:color w:val="auto"/>
                <w:sz w:val="24"/>
                <w:szCs w:val="24"/>
              </w:rPr>
            </w:pPr>
          </w:p>
        </w:tc>
        <w:tc>
          <w:tcPr>
            <w:tcW w:w="301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提供多卷书、分册书、合订题名书、丛书编目数据纸质样例各1例，编目数据采用国家图书馆编目细则，样例符合编目要求。每条样例最多得1分，本项最高</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413" w:type="pct"/>
          </w:tcPr>
          <w:p>
            <w:pPr>
              <w:spacing w:line="24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spacing w:line="240" w:lineRule="auto"/>
              <w:rPr>
                <w:rFonts w:hint="eastAsia" w:ascii="仿宋" w:hAnsi="仿宋" w:eastAsia="仿宋" w:cs="仿宋"/>
                <w:color w:val="auto"/>
                <w:sz w:val="24"/>
                <w:szCs w:val="24"/>
              </w:rPr>
            </w:pPr>
          </w:p>
        </w:tc>
        <w:tc>
          <w:tcPr>
            <w:tcW w:w="676" w:type="pct"/>
            <w:vMerge w:val="continue"/>
            <w:vAlign w:val="center"/>
          </w:tcPr>
          <w:p>
            <w:pPr>
              <w:spacing w:line="240" w:lineRule="auto"/>
              <w:rPr>
                <w:rFonts w:hint="eastAsia" w:ascii="仿宋" w:hAnsi="仿宋" w:eastAsia="仿宋" w:cs="仿宋"/>
                <w:color w:val="auto"/>
                <w:sz w:val="24"/>
                <w:szCs w:val="24"/>
              </w:rPr>
            </w:pPr>
          </w:p>
        </w:tc>
        <w:tc>
          <w:tcPr>
            <w:tcW w:w="301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具有到馆加工的能力</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需提供加工案例合作协议</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（提供的案例</w:t>
            </w:r>
            <w:r>
              <w:rPr>
                <w:rFonts w:hint="eastAsia" w:ascii="仿宋" w:hAnsi="仿宋" w:eastAsia="仿宋" w:cs="仿宋"/>
                <w:color w:val="auto"/>
                <w:sz w:val="24"/>
                <w:szCs w:val="24"/>
                <w:lang w:eastAsia="zh-CN"/>
              </w:rPr>
              <w:t>需体现</w:t>
            </w:r>
            <w:r>
              <w:rPr>
                <w:rFonts w:hint="eastAsia" w:ascii="仿宋" w:hAnsi="仿宋" w:eastAsia="仿宋" w:cs="仿宋"/>
                <w:color w:val="auto"/>
                <w:sz w:val="24"/>
                <w:szCs w:val="24"/>
              </w:rPr>
              <w:t>招标文件第</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章3.2.6条所规定的数据加工和物理加工内容）</w:t>
            </w:r>
            <w:r>
              <w:rPr>
                <w:rFonts w:hint="eastAsia" w:ascii="仿宋" w:hAnsi="仿宋" w:eastAsia="仿宋" w:cs="仿宋"/>
                <w:color w:val="auto"/>
                <w:sz w:val="24"/>
                <w:szCs w:val="24"/>
                <w:lang w:eastAsia="zh-CN"/>
              </w:rPr>
              <w:t>每提供一个得</w:t>
            </w:r>
            <w:r>
              <w:rPr>
                <w:rFonts w:hint="eastAsia" w:ascii="仿宋" w:hAnsi="仿宋" w:eastAsia="仿宋" w:cs="仿宋"/>
                <w:color w:val="auto"/>
                <w:sz w:val="24"/>
                <w:szCs w:val="24"/>
                <w:lang w:val="en-US" w:eastAsia="zh-CN"/>
              </w:rPr>
              <w:t>1分，最高得3分。</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c>
          <w:tcPr>
            <w:tcW w:w="413" w:type="pct"/>
          </w:tcPr>
          <w:p>
            <w:pPr>
              <w:spacing w:line="24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676"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301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4"/>
                <w:szCs w:val="24"/>
              </w:rPr>
            </w:pPr>
            <w:r>
              <w:rPr>
                <w:rFonts w:hint="eastAsia" w:ascii="仿宋" w:hAnsi="仿宋" w:eastAsia="仿宋" w:cs="仿宋"/>
                <w:color w:val="auto"/>
                <w:sz w:val="24"/>
                <w:szCs w:val="24"/>
              </w:rPr>
              <w:t>提供查错纠错机制方案，由评标专家根据投标人提供的方案</w:t>
            </w:r>
            <w:r>
              <w:rPr>
                <w:rFonts w:hint="eastAsia" w:ascii="仿宋" w:hAnsi="仿宋" w:eastAsia="仿宋" w:cs="仿宋"/>
                <w:color w:val="auto"/>
                <w:sz w:val="24"/>
                <w:szCs w:val="24"/>
                <w:lang w:eastAsia="zh-CN"/>
              </w:rPr>
              <w:t>综合打分</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42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i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413" w:type="pct"/>
            <w:vMerge w:val="restar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676"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3011" w:type="pct"/>
            <w:vMerge w:val="continue"/>
            <w:vAlign w:val="center"/>
          </w:tcPr>
          <w:p>
            <w:pPr>
              <w:spacing w:line="240" w:lineRule="auto"/>
              <w:rPr>
                <w:rFonts w:hint="eastAsia" w:ascii="仿宋" w:hAnsi="仿宋" w:eastAsia="仿宋" w:cs="仿宋"/>
                <w:bCs/>
                <w:iCs/>
                <w:color w:val="auto"/>
                <w:sz w:val="24"/>
                <w:szCs w:val="24"/>
              </w:rPr>
            </w:pPr>
          </w:p>
        </w:tc>
        <w:tc>
          <w:tcPr>
            <w:tcW w:w="429" w:type="pct"/>
            <w:vMerge w:val="continue"/>
            <w:vAlign w:val="center"/>
          </w:tcPr>
          <w:p>
            <w:pPr>
              <w:spacing w:line="240" w:lineRule="auto"/>
              <w:jc w:val="center"/>
              <w:rPr>
                <w:rFonts w:hint="eastAsia" w:ascii="仿宋" w:hAnsi="仿宋" w:eastAsia="仿宋" w:cs="仿宋"/>
                <w:bCs/>
                <w:iCs/>
                <w:color w:val="auto"/>
                <w:sz w:val="24"/>
                <w:szCs w:val="24"/>
              </w:rPr>
            </w:pPr>
          </w:p>
        </w:tc>
        <w:tc>
          <w:tcPr>
            <w:tcW w:w="413" w:type="pct"/>
            <w:vMerge w:val="continue"/>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4"/>
                <w:szCs w:val="24"/>
              </w:rPr>
            </w:pPr>
          </w:p>
        </w:tc>
        <w:tc>
          <w:tcPr>
            <w:tcW w:w="676"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4"/>
                <w:szCs w:val="24"/>
              </w:rPr>
            </w:pPr>
          </w:p>
        </w:tc>
        <w:tc>
          <w:tcPr>
            <w:tcW w:w="3011" w:type="pct"/>
            <w:vMerge w:val="continue"/>
            <w:vAlign w:val="center"/>
          </w:tcPr>
          <w:p>
            <w:pPr>
              <w:spacing w:line="240" w:lineRule="auto"/>
              <w:jc w:val="left"/>
              <w:rPr>
                <w:rFonts w:hint="eastAsia" w:ascii="仿宋" w:hAnsi="仿宋" w:eastAsia="仿宋" w:cs="仿宋"/>
                <w:bCs/>
                <w:iCs/>
                <w:color w:val="auto"/>
                <w:sz w:val="24"/>
                <w:szCs w:val="24"/>
              </w:rPr>
            </w:pPr>
          </w:p>
        </w:tc>
        <w:tc>
          <w:tcPr>
            <w:tcW w:w="429" w:type="pct"/>
            <w:vMerge w:val="continue"/>
            <w:vAlign w:val="center"/>
          </w:tcPr>
          <w:p>
            <w:pPr>
              <w:spacing w:line="240" w:lineRule="auto"/>
              <w:jc w:val="center"/>
              <w:rPr>
                <w:rFonts w:hint="eastAsia" w:ascii="仿宋" w:hAnsi="仿宋" w:eastAsia="仿宋" w:cs="仿宋"/>
                <w:bCs/>
                <w:iCs/>
                <w:color w:val="auto"/>
                <w:sz w:val="24"/>
                <w:szCs w:val="24"/>
              </w:rPr>
            </w:pPr>
          </w:p>
        </w:tc>
        <w:tc>
          <w:tcPr>
            <w:tcW w:w="413" w:type="pct"/>
            <w:vMerge w:val="continue"/>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468"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676" w:type="pct"/>
            <w:vMerge w:val="restart"/>
            <w:vAlign w:val="center"/>
          </w:tcPr>
          <w:p>
            <w:pPr>
              <w:spacing w:line="240" w:lineRule="auto"/>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拓展服务</w:t>
            </w:r>
          </w:p>
        </w:tc>
        <w:tc>
          <w:tcPr>
            <w:tcW w:w="3011" w:type="pct"/>
            <w:vAlign w:val="center"/>
          </w:tcPr>
          <w:p>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lang w:eastAsia="zh-CN"/>
              </w:rPr>
              <w:t>提供</w:t>
            </w:r>
            <w:r>
              <w:rPr>
                <w:rFonts w:hint="eastAsia" w:ascii="仿宋_GB2312" w:hAnsi="宋体" w:eastAsia="仿宋_GB2312"/>
                <w:color w:val="auto"/>
                <w:sz w:val="24"/>
              </w:rPr>
              <w:t>图书现场荐购</w:t>
            </w:r>
            <w:r>
              <w:rPr>
                <w:rFonts w:hint="eastAsia" w:ascii="仿宋_GB2312" w:hAnsi="宋体" w:eastAsia="仿宋_GB2312"/>
                <w:color w:val="auto"/>
                <w:sz w:val="24"/>
                <w:lang w:eastAsia="zh-CN"/>
              </w:rPr>
              <w:t>服务，</w:t>
            </w:r>
            <w:r>
              <w:rPr>
                <w:rFonts w:hint="eastAsia" w:ascii="仿宋_GB2312" w:hAnsi="宋体" w:eastAsia="仿宋_GB2312"/>
                <w:color w:val="auto"/>
                <w:sz w:val="24"/>
              </w:rPr>
              <w:t>图书现场荐购地点要求在</w:t>
            </w:r>
            <w:r>
              <w:rPr>
                <w:rFonts w:hint="eastAsia" w:ascii="仿宋_GB2312" w:hAnsi="宋体" w:eastAsia="仿宋_GB2312"/>
                <w:color w:val="auto"/>
                <w:sz w:val="24"/>
                <w:lang w:eastAsia="zh-CN"/>
              </w:rPr>
              <w:t>嵊州市</w:t>
            </w:r>
            <w:r>
              <w:rPr>
                <w:rFonts w:hint="eastAsia" w:ascii="仿宋_GB2312" w:hAnsi="宋体" w:eastAsia="仿宋_GB2312"/>
                <w:color w:val="auto"/>
                <w:sz w:val="24"/>
              </w:rPr>
              <w:t>范围内</w:t>
            </w:r>
            <w:r>
              <w:rPr>
                <w:rFonts w:hint="eastAsia" w:ascii="仿宋_GB2312" w:hAnsi="宋体" w:eastAsia="仿宋_GB2312"/>
                <w:color w:val="auto"/>
                <w:sz w:val="24"/>
                <w:lang w:eastAsia="zh-CN"/>
              </w:rPr>
              <w:t>（嵊州市主城区）</w:t>
            </w:r>
            <w:r>
              <w:rPr>
                <w:rFonts w:hint="eastAsia" w:ascii="仿宋_GB2312" w:hAnsi="宋体" w:eastAsia="仿宋_GB2312"/>
                <w:color w:val="auto"/>
                <w:sz w:val="24"/>
              </w:rPr>
              <w:t>，能提供给读者现场荐购</w:t>
            </w:r>
            <w:r>
              <w:rPr>
                <w:rFonts w:hint="eastAsia" w:ascii="仿宋_GB2312" w:hAnsi="宋体" w:eastAsia="仿宋_GB2312"/>
                <w:color w:val="auto"/>
                <w:sz w:val="24"/>
                <w:lang w:eastAsia="zh-CN"/>
              </w:rPr>
              <w:t>服务</w:t>
            </w:r>
            <w:r>
              <w:rPr>
                <w:rFonts w:hint="eastAsia" w:ascii="仿宋_GB2312" w:hAnsi="宋体" w:eastAsia="仿宋_GB2312"/>
                <w:color w:val="auto"/>
                <w:sz w:val="24"/>
              </w:rPr>
              <w:t>功能。具有已正式经营的图书卖场，要求提供该卖场的房产（或租赁）证明材料、卖场门面清晰外景照、内部全景照，提供开标前一月内某一日的机打销售流水清单；提供带宽不少于100M的互联网接入线路相关证明；实施时间为7*12小时；配备荐购专职人员配置不少于1人等条件。现场荐购的场地可以是投标方自营场所，也可以与其它符合条件的第三方合作</w:t>
            </w:r>
            <w:r>
              <w:rPr>
                <w:rFonts w:hint="eastAsia" w:ascii="仿宋_GB2312" w:hAnsi="宋体" w:eastAsia="仿宋_GB2312"/>
                <w:color w:val="auto"/>
                <w:sz w:val="24"/>
                <w:lang w:eastAsia="zh-CN"/>
              </w:rPr>
              <w:t>提</w:t>
            </w:r>
            <w:r>
              <w:rPr>
                <w:rFonts w:hint="eastAsia" w:ascii="仿宋_GB2312" w:hAnsi="宋体" w:eastAsia="仿宋_GB2312"/>
                <w:color w:val="auto"/>
                <w:sz w:val="24"/>
              </w:rPr>
              <w:t>供图书现场荐购服务，并提供双方的合作协议（投标文件中提供合作协议复印件，不提供不得分），以及图书现场荐购服务的提供方手机号码备查。</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_GB2312" w:hAnsi="宋体" w:eastAsia="仿宋_GB2312"/>
                <w:color w:val="auto"/>
                <w:sz w:val="24"/>
              </w:rPr>
              <w:t>根据现场荐购场地规模大小，图书种类多少，地理位置是否优越，在市民中的知名度等，由评委综合打分</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0-8分）</w:t>
            </w:r>
            <w:r>
              <w:rPr>
                <w:rFonts w:hint="eastAsia" w:ascii="仿宋_GB2312" w:hAnsi="宋体" w:eastAsia="仿宋_GB2312"/>
                <w:color w:val="auto"/>
                <w:sz w:val="24"/>
              </w:rPr>
              <w:t>。</w:t>
            </w:r>
          </w:p>
        </w:tc>
        <w:tc>
          <w:tcPr>
            <w:tcW w:w="429" w:type="pct"/>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val="0"/>
                <w:bCs/>
                <w:color w:val="auto"/>
                <w:sz w:val="24"/>
                <w:szCs w:val="24"/>
                <w:lang w:val="en-US" w:eastAsia="zh-CN"/>
              </w:rPr>
              <w:t>8</w:t>
            </w:r>
            <w:r>
              <w:rPr>
                <w:rFonts w:hint="eastAsia" w:ascii="仿宋" w:hAnsi="仿宋" w:eastAsia="仿宋" w:cs="仿宋"/>
                <w:b w:val="0"/>
                <w:bCs/>
                <w:color w:val="auto"/>
                <w:sz w:val="24"/>
                <w:szCs w:val="24"/>
              </w:rPr>
              <w:t>分</w:t>
            </w:r>
          </w:p>
        </w:tc>
        <w:tc>
          <w:tcPr>
            <w:tcW w:w="413" w:type="pct"/>
          </w:tcPr>
          <w:p>
            <w:pPr>
              <w:spacing w:line="24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468" w:type="pct"/>
            <w:vMerge w:val="continue"/>
            <w:vAlign w:val="center"/>
          </w:tcPr>
          <w:p>
            <w:pPr>
              <w:spacing w:line="240" w:lineRule="auto"/>
              <w:rPr>
                <w:color w:val="auto"/>
              </w:rPr>
            </w:pPr>
          </w:p>
        </w:tc>
        <w:tc>
          <w:tcPr>
            <w:tcW w:w="676" w:type="pct"/>
            <w:vMerge w:val="continue"/>
            <w:vAlign w:val="center"/>
          </w:tcPr>
          <w:p>
            <w:pPr>
              <w:spacing w:line="240" w:lineRule="auto"/>
              <w:rPr>
                <w:color w:val="auto"/>
              </w:rPr>
            </w:pPr>
          </w:p>
        </w:tc>
        <w:tc>
          <w:tcPr>
            <w:tcW w:w="3011" w:type="pct"/>
            <w:vAlign w:val="center"/>
          </w:tcPr>
          <w:p>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提供自201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年1月1日以来，在嵊州市内成功开展实体书店现场荐购服务的案例，每</w:t>
            </w:r>
            <w:r>
              <w:rPr>
                <w:rFonts w:hint="eastAsia" w:ascii="仿宋" w:hAnsi="仿宋" w:eastAsia="仿宋" w:cs="仿宋"/>
                <w:color w:val="auto"/>
                <w:sz w:val="24"/>
                <w:szCs w:val="24"/>
                <w:lang w:eastAsia="zh-CN"/>
              </w:rPr>
              <w:t>提供一</w:t>
            </w:r>
            <w:r>
              <w:rPr>
                <w:rFonts w:hint="eastAsia" w:ascii="仿宋" w:hAnsi="仿宋" w:eastAsia="仿宋" w:cs="仿宋"/>
                <w:color w:val="auto"/>
                <w:sz w:val="24"/>
                <w:szCs w:val="24"/>
              </w:rPr>
              <w:t>个案例</w:t>
            </w:r>
            <w:r>
              <w:rPr>
                <w:rFonts w:hint="eastAsia" w:ascii="仿宋" w:hAnsi="仿宋" w:eastAsia="仿宋" w:cs="仿宋"/>
                <w:color w:val="auto"/>
                <w:sz w:val="24"/>
                <w:szCs w:val="24"/>
                <w:lang w:eastAsia="zh-CN"/>
              </w:rPr>
              <w:t>得</w:t>
            </w:r>
            <w:r>
              <w:rPr>
                <w:rFonts w:hint="eastAsia" w:ascii="仿宋" w:hAnsi="仿宋" w:eastAsia="仿宋" w:cs="仿宋"/>
                <w:color w:val="auto"/>
                <w:sz w:val="24"/>
                <w:szCs w:val="24"/>
                <w:lang w:val="en-US" w:eastAsia="zh-CN"/>
              </w:rPr>
              <w:t>1分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最多得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分。须提供</w:t>
            </w:r>
            <w:r>
              <w:rPr>
                <w:rFonts w:hint="eastAsia" w:ascii="仿宋" w:hAnsi="仿宋" w:eastAsia="仿宋" w:cs="仿宋"/>
                <w:color w:val="auto"/>
                <w:sz w:val="24"/>
                <w:szCs w:val="24"/>
                <w:lang w:eastAsia="zh-CN"/>
              </w:rPr>
              <w:t>相关佐证材料</w:t>
            </w:r>
            <w:r>
              <w:rPr>
                <w:rFonts w:hint="eastAsia" w:ascii="仿宋" w:hAnsi="仿宋" w:eastAsia="仿宋" w:cs="仿宋"/>
                <w:b w:val="0"/>
                <w:bCs/>
                <w:color w:val="auto"/>
                <w:sz w:val="24"/>
                <w:szCs w:val="24"/>
                <w:lang w:eastAsia="zh-CN"/>
              </w:rPr>
              <w:t>扫描件或现场图片等有力证明</w:t>
            </w:r>
            <w:r>
              <w:rPr>
                <w:rFonts w:hint="eastAsia" w:ascii="仿宋" w:hAnsi="仿宋" w:eastAsia="仿宋" w:cs="仿宋"/>
                <w:b w:val="0"/>
                <w:bCs/>
                <w:color w:val="auto"/>
                <w:sz w:val="24"/>
                <w:szCs w:val="24"/>
              </w:rPr>
              <w:t>。</w:t>
            </w:r>
          </w:p>
        </w:tc>
        <w:tc>
          <w:tcPr>
            <w:tcW w:w="429" w:type="pct"/>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413" w:type="pct"/>
          </w:tcPr>
          <w:p>
            <w:pPr>
              <w:spacing w:line="240" w:lineRule="auto"/>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676"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3011" w:type="pct"/>
            <w:vAlign w:val="center"/>
          </w:tcPr>
          <w:p>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能够提供网上荐购拓展服务：拥有自建平台，（提供实际案例截图，并加盖投标人公章），且能无缝连接采购人图书管理系统（Interlib图书馆集群管理系统）得3分</w:t>
            </w:r>
            <w:r>
              <w:rPr>
                <w:rFonts w:hint="eastAsia" w:ascii="仿宋" w:hAnsi="仿宋" w:eastAsia="仿宋" w:cs="仿宋"/>
                <w:color w:val="auto"/>
                <w:sz w:val="24"/>
                <w:szCs w:val="24"/>
                <w:lang w:eastAsia="zh-CN"/>
              </w:rPr>
              <w:t>，</w:t>
            </w:r>
          </w:p>
          <w:p>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投标人与电商或其他单位协议合作提供网上荐购拓展服务，且能无缝连接采购人图书管理系统（Interlib图书馆集群管理系统）得2分。</w:t>
            </w:r>
            <w:bookmarkStart w:id="402" w:name="_GoBack"/>
            <w:bookmarkEnd w:id="402"/>
          </w:p>
        </w:tc>
        <w:tc>
          <w:tcPr>
            <w:tcW w:w="429" w:type="pct"/>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3分</w:t>
            </w:r>
          </w:p>
        </w:tc>
        <w:tc>
          <w:tcPr>
            <w:tcW w:w="413" w:type="pct"/>
            <w:tcBorders/>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76" w:type="pct"/>
            <w:vAlign w:val="center"/>
          </w:tcPr>
          <w:p>
            <w:pPr>
              <w:spacing w:line="240" w:lineRule="auto"/>
              <w:ind w:left="0" w:leftChars="0" w:firstLine="0" w:firstLineChars="0"/>
              <w:jc w:val="center"/>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color w:val="auto"/>
                <w:sz w:val="24"/>
                <w:szCs w:val="24"/>
              </w:rPr>
              <w:t>馆配会或订货会</w:t>
            </w:r>
          </w:p>
        </w:tc>
        <w:tc>
          <w:tcPr>
            <w:tcW w:w="3011" w:type="pct"/>
            <w:vAlign w:val="center"/>
          </w:tcPr>
          <w:p>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度有开展线上“馆配会”或“订货会”，以参与的出版机构家数、可选的图书品种数2项数据（分别占比5:5）综合排名。第一名得（3分），第二名得（2分），第三名得（1分），其它名次得（0.5分），未开展不得分。</w:t>
            </w:r>
          </w:p>
          <w:p>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s="Times New Roman"/>
                <w:color w:val="auto"/>
                <w:kern w:val="2"/>
                <w:sz w:val="24"/>
                <w:szCs w:val="24"/>
                <w:lang w:val="en-US" w:eastAsia="zh-CN" w:bidi="ar-SA"/>
              </w:rPr>
            </w:pPr>
            <w:r>
              <w:rPr>
                <w:rFonts w:hint="eastAsia" w:ascii="仿宋" w:hAnsi="仿宋" w:eastAsia="仿宋" w:cs="仿宋"/>
                <w:color w:val="auto"/>
                <w:sz w:val="24"/>
                <w:szCs w:val="24"/>
              </w:rPr>
              <w:t>（说明：各项数据需提供线上截图证明，否则不认可）。</w:t>
            </w:r>
          </w:p>
        </w:tc>
        <w:tc>
          <w:tcPr>
            <w:tcW w:w="429" w:type="pct"/>
            <w:vAlign w:val="center"/>
          </w:tcPr>
          <w:p>
            <w:pPr>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3分</w:t>
            </w:r>
          </w:p>
        </w:tc>
        <w:tc>
          <w:tcPr>
            <w:tcW w:w="413" w:type="pct"/>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76" w:type="pct"/>
            <w:vAlign w:val="center"/>
          </w:tcPr>
          <w:p>
            <w:pPr>
              <w:spacing w:line="240" w:lineRule="auto"/>
              <w:ind w:left="0" w:leftChars="0" w:firstLine="0" w:firstLineChars="0"/>
              <w:jc w:val="center"/>
              <w:rPr>
                <w:rFonts w:hint="eastAsia" w:ascii="仿宋" w:hAnsi="仿宋" w:eastAsia="仿宋" w:cs="仿宋"/>
                <w:bCs/>
                <w:iCs/>
                <w:color w:val="auto"/>
                <w:kern w:val="2"/>
                <w:sz w:val="24"/>
                <w:szCs w:val="24"/>
                <w:highlight w:val="none"/>
                <w:lang w:val="en-US" w:eastAsia="zh-CN" w:bidi="ar-SA"/>
              </w:rPr>
            </w:pPr>
            <w:r>
              <w:rPr>
                <w:rFonts w:hint="eastAsia" w:ascii="仿宋_GB2312" w:hAnsi="宋体" w:eastAsia="仿宋_GB2312"/>
                <w:color w:val="auto"/>
                <w:sz w:val="24"/>
              </w:rPr>
              <w:t>活动组织</w:t>
            </w:r>
          </w:p>
        </w:tc>
        <w:tc>
          <w:tcPr>
            <w:tcW w:w="3011" w:type="pct"/>
            <w:vAlign w:val="center"/>
          </w:tcPr>
          <w:p>
            <w:pPr>
              <w:spacing w:line="360" w:lineRule="exact"/>
              <w:jc w:val="left"/>
              <w:rPr>
                <w:rFonts w:ascii="仿宋_GB2312" w:hAnsi="宋体" w:eastAsia="仿宋_GB2312"/>
                <w:color w:val="auto"/>
                <w:sz w:val="24"/>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w:t>
            </w:r>
            <w:r>
              <w:rPr>
                <w:rFonts w:hint="eastAsia" w:ascii="仿宋_GB2312" w:hAnsi="宋体" w:eastAsia="仿宋_GB2312"/>
                <w:color w:val="auto"/>
                <w:sz w:val="24"/>
              </w:rPr>
              <w:t>有一定规模的现采组织能力，能组织大型书市现采活动和阅读推广活动，得1分，承诺组织2次或2次以上现场采购得2分，需提供相应的活动方案，不提供不得分。</w:t>
            </w:r>
          </w:p>
          <w:p>
            <w:pPr>
              <w:spacing w:line="24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_GB2312" w:hAnsi="宋体" w:eastAsia="仿宋_GB2312"/>
                <w:color w:val="auto"/>
                <w:sz w:val="24"/>
              </w:rPr>
              <w:t>2</w:t>
            </w:r>
            <w:r>
              <w:rPr>
                <w:rFonts w:hint="eastAsia" w:ascii="仿宋_GB2312" w:hAnsi="宋体" w:eastAsia="仿宋_GB2312"/>
                <w:color w:val="auto"/>
                <w:sz w:val="24"/>
                <w:lang w:val="en-US" w:eastAsia="zh-CN"/>
              </w:rPr>
              <w:t>.</w:t>
            </w:r>
            <w:r>
              <w:rPr>
                <w:rFonts w:hint="eastAsia" w:ascii="仿宋_GB2312" w:hAnsi="宋体" w:eastAsia="仿宋_GB2312"/>
                <w:color w:val="auto"/>
                <w:sz w:val="24"/>
              </w:rPr>
              <w:t>承诺配合甲方开展阅读推广活动得1分，</w:t>
            </w:r>
            <w:r>
              <w:rPr>
                <w:rFonts w:hint="eastAsia" w:ascii="仿宋_GB2312" w:hAnsi="宋体" w:eastAsia="仿宋_GB2312"/>
                <w:color w:val="auto"/>
                <w:sz w:val="24"/>
                <w:lang w:eastAsia="zh-CN"/>
              </w:rPr>
              <w:t>承</w:t>
            </w:r>
            <w:r>
              <w:rPr>
                <w:rFonts w:hint="eastAsia" w:ascii="仿宋_GB2312" w:hAnsi="宋体" w:eastAsia="仿宋_GB2312"/>
                <w:color w:val="auto"/>
                <w:sz w:val="24"/>
              </w:rPr>
              <w:t>诺配合甲方开展阅读推广活动不少于3场得2分，</w:t>
            </w:r>
            <w:r>
              <w:rPr>
                <w:rFonts w:hint="eastAsia" w:ascii="仿宋_GB2312" w:hAnsi="宋体" w:eastAsia="仿宋_GB2312"/>
                <w:color w:val="auto"/>
                <w:sz w:val="24"/>
                <w:lang w:eastAsia="zh-CN"/>
              </w:rPr>
              <w:t>相关费用由中标方承担，</w:t>
            </w:r>
            <w:r>
              <w:rPr>
                <w:rFonts w:hint="eastAsia" w:ascii="仿宋_GB2312" w:hAnsi="宋体" w:eastAsia="仿宋_GB2312"/>
                <w:color w:val="auto"/>
                <w:sz w:val="24"/>
              </w:rPr>
              <w:t>需提供相应的活动方案，不提供不得分。</w:t>
            </w:r>
          </w:p>
        </w:tc>
        <w:tc>
          <w:tcPr>
            <w:tcW w:w="429" w:type="pct"/>
            <w:vAlign w:val="center"/>
          </w:tcPr>
          <w:p>
            <w:pPr>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413" w:type="pct"/>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76" w:type="pct"/>
            <w:vAlign w:val="center"/>
          </w:tcPr>
          <w:p>
            <w:pPr>
              <w:spacing w:line="240" w:lineRule="auto"/>
              <w:ind w:left="0" w:leftChars="0" w:firstLine="0" w:firstLineChars="0"/>
              <w:jc w:val="center"/>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color w:val="auto"/>
                <w:sz w:val="24"/>
                <w:szCs w:val="24"/>
                <w:highlight w:val="none"/>
              </w:rPr>
              <w:t>评委综合分</w:t>
            </w:r>
          </w:p>
        </w:tc>
        <w:tc>
          <w:tcPr>
            <w:tcW w:w="3011" w:type="pct"/>
            <w:vAlign w:val="center"/>
          </w:tcPr>
          <w:p>
            <w:pPr>
              <w:spacing w:line="24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评委根据投标文件的内容详实、条例清晰、有无错误、对应内容与招标文件的评分要点准确设置关联点、文本图片清晰、前后有无矛盾等情况综合打分。</w:t>
            </w:r>
          </w:p>
        </w:tc>
        <w:tc>
          <w:tcPr>
            <w:tcW w:w="429" w:type="pct"/>
            <w:vAlign w:val="center"/>
          </w:tcPr>
          <w:p>
            <w:pPr>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2分</w:t>
            </w:r>
          </w:p>
        </w:tc>
        <w:tc>
          <w:tcPr>
            <w:tcW w:w="413" w:type="pct"/>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3688" w:type="pct"/>
            <w:gridSpan w:val="2"/>
            <w:vAlign w:val="center"/>
          </w:tcPr>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0］的计算公式计算。</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评标过程中，不得去掉报价中的最高报价和最低报价。</w:t>
            </w:r>
          </w:p>
          <w:p>
            <w:pPr>
              <w:spacing w:line="24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429" w:type="pct"/>
            <w:vAlign w:val="center"/>
          </w:tcPr>
          <w:p>
            <w:pPr>
              <w:spacing w:line="240"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30分</w:t>
            </w:r>
          </w:p>
        </w:tc>
        <w:tc>
          <w:tcPr>
            <w:tcW w:w="413" w:type="pct"/>
          </w:tcPr>
          <w:p>
            <w:pPr>
              <w:spacing w:line="240" w:lineRule="auto"/>
              <w:rPr>
                <w:rFonts w:hint="eastAsia" w:ascii="仿宋" w:hAnsi="仿宋" w:eastAsia="仿宋" w:cs="仿宋"/>
                <w:color w:val="auto"/>
                <w:sz w:val="24"/>
                <w:szCs w:val="24"/>
                <w:highlight w:val="none"/>
              </w:rPr>
            </w:pPr>
          </w:p>
        </w:tc>
      </w:tr>
    </w:tbl>
    <w:p>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pPr>
        <w:snapToGrid w:val="0"/>
        <w:spacing w:line="360" w:lineRule="auto"/>
        <w:rPr>
          <w:rFonts w:ascii="仿宋_GB2312" w:hAnsi="仿宋" w:eastAsia="仿宋_GB2312"/>
          <w:b/>
          <w:sz w:val="32"/>
          <w:szCs w:val="32"/>
        </w:rPr>
      </w:pPr>
      <w:r>
        <w:rPr>
          <w:rFonts w:hint="eastAsia" w:ascii="仿宋_GB2312" w:hAnsi="仿宋" w:eastAsia="仿宋_GB2312" w:cs="仿宋_GB2312"/>
          <w:b/>
          <w:sz w:val="32"/>
          <w:szCs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adjustRightInd/>
        <w:spacing w:line="360" w:lineRule="auto"/>
        <w:rPr>
          <w:rFonts w:hint="eastAsia" w:ascii="仿宋_GB2312" w:hAnsi="仿宋" w:eastAsia="仿宋_GB2312" w:cs="仿宋_GB2312"/>
          <w:b/>
          <w:sz w:val="32"/>
        </w:rPr>
      </w:pPr>
      <w:r>
        <w:rPr>
          <w:rFonts w:hint="eastAsia" w:ascii="仿宋_GB2312" w:hAnsi="仿宋" w:eastAsia="仿宋_GB2312" w:cs="仿宋_GB2312"/>
          <w:b/>
          <w:sz w:val="32"/>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2"/>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2"/>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2"/>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2"/>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2"/>
        <w:spacing w:before="0"/>
        <w:ind w:firstLine="480"/>
        <w:rPr>
          <w:rFonts w:ascii="仿宋" w:hAnsi="仿宋" w:eastAsia="仿宋" w:cs="仿宋"/>
          <w:color w:val="auto"/>
          <w:kern w:val="0"/>
          <w:szCs w:val="24"/>
        </w:rPr>
      </w:pPr>
      <w:r>
        <w:rPr>
          <w:rFonts w:ascii="仿宋" w:hAnsi="仿宋" w:eastAsia="仿宋" w:cs="仿宋"/>
          <w:kern w:val="0"/>
          <w:szCs w:val="24"/>
        </w:rPr>
        <w:t>3.4.1.4总价金额与按单价</w:t>
      </w:r>
      <w:r>
        <w:rPr>
          <w:rFonts w:ascii="仿宋" w:hAnsi="仿宋" w:eastAsia="仿宋" w:cs="仿宋"/>
          <w:color w:val="auto"/>
          <w:kern w:val="0"/>
          <w:szCs w:val="24"/>
        </w:rPr>
        <w:t>汇总金额不一致的，以单价金额计算结果为准。</w:t>
      </w:r>
    </w:p>
    <w:p>
      <w:pPr>
        <w:pStyle w:val="132"/>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132"/>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132"/>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ascii="仿宋" w:hAnsi="仿宋" w:eastAsia="仿宋" w:cs="仿宋"/>
          <w:color w:val="auto"/>
          <w:kern w:val="0"/>
          <w:szCs w:val="24"/>
        </w:rPr>
        <w:t>%的扣除，用扣除后的价格参与评审。接受大中型企业与小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30%以上的，对联合体或者大中型企业的报价给予3%的扣除，用扣除后的价格参加评审。组成联合体或者接受分包的小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2"/>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7"/>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7"/>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7"/>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7"/>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7"/>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7"/>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7"/>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w:t>
      </w:r>
      <w:r>
        <w:rPr>
          <w:rFonts w:ascii="仿宋_GB2312" w:hAnsi="仿宋" w:eastAsia="仿宋_GB2312" w:cs="仿宋_GB2312"/>
          <w:color w:val="auto"/>
        </w:rPr>
        <w:t>2已确定中标或者中标人但尚未签订政府采购合同的，中标或者成交结果无效；重新开展政府采购活动。</w:t>
      </w:r>
    </w:p>
    <w:p>
      <w:pPr>
        <w:pStyle w:val="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7"/>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7"/>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3" w:name="第五部分"/>
      <w:bookmarkStart w:id="394"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outlineLvl w:val="0"/>
        <w:rPr>
          <w:rFonts w:hint="eastAsia" w:ascii="仿宋_GB2312" w:hAnsi="仿宋" w:eastAsia="仿宋_GB2312" w:cs="仿宋_GB2312"/>
          <w:b/>
          <w:sz w:val="36"/>
          <w:szCs w:val="36"/>
        </w:rPr>
      </w:pPr>
    </w:p>
    <w:p>
      <w:pPr>
        <w:spacing w:line="360" w:lineRule="auto"/>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w:t>
      </w:r>
      <w:r>
        <w:rPr>
          <w:rFonts w:hint="eastAsia" w:ascii="仿宋_GB2312" w:hAnsi="仿宋" w:eastAsia="仿宋_GB2312" w:cs="仿宋_GB2312"/>
          <w:b/>
          <w:sz w:val="36"/>
          <w:szCs w:val="36"/>
          <w:lang w:eastAsia="zh-CN"/>
        </w:rPr>
        <w:t>货物</w:t>
      </w:r>
      <w:r>
        <w:rPr>
          <w:rFonts w:hint="eastAsia" w:ascii="仿宋_GB2312" w:hAnsi="仿宋" w:eastAsia="仿宋_GB2312" w:cs="仿宋_GB2312"/>
          <w:b/>
          <w:sz w:val="36"/>
          <w:szCs w:val="36"/>
        </w:rPr>
        <w:t>类）</w:t>
      </w:r>
    </w:p>
    <w:p>
      <w:pPr>
        <w:pStyle w:val="703"/>
        <w:rPr>
          <w:rFonts w:ascii="仿宋" w:hAnsi="仿宋" w:eastAsia="仿宋"/>
          <w:szCs w:val="24"/>
        </w:rPr>
      </w:pPr>
    </w:p>
    <w:p>
      <w:pPr>
        <w:pStyle w:val="703"/>
        <w:rPr>
          <w:rFonts w:ascii="仿宋" w:hAnsi="仿宋" w:eastAsia="仿宋"/>
          <w:szCs w:val="24"/>
        </w:rPr>
      </w:pPr>
    </w:p>
    <w:p>
      <w:pPr>
        <w:pStyle w:val="703"/>
        <w:jc w:val="center"/>
        <w:rPr>
          <w:rFonts w:ascii="仿宋" w:hAnsi="仿宋" w:eastAsia="仿宋"/>
          <w:szCs w:val="24"/>
        </w:rPr>
      </w:pPr>
    </w:p>
    <w:p>
      <w:pPr>
        <w:pStyle w:val="703"/>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703"/>
        <w:rPr>
          <w:rFonts w:ascii="仿宋" w:hAnsi="仿宋" w:eastAsia="仿宋"/>
          <w:szCs w:val="24"/>
        </w:rPr>
      </w:pPr>
    </w:p>
    <w:p>
      <w:pPr>
        <w:pStyle w:val="703"/>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0"/>
        <w:spacing w:before="120" w:line="22" w:lineRule="atLeast"/>
        <w:rPr>
          <w:rFonts w:ascii="仿宋" w:hAnsi="仿宋" w:eastAsia="仿宋"/>
          <w:szCs w:val="24"/>
        </w:rPr>
      </w:pPr>
    </w:p>
    <w:p>
      <w:pPr>
        <w:pStyle w:val="600"/>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kern w:val="0"/>
          <w:sz w:val="24"/>
        </w:rPr>
      </w:pPr>
      <w:r>
        <w:rPr>
          <w:rFonts w:hint="eastAsia" w:ascii="仿宋" w:hAnsi="仿宋" w:eastAsia="仿宋" w:cs="仿宋"/>
          <w:kern w:val="0"/>
          <w:sz w:val="24"/>
        </w:rPr>
        <w:t>甲方：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使用方</w:t>
      </w:r>
      <w:r>
        <w:rPr>
          <w:rFonts w:hint="eastAsia" w:ascii="仿宋" w:hAnsi="仿宋" w:eastAsia="仿宋" w:cs="仿宋"/>
          <w:b w:val="0"/>
          <w:bCs w:val="0"/>
          <w:kern w:val="0"/>
          <w:sz w:val="24"/>
          <w:u w:val="single"/>
        </w:rPr>
        <w:t>）         </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sz w:val="24"/>
        </w:rPr>
      </w:pPr>
      <w:r>
        <w:rPr>
          <w:rFonts w:hint="eastAsia" w:ascii="仿宋" w:hAnsi="仿宋" w:eastAsia="仿宋" w:cs="仿宋"/>
          <w:b w:val="0"/>
          <w:bCs w:val="0"/>
          <w:kern w:val="0"/>
          <w:sz w:val="24"/>
        </w:rPr>
        <w:t>乙方：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供应商</w:t>
      </w:r>
      <w:r>
        <w:rPr>
          <w:rFonts w:hint="eastAsia" w:ascii="仿宋" w:hAnsi="仿宋" w:eastAsia="仿宋" w:cs="仿宋"/>
          <w:b w:val="0"/>
          <w:bCs w:val="0"/>
          <w:kern w:val="0"/>
          <w:sz w:val="24"/>
          <w:u w:val="single"/>
        </w:rPr>
        <w:t>）     </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b w:val="0"/>
          <w:bCs w:val="0"/>
          <w:kern w:val="0"/>
          <w:sz w:val="24"/>
          <w:u w:val="single"/>
        </w:rPr>
        <w:t> </w:t>
      </w:r>
    </w:p>
    <w:p>
      <w:pPr>
        <w:pageBreakBefore w:val="0"/>
        <w:widowControl/>
        <w:kinsoku/>
        <w:wordWrap/>
        <w:overflowPunct/>
        <w:topLinePunct w:val="0"/>
        <w:bidi w:val="0"/>
        <w:spacing w:line="360" w:lineRule="auto"/>
        <w:ind w:left="0" w:firstLine="480" w:firstLineChars="200"/>
        <w:jc w:val="both"/>
        <w:textAlignment w:val="auto"/>
        <w:rPr>
          <w:rFonts w:hint="eastAsia" w:ascii="仿宋" w:hAnsi="仿宋" w:eastAsia="仿宋" w:cs="仿宋"/>
          <w:bCs/>
          <w:color w:val="auto"/>
          <w:sz w:val="24"/>
          <w:szCs w:val="24"/>
        </w:rPr>
      </w:pPr>
      <w:r>
        <w:rPr>
          <w:rFonts w:hint="eastAsia" w:ascii="仿宋" w:hAnsi="仿宋" w:eastAsia="仿宋" w:cs="仿宋"/>
          <w:sz w:val="24"/>
          <w:szCs w:val="24"/>
        </w:rPr>
        <w:t>根据</w:t>
      </w:r>
      <w:r>
        <w:rPr>
          <w:rFonts w:hint="eastAsia" w:ascii="仿宋" w:hAnsi="仿宋" w:eastAsia="仿宋" w:cs="仿宋"/>
          <w:bCs/>
          <w:color w:val="auto"/>
          <w:sz w:val="24"/>
          <w:szCs w:val="24"/>
        </w:rPr>
        <w:t>甲方通过公开招标方式确定乙方为甲方202</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年度纸质图书</w:t>
      </w:r>
      <w:r>
        <w:rPr>
          <w:rFonts w:hint="eastAsia" w:ascii="仿宋" w:hAnsi="仿宋" w:eastAsia="仿宋" w:cs="仿宋"/>
          <w:bCs/>
          <w:color w:val="auto"/>
          <w:sz w:val="24"/>
          <w:szCs w:val="24"/>
          <w:lang w:eastAsia="zh-CN"/>
        </w:rPr>
        <w:t>采购项目</w:t>
      </w:r>
      <w:r>
        <w:rPr>
          <w:rFonts w:hint="eastAsia" w:ascii="仿宋" w:hAnsi="仿宋" w:eastAsia="仿宋" w:cs="仿宋"/>
          <w:bCs/>
          <w:color w:val="auto"/>
          <w:sz w:val="24"/>
          <w:szCs w:val="24"/>
        </w:rPr>
        <w:t>供应商。根据《中华人民共和国民法典》及有关法规的规定，经甲乙双方同意在平等互利和协商一致的基础上签订本采购合同。本合同以《</w:t>
      </w:r>
      <w:r>
        <w:rPr>
          <w:rFonts w:hint="eastAsia" w:ascii="仿宋" w:hAnsi="仿宋" w:eastAsia="仿宋" w:cs="仿宋"/>
          <w:bCs/>
          <w:color w:val="auto"/>
          <w:sz w:val="24"/>
          <w:szCs w:val="24"/>
          <w:lang w:eastAsia="zh-CN"/>
        </w:rPr>
        <w:t>嵊州市图书馆2023年度纸质图书采购项目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 内容和乙方的投标文件为基础制订；</w:t>
      </w:r>
      <w:r>
        <w:rPr>
          <w:rFonts w:hint="eastAsia" w:ascii="仿宋" w:hAnsi="仿宋" w:eastAsia="仿宋" w:cs="仿宋"/>
          <w:bCs/>
          <w:color w:val="auto"/>
          <w:sz w:val="24"/>
          <w:szCs w:val="24"/>
          <w:highlight w:val="none"/>
        </w:rPr>
        <w:t>甲方</w:t>
      </w:r>
      <w:r>
        <w:rPr>
          <w:rFonts w:hint="eastAsia" w:ascii="仿宋" w:hAnsi="仿宋" w:eastAsia="仿宋" w:cs="仿宋"/>
          <w:bCs/>
          <w:color w:val="auto"/>
          <w:sz w:val="24"/>
          <w:szCs w:val="24"/>
          <w:highlight w:val="none"/>
          <w:lang w:eastAsia="zh-CN"/>
        </w:rPr>
        <w:t>的采购和</w:t>
      </w:r>
      <w:r>
        <w:rPr>
          <w:rFonts w:hint="eastAsia" w:ascii="仿宋" w:hAnsi="仿宋" w:eastAsia="仿宋" w:cs="仿宋"/>
          <w:bCs/>
          <w:color w:val="auto"/>
          <w:sz w:val="24"/>
          <w:szCs w:val="24"/>
          <w:highlight w:val="none"/>
        </w:rPr>
        <w:t>服务要求、乙方的技术和服务承诺，与本合同一起构</w:t>
      </w:r>
      <w:r>
        <w:rPr>
          <w:rFonts w:hint="eastAsia" w:ascii="仿宋" w:hAnsi="仿宋" w:eastAsia="仿宋" w:cs="仿宋"/>
          <w:bCs/>
          <w:color w:val="auto"/>
          <w:sz w:val="24"/>
          <w:szCs w:val="24"/>
        </w:rPr>
        <w:t>成此次图书资料采购整体文件，具有法律效力。</w:t>
      </w:r>
    </w:p>
    <w:p>
      <w:pPr>
        <w:pageBreakBefore w:val="0"/>
        <w:numPr>
          <w:ilvl w:val="0"/>
          <w:numId w:val="0"/>
        </w:numPr>
        <w:tabs>
          <w:tab w:val="left" w:pos="540"/>
        </w:tabs>
        <w:kinsoku/>
        <w:wordWrap/>
        <w:overflowPunct/>
        <w:topLinePunct w:val="0"/>
        <w:bidi w:val="0"/>
        <w:spacing w:line="360" w:lineRule="auto"/>
        <w:ind w:left="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highlight w:val="none"/>
          <w:lang w:val="zh-CN"/>
        </w:rPr>
        <w:t>一、图书采购方式</w:t>
      </w:r>
      <w:r>
        <w:rPr>
          <w:rFonts w:hint="eastAsia" w:ascii="仿宋" w:hAnsi="仿宋" w:eastAsia="仿宋" w:cs="仿宋"/>
          <w:b/>
          <w:color w:val="auto"/>
          <w:sz w:val="24"/>
          <w:szCs w:val="24"/>
          <w:highlight w:val="none"/>
          <w:lang w:val="zh-CN"/>
        </w:rPr>
        <w:tab/>
      </w:r>
    </w:p>
    <w:p>
      <w:pPr>
        <w:pageBreakBefore w:val="0"/>
        <w:tabs>
          <w:tab w:val="left" w:pos="1545"/>
        </w:tabs>
        <w:kinsoku/>
        <w:wordWrap/>
        <w:overflowPunct/>
        <w:topLinePunct w:val="0"/>
        <w:autoSpaceDE w:val="0"/>
        <w:autoSpaceDN w:val="0"/>
        <w:bidi w:val="0"/>
        <w:adjustRightInd w:val="0"/>
        <w:spacing w:line="360" w:lineRule="auto"/>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定单采购：乙方在最大范围内为甲方征集新书出版、发行信息，提高采购效率。乙方提供的自编采访书目数据、现货书目数据（要求能提供电子书目）、现货样书品种均要求符合招标文件中的规定。</w:t>
      </w:r>
    </w:p>
    <w:p>
      <w:pPr>
        <w:pageBreakBefore w:val="0"/>
        <w:tabs>
          <w:tab w:val="left" w:pos="1545"/>
        </w:tabs>
        <w:kinsoku/>
        <w:wordWrap/>
        <w:overflowPunct/>
        <w:topLinePunct w:val="0"/>
        <w:autoSpaceDE w:val="0"/>
        <w:autoSpaceDN w:val="0"/>
        <w:bidi w:val="0"/>
        <w:adjustRightInd w:val="0"/>
        <w:spacing w:line="360" w:lineRule="auto"/>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专题采购：根据图书馆的需要，做好图书馆自定专题书目的采购，以满足馆藏的特殊需要。</w:t>
      </w:r>
    </w:p>
    <w:p>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现场采购：乙方应根据甲方要求，安排甲方参加图书现采活动、参加全国书市及订货会。</w:t>
      </w:r>
      <w:r>
        <w:rPr>
          <w:rFonts w:hint="eastAsia" w:ascii="仿宋" w:hAnsi="仿宋" w:eastAsia="仿宋" w:cs="仿宋"/>
          <w:color w:val="auto"/>
          <w:sz w:val="24"/>
          <w:szCs w:val="24"/>
          <w:highlight w:val="none"/>
        </w:rPr>
        <w:t>由于图书采购的需要，乙方每年提供我馆至少两名工作人员参加全国性大型书市现采一次的名额。现采活动所发生的往返交通、食宿等费用由乙方承担。</w:t>
      </w:r>
    </w:p>
    <w:p>
      <w:pPr>
        <w:pageBreakBefore w:val="0"/>
        <w:tabs>
          <w:tab w:val="left" w:pos="1545"/>
        </w:tabs>
        <w:kinsoku/>
        <w:wordWrap/>
        <w:overflowPunct/>
        <w:topLinePunct w:val="0"/>
        <w:autoSpaceDE w:val="0"/>
        <w:autoSpaceDN w:val="0"/>
        <w:bidi w:val="0"/>
        <w:adjustRightIn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其它方式：随时进行急需图书的增订、补订等工作，</w:t>
      </w:r>
      <w:r>
        <w:rPr>
          <w:rFonts w:hint="eastAsia" w:ascii="仿宋" w:hAnsi="仿宋" w:eastAsia="仿宋" w:cs="仿宋"/>
          <w:color w:val="auto"/>
          <w:sz w:val="24"/>
          <w:szCs w:val="24"/>
          <w:highlight w:val="none"/>
        </w:rPr>
        <w:t>急需零购图书5-10日内到货。</w:t>
      </w:r>
    </w:p>
    <w:p>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采取有效措施，避免</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种采购方式之间图书重复。</w:t>
      </w:r>
    </w:p>
    <w:p>
      <w:pPr>
        <w:pageBreakBefore w:val="0"/>
        <w:tabs>
          <w:tab w:val="left" w:pos="540"/>
        </w:tabs>
        <w:kinsoku/>
        <w:wordWrap/>
        <w:overflowPunct/>
        <w:topLinePunct w:val="0"/>
        <w:bidi w:val="0"/>
        <w:spacing w:line="360" w:lineRule="auto"/>
        <w:ind w:left="0"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二、图书采访数据配送、订单处理</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rPr>
        <w:t>中标单位</w:t>
      </w:r>
      <w:r>
        <w:rPr>
          <w:rFonts w:hint="eastAsia" w:ascii="仿宋" w:hAnsi="仿宋" w:eastAsia="仿宋" w:cs="仿宋"/>
          <w:color w:val="auto"/>
          <w:sz w:val="24"/>
          <w:szCs w:val="24"/>
          <w:lang w:eastAsia="zh-CN"/>
        </w:rPr>
        <w:t>每周</w:t>
      </w:r>
      <w:r>
        <w:rPr>
          <w:rFonts w:hint="eastAsia" w:ascii="仿宋" w:hAnsi="仿宋" w:eastAsia="仿宋" w:cs="仿宋"/>
          <w:color w:val="auto"/>
          <w:sz w:val="24"/>
          <w:szCs w:val="24"/>
        </w:rPr>
        <w:t>向采购人提供纸质和电子版最新出版图书书目信息</w:t>
      </w:r>
      <w:r>
        <w:rPr>
          <w:rFonts w:hint="eastAsia" w:ascii="仿宋" w:hAnsi="仿宋" w:eastAsia="仿宋" w:cs="仿宋"/>
          <w:color w:val="auto"/>
          <w:sz w:val="24"/>
          <w:szCs w:val="24"/>
          <w:lang w:val="en-US" w:eastAsia="zh-CN"/>
        </w:rPr>
        <w:t>1次</w:t>
      </w:r>
      <w:r>
        <w:rPr>
          <w:rFonts w:hint="eastAsia" w:ascii="仿宋" w:hAnsi="仿宋" w:eastAsia="仿宋" w:cs="仿宋"/>
          <w:color w:val="auto"/>
          <w:sz w:val="24"/>
          <w:szCs w:val="24"/>
        </w:rPr>
        <w:t>，每次不少于2000条，近三个月或即将出版的新书的覆盖率要求达到90％以上。图书符合大众读者层次需求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以标准Marc和Excel两种格式，按现货和期货两种形式发送采访书目数据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MARC数据应当具备010、100、101、102、105、106、200、210、215、300、600、690、701或711、801等字段，符合MARC著录规范。</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未经乙方同意，甲方不得自行转让乙方提供的书目数据，不得用此书目数据从事商业活动，做有损乙方声誉和利益的事情。</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乙方收到甲方订单后48小时内反馈收到信息，高码洋（单册大于</w:t>
      </w:r>
      <w:r>
        <w:rPr>
          <w:rFonts w:hint="eastAsia" w:ascii="仿宋" w:hAnsi="仿宋" w:eastAsia="仿宋" w:cs="仿宋"/>
          <w:bCs/>
          <w:color w:val="auto"/>
          <w:sz w:val="24"/>
          <w:szCs w:val="24"/>
          <w:highlight w:val="none"/>
        </w:rPr>
        <w:t>200元）和高复本（普通图书复本大于5册）订单需二次确认。乙方对甲方的订单汇总后查重，出现重复的记录，应及时回告甲方。乙方应定期反馈订单订购情况，对</w:t>
      </w:r>
      <w:r>
        <w:rPr>
          <w:rFonts w:hint="eastAsia" w:ascii="仿宋" w:hAnsi="仿宋" w:eastAsia="仿宋" w:cs="仿宋"/>
          <w:color w:val="auto"/>
          <w:sz w:val="24"/>
          <w:szCs w:val="24"/>
          <w:highlight w:val="none"/>
        </w:rPr>
        <w:t>现书名和ISBN变更、出版时间延后或出版计划取消</w:t>
      </w:r>
      <w:r>
        <w:rPr>
          <w:rFonts w:hint="eastAsia" w:ascii="仿宋" w:hAnsi="仿宋" w:eastAsia="仿宋" w:cs="仿宋"/>
          <w:bCs/>
          <w:color w:val="auto"/>
          <w:sz w:val="24"/>
          <w:szCs w:val="24"/>
          <w:highlight w:val="none"/>
        </w:rPr>
        <w:t>或实际出版信息与订购记录相异的</w:t>
      </w:r>
      <w:r>
        <w:rPr>
          <w:rFonts w:hint="eastAsia" w:ascii="仿宋" w:hAnsi="仿宋" w:eastAsia="仿宋" w:cs="仿宋"/>
          <w:color w:val="auto"/>
          <w:sz w:val="24"/>
          <w:szCs w:val="24"/>
          <w:highlight w:val="none"/>
        </w:rPr>
        <w:t>、丛书或者连续出版物复本书不配套或品类不完全等情况，应及时</w:t>
      </w:r>
      <w:r>
        <w:rPr>
          <w:rFonts w:hint="eastAsia" w:ascii="仿宋" w:hAnsi="仿宋" w:eastAsia="仿宋" w:cs="仿宋"/>
          <w:bCs/>
          <w:color w:val="auto"/>
          <w:sz w:val="24"/>
          <w:szCs w:val="24"/>
          <w:highlight w:val="none"/>
        </w:rPr>
        <w:t>将相关信息及时通知甲方。</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乙方应</w:t>
      </w:r>
      <w:r>
        <w:rPr>
          <w:rFonts w:hint="eastAsia" w:ascii="仿宋" w:hAnsi="仿宋" w:eastAsia="仿宋" w:cs="仿宋"/>
          <w:color w:val="auto"/>
          <w:sz w:val="24"/>
          <w:szCs w:val="24"/>
          <w:highlight w:val="none"/>
        </w:rPr>
        <w:t>建立甲方独立的订单库，在订单库中及时反映采购状态，并允许甲方查询相关信息。接收订单后3个工作时间内向相关发行机构报送订单。对订购时间超过3个月无法采购的图书（计算到“到书率”中）订单需及时清库并告知甲方，并说明相关原因。除接受常规订单外，还有能力及时有效地处理急需或特殊订单（读者</w:t>
      </w:r>
      <w:r>
        <w:rPr>
          <w:rFonts w:hint="eastAsia" w:ascii="仿宋" w:hAnsi="仿宋" w:eastAsia="仿宋" w:cs="仿宋"/>
          <w:color w:val="auto"/>
          <w:sz w:val="24"/>
          <w:szCs w:val="24"/>
        </w:rPr>
        <w:t>推荐订单、用户自备订单或其他书商无法采购的订单）。</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乙方保证按招标文件规定和图书订购单要求向甲方提供未经使用的全新正版的合格图书，无污损、图文不清、缺页、倒装、缺附件(随书光盘、赠书等)等质量问题,如发生所供商品与合同要求不符，甲方有权拒收或退货，由此产生的一切责任和后果由乙方承担。</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如出现以下情况乙方承诺无条件退换：</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在运输过程中出现破损、污损的；</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 xml:space="preserve">由出版社印刷、装订而造成的质量问题； </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出现英文版、影印版、高职高专教材类（特别说明除外）、中小学教材类等和发错、发重等情况；</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对于涂色书、贴纸书、活页书、袋装书、线装书、玩具书、挂图、模型制作书、小册子、卷轴式图书等，以及特殊开本（开本≤64开本，或开本≥8开），以及明显不适合甲方收藏的图书；</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出现实际到书与采访订单不符（书名、出版年、价格等）等情况。</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终止本协议时，对已预订尚未到货的图书，取消订单。乙方将相关订单目录反馈给甲方。</w:t>
      </w:r>
    </w:p>
    <w:p>
      <w:pPr>
        <w:pageBreakBefore w:val="0"/>
        <w:tabs>
          <w:tab w:val="left" w:pos="1545"/>
        </w:tabs>
        <w:kinsoku/>
        <w:wordWrap/>
        <w:overflowPunct/>
        <w:topLinePunct w:val="0"/>
        <w:autoSpaceDE w:val="0"/>
        <w:autoSpaceDN w:val="0"/>
        <w:bidi w:val="0"/>
        <w:adjustRightInd w:val="0"/>
        <w:spacing w:line="360" w:lineRule="auto"/>
        <w:ind w:left="0"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三、图书到馆加工要求</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highlight w:val="none"/>
        </w:rPr>
        <w:t>乙方按甲方要求及时提供规范、标准的国图格式编目数据。乙方能通过互联网免费提供规范的机读编目数据（数据要求参见《中国机读目录式使用手册》），并且其数据须完全符合用户图书集成管理系统的格式及运行要求，提供的所有数据都能在用户系统无障碍的使用。编目数据应比同批次送达的图书提前或同时到馆，并达到100%的覆盖率。</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highlight w:val="none"/>
        </w:rPr>
        <w:t>乙方应及时、有效到馆完成需方所采购的</w:t>
      </w:r>
      <w:r>
        <w:rPr>
          <w:rFonts w:hint="eastAsia" w:ascii="仿宋" w:hAnsi="仿宋" w:eastAsia="仿宋" w:cs="仿宋"/>
          <w:bCs/>
          <w:color w:val="auto"/>
          <w:sz w:val="24"/>
          <w:szCs w:val="24"/>
          <w:highlight w:val="none"/>
          <w:lang w:eastAsia="zh-CN"/>
        </w:rPr>
        <w:t>纸质</w:t>
      </w:r>
      <w:r>
        <w:rPr>
          <w:rFonts w:hint="eastAsia" w:ascii="仿宋" w:hAnsi="仿宋" w:eastAsia="仿宋" w:cs="仿宋"/>
          <w:bCs/>
          <w:color w:val="auto"/>
          <w:sz w:val="24"/>
          <w:szCs w:val="24"/>
          <w:highlight w:val="none"/>
        </w:rPr>
        <w:t>图书（最终统计以实际编制书目数据量为准）的编目、加工工作任务。工作包括图书编目查重、数据套录和修改、建立符合国图联编中心规范标准的书目数据（包括图书分类、取索书号，将索书号写在每册图书的书名页右上角）、馆藏分配、图书加工（包括盖馆藏章、贴条形码、贴条形码保护膜、打印书标、贴书标及书标保护膜、贴RFID芯片（芯片品牌和型号由甲方指定）、转换芯片数据）等</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加工材料符合国家技术规格和质量标准，</w:t>
      </w:r>
      <w:r>
        <w:rPr>
          <w:rFonts w:hint="eastAsia" w:ascii="仿宋" w:hAnsi="仿宋" w:eastAsia="仿宋" w:cs="仿宋"/>
          <w:bCs/>
          <w:color w:val="auto"/>
          <w:sz w:val="24"/>
          <w:szCs w:val="24"/>
          <w:highlight w:val="none"/>
        </w:rPr>
        <w:t>具体加工要求参照甲方“</w:t>
      </w:r>
      <w:r>
        <w:rPr>
          <w:rFonts w:hint="eastAsia" w:ascii="仿宋" w:hAnsi="仿宋" w:eastAsia="仿宋" w:cs="仿宋"/>
          <w:bCs/>
          <w:color w:val="auto"/>
          <w:sz w:val="24"/>
          <w:szCs w:val="24"/>
          <w:highlight w:val="none"/>
          <w:lang w:eastAsia="zh-CN"/>
        </w:rPr>
        <w:t>嵊州</w:t>
      </w:r>
      <w:r>
        <w:rPr>
          <w:rFonts w:hint="eastAsia" w:ascii="仿宋" w:hAnsi="仿宋" w:eastAsia="仿宋" w:cs="仿宋"/>
          <w:bCs/>
          <w:color w:val="auto"/>
          <w:sz w:val="24"/>
          <w:szCs w:val="24"/>
          <w:highlight w:val="none"/>
        </w:rPr>
        <w:t>市图书馆中标书商</w:t>
      </w:r>
      <w:r>
        <w:rPr>
          <w:rFonts w:hint="eastAsia" w:ascii="仿宋" w:hAnsi="仿宋" w:eastAsia="仿宋" w:cs="仿宋"/>
          <w:bCs/>
          <w:color w:val="auto"/>
          <w:sz w:val="24"/>
          <w:szCs w:val="24"/>
          <w:highlight w:val="none"/>
          <w:lang w:eastAsia="zh-CN"/>
        </w:rPr>
        <w:t>图书</w:t>
      </w:r>
      <w:r>
        <w:rPr>
          <w:rFonts w:hint="eastAsia" w:ascii="仿宋" w:hAnsi="仿宋" w:eastAsia="仿宋" w:cs="仿宋"/>
          <w:bCs/>
          <w:color w:val="auto"/>
          <w:sz w:val="24"/>
          <w:szCs w:val="24"/>
          <w:highlight w:val="none"/>
        </w:rPr>
        <w:t>全加工工作细则”。</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甲方有权要求乙方到馆驻点编目加工或委托其他公司加工。</w:t>
      </w:r>
    </w:p>
    <w:p>
      <w:pPr>
        <w:keepNext w:val="0"/>
        <w:keepLines w:val="0"/>
        <w:pageBreakBefore w:val="0"/>
        <w:widowControl w:val="0"/>
        <w:kinsoku/>
        <w:wordWrap/>
        <w:overflowPunct/>
        <w:topLinePunct w:val="0"/>
        <w:autoSpaceDE/>
        <w:autoSpaceDN/>
        <w:bidi w:val="0"/>
        <w:snapToGrid/>
        <w:spacing w:line="360" w:lineRule="auto"/>
        <w:ind w:left="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嵊州市</w:t>
      </w:r>
      <w:r>
        <w:rPr>
          <w:rFonts w:hint="eastAsia" w:ascii="仿宋" w:hAnsi="仿宋" w:eastAsia="仿宋" w:cs="仿宋"/>
          <w:color w:val="auto"/>
          <w:sz w:val="24"/>
          <w:szCs w:val="24"/>
          <w:highlight w:val="none"/>
        </w:rPr>
        <w:t>图书馆202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年度接受的捐赠、征集图书约</w:t>
      </w:r>
      <w:r>
        <w:rPr>
          <w:rFonts w:hint="eastAsia" w:ascii="仿宋" w:hAnsi="仿宋" w:eastAsia="仿宋" w:cs="仿宋"/>
          <w:color w:val="auto"/>
          <w:sz w:val="24"/>
          <w:szCs w:val="24"/>
          <w:highlight w:val="none"/>
          <w:lang w:val="en-US" w:eastAsia="zh-CN"/>
        </w:rPr>
        <w:t>1000</w:t>
      </w:r>
      <w:r>
        <w:rPr>
          <w:rFonts w:hint="eastAsia" w:ascii="仿宋" w:hAnsi="仿宋" w:eastAsia="仿宋" w:cs="仿宋"/>
          <w:color w:val="auto"/>
          <w:sz w:val="24"/>
          <w:szCs w:val="24"/>
          <w:highlight w:val="none"/>
        </w:rPr>
        <w:t>册</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乙方负责编目加工，承</w:t>
      </w:r>
      <w:r>
        <w:rPr>
          <w:rFonts w:hint="eastAsia" w:ascii="仿宋" w:hAnsi="仿宋" w:eastAsia="仿宋" w:cs="仿宋"/>
          <w:color w:val="auto"/>
          <w:sz w:val="24"/>
          <w:szCs w:val="24"/>
          <w:highlight w:val="none"/>
        </w:rPr>
        <w:t>担相关加工费用。</w:t>
      </w:r>
    </w:p>
    <w:p>
      <w:pPr>
        <w:pageBreakBefore w:val="0"/>
        <w:tabs>
          <w:tab w:val="left" w:pos="540"/>
        </w:tabs>
        <w:kinsoku/>
        <w:wordWrap/>
        <w:overflowPunct/>
        <w:topLinePunct w:val="0"/>
        <w:bidi w:val="0"/>
        <w:spacing w:line="360" w:lineRule="auto"/>
        <w:ind w:left="0" w:firstLine="482" w:firstLineChars="200"/>
        <w:textAlignment w:val="auto"/>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四、供书时间与到书率</w:t>
      </w:r>
    </w:p>
    <w:p>
      <w:pPr>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olor w:val="auto"/>
          <w:sz w:val="24"/>
          <w:szCs w:val="24"/>
          <w:lang w:val="zh-CN"/>
        </w:rPr>
      </w:pPr>
      <w:r>
        <w:rPr>
          <w:rFonts w:hint="eastAsia" w:ascii="仿宋" w:hAnsi="仿宋" w:eastAsia="仿宋" w:cs="仿宋"/>
          <w:bCs/>
          <w:color w:val="auto"/>
          <w:sz w:val="24"/>
          <w:szCs w:val="24"/>
        </w:rPr>
        <w:t>1、</w:t>
      </w:r>
      <w:r>
        <w:rPr>
          <w:rFonts w:hint="eastAsia" w:ascii="仿宋" w:hAnsi="仿宋" w:eastAsia="仿宋" w:cs="仿宋"/>
          <w:color w:val="auto"/>
          <w:sz w:val="24"/>
          <w:szCs w:val="24"/>
          <w:lang w:val="zh-CN"/>
        </w:rPr>
        <w:t>到货时间从发出订单的第二天开始计算，其中80%图书的到书周期应控制在60天之内。现货选购订到率不低于90%，</w:t>
      </w:r>
      <w:r>
        <w:rPr>
          <w:rFonts w:hint="eastAsia" w:ascii="仿宋" w:hAnsi="仿宋" w:eastAsia="仿宋" w:cs="仿宋"/>
          <w:color w:val="auto"/>
          <w:sz w:val="24"/>
          <w:szCs w:val="24"/>
        </w:rPr>
        <w:t>1个月内到书率不低于</w:t>
      </w:r>
      <w:r>
        <w:rPr>
          <w:rFonts w:hint="eastAsia" w:ascii="仿宋" w:hAnsi="仿宋" w:eastAsia="仿宋" w:cs="仿宋"/>
          <w:color w:val="auto"/>
          <w:sz w:val="24"/>
          <w:szCs w:val="24"/>
          <w:lang w:val="en-US" w:eastAsia="zh-CN"/>
        </w:rPr>
        <w:t>95</w:t>
      </w:r>
      <w:r>
        <w:rPr>
          <w:rFonts w:hint="eastAsia" w:ascii="仿宋" w:hAnsi="仿宋" w:eastAsia="仿宋" w:cs="仿宋"/>
          <w:color w:val="auto"/>
          <w:sz w:val="24"/>
          <w:szCs w:val="24"/>
        </w:rPr>
        <w:t>％，3个月内到书率不低于9</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％；期货：全年的到书率不低于95％(不含更改出版计划、作者统一包销和出版年份较早图书)，前3个月到书率不低于</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0％，前6个月到书率不低于9</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w:t>
      </w:r>
    </w:p>
    <w:p>
      <w:pPr>
        <w:pageBreakBefore w:val="0"/>
        <w:kinsoku/>
        <w:wordWrap/>
        <w:overflowPunct/>
        <w:topLinePunct w:val="0"/>
        <w:bidi w:val="0"/>
        <w:spacing w:line="360" w:lineRule="auto"/>
        <w:ind w:left="0" w:firstLine="45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对现货20天、期货60天还不能到货的图书品种列出清单，说明原因及时反馈采购人</w:t>
      </w:r>
      <w:r>
        <w:rPr>
          <w:rFonts w:hint="eastAsia" w:ascii="仿宋" w:hAnsi="仿宋" w:eastAsia="仿宋" w:cs="仿宋"/>
          <w:color w:val="auto"/>
          <w:sz w:val="24"/>
          <w:szCs w:val="24"/>
          <w:lang w:eastAsia="zh-CN"/>
        </w:rPr>
        <w:t>，无法</w:t>
      </w:r>
      <w:r>
        <w:rPr>
          <w:rFonts w:hint="eastAsia" w:ascii="仿宋" w:hAnsi="仿宋" w:eastAsia="仿宋" w:cs="仿宋"/>
          <w:color w:val="auto"/>
          <w:sz w:val="24"/>
          <w:szCs w:val="24"/>
          <w:lang w:val="zh-CN"/>
        </w:rPr>
        <w:t>供货的图书，甲方有权通过其他渠道补充订单内未到货的品种和数量，乙方须无条件接受并负责支付相关采购费用。</w:t>
      </w:r>
    </w:p>
    <w:p>
      <w:pPr>
        <w:pageBreakBefore w:val="0"/>
        <w:tabs>
          <w:tab w:val="left" w:pos="540"/>
        </w:tabs>
        <w:kinsoku/>
        <w:wordWrap/>
        <w:overflowPunct/>
        <w:topLinePunct w:val="0"/>
        <w:bidi w:val="0"/>
        <w:spacing w:line="360" w:lineRule="auto"/>
        <w:ind w:left="0" w:firstLine="482" w:firstLineChars="200"/>
        <w:textAlignment w:val="auto"/>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五、图书包装、发货</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highlight w:val="none"/>
        </w:rPr>
        <w:t>乙方负责将甲方所订图书供货到指定地点（</w:t>
      </w:r>
      <w:r>
        <w:rPr>
          <w:rFonts w:hint="eastAsia" w:ascii="仿宋" w:hAnsi="仿宋" w:eastAsia="仿宋" w:cs="仿宋"/>
          <w:bCs/>
          <w:color w:val="auto"/>
          <w:sz w:val="24"/>
          <w:szCs w:val="24"/>
          <w:highlight w:val="none"/>
          <w:lang w:eastAsia="zh-CN"/>
        </w:rPr>
        <w:t>嵊州</w:t>
      </w:r>
      <w:r>
        <w:rPr>
          <w:rFonts w:hint="eastAsia" w:ascii="仿宋" w:hAnsi="仿宋" w:eastAsia="仿宋" w:cs="仿宋"/>
          <w:bCs/>
          <w:color w:val="auto"/>
          <w:sz w:val="24"/>
          <w:szCs w:val="24"/>
          <w:highlight w:val="none"/>
        </w:rPr>
        <w:t>市图书馆），其中所发生的一切运输费用由乙方承担，图</w:t>
      </w:r>
      <w:r>
        <w:rPr>
          <w:rFonts w:hint="eastAsia" w:ascii="仿宋" w:hAnsi="仿宋" w:eastAsia="仿宋" w:cs="仿宋"/>
          <w:bCs/>
          <w:color w:val="auto"/>
          <w:sz w:val="24"/>
          <w:szCs w:val="24"/>
        </w:rPr>
        <w:t>书在到达甲方指定地点前发生的不可预见的风险均由乙方负责。</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乙方负责对成人图书和青少年儿童图书的分拣和分批发货，并在发货清单中做相应备注。</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乙方应在图书发运前对其进行满足运输距离、防湿、防破等装卸要求的包装，以保证图书安全运输到达甲方指定地点；发货清单一式二份，内容一致，不得涂改。清单应包括：包号、书号、书名、出版社、单价、册数、码洋，每包的种、册、码洋的小计。一份附于包装货件内，一包一单；另</w:t>
      </w:r>
      <w:r>
        <w:rPr>
          <w:rFonts w:hint="eastAsia" w:ascii="仿宋" w:hAnsi="仿宋" w:eastAsia="仿宋" w:cs="仿宋"/>
          <w:bCs/>
          <w:color w:val="auto"/>
          <w:sz w:val="24"/>
          <w:szCs w:val="24"/>
          <w:lang w:eastAsia="zh-CN"/>
        </w:rPr>
        <w:t>一</w:t>
      </w:r>
      <w:r>
        <w:rPr>
          <w:rFonts w:hint="eastAsia" w:ascii="仿宋" w:hAnsi="仿宋" w:eastAsia="仿宋" w:cs="仿宋"/>
          <w:bCs/>
          <w:color w:val="auto"/>
          <w:sz w:val="24"/>
          <w:szCs w:val="24"/>
        </w:rPr>
        <w:t>份要求以包装号为序，统计该批次图书的总种数、总册数及总金额，并加盖公章交给甲方。乙方在图书发运的一天前（如发运地非本地，则应在发运手续办理的24小时内），用电话、信函或传真通知甲方，以使甲方准备接货。</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乙方应履行投标文件中的售前售后服务承诺，其内容若由与本协议相抵触的，以本协议为准。</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交货时间及地点</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交货时间：签订合同</w:t>
      </w:r>
      <w:r>
        <w:rPr>
          <w:rFonts w:hint="eastAsia" w:ascii="仿宋" w:hAnsi="仿宋" w:eastAsia="仿宋" w:cs="仿宋"/>
          <w:color w:val="auto"/>
          <w:sz w:val="24"/>
          <w:szCs w:val="24"/>
          <w:lang w:val="en-US" w:eastAsia="zh-CN"/>
        </w:rPr>
        <w:t>之日</w:t>
      </w:r>
      <w:r>
        <w:rPr>
          <w:rFonts w:hint="eastAsia" w:ascii="仿宋" w:hAnsi="仿宋" w:eastAsia="仿宋" w:cs="仿宋"/>
          <w:color w:val="auto"/>
          <w:sz w:val="24"/>
          <w:szCs w:val="24"/>
        </w:rPr>
        <w:t>至</w:t>
      </w:r>
      <w:r>
        <w:rPr>
          <w:rFonts w:hint="eastAsia" w:ascii="仿宋" w:hAnsi="仿宋" w:eastAsia="仿宋" w:cs="仿宋"/>
          <w:b/>
          <w:bCs/>
          <w:color w:val="auto"/>
          <w:sz w:val="24"/>
          <w:szCs w:val="24"/>
          <w:lang w:val="en-US" w:eastAsia="zh-CN"/>
        </w:rPr>
        <w:t>2023</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11</w:t>
      </w:r>
      <w:r>
        <w:rPr>
          <w:rFonts w:hint="eastAsia" w:ascii="仿宋" w:hAnsi="仿宋" w:eastAsia="仿宋" w:cs="仿宋"/>
          <w:b/>
          <w:bCs/>
          <w:color w:val="auto"/>
          <w:sz w:val="24"/>
          <w:szCs w:val="24"/>
        </w:rPr>
        <w:t>月</w:t>
      </w:r>
      <w:r>
        <w:rPr>
          <w:rFonts w:hint="eastAsia" w:ascii="仿宋" w:hAnsi="仿宋" w:eastAsia="仿宋" w:cs="仿宋"/>
          <w:color w:val="auto"/>
          <w:sz w:val="24"/>
          <w:szCs w:val="24"/>
        </w:rPr>
        <w:t>底完成。</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交货方式：将采购</w:t>
      </w:r>
      <w:r>
        <w:rPr>
          <w:rFonts w:hint="eastAsia" w:ascii="仿宋" w:hAnsi="仿宋" w:eastAsia="仿宋" w:cs="仿宋"/>
          <w:color w:val="auto"/>
          <w:sz w:val="24"/>
          <w:szCs w:val="24"/>
          <w:lang w:eastAsia="zh-CN"/>
        </w:rPr>
        <w:t>方</w:t>
      </w:r>
      <w:r>
        <w:rPr>
          <w:rFonts w:hint="eastAsia" w:ascii="仿宋" w:hAnsi="仿宋" w:eastAsia="仿宋" w:cs="仿宋"/>
          <w:color w:val="auto"/>
          <w:sz w:val="24"/>
          <w:szCs w:val="24"/>
        </w:rPr>
        <w:t>所有订购的图书送至采购</w:t>
      </w:r>
      <w:r>
        <w:rPr>
          <w:rFonts w:hint="eastAsia" w:ascii="仿宋" w:hAnsi="仿宋" w:eastAsia="仿宋" w:cs="仿宋"/>
          <w:color w:val="auto"/>
          <w:sz w:val="24"/>
          <w:szCs w:val="24"/>
          <w:lang w:eastAsia="zh-CN"/>
        </w:rPr>
        <w:t>方</w:t>
      </w:r>
      <w:r>
        <w:rPr>
          <w:rFonts w:hint="eastAsia" w:ascii="仿宋" w:hAnsi="仿宋" w:eastAsia="仿宋" w:cs="仿宋"/>
          <w:color w:val="auto"/>
          <w:sz w:val="24"/>
          <w:szCs w:val="24"/>
        </w:rPr>
        <w:t>指定地点并进行现场验收。</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交货地点：采购方指定地点。</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rFonts w:hint="eastAsia" w:ascii="仿宋" w:hAnsi="仿宋" w:eastAsia="仿宋" w:cs="仿宋"/>
          <w:b/>
          <w:bCs/>
          <w:snapToGrid w:val="0"/>
          <w:color w:val="auto"/>
          <w:kern w:val="2"/>
          <w:sz w:val="24"/>
          <w:szCs w:val="24"/>
          <w:lang w:val="en-US" w:eastAsia="zh-CN" w:bidi="ar-SA"/>
        </w:rPr>
      </w:pPr>
      <w:r>
        <w:rPr>
          <w:rFonts w:hint="eastAsia" w:ascii="仿宋" w:hAnsi="仿宋" w:eastAsia="仿宋" w:cs="仿宋"/>
          <w:b/>
          <w:bCs/>
          <w:snapToGrid w:val="0"/>
          <w:color w:val="auto"/>
          <w:kern w:val="2"/>
          <w:sz w:val="24"/>
          <w:szCs w:val="24"/>
          <w:lang w:val="en-US" w:eastAsia="zh-CN" w:bidi="ar-SA"/>
        </w:rPr>
        <w:t>多卷、分册图书保证配齐方可发货,确保不分多次配送,杜绝下册已配送而上册未配送类似情况的发生。</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七</w:t>
      </w:r>
      <w:r>
        <w:rPr>
          <w:rFonts w:hint="eastAsia" w:ascii="仿宋" w:hAnsi="仿宋" w:eastAsia="仿宋" w:cs="仿宋"/>
          <w:b/>
          <w:color w:val="auto"/>
          <w:sz w:val="24"/>
          <w:szCs w:val="24"/>
        </w:rPr>
        <w:t>、验收</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在图书送达指定地点之日起</w:t>
      </w:r>
      <w:r>
        <w:rPr>
          <w:rFonts w:hint="eastAsia" w:ascii="仿宋" w:hAnsi="仿宋" w:eastAsia="仿宋" w:cs="仿宋"/>
          <w:color w:val="auto"/>
          <w:sz w:val="24"/>
          <w:szCs w:val="24"/>
          <w:lang w:eastAsia="zh-CN"/>
        </w:rPr>
        <w:t>七日内</w:t>
      </w:r>
      <w:r>
        <w:rPr>
          <w:rFonts w:hint="eastAsia" w:ascii="仿宋" w:hAnsi="仿宋" w:eastAsia="仿宋" w:cs="仿宋"/>
          <w:color w:val="auto"/>
          <w:sz w:val="24"/>
          <w:szCs w:val="24"/>
        </w:rPr>
        <w:t>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到馆加工服务人员一起验收。非不可抗力因素而拒绝验收或无故刁难，超过规定期限的，视同已经验收，损失自负。</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送交的图书</w:t>
      </w:r>
      <w:r>
        <w:rPr>
          <w:rFonts w:hint="eastAsia" w:ascii="仿宋" w:hAnsi="仿宋" w:eastAsia="仿宋" w:cs="仿宋"/>
          <w:color w:val="auto"/>
          <w:sz w:val="24"/>
          <w:szCs w:val="24"/>
          <w:lang w:eastAsia="zh-CN"/>
        </w:rPr>
        <w:t>按照</w:t>
      </w:r>
      <w:r>
        <w:rPr>
          <w:rFonts w:hint="eastAsia" w:ascii="仿宋" w:hAnsi="仿宋" w:eastAsia="仿宋" w:cs="仿宋"/>
          <w:color w:val="auto"/>
          <w:sz w:val="24"/>
          <w:szCs w:val="24"/>
        </w:rPr>
        <w:t>合同规定的要求标准进行验收，对认为验收不合格图书由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当天调换或无条件退货。</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供应商对送交到用户的图书不能有任何质量问题。若验收时发现有污染、图文不清、缺页、倒装、缺附件等不合格的图书，以及与订单不符的图书，一律予以退换，不能以已加工为理由拒绝，由此造成的损失及费用全部由供应商承担。若发现明显不适宜用户收藏的图书，供应商应允许用户无条件退换；</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color w:val="auto"/>
          <w:sz w:val="24"/>
          <w:szCs w:val="24"/>
          <w:lang w:val="zh-CN"/>
        </w:rPr>
      </w:pPr>
      <w:r>
        <w:rPr>
          <w:rFonts w:hint="eastAsia" w:ascii="仿宋" w:hAnsi="仿宋" w:eastAsia="仿宋" w:cs="仿宋"/>
          <w:bCs/>
          <w:color w:val="auto"/>
          <w:sz w:val="24"/>
          <w:szCs w:val="24"/>
          <w:lang w:val="en-US" w:eastAsia="zh-CN"/>
        </w:rPr>
        <w:t>4.</w:t>
      </w:r>
      <w:r>
        <w:rPr>
          <w:rFonts w:hint="eastAsia" w:ascii="仿宋" w:hAnsi="仿宋" w:eastAsia="仿宋" w:cs="仿宋"/>
          <w:color w:val="auto"/>
          <w:sz w:val="24"/>
          <w:szCs w:val="24"/>
          <w:lang w:val="zh-CN"/>
        </w:rPr>
        <w:t>凡交到甲方的图书，以图书定价作为计算书款的依据，经验收发现书款与发货单不符的，甲方应及时通知乙方进行核算，乙方接到通知之日起10个工作日内不能回复确认的，以甲方验收的实际数额计算书款金额。</w:t>
      </w:r>
    </w:p>
    <w:p>
      <w:pPr>
        <w:pStyle w:val="35"/>
        <w:keepNext w:val="0"/>
        <w:keepLines w:val="0"/>
        <w:pageBreakBefore w:val="0"/>
        <w:widowControl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八、合同金额</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本合同金额为人民币</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2"/>
          <w:sz w:val="24"/>
          <w:szCs w:val="24"/>
          <w:lang w:val="en-US" w:eastAsia="zh-CN" w:bidi="ar-SA"/>
        </w:rPr>
        <w:t>（大写）：</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2"/>
          <w:sz w:val="24"/>
          <w:szCs w:val="24"/>
          <w:lang w:val="zh-CN" w:eastAsia="zh-CN" w:bidi="ar-SA"/>
        </w:rPr>
        <w:t>中标</w:t>
      </w:r>
      <w:r>
        <w:rPr>
          <w:rFonts w:hint="eastAsia" w:ascii="仿宋" w:hAnsi="仿宋" w:eastAsia="仿宋" w:cs="仿宋"/>
          <w:color w:val="auto"/>
          <w:kern w:val="2"/>
          <w:sz w:val="24"/>
          <w:szCs w:val="24"/>
          <w:lang w:val="en-US" w:eastAsia="zh-CN" w:bidi="ar-SA"/>
        </w:rPr>
        <w:t>折扣率为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kern w:val="2"/>
          <w:sz w:val="24"/>
          <w:szCs w:val="24"/>
          <w:lang w:val="en-US" w:eastAsia="zh-CN" w:bidi="ar-SA"/>
        </w:rPr>
        <w:t xml:space="preserve">  </w:t>
      </w:r>
    </w:p>
    <w:p>
      <w:pPr>
        <w:pStyle w:val="3"/>
        <w:keepLines w:val="0"/>
        <w:pageBreakBefore w:val="0"/>
        <w:widowControl w:val="0"/>
        <w:tabs>
          <w:tab w:val="left" w:pos="480"/>
          <w:tab w:val="clear" w:pos="432"/>
        </w:tabs>
        <w:kinsoku/>
        <w:wordWrap/>
        <w:overflowPunct/>
        <w:topLinePunct w:val="0"/>
        <w:autoSpaceDE/>
        <w:autoSpaceDN/>
        <w:bidi w:val="0"/>
        <w:adjustRightInd/>
        <w:snapToGrid/>
        <w:spacing w:before="0" w:after="0" w:line="360" w:lineRule="auto"/>
        <w:ind w:left="0" w:firstLine="480" w:firstLineChars="200"/>
        <w:jc w:val="both"/>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乙方在服务中应注意，未经甲方确认的超额工程量不计，结算金额不得超过合同价金额      元。</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bCs/>
          <w:color w:val="auto"/>
          <w:kern w:val="2"/>
          <w:sz w:val="24"/>
          <w:szCs w:val="24"/>
          <w:lang w:val="en-US" w:eastAsia="zh-CN" w:bidi="ar-SA"/>
        </w:rPr>
        <w:t>注：以上合同总价包括图书货款、随书附件（光盘、软件等）、加工材料（胶带纸、书标、条码、超高频RFID芯片等）、专用工具、加工费用、包装、运输、装卸、保险以及上架、人工费、服务费、购买及制作标书费、招标代理费及其他费等一切利润、税金等费用。</w:t>
      </w:r>
    </w:p>
    <w:p>
      <w:pPr>
        <w:pStyle w:val="3"/>
        <w:pageBreakBefore w:val="0"/>
        <w:tabs>
          <w:tab w:val="left" w:pos="840"/>
          <w:tab w:val="clear" w:pos="432"/>
        </w:tabs>
        <w:kinsoku/>
        <w:wordWrap/>
        <w:overflowPunct/>
        <w:topLinePunct w:val="0"/>
        <w:bidi w:val="0"/>
        <w:spacing w:before="0" w:after="0" w:line="360" w:lineRule="auto"/>
        <w:ind w:left="0" w:firstLine="482"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九、结算方式</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投标报价以供货图书码洋供应价为基数，进行折扣率报价。即按实际入库的图书码洋乘以所报价图书折扣率后的金额作为合同结算金额，货款以人民币结算。</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总货款按照实际采购到货图书数量结算</w:t>
      </w:r>
      <w:r>
        <w:rPr>
          <w:rFonts w:hint="eastAsia" w:ascii="仿宋" w:hAnsi="仿宋" w:eastAsia="仿宋" w:cs="仿宋"/>
          <w:color w:val="auto"/>
          <w:sz w:val="24"/>
          <w:szCs w:val="24"/>
          <w:lang w:eastAsia="zh-CN"/>
        </w:rPr>
        <w:t>。</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（如：某图书码洋供应价为50元/册，如投标折扣率为70％，则供货价格为50*0.7=35元/册。）</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十、</w:t>
      </w:r>
      <w:r>
        <w:rPr>
          <w:rFonts w:hint="eastAsia" w:ascii="仿宋" w:hAnsi="仿宋" w:eastAsia="仿宋" w:cs="仿宋"/>
          <w:b/>
          <w:bCs/>
          <w:color w:val="auto"/>
          <w:sz w:val="24"/>
          <w:szCs w:val="24"/>
        </w:rPr>
        <w:t>付款方式</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合同签订后</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个工作日内支付合同款</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0%作为预付款；每月采购图书经采购</w:t>
      </w:r>
      <w:r>
        <w:rPr>
          <w:rFonts w:hint="eastAsia" w:ascii="仿宋" w:hAnsi="仿宋" w:eastAsia="仿宋" w:cs="仿宋"/>
          <w:color w:val="auto"/>
          <w:sz w:val="24"/>
          <w:szCs w:val="24"/>
          <w:lang w:eastAsia="zh-CN"/>
        </w:rPr>
        <w:t>方</w:t>
      </w:r>
      <w:r>
        <w:rPr>
          <w:rFonts w:hint="eastAsia" w:ascii="仿宋" w:hAnsi="仿宋" w:eastAsia="仿宋" w:cs="仿宋"/>
          <w:color w:val="auto"/>
          <w:sz w:val="24"/>
          <w:szCs w:val="24"/>
        </w:rPr>
        <w:t>验收合格后进行累计，在年中、年终分别由采购</w:t>
      </w:r>
      <w:r>
        <w:rPr>
          <w:rFonts w:hint="eastAsia" w:ascii="仿宋" w:hAnsi="仿宋" w:eastAsia="仿宋" w:cs="仿宋"/>
          <w:color w:val="auto"/>
          <w:sz w:val="24"/>
          <w:szCs w:val="24"/>
          <w:lang w:eastAsia="zh-CN"/>
        </w:rPr>
        <w:t>方</w:t>
      </w:r>
      <w:r>
        <w:rPr>
          <w:rFonts w:hint="eastAsia" w:ascii="仿宋" w:hAnsi="仿宋" w:eastAsia="仿宋" w:cs="仿宋"/>
          <w:color w:val="auto"/>
          <w:sz w:val="24"/>
          <w:szCs w:val="24"/>
        </w:rPr>
        <w:t>将验收合格的累计约定货款在同比例扣除预付款后支付给</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zh-CN"/>
        </w:rPr>
        <w:t>书款以实际验收的图书标价和实际到馆册数为依据）</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乙方应在结算书款时为甲方提供符合国家有关法律规定和甲方财务规定的正式发票，</w:t>
      </w:r>
      <w:r>
        <w:rPr>
          <w:rFonts w:hint="eastAsia" w:ascii="仿宋" w:hAnsi="仿宋" w:eastAsia="仿宋" w:cs="仿宋"/>
          <w:bCs/>
          <w:color w:val="auto"/>
          <w:sz w:val="24"/>
          <w:szCs w:val="24"/>
          <w:highlight w:val="none"/>
        </w:rPr>
        <w:t>在同一张发票上反映其销售折扣、实洋</w:t>
      </w:r>
      <w:r>
        <w:rPr>
          <w:rFonts w:hint="eastAsia" w:ascii="仿宋" w:hAnsi="仿宋" w:eastAsia="仿宋" w:cs="仿宋"/>
          <w:bCs/>
          <w:color w:val="auto"/>
          <w:sz w:val="24"/>
          <w:szCs w:val="24"/>
          <w:highlight w:val="none"/>
          <w:lang w:eastAsia="zh-CN"/>
        </w:rPr>
        <w:t>等</w:t>
      </w:r>
      <w:r>
        <w:rPr>
          <w:rFonts w:hint="eastAsia" w:ascii="仿宋" w:hAnsi="仿宋" w:eastAsia="仿宋" w:cs="仿宋"/>
          <w:bCs/>
          <w:color w:val="auto"/>
          <w:sz w:val="24"/>
          <w:szCs w:val="24"/>
          <w:highlight w:val="none"/>
        </w:rPr>
        <w:t>内容，甲方收到发票后按实洋付款。</w:t>
      </w:r>
    </w:p>
    <w:p>
      <w:pPr>
        <w:pageBreakBefore w:val="0"/>
        <w:widowControl/>
        <w:kinsoku/>
        <w:wordWrap/>
        <w:overflowPunct/>
        <w:topLinePunct w:val="0"/>
        <w:bidi w:val="0"/>
        <w:spacing w:line="360" w:lineRule="auto"/>
        <w:ind w:left="0" w:firstLine="482" w:firstLineChars="200"/>
        <w:jc w:val="left"/>
        <w:textAlignment w:val="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十一、合同</w:t>
      </w:r>
      <w:r>
        <w:rPr>
          <w:rFonts w:hint="eastAsia" w:ascii="仿宋" w:hAnsi="仿宋" w:eastAsia="仿宋" w:cs="仿宋"/>
          <w:b/>
          <w:color w:val="auto"/>
          <w:sz w:val="24"/>
          <w:szCs w:val="24"/>
        </w:rPr>
        <w:t>生效期限</w:t>
      </w:r>
      <w:r>
        <w:rPr>
          <w:rFonts w:hint="eastAsia" w:ascii="仿宋" w:hAnsi="仿宋" w:eastAsia="仿宋" w:cs="仿宋"/>
          <w:b/>
          <w:color w:val="auto"/>
          <w:sz w:val="24"/>
          <w:szCs w:val="24"/>
          <w:lang w:eastAsia="zh-CN"/>
        </w:rPr>
        <w:t>及违约责任</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本</w:t>
      </w:r>
      <w:r>
        <w:rPr>
          <w:rFonts w:hint="eastAsia" w:ascii="仿宋" w:hAnsi="仿宋" w:eastAsia="仿宋" w:cs="仿宋"/>
          <w:bCs/>
          <w:color w:val="auto"/>
          <w:sz w:val="24"/>
          <w:szCs w:val="24"/>
          <w:lang w:eastAsia="zh-CN"/>
        </w:rPr>
        <w:t>合同</w:t>
      </w:r>
      <w:r>
        <w:rPr>
          <w:rFonts w:hint="eastAsia" w:ascii="仿宋" w:hAnsi="仿宋" w:eastAsia="仿宋" w:cs="仿宋"/>
          <w:bCs/>
          <w:color w:val="auto"/>
          <w:sz w:val="24"/>
          <w:szCs w:val="24"/>
        </w:rPr>
        <w:t>壹式</w:t>
      </w:r>
      <w:r>
        <w:rPr>
          <w:rFonts w:hint="eastAsia" w:ascii="仿宋" w:hAnsi="仿宋" w:eastAsia="仿宋" w:cs="仿宋"/>
          <w:bCs/>
          <w:color w:val="auto"/>
          <w:sz w:val="24"/>
          <w:szCs w:val="24"/>
          <w:lang w:eastAsia="zh-CN"/>
        </w:rPr>
        <w:t>柒</w:t>
      </w:r>
      <w:r>
        <w:rPr>
          <w:rFonts w:hint="eastAsia" w:ascii="仿宋" w:hAnsi="仿宋" w:eastAsia="仿宋" w:cs="仿宋"/>
          <w:bCs/>
          <w:color w:val="auto"/>
          <w:sz w:val="24"/>
          <w:szCs w:val="24"/>
        </w:rPr>
        <w:t>份，甲方</w:t>
      </w:r>
      <w:r>
        <w:rPr>
          <w:rFonts w:hint="eastAsia" w:ascii="仿宋" w:hAnsi="仿宋" w:eastAsia="仿宋" w:cs="仿宋"/>
          <w:bCs/>
          <w:color w:val="auto"/>
          <w:sz w:val="24"/>
          <w:szCs w:val="24"/>
          <w:lang w:eastAsia="zh-CN"/>
        </w:rPr>
        <w:t>叁</w:t>
      </w:r>
      <w:r>
        <w:rPr>
          <w:rFonts w:hint="eastAsia" w:ascii="仿宋" w:hAnsi="仿宋" w:eastAsia="仿宋" w:cs="仿宋"/>
          <w:bCs/>
          <w:color w:val="auto"/>
          <w:sz w:val="24"/>
          <w:szCs w:val="24"/>
        </w:rPr>
        <w:t>份，乙方</w:t>
      </w:r>
      <w:r>
        <w:rPr>
          <w:rFonts w:hint="eastAsia" w:ascii="仿宋" w:hAnsi="仿宋" w:eastAsia="仿宋" w:cs="仿宋"/>
          <w:bCs/>
          <w:color w:val="auto"/>
          <w:sz w:val="24"/>
          <w:szCs w:val="24"/>
          <w:lang w:eastAsia="zh-CN"/>
        </w:rPr>
        <w:t>叁</w:t>
      </w:r>
      <w:r>
        <w:rPr>
          <w:rFonts w:hint="eastAsia" w:ascii="仿宋" w:hAnsi="仿宋" w:eastAsia="仿宋" w:cs="仿宋"/>
          <w:bCs/>
          <w:color w:val="auto"/>
          <w:sz w:val="24"/>
          <w:szCs w:val="24"/>
        </w:rPr>
        <w:t>份，采购代理机构壹份，自签订之日起生效，有效期至</w:t>
      </w:r>
      <w:r>
        <w:rPr>
          <w:rFonts w:hint="eastAsia" w:ascii="仿宋" w:hAnsi="仿宋" w:eastAsia="仿宋" w:cs="仿宋"/>
          <w:bCs/>
          <w:color w:val="0000FF"/>
          <w:sz w:val="24"/>
          <w:szCs w:val="24"/>
        </w:rPr>
        <w:t>202</w:t>
      </w:r>
      <w:r>
        <w:rPr>
          <w:rFonts w:hint="eastAsia" w:ascii="仿宋" w:hAnsi="仿宋" w:eastAsia="仿宋" w:cs="仿宋"/>
          <w:bCs/>
          <w:color w:val="0000FF"/>
          <w:sz w:val="24"/>
          <w:szCs w:val="24"/>
          <w:lang w:val="en-US" w:eastAsia="zh-CN"/>
        </w:rPr>
        <w:t>3</w:t>
      </w:r>
      <w:r>
        <w:rPr>
          <w:rFonts w:hint="eastAsia" w:ascii="仿宋" w:hAnsi="仿宋" w:eastAsia="仿宋" w:cs="仿宋"/>
          <w:bCs/>
          <w:color w:val="0000FF"/>
          <w:sz w:val="24"/>
          <w:szCs w:val="24"/>
        </w:rPr>
        <w:t>年12月31日。</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合同执行中，如需修改或补充合同内容，由双方协商另行签署书面修改或补充</w:t>
      </w:r>
      <w:r>
        <w:rPr>
          <w:rFonts w:hint="eastAsia" w:ascii="仿宋" w:hAnsi="仿宋" w:eastAsia="仿宋" w:cs="仿宋"/>
          <w:bCs/>
          <w:color w:val="auto"/>
          <w:sz w:val="24"/>
          <w:szCs w:val="24"/>
          <w:lang w:eastAsia="zh-CN"/>
        </w:rPr>
        <w:t>合同</w:t>
      </w:r>
      <w:r>
        <w:rPr>
          <w:rFonts w:hint="eastAsia" w:ascii="仿宋" w:hAnsi="仿宋" w:eastAsia="仿宋" w:cs="仿宋"/>
          <w:bCs/>
          <w:color w:val="auto"/>
          <w:sz w:val="24"/>
          <w:szCs w:val="24"/>
        </w:rPr>
        <w:t>作为主合同不可分割的一部分。</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乙方若不履行服务承诺，在</w:t>
      </w:r>
      <w:r>
        <w:rPr>
          <w:rFonts w:hint="eastAsia" w:ascii="仿宋" w:hAnsi="仿宋" w:eastAsia="仿宋" w:cs="仿宋"/>
          <w:bCs/>
          <w:color w:val="auto"/>
          <w:sz w:val="24"/>
          <w:szCs w:val="24"/>
          <w:lang w:eastAsia="zh-CN"/>
        </w:rPr>
        <w:t>合同</w:t>
      </w:r>
      <w:r>
        <w:rPr>
          <w:rFonts w:hint="eastAsia" w:ascii="仿宋" w:hAnsi="仿宋" w:eastAsia="仿宋" w:cs="仿宋"/>
          <w:bCs/>
          <w:color w:val="auto"/>
          <w:sz w:val="24"/>
          <w:szCs w:val="24"/>
        </w:rPr>
        <w:t>执行期间，甲方有权减少订书量或停止其供书资格</w:t>
      </w:r>
      <w:r>
        <w:rPr>
          <w:rFonts w:hint="eastAsia" w:ascii="仿宋" w:hAnsi="仿宋" w:eastAsia="仿宋" w:cs="仿宋"/>
          <w:bCs/>
          <w:color w:val="auto"/>
          <w:sz w:val="24"/>
          <w:szCs w:val="24"/>
          <w:lang w:eastAsia="zh-CN"/>
        </w:rPr>
        <w:t>，并有权向乙方追讨违约金，</w:t>
      </w:r>
      <w:r>
        <w:rPr>
          <w:rFonts w:hint="eastAsia" w:ascii="仿宋" w:hAnsi="仿宋" w:eastAsia="仿宋" w:cs="仿宋"/>
          <w:color w:val="auto"/>
          <w:sz w:val="24"/>
          <w:szCs w:val="24"/>
        </w:rPr>
        <w:t>同时解除合同。</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质保期</w:t>
      </w:r>
      <w:r>
        <w:rPr>
          <w:rFonts w:hint="eastAsia" w:ascii="仿宋" w:hAnsi="仿宋" w:eastAsia="仿宋" w:cs="仿宋"/>
          <w:bCs/>
          <w:color w:val="auto"/>
          <w:sz w:val="24"/>
          <w:szCs w:val="24"/>
          <w:lang w:eastAsia="zh-CN"/>
        </w:rPr>
        <w:t>一</w:t>
      </w:r>
      <w:r>
        <w:rPr>
          <w:rFonts w:hint="eastAsia" w:ascii="仿宋" w:hAnsi="仿宋" w:eastAsia="仿宋" w:cs="仿宋"/>
          <w:bCs/>
          <w:color w:val="auto"/>
          <w:sz w:val="24"/>
          <w:szCs w:val="24"/>
        </w:rPr>
        <w:t>年，质保期内图书和加工质量发生问题免费予以调换</w:t>
      </w:r>
      <w:r>
        <w:rPr>
          <w:rFonts w:hint="eastAsia" w:ascii="仿宋" w:hAnsi="仿宋" w:eastAsia="仿宋" w:cs="仿宋"/>
          <w:bCs/>
          <w:color w:val="auto"/>
          <w:sz w:val="24"/>
          <w:szCs w:val="24"/>
          <w:lang w:eastAsia="zh-CN"/>
        </w:rPr>
        <w:t>，</w:t>
      </w:r>
      <w:r>
        <w:rPr>
          <w:rFonts w:hint="eastAsia" w:ascii="仿宋" w:hAnsi="仿宋" w:eastAsia="仿宋" w:cs="仿宋"/>
          <w:color w:val="auto"/>
          <w:sz w:val="24"/>
          <w:szCs w:val="24"/>
          <w:lang w:eastAsia="zh-CN"/>
        </w:rPr>
        <w:t>给甲方造成损失的，乙方应赔偿损失不足部分。</w:t>
      </w:r>
    </w:p>
    <w:p>
      <w:pPr>
        <w:pageBreakBefore w:val="0"/>
        <w:widowControl/>
        <w:kinsoku/>
        <w:wordWrap/>
        <w:overflowPunct/>
        <w:topLinePunct w:val="0"/>
        <w:bidi w:val="0"/>
        <w:spacing w:line="360" w:lineRule="auto"/>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双方在</w:t>
      </w:r>
      <w:r>
        <w:rPr>
          <w:rFonts w:hint="eastAsia" w:ascii="仿宋" w:hAnsi="仿宋" w:eastAsia="仿宋" w:cs="仿宋"/>
          <w:bCs/>
          <w:color w:val="auto"/>
          <w:sz w:val="24"/>
          <w:szCs w:val="24"/>
          <w:lang w:eastAsia="zh-CN"/>
        </w:rPr>
        <w:t>合同</w:t>
      </w:r>
      <w:r>
        <w:rPr>
          <w:rFonts w:hint="eastAsia" w:ascii="仿宋" w:hAnsi="仿宋" w:eastAsia="仿宋" w:cs="仿宋"/>
          <w:bCs/>
          <w:color w:val="auto"/>
          <w:sz w:val="24"/>
          <w:szCs w:val="24"/>
        </w:rPr>
        <w:t>履行中发生的一切争议，应通过协商解决，如协商不成</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按</w:t>
      </w:r>
      <w:r>
        <w:rPr>
          <w:rFonts w:hint="eastAsia" w:ascii="仿宋" w:hAnsi="仿宋" w:eastAsia="仿宋" w:cs="仿宋"/>
          <w:bCs/>
          <w:color w:val="auto"/>
          <w:sz w:val="24"/>
          <w:szCs w:val="24"/>
          <w:lang w:eastAsia="zh-CN"/>
        </w:rPr>
        <w:t>合同</w:t>
      </w:r>
      <w:r>
        <w:rPr>
          <w:rFonts w:hint="eastAsia" w:ascii="仿宋" w:hAnsi="仿宋" w:eastAsia="仿宋" w:cs="仿宋"/>
          <w:bCs/>
          <w:color w:val="auto"/>
          <w:sz w:val="24"/>
          <w:szCs w:val="24"/>
        </w:rPr>
        <w:t>事先约定条款，在协议签订地</w:t>
      </w:r>
      <w:r>
        <w:rPr>
          <w:rFonts w:hint="eastAsia" w:ascii="仿宋" w:hAnsi="仿宋" w:eastAsia="仿宋" w:cs="仿宋"/>
          <w:color w:val="auto"/>
          <w:sz w:val="24"/>
          <w:szCs w:val="24"/>
        </w:rPr>
        <w:t>选择仲裁或诉讼的途径解决。</w:t>
      </w:r>
    </w:p>
    <w:p>
      <w:pPr>
        <w:pageBreakBefore w:val="0"/>
        <w:kinsoku/>
        <w:wordWrap/>
        <w:overflowPunct/>
        <w:topLinePunct w:val="0"/>
        <w:bidi w:val="0"/>
        <w:spacing w:line="360" w:lineRule="auto"/>
        <w:ind w:left="0" w:firstLine="482" w:firstLineChars="200"/>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十二、合同附件</w:t>
      </w:r>
    </w:p>
    <w:p>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下列文件与本合同具有同等法律效力：</w:t>
      </w:r>
    </w:p>
    <w:p>
      <w:pPr>
        <w:pageBreakBefore w:val="0"/>
        <w:kinsoku/>
        <w:wordWrap/>
        <w:overflowPunct/>
        <w:topLinePunct w:val="0"/>
        <w:bidi w:val="0"/>
        <w:spacing w:line="360" w:lineRule="auto"/>
        <w:ind w:left="0"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（1）甲方的招标文件与招标补充文件；</w:t>
      </w:r>
    </w:p>
    <w:p>
      <w:pPr>
        <w:pageBreakBefore w:val="0"/>
        <w:kinsoku/>
        <w:wordWrap/>
        <w:overflowPunct/>
        <w:topLinePunct w:val="0"/>
        <w:bidi w:val="0"/>
        <w:spacing w:line="360" w:lineRule="auto"/>
        <w:ind w:left="0"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（2）乙方的投标文件；</w:t>
      </w:r>
    </w:p>
    <w:p>
      <w:pPr>
        <w:pageBreakBefore w:val="0"/>
        <w:kinsoku/>
        <w:wordWrap/>
        <w:overflowPunct/>
        <w:topLinePunct w:val="0"/>
        <w:bidi w:val="0"/>
        <w:spacing w:line="360" w:lineRule="auto"/>
        <w:ind w:left="0"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（3）询标纪要和承诺书；</w:t>
      </w:r>
    </w:p>
    <w:p>
      <w:pPr>
        <w:pageBreakBefore w:val="0"/>
        <w:kinsoku/>
        <w:wordWrap/>
        <w:overflowPunct/>
        <w:topLinePunct w:val="0"/>
        <w:bidi w:val="0"/>
        <w:spacing w:line="360" w:lineRule="auto"/>
        <w:ind w:left="0" w:firstLine="240" w:firstLineChars="10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（4）中标通知书。</w:t>
      </w:r>
    </w:p>
    <w:p>
      <w:pPr>
        <w:pStyle w:val="35"/>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bCs/>
          <w:color w:val="auto"/>
          <w:sz w:val="24"/>
          <w:szCs w:val="24"/>
          <w:lang w:eastAsia="zh-CN"/>
        </w:rPr>
        <w:t>十三、</w:t>
      </w:r>
      <w:r>
        <w:rPr>
          <w:rFonts w:hint="eastAsia" w:ascii="仿宋" w:hAnsi="仿宋" w:eastAsia="仿宋" w:cs="仿宋"/>
          <w:sz w:val="24"/>
          <w:szCs w:val="24"/>
        </w:rPr>
        <w:t>本合同的见证单位为嵊州市力标招标代理有限公司。</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5"/>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pStyle w:val="35"/>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甲方（盖章）： </w:t>
            </w:r>
          </w:p>
        </w:tc>
        <w:tc>
          <w:tcPr>
            <w:tcW w:w="4545" w:type="dxa"/>
            <w:tcBorders>
              <w:top w:val="nil"/>
              <w:left w:val="nil"/>
              <w:bottom w:val="nil"/>
              <w:right w:val="nil"/>
            </w:tcBorders>
            <w:vAlign w:val="center"/>
          </w:tcPr>
          <w:p>
            <w:pPr>
              <w:pStyle w:val="35"/>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账号：</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90" w:type="dxa"/>
            <w:gridSpan w:val="2"/>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sz w:val="24"/>
                <w:szCs w:val="24"/>
                <w:vertAlign w:val="baseline"/>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嵊州市图书馆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90" w:type="dxa"/>
            <w:gridSpan w:val="2"/>
            <w:tcBorders>
              <w:top w:val="nil"/>
              <w:left w:val="nil"/>
              <w:bottom w:val="nil"/>
              <w:right w:val="nil"/>
            </w:tcBorders>
            <w:vAlign w:val="center"/>
          </w:tcPr>
          <w:p>
            <w:pPr>
              <w:pStyle w:val="35"/>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sz w:val="24"/>
                <w:szCs w:val="24"/>
                <w:vertAlign w:val="baseline"/>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p>
        </w:tc>
      </w:tr>
    </w:tbl>
    <w:p>
      <w:pPr>
        <w:pStyle w:val="35"/>
        <w:keepNext w:val="0"/>
        <w:keepLines w:val="0"/>
        <w:pageBreakBefore w:val="0"/>
        <w:widowControl w:val="0"/>
        <w:kinsoku/>
        <w:wordWrap/>
        <w:overflowPunct/>
        <w:topLinePunct w:val="0"/>
        <w:bidi w:val="0"/>
        <w:adjustRightInd w:val="0"/>
        <w:snapToGrid w:val="0"/>
        <w:spacing w:before="0" w:line="360" w:lineRule="auto"/>
        <w:ind w:left="0" w:leftChars="0" w:firstLine="1200" w:firstLineChars="500"/>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rPr>
        <w:sectPr>
          <w:pgSz w:w="11906" w:h="16838"/>
          <w:pgMar w:top="1440" w:right="1080" w:bottom="1440" w:left="1080" w:header="851" w:footer="851" w:gutter="0"/>
          <w:cols w:space="720" w:num="1"/>
          <w:docGrid w:type="lines" w:linePitch="312" w:charSpace="0"/>
        </w:sectPr>
      </w:pPr>
      <w:r>
        <w:rPr>
          <w:rFonts w:hint="eastAsia" w:ascii="仿宋" w:hAnsi="仿宋" w:eastAsia="仿宋" w:cs="仿宋"/>
          <w:sz w:val="24"/>
          <w:szCs w:val="24"/>
        </w:rPr>
        <w:t xml:space="preserve">   </w:t>
      </w:r>
    </w:p>
    <w:p>
      <w:pPr>
        <w:spacing w:line="360" w:lineRule="auto"/>
        <w:outlineLvl w:val="0"/>
        <w:rPr>
          <w:rFonts w:hint="eastAsia"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3"/>
      <w:r>
        <w:rPr>
          <w:rFonts w:ascii="仿宋" w:hAnsi="仿宋" w:eastAsia="仿宋" w:cs="仿宋_GB2312"/>
          <w:b/>
          <w:sz w:val="36"/>
          <w:szCs w:val="20"/>
        </w:rPr>
        <w:t xml:space="preserve"> </w:t>
      </w:r>
      <w:bookmarkEnd w:id="394"/>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w:t>
      </w:r>
      <w:r>
        <w:rPr>
          <w:rFonts w:hint="eastAsia" w:ascii="仿宋_GB2312" w:hAnsi="仿宋" w:eastAsia="仿宋_GB2312" w:cs="仿宋_GB2312"/>
          <w:b/>
          <w:kern w:val="0"/>
          <w:sz w:val="36"/>
          <w:szCs w:val="36"/>
          <w:lang w:eastAsia="zh-CN"/>
        </w:rPr>
        <w:t>证明</w:t>
      </w:r>
      <w:r>
        <w:rPr>
          <w:rFonts w:hint="eastAsia" w:ascii="仿宋_GB2312" w:hAnsi="仿宋" w:eastAsia="仿宋_GB2312" w:cs="仿宋_GB2312"/>
          <w:b/>
          <w:kern w:val="0"/>
          <w:sz w:val="36"/>
          <w:szCs w:val="36"/>
        </w:rPr>
        <w:t>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hint="eastAsia" w:ascii="仿宋_GB2312" w:hAnsi="仿宋" w:eastAsia="仿宋_GB2312" w:cs="仿宋_GB2312"/>
          <w:color w:val="auto"/>
          <w:sz w:val="24"/>
          <w:lang w:eastAsia="zh-CN"/>
        </w:rPr>
        <w:t>营业执照扫描件</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2</w:t>
      </w:r>
      <w:r>
        <w:rPr>
          <w:rFonts w:hint="eastAsia" w:ascii="仿宋_GB2312" w:hAnsi="仿宋" w:eastAsia="仿宋_GB2312" w:cs="仿宋_GB2312"/>
          <w:sz w:val="24"/>
          <w:lang w:eastAsia="zh-CN"/>
        </w:rPr>
        <w:t>）</w:t>
      </w:r>
      <w:r>
        <w:rPr>
          <w:rFonts w:ascii="仿宋_GB2312" w:hAnsi="仿宋" w:eastAsia="仿宋_GB2312" w:cs="仿宋_GB2312"/>
          <w:sz w:val="24"/>
        </w:rPr>
        <w:t>符合参加政府采购活动应当具备的一般条件的承诺函……</w:t>
      </w:r>
      <w:r>
        <w:rPr>
          <w:rFonts w:hint="eastAsia" w:ascii="仿宋_GB2312" w:hAnsi="仿宋" w:eastAsia="仿宋_GB2312" w:cs="仿宋_GB2312"/>
          <w:sz w:val="24"/>
        </w:rPr>
        <w:t>………（页码）</w:t>
      </w: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…………………………（页码）</w:t>
      </w: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numPr>
          <w:ilvl w:val="0"/>
          <w:numId w:val="0"/>
        </w:numPr>
        <w:snapToGrid w:val="0"/>
        <w:spacing w:line="360" w:lineRule="auto"/>
        <w:ind w:right="480" w:rightChars="0"/>
        <w:jc w:val="center"/>
        <w:rPr>
          <w:rFonts w:hint="eastAsia" w:ascii="仿宋_GB2312" w:hAnsi="仿宋" w:eastAsia="仿宋_GB2312" w:cs="仿宋_GB2312"/>
          <w:b/>
          <w:kern w:val="0"/>
          <w:sz w:val="32"/>
          <w:szCs w:val="32"/>
          <w:lang w:eastAsia="zh-CN"/>
        </w:rPr>
      </w:pPr>
      <w:r>
        <w:rPr>
          <w:rFonts w:ascii="仿宋_GB2312" w:hAnsi="仿宋" w:eastAsia="仿宋_GB2312" w:cs="仿宋_GB2312"/>
          <w:kern w:val="0"/>
          <w:sz w:val="24"/>
        </w:rPr>
        <w:br w:type="page"/>
      </w:r>
      <w:r>
        <w:rPr>
          <w:rFonts w:hint="eastAsia" w:ascii="仿宋_GB2312" w:hAnsi="仿宋" w:eastAsia="仿宋_GB2312" w:cs="仿宋_GB2312"/>
          <w:kern w:val="0"/>
          <w:sz w:val="24"/>
          <w:lang w:eastAsia="zh-CN"/>
        </w:rPr>
        <w:t>一、</w:t>
      </w:r>
      <w:r>
        <w:rPr>
          <w:rFonts w:hint="eastAsia" w:ascii="仿宋_GB2312" w:hAnsi="仿宋" w:eastAsia="仿宋_GB2312" w:cs="仿宋_GB2312"/>
          <w:b/>
          <w:kern w:val="0"/>
          <w:sz w:val="32"/>
          <w:szCs w:val="32"/>
          <w:lang w:eastAsia="zh-CN"/>
        </w:rPr>
        <w:t>营业执照扫描件</w:t>
      </w:r>
    </w:p>
    <w:p>
      <w:pPr>
        <w:numPr>
          <w:ilvl w:val="0"/>
          <w:numId w:val="0"/>
        </w:numPr>
        <w:snapToGrid w:val="0"/>
        <w:spacing w:line="360" w:lineRule="auto"/>
        <w:ind w:left="2931" w:leftChars="0" w:right="480" w:rightChars="0"/>
        <w:jc w:val="both"/>
        <w:rPr>
          <w:rFonts w:hint="eastAsia" w:ascii="仿宋_GB2312" w:hAnsi="仿宋" w:eastAsia="仿宋_GB2312" w:cs="仿宋_GB2312"/>
          <w:b/>
          <w:kern w:val="0"/>
          <w:sz w:val="32"/>
          <w:szCs w:val="32"/>
          <w:lang w:eastAsia="zh-CN"/>
        </w:rPr>
      </w:pPr>
    </w:p>
    <w:p>
      <w:pPr>
        <w:numPr>
          <w:ilvl w:val="0"/>
          <w:numId w:val="0"/>
        </w:numPr>
        <w:snapToGrid w:val="0"/>
        <w:spacing w:line="360" w:lineRule="auto"/>
        <w:ind w:right="480" w:rightChars="0"/>
        <w:jc w:val="center"/>
        <w:rPr>
          <w:rFonts w:hint="eastAsia" w:ascii="仿宋_GB2312" w:hAnsi="仿宋" w:eastAsia="仿宋_GB2312" w:cs="仿宋_GB2312"/>
          <w:b/>
          <w:kern w:val="0"/>
          <w:sz w:val="32"/>
          <w:szCs w:val="32"/>
          <w:lang w:eastAsia="zh-CN"/>
        </w:rPr>
      </w:pPr>
    </w:p>
    <w:p>
      <w:pPr>
        <w:numPr>
          <w:ilvl w:val="0"/>
          <w:numId w:val="0"/>
        </w:numPr>
        <w:snapToGrid w:val="0"/>
        <w:spacing w:line="360" w:lineRule="auto"/>
        <w:ind w:right="480" w:rightChars="0"/>
        <w:jc w:val="center"/>
        <w:rPr>
          <w:rFonts w:hint="eastAsia" w:ascii="仿宋_GB2312" w:hAnsi="仿宋" w:eastAsia="仿宋_GB2312" w:cs="仿宋_GB2312"/>
          <w:b/>
          <w:kern w:val="0"/>
          <w:sz w:val="32"/>
          <w:szCs w:val="32"/>
          <w:lang w:eastAsia="zh-CN"/>
        </w:rPr>
      </w:pPr>
    </w:p>
    <w:p>
      <w:pPr>
        <w:numPr>
          <w:ilvl w:val="0"/>
          <w:numId w:val="0"/>
        </w:numPr>
        <w:snapToGrid w:val="0"/>
        <w:spacing w:line="360" w:lineRule="auto"/>
        <w:ind w:right="480" w:rightChars="0"/>
        <w:jc w:val="center"/>
        <w:rPr>
          <w:rFonts w:hint="eastAsia" w:ascii="仿宋_GB2312" w:hAnsi="仿宋" w:eastAsia="仿宋_GB2312" w:cs="仿宋_GB2312"/>
          <w:b/>
          <w:kern w:val="0"/>
          <w:sz w:val="32"/>
          <w:szCs w:val="32"/>
          <w:lang w:eastAsia="zh-CN"/>
        </w:rPr>
      </w:pPr>
    </w:p>
    <w:p>
      <w:pPr>
        <w:numPr>
          <w:ilvl w:val="0"/>
          <w:numId w:val="0"/>
        </w:numPr>
        <w:snapToGrid w:val="0"/>
        <w:spacing w:line="360" w:lineRule="auto"/>
        <w:ind w:right="480" w:rightChars="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符合参加政府采购活动应当具备的一般条件的承诺函</w:t>
      </w:r>
    </w:p>
    <w:p>
      <w:pPr>
        <w:snapToGrid w:val="0"/>
        <w:spacing w:line="360" w:lineRule="auto"/>
        <w:rPr>
          <w:rFonts w:ascii="仿宋_GB2312" w:hAnsi="仿宋" w:eastAsia="仿宋_GB2312" w:cs="仿宋_GB2312"/>
          <w:b/>
          <w:bCs/>
          <w:color w:val="auto"/>
          <w:sz w:val="24"/>
        </w:rPr>
      </w:pPr>
      <w:r>
        <w:rPr>
          <w:rFonts w:hint="eastAsia" w:ascii="仿宋_GB2312" w:hAnsi="仿宋" w:eastAsia="仿宋_GB2312" w:cs="仿宋_GB2312"/>
          <w:b/>
          <w:bCs/>
          <w:color w:val="auto"/>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w:t>
      </w:r>
      <w:r>
        <w:rPr>
          <w:rFonts w:hint="eastAsia" w:ascii="仿宋_GB2312" w:hAnsi="仿宋" w:eastAsia="仿宋_GB2312" w:cs="仿宋_GB2312"/>
          <w:sz w:val="24"/>
          <w:lang w:eastAsia="zh-CN"/>
        </w:rPr>
        <w:t>项目</w:t>
      </w:r>
      <w:r>
        <w:rPr>
          <w:rFonts w:hint="eastAsia" w:ascii="仿宋_GB2312" w:hAnsi="仿宋" w:eastAsia="仿宋_GB2312" w:cs="仿宋_GB2312"/>
          <w:sz w:val="24"/>
        </w:rPr>
        <w:t>编号：】政府采购活动，郑重承诺：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w:t>
      </w:r>
      <w:r>
        <w:rPr>
          <w:rFonts w:hint="eastAsia" w:ascii="仿宋_GB2312" w:hAnsi="仿宋" w:eastAsia="仿宋_GB2312" w:cs="仿宋_GB2312"/>
          <w:color w:val="auto"/>
          <w:sz w:val="24"/>
          <w:highlight w:val="none"/>
        </w:rPr>
        <w:t>第一款</w:t>
      </w:r>
      <w:r>
        <w:rPr>
          <w:rFonts w:hint="eastAsia" w:ascii="仿宋_GB2312" w:hAnsi="仿宋" w:eastAsia="仿宋_GB2312" w:cs="仿宋_GB2312"/>
          <w:sz w:val="24"/>
        </w:rPr>
        <w:t>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hint="eastAsia" w:ascii="仿宋_GB2312" w:hAnsi="仿宋" w:eastAsia="仿宋_GB2312" w:cs="仿宋_GB2312"/>
          <w:color w:val="auto"/>
          <w:sz w:val="24"/>
          <w:lang w:val="en-US" w:eastAsia="zh-CN"/>
        </w:rPr>
        <w:t>.</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hint="eastAsia" w:ascii="仿宋_GB2312" w:hAnsi="仿宋" w:eastAsia="仿宋_GB2312"/>
          <w:color w:val="auto"/>
          <w:sz w:val="24"/>
          <w:lang w:val="en-US" w:eastAsia="zh-CN"/>
        </w:rPr>
        <w:t>.</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hint="eastAsia" w:ascii="仿宋_GB2312" w:hAnsi="仿宋" w:eastAsia="仿宋_GB2312"/>
          <w:color w:val="auto"/>
          <w:sz w:val="24"/>
          <w:lang w:val="en-US" w:eastAsia="zh-CN"/>
        </w:rPr>
        <w:t>.</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hint="eastAsia" w:ascii="仿宋_GB2312" w:hAnsi="仿宋" w:eastAsia="仿宋_GB2312"/>
          <w:color w:val="auto"/>
          <w:sz w:val="24"/>
          <w:lang w:val="en-US" w:eastAsia="zh-CN"/>
        </w:rPr>
        <w:t>.</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hint="eastAsia" w:ascii="仿宋_GB2312" w:hAnsi="仿宋" w:eastAsia="仿宋_GB2312"/>
          <w:color w:val="auto"/>
          <w:sz w:val="24"/>
          <w:lang w:val="en-US" w:eastAsia="zh-CN"/>
        </w:rPr>
        <w:t>.</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hint="eastAsia" w:ascii="仿宋_GB2312" w:hAnsi="仿宋" w:eastAsia="仿宋_GB2312"/>
          <w:color w:val="auto"/>
          <w:sz w:val="24"/>
          <w:lang w:val="en-US" w:eastAsia="zh-CN"/>
        </w:rPr>
        <w:t>.</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hint="eastAsia" w:ascii="仿宋_GB2312" w:hAnsi="仿宋" w:eastAsia="仿宋_GB2312" w:cs="仿宋_GB2312"/>
          <w:color w:val="auto"/>
          <w:sz w:val="24"/>
          <w:lang w:val="en-US" w:eastAsia="zh-CN"/>
        </w:rPr>
        <w:t>.</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hint="eastAsia" w:ascii="仿宋_GB2312" w:hAnsi="仿宋" w:eastAsia="仿宋_GB2312" w:cs="仿宋_GB2312"/>
          <w:color w:val="auto"/>
          <w:sz w:val="24"/>
          <w:lang w:val="en-US" w:eastAsia="zh-CN"/>
        </w:rPr>
        <w:t>.</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both"/>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b/>
          <w:sz w:val="24"/>
        </w:rPr>
        <w:t xml:space="preserve">    </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color w:val="auto"/>
          <w:kern w:val="0"/>
          <w:sz w:val="32"/>
          <w:szCs w:val="32"/>
          <w:lang w:eastAsia="zh-CN"/>
        </w:rPr>
      </w:pPr>
      <w:r>
        <w:rPr>
          <w:rFonts w:hint="eastAsia" w:ascii="仿宋_GB2312" w:hAnsi="仿宋" w:eastAsia="仿宋_GB2312" w:cs="仿宋_GB2312"/>
          <w:b/>
          <w:color w:val="auto"/>
          <w:kern w:val="0"/>
          <w:sz w:val="32"/>
          <w:szCs w:val="32"/>
          <w:lang w:eastAsia="zh-CN"/>
        </w:rPr>
        <w:t>四</w:t>
      </w:r>
      <w:r>
        <w:rPr>
          <w:rFonts w:hint="eastAsia" w:ascii="仿宋_GB2312" w:hAnsi="仿宋" w:eastAsia="仿宋_GB2312" w:cs="仿宋_GB2312"/>
          <w:b/>
          <w:color w:val="auto"/>
          <w:kern w:val="0"/>
          <w:sz w:val="32"/>
          <w:szCs w:val="32"/>
        </w:rPr>
        <w:t>、本项目的特定资格要求</w:t>
      </w:r>
      <w:r>
        <w:rPr>
          <w:rFonts w:hint="eastAsia" w:ascii="仿宋_GB2312" w:hAnsi="仿宋" w:eastAsia="仿宋_GB2312" w:cs="仿宋_GB2312"/>
          <w:b/>
          <w:color w:val="auto"/>
          <w:kern w:val="0"/>
          <w:sz w:val="32"/>
          <w:szCs w:val="32"/>
          <w:lang w:eastAsia="zh-CN"/>
        </w:rPr>
        <w:t>（若有）</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ascii="仿宋_GB2312" w:hAnsi="仿宋" w:eastAsia="仿宋_GB2312" w:cs="仿宋_GB2312"/>
          <w:b/>
          <w:kern w:val="0"/>
          <w:sz w:val="24"/>
        </w:rPr>
      </w:pPr>
      <w:r>
        <w:rPr>
          <w:rFonts w:hint="eastAsia" w:ascii="仿宋_GB2312" w:hAnsi="仿宋" w:eastAsia="仿宋_GB2312" w:cs="仿宋_GB2312"/>
          <w:b/>
          <w:kern w:val="0"/>
          <w:sz w:val="36"/>
          <w:szCs w:val="36"/>
        </w:rPr>
        <w:t>商务技术文件部分</w:t>
      </w: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）符合性审查资料…………………………………………………………………（页码）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）评标标准相应的商务技术资料…………………………………………………（页码）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）商务技术偏离表…………………………………………………………………（页码）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hint="eastAsia" w:ascii="仿宋_GB2312" w:hAnsi="仿宋" w:eastAsia="仿宋_GB2312" w:cs="仿宋_GB2312"/>
          <w:b/>
          <w:kern w:val="0"/>
          <w:sz w:val="32"/>
          <w:szCs w:val="32"/>
        </w:rPr>
      </w:pP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lang w:eastAsia="zh-CN"/>
        </w:rPr>
        <w:t>一、营业执照</w:t>
      </w: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both"/>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w:t>
      </w:r>
      <w:r>
        <w:rPr>
          <w:rFonts w:hint="eastAsia" w:ascii="仿宋_GB2312" w:hAnsi="仿宋" w:eastAsia="仿宋_GB2312" w:cs="仿宋_GB2312"/>
          <w:sz w:val="24"/>
          <w:lang w:eastAsia="zh-CN"/>
        </w:rPr>
        <w:t>项目</w:t>
      </w:r>
      <w:r>
        <w:rPr>
          <w:rFonts w:hint="eastAsia" w:ascii="仿宋_GB2312" w:hAnsi="仿宋" w:eastAsia="仿宋_GB2312" w:cs="仿宋_GB2312"/>
          <w:sz w:val="24"/>
        </w:rPr>
        <w:t>编号：】招标的有关活动，并对此项目进行投标。为此：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ascii="仿宋_GB2312" w:hAnsi="仿宋" w:eastAsia="仿宋_GB2312" w:cs="仿宋_GB2312"/>
          <w:sz w:val="24"/>
        </w:rPr>
        <w:t>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w:t>
      </w:r>
      <w:r>
        <w:rPr>
          <w:rFonts w:hint="eastAsia" w:ascii="仿宋_GB2312" w:hAnsi="仿宋" w:eastAsia="仿宋_GB2312" w:cs="仿宋_GB2312"/>
          <w:sz w:val="24"/>
          <w:lang w:val="en-US" w:eastAsia="zh-CN"/>
        </w:rPr>
        <w:t>.</w:t>
      </w:r>
      <w:r>
        <w:rPr>
          <w:rFonts w:ascii="仿宋_GB2312" w:hAnsi="仿宋" w:eastAsia="仿宋_GB2312" w:cs="仿宋_GB2312"/>
          <w:sz w:val="24"/>
        </w:rPr>
        <w:t>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w:t>
      </w:r>
      <w:r>
        <w:rPr>
          <w:rFonts w:hint="eastAsia" w:ascii="仿宋_GB2312" w:hAnsi="仿宋" w:eastAsia="仿宋_GB2312" w:cs="仿宋_GB2312"/>
          <w:color w:val="auto"/>
          <w:sz w:val="24"/>
          <w:lang w:eastAsia="zh-CN"/>
        </w:rPr>
        <w:t>证明</w:t>
      </w:r>
      <w:r>
        <w:rPr>
          <w:rFonts w:ascii="仿宋_GB2312" w:hAnsi="仿宋" w:eastAsia="仿宋_GB2312" w:cs="仿宋_GB2312"/>
          <w:color w:val="auto"/>
          <w:sz w:val="24"/>
        </w:rPr>
        <w:t>文件：</w:t>
      </w:r>
    </w:p>
    <w:p>
      <w:pPr>
        <w:snapToGrid w:val="0"/>
        <w:spacing w:line="360" w:lineRule="auto"/>
        <w:ind w:left="420" w:leftChars="200" w:firstLine="480" w:firstLineChars="200"/>
        <w:rPr>
          <w:rFonts w:hint="eastAsia" w:ascii="仿宋_GB2312" w:hAnsi="仿宋" w:eastAsia="仿宋_GB2312" w:cs="仿宋_GB2312"/>
          <w:color w:val="auto"/>
          <w:sz w:val="24"/>
          <w:lang w:eastAsia="zh-CN"/>
        </w:rPr>
      </w:pPr>
      <w:r>
        <w:rPr>
          <w:rFonts w:ascii="仿宋_GB2312" w:hAnsi="仿宋" w:eastAsia="仿宋_GB2312" w:cs="仿宋_GB2312"/>
          <w:color w:val="auto"/>
          <w:sz w:val="24"/>
        </w:rPr>
        <w:t>2.1.1</w:t>
      </w:r>
      <w:r>
        <w:rPr>
          <w:rFonts w:hint="eastAsia" w:ascii="仿宋_GB2312" w:hAnsi="仿宋" w:eastAsia="仿宋_GB2312" w:cs="仿宋_GB2312"/>
          <w:color w:val="auto"/>
          <w:sz w:val="24"/>
          <w:lang w:eastAsia="zh-CN"/>
        </w:rPr>
        <w:t>营业执照；</w:t>
      </w:r>
    </w:p>
    <w:p>
      <w:pPr>
        <w:snapToGrid w:val="0"/>
        <w:spacing w:line="360" w:lineRule="auto"/>
        <w:ind w:left="420" w:leftChars="20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2.1.2</w:t>
      </w:r>
      <w:r>
        <w:rPr>
          <w:rFonts w:hint="eastAsia" w:ascii="仿宋_GB2312" w:hAnsi="仿宋" w:eastAsia="仿宋_GB2312" w:cs="仿宋_GB2312"/>
          <w:color w:val="auto"/>
          <w:sz w:val="24"/>
        </w:rPr>
        <w:t>承诺函；</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落实政府采购政策需满足的资格要求</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eastAsia="zh-CN"/>
        </w:rPr>
        <w:t>若</w:t>
      </w:r>
      <w:r>
        <w:rPr>
          <w:rFonts w:hint="eastAsia" w:ascii="仿宋_GB2312" w:hAnsi="仿宋" w:eastAsia="仿宋_GB2312" w:cs="仿宋_GB2312"/>
          <w:color w:val="auto"/>
          <w:sz w:val="24"/>
        </w:rPr>
        <w:t>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本项目的特定资格要求</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eastAsia="zh-CN"/>
        </w:rPr>
        <w:t>若</w:t>
      </w:r>
      <w:r>
        <w:rPr>
          <w:rFonts w:hint="eastAsia" w:ascii="仿宋_GB2312" w:hAnsi="仿宋" w:eastAsia="仿宋_GB2312" w:cs="仿宋_GB2312"/>
          <w:color w:val="auto"/>
          <w:sz w:val="24"/>
        </w:rPr>
        <w:t>有）。</w:t>
      </w:r>
    </w:p>
    <w:p>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w:t>
      </w:r>
      <w:r>
        <w:rPr>
          <w:rFonts w:hint="eastAsia" w:ascii="仿宋_GB2312" w:hAnsi="仿宋" w:eastAsia="仿宋_GB2312" w:cs="仿宋_GB2312"/>
          <w:color w:val="auto"/>
          <w:sz w:val="24"/>
          <w:lang w:eastAsia="zh-CN"/>
        </w:rPr>
        <w:t>营业执照；</w:t>
      </w:r>
    </w:p>
    <w:p>
      <w:pPr>
        <w:snapToGrid w:val="0"/>
        <w:spacing w:line="360" w:lineRule="auto"/>
        <w:ind w:left="420" w:leftChars="20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2.2.2</w:t>
      </w:r>
      <w:r>
        <w:rPr>
          <w:rFonts w:ascii="仿宋_GB2312" w:hAnsi="仿宋" w:eastAsia="仿宋_GB2312" w:cs="仿宋_GB2312"/>
          <w:color w:val="auto"/>
          <w:sz w:val="24"/>
        </w:rPr>
        <w:t>投标函；</w:t>
      </w:r>
      <w:r>
        <w:rPr>
          <w:rFonts w:ascii="仿宋_GB2312" w:hAnsi="仿宋" w:eastAsia="仿宋_GB2312" w:cs="仿宋_GB2312"/>
          <w:color w:val="auto"/>
          <w:sz w:val="24"/>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符合性审查资料；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5</w:t>
      </w:r>
      <w:r>
        <w:rPr>
          <w:rFonts w:ascii="仿宋_GB2312" w:hAnsi="仿宋" w:eastAsia="仿宋_GB2312" w:cs="仿宋_GB2312"/>
          <w:color w:val="auto"/>
          <w:sz w:val="24"/>
        </w:rPr>
        <w:t>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6</w:t>
      </w:r>
      <w:r>
        <w:rPr>
          <w:rFonts w:ascii="仿宋_GB2312" w:hAnsi="仿宋" w:eastAsia="仿宋_GB2312" w:cs="仿宋_GB2312"/>
          <w:color w:val="auto"/>
          <w:sz w:val="24"/>
        </w:rPr>
        <w:t>商务技术偏离表；</w:t>
      </w:r>
    </w:p>
    <w:p>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7</w:t>
      </w:r>
      <w:r>
        <w:rPr>
          <w:rFonts w:hint="eastAsia" w:ascii="仿宋_GB2312" w:hAnsi="仿宋" w:eastAsia="仿宋_GB2312" w:cs="仿宋_GB2312"/>
          <w:color w:val="auto"/>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both"/>
        <w:rPr>
          <w:rFonts w:hint="eastAsia"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sz w:val="24"/>
        </w:rPr>
      </w:pPr>
      <w:r>
        <w:rPr>
          <w:rFonts w:ascii="仿宋_GB2312" w:hAnsi="仿宋" w:eastAsia="仿宋_GB2312" w:cs="仿宋_GB2312"/>
          <w:kern w:val="0"/>
          <w:sz w:val="24"/>
          <w:lang w:val="zh-CN"/>
        </w:rPr>
        <w:t xml:space="preserve">                                                 签发日期：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50"/>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50"/>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b/>
          <w:kern w:val="0"/>
          <w:sz w:val="32"/>
          <w:szCs w:val="32"/>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545"/>
        <w:gridCol w:w="247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545"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475"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25"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ascii="仿宋" w:hAnsi="仿宋" w:eastAsia="仿宋"/>
                <w:sz w:val="24"/>
              </w:rPr>
            </w:pPr>
            <w:r>
              <w:rPr>
                <w:rFonts w:ascii="仿宋" w:hAnsi="仿宋" w:eastAsia="仿宋"/>
                <w:sz w:val="24"/>
              </w:rPr>
              <w:t>1</w:t>
            </w:r>
          </w:p>
        </w:tc>
        <w:tc>
          <w:tcPr>
            <w:tcW w:w="4545" w:type="dxa"/>
            <w:vAlign w:val="center"/>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475" w:type="dxa"/>
            <w:vAlign w:val="center"/>
          </w:tcPr>
          <w:p>
            <w:pPr>
              <w:jc w:val="cente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25" w:type="dxa"/>
            <w:vAlign w:val="center"/>
          </w:tcPr>
          <w:p>
            <w:pPr>
              <w:jc w:val="center"/>
              <w:rPr>
                <w:rFonts w:ascii="仿宋" w:hAnsi="仿宋" w:eastAsia="仿宋" w:cs="仿宋_GB2312"/>
                <w:color w:val="auto"/>
                <w:sz w:val="24"/>
              </w:rPr>
            </w:pPr>
          </w:p>
          <w:p>
            <w:pPr>
              <w:jc w:val="center"/>
              <w:rPr>
                <w:rFonts w:ascii="仿宋" w:hAnsi="仿宋" w:eastAsia="仿宋" w:cs="仿宋_GB2312"/>
                <w:color w:val="auto"/>
                <w:sz w:val="24"/>
              </w:rPr>
            </w:pPr>
            <w:r>
              <w:rPr>
                <w:rFonts w:hint="eastAsia" w:ascii="仿宋" w:hAnsi="仿宋" w:eastAsia="仿宋" w:cs="仿宋_GB2312"/>
                <w:color w:val="auto"/>
                <w:sz w:val="24"/>
              </w:rPr>
              <w:t>见投标文件</w:t>
            </w:r>
          </w:p>
          <w:p>
            <w:pPr>
              <w:jc w:val="cente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spacing w:line="360" w:lineRule="auto"/>
              <w:jc w:val="center"/>
              <w:rPr>
                <w:rFonts w:ascii="仿宋_GB2312" w:hAnsi="仿宋" w:eastAsia="仿宋_GB2312"/>
                <w:sz w:val="24"/>
              </w:rPr>
            </w:pPr>
            <w:r>
              <w:rPr>
                <w:rFonts w:ascii="仿宋_GB2312" w:hAnsi="仿宋" w:eastAsia="仿宋_GB2312"/>
                <w:sz w:val="24"/>
              </w:rPr>
              <w:t>2</w:t>
            </w:r>
          </w:p>
        </w:tc>
        <w:tc>
          <w:tcPr>
            <w:tcW w:w="4545" w:type="dxa"/>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475" w:type="dxa"/>
            <w:vAlign w:val="center"/>
          </w:tcPr>
          <w:p>
            <w:pPr>
              <w:jc w:val="cente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25" w:type="dxa"/>
            <w:vAlign w:val="center"/>
          </w:tcPr>
          <w:p>
            <w:pPr>
              <w:jc w:val="center"/>
              <w:rPr>
                <w:rFonts w:ascii="仿宋" w:hAnsi="仿宋" w:eastAsia="仿宋" w:cs="仿宋_GB2312"/>
                <w:color w:val="auto"/>
                <w:sz w:val="24"/>
              </w:rPr>
            </w:pPr>
          </w:p>
          <w:p>
            <w:pPr>
              <w:jc w:val="center"/>
              <w:rPr>
                <w:rFonts w:ascii="仿宋" w:hAnsi="仿宋" w:eastAsia="仿宋" w:cs="仿宋_GB2312"/>
                <w:color w:val="auto"/>
                <w:sz w:val="24"/>
              </w:rPr>
            </w:pPr>
          </w:p>
          <w:p>
            <w:pPr>
              <w:jc w:val="center"/>
              <w:rPr>
                <w:rFonts w:ascii="仿宋" w:hAnsi="仿宋" w:eastAsia="仿宋" w:cs="仿宋_GB2312"/>
                <w:color w:val="auto"/>
                <w:sz w:val="24"/>
              </w:rPr>
            </w:pPr>
            <w:r>
              <w:rPr>
                <w:rFonts w:hint="eastAsia" w:ascii="仿宋" w:hAnsi="仿宋" w:eastAsia="仿宋" w:cs="仿宋_GB2312"/>
                <w:color w:val="auto"/>
                <w:sz w:val="24"/>
              </w:rPr>
              <w:t>见投标文件</w:t>
            </w:r>
          </w:p>
          <w:p>
            <w:pPr>
              <w:pStyle w:val="4"/>
              <w:jc w:val="center"/>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ascii="仿宋" w:hAnsi="仿宋" w:eastAsia="仿宋"/>
                <w:sz w:val="24"/>
              </w:rPr>
            </w:pPr>
            <w:r>
              <w:rPr>
                <w:rFonts w:ascii="仿宋" w:hAnsi="仿宋" w:eastAsia="仿宋"/>
                <w:sz w:val="24"/>
              </w:rPr>
              <w:t>3</w:t>
            </w:r>
          </w:p>
        </w:tc>
        <w:tc>
          <w:tcPr>
            <w:tcW w:w="4545" w:type="dxa"/>
            <w:vAlign w:val="center"/>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475" w:type="dxa"/>
            <w:vAlign w:val="center"/>
          </w:tcPr>
          <w:p>
            <w:pPr>
              <w:jc w:val="center"/>
              <w:rPr>
                <w:rFonts w:ascii="仿宋" w:hAnsi="仿宋" w:eastAsia="仿宋"/>
                <w:color w:val="auto"/>
                <w:sz w:val="24"/>
              </w:rPr>
            </w:pPr>
            <w:r>
              <w:rPr>
                <w:rFonts w:hint="eastAsia" w:ascii="仿宋" w:hAnsi="仿宋" w:eastAsia="仿宋"/>
                <w:color w:val="auto"/>
                <w:sz w:val="24"/>
              </w:rPr>
              <w:t>投标函</w:t>
            </w:r>
          </w:p>
        </w:tc>
        <w:tc>
          <w:tcPr>
            <w:tcW w:w="1425" w:type="dxa"/>
            <w:vAlign w:val="center"/>
          </w:tcPr>
          <w:p>
            <w:pPr>
              <w:jc w:val="cente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ascii="仿宋" w:hAnsi="仿宋" w:eastAsia="仿宋"/>
                <w:sz w:val="24"/>
              </w:rPr>
            </w:pPr>
            <w:r>
              <w:rPr>
                <w:rFonts w:ascii="仿宋" w:hAnsi="仿宋" w:eastAsia="仿宋"/>
                <w:sz w:val="24"/>
              </w:rPr>
              <w:t>4</w:t>
            </w:r>
          </w:p>
        </w:tc>
        <w:tc>
          <w:tcPr>
            <w:tcW w:w="4545" w:type="dxa"/>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475" w:type="dxa"/>
            <w:vAlign w:val="center"/>
          </w:tcPr>
          <w:p>
            <w:pPr>
              <w:jc w:val="cente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25" w:type="dxa"/>
            <w:vAlign w:val="center"/>
          </w:tcPr>
          <w:p>
            <w:pPr>
              <w:jc w:val="cente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both"/>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r>
        <w:rPr>
          <w:rFonts w:hint="eastAsia" w:ascii="仿宋_GB2312" w:hAnsi="仿宋" w:eastAsia="仿宋_GB2312" w:cs="仿宋_GB2312"/>
          <w:b/>
          <w:sz w:val="24"/>
          <w:lang w:eastAsia="zh-CN"/>
        </w:rPr>
        <w:t>，表格格式根据评分标准自行调整</w:t>
      </w:r>
      <w:r>
        <w:rPr>
          <w:rFonts w:hint="eastAsia" w:ascii="仿宋_GB2312" w:hAnsi="仿宋" w:eastAsia="仿宋_GB2312" w:cs="仿宋_GB2312"/>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17"/>
        <w:gridCol w:w="5690"/>
        <w:gridCol w:w="83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bCs/>
                <w:sz w:val="21"/>
                <w:szCs w:val="21"/>
              </w:rPr>
            </w:pPr>
            <w:r>
              <w:rPr>
                <w:rFonts w:hint="eastAsia" w:ascii="仿宋" w:hAnsi="仿宋" w:eastAsia="仿宋" w:cs="仿宋"/>
                <w:bCs/>
                <w:sz w:val="21"/>
                <w:szCs w:val="21"/>
              </w:rPr>
              <w:t>序号</w:t>
            </w:r>
          </w:p>
        </w:tc>
        <w:tc>
          <w:tcPr>
            <w:tcW w:w="608" w:type="pct"/>
            <w:vAlign w:val="center"/>
          </w:tcPr>
          <w:p>
            <w:pPr>
              <w:spacing w:line="36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评标内容</w:t>
            </w:r>
          </w:p>
        </w:tc>
        <w:tc>
          <w:tcPr>
            <w:tcW w:w="3101" w:type="pct"/>
            <w:vAlign w:val="center"/>
          </w:tcPr>
          <w:p>
            <w:pPr>
              <w:spacing w:line="360" w:lineRule="auto"/>
              <w:jc w:val="center"/>
              <w:outlineLvl w:val="0"/>
              <w:rPr>
                <w:rFonts w:hint="eastAsia" w:ascii="仿宋" w:hAnsi="仿宋" w:eastAsia="仿宋" w:cs="仿宋"/>
                <w:bCs/>
                <w:sz w:val="21"/>
                <w:szCs w:val="21"/>
              </w:rPr>
            </w:pPr>
            <w:r>
              <w:rPr>
                <w:rFonts w:hint="eastAsia" w:ascii="仿宋" w:hAnsi="仿宋" w:eastAsia="仿宋" w:cs="仿宋"/>
                <w:bCs/>
                <w:sz w:val="21"/>
                <w:szCs w:val="21"/>
              </w:rPr>
              <w:t>评标标准</w:t>
            </w:r>
          </w:p>
        </w:tc>
        <w:tc>
          <w:tcPr>
            <w:tcW w:w="455"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分值</w:t>
            </w:r>
          </w:p>
        </w:tc>
        <w:tc>
          <w:tcPr>
            <w:tcW w:w="438"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608"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3101" w:type="pct"/>
            <w:vAlign w:val="center"/>
          </w:tcPr>
          <w:p>
            <w:pPr>
              <w:ind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608" w:type="pct"/>
            <w:vAlign w:val="center"/>
          </w:tcPr>
          <w:p>
            <w:pPr>
              <w:spacing w:line="360" w:lineRule="auto"/>
              <w:jc w:val="center"/>
              <w:outlineLvl w:val="0"/>
              <w:rPr>
                <w:rFonts w:hint="eastAsia" w:ascii="仿宋" w:hAnsi="仿宋" w:eastAsia="仿宋" w:cs="仿宋"/>
                <w:color w:val="FF0000"/>
                <w:sz w:val="21"/>
                <w:szCs w:val="21"/>
              </w:rPr>
            </w:pPr>
          </w:p>
        </w:tc>
        <w:tc>
          <w:tcPr>
            <w:tcW w:w="3101" w:type="pct"/>
            <w:vAlign w:val="center"/>
          </w:tcPr>
          <w:p>
            <w:pPr>
              <w:pStyle w:val="7"/>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608"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3101"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vAlign w:val="center"/>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vAlign w:val="center"/>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608" w:type="pct"/>
            <w:vAlign w:val="center"/>
          </w:tcPr>
          <w:p>
            <w:pPr>
              <w:spacing w:line="240" w:lineRule="auto"/>
              <w:jc w:val="center"/>
              <w:rPr>
                <w:rFonts w:hint="eastAsia" w:ascii="仿宋" w:hAnsi="仿宋" w:eastAsia="仿宋" w:cs="仿宋"/>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vAlign w:val="center"/>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vAlign w:val="center"/>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vAlign w:val="center"/>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608" w:type="pct"/>
            <w:vAlign w:val="center"/>
          </w:tcPr>
          <w:p>
            <w:pPr>
              <w:spacing w:line="360" w:lineRule="auto"/>
              <w:jc w:val="cente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vAlign w:val="center"/>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rPr>
                <w:rFonts w:hint="eastAsia" w:ascii="仿宋" w:hAnsi="仿宋" w:eastAsia="仿宋" w:cs="仿宋"/>
                <w:color w:val="FF0000"/>
                <w:sz w:val="21"/>
                <w:szCs w:val="21"/>
              </w:rPr>
            </w:pPr>
          </w:p>
        </w:tc>
        <w:tc>
          <w:tcPr>
            <w:tcW w:w="608" w:type="pct"/>
            <w:vAlign w:val="center"/>
          </w:tcPr>
          <w:p>
            <w:pP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vAlign w:val="center"/>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rPr>
                <w:rFonts w:hint="eastAsia" w:ascii="仿宋" w:hAnsi="仿宋" w:eastAsia="仿宋" w:cs="仿宋"/>
                <w:color w:val="FF0000"/>
                <w:sz w:val="21"/>
                <w:szCs w:val="21"/>
              </w:rPr>
            </w:pPr>
          </w:p>
        </w:tc>
        <w:tc>
          <w:tcPr>
            <w:tcW w:w="608" w:type="pct"/>
            <w:vAlign w:val="center"/>
          </w:tcPr>
          <w:p>
            <w:pP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vAlign w:val="center"/>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c>
          <w:tcPr>
            <w:tcW w:w="3101" w:type="pct"/>
            <w:vAlign w:val="center"/>
          </w:tcPr>
          <w:p>
            <w:pPr>
              <w:spacing w:line="240" w:lineRule="auto"/>
              <w:jc w:val="left"/>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bl>
    <w:p>
      <w:pPr>
        <w:jc w:val="both"/>
        <w:rPr>
          <w:rFonts w:hint="eastAsia" w:ascii="仿宋_GB2312" w:hAnsi="仿宋" w:eastAsia="仿宋_GB2312" w:cs="仿宋_GB2312"/>
          <w:b/>
          <w:kern w:val="0"/>
          <w:sz w:val="32"/>
          <w:szCs w:val="32"/>
          <w:lang w:eastAsia="zh-CN"/>
        </w:rPr>
      </w:pPr>
    </w:p>
    <w:p>
      <w:pPr>
        <w:jc w:val="center"/>
        <w:rPr>
          <w:rFonts w:hint="eastAsia" w:ascii="仿宋_GB2312" w:hAnsi="仿宋" w:eastAsia="仿宋_GB2312" w:cs="仿宋_GB2312"/>
          <w:b/>
          <w:kern w:val="0"/>
          <w:sz w:val="32"/>
          <w:szCs w:val="32"/>
          <w:lang w:eastAsia="zh-CN"/>
        </w:rPr>
      </w:pPr>
    </w:p>
    <w:p>
      <w:pPr>
        <w:jc w:val="center"/>
        <w:rPr>
          <w:rFonts w:hint="eastAsia" w:ascii="仿宋_GB2312" w:hAnsi="仿宋" w:eastAsia="仿宋_GB2312" w:cs="仿宋_GB2312"/>
          <w:b/>
          <w:kern w:val="0"/>
          <w:sz w:val="32"/>
          <w:szCs w:val="32"/>
          <w:lang w:eastAsia="zh-CN"/>
        </w:rPr>
      </w:pPr>
    </w:p>
    <w:p>
      <w:pPr>
        <w:jc w:val="center"/>
        <w:rPr>
          <w:rFonts w:hint="eastAsia" w:ascii="仿宋_GB2312" w:hAnsi="仿宋" w:eastAsia="仿宋_GB2312" w:cs="仿宋_GB2312"/>
          <w:b/>
          <w:kern w:val="0"/>
          <w:sz w:val="32"/>
          <w:szCs w:val="32"/>
          <w:lang w:eastAsia="zh-CN"/>
        </w:rPr>
      </w:pPr>
    </w:p>
    <w:p>
      <w:pPr>
        <w:jc w:val="center"/>
        <w:rPr>
          <w:rFonts w:hint="eastAsia" w:ascii="仿宋_GB2312" w:hAnsi="仿宋" w:eastAsia="仿宋_GB2312" w:cs="仿宋_GB2312"/>
          <w:b/>
          <w:kern w:val="0"/>
          <w:sz w:val="32"/>
          <w:szCs w:val="32"/>
          <w:lang w:eastAsia="zh-CN"/>
        </w:rPr>
      </w:pPr>
    </w:p>
    <w:p>
      <w:pPr>
        <w:jc w:val="both"/>
        <w:rPr>
          <w:rFonts w:hint="eastAsia" w:ascii="仿宋_GB2312" w:hAnsi="仿宋" w:eastAsia="仿宋_GB2312" w:cs="仿宋_GB2312"/>
          <w:b/>
          <w:kern w:val="0"/>
          <w:sz w:val="32"/>
          <w:szCs w:val="32"/>
          <w:lang w:eastAsia="zh-CN"/>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65"/>
        <w:tblW w:w="906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2994"/>
        <w:gridCol w:w="357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2994"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70"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635"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2994" w:type="dxa"/>
          </w:tcPr>
          <w:p>
            <w:pPr>
              <w:jc w:val="center"/>
              <w:rPr>
                <w:rFonts w:ascii="仿宋_GB2312" w:hAnsi="仿宋" w:eastAsia="仿宋_GB2312" w:cs="仿宋_GB2312"/>
                <w:b/>
                <w:kern w:val="0"/>
                <w:sz w:val="32"/>
                <w:szCs w:val="32"/>
              </w:rPr>
            </w:pPr>
          </w:p>
        </w:tc>
        <w:tc>
          <w:tcPr>
            <w:tcW w:w="3570" w:type="dxa"/>
          </w:tcPr>
          <w:p>
            <w:pPr>
              <w:jc w:val="center"/>
              <w:rPr>
                <w:rFonts w:ascii="仿宋_GB2312" w:hAnsi="仿宋" w:eastAsia="仿宋_GB2312" w:cs="仿宋_GB2312"/>
                <w:b/>
                <w:kern w:val="0"/>
                <w:sz w:val="32"/>
                <w:szCs w:val="32"/>
              </w:rPr>
            </w:pPr>
          </w:p>
        </w:tc>
        <w:tc>
          <w:tcPr>
            <w:tcW w:w="1635"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2994" w:type="dxa"/>
          </w:tcPr>
          <w:p>
            <w:pPr>
              <w:jc w:val="center"/>
              <w:rPr>
                <w:rFonts w:ascii="仿宋_GB2312" w:hAnsi="仿宋" w:eastAsia="仿宋_GB2312" w:cs="仿宋_GB2312"/>
                <w:b/>
                <w:kern w:val="0"/>
                <w:sz w:val="32"/>
                <w:szCs w:val="32"/>
              </w:rPr>
            </w:pPr>
          </w:p>
        </w:tc>
        <w:tc>
          <w:tcPr>
            <w:tcW w:w="3570" w:type="dxa"/>
          </w:tcPr>
          <w:p>
            <w:pPr>
              <w:jc w:val="center"/>
              <w:rPr>
                <w:rFonts w:ascii="仿宋_GB2312" w:hAnsi="仿宋" w:eastAsia="仿宋_GB2312" w:cs="仿宋_GB2312"/>
                <w:b/>
                <w:kern w:val="0"/>
                <w:sz w:val="32"/>
                <w:szCs w:val="32"/>
              </w:rPr>
            </w:pPr>
          </w:p>
        </w:tc>
        <w:tc>
          <w:tcPr>
            <w:tcW w:w="1635"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2994" w:type="dxa"/>
          </w:tcPr>
          <w:p>
            <w:pPr>
              <w:jc w:val="center"/>
              <w:rPr>
                <w:rFonts w:ascii="仿宋_GB2312" w:hAnsi="仿宋" w:eastAsia="仿宋_GB2312" w:cs="仿宋_GB2312"/>
                <w:b/>
                <w:kern w:val="0"/>
                <w:sz w:val="32"/>
                <w:szCs w:val="32"/>
              </w:rPr>
            </w:pPr>
          </w:p>
        </w:tc>
        <w:tc>
          <w:tcPr>
            <w:tcW w:w="3570" w:type="dxa"/>
          </w:tcPr>
          <w:p>
            <w:pPr>
              <w:jc w:val="center"/>
              <w:rPr>
                <w:rFonts w:ascii="仿宋_GB2312" w:hAnsi="仿宋" w:eastAsia="仿宋_GB2312" w:cs="仿宋_GB2312"/>
                <w:b/>
                <w:kern w:val="0"/>
                <w:sz w:val="32"/>
                <w:szCs w:val="32"/>
              </w:rPr>
            </w:pPr>
          </w:p>
        </w:tc>
        <w:tc>
          <w:tcPr>
            <w:tcW w:w="1635"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七</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jc w:val="center"/>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sz w:val="24"/>
          <w:lang w:eastAsia="zh-CN"/>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【项目编号：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p>
    <w:tbl>
      <w:tblPr>
        <w:tblStyle w:val="64"/>
        <w:tblW w:w="910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815"/>
        <w:gridCol w:w="2040"/>
        <w:gridCol w:w="1877"/>
        <w:gridCol w:w="121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80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81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eastAsia="zh-CN"/>
              </w:rPr>
              <w:t>项目</w:t>
            </w:r>
            <w:r>
              <w:rPr>
                <w:rFonts w:hint="eastAsia" w:ascii="仿宋_GB2312" w:hAnsi="仿宋" w:eastAsia="仿宋_GB2312"/>
                <w:b/>
                <w:sz w:val="24"/>
              </w:rPr>
              <w:t>名称</w:t>
            </w:r>
          </w:p>
        </w:tc>
        <w:tc>
          <w:tcPr>
            <w:tcW w:w="20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187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121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350"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08"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15" w:type="dxa"/>
            <w:vAlign w:val="center"/>
          </w:tcPr>
          <w:p>
            <w:pPr>
              <w:snapToGrid w:val="0"/>
              <w:spacing w:line="360" w:lineRule="auto"/>
              <w:jc w:val="center"/>
              <w:rPr>
                <w:rFonts w:ascii="仿宋_GB2312" w:hAnsi="仿宋" w:eastAsia="仿宋_GB2312" w:cs="仿宋_GB2312"/>
                <w:sz w:val="24"/>
              </w:rPr>
            </w:pPr>
          </w:p>
        </w:tc>
        <w:tc>
          <w:tcPr>
            <w:tcW w:w="2040" w:type="dxa"/>
            <w:vAlign w:val="center"/>
          </w:tcPr>
          <w:p>
            <w:pPr>
              <w:snapToGrid w:val="0"/>
              <w:spacing w:line="360" w:lineRule="auto"/>
              <w:jc w:val="center"/>
              <w:rPr>
                <w:rFonts w:ascii="仿宋_GB2312" w:hAnsi="仿宋" w:eastAsia="仿宋_GB2312" w:cs="仿宋_GB2312"/>
                <w:sz w:val="24"/>
              </w:rPr>
            </w:pPr>
          </w:p>
        </w:tc>
        <w:tc>
          <w:tcPr>
            <w:tcW w:w="1877" w:type="dxa"/>
            <w:vAlign w:val="center"/>
          </w:tcPr>
          <w:p>
            <w:pPr>
              <w:snapToGrid w:val="0"/>
              <w:spacing w:line="360" w:lineRule="auto"/>
              <w:jc w:val="center"/>
              <w:rPr>
                <w:rFonts w:ascii="仿宋_GB2312" w:hAnsi="仿宋" w:eastAsia="仿宋_GB2312" w:cs="仿宋_GB2312"/>
                <w:sz w:val="24"/>
              </w:rPr>
            </w:pPr>
          </w:p>
        </w:tc>
        <w:tc>
          <w:tcPr>
            <w:tcW w:w="1215" w:type="dxa"/>
            <w:vAlign w:val="center"/>
          </w:tcPr>
          <w:p>
            <w:pPr>
              <w:snapToGrid w:val="0"/>
              <w:spacing w:line="360" w:lineRule="auto"/>
              <w:jc w:val="center"/>
              <w:rPr>
                <w:rFonts w:ascii="仿宋_GB2312" w:hAnsi="仿宋" w:eastAsia="仿宋_GB2312" w:cs="仿宋_GB2312"/>
                <w:sz w:val="24"/>
              </w:rPr>
            </w:pPr>
          </w:p>
        </w:tc>
        <w:tc>
          <w:tcPr>
            <w:tcW w:w="1350"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40"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color w:val="0000FF"/>
                <w:sz w:val="24"/>
              </w:rPr>
              <w:t>投标</w:t>
            </w:r>
            <w:r>
              <w:rPr>
                <w:rFonts w:hint="eastAsia" w:ascii="仿宋_GB2312" w:hAnsi="仿宋" w:eastAsia="仿宋_GB2312" w:cs="仿宋_GB2312"/>
                <w:b/>
                <w:color w:val="0000FF"/>
                <w:sz w:val="24"/>
                <w:lang w:eastAsia="zh-CN"/>
              </w:rPr>
              <w:t>折扣率</w:t>
            </w:r>
            <w:r>
              <w:rPr>
                <w:rFonts w:hint="eastAsia" w:ascii="仿宋_GB2312" w:hAnsi="仿宋" w:eastAsia="仿宋_GB2312" w:cs="仿宋_GB2312"/>
                <w:b/>
                <w:color w:val="0000FF"/>
                <w:sz w:val="24"/>
              </w:rPr>
              <w:t>（</w:t>
            </w:r>
            <w:r>
              <w:rPr>
                <w:rFonts w:hint="eastAsia" w:ascii="仿宋_GB2312" w:hAnsi="仿宋" w:eastAsia="仿宋_GB2312" w:cs="仿宋_GB2312"/>
                <w:b/>
                <w:color w:val="0000FF"/>
                <w:sz w:val="24"/>
                <w:lang w:val="en-US" w:eastAsia="zh-CN"/>
              </w:rPr>
              <w:t>%</w:t>
            </w:r>
            <w:r>
              <w:rPr>
                <w:rFonts w:hint="eastAsia" w:ascii="仿宋_GB2312" w:hAnsi="仿宋" w:eastAsia="仿宋_GB2312" w:cs="仿宋_GB2312"/>
                <w:b/>
                <w:color w:val="0000FF"/>
                <w:sz w:val="24"/>
              </w:rPr>
              <w:t>）</w:t>
            </w:r>
          </w:p>
        </w:tc>
        <w:tc>
          <w:tcPr>
            <w:tcW w:w="2565" w:type="dxa"/>
            <w:gridSpan w:val="2"/>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40" w:type="dxa"/>
            <w:gridSpan w:val="4"/>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cs="仿宋_GB2312"/>
                <w:b/>
                <w:sz w:val="24"/>
                <w:lang w:eastAsia="zh-CN"/>
              </w:rPr>
              <w:t>备注</w:t>
            </w:r>
          </w:p>
        </w:tc>
        <w:tc>
          <w:tcPr>
            <w:tcW w:w="2565" w:type="dxa"/>
            <w:gridSpan w:val="2"/>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b/>
                <w:color w:val="0000FF"/>
                <w:sz w:val="24"/>
              </w:rPr>
              <w:t>投标</w:t>
            </w:r>
            <w:r>
              <w:rPr>
                <w:rFonts w:hint="eastAsia" w:ascii="仿宋_GB2312" w:hAnsi="仿宋" w:eastAsia="仿宋_GB2312" w:cs="仿宋_GB2312"/>
                <w:b/>
                <w:color w:val="0000FF"/>
                <w:sz w:val="24"/>
                <w:lang w:eastAsia="zh-CN"/>
              </w:rPr>
              <w:t>折扣率</w:t>
            </w:r>
            <w:r>
              <w:rPr>
                <w:rFonts w:hint="eastAsia" w:ascii="宋体" w:hAnsi="宋体" w:eastAsia="宋体" w:cs="宋体"/>
                <w:b/>
                <w:color w:val="0000FF"/>
                <w:sz w:val="24"/>
                <w:lang w:eastAsia="zh-CN"/>
              </w:rPr>
              <w:t>&gt;</w:t>
            </w:r>
            <w:r>
              <w:rPr>
                <w:rFonts w:hint="eastAsia" w:ascii="仿宋_GB2312" w:hAnsi="仿宋" w:eastAsia="仿宋_GB2312" w:cs="仿宋_GB2312"/>
                <w:b/>
                <w:color w:val="0000FF"/>
                <w:sz w:val="24"/>
                <w:lang w:val="en-US" w:eastAsia="zh-CN"/>
              </w:rPr>
              <w:t>70%，投标无效。</w:t>
            </w: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color w:val="auto"/>
          <w:kern w:val="0"/>
          <w:sz w:val="24"/>
          <w:lang w:val="zh-CN"/>
        </w:rPr>
      </w:pPr>
      <w:r>
        <w:rPr>
          <w:rFonts w:ascii="仿宋_GB2312" w:hAnsi="仿宋" w:eastAsia="仿宋_GB2312" w:cs="仿宋_GB2312"/>
          <w:kern w:val="0"/>
          <w:sz w:val="24"/>
          <w:lang w:val="zh-CN"/>
        </w:rPr>
        <w:t>1</w:t>
      </w:r>
      <w:r>
        <w:rPr>
          <w:rFonts w:hint="eastAsia" w:ascii="仿宋_GB2312" w:hAnsi="仿宋" w:eastAsia="仿宋_GB2312" w:cs="仿宋_GB2312"/>
          <w:kern w:val="0"/>
          <w:sz w:val="24"/>
          <w:lang w:val="en-US" w:eastAsia="zh-CN"/>
        </w:rPr>
        <w:t>.</w:t>
      </w:r>
      <w:r>
        <w:rPr>
          <w:rFonts w:ascii="仿宋_GB2312" w:hAnsi="仿宋" w:eastAsia="仿宋_GB2312" w:cs="仿宋_GB2312"/>
          <w:kern w:val="0"/>
          <w:sz w:val="24"/>
          <w:lang w:val="zh-CN"/>
        </w:rPr>
        <w:t>投标人需按本表格式填写，不得自</w:t>
      </w:r>
      <w:r>
        <w:rPr>
          <w:rFonts w:ascii="仿宋_GB2312" w:hAnsi="仿宋" w:eastAsia="仿宋_GB2312" w:cs="仿宋_GB2312"/>
          <w:color w:val="auto"/>
          <w:kern w:val="0"/>
          <w:sz w:val="24"/>
          <w:lang w:val="zh-CN"/>
        </w:rPr>
        <w:t>行更改。</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w:t>
      </w:r>
      <w:r>
        <w:rPr>
          <w:rFonts w:hint="eastAsia" w:ascii="仿宋_GB2312" w:hAnsi="仿宋" w:eastAsia="仿宋_GB2312" w:cs="仿宋_GB2312"/>
          <w:color w:val="auto"/>
          <w:kern w:val="0"/>
          <w:sz w:val="24"/>
          <w:lang w:val="en-US" w:eastAsia="zh-CN"/>
        </w:rPr>
        <w:t>.</w:t>
      </w:r>
      <w:r>
        <w:rPr>
          <w:rFonts w:ascii="仿宋_GB2312" w:hAnsi="仿宋" w:eastAsia="仿宋_GB2312" w:cs="仿宋_GB2312"/>
          <w:color w:val="auto"/>
          <w:kern w:val="0"/>
          <w:sz w:val="24"/>
          <w:lang w:val="zh-CN"/>
        </w:rPr>
        <w:t>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w:t>
      </w:r>
      <w:r>
        <w:rPr>
          <w:rFonts w:hint="eastAsia" w:ascii="仿宋_GB2312" w:hAnsi="仿宋" w:eastAsia="仿宋_GB2312" w:cs="仿宋_GB2312"/>
          <w:color w:val="auto"/>
          <w:kern w:val="0"/>
          <w:sz w:val="24"/>
          <w:lang w:val="en-US" w:eastAsia="zh-CN"/>
        </w:rPr>
        <w:t>.</w:t>
      </w:r>
      <w:r>
        <w:rPr>
          <w:rFonts w:ascii="仿宋_GB2312" w:hAnsi="仿宋" w:eastAsia="仿宋_GB2312" w:cs="仿宋_GB2312"/>
          <w:color w:val="auto"/>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4</w:t>
      </w:r>
      <w:r>
        <w:rPr>
          <w:rFonts w:hint="eastAsia" w:ascii="仿宋_GB2312" w:hAnsi="仿宋" w:eastAsia="仿宋_GB2312" w:cs="仿宋_GB2312"/>
          <w:color w:val="auto"/>
          <w:kern w:val="0"/>
          <w:sz w:val="24"/>
          <w:lang w:val="en-US" w:eastAsia="zh-CN"/>
        </w:rPr>
        <w:t>.</w:t>
      </w:r>
      <w:r>
        <w:rPr>
          <w:rFonts w:ascii="仿宋_GB2312" w:hAnsi="仿宋" w:eastAsia="仿宋_GB2312" w:cs="仿宋_GB2312"/>
          <w:color w:val="auto"/>
          <w:kern w:val="0"/>
          <w:sz w:val="24"/>
          <w:lang w:val="zh-CN"/>
        </w:rPr>
        <w:t>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szCs w:val="22"/>
          <w:lang w:val="zh-CN"/>
        </w:rPr>
        <w:t>5</w:t>
      </w:r>
      <w:r>
        <w:rPr>
          <w:rFonts w:hint="eastAsia" w:ascii="仿宋_GB2312" w:hAnsi="仿宋" w:eastAsia="仿宋_GB2312" w:cs="仿宋_GB2312"/>
          <w:color w:val="auto"/>
          <w:kern w:val="0"/>
          <w:sz w:val="24"/>
          <w:szCs w:val="22"/>
          <w:lang w:val="en-US" w:eastAsia="zh-CN"/>
        </w:rPr>
        <w:t>.</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autoSpaceDE w:val="0"/>
        <w:autoSpaceDN w:val="0"/>
        <w:spacing w:line="360" w:lineRule="auto"/>
        <w:ind w:right="1120"/>
        <w:jc w:val="left"/>
        <w:rPr>
          <w:color w:val="auto"/>
          <w:sz w:val="24"/>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pStyle w:val="694"/>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pgSz w:w="11906" w:h="16838"/>
          <w:pgMar w:top="1247" w:right="1418" w:bottom="1276" w:left="1418" w:header="851" w:footer="992" w:gutter="0"/>
          <w:cols w:space="720" w:num="1"/>
          <w:titlePg/>
          <w:docGrid w:linePitch="312" w:charSpace="0"/>
        </w:sectPr>
      </w:pPr>
    </w:p>
    <w:p>
      <w:pPr>
        <w:pStyle w:val="694"/>
        <w:keepNext w:val="0"/>
        <w:pageBreakBefore w:val="0"/>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color w:val="FF0000"/>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_GB2312" w:hAnsi="仿宋" w:eastAsia="仿宋_GB2312" w:cs="仿宋_GB2312"/>
          <w:b/>
          <w:color w:val="auto"/>
          <w:sz w:val="24"/>
          <w:lang w:val="en-US" w:eastAsia="zh-CN"/>
        </w:rPr>
        <w:t>4</w:t>
      </w:r>
      <w:r>
        <w:rPr>
          <w:rFonts w:ascii="仿宋_GB2312" w:hAnsi="仿宋" w:eastAsia="仿宋_GB2312" w:cs="仿宋_GB2312"/>
          <w:b/>
          <w:color w:val="auto"/>
          <w:sz w:val="24"/>
        </w:rPr>
        <w:t>）。</w:t>
      </w:r>
      <w:r>
        <w:rPr>
          <w:rFonts w:hint="eastAsia" w:ascii="仿宋_GB2312" w:hAnsi="仿宋" w:eastAsia="仿宋_GB2312" w:cs="仿宋_GB2312"/>
          <w:b/>
          <w:color w:val="auto"/>
          <w:sz w:val="24"/>
        </w:rPr>
        <w:t>]</w:t>
      </w:r>
    </w:p>
    <w:p>
      <w:pPr>
        <w:pStyle w:val="694"/>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jc w:val="center"/>
        <w:rPr>
          <w:rFonts w:ascii="仿宋_GB2312" w:hAnsi="仿宋" w:eastAsia="仿宋_GB2312"/>
        </w:rPr>
      </w:pPr>
      <w:bookmarkStart w:id="395" w:name="_Toc465665161"/>
      <w:r>
        <w:rPr>
          <w:rFonts w:hint="eastAsia" w:ascii="仿宋_GB2312" w:hAnsi="仿宋" w:eastAsia="仿宋_GB2312"/>
        </w:rPr>
        <w:t>附件</w:t>
      </w:r>
      <w:bookmarkEnd w:id="395"/>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6" w:name="OLE_LINK13"/>
      <w:bookmarkStart w:id="397" w:name="OLE_LINK14"/>
      <w:r>
        <w:rPr>
          <w:rFonts w:hint="eastAsia" w:ascii="仿宋_GB2312" w:hAnsi="仿宋" w:eastAsia="仿宋_GB2312"/>
          <w:b/>
          <w:spacing w:val="6"/>
          <w:sz w:val="32"/>
          <w:szCs w:val="32"/>
        </w:rPr>
        <w:t>残疾人福利性单位声明函</w:t>
      </w:r>
    </w:p>
    <w:bookmarkEnd w:id="396"/>
    <w:bookmarkEnd w:id="397"/>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ascii="仿宋_GB2312" w:hAnsi="仿宋" w:eastAsia="仿宋_GB2312"/>
          <w:b/>
          <w:sz w:val="24"/>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ascii="仿宋" w:hAnsi="仿宋" w:eastAsia="仿宋"/>
          <w:b/>
          <w:bCs/>
          <w:sz w:val="32"/>
          <w:szCs w:val="32"/>
        </w:rPr>
      </w:pPr>
      <w:r>
        <w:rPr>
          <w:rFonts w:hint="eastAsia" w:ascii="仿宋" w:hAnsi="仿宋" w:eastAsia="仿宋"/>
          <w:b/>
          <w:spacing w:val="6"/>
          <w:sz w:val="32"/>
          <w:szCs w:val="32"/>
        </w:rPr>
        <w:t>附件</w:t>
      </w:r>
      <w:r>
        <w:rPr>
          <w:rFonts w:hint="eastAsia" w:ascii="仿宋" w:hAnsi="仿宋" w:eastAsia="仿宋"/>
          <w:b/>
          <w:spacing w:val="6"/>
          <w:sz w:val="32"/>
          <w:szCs w:val="32"/>
          <w:lang w:val="en-US" w:eastAsia="zh-CN"/>
        </w:rPr>
        <w:t>4</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b/>
          <w:bCs/>
          <w:sz w:val="21"/>
          <w:szCs w:val="21"/>
        </w:rPr>
      </w:pPr>
      <w:r>
        <w:rPr>
          <w:rFonts w:hint="eastAsia" w:ascii="仿宋_GB2312" w:hAnsi="宋体" w:eastAsia="仿宋_GB2312"/>
          <w:b/>
          <w:bCs/>
          <w:sz w:val="21"/>
          <w:szCs w:val="21"/>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lang w:val="en-US"/>
        </w:rPr>
      </w:pPr>
    </w:p>
    <w:p>
      <w:pPr>
        <w:spacing w:line="360" w:lineRule="auto"/>
        <w:ind w:right="420"/>
      </w:pPr>
    </w:p>
    <w:p>
      <w:pPr>
        <w:spacing w:line="360" w:lineRule="auto"/>
        <w:rPr>
          <w:rFonts w:ascii="仿宋" w:hAnsi="仿宋" w:eastAsia="仿宋"/>
          <w:bCs/>
          <w:sz w:val="24"/>
        </w:rPr>
      </w:pPr>
    </w:p>
    <w:p>
      <w:pPr>
        <w:pStyle w:val="60"/>
        <w:rPr>
          <w:rFonts w:ascii="仿宋" w:hAnsi="仿宋" w:eastAsia="仿宋"/>
          <w:bCs/>
          <w:sz w:val="24"/>
        </w:rPr>
      </w:pPr>
    </w:p>
    <w:p>
      <w:pPr>
        <w:rPr>
          <w:rFonts w:ascii="仿宋" w:hAnsi="仿宋" w:eastAsia="仿宋"/>
          <w:bCs/>
          <w:sz w:val="24"/>
        </w:rPr>
      </w:pP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pPr>
        <w:pStyle w:val="60"/>
        <w:jc w:val="both"/>
      </w:pPr>
    </w:p>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4"/>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581"/>
        <w:gridCol w:w="1575"/>
        <w:gridCol w:w="1171"/>
        <w:gridCol w:w="1287"/>
        <w:gridCol w:w="1234"/>
        <w:gridCol w:w="6"/>
      </w:tblGrid>
      <w:tr>
        <w:tblPrEx>
          <w:tblCellMar>
            <w:top w:w="0" w:type="dxa"/>
            <w:left w:w="108" w:type="dxa"/>
            <w:bottom w:w="0" w:type="dxa"/>
            <w:right w:w="108" w:type="dxa"/>
          </w:tblCellMar>
        </w:tblPrEx>
        <w:trPr>
          <w:trHeight w:val="91" w:hRule="atLeast"/>
        </w:trPr>
        <w:tc>
          <w:tcPr>
            <w:tcW w:w="15077" w:type="dxa"/>
            <w:gridSpan w:val="11"/>
            <w:tcBorders>
              <w:top w:val="nil"/>
              <w:left w:val="nil"/>
              <w:bottom w:val="nil"/>
              <w:right w:val="nil"/>
            </w:tcBorders>
            <w:noWrap w:val="0"/>
            <w:vAlign w:val="bottom"/>
          </w:tcPr>
          <w:p>
            <w:pPr>
              <w:widowControl/>
              <w:wordWrap w:val="0"/>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wordWrap w:val="0"/>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中型企业</w:t>
            </w:r>
          </w:p>
        </w:tc>
        <w:tc>
          <w:tcPr>
            <w:tcW w:w="440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小型企业</w:t>
            </w:r>
          </w:p>
        </w:tc>
        <w:tc>
          <w:tcPr>
            <w:tcW w:w="3692"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wordWrap w:val="0"/>
              <w:jc w:val="left"/>
              <w:rPr>
                <w:rFonts w:ascii="宋体" w:hAnsi="宋体" w:cs="宋体"/>
                <w:b/>
                <w:bCs/>
                <w:kern w:val="0"/>
                <w:sz w:val="24"/>
              </w:rPr>
            </w:pPr>
          </w:p>
        </w:tc>
        <w:tc>
          <w:tcPr>
            <w:tcW w:w="151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581"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575"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171"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581"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575"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171"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8"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8"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8"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581" w:type="dxa"/>
            <w:tcBorders>
              <w:top w:val="nil"/>
              <w:left w:val="nil"/>
              <w:bottom w:val="single" w:color="auto" w:sz="8"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575" w:type="dxa"/>
            <w:tcBorders>
              <w:top w:val="nil"/>
              <w:left w:val="nil"/>
              <w:bottom w:val="single" w:color="auto" w:sz="8"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171" w:type="dxa"/>
            <w:tcBorders>
              <w:top w:val="nil"/>
              <w:left w:val="nil"/>
              <w:bottom w:val="single" w:color="auto" w:sz="8" w:space="0"/>
              <w:right w:val="single" w:color="auto" w:sz="4" w:space="0"/>
            </w:tcBorders>
            <w:noWrap w:val="0"/>
            <w:vAlign w:val="center"/>
          </w:tcPr>
          <w:p>
            <w:pPr>
              <w:widowControl/>
              <w:wordWrap w:val="0"/>
              <w:jc w:val="center"/>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8"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8"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noWrap w:val="0"/>
            <w:vAlign w:val="bottom"/>
          </w:tcPr>
          <w:p>
            <w:pPr>
              <w:widowControl/>
              <w:wordWrap w:val="0"/>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pPr>
              <w:widowControl/>
              <w:wordWrap w:val="0"/>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pPr>
              <w:widowControl/>
              <w:wordWrap w:val="0"/>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pPr>
        <w:pStyle w:val="23"/>
        <w:jc w:val="both"/>
      </w:pPr>
    </w:p>
    <w:sectPr>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8" w:name="_Toc91899912"/>
    <w:bookmarkStart w:id="399" w:name="_Toc131845147"/>
    <w:bookmarkStart w:id="400" w:name="_Toc164085800"/>
    <w:bookmarkStart w:id="401" w:name="_Toc36110187"/>
    <w:r>
      <w:rPr>
        <w:rFonts w:hint="eastAsia" w:ascii="仿宋_GB2312" w:eastAsia="仿宋_GB2312"/>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pPr>
      <w:pStyle w:val="60"/>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4800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sz w:val="18"/>
      </w:rPr>
      <w:pict>
        <v:shape id="_x0000_s4099" o:spid="_x0000_s4099"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4902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209C7"/>
    <w:multiLevelType w:val="singleLevel"/>
    <w:tmpl w:val="E27209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jNhODk0ZDQxOTBhOGE4ZDYyODIxNjgyNWYw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07649B"/>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24C70"/>
    <w:rsid w:val="05A16594"/>
    <w:rsid w:val="05A7762D"/>
    <w:rsid w:val="05D238DD"/>
    <w:rsid w:val="060E5941"/>
    <w:rsid w:val="06110FAF"/>
    <w:rsid w:val="06493CA7"/>
    <w:rsid w:val="065A6178"/>
    <w:rsid w:val="066F1CF3"/>
    <w:rsid w:val="06930BB8"/>
    <w:rsid w:val="06CC698F"/>
    <w:rsid w:val="07245D42"/>
    <w:rsid w:val="07264C62"/>
    <w:rsid w:val="0779354C"/>
    <w:rsid w:val="08061376"/>
    <w:rsid w:val="08452D77"/>
    <w:rsid w:val="086401F8"/>
    <w:rsid w:val="08751CAA"/>
    <w:rsid w:val="087E4C40"/>
    <w:rsid w:val="088178BC"/>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95BCD"/>
    <w:rsid w:val="0A5B7E63"/>
    <w:rsid w:val="0A5F2A4D"/>
    <w:rsid w:val="0AA374A5"/>
    <w:rsid w:val="0AAB7649"/>
    <w:rsid w:val="0ABC5606"/>
    <w:rsid w:val="0B30404E"/>
    <w:rsid w:val="0B4C6C14"/>
    <w:rsid w:val="0B631A88"/>
    <w:rsid w:val="0B683D45"/>
    <w:rsid w:val="0B7F3F11"/>
    <w:rsid w:val="0B884417"/>
    <w:rsid w:val="0BF6188C"/>
    <w:rsid w:val="0BF73C91"/>
    <w:rsid w:val="0C170175"/>
    <w:rsid w:val="0C38211D"/>
    <w:rsid w:val="0C571A41"/>
    <w:rsid w:val="0C5C1171"/>
    <w:rsid w:val="0C5E1CBC"/>
    <w:rsid w:val="0C615B50"/>
    <w:rsid w:val="0C7A122C"/>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20255"/>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35EF6"/>
    <w:rsid w:val="139B1A0A"/>
    <w:rsid w:val="139D25C7"/>
    <w:rsid w:val="13BF3CE4"/>
    <w:rsid w:val="141008D8"/>
    <w:rsid w:val="14125FE6"/>
    <w:rsid w:val="146D271E"/>
    <w:rsid w:val="14982588"/>
    <w:rsid w:val="149A5AD9"/>
    <w:rsid w:val="14A7619D"/>
    <w:rsid w:val="150536C3"/>
    <w:rsid w:val="150C1963"/>
    <w:rsid w:val="151447A0"/>
    <w:rsid w:val="151F0506"/>
    <w:rsid w:val="154A6454"/>
    <w:rsid w:val="15762120"/>
    <w:rsid w:val="16717B34"/>
    <w:rsid w:val="16A8729C"/>
    <w:rsid w:val="16B33777"/>
    <w:rsid w:val="16BC70A7"/>
    <w:rsid w:val="16C6339E"/>
    <w:rsid w:val="172F2D79"/>
    <w:rsid w:val="17557BEF"/>
    <w:rsid w:val="17D349C1"/>
    <w:rsid w:val="1830729E"/>
    <w:rsid w:val="1870062C"/>
    <w:rsid w:val="18817102"/>
    <w:rsid w:val="18830A15"/>
    <w:rsid w:val="18852B28"/>
    <w:rsid w:val="188B5321"/>
    <w:rsid w:val="194A264A"/>
    <w:rsid w:val="19932372"/>
    <w:rsid w:val="19A20DD5"/>
    <w:rsid w:val="19AE03F1"/>
    <w:rsid w:val="1A071A03"/>
    <w:rsid w:val="1A1E60E7"/>
    <w:rsid w:val="1A1F16AE"/>
    <w:rsid w:val="1A3B5C77"/>
    <w:rsid w:val="1A723A4E"/>
    <w:rsid w:val="1A984BAD"/>
    <w:rsid w:val="1AB8220E"/>
    <w:rsid w:val="1AE4166C"/>
    <w:rsid w:val="1AF06CFB"/>
    <w:rsid w:val="1AF11B8D"/>
    <w:rsid w:val="1B11359C"/>
    <w:rsid w:val="1B2A271F"/>
    <w:rsid w:val="1B530544"/>
    <w:rsid w:val="1B6768AA"/>
    <w:rsid w:val="1B713184"/>
    <w:rsid w:val="1B843BB1"/>
    <w:rsid w:val="1BA209CF"/>
    <w:rsid w:val="1BB4777D"/>
    <w:rsid w:val="1BD75AB8"/>
    <w:rsid w:val="1C0459C2"/>
    <w:rsid w:val="1C1B3B4A"/>
    <w:rsid w:val="1C88086E"/>
    <w:rsid w:val="1D266CE1"/>
    <w:rsid w:val="1D3963AF"/>
    <w:rsid w:val="1D6A673C"/>
    <w:rsid w:val="1D9247AE"/>
    <w:rsid w:val="1DB567EC"/>
    <w:rsid w:val="1DEC76BE"/>
    <w:rsid w:val="1DF51A98"/>
    <w:rsid w:val="1E3D060F"/>
    <w:rsid w:val="1E3F7D2E"/>
    <w:rsid w:val="1E4134E4"/>
    <w:rsid w:val="1E5062B3"/>
    <w:rsid w:val="1E523514"/>
    <w:rsid w:val="1E714A66"/>
    <w:rsid w:val="1E802593"/>
    <w:rsid w:val="1EA703CC"/>
    <w:rsid w:val="1EB7330C"/>
    <w:rsid w:val="1F0A0FF3"/>
    <w:rsid w:val="1F5771FF"/>
    <w:rsid w:val="1FAB1D77"/>
    <w:rsid w:val="1FE868A9"/>
    <w:rsid w:val="20034907"/>
    <w:rsid w:val="20173E4B"/>
    <w:rsid w:val="204E48BC"/>
    <w:rsid w:val="208921B3"/>
    <w:rsid w:val="20973DEB"/>
    <w:rsid w:val="20B26522"/>
    <w:rsid w:val="20B44310"/>
    <w:rsid w:val="20C206B3"/>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CD3C8C"/>
    <w:rsid w:val="23E95BEF"/>
    <w:rsid w:val="23FD0064"/>
    <w:rsid w:val="245375B0"/>
    <w:rsid w:val="24642C0A"/>
    <w:rsid w:val="24B17D22"/>
    <w:rsid w:val="24B22173"/>
    <w:rsid w:val="24B95AD9"/>
    <w:rsid w:val="24BE24DA"/>
    <w:rsid w:val="24CF5825"/>
    <w:rsid w:val="24D663E6"/>
    <w:rsid w:val="24D77F2B"/>
    <w:rsid w:val="258B00E2"/>
    <w:rsid w:val="25A917A6"/>
    <w:rsid w:val="25B76E96"/>
    <w:rsid w:val="25BE27CC"/>
    <w:rsid w:val="25F74A5C"/>
    <w:rsid w:val="2628662C"/>
    <w:rsid w:val="262D45DE"/>
    <w:rsid w:val="26A53EF9"/>
    <w:rsid w:val="26A94201"/>
    <w:rsid w:val="26AC274F"/>
    <w:rsid w:val="27044A29"/>
    <w:rsid w:val="271D34C8"/>
    <w:rsid w:val="276142BF"/>
    <w:rsid w:val="27783712"/>
    <w:rsid w:val="27907362"/>
    <w:rsid w:val="281A4EE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476FD4"/>
    <w:rsid w:val="2B7807EE"/>
    <w:rsid w:val="2BBF00EC"/>
    <w:rsid w:val="2BC37CFD"/>
    <w:rsid w:val="2BD5237F"/>
    <w:rsid w:val="2BE536CE"/>
    <w:rsid w:val="2BE758D9"/>
    <w:rsid w:val="2BEF6721"/>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2208B8"/>
    <w:rsid w:val="319C6071"/>
    <w:rsid w:val="31AC537E"/>
    <w:rsid w:val="31E3679B"/>
    <w:rsid w:val="31E732FD"/>
    <w:rsid w:val="32517576"/>
    <w:rsid w:val="32BE5C2C"/>
    <w:rsid w:val="32FB6478"/>
    <w:rsid w:val="33263B3F"/>
    <w:rsid w:val="334932B3"/>
    <w:rsid w:val="336963EB"/>
    <w:rsid w:val="33816EEB"/>
    <w:rsid w:val="33EB55CD"/>
    <w:rsid w:val="33EC4C02"/>
    <w:rsid w:val="340D2360"/>
    <w:rsid w:val="3410665D"/>
    <w:rsid w:val="34211214"/>
    <w:rsid w:val="342E63AB"/>
    <w:rsid w:val="34950E68"/>
    <w:rsid w:val="34986E94"/>
    <w:rsid w:val="34AF62C9"/>
    <w:rsid w:val="34CB4388"/>
    <w:rsid w:val="34FA6E12"/>
    <w:rsid w:val="35531D85"/>
    <w:rsid w:val="358D5588"/>
    <w:rsid w:val="363A3B40"/>
    <w:rsid w:val="365302AE"/>
    <w:rsid w:val="36607A0A"/>
    <w:rsid w:val="366E227C"/>
    <w:rsid w:val="366F2E0D"/>
    <w:rsid w:val="367B6A5C"/>
    <w:rsid w:val="36A74ADA"/>
    <w:rsid w:val="36AD60D5"/>
    <w:rsid w:val="36B224F9"/>
    <w:rsid w:val="36EC0CC9"/>
    <w:rsid w:val="37003301"/>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43174B"/>
    <w:rsid w:val="3B616CFF"/>
    <w:rsid w:val="3B6259F6"/>
    <w:rsid w:val="3B976654"/>
    <w:rsid w:val="3BC01EFC"/>
    <w:rsid w:val="3BCA786A"/>
    <w:rsid w:val="3BD31E2F"/>
    <w:rsid w:val="3BF15831"/>
    <w:rsid w:val="3C105946"/>
    <w:rsid w:val="3C471448"/>
    <w:rsid w:val="3C5F759A"/>
    <w:rsid w:val="3C6C525A"/>
    <w:rsid w:val="3CAB2962"/>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6613A"/>
    <w:rsid w:val="3E9A59DE"/>
    <w:rsid w:val="3EAF4836"/>
    <w:rsid w:val="3EC33DFA"/>
    <w:rsid w:val="3F060E16"/>
    <w:rsid w:val="3F1D1096"/>
    <w:rsid w:val="3F2F0234"/>
    <w:rsid w:val="3F6363FE"/>
    <w:rsid w:val="3F756B8F"/>
    <w:rsid w:val="3F95482B"/>
    <w:rsid w:val="4019356B"/>
    <w:rsid w:val="4044085E"/>
    <w:rsid w:val="40561BD7"/>
    <w:rsid w:val="40592157"/>
    <w:rsid w:val="406E1CAE"/>
    <w:rsid w:val="40A0133A"/>
    <w:rsid w:val="40C31A53"/>
    <w:rsid w:val="40F2522F"/>
    <w:rsid w:val="40FF545D"/>
    <w:rsid w:val="410067C8"/>
    <w:rsid w:val="417A137F"/>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300DA"/>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43F9D"/>
    <w:rsid w:val="477B778F"/>
    <w:rsid w:val="478203EC"/>
    <w:rsid w:val="47B025FA"/>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F512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3664A"/>
    <w:rsid w:val="4D964A72"/>
    <w:rsid w:val="4D9C1254"/>
    <w:rsid w:val="4E793892"/>
    <w:rsid w:val="4E800872"/>
    <w:rsid w:val="4EC569ED"/>
    <w:rsid w:val="4ED50EA1"/>
    <w:rsid w:val="4EEC050C"/>
    <w:rsid w:val="4EF229AB"/>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06190B"/>
    <w:rsid w:val="54455345"/>
    <w:rsid w:val="54487265"/>
    <w:rsid w:val="544D6070"/>
    <w:rsid w:val="545B17E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C0AFC"/>
    <w:rsid w:val="55A8376B"/>
    <w:rsid w:val="55DC29B6"/>
    <w:rsid w:val="55DD4241"/>
    <w:rsid w:val="566B6D1E"/>
    <w:rsid w:val="56E33C2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76C1D"/>
    <w:rsid w:val="5A6D33BA"/>
    <w:rsid w:val="5A792B1F"/>
    <w:rsid w:val="5A874767"/>
    <w:rsid w:val="5AAD6F28"/>
    <w:rsid w:val="5AD63A24"/>
    <w:rsid w:val="5B2E1A1D"/>
    <w:rsid w:val="5B843A1C"/>
    <w:rsid w:val="5B873E3F"/>
    <w:rsid w:val="5BD23D8B"/>
    <w:rsid w:val="5C02690E"/>
    <w:rsid w:val="5C196DA7"/>
    <w:rsid w:val="5C2A048C"/>
    <w:rsid w:val="5C7A3543"/>
    <w:rsid w:val="5C80234E"/>
    <w:rsid w:val="5C8A680C"/>
    <w:rsid w:val="5D0C4701"/>
    <w:rsid w:val="5D0F0395"/>
    <w:rsid w:val="5D221076"/>
    <w:rsid w:val="5D397964"/>
    <w:rsid w:val="5D5A391C"/>
    <w:rsid w:val="5D5F10C0"/>
    <w:rsid w:val="5D891B7B"/>
    <w:rsid w:val="5DAD38EE"/>
    <w:rsid w:val="5DB24487"/>
    <w:rsid w:val="5E006862"/>
    <w:rsid w:val="5E0207B9"/>
    <w:rsid w:val="5E1834A1"/>
    <w:rsid w:val="5E261785"/>
    <w:rsid w:val="5E4A7017"/>
    <w:rsid w:val="5E552BBA"/>
    <w:rsid w:val="5E611C10"/>
    <w:rsid w:val="5ECC465D"/>
    <w:rsid w:val="5EFC7377"/>
    <w:rsid w:val="5F06174D"/>
    <w:rsid w:val="5F3A3602"/>
    <w:rsid w:val="5F6277C6"/>
    <w:rsid w:val="5F6D0B1D"/>
    <w:rsid w:val="5F8D0B82"/>
    <w:rsid w:val="5FCC5339"/>
    <w:rsid w:val="5FE34A5B"/>
    <w:rsid w:val="5FFE1E36"/>
    <w:rsid w:val="60232584"/>
    <w:rsid w:val="607330CE"/>
    <w:rsid w:val="60825176"/>
    <w:rsid w:val="609F2AC4"/>
    <w:rsid w:val="60E34E30"/>
    <w:rsid w:val="60FA2EE8"/>
    <w:rsid w:val="61054A27"/>
    <w:rsid w:val="610A52BC"/>
    <w:rsid w:val="611D2366"/>
    <w:rsid w:val="61421856"/>
    <w:rsid w:val="615227C4"/>
    <w:rsid w:val="61646BF3"/>
    <w:rsid w:val="61654E3F"/>
    <w:rsid w:val="6182292A"/>
    <w:rsid w:val="619F7F92"/>
    <w:rsid w:val="61F94C26"/>
    <w:rsid w:val="62000E56"/>
    <w:rsid w:val="624F3E49"/>
    <w:rsid w:val="62632286"/>
    <w:rsid w:val="62885958"/>
    <w:rsid w:val="62F40B65"/>
    <w:rsid w:val="62FC2CFE"/>
    <w:rsid w:val="63024505"/>
    <w:rsid w:val="635B1DB5"/>
    <w:rsid w:val="63711FED"/>
    <w:rsid w:val="637F6AC8"/>
    <w:rsid w:val="63880DDC"/>
    <w:rsid w:val="638D750D"/>
    <w:rsid w:val="63AC6CC0"/>
    <w:rsid w:val="63B06E26"/>
    <w:rsid w:val="64055776"/>
    <w:rsid w:val="64240056"/>
    <w:rsid w:val="643E143A"/>
    <w:rsid w:val="648B6EEF"/>
    <w:rsid w:val="64C158BF"/>
    <w:rsid w:val="64CE2EAA"/>
    <w:rsid w:val="64D26ECB"/>
    <w:rsid w:val="653C3090"/>
    <w:rsid w:val="65854376"/>
    <w:rsid w:val="658767BE"/>
    <w:rsid w:val="65892531"/>
    <w:rsid w:val="660D563F"/>
    <w:rsid w:val="66195831"/>
    <w:rsid w:val="662E75B1"/>
    <w:rsid w:val="66342C2E"/>
    <w:rsid w:val="663E784C"/>
    <w:rsid w:val="668B6A45"/>
    <w:rsid w:val="672F3F24"/>
    <w:rsid w:val="673E055F"/>
    <w:rsid w:val="67551CE3"/>
    <w:rsid w:val="67943B76"/>
    <w:rsid w:val="67A22552"/>
    <w:rsid w:val="67B22DCC"/>
    <w:rsid w:val="67BE71AA"/>
    <w:rsid w:val="67D90273"/>
    <w:rsid w:val="67DE5875"/>
    <w:rsid w:val="67DF074B"/>
    <w:rsid w:val="67E55852"/>
    <w:rsid w:val="67EB1AB4"/>
    <w:rsid w:val="67FA1285"/>
    <w:rsid w:val="68551F4F"/>
    <w:rsid w:val="687C10C9"/>
    <w:rsid w:val="68840C16"/>
    <w:rsid w:val="68876EFB"/>
    <w:rsid w:val="68884654"/>
    <w:rsid w:val="68992252"/>
    <w:rsid w:val="689F444F"/>
    <w:rsid w:val="68B96DBB"/>
    <w:rsid w:val="68CA2805"/>
    <w:rsid w:val="68E937A3"/>
    <w:rsid w:val="693E15D3"/>
    <w:rsid w:val="69627681"/>
    <w:rsid w:val="6977531D"/>
    <w:rsid w:val="69CC2BFF"/>
    <w:rsid w:val="69FD55B8"/>
    <w:rsid w:val="6A0B1C62"/>
    <w:rsid w:val="6A2406C8"/>
    <w:rsid w:val="6A647B8B"/>
    <w:rsid w:val="6ADE0BD1"/>
    <w:rsid w:val="6AE96859"/>
    <w:rsid w:val="6B147746"/>
    <w:rsid w:val="6B24787C"/>
    <w:rsid w:val="6B573233"/>
    <w:rsid w:val="6B5B6274"/>
    <w:rsid w:val="6B935D53"/>
    <w:rsid w:val="6C196F71"/>
    <w:rsid w:val="6C226FCB"/>
    <w:rsid w:val="6C31226F"/>
    <w:rsid w:val="6C552F0B"/>
    <w:rsid w:val="6C8C67B7"/>
    <w:rsid w:val="6C9D744C"/>
    <w:rsid w:val="6D167928"/>
    <w:rsid w:val="6D175ED8"/>
    <w:rsid w:val="6D26299B"/>
    <w:rsid w:val="6D4772EC"/>
    <w:rsid w:val="6D49688D"/>
    <w:rsid w:val="6D840A4C"/>
    <w:rsid w:val="6D9078AF"/>
    <w:rsid w:val="6DAA3FEF"/>
    <w:rsid w:val="6DC0172B"/>
    <w:rsid w:val="6DCB690C"/>
    <w:rsid w:val="6DD41A5B"/>
    <w:rsid w:val="6DF43C2E"/>
    <w:rsid w:val="6DF51CA3"/>
    <w:rsid w:val="6E8335BD"/>
    <w:rsid w:val="6E8E12EF"/>
    <w:rsid w:val="6E972936"/>
    <w:rsid w:val="6ED446C5"/>
    <w:rsid w:val="6F2A7D94"/>
    <w:rsid w:val="6F8331F1"/>
    <w:rsid w:val="6F8E4B0E"/>
    <w:rsid w:val="6FAE1A09"/>
    <w:rsid w:val="6FD75BF8"/>
    <w:rsid w:val="707723D0"/>
    <w:rsid w:val="70F5661B"/>
    <w:rsid w:val="71360107"/>
    <w:rsid w:val="713B688E"/>
    <w:rsid w:val="713F00AC"/>
    <w:rsid w:val="71D43752"/>
    <w:rsid w:val="71F1796A"/>
    <w:rsid w:val="72154626"/>
    <w:rsid w:val="72262B5D"/>
    <w:rsid w:val="72283FF7"/>
    <w:rsid w:val="722E7212"/>
    <w:rsid w:val="723A0474"/>
    <w:rsid w:val="725923E4"/>
    <w:rsid w:val="72864BF7"/>
    <w:rsid w:val="729023FC"/>
    <w:rsid w:val="73693B9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4573C9"/>
    <w:rsid w:val="78775729"/>
    <w:rsid w:val="78A42DB0"/>
    <w:rsid w:val="78A656AB"/>
    <w:rsid w:val="78B2245C"/>
    <w:rsid w:val="78E172CC"/>
    <w:rsid w:val="78EA1D1F"/>
    <w:rsid w:val="78EF3BF8"/>
    <w:rsid w:val="7904172F"/>
    <w:rsid w:val="790F7E27"/>
    <w:rsid w:val="792A231A"/>
    <w:rsid w:val="79316829"/>
    <w:rsid w:val="797E66A9"/>
    <w:rsid w:val="799F7E45"/>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6F59DD"/>
    <w:rsid w:val="7B7468F8"/>
    <w:rsid w:val="7BEE0103"/>
    <w:rsid w:val="7C0A0FE4"/>
    <w:rsid w:val="7C254906"/>
    <w:rsid w:val="7C590818"/>
    <w:rsid w:val="7C7C10F6"/>
    <w:rsid w:val="7C853BEA"/>
    <w:rsid w:val="7C881368"/>
    <w:rsid w:val="7CE27788"/>
    <w:rsid w:val="7D0C32F1"/>
    <w:rsid w:val="7D0F408D"/>
    <w:rsid w:val="7D491C6C"/>
    <w:rsid w:val="7D4E5AE5"/>
    <w:rsid w:val="7D5429C0"/>
    <w:rsid w:val="7D6E6D43"/>
    <w:rsid w:val="7DB57A34"/>
    <w:rsid w:val="7DE60973"/>
    <w:rsid w:val="7DEF0916"/>
    <w:rsid w:val="7E1E5218"/>
    <w:rsid w:val="7E9A4E1F"/>
    <w:rsid w:val="7EA7723A"/>
    <w:rsid w:val="7EF56FBB"/>
    <w:rsid w:val="7F0768EB"/>
    <w:rsid w:val="7F143BEC"/>
    <w:rsid w:val="7F43749A"/>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194"/>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266"/>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table of authorities"/>
    <w:basedOn w:val="1"/>
    <w:next w:val="1"/>
    <w:semiHidden/>
    <w:qFormat/>
    <w:uiPriority w:val="0"/>
    <w:pPr>
      <w:spacing w:line="360" w:lineRule="auto"/>
      <w:ind w:left="420" w:leftChars="200"/>
    </w:pPr>
    <w:rPr>
      <w:rFonts w:ascii="Times New Roman" w:hAnsi="Times New Roman"/>
      <w:sz w:val="24"/>
      <w:szCs w:val="24"/>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paragraph" w:styleId="62">
    <w:name w:val="Body Text First Indent 2"/>
    <w:basedOn w:val="7"/>
    <w:next w:val="63"/>
    <w:link w:val="122"/>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Body Text First Indent 21"/>
    <w:basedOn w:val="82"/>
    <w:qFormat/>
    <w:uiPriority w:val="0"/>
    <w:pPr>
      <w:spacing w:after="120" w:line="240" w:lineRule="auto"/>
      <w:ind w:left="420" w:leftChars="200" w:firstLine="420" w:firstLineChars="200"/>
    </w:pPr>
    <w:rPr>
      <w:sz w:val="21"/>
    </w:rPr>
  </w:style>
  <w:style w:type="paragraph" w:customStyle="1" w:styleId="82">
    <w:name w:val="Body Text Indent1"/>
    <w:basedOn w:val="1"/>
    <w:qFormat/>
    <w:uiPriority w:val="0"/>
    <w:pPr>
      <w:spacing w:line="200" w:lineRule="exact"/>
      <w:ind w:firstLine="301"/>
    </w:pPr>
    <w:rPr>
      <w:rFonts w:ascii="宋体" w:hAnsi="Courier New"/>
      <w:spacing w:val="-4"/>
      <w:sz w:val="18"/>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2"/>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2"/>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2"/>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2"/>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2"/>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2"/>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Normal]"/>
    <w:qFormat/>
    <w:uiPriority w:val="99"/>
    <w:rPr>
      <w:rFonts w:ascii="宋体" w:hAnsi="宋体" w:eastAsia="宋体" w:cs="Times New Roman"/>
      <w:kern w:val="0"/>
      <w:sz w:val="24"/>
      <w:szCs w:val="20"/>
      <w:lang w:val="zh-CN" w:eastAsia="zh-CN" w:bidi="ar-SA"/>
    </w:rPr>
  </w:style>
  <w:style w:type="paragraph" w:customStyle="1" w:styleId="966">
    <w:name w:val="DAS正文"/>
    <w:basedOn w:val="1"/>
    <w:qFormat/>
    <w:uiPriority w:val="0"/>
    <w:pPr>
      <w:spacing w:line="360" w:lineRule="auto"/>
      <w:ind w:right="181" w:firstLine="480" w:firstLineChars="20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2"/>
    <customShpInfo spid="_x0000_s4101"/>
    <customShpInfo spid="_x0000_s4104"/>
    <customShpInfo spid="_x0000_s4103"/>
    <customShpInfo spid="_x0000_s4106"/>
    <customShpInfo spid="_x0000_s4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35459</Words>
  <Characters>37961</Characters>
  <Lines>287</Lines>
  <Paragraphs>81</Paragraphs>
  <TotalTime>60</TotalTime>
  <ScaleCrop>false</ScaleCrop>
  <LinksUpToDate>false</LinksUpToDate>
  <CharactersWithSpaces>42283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WPS_1666581571</cp:lastModifiedBy>
  <cp:lastPrinted>2022-03-14T02:18:00Z</cp:lastPrinted>
  <dcterms:modified xsi:type="dcterms:W3CDTF">2023-03-27T07:59:48Z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DF690C3CC1564326B00CFEF05F95CB83</vt:lpwstr>
  </property>
  <property fmtid="{D5CDD505-2E9C-101B-9397-08002B2CF9AE}" pid="5" name="commondata">
    <vt:lpwstr>eyJoZGlkIjoiZmNiMjNhODk0ZDQxOTBhOGE4ZDYyODIxNjgyNWYwYTkifQ==</vt:lpwstr>
  </property>
</Properties>
</file>