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tLeast"/>
        <w:ind w:right="-108"/>
        <w:jc w:val="center"/>
        <w:rPr>
          <w:rFonts w:hint="eastAsia" w:ascii="宋体" w:hAnsi="宋体" w:cs="宋体"/>
          <w:b/>
          <w:color w:val="000000"/>
          <w:kern w:val="0"/>
          <w:sz w:val="48"/>
          <w:szCs w:val="48"/>
        </w:rPr>
      </w:pPr>
      <w:bookmarkStart w:id="256" w:name="_GoBack"/>
      <w:bookmarkEnd w:id="256"/>
      <w:bookmarkStart w:id="0" w:name="_Toc350241266"/>
    </w:p>
    <w:p>
      <w:pPr>
        <w:spacing w:line="216" w:lineRule="auto"/>
        <w:jc w:val="center"/>
        <w:rPr>
          <w:rFonts w:ascii="宋体"/>
          <w:bCs/>
          <w:sz w:val="72"/>
        </w:rPr>
      </w:pPr>
      <w:r>
        <w:rPr>
          <w:rFonts w:hint="eastAsia" w:ascii="宋体" w:hAnsi="宋体" w:cs="宋体"/>
          <w:b/>
          <w:color w:val="000000"/>
          <w:kern w:val="0"/>
          <w:sz w:val="48"/>
          <w:szCs w:val="48"/>
        </w:rPr>
        <w:t>　</w:t>
      </w:r>
    </w:p>
    <w:p>
      <w:pPr>
        <w:spacing w:line="216" w:lineRule="auto"/>
        <w:jc w:val="center"/>
        <w:rPr>
          <w:rFonts w:hint="eastAsia" w:ascii="宋体" w:hAnsi="宋体" w:eastAsia="宋体" w:cs="宋体"/>
          <w:bCs/>
          <w:sz w:val="96"/>
          <w:szCs w:val="96"/>
          <w:lang w:eastAsia="zh-CN"/>
        </w:rPr>
      </w:pPr>
      <w:r>
        <w:rPr>
          <w:rFonts w:hint="eastAsia" w:ascii="宋体" w:hAnsi="宋体" w:cs="宋体"/>
          <w:bCs/>
          <w:sz w:val="96"/>
          <w:szCs w:val="96"/>
          <w:lang w:eastAsia="zh-CN"/>
        </w:rPr>
        <w:t>嵊州市崇仁镇人民政府</w:t>
      </w:r>
    </w:p>
    <w:p>
      <w:pPr>
        <w:spacing w:line="216" w:lineRule="auto"/>
        <w:jc w:val="center"/>
        <w:rPr>
          <w:rFonts w:hint="eastAsia" w:ascii="宋体" w:hAnsi="宋体" w:cs="宋体"/>
          <w:bCs/>
          <w:sz w:val="96"/>
          <w:szCs w:val="96"/>
        </w:rPr>
      </w:pPr>
      <w:r>
        <w:rPr>
          <w:rFonts w:hint="eastAsia" w:ascii="宋体" w:hAnsi="宋体" w:cs="宋体"/>
          <w:bCs/>
          <w:sz w:val="96"/>
          <w:szCs w:val="96"/>
        </w:rPr>
        <w:t>公开招标文件</w:t>
      </w:r>
    </w:p>
    <w:p>
      <w:pPr>
        <w:spacing w:line="216" w:lineRule="auto"/>
        <w:jc w:val="center"/>
        <w:rPr>
          <w:rFonts w:hint="eastAsia" w:ascii="宋体" w:hAnsi="宋体" w:cs="宋体"/>
          <w:bCs/>
          <w:sz w:val="96"/>
          <w:szCs w:val="96"/>
        </w:rPr>
      </w:pPr>
      <w:r>
        <w:rPr>
          <w:rFonts w:hint="eastAsia" w:ascii="宋体" w:hAnsi="宋体" w:cs="宋体"/>
          <w:bCs/>
          <w:sz w:val="96"/>
          <w:szCs w:val="96"/>
        </w:rPr>
        <w:t>（电子标）</w:t>
      </w:r>
    </w:p>
    <w:p>
      <w:pPr>
        <w:pStyle w:val="2"/>
        <w:rPr>
          <w:rFonts w:hint="eastAsia"/>
        </w:rPr>
      </w:pPr>
    </w:p>
    <w:tbl>
      <w:tblPr>
        <w:tblStyle w:val="47"/>
        <w:tblW w:w="0" w:type="auto"/>
        <w:jc w:val="center"/>
        <w:tblLayout w:type="fixed"/>
        <w:tblCellMar>
          <w:top w:w="0" w:type="dxa"/>
          <w:left w:w="108" w:type="dxa"/>
          <w:bottom w:w="0" w:type="dxa"/>
          <w:right w:w="108" w:type="dxa"/>
        </w:tblCellMar>
      </w:tblPr>
      <w:tblGrid>
        <w:gridCol w:w="1783"/>
        <w:gridCol w:w="3923"/>
      </w:tblGrid>
      <w:tr>
        <w:tblPrEx>
          <w:tblCellMar>
            <w:top w:w="0" w:type="dxa"/>
            <w:left w:w="108" w:type="dxa"/>
            <w:bottom w:w="0" w:type="dxa"/>
            <w:right w:w="108" w:type="dxa"/>
          </w:tblCellMar>
        </w:tblPrEx>
        <w:trPr>
          <w:wBefore w:w="0" w:type="auto"/>
          <w:wAfter w:w="0" w:type="auto"/>
          <w:trHeight w:val="851" w:hRule="atLeast"/>
          <w:jc w:val="center"/>
        </w:trPr>
        <w:tc>
          <w:tcPr>
            <w:tcW w:w="1783" w:type="dxa"/>
            <w:noWrap w:val="0"/>
            <w:vAlign w:val="center"/>
          </w:tcPr>
          <w:p>
            <w:pPr>
              <w:jc w:val="center"/>
              <w:rPr>
                <w:rFonts w:hint="eastAsia" w:ascii="宋体" w:hAnsi="宋体" w:cs="宋体"/>
                <w:bCs/>
                <w:sz w:val="32"/>
                <w:szCs w:val="32"/>
              </w:rPr>
            </w:pPr>
            <w:r>
              <w:rPr>
                <w:rFonts w:hint="eastAsia" w:ascii="宋体" w:hAnsi="宋体" w:cs="宋体"/>
                <w:bCs/>
                <w:sz w:val="32"/>
                <w:szCs w:val="32"/>
              </w:rPr>
              <w:t>项目编号：</w:t>
            </w:r>
          </w:p>
        </w:tc>
        <w:tc>
          <w:tcPr>
            <w:tcW w:w="3923" w:type="dxa"/>
            <w:noWrap w:val="0"/>
            <w:vAlign w:val="center"/>
          </w:tcPr>
          <w:p>
            <w:pPr>
              <w:rPr>
                <w:rFonts w:hint="eastAsia" w:ascii="宋体" w:hAnsi="宋体" w:eastAsia="宋体" w:cs="宋体"/>
                <w:bCs/>
                <w:sz w:val="32"/>
                <w:szCs w:val="32"/>
                <w:lang w:eastAsia="zh-CN"/>
              </w:rPr>
            </w:pPr>
            <w:r>
              <w:rPr>
                <w:rFonts w:hint="eastAsia" w:ascii="宋体" w:hAnsi="宋体" w:cs="宋体"/>
                <w:bCs/>
                <w:sz w:val="32"/>
                <w:szCs w:val="32"/>
                <w:lang w:eastAsia="zh-CN"/>
              </w:rPr>
              <w:t>SZLB-202112WLM</w:t>
            </w:r>
          </w:p>
        </w:tc>
      </w:tr>
      <w:tr>
        <w:tblPrEx>
          <w:tblCellMar>
            <w:top w:w="0" w:type="dxa"/>
            <w:left w:w="108" w:type="dxa"/>
            <w:bottom w:w="0" w:type="dxa"/>
            <w:right w:w="108" w:type="dxa"/>
          </w:tblCellMar>
        </w:tblPrEx>
        <w:trPr>
          <w:wBefore w:w="0" w:type="auto"/>
          <w:wAfter w:w="0" w:type="auto"/>
          <w:trHeight w:val="851" w:hRule="atLeast"/>
          <w:jc w:val="center"/>
        </w:trPr>
        <w:tc>
          <w:tcPr>
            <w:tcW w:w="1783" w:type="dxa"/>
            <w:noWrap w:val="0"/>
            <w:vAlign w:val="center"/>
          </w:tcPr>
          <w:p>
            <w:pPr>
              <w:jc w:val="center"/>
              <w:rPr>
                <w:rFonts w:hint="eastAsia" w:ascii="宋体" w:hAnsi="宋体" w:cs="宋体"/>
                <w:bCs/>
                <w:sz w:val="32"/>
                <w:szCs w:val="32"/>
              </w:rPr>
            </w:pPr>
            <w:r>
              <w:rPr>
                <w:rFonts w:hint="eastAsia" w:ascii="宋体" w:hAnsi="宋体" w:cs="宋体"/>
                <w:bCs/>
                <w:sz w:val="32"/>
                <w:szCs w:val="32"/>
              </w:rPr>
              <w:t>项目名称：</w:t>
            </w:r>
          </w:p>
        </w:tc>
        <w:tc>
          <w:tcPr>
            <w:tcW w:w="3923" w:type="dxa"/>
            <w:noWrap w:val="0"/>
            <w:vAlign w:val="center"/>
          </w:tcPr>
          <w:p>
            <w:pPr>
              <w:jc w:val="left"/>
              <w:rPr>
                <w:rFonts w:hint="eastAsia" w:ascii="宋体" w:hAnsi="宋体" w:eastAsia="宋体" w:cs="宋体"/>
                <w:bCs/>
                <w:sz w:val="32"/>
                <w:szCs w:val="32"/>
                <w:lang w:eastAsia="zh-CN"/>
              </w:rPr>
            </w:pPr>
            <w:r>
              <w:rPr>
                <w:rFonts w:hint="eastAsia" w:ascii="宋体" w:hAnsi="宋体" w:cs="宋体"/>
                <w:bCs/>
                <w:sz w:val="32"/>
                <w:szCs w:val="32"/>
                <w:lang w:eastAsia="zh-CN"/>
              </w:rPr>
              <w:t>嵊州市崇仁镇人民政府安保服务等采购项目</w:t>
            </w:r>
          </w:p>
        </w:tc>
      </w:tr>
      <w:tr>
        <w:tblPrEx>
          <w:tblCellMar>
            <w:top w:w="0" w:type="dxa"/>
            <w:left w:w="108" w:type="dxa"/>
            <w:bottom w:w="0" w:type="dxa"/>
            <w:right w:w="108" w:type="dxa"/>
          </w:tblCellMar>
        </w:tblPrEx>
        <w:trPr>
          <w:wBefore w:w="0" w:type="auto"/>
          <w:wAfter w:w="0" w:type="auto"/>
          <w:trHeight w:val="851" w:hRule="atLeast"/>
          <w:jc w:val="center"/>
        </w:trPr>
        <w:tc>
          <w:tcPr>
            <w:tcW w:w="1783" w:type="dxa"/>
            <w:noWrap w:val="0"/>
            <w:vAlign w:val="center"/>
          </w:tcPr>
          <w:p>
            <w:pPr>
              <w:pStyle w:val="41"/>
              <w:spacing w:after="120" w:afterLines="0" w:line="440" w:lineRule="exact"/>
              <w:jc w:val="center"/>
              <w:rPr>
                <w:rFonts w:hint="eastAsia" w:cs="宋体"/>
                <w:bCs/>
                <w:color w:val="auto"/>
                <w:sz w:val="32"/>
                <w:szCs w:val="32"/>
                <w:lang w:val="en-US" w:eastAsia="zh-CN"/>
              </w:rPr>
            </w:pPr>
            <w:r>
              <w:rPr>
                <w:rFonts w:hint="eastAsia" w:cs="宋体"/>
                <w:bCs/>
                <w:color w:val="auto"/>
                <w:sz w:val="32"/>
                <w:szCs w:val="32"/>
                <w:lang w:val="en-US" w:eastAsia="zh-CN"/>
              </w:rPr>
              <w:t>确认书号：</w:t>
            </w:r>
          </w:p>
        </w:tc>
        <w:tc>
          <w:tcPr>
            <w:tcW w:w="3923" w:type="dxa"/>
            <w:noWrap w:val="0"/>
            <w:vAlign w:val="center"/>
          </w:tcPr>
          <w:p>
            <w:pPr>
              <w:pStyle w:val="41"/>
              <w:spacing w:after="120" w:afterLines="0" w:line="440" w:lineRule="exact"/>
              <w:rPr>
                <w:rFonts w:hint="eastAsia" w:cs="宋体"/>
                <w:bCs/>
                <w:color w:val="auto"/>
                <w:sz w:val="32"/>
                <w:szCs w:val="32"/>
                <w:lang w:val="en-US" w:eastAsia="zh-CN"/>
              </w:rPr>
            </w:pPr>
            <w:r>
              <w:rPr>
                <w:rFonts w:hint="eastAsia" w:cs="宋体"/>
                <w:bCs/>
                <w:color w:val="auto"/>
                <w:sz w:val="32"/>
                <w:szCs w:val="32"/>
                <w:lang w:val="en-US" w:eastAsia="zh-CN"/>
              </w:rPr>
              <w:t>嵊财采确【2021】9</w:t>
            </w:r>
            <w:r>
              <w:rPr>
                <w:rFonts w:hint="eastAsia" w:cs="宋体"/>
                <w:bCs/>
                <w:color w:val="auto"/>
                <w:sz w:val="32"/>
                <w:szCs w:val="32"/>
                <w:lang w:val="en-US" w:eastAsia="zh-CN"/>
              </w:rPr>
              <w:t>23</w:t>
            </w:r>
            <w:r>
              <w:rPr>
                <w:rFonts w:hint="eastAsia" w:cs="宋体"/>
                <w:bCs/>
                <w:color w:val="auto"/>
                <w:sz w:val="32"/>
                <w:szCs w:val="32"/>
                <w:lang w:val="en-US" w:eastAsia="zh-CN"/>
              </w:rPr>
              <w:t>号</w:t>
            </w:r>
          </w:p>
        </w:tc>
      </w:tr>
    </w:tbl>
    <w:p>
      <w:pPr>
        <w:tabs>
          <w:tab w:val="left" w:pos="8477"/>
        </w:tabs>
        <w:spacing w:line="216" w:lineRule="auto"/>
        <w:rPr>
          <w:rFonts w:hint="eastAsia" w:ascii="Arial" w:hAnsi="Arial" w:eastAsia="黑体" w:cs="Arial"/>
          <w:b/>
          <w:sz w:val="72"/>
          <w:szCs w:val="72"/>
        </w:rPr>
      </w:pPr>
      <w:r>
        <w:rPr>
          <w:rFonts w:hint="eastAsia" w:ascii="Arial" w:hAnsi="Arial" w:eastAsia="黑体" w:cs="Arial"/>
          <w:b/>
          <w:sz w:val="72"/>
          <w:szCs w:val="72"/>
        </w:rPr>
        <w:tab/>
      </w:r>
    </w:p>
    <w:p>
      <w:pPr>
        <w:spacing w:line="360" w:lineRule="auto"/>
        <w:jc w:val="center"/>
        <w:rPr>
          <w:rFonts w:hint="eastAsia" w:ascii="宋体" w:hAnsi="宋体" w:eastAsia="宋体" w:cs="宋体"/>
          <w:sz w:val="30"/>
          <w:lang w:eastAsia="zh-CN"/>
        </w:rPr>
      </w:pPr>
      <w:r>
        <w:rPr>
          <w:rFonts w:hint="eastAsia" w:ascii="宋体" w:hAnsi="宋体" w:cs="宋体"/>
          <w:kern w:val="0"/>
          <w:sz w:val="30"/>
        </w:rPr>
        <w:t>采 购 单 位</w:t>
      </w:r>
      <w:r>
        <w:rPr>
          <w:rFonts w:hint="eastAsia" w:ascii="宋体" w:hAnsi="宋体" w:cs="宋体"/>
          <w:sz w:val="30"/>
        </w:rPr>
        <w:t>：</w:t>
      </w:r>
      <w:r>
        <w:rPr>
          <w:rFonts w:hint="eastAsia" w:ascii="宋体" w:hAnsi="宋体" w:cs="宋体"/>
          <w:color w:val="FF0000"/>
          <w:sz w:val="30"/>
        </w:rPr>
        <w:t xml:space="preserve"> </w:t>
      </w:r>
      <w:r>
        <w:rPr>
          <w:rFonts w:hint="eastAsia" w:ascii="宋体" w:hAnsi="宋体" w:cs="宋体"/>
          <w:sz w:val="30"/>
          <w:lang w:eastAsia="zh-CN"/>
        </w:rPr>
        <w:t>嵊州市崇仁镇人民政府</w:t>
      </w:r>
    </w:p>
    <w:p>
      <w:pPr>
        <w:spacing w:line="360" w:lineRule="auto"/>
        <w:jc w:val="center"/>
        <w:rPr>
          <w:rFonts w:hint="eastAsia" w:ascii="宋体" w:hAnsi="宋体" w:cs="宋体"/>
          <w:sz w:val="30"/>
        </w:rPr>
      </w:pPr>
      <w:r>
        <w:rPr>
          <w:rFonts w:hint="eastAsia" w:ascii="宋体" w:hAnsi="宋体" w:cs="宋体"/>
          <w:sz w:val="30"/>
        </w:rPr>
        <w:t>招标代理单位：嵊州市力标招标代理有限公司</w:t>
      </w:r>
    </w:p>
    <w:p>
      <w:pPr>
        <w:spacing w:line="360" w:lineRule="auto"/>
        <w:jc w:val="center"/>
        <w:rPr>
          <w:rFonts w:hint="eastAsia" w:ascii="宋体" w:hAnsi="宋体" w:cs="宋体"/>
          <w:sz w:val="30"/>
        </w:rPr>
      </w:pPr>
      <w:r>
        <w:rPr>
          <w:rFonts w:hint="eastAsia" w:ascii="宋体" w:hAnsi="宋体" w:cs="宋体"/>
          <w:sz w:val="30"/>
          <w:lang w:eastAsia="zh-CN"/>
        </w:rPr>
        <w:t>2021</w:t>
      </w:r>
      <w:r>
        <w:rPr>
          <w:rFonts w:hint="eastAsia" w:ascii="宋体" w:hAnsi="宋体" w:cs="宋体"/>
          <w:sz w:val="30"/>
        </w:rPr>
        <w:t>年</w:t>
      </w:r>
      <w:r>
        <w:rPr>
          <w:rFonts w:hint="eastAsia" w:ascii="宋体" w:hAnsi="宋体" w:cs="宋体"/>
          <w:sz w:val="30"/>
          <w:lang w:val="en-US" w:eastAsia="zh-CN"/>
        </w:rPr>
        <w:t>4</w:t>
      </w:r>
      <w:r>
        <w:rPr>
          <w:rFonts w:hint="eastAsia" w:ascii="宋体" w:hAnsi="宋体" w:cs="宋体"/>
          <w:sz w:val="30"/>
        </w:rPr>
        <w:t>月</w:t>
      </w:r>
    </w:p>
    <w:p>
      <w:pPr>
        <w:autoSpaceDE w:val="0"/>
        <w:autoSpaceDN w:val="0"/>
        <w:jc w:val="center"/>
        <w:textAlignment w:val="bottom"/>
        <w:outlineLvl w:val="0"/>
        <w:rPr>
          <w:rFonts w:hint="eastAsia" w:ascii="宋体" w:hAnsi="宋体"/>
          <w:b/>
          <w:sz w:val="52"/>
          <w:szCs w:val="52"/>
        </w:rPr>
      </w:pPr>
    </w:p>
    <w:p>
      <w:pPr>
        <w:pStyle w:val="33"/>
        <w:tabs>
          <w:tab w:val="right" w:leader="dot" w:pos="9864"/>
        </w:tabs>
        <w:rPr>
          <w:rFonts w:ascii="宋体" w:hAnsi="宋体"/>
        </w:rPr>
      </w:pPr>
    </w:p>
    <w:p>
      <w:pPr>
        <w:jc w:val="both"/>
        <w:rPr>
          <w:rFonts w:hint="eastAsia" w:ascii="宋体" w:hAnsi="宋体"/>
          <w:b/>
          <w:bCs/>
          <w:sz w:val="36"/>
          <w:szCs w:val="36"/>
        </w:rPr>
      </w:pPr>
    </w:p>
    <w:p>
      <w:pPr>
        <w:jc w:val="center"/>
        <w:rPr>
          <w:rFonts w:ascii="宋体" w:hAnsi="宋体"/>
          <w:sz w:val="36"/>
          <w:szCs w:val="36"/>
        </w:rPr>
      </w:pPr>
      <w:r>
        <w:rPr>
          <w:rFonts w:hint="eastAsia" w:ascii="宋体" w:hAnsi="宋体"/>
          <w:b/>
          <w:bCs/>
          <w:sz w:val="36"/>
          <w:szCs w:val="36"/>
        </w:rPr>
        <w:t>目录</w:t>
      </w:r>
    </w:p>
    <w:p>
      <w:pPr>
        <w:pStyle w:val="33"/>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TOC \o "1-2" \h \u </w:instrText>
      </w:r>
      <w:r>
        <w:rPr>
          <w:rFonts w:hint="eastAsia" w:ascii="宋体" w:hAnsi="宋体" w:cs="宋体"/>
          <w:sz w:val="24"/>
        </w:rPr>
        <w:fldChar w:fldCharType="separate"/>
      </w:r>
      <w:r>
        <w:rPr>
          <w:rFonts w:hint="eastAsia" w:ascii="宋体" w:hAnsi="宋体" w:cs="宋体"/>
          <w:sz w:val="24"/>
        </w:rPr>
        <w:fldChar w:fldCharType="begin"/>
      </w:r>
      <w:r>
        <w:rPr>
          <w:rFonts w:hint="eastAsia" w:ascii="宋体" w:hAnsi="宋体" w:cs="宋体"/>
          <w:sz w:val="24"/>
        </w:rPr>
        <w:instrText xml:space="preserve"> HYPERLINK \l _Toc25711 </w:instrText>
      </w:r>
      <w:r>
        <w:rPr>
          <w:rFonts w:hint="eastAsia" w:ascii="宋体" w:hAnsi="宋体" w:cs="宋体"/>
          <w:sz w:val="24"/>
        </w:rPr>
        <w:fldChar w:fldCharType="separate"/>
      </w:r>
      <w:r>
        <w:rPr>
          <w:rFonts w:hint="eastAsia" w:hAnsi="宋体"/>
          <w:sz w:val="24"/>
        </w:rPr>
        <w:t>第一章</w:t>
      </w:r>
      <w:r>
        <w:rPr>
          <w:rFonts w:hAnsi="宋体"/>
          <w:sz w:val="24"/>
        </w:rPr>
        <w:t xml:space="preserve">  </w:t>
      </w:r>
      <w:r>
        <w:rPr>
          <w:rFonts w:hint="eastAsia" w:hAnsi="宋体"/>
          <w:sz w:val="24"/>
        </w:rPr>
        <w:t>招标公告</w:t>
      </w:r>
      <w:r>
        <w:rPr>
          <w:sz w:val="24"/>
        </w:rPr>
        <w:tab/>
      </w:r>
      <w:r>
        <w:rPr>
          <w:sz w:val="24"/>
        </w:rPr>
        <w:fldChar w:fldCharType="begin"/>
      </w:r>
      <w:r>
        <w:rPr>
          <w:sz w:val="24"/>
        </w:rPr>
        <w:instrText xml:space="preserve"> PAGEREF _Toc25711 </w:instrText>
      </w:r>
      <w:r>
        <w:rPr>
          <w:sz w:val="24"/>
        </w:rPr>
        <w:fldChar w:fldCharType="separate"/>
      </w:r>
      <w:r>
        <w:rPr>
          <w:sz w:val="24"/>
        </w:rPr>
        <w:t>3</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_Toc17989 </w:instrText>
      </w:r>
      <w:r>
        <w:rPr>
          <w:rFonts w:hint="eastAsia" w:ascii="宋体" w:hAnsi="宋体" w:cs="宋体"/>
          <w:sz w:val="24"/>
        </w:rPr>
        <w:fldChar w:fldCharType="separate"/>
      </w:r>
      <w:r>
        <w:rPr>
          <w:rFonts w:hint="eastAsia" w:cs="宋体"/>
          <w:sz w:val="24"/>
        </w:rPr>
        <w:t>一、</w:t>
      </w:r>
      <w:r>
        <w:rPr>
          <w:rFonts w:cs="宋体"/>
          <w:sz w:val="24"/>
        </w:rPr>
        <w:t>项目基本情况</w:t>
      </w:r>
      <w:r>
        <w:rPr>
          <w:sz w:val="24"/>
        </w:rPr>
        <w:tab/>
      </w:r>
      <w:r>
        <w:rPr>
          <w:sz w:val="24"/>
        </w:rPr>
        <w:fldChar w:fldCharType="begin"/>
      </w:r>
      <w:r>
        <w:rPr>
          <w:sz w:val="24"/>
        </w:rPr>
        <w:instrText xml:space="preserve"> PAGEREF _Toc17989 </w:instrText>
      </w:r>
      <w:r>
        <w:rPr>
          <w:sz w:val="24"/>
        </w:rPr>
        <w:fldChar w:fldCharType="separate"/>
      </w:r>
      <w:r>
        <w:rPr>
          <w:sz w:val="24"/>
        </w:rPr>
        <w:t>3</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_Toc19984 </w:instrText>
      </w:r>
      <w:r>
        <w:rPr>
          <w:rFonts w:hint="eastAsia" w:ascii="宋体" w:hAnsi="宋体" w:cs="宋体"/>
          <w:sz w:val="24"/>
        </w:rPr>
        <w:fldChar w:fldCharType="separate"/>
      </w:r>
      <w:r>
        <w:rPr>
          <w:rFonts w:ascii="宋体" w:hAnsi="宋体" w:cs="宋体"/>
          <w:sz w:val="24"/>
        </w:rPr>
        <w:t>二、申请人的资格要求</w:t>
      </w:r>
      <w:r>
        <w:rPr>
          <w:sz w:val="24"/>
        </w:rPr>
        <w:tab/>
      </w:r>
      <w:r>
        <w:rPr>
          <w:sz w:val="24"/>
        </w:rPr>
        <w:fldChar w:fldCharType="begin"/>
      </w:r>
      <w:r>
        <w:rPr>
          <w:sz w:val="24"/>
        </w:rPr>
        <w:instrText xml:space="preserve"> PAGEREF _Toc19984 </w:instrText>
      </w:r>
      <w:r>
        <w:rPr>
          <w:sz w:val="24"/>
        </w:rPr>
        <w:fldChar w:fldCharType="separate"/>
      </w:r>
      <w:r>
        <w:rPr>
          <w:sz w:val="24"/>
        </w:rPr>
        <w:t>3</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_Toc26296 </w:instrText>
      </w:r>
      <w:r>
        <w:rPr>
          <w:rFonts w:hint="eastAsia" w:ascii="宋体" w:hAnsi="宋体" w:cs="宋体"/>
          <w:sz w:val="24"/>
        </w:rPr>
        <w:fldChar w:fldCharType="separate"/>
      </w:r>
      <w:r>
        <w:rPr>
          <w:rFonts w:ascii="宋体" w:hAnsi="宋体" w:cs="宋体"/>
          <w:sz w:val="24"/>
        </w:rPr>
        <w:t>三、获取招标文件</w:t>
      </w:r>
      <w:r>
        <w:rPr>
          <w:sz w:val="24"/>
        </w:rPr>
        <w:tab/>
      </w:r>
      <w:r>
        <w:rPr>
          <w:sz w:val="24"/>
        </w:rPr>
        <w:fldChar w:fldCharType="begin"/>
      </w:r>
      <w:r>
        <w:rPr>
          <w:sz w:val="24"/>
        </w:rPr>
        <w:instrText xml:space="preserve"> PAGEREF _Toc26296 </w:instrText>
      </w:r>
      <w:r>
        <w:rPr>
          <w:sz w:val="24"/>
        </w:rPr>
        <w:fldChar w:fldCharType="separate"/>
      </w:r>
      <w:r>
        <w:rPr>
          <w:sz w:val="24"/>
        </w:rPr>
        <w:t>3</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_Toc6006 </w:instrText>
      </w:r>
      <w:r>
        <w:rPr>
          <w:rFonts w:hint="eastAsia" w:ascii="宋体" w:hAnsi="宋体" w:cs="宋体"/>
          <w:sz w:val="24"/>
        </w:rPr>
        <w:fldChar w:fldCharType="separate"/>
      </w:r>
      <w:r>
        <w:rPr>
          <w:rFonts w:ascii="宋体" w:hAnsi="宋体" w:cs="宋体"/>
          <w:sz w:val="24"/>
        </w:rPr>
        <w:t>四、提交投标文件截止时间、开标时间和地点</w:t>
      </w:r>
      <w:r>
        <w:rPr>
          <w:sz w:val="24"/>
        </w:rPr>
        <w:tab/>
      </w:r>
      <w:r>
        <w:rPr>
          <w:sz w:val="24"/>
        </w:rPr>
        <w:fldChar w:fldCharType="begin"/>
      </w:r>
      <w:r>
        <w:rPr>
          <w:sz w:val="24"/>
        </w:rPr>
        <w:instrText xml:space="preserve"> PAGEREF _Toc6006 </w:instrText>
      </w:r>
      <w:r>
        <w:rPr>
          <w:sz w:val="24"/>
        </w:rPr>
        <w:fldChar w:fldCharType="separate"/>
      </w:r>
      <w:r>
        <w:rPr>
          <w:sz w:val="24"/>
        </w:rPr>
        <w:t>4</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_Toc11351 </w:instrText>
      </w:r>
      <w:r>
        <w:rPr>
          <w:rFonts w:hint="eastAsia" w:ascii="宋体" w:hAnsi="宋体" w:cs="宋体"/>
          <w:sz w:val="24"/>
        </w:rPr>
        <w:fldChar w:fldCharType="separate"/>
      </w:r>
      <w:r>
        <w:rPr>
          <w:rFonts w:ascii="宋体" w:hAnsi="宋体" w:cs="宋体"/>
          <w:sz w:val="24"/>
        </w:rPr>
        <w:t>五、公告期限</w:t>
      </w:r>
      <w:r>
        <w:rPr>
          <w:sz w:val="24"/>
        </w:rPr>
        <w:tab/>
      </w:r>
      <w:r>
        <w:rPr>
          <w:sz w:val="24"/>
        </w:rPr>
        <w:fldChar w:fldCharType="begin"/>
      </w:r>
      <w:r>
        <w:rPr>
          <w:sz w:val="24"/>
        </w:rPr>
        <w:instrText xml:space="preserve"> PAGEREF _Toc11351 </w:instrText>
      </w:r>
      <w:r>
        <w:rPr>
          <w:sz w:val="24"/>
        </w:rPr>
        <w:fldChar w:fldCharType="separate"/>
      </w:r>
      <w:r>
        <w:rPr>
          <w:sz w:val="24"/>
        </w:rPr>
        <w:t>4</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_Toc6597 </w:instrText>
      </w:r>
      <w:r>
        <w:rPr>
          <w:rFonts w:hint="eastAsia" w:ascii="宋体" w:hAnsi="宋体" w:cs="宋体"/>
          <w:sz w:val="24"/>
        </w:rPr>
        <w:fldChar w:fldCharType="separate"/>
      </w:r>
      <w:r>
        <w:rPr>
          <w:rFonts w:ascii="宋体" w:hAnsi="宋体" w:cs="宋体"/>
          <w:sz w:val="24"/>
        </w:rPr>
        <w:t>六、其他补充事宜</w:t>
      </w:r>
      <w:r>
        <w:rPr>
          <w:sz w:val="24"/>
        </w:rPr>
        <w:tab/>
      </w:r>
      <w:r>
        <w:rPr>
          <w:sz w:val="24"/>
        </w:rPr>
        <w:fldChar w:fldCharType="begin"/>
      </w:r>
      <w:r>
        <w:rPr>
          <w:sz w:val="24"/>
        </w:rPr>
        <w:instrText xml:space="preserve"> PAGEREF _Toc6597 </w:instrText>
      </w:r>
      <w:r>
        <w:rPr>
          <w:sz w:val="24"/>
        </w:rPr>
        <w:fldChar w:fldCharType="separate"/>
      </w:r>
      <w:r>
        <w:rPr>
          <w:sz w:val="24"/>
        </w:rPr>
        <w:t>4</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_Toc6076 </w:instrText>
      </w:r>
      <w:r>
        <w:rPr>
          <w:rFonts w:hint="eastAsia" w:ascii="宋体" w:hAnsi="宋体" w:cs="宋体"/>
          <w:sz w:val="24"/>
        </w:rPr>
        <w:fldChar w:fldCharType="separate"/>
      </w:r>
      <w:r>
        <w:rPr>
          <w:rFonts w:ascii="宋体" w:hAnsi="宋体" w:cs="宋体"/>
          <w:sz w:val="24"/>
        </w:rPr>
        <w:t>七、对本次招标提出询问、质疑、投诉，请按以下方式联系</w:t>
      </w:r>
      <w:r>
        <w:rPr>
          <w:sz w:val="24"/>
        </w:rPr>
        <w:tab/>
      </w:r>
      <w:r>
        <w:rPr>
          <w:sz w:val="24"/>
        </w:rPr>
        <w:fldChar w:fldCharType="begin"/>
      </w:r>
      <w:r>
        <w:rPr>
          <w:sz w:val="24"/>
        </w:rPr>
        <w:instrText xml:space="preserve"> PAGEREF _Toc6076 </w:instrText>
      </w:r>
      <w:r>
        <w:rPr>
          <w:sz w:val="24"/>
        </w:rPr>
        <w:fldChar w:fldCharType="separate"/>
      </w:r>
      <w:r>
        <w:rPr>
          <w:sz w:val="24"/>
        </w:rPr>
        <w:t>5</w:t>
      </w:r>
      <w:r>
        <w:rPr>
          <w:sz w:val="24"/>
        </w:rPr>
        <w:fldChar w:fldCharType="end"/>
      </w:r>
      <w:r>
        <w:rPr>
          <w:rFonts w:hint="eastAsia" w:ascii="宋体" w:hAnsi="宋体" w:cs="宋体"/>
          <w:sz w:val="24"/>
        </w:rPr>
        <w:fldChar w:fldCharType="end"/>
      </w:r>
    </w:p>
    <w:p>
      <w:pPr>
        <w:pStyle w:val="33"/>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_Toc11206 </w:instrText>
      </w:r>
      <w:r>
        <w:rPr>
          <w:rFonts w:hint="eastAsia" w:ascii="宋体" w:hAnsi="宋体" w:cs="宋体"/>
          <w:sz w:val="24"/>
        </w:rPr>
        <w:fldChar w:fldCharType="separate"/>
      </w:r>
      <w:r>
        <w:rPr>
          <w:rFonts w:hint="eastAsia"/>
          <w:bCs/>
          <w:sz w:val="24"/>
        </w:rPr>
        <w:t>第二章  投标方须知</w:t>
      </w:r>
      <w:r>
        <w:rPr>
          <w:sz w:val="24"/>
        </w:rPr>
        <w:tab/>
      </w:r>
      <w:r>
        <w:rPr>
          <w:sz w:val="24"/>
        </w:rPr>
        <w:fldChar w:fldCharType="begin"/>
      </w:r>
      <w:r>
        <w:rPr>
          <w:sz w:val="24"/>
        </w:rPr>
        <w:instrText xml:space="preserve"> PAGEREF _Toc11206 </w:instrText>
      </w:r>
      <w:r>
        <w:rPr>
          <w:sz w:val="24"/>
        </w:rPr>
        <w:fldChar w:fldCharType="separate"/>
      </w:r>
      <w:r>
        <w:rPr>
          <w:sz w:val="24"/>
        </w:rPr>
        <w:t>6</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_Toc25547 </w:instrText>
      </w:r>
      <w:r>
        <w:rPr>
          <w:rFonts w:hint="eastAsia" w:ascii="宋体" w:hAnsi="宋体" w:cs="宋体"/>
          <w:sz w:val="24"/>
        </w:rPr>
        <w:fldChar w:fldCharType="separate"/>
      </w:r>
      <w:r>
        <w:rPr>
          <w:rFonts w:hint="eastAsia"/>
          <w:bCs/>
          <w:sz w:val="24"/>
        </w:rPr>
        <w:t>前附表</w:t>
      </w:r>
      <w:r>
        <w:rPr>
          <w:sz w:val="24"/>
        </w:rPr>
        <w:tab/>
      </w:r>
      <w:r>
        <w:rPr>
          <w:sz w:val="24"/>
        </w:rPr>
        <w:fldChar w:fldCharType="begin"/>
      </w:r>
      <w:r>
        <w:rPr>
          <w:sz w:val="24"/>
        </w:rPr>
        <w:instrText xml:space="preserve"> PAGEREF _Toc25547 </w:instrText>
      </w:r>
      <w:r>
        <w:rPr>
          <w:sz w:val="24"/>
        </w:rPr>
        <w:fldChar w:fldCharType="separate"/>
      </w:r>
      <w:r>
        <w:rPr>
          <w:sz w:val="24"/>
        </w:rPr>
        <w:t>6</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_Toc17792 </w:instrText>
      </w:r>
      <w:r>
        <w:rPr>
          <w:rFonts w:hint="eastAsia" w:ascii="宋体" w:hAnsi="宋体" w:cs="宋体"/>
          <w:sz w:val="24"/>
        </w:rPr>
        <w:fldChar w:fldCharType="separate"/>
      </w:r>
      <w:r>
        <w:rPr>
          <w:rFonts w:hint="eastAsia" w:hAnsi="宋体" w:cs="宋体"/>
          <w:sz w:val="24"/>
        </w:rPr>
        <w:t>一、总  则</w:t>
      </w:r>
      <w:r>
        <w:rPr>
          <w:sz w:val="24"/>
        </w:rPr>
        <w:tab/>
      </w:r>
      <w:r>
        <w:rPr>
          <w:sz w:val="24"/>
        </w:rPr>
        <w:fldChar w:fldCharType="begin"/>
      </w:r>
      <w:r>
        <w:rPr>
          <w:sz w:val="24"/>
        </w:rPr>
        <w:instrText xml:space="preserve"> PAGEREF _Toc17792 </w:instrText>
      </w:r>
      <w:r>
        <w:rPr>
          <w:sz w:val="24"/>
        </w:rPr>
        <w:fldChar w:fldCharType="separate"/>
      </w:r>
      <w:r>
        <w:rPr>
          <w:sz w:val="24"/>
        </w:rPr>
        <w:t>9</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_Toc4226 </w:instrText>
      </w:r>
      <w:r>
        <w:rPr>
          <w:rFonts w:hint="eastAsia" w:ascii="宋体" w:hAnsi="宋体" w:cs="宋体"/>
          <w:sz w:val="24"/>
        </w:rPr>
        <w:fldChar w:fldCharType="separate"/>
      </w:r>
      <w:r>
        <w:rPr>
          <w:rFonts w:hint="eastAsia" w:hAnsi="宋体" w:cs="宋体"/>
          <w:sz w:val="24"/>
        </w:rPr>
        <w:t>二、投标文件的编制</w:t>
      </w:r>
      <w:r>
        <w:rPr>
          <w:sz w:val="24"/>
        </w:rPr>
        <w:tab/>
      </w:r>
      <w:r>
        <w:rPr>
          <w:sz w:val="24"/>
        </w:rPr>
        <w:fldChar w:fldCharType="begin"/>
      </w:r>
      <w:r>
        <w:rPr>
          <w:sz w:val="24"/>
        </w:rPr>
        <w:instrText xml:space="preserve"> PAGEREF _Toc4226 </w:instrText>
      </w:r>
      <w:r>
        <w:rPr>
          <w:sz w:val="24"/>
        </w:rPr>
        <w:fldChar w:fldCharType="separate"/>
      </w:r>
      <w:r>
        <w:rPr>
          <w:sz w:val="24"/>
        </w:rPr>
        <w:t>10</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_Toc30406 </w:instrText>
      </w:r>
      <w:r>
        <w:rPr>
          <w:rFonts w:hint="eastAsia" w:ascii="宋体" w:hAnsi="宋体" w:cs="宋体"/>
          <w:sz w:val="24"/>
        </w:rPr>
        <w:fldChar w:fldCharType="separate"/>
      </w:r>
      <w:r>
        <w:rPr>
          <w:rFonts w:hint="eastAsia" w:hAnsi="宋体"/>
          <w:sz w:val="24"/>
        </w:rPr>
        <w:t>三、开标</w:t>
      </w:r>
      <w:r>
        <w:rPr>
          <w:sz w:val="24"/>
        </w:rPr>
        <w:tab/>
      </w:r>
      <w:r>
        <w:rPr>
          <w:sz w:val="24"/>
        </w:rPr>
        <w:fldChar w:fldCharType="begin"/>
      </w:r>
      <w:r>
        <w:rPr>
          <w:sz w:val="24"/>
        </w:rPr>
        <w:instrText xml:space="preserve"> PAGEREF _Toc30406 </w:instrText>
      </w:r>
      <w:r>
        <w:rPr>
          <w:sz w:val="24"/>
        </w:rPr>
        <w:fldChar w:fldCharType="separate"/>
      </w:r>
      <w:r>
        <w:rPr>
          <w:sz w:val="24"/>
        </w:rPr>
        <w:t>15</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_Toc26382 </w:instrText>
      </w:r>
      <w:r>
        <w:rPr>
          <w:rFonts w:hint="eastAsia" w:ascii="宋体" w:hAnsi="宋体" w:cs="宋体"/>
          <w:sz w:val="24"/>
        </w:rPr>
        <w:fldChar w:fldCharType="separate"/>
      </w:r>
      <w:r>
        <w:rPr>
          <w:rFonts w:hint="eastAsia" w:hAnsi="宋体"/>
          <w:sz w:val="24"/>
        </w:rPr>
        <w:t>四、评标</w:t>
      </w:r>
      <w:r>
        <w:rPr>
          <w:sz w:val="24"/>
        </w:rPr>
        <w:tab/>
      </w:r>
      <w:r>
        <w:rPr>
          <w:sz w:val="24"/>
        </w:rPr>
        <w:fldChar w:fldCharType="begin"/>
      </w:r>
      <w:r>
        <w:rPr>
          <w:sz w:val="24"/>
        </w:rPr>
        <w:instrText xml:space="preserve"> PAGEREF _Toc26382 </w:instrText>
      </w:r>
      <w:r>
        <w:rPr>
          <w:sz w:val="24"/>
        </w:rPr>
        <w:fldChar w:fldCharType="separate"/>
      </w:r>
      <w:r>
        <w:rPr>
          <w:sz w:val="24"/>
        </w:rPr>
        <w:t>17</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_Toc555 </w:instrText>
      </w:r>
      <w:r>
        <w:rPr>
          <w:rFonts w:hint="eastAsia" w:ascii="宋体" w:hAnsi="宋体" w:cs="宋体"/>
          <w:sz w:val="24"/>
        </w:rPr>
        <w:fldChar w:fldCharType="separate"/>
      </w:r>
      <w:r>
        <w:rPr>
          <w:rFonts w:hint="eastAsia" w:hAnsi="宋体"/>
          <w:sz w:val="24"/>
        </w:rPr>
        <w:t>五、定标</w:t>
      </w:r>
      <w:r>
        <w:rPr>
          <w:sz w:val="24"/>
        </w:rPr>
        <w:tab/>
      </w:r>
      <w:r>
        <w:rPr>
          <w:sz w:val="24"/>
        </w:rPr>
        <w:fldChar w:fldCharType="begin"/>
      </w:r>
      <w:r>
        <w:rPr>
          <w:sz w:val="24"/>
        </w:rPr>
        <w:instrText xml:space="preserve"> PAGEREF _Toc555 </w:instrText>
      </w:r>
      <w:r>
        <w:rPr>
          <w:sz w:val="24"/>
        </w:rPr>
        <w:fldChar w:fldCharType="separate"/>
      </w:r>
      <w:r>
        <w:rPr>
          <w:sz w:val="24"/>
        </w:rPr>
        <w:t>20</w:t>
      </w:r>
      <w:r>
        <w:rPr>
          <w:sz w:val="24"/>
        </w:rPr>
        <w:fldChar w:fldCharType="end"/>
      </w:r>
      <w:r>
        <w:rPr>
          <w:rFonts w:hint="eastAsia" w:ascii="宋体" w:hAnsi="宋体" w:cs="宋体"/>
          <w:sz w:val="24"/>
        </w:rPr>
        <w:fldChar w:fldCharType="end"/>
      </w:r>
    </w:p>
    <w:p>
      <w:pPr>
        <w:pStyle w:val="33"/>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_Toc11622 </w:instrText>
      </w:r>
      <w:r>
        <w:rPr>
          <w:rFonts w:hint="eastAsia" w:ascii="宋体" w:hAnsi="宋体" w:cs="宋体"/>
          <w:sz w:val="24"/>
        </w:rPr>
        <w:fldChar w:fldCharType="separate"/>
      </w:r>
      <w:r>
        <w:rPr>
          <w:rFonts w:hint="eastAsia" w:hAnsi="宋体"/>
          <w:sz w:val="24"/>
        </w:rPr>
        <w:t>第三章 评标办法及评分标准</w:t>
      </w:r>
      <w:r>
        <w:rPr>
          <w:sz w:val="24"/>
        </w:rPr>
        <w:tab/>
      </w:r>
      <w:r>
        <w:rPr>
          <w:sz w:val="24"/>
        </w:rPr>
        <w:fldChar w:fldCharType="begin"/>
      </w:r>
      <w:r>
        <w:rPr>
          <w:sz w:val="24"/>
        </w:rPr>
        <w:instrText xml:space="preserve"> PAGEREF _Toc11622 </w:instrText>
      </w:r>
      <w:r>
        <w:rPr>
          <w:sz w:val="24"/>
        </w:rPr>
        <w:fldChar w:fldCharType="separate"/>
      </w:r>
      <w:r>
        <w:rPr>
          <w:sz w:val="24"/>
        </w:rPr>
        <w:t>23</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_Toc13492 </w:instrText>
      </w:r>
      <w:r>
        <w:rPr>
          <w:rFonts w:hint="eastAsia" w:ascii="宋体" w:hAnsi="宋体" w:cs="宋体"/>
          <w:sz w:val="24"/>
        </w:rPr>
        <w:fldChar w:fldCharType="separate"/>
      </w:r>
      <w:r>
        <w:rPr>
          <w:rFonts w:hint="eastAsia" w:ascii="宋体" w:hAnsi="宋体" w:cs="宋体"/>
          <w:sz w:val="24"/>
        </w:rPr>
        <w:t>一、总则</w:t>
      </w:r>
      <w:r>
        <w:rPr>
          <w:sz w:val="24"/>
        </w:rPr>
        <w:tab/>
      </w:r>
      <w:r>
        <w:rPr>
          <w:sz w:val="24"/>
        </w:rPr>
        <w:fldChar w:fldCharType="begin"/>
      </w:r>
      <w:r>
        <w:rPr>
          <w:sz w:val="24"/>
        </w:rPr>
        <w:instrText xml:space="preserve"> PAGEREF _Toc13492 </w:instrText>
      </w:r>
      <w:r>
        <w:rPr>
          <w:sz w:val="24"/>
        </w:rPr>
        <w:fldChar w:fldCharType="separate"/>
      </w:r>
      <w:r>
        <w:rPr>
          <w:sz w:val="24"/>
        </w:rPr>
        <w:t>23</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_Toc18361 </w:instrText>
      </w:r>
      <w:r>
        <w:rPr>
          <w:rFonts w:hint="eastAsia" w:ascii="宋体" w:hAnsi="宋体" w:cs="宋体"/>
          <w:sz w:val="24"/>
        </w:rPr>
        <w:fldChar w:fldCharType="separate"/>
      </w:r>
      <w:r>
        <w:rPr>
          <w:rFonts w:hint="eastAsia" w:ascii="宋体" w:hAnsi="宋体" w:cs="宋体"/>
          <w:bCs/>
          <w:sz w:val="24"/>
        </w:rPr>
        <w:t>二、分值的计算</w:t>
      </w:r>
      <w:r>
        <w:rPr>
          <w:sz w:val="24"/>
        </w:rPr>
        <w:tab/>
      </w:r>
      <w:r>
        <w:rPr>
          <w:sz w:val="24"/>
        </w:rPr>
        <w:fldChar w:fldCharType="begin"/>
      </w:r>
      <w:r>
        <w:rPr>
          <w:sz w:val="24"/>
        </w:rPr>
        <w:instrText xml:space="preserve"> PAGEREF _Toc18361 </w:instrText>
      </w:r>
      <w:r>
        <w:rPr>
          <w:sz w:val="24"/>
        </w:rPr>
        <w:fldChar w:fldCharType="separate"/>
      </w:r>
      <w:r>
        <w:rPr>
          <w:sz w:val="24"/>
        </w:rPr>
        <w:t>23</w:t>
      </w:r>
      <w:r>
        <w:rPr>
          <w:sz w:val="24"/>
        </w:rPr>
        <w:fldChar w:fldCharType="end"/>
      </w:r>
      <w:r>
        <w:rPr>
          <w:rFonts w:hint="eastAsia" w:ascii="宋体" w:hAnsi="宋体" w:cs="宋体"/>
          <w:sz w:val="24"/>
        </w:rPr>
        <w:fldChar w:fldCharType="end"/>
      </w:r>
    </w:p>
    <w:p>
      <w:pPr>
        <w:pStyle w:val="39"/>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_Toc2059 </w:instrText>
      </w:r>
      <w:r>
        <w:rPr>
          <w:rFonts w:hint="eastAsia" w:ascii="宋体" w:hAnsi="宋体" w:cs="宋体"/>
          <w:sz w:val="24"/>
        </w:rPr>
        <w:fldChar w:fldCharType="separate"/>
      </w:r>
      <w:r>
        <w:rPr>
          <w:rFonts w:hint="eastAsia" w:ascii="宋体" w:hAnsi="宋体" w:cs="宋体"/>
          <w:sz w:val="24"/>
        </w:rPr>
        <w:t>三、评审内容及标准</w:t>
      </w:r>
      <w:r>
        <w:rPr>
          <w:sz w:val="24"/>
        </w:rPr>
        <w:tab/>
      </w:r>
      <w:r>
        <w:rPr>
          <w:sz w:val="24"/>
        </w:rPr>
        <w:fldChar w:fldCharType="begin"/>
      </w:r>
      <w:r>
        <w:rPr>
          <w:sz w:val="24"/>
        </w:rPr>
        <w:instrText xml:space="preserve"> PAGEREF _Toc2059 </w:instrText>
      </w:r>
      <w:r>
        <w:rPr>
          <w:sz w:val="24"/>
        </w:rPr>
        <w:fldChar w:fldCharType="separate"/>
      </w:r>
      <w:r>
        <w:rPr>
          <w:sz w:val="24"/>
        </w:rPr>
        <w:t>23</w:t>
      </w:r>
      <w:r>
        <w:rPr>
          <w:sz w:val="24"/>
        </w:rPr>
        <w:fldChar w:fldCharType="end"/>
      </w:r>
      <w:r>
        <w:rPr>
          <w:rFonts w:hint="eastAsia" w:ascii="宋体" w:hAnsi="宋体" w:cs="宋体"/>
          <w:sz w:val="24"/>
        </w:rPr>
        <w:fldChar w:fldCharType="end"/>
      </w:r>
    </w:p>
    <w:p>
      <w:pPr>
        <w:pStyle w:val="33"/>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_Toc15967 </w:instrText>
      </w:r>
      <w:r>
        <w:rPr>
          <w:rFonts w:hint="eastAsia" w:ascii="宋体" w:hAnsi="宋体" w:cs="宋体"/>
          <w:sz w:val="24"/>
        </w:rPr>
        <w:fldChar w:fldCharType="separate"/>
      </w:r>
      <w:r>
        <w:rPr>
          <w:rFonts w:hint="eastAsia" w:ascii="宋体" w:hAnsi="宋体"/>
          <w:sz w:val="24"/>
        </w:rPr>
        <w:t>第四章  采购需求</w:t>
      </w:r>
      <w:r>
        <w:rPr>
          <w:sz w:val="24"/>
        </w:rPr>
        <w:tab/>
      </w:r>
      <w:r>
        <w:rPr>
          <w:sz w:val="24"/>
        </w:rPr>
        <w:fldChar w:fldCharType="begin"/>
      </w:r>
      <w:r>
        <w:rPr>
          <w:sz w:val="24"/>
        </w:rPr>
        <w:instrText xml:space="preserve"> PAGEREF _Toc15967 </w:instrText>
      </w:r>
      <w:r>
        <w:rPr>
          <w:sz w:val="24"/>
        </w:rPr>
        <w:fldChar w:fldCharType="separate"/>
      </w:r>
      <w:r>
        <w:rPr>
          <w:sz w:val="24"/>
        </w:rPr>
        <w:t>25</w:t>
      </w:r>
      <w:r>
        <w:rPr>
          <w:sz w:val="24"/>
        </w:rPr>
        <w:fldChar w:fldCharType="end"/>
      </w:r>
      <w:r>
        <w:rPr>
          <w:rFonts w:hint="eastAsia" w:ascii="宋体" w:hAnsi="宋体" w:cs="宋体"/>
          <w:sz w:val="24"/>
        </w:rPr>
        <w:fldChar w:fldCharType="end"/>
      </w:r>
    </w:p>
    <w:p>
      <w:pPr>
        <w:pStyle w:val="33"/>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_Toc11815 </w:instrText>
      </w:r>
      <w:r>
        <w:rPr>
          <w:rFonts w:hint="eastAsia" w:ascii="宋体" w:hAnsi="宋体" w:cs="宋体"/>
          <w:sz w:val="24"/>
        </w:rPr>
        <w:fldChar w:fldCharType="separate"/>
      </w:r>
      <w:r>
        <w:rPr>
          <w:rFonts w:hint="eastAsia" w:ascii="宋体" w:hAnsi="宋体"/>
          <w:bCs/>
          <w:sz w:val="24"/>
        </w:rPr>
        <w:t>第五章</w:t>
      </w:r>
      <w:r>
        <w:rPr>
          <w:rFonts w:ascii="宋体" w:hAnsi="宋体"/>
          <w:bCs/>
          <w:sz w:val="24"/>
        </w:rPr>
        <w:t xml:space="preserve">  </w:t>
      </w:r>
      <w:r>
        <w:rPr>
          <w:rFonts w:hint="eastAsia" w:ascii="宋体" w:hAnsi="宋体"/>
          <w:bCs/>
          <w:sz w:val="24"/>
        </w:rPr>
        <w:t>政府采购合同主要条款指引</w:t>
      </w:r>
      <w:r>
        <w:rPr>
          <w:sz w:val="24"/>
        </w:rPr>
        <w:tab/>
      </w:r>
      <w:r>
        <w:rPr>
          <w:sz w:val="24"/>
        </w:rPr>
        <w:fldChar w:fldCharType="begin"/>
      </w:r>
      <w:r>
        <w:rPr>
          <w:sz w:val="24"/>
        </w:rPr>
        <w:instrText xml:space="preserve"> PAGEREF _Toc11815 </w:instrText>
      </w:r>
      <w:r>
        <w:rPr>
          <w:sz w:val="24"/>
        </w:rPr>
        <w:fldChar w:fldCharType="separate"/>
      </w:r>
      <w:r>
        <w:rPr>
          <w:sz w:val="24"/>
        </w:rPr>
        <w:t>28</w:t>
      </w:r>
      <w:r>
        <w:rPr>
          <w:sz w:val="24"/>
        </w:rPr>
        <w:fldChar w:fldCharType="end"/>
      </w:r>
      <w:r>
        <w:rPr>
          <w:rFonts w:hint="eastAsia" w:ascii="宋体" w:hAnsi="宋体" w:cs="宋体"/>
          <w:sz w:val="24"/>
        </w:rPr>
        <w:fldChar w:fldCharType="end"/>
      </w:r>
    </w:p>
    <w:p>
      <w:pPr>
        <w:pStyle w:val="33"/>
        <w:tabs>
          <w:tab w:val="right" w:leader="dot" w:pos="9864"/>
        </w:tabs>
        <w:rPr>
          <w:sz w:val="24"/>
        </w:rPr>
      </w:pPr>
      <w:r>
        <w:rPr>
          <w:rFonts w:hint="eastAsia" w:ascii="宋体" w:hAnsi="宋体" w:cs="宋体"/>
          <w:sz w:val="24"/>
        </w:rPr>
        <w:fldChar w:fldCharType="begin"/>
      </w:r>
      <w:r>
        <w:rPr>
          <w:rFonts w:hint="eastAsia" w:ascii="宋体" w:hAnsi="宋体" w:cs="宋体"/>
          <w:sz w:val="24"/>
        </w:rPr>
        <w:instrText xml:space="preserve"> HYPERLINK \l _Toc30768 </w:instrText>
      </w:r>
      <w:r>
        <w:rPr>
          <w:rFonts w:hint="eastAsia" w:ascii="宋体" w:hAnsi="宋体" w:cs="宋体"/>
          <w:sz w:val="24"/>
        </w:rPr>
        <w:fldChar w:fldCharType="separate"/>
      </w:r>
      <w:r>
        <w:rPr>
          <w:rFonts w:hint="eastAsia" w:hAnsi="宋体"/>
          <w:sz w:val="24"/>
        </w:rPr>
        <w:t>第六章   投标文件的格式</w:t>
      </w:r>
      <w:r>
        <w:rPr>
          <w:sz w:val="24"/>
        </w:rPr>
        <w:tab/>
      </w:r>
      <w:r>
        <w:rPr>
          <w:sz w:val="24"/>
        </w:rPr>
        <w:fldChar w:fldCharType="begin"/>
      </w:r>
      <w:r>
        <w:rPr>
          <w:sz w:val="24"/>
        </w:rPr>
        <w:instrText xml:space="preserve"> PAGEREF _Toc30768 </w:instrText>
      </w:r>
      <w:r>
        <w:rPr>
          <w:sz w:val="24"/>
        </w:rPr>
        <w:fldChar w:fldCharType="separate"/>
      </w:r>
      <w:r>
        <w:rPr>
          <w:sz w:val="24"/>
        </w:rPr>
        <w:t>31</w:t>
      </w:r>
      <w:r>
        <w:rPr>
          <w:sz w:val="24"/>
        </w:rPr>
        <w:fldChar w:fldCharType="end"/>
      </w:r>
      <w:r>
        <w:rPr>
          <w:rFonts w:hint="eastAsia" w:ascii="宋体" w:hAnsi="宋体" w:cs="宋体"/>
          <w:sz w:val="24"/>
        </w:rPr>
        <w:fldChar w:fldCharType="end"/>
      </w:r>
    </w:p>
    <w:p>
      <w:pPr>
        <w:rPr>
          <w:rFonts w:hint="eastAsia" w:ascii="宋体" w:hAnsi="宋体"/>
        </w:rPr>
      </w:pPr>
      <w:r>
        <w:rPr>
          <w:rFonts w:hint="eastAsia" w:ascii="宋体" w:hAnsi="宋体" w:cs="宋体"/>
          <w:sz w:val="24"/>
        </w:rPr>
        <w:fldChar w:fldCharType="end"/>
      </w:r>
    </w:p>
    <w:p>
      <w:pPr>
        <w:rPr>
          <w:rFonts w:hint="eastAsia" w:ascii="宋体" w:hAnsi="宋体"/>
        </w:rPr>
      </w:pPr>
    </w:p>
    <w:p>
      <w:pPr>
        <w:pStyle w:val="231"/>
        <w:spacing w:after="120" w:afterLines="0"/>
        <w:jc w:val="both"/>
        <w:rPr>
          <w:rFonts w:hint="eastAsia" w:hAnsi="宋体"/>
          <w:sz w:val="36"/>
          <w:szCs w:val="36"/>
        </w:rPr>
      </w:pPr>
      <w:bookmarkStart w:id="1" w:name="_Toc10136"/>
      <w:bookmarkStart w:id="2" w:name="_Toc32474"/>
      <w:bookmarkStart w:id="3" w:name="_Toc773"/>
      <w:bookmarkStart w:id="4" w:name="_Toc29119"/>
      <w:r>
        <w:rPr>
          <w:rFonts w:hint="eastAsia" w:hAnsi="宋体"/>
          <w:sz w:val="36"/>
          <w:szCs w:val="36"/>
        </w:rPr>
        <w:t xml:space="preserve">               </w:t>
      </w:r>
      <w:bookmarkStart w:id="5" w:name="_Toc7573"/>
      <w:bookmarkStart w:id="6" w:name="_Toc32159"/>
    </w:p>
    <w:p>
      <w:pPr>
        <w:pStyle w:val="231"/>
        <w:spacing w:after="120" w:afterLines="0"/>
        <w:jc w:val="both"/>
        <w:rPr>
          <w:rFonts w:hint="eastAsia" w:hAnsi="宋体"/>
          <w:sz w:val="36"/>
          <w:szCs w:val="36"/>
        </w:rPr>
      </w:pPr>
    </w:p>
    <w:p>
      <w:pPr>
        <w:pStyle w:val="231"/>
        <w:spacing w:after="120" w:afterLines="0"/>
        <w:jc w:val="both"/>
        <w:rPr>
          <w:rFonts w:hint="eastAsia" w:hAnsi="宋体"/>
          <w:sz w:val="36"/>
          <w:szCs w:val="36"/>
        </w:rPr>
      </w:pPr>
    </w:p>
    <w:bookmarkEnd w:id="0"/>
    <w:bookmarkEnd w:id="1"/>
    <w:bookmarkEnd w:id="2"/>
    <w:bookmarkEnd w:id="3"/>
    <w:bookmarkEnd w:id="4"/>
    <w:bookmarkEnd w:id="5"/>
    <w:bookmarkEnd w:id="6"/>
    <w:p>
      <w:pPr>
        <w:pStyle w:val="231"/>
        <w:spacing w:after="120" w:afterLines="0"/>
        <w:jc w:val="both"/>
        <w:rPr>
          <w:rFonts w:hint="eastAsia" w:hAnsi="宋体"/>
          <w:sz w:val="36"/>
          <w:szCs w:val="36"/>
        </w:rPr>
      </w:pPr>
      <w:bookmarkStart w:id="7" w:name="_Toc10989"/>
    </w:p>
    <w:p>
      <w:pPr>
        <w:pStyle w:val="231"/>
        <w:spacing w:after="120" w:afterLines="0"/>
        <w:jc w:val="center"/>
        <w:rPr>
          <w:rFonts w:hint="eastAsia" w:hAnsi="宋体"/>
          <w:sz w:val="36"/>
          <w:szCs w:val="36"/>
        </w:rPr>
      </w:pPr>
    </w:p>
    <w:bookmarkEnd w:id="7"/>
    <w:p>
      <w:pPr>
        <w:pStyle w:val="188"/>
        <w:widowControl w:val="0"/>
        <w:spacing w:after="120" w:afterLines="0" w:line="400" w:lineRule="exact"/>
        <w:ind w:firstLine="480"/>
        <w:rPr>
          <w:rFonts w:hint="eastAsia" w:ascii="宋体" w:hAnsi="宋体"/>
          <w:szCs w:val="24"/>
        </w:rPr>
      </w:pPr>
    </w:p>
    <w:p>
      <w:pPr>
        <w:pStyle w:val="231"/>
        <w:spacing w:after="120" w:afterLines="0"/>
        <w:jc w:val="both"/>
        <w:rPr>
          <w:rFonts w:hint="eastAsia" w:hAnsi="宋体"/>
          <w:sz w:val="36"/>
          <w:szCs w:val="36"/>
        </w:rPr>
      </w:pPr>
    </w:p>
    <w:p>
      <w:pPr>
        <w:pStyle w:val="43"/>
        <w:spacing w:line="400" w:lineRule="exact"/>
        <w:outlineLvl w:val="1"/>
        <w:rPr>
          <w:rFonts w:hint="eastAsia"/>
          <w:b/>
          <w:color w:val="auto"/>
          <w:kern w:val="2"/>
        </w:rPr>
      </w:pPr>
    </w:p>
    <w:p>
      <w:pPr>
        <w:pStyle w:val="43"/>
        <w:spacing w:line="400" w:lineRule="exact"/>
        <w:outlineLvl w:val="1"/>
        <w:rPr>
          <w:rFonts w:hint="eastAsia"/>
          <w:b/>
          <w:color w:val="auto"/>
          <w:kern w:val="2"/>
        </w:rPr>
      </w:pPr>
    </w:p>
    <w:p>
      <w:pPr>
        <w:pStyle w:val="43"/>
        <w:spacing w:line="400" w:lineRule="exact"/>
        <w:outlineLvl w:val="1"/>
        <w:rPr>
          <w:rFonts w:hint="eastAsia"/>
          <w:b/>
          <w:color w:val="auto"/>
          <w:kern w:val="2"/>
        </w:rPr>
      </w:pPr>
    </w:p>
    <w:p>
      <w:pPr>
        <w:pStyle w:val="231"/>
        <w:spacing w:after="120" w:afterLines="0"/>
        <w:jc w:val="center"/>
        <w:rPr>
          <w:rFonts w:hint="eastAsia" w:hAnsi="宋体"/>
          <w:szCs w:val="24"/>
        </w:rPr>
      </w:pPr>
      <w:bookmarkStart w:id="8" w:name="_Toc25711"/>
      <w:r>
        <w:rPr>
          <w:rFonts w:hint="eastAsia" w:hAnsi="宋体"/>
          <w:sz w:val="36"/>
          <w:szCs w:val="36"/>
        </w:rPr>
        <w:t>第一章</w:t>
      </w:r>
      <w:r>
        <w:rPr>
          <w:rFonts w:hAnsi="宋体"/>
          <w:sz w:val="36"/>
          <w:szCs w:val="36"/>
        </w:rPr>
        <w:t xml:space="preserve">  </w:t>
      </w:r>
      <w:r>
        <w:rPr>
          <w:rFonts w:hint="eastAsia" w:hAnsi="宋体"/>
          <w:sz w:val="36"/>
          <w:szCs w:val="36"/>
        </w:rPr>
        <w:t>招标公告</w:t>
      </w:r>
      <w:bookmarkEnd w:id="8"/>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0" w:type="dxa"/>
            <w:noWrap w:val="0"/>
            <w:vAlign w:val="top"/>
          </w:tcPr>
          <w:p>
            <w:pPr>
              <w:pStyle w:val="43"/>
              <w:spacing w:beforeAutospacing="1" w:afterAutospacing="1"/>
              <w:rPr>
                <w:rFonts w:hint="eastAsia"/>
                <w:color w:val="auto"/>
              </w:rPr>
            </w:pPr>
            <w:r>
              <w:rPr>
                <w:rFonts w:hint="eastAsia"/>
                <w:color w:val="auto"/>
              </w:rPr>
              <w:t>项目概况</w:t>
            </w:r>
          </w:p>
          <w:p>
            <w:pPr>
              <w:pStyle w:val="43"/>
              <w:spacing w:beforeAutospacing="1" w:afterAutospacing="1"/>
              <w:ind w:firstLine="480" w:firstLineChars="200"/>
              <w:rPr>
                <w:rFonts w:hint="eastAsia"/>
                <w:color w:val="auto"/>
              </w:rPr>
            </w:pPr>
            <w:r>
              <w:rPr>
                <w:rFonts w:hint="eastAsia"/>
                <w:color w:val="auto"/>
                <w:u w:val="single"/>
                <w:lang w:eastAsia="zh-CN"/>
              </w:rPr>
              <w:t>嵊州市崇仁镇人民政府安保服务等采购项目</w:t>
            </w:r>
            <w:r>
              <w:rPr>
                <w:rFonts w:hint="eastAsia"/>
                <w:color w:val="auto"/>
                <w:u w:val="single"/>
              </w:rPr>
              <w:t> </w:t>
            </w:r>
            <w:r>
              <w:rPr>
                <w:rFonts w:hint="eastAsia"/>
                <w:color w:val="auto"/>
              </w:rPr>
              <w:t>招标项目的潜在投标人应在</w:t>
            </w:r>
            <w:r>
              <w:rPr>
                <w:rFonts w:hint="eastAsia"/>
                <w:color w:val="auto"/>
                <w:u w:val="single"/>
              </w:rPr>
              <w:t> 政府采购云平台（</w:t>
            </w:r>
            <w:r>
              <w:rPr>
                <w:rFonts w:hint="eastAsia"/>
                <w:color w:val="auto"/>
                <w:u w:val="single"/>
              </w:rPr>
              <w:fldChar w:fldCharType="begin"/>
            </w:r>
            <w:r>
              <w:rPr>
                <w:rFonts w:hint="eastAsia"/>
                <w:color w:val="auto"/>
                <w:u w:val="single"/>
              </w:rPr>
              <w:instrText xml:space="preserve"> HYPERLINK "http://zfcg.czt.zj.gov.cn/" </w:instrText>
            </w:r>
            <w:r>
              <w:rPr>
                <w:rFonts w:hint="eastAsia"/>
                <w:color w:val="auto"/>
                <w:u w:val="single"/>
              </w:rPr>
              <w:fldChar w:fldCharType="separate"/>
            </w:r>
            <w:r>
              <w:rPr>
                <w:rFonts w:hint="eastAsia"/>
                <w:color w:val="auto"/>
                <w:u w:val="single"/>
              </w:rPr>
              <w:t>http://zfcg.czt.zj.gov.cn/</w:t>
            </w:r>
            <w:r>
              <w:rPr>
                <w:rFonts w:hint="eastAsia"/>
                <w:color w:val="auto"/>
                <w:u w:val="single"/>
              </w:rPr>
              <w:fldChar w:fldCharType="end"/>
            </w:r>
            <w:r>
              <w:rPr>
                <w:rFonts w:hint="eastAsia"/>
                <w:color w:val="auto"/>
                <w:u w:val="single"/>
              </w:rPr>
              <w:t>） </w:t>
            </w:r>
            <w:r>
              <w:rPr>
                <w:rFonts w:hint="eastAsia"/>
                <w:color w:val="auto"/>
              </w:rPr>
              <w:t>获取（下载）招标文件，并于</w:t>
            </w:r>
            <w:r>
              <w:rPr>
                <w:rFonts w:hint="eastAsia"/>
                <w:color w:val="auto"/>
                <w:u w:val="single"/>
              </w:rPr>
              <w:t> </w:t>
            </w:r>
            <w:r>
              <w:rPr>
                <w:rFonts w:hint="eastAsia"/>
                <w:color w:val="auto"/>
                <w:u w:val="single"/>
                <w:lang w:eastAsia="zh-CN"/>
              </w:rPr>
              <w:t>2021</w:t>
            </w:r>
            <w:r>
              <w:rPr>
                <w:rFonts w:hint="eastAsia"/>
                <w:color w:val="auto"/>
                <w:u w:val="single"/>
              </w:rPr>
              <w:t>年</w:t>
            </w:r>
            <w:r>
              <w:rPr>
                <w:rFonts w:hint="eastAsia"/>
                <w:color w:val="auto"/>
                <w:u w:val="single"/>
                <w:lang w:val="en-US" w:eastAsia="zh-CN"/>
              </w:rPr>
              <w:t>4</w:t>
            </w:r>
            <w:r>
              <w:rPr>
                <w:rFonts w:hint="eastAsia"/>
                <w:color w:val="auto"/>
                <w:u w:val="single"/>
              </w:rPr>
              <w:t>月</w:t>
            </w:r>
            <w:r>
              <w:rPr>
                <w:rFonts w:hint="eastAsia"/>
                <w:color w:val="auto"/>
                <w:u w:val="single"/>
                <w:lang w:val="en-US" w:eastAsia="zh-CN"/>
              </w:rPr>
              <w:t>29</w:t>
            </w:r>
            <w:r>
              <w:rPr>
                <w:rFonts w:hint="eastAsia"/>
                <w:color w:val="auto"/>
                <w:u w:val="single"/>
              </w:rPr>
              <w:t>日 09:00 </w:t>
            </w:r>
            <w:r>
              <w:rPr>
                <w:rFonts w:hint="eastAsia"/>
                <w:color w:val="auto"/>
              </w:rPr>
              <w:t>（北京时间）前递交（上传）投标文件。</w:t>
            </w:r>
          </w:p>
        </w:tc>
      </w:tr>
    </w:tbl>
    <w:p>
      <w:pPr>
        <w:pStyle w:val="43"/>
        <w:spacing w:line="400" w:lineRule="exact"/>
        <w:outlineLvl w:val="1"/>
        <w:rPr>
          <w:rFonts w:hint="eastAsia"/>
          <w:b/>
          <w:color w:val="auto"/>
          <w:kern w:val="2"/>
        </w:rPr>
      </w:pPr>
    </w:p>
    <w:p>
      <w:pPr>
        <w:pStyle w:val="43"/>
        <w:spacing w:line="400" w:lineRule="exact"/>
        <w:outlineLvl w:val="1"/>
        <w:rPr>
          <w:b/>
          <w:color w:val="auto"/>
          <w:kern w:val="2"/>
        </w:rPr>
      </w:pPr>
      <w:bookmarkStart w:id="9" w:name="_Toc17989"/>
      <w:r>
        <w:rPr>
          <w:rFonts w:hint="eastAsia"/>
          <w:b/>
          <w:color w:val="auto"/>
          <w:kern w:val="2"/>
        </w:rPr>
        <w:t>一、</w:t>
      </w:r>
      <w:r>
        <w:rPr>
          <w:b/>
          <w:color w:val="auto"/>
          <w:kern w:val="2"/>
        </w:rPr>
        <w:t>项目基本情况</w:t>
      </w:r>
      <w:bookmarkEnd w:id="9"/>
    </w:p>
    <w:p>
      <w:pPr>
        <w:pStyle w:val="43"/>
        <w:spacing w:line="400" w:lineRule="exact"/>
        <w:ind w:firstLine="480" w:firstLineChars="200"/>
        <w:rPr>
          <w:rFonts w:hint="eastAsia"/>
          <w:bCs/>
          <w:color w:val="auto"/>
          <w:kern w:val="2"/>
        </w:rPr>
      </w:pPr>
      <w:r>
        <w:rPr>
          <w:rFonts w:hint="eastAsia"/>
          <w:bCs/>
          <w:color w:val="auto"/>
          <w:kern w:val="2"/>
        </w:rPr>
        <w:t>1.项目编号：</w:t>
      </w:r>
      <w:r>
        <w:rPr>
          <w:rFonts w:hint="eastAsia"/>
          <w:bCs/>
          <w:color w:val="auto"/>
          <w:kern w:val="2"/>
          <w:lang w:eastAsia="zh-CN"/>
        </w:rPr>
        <w:t>SZLB-202112WLM</w:t>
      </w:r>
      <w:r>
        <w:rPr>
          <w:rFonts w:hint="eastAsia"/>
          <w:bCs/>
          <w:color w:val="auto"/>
          <w:kern w:val="2"/>
        </w:rPr>
        <w:t xml:space="preserve">  </w:t>
      </w:r>
    </w:p>
    <w:p>
      <w:pPr>
        <w:pStyle w:val="43"/>
        <w:spacing w:line="400" w:lineRule="exact"/>
        <w:rPr>
          <w:rFonts w:hint="eastAsia"/>
          <w:bCs/>
          <w:color w:val="auto"/>
          <w:kern w:val="2"/>
        </w:rPr>
      </w:pPr>
      <w:r>
        <w:rPr>
          <w:rFonts w:hint="eastAsia"/>
          <w:bCs/>
          <w:color w:val="auto"/>
          <w:kern w:val="2"/>
        </w:rPr>
        <w:t>   2.项目名称：</w:t>
      </w:r>
      <w:r>
        <w:rPr>
          <w:rFonts w:hint="eastAsia"/>
          <w:bCs/>
          <w:color w:val="auto"/>
          <w:kern w:val="2"/>
          <w:lang w:eastAsia="zh-CN"/>
        </w:rPr>
        <w:t>嵊州市崇仁镇人民政府安保服务等采购项目</w:t>
      </w:r>
      <w:r>
        <w:rPr>
          <w:rFonts w:hint="eastAsia"/>
          <w:bCs/>
          <w:color w:val="auto"/>
          <w:kern w:val="2"/>
        </w:rPr>
        <w:t> </w:t>
      </w:r>
    </w:p>
    <w:p>
      <w:pPr>
        <w:pStyle w:val="43"/>
        <w:spacing w:line="400" w:lineRule="exact"/>
        <w:rPr>
          <w:rFonts w:hint="eastAsia"/>
          <w:bCs/>
          <w:color w:val="auto"/>
          <w:kern w:val="2"/>
        </w:rPr>
      </w:pPr>
      <w:r>
        <w:rPr>
          <w:rFonts w:hint="eastAsia"/>
          <w:bCs/>
          <w:color w:val="auto"/>
          <w:kern w:val="2"/>
        </w:rPr>
        <w:t>   3.预算金额（元）：</w:t>
      </w:r>
      <w:r>
        <w:rPr>
          <w:rFonts w:hint="eastAsia"/>
          <w:bCs/>
          <w:color w:val="auto"/>
          <w:kern w:val="2"/>
          <w:u w:val="single"/>
          <w:lang w:val="en-US" w:eastAsia="zh-CN"/>
        </w:rPr>
        <w:t>7</w:t>
      </w:r>
      <w:r>
        <w:rPr>
          <w:rFonts w:hint="eastAsia"/>
          <w:bCs/>
          <w:color w:val="auto"/>
          <w:kern w:val="2"/>
          <w:u w:val="single"/>
          <w:lang w:val="en-US" w:eastAsia="zh-CN"/>
        </w:rPr>
        <w:t>700000</w:t>
      </w:r>
      <w:r>
        <w:rPr>
          <w:rFonts w:hint="eastAsia"/>
          <w:bCs/>
          <w:color w:val="auto"/>
          <w:kern w:val="2"/>
          <w:u w:val="single"/>
        </w:rPr>
        <w:t>.00 </w:t>
      </w:r>
    </w:p>
    <w:p>
      <w:pPr>
        <w:pStyle w:val="43"/>
        <w:spacing w:line="400" w:lineRule="exact"/>
        <w:rPr>
          <w:rFonts w:hint="eastAsia"/>
          <w:bCs/>
          <w:color w:val="auto"/>
          <w:kern w:val="2"/>
        </w:rPr>
      </w:pPr>
      <w:r>
        <w:rPr>
          <w:rFonts w:hint="eastAsia"/>
          <w:bCs/>
          <w:color w:val="auto"/>
          <w:kern w:val="2"/>
        </w:rPr>
        <w:t>   4.最高限价（元）：</w:t>
      </w:r>
      <w:r>
        <w:rPr>
          <w:rFonts w:hint="eastAsia"/>
          <w:bCs/>
          <w:color w:val="auto"/>
          <w:kern w:val="2"/>
          <w:u w:val="single"/>
          <w:lang w:val="en-US" w:eastAsia="zh-CN"/>
        </w:rPr>
        <w:t>7</w:t>
      </w:r>
      <w:r>
        <w:rPr>
          <w:rFonts w:hint="eastAsia"/>
          <w:bCs/>
          <w:color w:val="auto"/>
          <w:kern w:val="2"/>
          <w:u w:val="single"/>
          <w:lang w:val="en-US" w:eastAsia="zh-CN"/>
        </w:rPr>
        <w:t>700000</w:t>
      </w:r>
      <w:r>
        <w:rPr>
          <w:rFonts w:hint="eastAsia"/>
          <w:bCs/>
          <w:color w:val="auto"/>
          <w:kern w:val="2"/>
          <w:u w:val="single"/>
        </w:rPr>
        <w:t>.00 </w:t>
      </w:r>
    </w:p>
    <w:p>
      <w:pPr>
        <w:pStyle w:val="43"/>
        <w:spacing w:line="400" w:lineRule="exact"/>
        <w:rPr>
          <w:rFonts w:hint="eastAsia"/>
          <w:bCs/>
          <w:color w:val="auto"/>
          <w:kern w:val="2"/>
        </w:rPr>
      </w:pPr>
      <w:r>
        <w:rPr>
          <w:rFonts w:hint="eastAsia"/>
          <w:bCs/>
          <w:color w:val="auto"/>
          <w:kern w:val="2"/>
        </w:rPr>
        <w:t>   5.采购需求：                             </w:t>
      </w:r>
    </w:p>
    <w:tbl>
      <w:tblPr>
        <w:tblStyle w:val="47"/>
        <w:tblW w:w="5000" w:type="pct"/>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60"/>
        <w:gridCol w:w="2816"/>
        <w:gridCol w:w="840"/>
        <w:gridCol w:w="916"/>
        <w:gridCol w:w="1379"/>
        <w:gridCol w:w="1560"/>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95" w:type="pct"/>
            <w:noWrap w:val="0"/>
            <w:tcMar>
              <w:top w:w="75" w:type="dxa"/>
              <w:left w:w="150" w:type="dxa"/>
              <w:bottom w:w="75" w:type="dxa"/>
              <w:right w:w="150" w:type="dxa"/>
            </w:tcMar>
            <w:vAlign w:val="center"/>
          </w:tcPr>
          <w:p>
            <w:pPr>
              <w:widowControl/>
              <w:wordWrap w:val="0"/>
              <w:spacing w:line="400" w:lineRule="exact"/>
              <w:jc w:val="center"/>
              <w:rPr>
                <w:rFonts w:hint="eastAsia" w:ascii="宋体" w:hAnsi="宋体" w:cs="宋体"/>
                <w:bCs/>
                <w:color w:val="auto"/>
                <w:sz w:val="24"/>
              </w:rPr>
            </w:pPr>
            <w:r>
              <w:rPr>
                <w:rFonts w:hint="eastAsia" w:ascii="宋体" w:hAnsi="宋体" w:cs="宋体"/>
                <w:bCs/>
                <w:color w:val="auto"/>
                <w:sz w:val="24"/>
              </w:rPr>
              <w:t>标项序号</w:t>
            </w:r>
          </w:p>
        </w:tc>
        <w:tc>
          <w:tcPr>
            <w:tcW w:w="1359" w:type="pct"/>
            <w:noWrap w:val="0"/>
            <w:tcMar>
              <w:top w:w="75" w:type="dxa"/>
              <w:left w:w="150" w:type="dxa"/>
              <w:bottom w:w="75" w:type="dxa"/>
              <w:right w:w="150" w:type="dxa"/>
            </w:tcMar>
            <w:vAlign w:val="center"/>
          </w:tcPr>
          <w:p>
            <w:pPr>
              <w:widowControl/>
              <w:wordWrap w:val="0"/>
              <w:spacing w:line="400" w:lineRule="exact"/>
              <w:jc w:val="center"/>
              <w:rPr>
                <w:rFonts w:hint="eastAsia" w:ascii="宋体" w:hAnsi="宋体" w:cs="宋体"/>
                <w:bCs/>
                <w:color w:val="auto"/>
                <w:sz w:val="24"/>
              </w:rPr>
            </w:pPr>
            <w:r>
              <w:rPr>
                <w:rFonts w:hint="eastAsia" w:ascii="宋体" w:hAnsi="宋体" w:cs="宋体"/>
                <w:bCs/>
                <w:color w:val="auto"/>
                <w:sz w:val="24"/>
              </w:rPr>
              <w:t>标项名称</w:t>
            </w:r>
          </w:p>
        </w:tc>
        <w:tc>
          <w:tcPr>
            <w:tcW w:w="395" w:type="pct"/>
            <w:noWrap w:val="0"/>
            <w:tcMar>
              <w:top w:w="75" w:type="dxa"/>
              <w:left w:w="150" w:type="dxa"/>
              <w:bottom w:w="75" w:type="dxa"/>
              <w:right w:w="150" w:type="dxa"/>
            </w:tcMar>
            <w:vAlign w:val="center"/>
          </w:tcPr>
          <w:p>
            <w:pPr>
              <w:widowControl/>
              <w:wordWrap w:val="0"/>
              <w:spacing w:line="400" w:lineRule="exact"/>
              <w:jc w:val="center"/>
              <w:rPr>
                <w:rFonts w:hint="eastAsia" w:ascii="宋体" w:hAnsi="宋体" w:cs="宋体"/>
                <w:bCs/>
                <w:color w:val="auto"/>
                <w:sz w:val="24"/>
              </w:rPr>
            </w:pPr>
            <w:r>
              <w:rPr>
                <w:rFonts w:hint="eastAsia" w:ascii="宋体" w:hAnsi="宋体" w:cs="宋体"/>
                <w:bCs/>
                <w:color w:val="auto"/>
                <w:sz w:val="24"/>
              </w:rPr>
              <w:t>数量</w:t>
            </w:r>
          </w:p>
        </w:tc>
        <w:tc>
          <w:tcPr>
            <w:tcW w:w="432" w:type="pct"/>
            <w:noWrap w:val="0"/>
            <w:tcMar>
              <w:top w:w="75" w:type="dxa"/>
              <w:left w:w="150" w:type="dxa"/>
              <w:bottom w:w="75" w:type="dxa"/>
              <w:right w:w="150" w:type="dxa"/>
            </w:tcMar>
            <w:vAlign w:val="center"/>
          </w:tcPr>
          <w:p>
            <w:pPr>
              <w:widowControl/>
              <w:wordWrap w:val="0"/>
              <w:spacing w:line="400" w:lineRule="exact"/>
              <w:jc w:val="center"/>
              <w:rPr>
                <w:rFonts w:ascii="宋体" w:hAnsi="宋体" w:cs="宋体"/>
                <w:bCs/>
                <w:color w:val="auto"/>
                <w:sz w:val="24"/>
              </w:rPr>
            </w:pPr>
            <w:r>
              <w:rPr>
                <w:rFonts w:hint="eastAsia" w:ascii="宋体" w:hAnsi="宋体" w:cs="宋体"/>
                <w:bCs/>
                <w:color w:val="auto"/>
                <w:sz w:val="24"/>
              </w:rPr>
              <w:t>单位</w:t>
            </w:r>
          </w:p>
        </w:tc>
        <w:tc>
          <w:tcPr>
            <w:tcW w:w="658" w:type="pct"/>
            <w:noWrap w:val="0"/>
            <w:tcMar>
              <w:top w:w="75" w:type="dxa"/>
              <w:left w:w="150" w:type="dxa"/>
              <w:bottom w:w="75" w:type="dxa"/>
              <w:right w:w="150" w:type="dxa"/>
            </w:tcMar>
            <w:vAlign w:val="center"/>
          </w:tcPr>
          <w:p>
            <w:pPr>
              <w:widowControl/>
              <w:wordWrap w:val="0"/>
              <w:spacing w:line="400" w:lineRule="exact"/>
              <w:jc w:val="center"/>
              <w:rPr>
                <w:rFonts w:hint="eastAsia" w:ascii="宋体" w:hAnsi="宋体" w:cs="宋体"/>
                <w:bCs/>
                <w:color w:val="auto"/>
                <w:sz w:val="24"/>
              </w:rPr>
            </w:pPr>
            <w:r>
              <w:rPr>
                <w:rFonts w:hint="eastAsia" w:ascii="宋体" w:hAnsi="宋体" w:cs="宋体"/>
                <w:bCs/>
                <w:color w:val="auto"/>
                <w:sz w:val="24"/>
              </w:rPr>
              <w:t>预算金额(元)</w:t>
            </w:r>
          </w:p>
        </w:tc>
        <w:tc>
          <w:tcPr>
            <w:tcW w:w="746" w:type="pct"/>
            <w:noWrap w:val="0"/>
            <w:tcMar>
              <w:top w:w="75" w:type="dxa"/>
              <w:left w:w="150" w:type="dxa"/>
              <w:bottom w:w="75" w:type="dxa"/>
              <w:right w:w="150" w:type="dxa"/>
            </w:tcMar>
            <w:vAlign w:val="center"/>
          </w:tcPr>
          <w:p>
            <w:pPr>
              <w:widowControl/>
              <w:wordWrap w:val="0"/>
              <w:spacing w:line="400" w:lineRule="exact"/>
              <w:jc w:val="center"/>
              <w:rPr>
                <w:rFonts w:hint="eastAsia" w:ascii="宋体" w:hAnsi="宋体" w:cs="宋体"/>
                <w:bCs/>
                <w:color w:val="auto"/>
                <w:sz w:val="24"/>
              </w:rPr>
            </w:pPr>
            <w:r>
              <w:rPr>
                <w:rFonts w:hint="eastAsia" w:ascii="宋体" w:hAnsi="宋体" w:cs="宋体"/>
                <w:bCs/>
                <w:color w:val="auto"/>
                <w:sz w:val="24"/>
              </w:rPr>
              <w:t>简要规格描述</w:t>
            </w:r>
          </w:p>
        </w:tc>
        <w:tc>
          <w:tcPr>
            <w:tcW w:w="794" w:type="pct"/>
            <w:noWrap w:val="0"/>
            <w:tcMar>
              <w:top w:w="75" w:type="dxa"/>
              <w:left w:w="150" w:type="dxa"/>
              <w:bottom w:w="75" w:type="dxa"/>
              <w:right w:w="150" w:type="dxa"/>
            </w:tcMar>
            <w:vAlign w:val="center"/>
          </w:tcPr>
          <w:p>
            <w:pPr>
              <w:widowControl/>
              <w:wordWrap w:val="0"/>
              <w:spacing w:line="400" w:lineRule="exact"/>
              <w:jc w:val="center"/>
              <w:rPr>
                <w:rFonts w:hint="eastAsia" w:ascii="宋体" w:hAnsi="宋体" w:cs="宋体"/>
                <w:bCs/>
                <w:color w:val="auto"/>
                <w:sz w:val="24"/>
              </w:rPr>
            </w:pPr>
            <w:r>
              <w:rPr>
                <w:rFonts w:hint="eastAsia" w:ascii="宋体" w:hAnsi="宋体" w:cs="宋体"/>
                <w:bCs/>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95" w:type="pct"/>
            <w:noWrap w:val="0"/>
            <w:tcMar>
              <w:top w:w="75" w:type="dxa"/>
              <w:left w:w="150" w:type="dxa"/>
              <w:bottom w:w="75" w:type="dxa"/>
              <w:right w:w="150" w:type="dxa"/>
            </w:tcMar>
            <w:vAlign w:val="center"/>
          </w:tcPr>
          <w:p>
            <w:pPr>
              <w:widowControl/>
              <w:wordWrap w:val="0"/>
              <w:spacing w:line="400" w:lineRule="exact"/>
              <w:jc w:val="center"/>
              <w:rPr>
                <w:rFonts w:hint="eastAsia" w:ascii="宋体" w:hAnsi="宋体" w:cs="宋体"/>
                <w:bCs/>
                <w:color w:val="auto"/>
                <w:sz w:val="24"/>
              </w:rPr>
            </w:pPr>
            <w:r>
              <w:rPr>
                <w:rFonts w:hint="eastAsia" w:ascii="宋体" w:hAnsi="宋体" w:cs="宋体"/>
                <w:bCs/>
                <w:color w:val="auto"/>
                <w:sz w:val="24"/>
              </w:rPr>
              <w:t>1</w:t>
            </w:r>
          </w:p>
        </w:tc>
        <w:tc>
          <w:tcPr>
            <w:tcW w:w="1359" w:type="pct"/>
            <w:noWrap w:val="0"/>
            <w:tcMar>
              <w:top w:w="75" w:type="dxa"/>
              <w:left w:w="150" w:type="dxa"/>
              <w:bottom w:w="75" w:type="dxa"/>
              <w:right w:w="150" w:type="dxa"/>
            </w:tcMar>
            <w:vAlign w:val="center"/>
          </w:tcPr>
          <w:p>
            <w:pPr>
              <w:widowControl/>
              <w:wordWrap w:val="0"/>
              <w:spacing w:line="400" w:lineRule="exact"/>
              <w:jc w:val="center"/>
              <w:rPr>
                <w:rFonts w:hint="eastAsia" w:ascii="宋体" w:hAnsi="宋体" w:eastAsia="宋体" w:cs="宋体"/>
                <w:bCs/>
                <w:color w:val="auto"/>
                <w:sz w:val="24"/>
                <w:lang w:eastAsia="zh-CN"/>
              </w:rPr>
            </w:pPr>
            <w:r>
              <w:rPr>
                <w:rFonts w:hint="eastAsia" w:ascii="宋体" w:hAnsi="宋体" w:cs="宋体"/>
                <w:color w:val="auto"/>
                <w:sz w:val="24"/>
                <w:lang w:eastAsia="zh-CN"/>
              </w:rPr>
              <w:t>嵊州市崇仁镇人民政府安保服务等采购项目</w:t>
            </w:r>
          </w:p>
        </w:tc>
        <w:tc>
          <w:tcPr>
            <w:tcW w:w="395" w:type="pct"/>
            <w:noWrap w:val="0"/>
            <w:tcMar>
              <w:top w:w="75" w:type="dxa"/>
              <w:left w:w="150" w:type="dxa"/>
              <w:bottom w:w="75" w:type="dxa"/>
              <w:right w:w="150" w:type="dxa"/>
            </w:tcMar>
            <w:vAlign w:val="center"/>
          </w:tcPr>
          <w:p>
            <w:pPr>
              <w:widowControl/>
              <w:wordWrap w:val="0"/>
              <w:spacing w:line="400" w:lineRule="exact"/>
              <w:jc w:val="center"/>
              <w:rPr>
                <w:rFonts w:hint="eastAsia" w:ascii="宋体" w:hAnsi="宋体" w:cs="宋体"/>
                <w:bCs/>
                <w:color w:val="auto"/>
                <w:sz w:val="24"/>
              </w:rPr>
            </w:pPr>
            <w:r>
              <w:rPr>
                <w:rFonts w:hint="eastAsia" w:ascii="宋体" w:hAnsi="宋体" w:cs="宋体"/>
                <w:bCs/>
                <w:color w:val="auto"/>
                <w:sz w:val="24"/>
              </w:rPr>
              <w:t>1</w:t>
            </w:r>
          </w:p>
        </w:tc>
        <w:tc>
          <w:tcPr>
            <w:tcW w:w="432" w:type="pct"/>
            <w:noWrap w:val="0"/>
            <w:tcMar>
              <w:top w:w="75" w:type="dxa"/>
              <w:left w:w="150" w:type="dxa"/>
              <w:bottom w:w="75" w:type="dxa"/>
              <w:right w:w="150" w:type="dxa"/>
            </w:tcMar>
            <w:vAlign w:val="center"/>
          </w:tcPr>
          <w:p>
            <w:pPr>
              <w:widowControl/>
              <w:wordWrap w:val="0"/>
              <w:spacing w:line="400" w:lineRule="exact"/>
              <w:jc w:val="center"/>
              <w:rPr>
                <w:rFonts w:ascii="宋体" w:hAnsi="宋体" w:cs="宋体"/>
                <w:bCs/>
                <w:color w:val="auto"/>
                <w:sz w:val="24"/>
              </w:rPr>
            </w:pPr>
            <w:r>
              <w:rPr>
                <w:rFonts w:hint="eastAsia" w:ascii="宋体" w:hAnsi="宋体" w:cs="宋体"/>
                <w:bCs/>
                <w:color w:val="auto"/>
                <w:sz w:val="24"/>
              </w:rPr>
              <w:t>项</w:t>
            </w:r>
          </w:p>
        </w:tc>
        <w:tc>
          <w:tcPr>
            <w:tcW w:w="658" w:type="pct"/>
            <w:noWrap w:val="0"/>
            <w:tcMar>
              <w:top w:w="75" w:type="dxa"/>
              <w:left w:w="150" w:type="dxa"/>
              <w:bottom w:w="75" w:type="dxa"/>
              <w:right w:w="150" w:type="dxa"/>
            </w:tcMar>
            <w:vAlign w:val="center"/>
          </w:tcPr>
          <w:p>
            <w:pPr>
              <w:widowControl/>
              <w:wordWrap w:val="0"/>
              <w:spacing w:line="400" w:lineRule="exact"/>
              <w:jc w:val="center"/>
              <w:rPr>
                <w:rFonts w:ascii="宋体" w:hAnsi="宋体" w:cs="宋体"/>
                <w:bCs/>
                <w:color w:val="auto"/>
                <w:sz w:val="24"/>
              </w:rPr>
            </w:pPr>
            <w:r>
              <w:rPr>
                <w:rFonts w:hint="eastAsia" w:ascii="宋体" w:hAnsi="宋体" w:cs="宋体"/>
                <w:bCs/>
                <w:color w:val="auto"/>
                <w:sz w:val="24"/>
                <w:lang w:val="en-US" w:eastAsia="zh-CN"/>
              </w:rPr>
              <w:t>7</w:t>
            </w:r>
            <w:r>
              <w:rPr>
                <w:rFonts w:hint="eastAsia" w:ascii="宋体" w:hAnsi="宋体" w:cs="宋体"/>
                <w:bCs/>
                <w:color w:val="auto"/>
                <w:sz w:val="24"/>
                <w:lang w:val="en-US" w:eastAsia="zh-CN"/>
              </w:rPr>
              <w:t>700000</w:t>
            </w:r>
            <w:r>
              <w:rPr>
                <w:rFonts w:hint="eastAsia" w:ascii="宋体" w:hAnsi="宋体" w:cs="宋体"/>
                <w:bCs/>
                <w:color w:val="auto"/>
                <w:sz w:val="24"/>
              </w:rPr>
              <w:t>.00</w:t>
            </w:r>
          </w:p>
        </w:tc>
        <w:tc>
          <w:tcPr>
            <w:tcW w:w="746" w:type="pct"/>
            <w:noWrap w:val="0"/>
            <w:tcMar>
              <w:top w:w="75" w:type="dxa"/>
              <w:left w:w="150" w:type="dxa"/>
              <w:bottom w:w="75" w:type="dxa"/>
              <w:right w:w="150" w:type="dxa"/>
            </w:tcMar>
            <w:vAlign w:val="center"/>
          </w:tcPr>
          <w:p>
            <w:pPr>
              <w:widowControl/>
              <w:wordWrap w:val="0"/>
              <w:spacing w:line="400" w:lineRule="exact"/>
              <w:jc w:val="center"/>
              <w:rPr>
                <w:rFonts w:hint="eastAsia" w:ascii="宋体" w:hAnsi="宋体" w:cs="宋体"/>
                <w:bCs/>
                <w:color w:val="auto"/>
                <w:sz w:val="24"/>
              </w:rPr>
            </w:pPr>
            <w:r>
              <w:rPr>
                <w:rFonts w:hint="eastAsia" w:ascii="宋体" w:hAnsi="宋体" w:cs="宋体"/>
                <w:bCs/>
                <w:color w:val="auto"/>
                <w:sz w:val="24"/>
                <w:lang w:eastAsia="zh-CN"/>
              </w:rPr>
              <w:t>服务期</w:t>
            </w:r>
            <w:r>
              <w:rPr>
                <w:rFonts w:hint="eastAsia" w:ascii="宋体" w:hAnsi="宋体" w:cs="宋体"/>
                <w:bCs/>
                <w:color w:val="auto"/>
                <w:sz w:val="24"/>
                <w:lang w:val="en-US" w:eastAsia="zh-CN"/>
              </w:rPr>
              <w:t>2年，其他</w:t>
            </w:r>
            <w:r>
              <w:rPr>
                <w:rFonts w:hint="eastAsia" w:ascii="宋体" w:hAnsi="宋体" w:cs="宋体"/>
                <w:bCs/>
                <w:color w:val="auto"/>
                <w:sz w:val="24"/>
              </w:rPr>
              <w:t>详见招标文件</w:t>
            </w:r>
          </w:p>
        </w:tc>
        <w:tc>
          <w:tcPr>
            <w:tcW w:w="794" w:type="pct"/>
            <w:noWrap w:val="0"/>
            <w:tcMar>
              <w:top w:w="75" w:type="dxa"/>
              <w:left w:w="150" w:type="dxa"/>
              <w:bottom w:w="75" w:type="dxa"/>
              <w:right w:w="150" w:type="dxa"/>
            </w:tcMar>
            <w:vAlign w:val="center"/>
          </w:tcPr>
          <w:p>
            <w:pPr>
              <w:snapToGrid w:val="0"/>
              <w:spacing w:line="240" w:lineRule="auto"/>
              <w:jc w:val="center"/>
              <w:rPr>
                <w:rFonts w:hint="default" w:ascii="宋体" w:hAnsi="宋体" w:cs="宋体"/>
                <w:bCs/>
                <w:color w:val="auto"/>
                <w:sz w:val="24"/>
                <w:lang w:val="en-US"/>
              </w:rPr>
            </w:pPr>
            <w:r>
              <w:rPr>
                <w:rFonts w:hint="eastAsia" w:ascii="宋体" w:hAnsi="宋体" w:cs="宋体"/>
                <w:bCs/>
                <w:color w:val="auto"/>
                <w:sz w:val="24"/>
                <w:lang w:val="en-US" w:eastAsia="zh-CN"/>
              </w:rPr>
              <w:t>管理费费率（含利润、税金等）最高18%</w:t>
            </w:r>
          </w:p>
        </w:tc>
      </w:tr>
    </w:tbl>
    <w:p>
      <w:pPr>
        <w:pStyle w:val="43"/>
        <w:spacing w:line="400" w:lineRule="exact"/>
        <w:ind w:firstLine="480" w:firstLineChars="200"/>
        <w:rPr>
          <w:rFonts w:hint="eastAsia"/>
          <w:bCs/>
          <w:color w:val="auto"/>
          <w:kern w:val="2"/>
        </w:rPr>
      </w:pPr>
      <w:r>
        <w:rPr>
          <w:rFonts w:hint="eastAsia"/>
          <w:bCs/>
          <w:color w:val="auto"/>
          <w:kern w:val="2"/>
        </w:rPr>
        <w:t>6.合同履行期限：按照招标文件的规定； </w:t>
      </w:r>
    </w:p>
    <w:p>
      <w:pPr>
        <w:pStyle w:val="43"/>
        <w:spacing w:line="400" w:lineRule="exact"/>
        <w:rPr>
          <w:rFonts w:hint="eastAsia"/>
          <w:bCs/>
          <w:color w:val="auto"/>
          <w:kern w:val="2"/>
        </w:rPr>
      </w:pPr>
      <w:r>
        <w:rPr>
          <w:rFonts w:hint="eastAsia"/>
          <w:bCs/>
          <w:color w:val="auto"/>
          <w:kern w:val="2"/>
        </w:rPr>
        <w:t>   7.本项目（ 否 ）接受联合体投标。</w:t>
      </w:r>
    </w:p>
    <w:p>
      <w:pPr>
        <w:pStyle w:val="43"/>
        <w:spacing w:line="400" w:lineRule="exact"/>
        <w:outlineLvl w:val="1"/>
        <w:rPr>
          <w:b/>
          <w:color w:val="auto"/>
          <w:kern w:val="2"/>
        </w:rPr>
      </w:pPr>
      <w:bookmarkStart w:id="10" w:name="_Toc19984"/>
      <w:r>
        <w:rPr>
          <w:b/>
          <w:color w:val="auto"/>
          <w:kern w:val="2"/>
        </w:rPr>
        <w:t>二、申请人的资格要求</w:t>
      </w:r>
      <w:bookmarkEnd w:id="10"/>
    </w:p>
    <w:p>
      <w:pPr>
        <w:pStyle w:val="43"/>
        <w:spacing w:line="400" w:lineRule="exact"/>
        <w:rPr>
          <w:rFonts w:hint="eastAsia"/>
          <w:bCs/>
          <w:color w:val="auto"/>
          <w:kern w:val="2"/>
        </w:rPr>
      </w:pPr>
      <w:r>
        <w:rPr>
          <w:rFonts w:hint="eastAsia"/>
          <w:bCs/>
          <w:color w:val="auto"/>
          <w:kern w:val="2"/>
        </w:rPr>
        <w:t>1.满足《中华人民共和国政府采购法》第二十二条规定；</w:t>
      </w:r>
      <w:r>
        <w:rPr>
          <w:rFonts w:hint="eastAsia"/>
          <w:bCs/>
          <w:color w:val="auto"/>
          <w:kern w:val="2"/>
        </w:rPr>
        <w:t>未被“信用中国”（</w:t>
      </w:r>
      <w:r>
        <w:rPr>
          <w:rFonts w:hint="eastAsia"/>
          <w:bCs/>
          <w:color w:val="auto"/>
          <w:kern w:val="2"/>
        </w:rPr>
        <w:fldChar w:fldCharType="begin"/>
      </w:r>
      <w:r>
        <w:rPr>
          <w:rFonts w:hint="eastAsia"/>
          <w:bCs/>
          <w:color w:val="auto"/>
          <w:kern w:val="2"/>
        </w:rPr>
        <w:instrText xml:space="preserve"> HYPERLINK "http://www.creditchina.gov.cn%EF%BC%89%E3%80%81%E4%B8%AD%E5%9B%BD%E6%94%BF%E5%BA%9C%E9%87%87%E8%B4%AD%E7%BD%91%EF%BC%88www.ccgp.gov.cn%EF%BC%89%E5%88%97%E5%85%A5%E5%A4%B1%E4%BF%A1%E8%A2%AB%E6%89%A7%E8%A1%8C%E4%BA%BA%E3%80%81%E9%87%8D%E5%A4%A7%E7%A8%8E%E6%94%B6%E8%BF%9D%E6%B3%95%E6%A1%88%E4%BB%B6%E5%BD%93%E4%BA%8B%E4%BA%BA%E5%90%8D%E5%8D%95%E3%80%81%E6%94%BF%E5%BA%9C%E9%87%87%E8%B4%AD%E4%B8%A5%E9%87%8D%E8%BF%9D%E6%B3%95%E5%A4%B1%E4%BF%A1%E8%A1%8C%E4%B8%BA%E8%AE%B0%E5%BD%95%E5%90%8D%E5%8D%95%EF%BC%9B/" </w:instrText>
      </w:r>
      <w:r>
        <w:rPr>
          <w:rFonts w:hint="eastAsia"/>
          <w:bCs/>
          <w:color w:val="auto"/>
          <w:kern w:val="2"/>
        </w:rPr>
        <w:fldChar w:fldCharType="separate"/>
      </w:r>
      <w:r>
        <w:rPr>
          <w:rFonts w:hint="eastAsia"/>
          <w:bCs/>
          <w:color w:val="auto"/>
          <w:kern w:val="2"/>
        </w:rPr>
        <w:t>www.creditchina.gov.cn）、中国政府采购网（www.ccgp.gov.cn）列入失信被执行人、重大税收违法案件当事人名单、政府采购严重违法失信行为记录名单；</w:t>
      </w:r>
      <w:r>
        <w:rPr>
          <w:rFonts w:hint="eastAsia"/>
          <w:bCs/>
          <w:color w:val="auto"/>
          <w:kern w:val="2"/>
        </w:rPr>
        <w:fldChar w:fldCharType="end"/>
      </w:r>
    </w:p>
    <w:p>
      <w:pPr>
        <w:pStyle w:val="43"/>
        <w:spacing w:line="400" w:lineRule="exact"/>
        <w:ind w:firstLine="480" w:firstLineChars="200"/>
        <w:rPr>
          <w:rFonts w:hint="eastAsia"/>
          <w:bCs/>
          <w:color w:val="auto"/>
          <w:kern w:val="2"/>
        </w:rPr>
      </w:pPr>
      <w:r>
        <w:rPr>
          <w:rFonts w:hint="eastAsia"/>
          <w:bCs/>
          <w:color w:val="auto"/>
          <w:kern w:val="2"/>
        </w:rPr>
        <w:t>2.落实政府采购政策需满足的资格要求：无； </w:t>
      </w:r>
    </w:p>
    <w:p>
      <w:pPr>
        <w:pStyle w:val="43"/>
        <w:spacing w:line="400" w:lineRule="exact"/>
        <w:rPr>
          <w:color w:val="auto"/>
          <w:kern w:val="2"/>
        </w:rPr>
      </w:pPr>
      <w:r>
        <w:rPr>
          <w:rFonts w:hint="eastAsia"/>
          <w:bCs/>
          <w:color w:val="auto"/>
          <w:kern w:val="2"/>
        </w:rPr>
        <w:t>   3.本项目的特定资格要求：</w:t>
      </w:r>
      <w:r>
        <w:rPr>
          <w:rFonts w:hint="eastAsia"/>
          <w:bCs/>
          <w:color w:val="auto"/>
          <w:kern w:val="2"/>
          <w:lang w:val="en-US" w:eastAsia="zh-CN"/>
        </w:rPr>
        <w:t>投标人具有有效期内的公安机关核发的保安服务许可证；</w:t>
      </w:r>
    </w:p>
    <w:p>
      <w:pPr>
        <w:pStyle w:val="43"/>
        <w:spacing w:line="400" w:lineRule="exact"/>
        <w:rPr>
          <w:b/>
          <w:color w:val="auto"/>
          <w:kern w:val="2"/>
        </w:rPr>
      </w:pPr>
      <w:r>
        <w:rPr>
          <w:rFonts w:hint="eastAsia"/>
          <w:b/>
          <w:color w:val="auto"/>
          <w:kern w:val="2"/>
        </w:rPr>
        <w:t xml:space="preserve">    </w:t>
      </w:r>
      <w:r>
        <w:rPr>
          <w:rFonts w:hint="eastAsia"/>
          <w:bCs/>
          <w:color w:val="auto"/>
          <w:kern w:val="2"/>
        </w:rPr>
        <w:t>4.其他法律法规规定的要求。</w:t>
      </w:r>
    </w:p>
    <w:p>
      <w:pPr>
        <w:pStyle w:val="43"/>
        <w:spacing w:line="400" w:lineRule="exact"/>
        <w:outlineLvl w:val="1"/>
        <w:rPr>
          <w:b/>
          <w:color w:val="auto"/>
          <w:kern w:val="2"/>
        </w:rPr>
      </w:pPr>
      <w:bookmarkStart w:id="11" w:name="_Toc26296"/>
      <w:r>
        <w:rPr>
          <w:b/>
          <w:color w:val="auto"/>
          <w:kern w:val="2"/>
        </w:rPr>
        <w:t>三、获取招标文件</w:t>
      </w:r>
      <w:bookmarkEnd w:id="11"/>
    </w:p>
    <w:p>
      <w:pPr>
        <w:pStyle w:val="43"/>
        <w:spacing w:line="400" w:lineRule="exact"/>
        <w:ind w:firstLine="480" w:firstLineChars="200"/>
        <w:rPr>
          <w:rFonts w:hint="eastAsia"/>
          <w:bCs/>
          <w:color w:val="auto"/>
          <w:kern w:val="2"/>
        </w:rPr>
      </w:pPr>
      <w:r>
        <w:rPr>
          <w:rFonts w:hint="eastAsia"/>
          <w:bCs/>
          <w:color w:val="auto"/>
          <w:kern w:val="2"/>
        </w:rPr>
        <w:t>1.时间：</w:t>
      </w:r>
      <w:r>
        <w:rPr>
          <w:rFonts w:hint="eastAsia"/>
          <w:color w:val="auto"/>
          <w:u w:val="single"/>
        </w:rPr>
        <w:t xml:space="preserve"> / </w:t>
      </w:r>
      <w:r>
        <w:rPr>
          <w:rFonts w:hint="eastAsia"/>
          <w:bCs/>
          <w:color w:val="auto"/>
          <w:kern w:val="2"/>
        </w:rPr>
        <w:t>至</w:t>
      </w:r>
      <w:r>
        <w:rPr>
          <w:rFonts w:hint="eastAsia"/>
          <w:color w:val="auto"/>
          <w:u w:val="single"/>
          <w:lang w:eastAsia="zh-CN"/>
        </w:rPr>
        <w:t>2021</w:t>
      </w:r>
      <w:r>
        <w:rPr>
          <w:rFonts w:hint="eastAsia"/>
          <w:color w:val="auto"/>
          <w:u w:val="single"/>
        </w:rPr>
        <w:t>年</w:t>
      </w:r>
      <w:r>
        <w:rPr>
          <w:rFonts w:hint="eastAsia"/>
          <w:color w:val="auto"/>
          <w:u w:val="single"/>
          <w:lang w:val="en-US" w:eastAsia="zh-CN"/>
        </w:rPr>
        <w:t>4</w:t>
      </w:r>
      <w:r>
        <w:rPr>
          <w:rFonts w:hint="eastAsia"/>
          <w:color w:val="auto"/>
          <w:u w:val="single"/>
        </w:rPr>
        <w:t>月</w:t>
      </w:r>
      <w:r>
        <w:rPr>
          <w:rFonts w:hint="eastAsia"/>
          <w:color w:val="auto"/>
          <w:u w:val="single"/>
          <w:lang w:val="en-US" w:eastAsia="zh-CN"/>
        </w:rPr>
        <w:t>29</w:t>
      </w:r>
      <w:r>
        <w:rPr>
          <w:rFonts w:hint="eastAsia"/>
          <w:color w:val="auto"/>
          <w:u w:val="single"/>
        </w:rPr>
        <w:t>日</w:t>
      </w:r>
      <w:r>
        <w:rPr>
          <w:rFonts w:hint="eastAsia"/>
          <w:bCs/>
          <w:color w:val="auto"/>
          <w:kern w:val="2"/>
        </w:rPr>
        <w:t> ，每天上午</w:t>
      </w:r>
      <w:r>
        <w:rPr>
          <w:rFonts w:hint="eastAsia"/>
          <w:bCs/>
          <w:color w:val="auto"/>
          <w:kern w:val="2"/>
          <w:u w:val="single"/>
        </w:rPr>
        <w:t> 00:00</w:t>
      </w:r>
      <w:r>
        <w:rPr>
          <w:rFonts w:hint="eastAsia"/>
          <w:bCs/>
          <w:color w:val="auto"/>
          <w:kern w:val="2"/>
        </w:rPr>
        <w:t>至</w:t>
      </w:r>
      <w:r>
        <w:rPr>
          <w:rFonts w:hint="eastAsia"/>
          <w:bCs/>
          <w:color w:val="auto"/>
          <w:kern w:val="2"/>
          <w:u w:val="single"/>
        </w:rPr>
        <w:t>12:00</w:t>
      </w:r>
      <w:r>
        <w:rPr>
          <w:rFonts w:hint="eastAsia"/>
          <w:bCs/>
          <w:color w:val="auto"/>
          <w:kern w:val="2"/>
        </w:rPr>
        <w:t> ，下午</w:t>
      </w:r>
      <w:r>
        <w:rPr>
          <w:rFonts w:hint="eastAsia"/>
          <w:bCs/>
          <w:color w:val="auto"/>
          <w:kern w:val="2"/>
          <w:u w:val="single"/>
        </w:rPr>
        <w:t> 12:00</w:t>
      </w:r>
      <w:r>
        <w:rPr>
          <w:rFonts w:hint="eastAsia"/>
          <w:bCs/>
          <w:color w:val="auto"/>
          <w:kern w:val="2"/>
        </w:rPr>
        <w:t>至</w:t>
      </w:r>
      <w:r>
        <w:rPr>
          <w:rFonts w:hint="eastAsia"/>
          <w:bCs/>
          <w:color w:val="auto"/>
          <w:kern w:val="2"/>
          <w:u w:val="single"/>
        </w:rPr>
        <w:t>23:59 </w:t>
      </w:r>
      <w:r>
        <w:rPr>
          <w:rFonts w:hint="eastAsia"/>
          <w:bCs/>
          <w:color w:val="auto"/>
          <w:kern w:val="2"/>
        </w:rPr>
        <w:t>（北京时间，线上获取法定节假日均可，线下获取文件法定节假日除外）</w:t>
      </w:r>
    </w:p>
    <w:p>
      <w:pPr>
        <w:pStyle w:val="43"/>
        <w:spacing w:line="400" w:lineRule="exact"/>
        <w:ind w:firstLine="480" w:firstLineChars="200"/>
        <w:rPr>
          <w:rFonts w:hint="eastAsia"/>
          <w:bCs/>
          <w:color w:val="auto"/>
          <w:kern w:val="2"/>
        </w:rPr>
      </w:pPr>
      <w:r>
        <w:rPr>
          <w:rFonts w:hint="eastAsia"/>
          <w:bCs/>
          <w:color w:val="auto"/>
          <w:kern w:val="2"/>
        </w:rPr>
        <w:t>2.地点（网址）：政府采购云平台（http://zfcg.czt.zj.gov.cn/） </w:t>
      </w:r>
    </w:p>
    <w:p>
      <w:pPr>
        <w:pStyle w:val="43"/>
        <w:spacing w:line="400" w:lineRule="exact"/>
        <w:ind w:firstLine="480" w:firstLineChars="200"/>
        <w:rPr>
          <w:rFonts w:hint="eastAsia"/>
          <w:bCs/>
          <w:color w:val="auto"/>
          <w:kern w:val="2"/>
        </w:rPr>
      </w:pPr>
      <w:r>
        <w:rPr>
          <w:rFonts w:hint="eastAsia"/>
          <w:bCs/>
          <w:color w:val="auto"/>
          <w:kern w:val="2"/>
        </w:rPr>
        <w:t>3.方式：在线获取 </w:t>
      </w:r>
    </w:p>
    <w:p>
      <w:pPr>
        <w:pStyle w:val="43"/>
        <w:spacing w:line="400" w:lineRule="exact"/>
        <w:ind w:firstLine="480" w:firstLineChars="200"/>
        <w:rPr>
          <w:rFonts w:hint="eastAsia"/>
          <w:bCs/>
          <w:color w:val="auto"/>
          <w:kern w:val="2"/>
        </w:rPr>
      </w:pPr>
      <w:r>
        <w:rPr>
          <w:rFonts w:hint="eastAsia"/>
          <w:bCs/>
          <w:color w:val="auto"/>
          <w:kern w:val="2"/>
        </w:rPr>
        <w:t>4.售价（元）：0 </w:t>
      </w:r>
    </w:p>
    <w:p>
      <w:pPr>
        <w:pStyle w:val="43"/>
        <w:spacing w:line="400" w:lineRule="exact"/>
        <w:outlineLvl w:val="1"/>
        <w:rPr>
          <w:rFonts w:hint="eastAsia"/>
          <w:bCs/>
          <w:color w:val="auto"/>
          <w:kern w:val="2"/>
        </w:rPr>
      </w:pPr>
      <w:r>
        <w:rPr>
          <w:rFonts w:hint="eastAsia"/>
          <w:b/>
          <w:color w:val="auto"/>
          <w:kern w:val="2"/>
        </w:rPr>
        <w:t xml:space="preserve">    </w:t>
      </w:r>
      <w:bookmarkStart w:id="12" w:name="_Toc9432"/>
      <w:r>
        <w:rPr>
          <w:rFonts w:hint="eastAsia"/>
          <w:bCs/>
          <w:color w:val="auto"/>
          <w:kern w:val="2"/>
        </w:rPr>
        <w:t>5.提示：招标公告附件内的采购文件（或采购需求）仅供阅览使用，供应商只有在“政府采购云平台”完成获取采购文件申请并下载了采购文件后才视作依法获取采购文件（法律法规所指的供应商获取采购文件时间以供应商完成获取采购文件申请后下载采购文件的时间为准）。</w:t>
      </w:r>
      <w:bookmarkEnd w:id="12"/>
    </w:p>
    <w:p>
      <w:pPr>
        <w:pStyle w:val="43"/>
        <w:spacing w:line="400" w:lineRule="exact"/>
        <w:outlineLvl w:val="1"/>
        <w:rPr>
          <w:bCs/>
          <w:color w:val="auto"/>
          <w:kern w:val="2"/>
        </w:rPr>
      </w:pPr>
      <w:bookmarkStart w:id="13" w:name="_Toc18849"/>
      <w:r>
        <w:rPr>
          <w:rFonts w:hint="eastAsia"/>
          <w:bCs/>
          <w:color w:val="auto"/>
          <w:kern w:val="2"/>
        </w:rPr>
        <w:t>注：请供应商按上述要求获取采购文件，如未在“政采云”系统内完成相关流程，引起的投标无效责任自负。</w:t>
      </w:r>
      <w:bookmarkEnd w:id="13"/>
    </w:p>
    <w:p>
      <w:pPr>
        <w:pStyle w:val="43"/>
        <w:spacing w:line="400" w:lineRule="exact"/>
        <w:outlineLvl w:val="1"/>
        <w:rPr>
          <w:b/>
          <w:color w:val="auto"/>
          <w:kern w:val="2"/>
        </w:rPr>
      </w:pPr>
      <w:bookmarkStart w:id="14" w:name="_Toc6006"/>
      <w:r>
        <w:rPr>
          <w:b/>
          <w:color w:val="auto"/>
          <w:kern w:val="2"/>
        </w:rPr>
        <w:t>四、提交投标文件截止时间、开标时间和地点</w:t>
      </w:r>
      <w:bookmarkEnd w:id="14"/>
    </w:p>
    <w:p>
      <w:pPr>
        <w:pStyle w:val="43"/>
        <w:spacing w:line="400" w:lineRule="exact"/>
        <w:ind w:firstLine="480" w:firstLineChars="200"/>
        <w:rPr>
          <w:rFonts w:hint="eastAsia"/>
          <w:bCs/>
          <w:color w:val="auto"/>
          <w:kern w:val="2"/>
        </w:rPr>
      </w:pPr>
      <w:r>
        <w:rPr>
          <w:rFonts w:hint="eastAsia"/>
          <w:bCs/>
          <w:color w:val="auto"/>
          <w:kern w:val="2"/>
        </w:rPr>
        <w:t>1.提交投标文件截止时间：</w:t>
      </w:r>
      <w:r>
        <w:rPr>
          <w:rFonts w:hint="eastAsia"/>
          <w:color w:val="auto"/>
          <w:u w:val="single"/>
          <w:lang w:eastAsia="zh-CN"/>
        </w:rPr>
        <w:t>2021</w:t>
      </w:r>
      <w:r>
        <w:rPr>
          <w:rFonts w:hint="eastAsia"/>
          <w:color w:val="auto"/>
          <w:u w:val="single"/>
        </w:rPr>
        <w:t>年</w:t>
      </w:r>
      <w:r>
        <w:rPr>
          <w:rFonts w:hint="eastAsia"/>
          <w:color w:val="auto"/>
          <w:u w:val="single"/>
          <w:lang w:val="en-US" w:eastAsia="zh-CN"/>
        </w:rPr>
        <w:t>4</w:t>
      </w:r>
      <w:r>
        <w:rPr>
          <w:rFonts w:hint="eastAsia"/>
          <w:color w:val="auto"/>
          <w:u w:val="single"/>
        </w:rPr>
        <w:t>月</w:t>
      </w:r>
      <w:r>
        <w:rPr>
          <w:rFonts w:hint="eastAsia"/>
          <w:color w:val="auto"/>
          <w:u w:val="single"/>
          <w:lang w:val="en-US" w:eastAsia="zh-CN"/>
        </w:rPr>
        <w:t>29</w:t>
      </w:r>
      <w:r>
        <w:rPr>
          <w:rFonts w:hint="eastAsia"/>
          <w:color w:val="auto"/>
          <w:u w:val="single"/>
        </w:rPr>
        <w:t>日</w:t>
      </w:r>
      <w:r>
        <w:rPr>
          <w:rFonts w:hint="eastAsia"/>
          <w:bCs/>
          <w:color w:val="auto"/>
          <w:kern w:val="2"/>
          <w:u w:val="single"/>
        </w:rPr>
        <w:t xml:space="preserve"> 09:00</w:t>
      </w:r>
      <w:r>
        <w:rPr>
          <w:rFonts w:hint="eastAsia"/>
          <w:bCs/>
          <w:color w:val="auto"/>
          <w:kern w:val="2"/>
        </w:rPr>
        <w:t>（北京时间）</w:t>
      </w:r>
    </w:p>
    <w:p>
      <w:pPr>
        <w:pStyle w:val="43"/>
        <w:spacing w:line="400" w:lineRule="exact"/>
        <w:ind w:firstLine="480" w:firstLineChars="200"/>
        <w:rPr>
          <w:rFonts w:hint="eastAsia"/>
          <w:bCs/>
          <w:color w:val="auto"/>
          <w:kern w:val="2"/>
        </w:rPr>
      </w:pPr>
      <w:r>
        <w:rPr>
          <w:rFonts w:hint="eastAsia"/>
          <w:bCs/>
          <w:color w:val="auto"/>
          <w:kern w:val="2"/>
        </w:rPr>
        <w:t>2.投标地点（网址）：</w:t>
      </w:r>
      <w:r>
        <w:rPr>
          <w:rStyle w:val="50"/>
          <w:rFonts w:hint="eastAsia"/>
          <w:b w:val="0"/>
          <w:bCs w:val="0"/>
          <w:color w:val="auto"/>
        </w:rPr>
        <w:t>通过“政府采购云平台（</w:t>
      </w:r>
      <w:r>
        <w:rPr>
          <w:color w:val="auto"/>
        </w:rPr>
        <w:fldChar w:fldCharType="begin"/>
      </w:r>
      <w:r>
        <w:rPr>
          <w:color w:val="auto"/>
        </w:rPr>
        <w:instrText xml:space="preserve"> HYPERLINK "http://zfcg.czt.zj.gov.cn/" </w:instrText>
      </w:r>
      <w:r>
        <w:rPr>
          <w:color w:val="auto"/>
        </w:rPr>
        <w:fldChar w:fldCharType="separate"/>
      </w:r>
      <w:r>
        <w:rPr>
          <w:rStyle w:val="55"/>
          <w:color w:val="auto"/>
          <w:szCs w:val="24"/>
        </w:rPr>
        <w:t>http://zfcg.czt.zj.gov.cn/</w:t>
      </w:r>
      <w:r>
        <w:rPr>
          <w:color w:val="auto"/>
        </w:rPr>
        <w:fldChar w:fldCharType="end"/>
      </w:r>
      <w:r>
        <w:rPr>
          <w:rStyle w:val="50"/>
          <w:rFonts w:hint="eastAsia"/>
          <w:b w:val="0"/>
          <w:bCs w:val="0"/>
          <w:color w:val="auto"/>
        </w:rPr>
        <w:t>）”实行在线投标响应</w:t>
      </w:r>
    </w:p>
    <w:p>
      <w:pPr>
        <w:pStyle w:val="43"/>
        <w:spacing w:line="400" w:lineRule="exact"/>
        <w:ind w:firstLine="480" w:firstLineChars="200"/>
        <w:rPr>
          <w:rFonts w:hint="eastAsia"/>
          <w:bCs/>
          <w:color w:val="auto"/>
          <w:kern w:val="2"/>
        </w:rPr>
      </w:pPr>
      <w:r>
        <w:rPr>
          <w:rFonts w:hint="eastAsia"/>
          <w:bCs/>
          <w:color w:val="auto"/>
          <w:kern w:val="2"/>
        </w:rPr>
        <w:t>3.开标时间：</w:t>
      </w:r>
      <w:r>
        <w:rPr>
          <w:rFonts w:hint="eastAsia"/>
          <w:color w:val="auto"/>
          <w:u w:val="single"/>
          <w:lang w:eastAsia="zh-CN"/>
        </w:rPr>
        <w:t>2021</w:t>
      </w:r>
      <w:r>
        <w:rPr>
          <w:rFonts w:hint="eastAsia"/>
          <w:color w:val="auto"/>
          <w:u w:val="single"/>
        </w:rPr>
        <w:t>年</w:t>
      </w:r>
      <w:r>
        <w:rPr>
          <w:rFonts w:hint="eastAsia"/>
          <w:color w:val="auto"/>
          <w:u w:val="single"/>
          <w:lang w:val="en-US" w:eastAsia="zh-CN"/>
        </w:rPr>
        <w:t>4</w:t>
      </w:r>
      <w:r>
        <w:rPr>
          <w:rFonts w:hint="eastAsia"/>
          <w:color w:val="auto"/>
          <w:u w:val="single"/>
        </w:rPr>
        <w:t>月</w:t>
      </w:r>
      <w:r>
        <w:rPr>
          <w:rFonts w:hint="eastAsia"/>
          <w:color w:val="auto"/>
          <w:u w:val="single"/>
          <w:lang w:val="en-US" w:eastAsia="zh-CN"/>
        </w:rPr>
        <w:t>29</w:t>
      </w:r>
      <w:r>
        <w:rPr>
          <w:rFonts w:hint="eastAsia"/>
          <w:color w:val="auto"/>
          <w:u w:val="single"/>
        </w:rPr>
        <w:t>日</w:t>
      </w:r>
      <w:r>
        <w:rPr>
          <w:rFonts w:hint="eastAsia"/>
          <w:bCs/>
          <w:color w:val="auto"/>
          <w:kern w:val="2"/>
          <w:u w:val="single"/>
        </w:rPr>
        <w:t xml:space="preserve"> 09:00</w:t>
      </w:r>
      <w:r>
        <w:rPr>
          <w:rFonts w:hint="eastAsia"/>
          <w:bCs/>
          <w:color w:val="auto"/>
          <w:kern w:val="2"/>
        </w:rPr>
        <w:t> </w:t>
      </w:r>
    </w:p>
    <w:p>
      <w:pPr>
        <w:pStyle w:val="43"/>
        <w:spacing w:line="400" w:lineRule="exact"/>
        <w:ind w:firstLine="480" w:firstLineChars="200"/>
        <w:rPr>
          <w:rFonts w:hint="eastAsia"/>
          <w:bCs/>
          <w:color w:val="auto"/>
          <w:kern w:val="2"/>
        </w:rPr>
      </w:pPr>
      <w:r>
        <w:rPr>
          <w:rFonts w:hint="eastAsia"/>
          <w:bCs/>
          <w:color w:val="auto"/>
          <w:kern w:val="2"/>
        </w:rPr>
        <w:t>4.开标地点（网址）：</w:t>
      </w:r>
      <w:r>
        <w:rPr>
          <w:rStyle w:val="50"/>
          <w:rFonts w:hint="eastAsia"/>
          <w:b w:val="0"/>
          <w:bCs w:val="0"/>
          <w:color w:val="auto"/>
        </w:rPr>
        <w:t>通过“政府采购云平台（http://zfcg.czt.zj.gov.cn/）”实行在线解密</w:t>
      </w:r>
      <w:r>
        <w:rPr>
          <w:rFonts w:hint="eastAsia"/>
          <w:bCs/>
          <w:color w:val="auto"/>
          <w:kern w:val="2"/>
        </w:rPr>
        <w:t> </w:t>
      </w:r>
    </w:p>
    <w:p>
      <w:pPr>
        <w:pStyle w:val="43"/>
        <w:spacing w:line="400" w:lineRule="exact"/>
        <w:outlineLvl w:val="1"/>
        <w:rPr>
          <w:b/>
          <w:color w:val="auto"/>
          <w:kern w:val="2"/>
        </w:rPr>
      </w:pPr>
      <w:bookmarkStart w:id="15" w:name="_Toc11351"/>
      <w:r>
        <w:rPr>
          <w:b/>
          <w:color w:val="auto"/>
          <w:kern w:val="2"/>
        </w:rPr>
        <w:t>五、公告期限</w:t>
      </w:r>
      <w:bookmarkEnd w:id="15"/>
    </w:p>
    <w:p>
      <w:pPr>
        <w:pStyle w:val="43"/>
        <w:spacing w:line="400" w:lineRule="exact"/>
        <w:ind w:firstLine="720"/>
        <w:rPr>
          <w:rFonts w:hint="eastAsia"/>
          <w:bCs/>
          <w:color w:val="auto"/>
          <w:kern w:val="2"/>
        </w:rPr>
      </w:pPr>
      <w:r>
        <w:rPr>
          <w:rFonts w:hint="eastAsia"/>
          <w:bCs/>
          <w:color w:val="auto"/>
          <w:kern w:val="2"/>
        </w:rPr>
        <w:t>自本公告发布之日起5个工作日。</w:t>
      </w:r>
    </w:p>
    <w:p>
      <w:pPr>
        <w:pStyle w:val="43"/>
        <w:spacing w:line="400" w:lineRule="exact"/>
        <w:outlineLvl w:val="1"/>
        <w:rPr>
          <w:b/>
          <w:color w:val="auto"/>
          <w:kern w:val="2"/>
        </w:rPr>
      </w:pPr>
      <w:bookmarkStart w:id="16" w:name="_Toc6597"/>
      <w:r>
        <w:rPr>
          <w:b/>
          <w:color w:val="auto"/>
          <w:kern w:val="2"/>
        </w:rPr>
        <w:t>六、其他补充事宜</w:t>
      </w:r>
      <w:bookmarkEnd w:id="16"/>
    </w:p>
    <w:p>
      <w:pPr>
        <w:pStyle w:val="43"/>
        <w:spacing w:line="400" w:lineRule="exact"/>
        <w:rPr>
          <w:rFonts w:hint="eastAsia"/>
          <w:bCs/>
          <w:color w:val="auto"/>
          <w:kern w:val="2"/>
        </w:rPr>
      </w:pPr>
      <w:r>
        <w:rPr>
          <w:rFonts w:hint="eastAsia"/>
          <w:b/>
          <w:color w:val="auto"/>
          <w:kern w:val="2"/>
        </w:rPr>
        <w:t xml:space="preserve">（一）投诉与质疑 </w:t>
      </w:r>
      <w:r>
        <w:rPr>
          <w:rFonts w:hint="eastAsia"/>
          <w:bCs/>
          <w:color w:val="auto"/>
          <w:kern w:val="2"/>
        </w:rPr>
        <w:t xml:space="preserve">  </w:t>
      </w:r>
    </w:p>
    <w:p>
      <w:pPr>
        <w:pStyle w:val="43"/>
        <w:spacing w:line="400" w:lineRule="exact"/>
        <w:ind w:firstLine="480" w:firstLineChars="200"/>
        <w:rPr>
          <w:rFonts w:hint="eastAsia"/>
          <w:bCs/>
          <w:color w:val="auto"/>
          <w:kern w:val="2"/>
        </w:rPr>
      </w:pPr>
      <w:r>
        <w:rPr>
          <w:rFonts w:hint="eastAsia"/>
          <w:bCs/>
          <w:color w:val="auto"/>
          <w:kern w:val="2"/>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43"/>
        <w:spacing w:line="400" w:lineRule="exact"/>
        <w:rPr>
          <w:bCs/>
          <w:color w:val="auto"/>
          <w:kern w:val="2"/>
        </w:rPr>
      </w:pPr>
      <w:r>
        <w:rPr>
          <w:rFonts w:hint="eastAsia"/>
          <w:bCs/>
          <w:color w:val="auto"/>
          <w:kern w:val="2"/>
        </w:rPr>
        <w:t xml:space="preserve">    2.</w:t>
      </w:r>
      <w:r>
        <w:rPr>
          <w:rFonts w:hint="eastAsia"/>
          <w:color w:val="auto"/>
        </w:rPr>
        <w:t>针对同一采购程序环节的质疑，供应商应在法定期限内一次性提出（即针对同一采购程序环节的质疑采购人或采购代理机构仅受理一次），逾期提出或针对同一采购程序环节多次提出的质疑将不予受理、答复。</w:t>
      </w:r>
    </w:p>
    <w:p>
      <w:pPr>
        <w:pStyle w:val="43"/>
        <w:spacing w:line="400" w:lineRule="exact"/>
        <w:rPr>
          <w:rFonts w:hint="eastAsia"/>
          <w:bCs/>
          <w:color w:val="auto"/>
          <w:kern w:val="2"/>
        </w:rPr>
      </w:pPr>
      <w:r>
        <w:rPr>
          <w:rFonts w:hint="eastAsia"/>
          <w:bCs/>
          <w:color w:val="auto"/>
          <w:kern w:val="2"/>
        </w:rPr>
        <w:t>（二）</w:t>
      </w:r>
      <w:r>
        <w:rPr>
          <w:rStyle w:val="50"/>
          <w:rFonts w:hint="eastAsia"/>
          <w:color w:val="000000"/>
          <w:szCs w:val="24"/>
        </w:rPr>
        <w:t>在线投标响应（电子投标）说明</w:t>
      </w:r>
      <w:r>
        <w:rPr>
          <w:rFonts w:hint="eastAsia"/>
          <w:bCs/>
          <w:color w:val="auto"/>
          <w:kern w:val="2"/>
        </w:rPr>
        <w:t xml:space="preserve"> </w:t>
      </w:r>
    </w:p>
    <w:p>
      <w:pPr>
        <w:pStyle w:val="43"/>
        <w:spacing w:line="400" w:lineRule="exact"/>
        <w:ind w:firstLine="480" w:firstLineChars="200"/>
        <w:rPr>
          <w:rFonts w:hint="eastAsia"/>
          <w:bCs/>
          <w:color w:val="auto"/>
          <w:kern w:val="2"/>
        </w:rPr>
      </w:pPr>
      <w:r>
        <w:rPr>
          <w:rFonts w:hint="eastAsia"/>
          <w:bCs/>
          <w:color w:val="auto"/>
          <w:kern w:val="2"/>
        </w:rPr>
        <w:t>1.本项目通过“政府采购云平台（http://zfcg.czt.zj.gov.cn/）”实行在线投标响应（电子投标），供应商应先安装“政采云电子交易客户端”，并按照本采购文件和“政府采购云平台”的要求，通过“政采云电子交易客户端”编制并加密投标文件。供应商未按规定加密的投标文件，“政府采购云平台”将无法上传。</w:t>
      </w:r>
    </w:p>
    <w:p>
      <w:pPr>
        <w:pStyle w:val="43"/>
        <w:spacing w:line="400" w:lineRule="exact"/>
        <w:rPr>
          <w:rFonts w:hint="eastAsia"/>
          <w:bCs/>
          <w:color w:val="auto"/>
          <w:kern w:val="2"/>
        </w:rPr>
      </w:pPr>
      <w:r>
        <w:rPr>
          <w:rFonts w:hint="eastAsia"/>
          <w:bCs/>
          <w:color w:val="auto"/>
          <w:kern w:val="2"/>
        </w:rPr>
        <w:t>“政采云电子交易客户端”请自行前往“浙江政府采购网-下载专区-电子交易客户端”进行下载；通过“政府采购云平台”参与在线投标时如遇平台技术问题详询400-881-7190。</w:t>
      </w:r>
    </w:p>
    <w:p>
      <w:pPr>
        <w:pStyle w:val="43"/>
        <w:spacing w:line="400" w:lineRule="exact"/>
        <w:ind w:firstLine="480" w:firstLineChars="200"/>
        <w:rPr>
          <w:rFonts w:hint="eastAsia"/>
          <w:bCs/>
          <w:color w:val="auto"/>
          <w:kern w:val="2"/>
        </w:rPr>
      </w:pPr>
      <w:r>
        <w:rPr>
          <w:rFonts w:hint="eastAsia"/>
          <w:bCs/>
          <w:color w:val="auto"/>
          <w:kern w:val="2"/>
        </w:rPr>
        <w:t>2.为确保网上操作合法、有效和安全，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bCs/>
          <w:color w:val="auto"/>
          <w:kern w:val="2"/>
        </w:rPr>
        <w:fldChar w:fldCharType="begin"/>
      </w:r>
      <w:r>
        <w:rPr>
          <w:rFonts w:hint="eastAsia"/>
          <w:bCs/>
          <w:color w:val="auto"/>
          <w:kern w:val="2"/>
        </w:rPr>
        <w:instrText xml:space="preserve"> HYPERLINK "http://zfcg.czt.zj.gov.cn/bidClientTemplate/2019-05-27/12945.html" \o "CA驱动和申领流程" </w:instrText>
      </w:r>
      <w:r>
        <w:rPr>
          <w:rFonts w:hint="eastAsia"/>
          <w:bCs/>
          <w:color w:val="auto"/>
          <w:kern w:val="2"/>
        </w:rPr>
        <w:fldChar w:fldCharType="separate"/>
      </w:r>
      <w:r>
        <w:rPr>
          <w:rFonts w:hint="eastAsia"/>
          <w:bCs/>
          <w:color w:val="auto"/>
          <w:kern w:val="2"/>
        </w:rPr>
        <w:t>CA驱动和申领流程</w:t>
      </w:r>
      <w:r>
        <w:rPr>
          <w:rFonts w:hint="eastAsia"/>
          <w:bCs/>
          <w:color w:val="auto"/>
          <w:kern w:val="2"/>
        </w:rPr>
        <w:fldChar w:fldCharType="end"/>
      </w:r>
      <w:r>
        <w:rPr>
          <w:rFonts w:hint="eastAsia"/>
          <w:bCs/>
          <w:color w:val="auto"/>
          <w:kern w:val="2"/>
        </w:rPr>
        <w:t>”进行查阅；</w:t>
      </w:r>
    </w:p>
    <w:p>
      <w:pPr>
        <w:pStyle w:val="43"/>
        <w:spacing w:line="400" w:lineRule="exact"/>
        <w:ind w:firstLine="480" w:firstLineChars="200"/>
        <w:rPr>
          <w:rFonts w:hint="eastAsia"/>
          <w:bCs/>
          <w:color w:val="auto"/>
          <w:kern w:val="2"/>
        </w:rPr>
      </w:pPr>
      <w:r>
        <w:rPr>
          <w:rFonts w:hint="eastAsia"/>
          <w:bCs/>
          <w:color w:val="auto"/>
          <w:kern w:val="2"/>
        </w:rPr>
        <w:t>3.供应商应当在投标截止时间前，将生成的“电子加密投标文件”上传递交至“政府采购云平台”。投标截止时间以后上传递交的投标文件将被“政府采购云平台”拒收。</w:t>
      </w:r>
    </w:p>
    <w:p>
      <w:pPr>
        <w:pStyle w:val="43"/>
        <w:spacing w:line="400" w:lineRule="exact"/>
        <w:ind w:firstLine="480" w:firstLineChars="200"/>
        <w:rPr>
          <w:rFonts w:hint="eastAsia"/>
          <w:bCs/>
          <w:color w:val="auto"/>
          <w:kern w:val="2"/>
        </w:rPr>
      </w:pPr>
      <w:r>
        <w:rPr>
          <w:rFonts w:hint="eastAsia"/>
          <w:bCs/>
          <w:color w:val="auto"/>
          <w:kern w:val="2"/>
        </w:rPr>
        <w:t>4.供应商在“政府采购云平台”完成“电子加密投标文件”的上传递交后，以（邮寄形式）在投标截止时间前递交以介质（U盘）存储的数据电文形式的“备份投标文件”，“备份投标文件”应当密封包装并在包装上标注投标项目名称、供应商名称并加盖公章。</w:t>
      </w:r>
    </w:p>
    <w:p>
      <w:pPr>
        <w:pStyle w:val="43"/>
        <w:spacing w:line="400" w:lineRule="exact"/>
        <w:ind w:firstLine="480" w:firstLineChars="200"/>
        <w:rPr>
          <w:rFonts w:hint="eastAsia"/>
          <w:bCs/>
          <w:color w:val="auto"/>
          <w:kern w:val="2"/>
        </w:rPr>
      </w:pPr>
      <w:r>
        <w:rPr>
          <w:rFonts w:hint="eastAsia"/>
          <w:bCs/>
          <w:color w:val="auto"/>
          <w:kern w:val="2"/>
        </w:rPr>
        <w:t>5.通过“政府采购云平台”上传递交的“电子加密投标文件”无法按时解密，供应商递交了备份投标文件的，以备份投标文件为依据，否则视为投标文件撤回。通过“政府采购云平台”上传递交的“电子加密投标文件”已按时解密的，“备份投标文件”自动失效。供应商仅递交备份投标文件的，投标无效。</w:t>
      </w:r>
    </w:p>
    <w:p>
      <w:pPr>
        <w:pStyle w:val="43"/>
        <w:spacing w:line="400" w:lineRule="exact"/>
        <w:outlineLvl w:val="1"/>
        <w:rPr>
          <w:bCs/>
          <w:color w:val="auto"/>
          <w:kern w:val="2"/>
        </w:rPr>
      </w:pPr>
      <w:bookmarkStart w:id="17" w:name="_Toc6076"/>
      <w:r>
        <w:rPr>
          <w:b/>
          <w:color w:val="auto"/>
          <w:kern w:val="2"/>
        </w:rPr>
        <w:t>七、对本次招标提出询问、质疑、投诉，请按以下方式联系</w:t>
      </w:r>
      <w:bookmarkEnd w:id="17"/>
      <w:r>
        <w:rPr>
          <w:rFonts w:hint="eastAsia"/>
          <w:bCs/>
          <w:color w:val="auto"/>
          <w:kern w:val="2"/>
        </w:rPr>
        <w:t>　　　　　　　　　　　　</w:t>
      </w:r>
    </w:p>
    <w:p>
      <w:pPr>
        <w:pStyle w:val="43"/>
        <w:spacing w:line="400" w:lineRule="exact"/>
        <w:ind w:firstLine="482" w:firstLineChars="200"/>
        <w:rPr>
          <w:rFonts w:hint="eastAsia"/>
          <w:b/>
          <w:color w:val="auto"/>
          <w:kern w:val="2"/>
        </w:rPr>
      </w:pPr>
      <w:r>
        <w:rPr>
          <w:rFonts w:hint="eastAsia"/>
          <w:b/>
          <w:color w:val="auto"/>
          <w:kern w:val="2"/>
        </w:rPr>
        <w:t>1.采购人信息</w:t>
      </w:r>
    </w:p>
    <w:p>
      <w:pPr>
        <w:pStyle w:val="43"/>
        <w:spacing w:line="400" w:lineRule="exact"/>
        <w:ind w:firstLine="480" w:firstLineChars="200"/>
        <w:rPr>
          <w:rFonts w:hint="eastAsia"/>
          <w:bCs/>
          <w:color w:val="auto"/>
          <w:kern w:val="2"/>
        </w:rPr>
      </w:pPr>
      <w:r>
        <w:rPr>
          <w:rFonts w:hint="eastAsia"/>
          <w:bCs/>
          <w:color w:val="auto"/>
          <w:kern w:val="2"/>
        </w:rPr>
        <w:t>名    称：</w:t>
      </w:r>
      <w:r>
        <w:rPr>
          <w:rFonts w:hint="eastAsia"/>
          <w:bCs/>
          <w:color w:val="auto"/>
          <w:kern w:val="2"/>
          <w:lang w:eastAsia="zh-CN"/>
        </w:rPr>
        <w:t>嵊州市崇仁镇人民政府</w:t>
      </w:r>
      <w:r>
        <w:rPr>
          <w:rFonts w:hint="eastAsia"/>
          <w:bCs/>
          <w:color w:val="auto"/>
          <w:kern w:val="2"/>
        </w:rPr>
        <w:t>　　　　　　　　　　　</w:t>
      </w:r>
    </w:p>
    <w:p>
      <w:pPr>
        <w:pStyle w:val="43"/>
        <w:spacing w:line="400" w:lineRule="exact"/>
        <w:rPr>
          <w:rFonts w:hint="eastAsia"/>
          <w:bCs/>
          <w:color w:val="auto"/>
          <w:kern w:val="2"/>
        </w:rPr>
      </w:pPr>
      <w:r>
        <w:rPr>
          <w:rFonts w:hint="eastAsia"/>
          <w:bCs/>
          <w:color w:val="auto"/>
          <w:kern w:val="2"/>
        </w:rPr>
        <w:t>   地    址：</w:t>
      </w:r>
      <w:r>
        <w:rPr>
          <w:rStyle w:val="50"/>
          <w:rFonts w:hint="eastAsia"/>
          <w:b w:val="0"/>
          <w:bCs w:val="0"/>
          <w:color w:val="auto"/>
        </w:rPr>
        <w:t>嵊州市</w:t>
      </w:r>
      <w:r>
        <w:rPr>
          <w:rStyle w:val="50"/>
          <w:rFonts w:hint="eastAsia"/>
          <w:b w:val="0"/>
          <w:bCs w:val="0"/>
          <w:color w:val="auto"/>
          <w:lang w:eastAsia="zh-CN"/>
        </w:rPr>
        <w:t>崇仁镇镇南大道</w:t>
      </w:r>
      <w:r>
        <w:rPr>
          <w:rStyle w:val="50"/>
          <w:rFonts w:hint="eastAsia"/>
          <w:b w:val="0"/>
          <w:bCs w:val="0"/>
          <w:color w:val="auto"/>
          <w:lang w:val="en-US" w:eastAsia="zh-CN"/>
        </w:rPr>
        <w:t>68号</w:t>
      </w:r>
      <w:r>
        <w:rPr>
          <w:rFonts w:hint="eastAsia"/>
          <w:bCs/>
          <w:color w:val="auto"/>
          <w:kern w:val="2"/>
        </w:rPr>
        <w:t>       </w:t>
      </w:r>
    </w:p>
    <w:p>
      <w:pPr>
        <w:pStyle w:val="43"/>
        <w:spacing w:line="400" w:lineRule="exact"/>
        <w:rPr>
          <w:rFonts w:hint="eastAsia"/>
          <w:bCs/>
          <w:color w:val="auto"/>
          <w:kern w:val="2"/>
        </w:rPr>
      </w:pPr>
      <w:r>
        <w:rPr>
          <w:rFonts w:hint="eastAsia"/>
          <w:bCs/>
          <w:color w:val="auto"/>
          <w:kern w:val="2"/>
        </w:rPr>
        <w:t>   传    真： /  　　</w:t>
      </w:r>
    </w:p>
    <w:p>
      <w:pPr>
        <w:pStyle w:val="43"/>
        <w:spacing w:line="400" w:lineRule="exact"/>
        <w:ind w:firstLine="480" w:firstLineChars="200"/>
        <w:rPr>
          <w:rFonts w:hint="eastAsia"/>
          <w:bCs/>
          <w:color w:val="auto"/>
          <w:kern w:val="2"/>
        </w:rPr>
      </w:pPr>
      <w:r>
        <w:rPr>
          <w:rFonts w:hint="eastAsia"/>
          <w:bCs/>
          <w:color w:val="auto"/>
          <w:kern w:val="2"/>
        </w:rPr>
        <w:t>项目联系人（询问）：</w:t>
      </w:r>
      <w:r>
        <w:rPr>
          <w:rFonts w:hint="eastAsia"/>
          <w:bCs/>
          <w:color w:val="auto"/>
          <w:kern w:val="2"/>
          <w:lang w:eastAsia="zh-CN"/>
        </w:rPr>
        <w:t>张喆媛</w:t>
      </w:r>
      <w:r>
        <w:rPr>
          <w:rFonts w:hint="eastAsia"/>
          <w:bCs/>
          <w:color w:val="auto"/>
          <w:kern w:val="2"/>
        </w:rPr>
        <w:t>      　　　　　　　　　　</w:t>
      </w:r>
    </w:p>
    <w:p>
      <w:pPr>
        <w:pStyle w:val="43"/>
        <w:spacing w:line="400" w:lineRule="exact"/>
        <w:rPr>
          <w:rFonts w:hint="eastAsia"/>
          <w:bCs/>
          <w:color w:val="auto"/>
          <w:kern w:val="2"/>
        </w:rPr>
      </w:pPr>
      <w:r>
        <w:rPr>
          <w:rFonts w:hint="eastAsia"/>
          <w:bCs/>
          <w:color w:val="auto"/>
          <w:kern w:val="2"/>
        </w:rPr>
        <w:t>   项目联系方式（询问）：0575-</w:t>
      </w:r>
      <w:r>
        <w:rPr>
          <w:rFonts w:hint="eastAsia"/>
          <w:bCs/>
          <w:color w:val="auto"/>
          <w:kern w:val="2"/>
          <w:lang w:eastAsia="zh-CN"/>
        </w:rPr>
        <w:t>83980398</w:t>
      </w:r>
      <w:r>
        <w:rPr>
          <w:rFonts w:hint="eastAsia"/>
          <w:bCs/>
          <w:color w:val="auto"/>
          <w:kern w:val="2"/>
        </w:rPr>
        <w:t>    </w:t>
      </w:r>
    </w:p>
    <w:p>
      <w:pPr>
        <w:pStyle w:val="43"/>
        <w:spacing w:line="400" w:lineRule="exact"/>
        <w:rPr>
          <w:rFonts w:hint="eastAsia"/>
          <w:bCs/>
          <w:color w:val="auto"/>
          <w:kern w:val="2"/>
        </w:rPr>
      </w:pPr>
      <w:r>
        <w:rPr>
          <w:rFonts w:hint="eastAsia"/>
          <w:bCs/>
          <w:color w:val="auto"/>
          <w:kern w:val="2"/>
        </w:rPr>
        <w:t>   质疑联系人：</w:t>
      </w:r>
      <w:r>
        <w:rPr>
          <w:rFonts w:hint="eastAsia"/>
          <w:bCs/>
          <w:color w:val="auto"/>
          <w:kern w:val="2"/>
          <w:lang w:eastAsia="zh-CN"/>
        </w:rPr>
        <w:t>王小姐</w:t>
      </w:r>
      <w:r>
        <w:rPr>
          <w:rFonts w:hint="eastAsia"/>
          <w:bCs/>
          <w:color w:val="auto"/>
          <w:kern w:val="2"/>
        </w:rPr>
        <w:t> </w:t>
      </w:r>
    </w:p>
    <w:p>
      <w:pPr>
        <w:pStyle w:val="43"/>
        <w:spacing w:line="400" w:lineRule="exact"/>
        <w:rPr>
          <w:rFonts w:hint="eastAsia"/>
          <w:bCs/>
          <w:color w:val="auto"/>
          <w:kern w:val="2"/>
        </w:rPr>
      </w:pPr>
      <w:r>
        <w:rPr>
          <w:rFonts w:hint="eastAsia"/>
          <w:bCs/>
          <w:color w:val="auto"/>
          <w:kern w:val="2"/>
        </w:rPr>
        <w:t>   质疑联系方式：0575-</w:t>
      </w:r>
      <w:r>
        <w:rPr>
          <w:rFonts w:hint="eastAsia"/>
          <w:bCs/>
          <w:color w:val="auto"/>
          <w:kern w:val="2"/>
          <w:lang w:eastAsia="zh-CN"/>
        </w:rPr>
        <w:t>83980398</w:t>
      </w:r>
      <w:r>
        <w:rPr>
          <w:rFonts w:hint="eastAsia"/>
          <w:bCs/>
          <w:color w:val="auto"/>
          <w:kern w:val="2"/>
        </w:rPr>
        <w:t>  　　　　　　　　　　</w:t>
      </w:r>
    </w:p>
    <w:p>
      <w:pPr>
        <w:pStyle w:val="43"/>
        <w:spacing w:line="400" w:lineRule="exact"/>
        <w:rPr>
          <w:rFonts w:hint="eastAsia"/>
          <w:bCs/>
          <w:color w:val="auto"/>
          <w:kern w:val="2"/>
        </w:rPr>
      </w:pPr>
      <w:r>
        <w:rPr>
          <w:rFonts w:hint="eastAsia"/>
          <w:bCs/>
          <w:color w:val="auto"/>
          <w:kern w:val="2"/>
        </w:rPr>
        <w:t> </w:t>
      </w:r>
      <w:r>
        <w:rPr>
          <w:rFonts w:hint="eastAsia"/>
          <w:bCs/>
          <w:color w:val="auto"/>
          <w:kern w:val="2"/>
        </w:rPr>
        <w:br w:type="textWrapping"/>
      </w:r>
      <w:r>
        <w:rPr>
          <w:bCs/>
          <w:color w:val="auto"/>
          <w:kern w:val="2"/>
        </w:rPr>
        <w:t xml:space="preserve">  </w:t>
      </w:r>
      <w:r>
        <w:rPr>
          <w:rFonts w:hint="eastAsia"/>
          <w:bCs/>
          <w:color w:val="auto"/>
          <w:kern w:val="2"/>
        </w:rPr>
        <w:t xml:space="preserve"> </w:t>
      </w:r>
      <w:r>
        <w:rPr>
          <w:b/>
          <w:color w:val="auto"/>
          <w:kern w:val="2"/>
        </w:rPr>
        <w:t>2.采购代理机构信息</w:t>
      </w:r>
    </w:p>
    <w:p>
      <w:pPr>
        <w:pStyle w:val="43"/>
        <w:spacing w:line="400" w:lineRule="exact"/>
        <w:rPr>
          <w:rFonts w:hint="eastAsia"/>
          <w:bCs/>
          <w:color w:val="auto"/>
          <w:kern w:val="2"/>
        </w:rPr>
      </w:pPr>
      <w:r>
        <w:rPr>
          <w:rFonts w:hint="eastAsia"/>
          <w:bCs/>
          <w:color w:val="auto"/>
          <w:kern w:val="2"/>
        </w:rPr>
        <w:t>   名    称：嵊州市</w:t>
      </w:r>
      <w:r>
        <w:rPr>
          <w:rFonts w:hint="eastAsia"/>
          <w:color w:val="000000"/>
        </w:rPr>
        <w:t>力标招标代理有限公司</w:t>
      </w:r>
      <w:r>
        <w:rPr>
          <w:rFonts w:hint="eastAsia"/>
          <w:bCs/>
          <w:color w:val="auto"/>
          <w:kern w:val="2"/>
        </w:rPr>
        <w:t> 　　　　　　　　　　　</w:t>
      </w:r>
    </w:p>
    <w:p>
      <w:pPr>
        <w:pStyle w:val="43"/>
        <w:spacing w:line="400" w:lineRule="exact"/>
        <w:rPr>
          <w:rFonts w:hint="eastAsia"/>
          <w:bCs/>
          <w:color w:val="auto"/>
          <w:kern w:val="2"/>
        </w:rPr>
      </w:pPr>
      <w:r>
        <w:rPr>
          <w:rFonts w:hint="eastAsia"/>
          <w:bCs/>
          <w:color w:val="auto"/>
          <w:kern w:val="2"/>
        </w:rPr>
        <w:t>   地    址：嵊州市</w:t>
      </w:r>
      <w:r>
        <w:rPr>
          <w:rFonts w:hint="eastAsia"/>
          <w:color w:val="000000"/>
        </w:rPr>
        <w:t>三江街道迪贝路101号2楼</w:t>
      </w:r>
      <w:r>
        <w:rPr>
          <w:rFonts w:hint="eastAsia"/>
          <w:bCs/>
          <w:color w:val="auto"/>
          <w:kern w:val="2"/>
        </w:rPr>
        <w:t> 　   </w:t>
      </w:r>
    </w:p>
    <w:p>
      <w:pPr>
        <w:pStyle w:val="43"/>
        <w:spacing w:line="400" w:lineRule="exact"/>
        <w:rPr>
          <w:rFonts w:hint="eastAsia"/>
          <w:bCs/>
          <w:color w:val="auto"/>
          <w:kern w:val="2"/>
        </w:rPr>
      </w:pPr>
      <w:r>
        <w:rPr>
          <w:rFonts w:hint="eastAsia"/>
          <w:bCs/>
          <w:color w:val="auto"/>
          <w:kern w:val="2"/>
        </w:rPr>
        <w:t>   传    真：0575-81389228   　</w:t>
      </w:r>
    </w:p>
    <w:p>
      <w:pPr>
        <w:pStyle w:val="43"/>
        <w:spacing w:line="400" w:lineRule="exact"/>
        <w:ind w:firstLine="480" w:firstLineChars="200"/>
        <w:rPr>
          <w:rFonts w:hint="eastAsia"/>
          <w:bCs/>
          <w:color w:val="auto"/>
          <w:kern w:val="2"/>
        </w:rPr>
      </w:pPr>
      <w:r>
        <w:rPr>
          <w:rFonts w:hint="eastAsia"/>
          <w:bCs/>
          <w:color w:val="auto"/>
          <w:kern w:val="2"/>
        </w:rPr>
        <w:t>项目联系人（询问）：王黎明 　   　　　　　　　　　　　</w:t>
      </w:r>
    </w:p>
    <w:p>
      <w:pPr>
        <w:pStyle w:val="43"/>
        <w:spacing w:line="400" w:lineRule="exact"/>
        <w:rPr>
          <w:rFonts w:hint="eastAsia"/>
          <w:bCs/>
          <w:color w:val="auto"/>
          <w:kern w:val="2"/>
        </w:rPr>
      </w:pPr>
      <w:r>
        <w:rPr>
          <w:rFonts w:hint="eastAsia"/>
          <w:bCs/>
          <w:color w:val="auto"/>
          <w:kern w:val="2"/>
        </w:rPr>
        <w:t>   项目联系方式（询问）：0575-81389228 </w:t>
      </w:r>
    </w:p>
    <w:p>
      <w:pPr>
        <w:pStyle w:val="43"/>
        <w:spacing w:line="400" w:lineRule="exact"/>
        <w:rPr>
          <w:rFonts w:hint="eastAsia"/>
          <w:bCs/>
          <w:color w:val="auto"/>
          <w:kern w:val="2"/>
        </w:rPr>
      </w:pPr>
      <w:r>
        <w:rPr>
          <w:rFonts w:hint="eastAsia"/>
          <w:bCs/>
          <w:color w:val="auto"/>
          <w:kern w:val="2"/>
        </w:rPr>
        <w:t>   质疑联系人：徐军 </w:t>
      </w:r>
    </w:p>
    <w:p>
      <w:pPr>
        <w:pStyle w:val="43"/>
        <w:spacing w:line="400" w:lineRule="exact"/>
        <w:rPr>
          <w:bCs/>
          <w:color w:val="auto"/>
          <w:kern w:val="2"/>
        </w:rPr>
      </w:pPr>
      <w:r>
        <w:rPr>
          <w:rFonts w:hint="eastAsia"/>
          <w:bCs/>
          <w:color w:val="auto"/>
          <w:kern w:val="2"/>
        </w:rPr>
        <w:t>   质疑联系方式：13606578487</w:t>
      </w:r>
    </w:p>
    <w:p>
      <w:pPr>
        <w:pStyle w:val="43"/>
        <w:spacing w:line="400" w:lineRule="exact"/>
        <w:rPr>
          <w:rFonts w:hint="eastAsia"/>
          <w:bCs/>
          <w:color w:val="auto"/>
          <w:kern w:val="2"/>
        </w:rPr>
      </w:pPr>
      <w:r>
        <w:rPr>
          <w:rFonts w:hint="eastAsia"/>
          <w:bCs/>
          <w:color w:val="auto"/>
          <w:kern w:val="2"/>
        </w:rPr>
        <w:t> </w:t>
      </w:r>
      <w:r>
        <w:rPr>
          <w:rFonts w:hint="eastAsia"/>
          <w:bCs/>
          <w:color w:val="auto"/>
          <w:kern w:val="2"/>
        </w:rPr>
        <w:br w:type="textWrapping"/>
      </w:r>
      <w:r>
        <w:rPr>
          <w:bCs/>
          <w:color w:val="auto"/>
          <w:kern w:val="2"/>
        </w:rPr>
        <w:t xml:space="preserve">  </w:t>
      </w:r>
      <w:r>
        <w:rPr>
          <w:rFonts w:hint="eastAsia"/>
          <w:b/>
          <w:color w:val="auto"/>
          <w:kern w:val="2"/>
        </w:rPr>
        <w:t xml:space="preserve"> </w:t>
      </w:r>
      <w:r>
        <w:rPr>
          <w:b/>
          <w:color w:val="auto"/>
          <w:kern w:val="2"/>
        </w:rPr>
        <w:t>3.同级政府采购监督管理部门</w:t>
      </w:r>
    </w:p>
    <w:p>
      <w:pPr>
        <w:pStyle w:val="43"/>
        <w:spacing w:line="400" w:lineRule="exact"/>
        <w:rPr>
          <w:rFonts w:hint="eastAsia"/>
          <w:bCs/>
          <w:color w:val="auto"/>
          <w:kern w:val="2"/>
        </w:rPr>
      </w:pPr>
      <w:r>
        <w:rPr>
          <w:rFonts w:hint="eastAsia"/>
          <w:bCs/>
          <w:color w:val="auto"/>
          <w:kern w:val="2"/>
        </w:rPr>
        <w:t>   名    称：嵊州市采购监管 　　　　　　　　　　　</w:t>
      </w:r>
    </w:p>
    <w:p>
      <w:pPr>
        <w:pStyle w:val="43"/>
        <w:spacing w:line="400" w:lineRule="exact"/>
        <w:rPr>
          <w:rFonts w:hint="eastAsia"/>
          <w:bCs/>
          <w:color w:val="auto"/>
          <w:kern w:val="2"/>
        </w:rPr>
      </w:pPr>
      <w:r>
        <w:rPr>
          <w:rFonts w:hint="eastAsia"/>
          <w:bCs/>
          <w:color w:val="auto"/>
          <w:kern w:val="2"/>
        </w:rPr>
        <w:t>   地    址：嵊州市国资大楼10楼  　　　　　　　　　　　</w:t>
      </w:r>
    </w:p>
    <w:p>
      <w:pPr>
        <w:pStyle w:val="43"/>
        <w:spacing w:line="400" w:lineRule="exact"/>
        <w:ind w:firstLine="480" w:firstLineChars="200"/>
        <w:rPr>
          <w:rFonts w:hint="eastAsia"/>
          <w:bCs/>
          <w:color w:val="auto"/>
          <w:kern w:val="2"/>
        </w:rPr>
      </w:pPr>
      <w:r>
        <w:rPr>
          <w:rFonts w:hint="eastAsia"/>
          <w:bCs/>
          <w:color w:val="auto"/>
          <w:kern w:val="2"/>
        </w:rPr>
        <w:t>传    真： / 　   </w:t>
      </w:r>
    </w:p>
    <w:p>
      <w:pPr>
        <w:pStyle w:val="43"/>
        <w:spacing w:line="400" w:lineRule="exact"/>
        <w:ind w:firstLine="480" w:firstLineChars="200"/>
        <w:rPr>
          <w:rFonts w:hint="eastAsia"/>
          <w:bCs/>
          <w:color w:val="auto"/>
          <w:kern w:val="2"/>
        </w:rPr>
      </w:pPr>
      <w:r>
        <w:rPr>
          <w:rFonts w:hint="eastAsia"/>
          <w:bCs/>
          <w:color w:val="auto"/>
          <w:kern w:val="2"/>
        </w:rPr>
        <w:t>联系人 ： 张晏忠   　　　　　　　　　　　</w:t>
      </w:r>
    </w:p>
    <w:p>
      <w:pPr>
        <w:pStyle w:val="43"/>
        <w:spacing w:line="400" w:lineRule="exact"/>
        <w:ind w:firstLine="480" w:firstLineChars="200"/>
        <w:rPr>
          <w:rFonts w:hint="eastAsia"/>
          <w:bCs/>
          <w:color w:val="auto"/>
          <w:kern w:val="2"/>
        </w:rPr>
      </w:pPr>
      <w:r>
        <w:rPr>
          <w:rFonts w:hint="eastAsia"/>
          <w:bCs/>
          <w:color w:val="auto"/>
          <w:kern w:val="2"/>
        </w:rPr>
        <w:t>监督投诉电话：0575-81397906 　　</w:t>
      </w:r>
    </w:p>
    <w:p/>
    <w:p>
      <w:pPr>
        <w:jc w:val="both"/>
        <w:outlineLvl w:val="0"/>
        <w:rPr>
          <w:rFonts w:hint="eastAsia"/>
          <w:b/>
          <w:bCs/>
          <w:sz w:val="36"/>
          <w:szCs w:val="36"/>
        </w:rPr>
      </w:pPr>
      <w:bookmarkStart w:id="18" w:name="_Toc11206"/>
      <w:bookmarkStart w:id="19" w:name="_Toc18739"/>
      <w:bookmarkStart w:id="20" w:name="_Toc26796"/>
      <w:bookmarkStart w:id="21" w:name="_Toc4729"/>
      <w:bookmarkStart w:id="22" w:name="_Toc21518"/>
      <w:bookmarkStart w:id="23" w:name="_Toc24101"/>
      <w:bookmarkStart w:id="24" w:name="_Toc350327691"/>
      <w:bookmarkStart w:id="25" w:name="_Toc32169"/>
      <w:bookmarkStart w:id="26" w:name="_Toc2745"/>
      <w:bookmarkStart w:id="27" w:name="_Toc3669"/>
    </w:p>
    <w:p>
      <w:pPr>
        <w:jc w:val="center"/>
        <w:outlineLvl w:val="0"/>
        <w:rPr>
          <w:rFonts w:hint="eastAsia"/>
          <w:b/>
          <w:bCs/>
          <w:sz w:val="36"/>
          <w:szCs w:val="36"/>
        </w:rPr>
      </w:pPr>
      <w:r>
        <w:rPr>
          <w:rFonts w:hint="eastAsia"/>
          <w:b/>
          <w:bCs/>
          <w:sz w:val="36"/>
          <w:szCs w:val="36"/>
        </w:rPr>
        <w:t>第二章  投标方须知</w:t>
      </w:r>
      <w:bookmarkEnd w:id="18"/>
      <w:bookmarkEnd w:id="19"/>
    </w:p>
    <w:p>
      <w:pPr>
        <w:jc w:val="center"/>
        <w:outlineLvl w:val="1"/>
        <w:rPr>
          <w:rFonts w:hint="eastAsia"/>
          <w:b/>
          <w:bCs/>
          <w:sz w:val="28"/>
          <w:szCs w:val="28"/>
        </w:rPr>
      </w:pPr>
      <w:bookmarkStart w:id="28" w:name="_Toc25547"/>
      <w:r>
        <w:rPr>
          <w:rFonts w:hint="eastAsia"/>
          <w:b/>
          <w:bCs/>
          <w:sz w:val="28"/>
          <w:szCs w:val="28"/>
        </w:rPr>
        <w:t>前附表</w:t>
      </w:r>
      <w:bookmarkEnd w:id="28"/>
    </w:p>
    <w:bookmarkEnd w:id="20"/>
    <w:bookmarkEnd w:id="21"/>
    <w:bookmarkEnd w:id="22"/>
    <w:bookmarkEnd w:id="23"/>
    <w:bookmarkEnd w:id="24"/>
    <w:bookmarkEnd w:id="25"/>
    <w:tbl>
      <w:tblPr>
        <w:tblStyle w:val="4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0"/>
        <w:gridCol w:w="1470"/>
        <w:gridCol w:w="77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 w:val="24"/>
              </w:rPr>
            </w:pPr>
            <w:r>
              <w:rPr>
                <w:rFonts w:hint="eastAsia" w:ascii="宋体" w:hAnsi="宋体" w:cs="宋体"/>
                <w:sz w:val="24"/>
              </w:rPr>
              <w:t>序号</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项目</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内    容    及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 w:val="24"/>
              </w:rPr>
            </w:pPr>
            <w:r>
              <w:rPr>
                <w:rFonts w:hint="eastAsia" w:ascii="宋体" w:hAnsi="宋体" w:cs="宋体"/>
                <w:sz w:val="24"/>
              </w:rPr>
              <w:t>1</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 w:val="24"/>
              </w:rPr>
            </w:pPr>
            <w:r>
              <w:rPr>
                <w:rFonts w:hint="eastAsia" w:ascii="宋体" w:hAnsi="宋体" w:cs="宋体"/>
                <w:sz w:val="24"/>
              </w:rPr>
              <w:t>项目名称及数量</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 w:val="24"/>
              </w:rPr>
            </w:pPr>
            <w:r>
              <w:rPr>
                <w:rFonts w:hint="eastAsia" w:ascii="宋体" w:hAnsi="宋体" w:cs="宋体"/>
                <w:bCs/>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 w:val="24"/>
              </w:rPr>
            </w:pPr>
            <w:r>
              <w:rPr>
                <w:rFonts w:hint="eastAsia" w:ascii="宋体" w:hAnsi="宋体" w:cs="宋体"/>
                <w:sz w:val="24"/>
              </w:rPr>
              <w:t>2</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投标保证金</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sz w:val="24"/>
              </w:rPr>
            </w:pPr>
            <w:r>
              <w:rPr>
                <w:rFonts w:hint="eastAsia" w:ascii="宋体" w:hAnsi="宋体" w:cs="宋体"/>
                <w:kern w:val="0"/>
                <w:sz w:val="24"/>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8"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 w:val="24"/>
              </w:rPr>
            </w:pPr>
            <w:r>
              <w:rPr>
                <w:rFonts w:hint="eastAsia" w:ascii="宋体" w:hAnsi="宋体" w:cs="宋体"/>
                <w:sz w:val="24"/>
              </w:rPr>
              <w:t>3</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投标报价及费用</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 w:val="24"/>
              </w:rPr>
            </w:pPr>
            <w:r>
              <w:rPr>
                <w:rFonts w:hint="eastAsia" w:ascii="宋体" w:hAnsi="宋体" w:cs="宋体"/>
                <w:sz w:val="24"/>
              </w:rPr>
              <w:t>1.本项目投标应以人民币报价；2.不论投标结果如何，投标人均应自行承担所有与投标有关的全部费用；3.本项目代理服务费：依据国家计委：计价格[2002]1980号文件规定收费标准</w:t>
            </w:r>
            <w:r>
              <w:rPr>
                <w:rFonts w:hint="eastAsia" w:ascii="宋体" w:hAnsi="宋体" w:cs="宋体"/>
                <w:sz w:val="24"/>
                <w:lang w:eastAsia="zh-CN"/>
              </w:rPr>
              <w:t>（按预算控制价）</w:t>
            </w:r>
            <w:r>
              <w:rPr>
                <w:rFonts w:hint="eastAsia" w:ascii="宋体" w:hAnsi="宋体" w:cs="宋体"/>
                <w:sz w:val="24"/>
              </w:rPr>
              <w:t>由中标人在领取中标通知书时支付；4.代理服务费以（转账或现金形式支付）转账账户 ：</w:t>
            </w:r>
          </w:p>
          <w:p>
            <w:pPr>
              <w:snapToGrid w:val="0"/>
              <w:rPr>
                <w:rFonts w:hint="eastAsia" w:ascii="宋体" w:hAnsi="宋体" w:cs="宋体"/>
                <w:sz w:val="24"/>
              </w:rPr>
            </w:pPr>
            <w:r>
              <w:rPr>
                <w:rFonts w:hint="eastAsia" w:ascii="宋体" w:hAnsi="宋体" w:cs="宋体"/>
                <w:sz w:val="24"/>
              </w:rPr>
              <w:t>公司名称：嵊州市力标招标代理有限公司</w:t>
            </w:r>
          </w:p>
          <w:p>
            <w:pPr>
              <w:snapToGrid w:val="0"/>
              <w:rPr>
                <w:rFonts w:hint="eastAsia" w:ascii="宋体" w:hAnsi="宋体" w:cs="宋体"/>
                <w:sz w:val="24"/>
              </w:rPr>
            </w:pPr>
            <w:r>
              <w:rPr>
                <w:rFonts w:hint="eastAsia" w:ascii="宋体" w:hAnsi="宋体" w:cs="宋体"/>
                <w:sz w:val="24"/>
              </w:rPr>
              <w:t>开户银行：中国农业银行嵊州市经济开发区支行</w:t>
            </w:r>
          </w:p>
          <w:p>
            <w:pPr>
              <w:snapToGrid w:val="0"/>
              <w:rPr>
                <w:rFonts w:hint="eastAsia" w:ascii="宋体" w:hAnsi="宋体" w:cs="宋体"/>
                <w:sz w:val="24"/>
              </w:rPr>
            </w:pPr>
            <w:r>
              <w:rPr>
                <w:rFonts w:hint="eastAsia" w:ascii="宋体" w:hAnsi="宋体" w:cs="宋体"/>
                <w:sz w:val="24"/>
              </w:rPr>
              <w:t>帐    号：19520601040003002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 w:val="24"/>
              </w:rPr>
            </w:pPr>
            <w:r>
              <w:rPr>
                <w:rFonts w:hint="eastAsia" w:ascii="宋体" w:hAnsi="宋体" w:cs="宋体"/>
                <w:sz w:val="24"/>
              </w:rPr>
              <w:t>4</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 w:val="24"/>
              </w:rPr>
            </w:pPr>
            <w:r>
              <w:rPr>
                <w:rFonts w:hint="eastAsia" w:ascii="宋体" w:hAnsi="宋体" w:cs="宋体"/>
                <w:sz w:val="24"/>
              </w:rPr>
              <w:t>答疑与澄清</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 w:val="24"/>
              </w:rPr>
            </w:pPr>
            <w:r>
              <w:rPr>
                <w:rFonts w:hint="eastAsia" w:ascii="宋体" w:hAnsi="宋体" w:cs="宋体"/>
                <w:sz w:val="24"/>
              </w:rPr>
              <w:t>供应商认为采购文件使自己的权益受到损害的，可以自收到采购文件之日（发售截止日之后收到采购文件的，以发售截止日为准）或者采购文件公告期限届满之日（即为招标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 w:val="24"/>
              </w:rPr>
            </w:pPr>
            <w:r>
              <w:rPr>
                <w:rFonts w:hint="eastAsia" w:ascii="宋体" w:hAnsi="宋体" w:cs="宋体"/>
                <w:sz w:val="24"/>
              </w:rPr>
              <w:t>5</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sz w:val="24"/>
              </w:rPr>
            </w:pPr>
            <w:r>
              <w:rPr>
                <w:rFonts w:hint="eastAsia" w:ascii="宋体" w:hAnsi="宋体" w:cs="宋体"/>
                <w:color w:val="000000"/>
                <w:sz w:val="24"/>
              </w:rPr>
              <w:t>现场踏勘</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000000"/>
                <w:sz w:val="24"/>
              </w:rPr>
            </w:pPr>
            <w:r>
              <w:rPr>
                <w:rFonts w:hint="eastAsia" w:ascii="宋体" w:hAnsi="宋体" w:cs="宋体"/>
                <w:color w:val="000000"/>
                <w:kern w:val="0"/>
                <w:sz w:val="24"/>
              </w:rPr>
              <w:t>自行踏勘。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 w:val="24"/>
              </w:rPr>
            </w:pPr>
            <w:r>
              <w:rPr>
                <w:rFonts w:hint="eastAsia" w:ascii="宋体" w:hAnsi="宋体" w:cs="宋体"/>
                <w:sz w:val="24"/>
              </w:rPr>
              <w:t>6</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color w:val="000000"/>
                <w:sz w:val="24"/>
              </w:rPr>
            </w:pPr>
            <w:r>
              <w:rPr>
                <w:rFonts w:hint="eastAsia" w:ascii="宋体" w:hAnsi="宋体" w:cs="宋体"/>
                <w:color w:val="000000"/>
                <w:sz w:val="24"/>
              </w:rPr>
              <w:t>样品</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color w:val="000000"/>
                <w:sz w:val="24"/>
              </w:rPr>
            </w:pPr>
            <w:r>
              <w:rPr>
                <w:rFonts w:hint="eastAsia" w:ascii="宋体" w:hAnsi="宋体" w:cs="宋体"/>
                <w:color w:val="00000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FF0000"/>
                <w:sz w:val="24"/>
              </w:rPr>
            </w:pPr>
            <w:r>
              <w:rPr>
                <w:rFonts w:hint="eastAsia" w:ascii="宋体" w:hAnsi="宋体" w:cs="宋体"/>
                <w:sz w:val="24"/>
              </w:rPr>
              <w:t>7</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textAlignment w:val="bottom"/>
              <w:rPr>
                <w:rFonts w:ascii="宋体" w:hAnsi="宋体" w:cs="宋体"/>
                <w:sz w:val="24"/>
              </w:rPr>
            </w:pPr>
            <w:r>
              <w:rPr>
                <w:rFonts w:hint="eastAsia" w:ascii="宋体" w:hAnsi="宋体" w:cs="宋体"/>
                <w:sz w:val="24"/>
                <w:lang w:val="zh-CN"/>
              </w:rPr>
              <w:t>投标文件组成、</w:t>
            </w:r>
            <w:r>
              <w:rPr>
                <w:rFonts w:hint="eastAsia" w:ascii="宋体" w:hAnsi="宋体" w:cs="宋体"/>
                <w:sz w:val="24"/>
              </w:rPr>
              <w:t>投标文件的编制及</w:t>
            </w:r>
            <w:r>
              <w:rPr>
                <w:rFonts w:hint="eastAsia" w:ascii="宋体" w:hAnsi="宋体" w:cs="宋体"/>
                <w:sz w:val="24"/>
                <w:lang w:val="zh-CN"/>
              </w:rPr>
              <w:t>在线投标响应（电子投标）说明</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1</w:t>
            </w:r>
            <w:r>
              <w:rPr>
                <w:rFonts w:hint="eastAsia" w:ascii="宋体" w:hAnsi="宋体" w:cs="宋体"/>
                <w:sz w:val="24"/>
              </w:rPr>
              <w:t>.</w:t>
            </w:r>
            <w:r>
              <w:rPr>
                <w:rFonts w:hint="eastAsia" w:ascii="宋体" w:hAnsi="宋体" w:cs="宋体"/>
                <w:sz w:val="24"/>
                <w:lang w:val="zh-CN"/>
              </w:rPr>
              <w:t>投标文件由</w:t>
            </w:r>
            <w:r>
              <w:rPr>
                <w:rFonts w:hint="eastAsia" w:ascii="宋体" w:hAnsi="宋体" w:cs="宋体"/>
                <w:sz w:val="24"/>
              </w:rPr>
              <w:t>资格证明文件、商务技术文件、报价文件</w:t>
            </w:r>
            <w:r>
              <w:rPr>
                <w:rFonts w:hint="eastAsia" w:ascii="宋体" w:hAnsi="宋体" w:cs="宋体"/>
                <w:sz w:val="24"/>
                <w:lang w:val="zh-CN"/>
              </w:rPr>
              <w:t>组成。</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2</w:t>
            </w:r>
            <w:r>
              <w:rPr>
                <w:rFonts w:hint="eastAsia" w:ascii="宋体" w:hAnsi="宋体" w:cs="宋体"/>
                <w:sz w:val="24"/>
              </w:rPr>
              <w:t>.</w:t>
            </w:r>
            <w:r>
              <w:rPr>
                <w:rFonts w:hint="eastAsia" w:ascii="宋体" w:hAnsi="宋体" w:cs="宋体"/>
                <w:sz w:val="24"/>
                <w:lang w:val="zh-CN"/>
              </w:rPr>
              <w:t>投标文件编制：供应商应先安装“政采云电子交易客户端”，并按照本采购文件和“政府采购云平台”的要求，通过“政采云电子交易客户端”编制并加密投标文件。</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3</w:t>
            </w:r>
            <w:r>
              <w:rPr>
                <w:rFonts w:hint="eastAsia" w:ascii="宋体" w:hAnsi="宋体" w:cs="宋体"/>
                <w:sz w:val="24"/>
              </w:rPr>
              <w:t>.</w:t>
            </w:r>
            <w:r>
              <w:rPr>
                <w:rFonts w:hint="eastAsia" w:ascii="宋体" w:hAnsi="宋体" w:cs="宋体"/>
                <w:sz w:val="24"/>
                <w:lang w:val="zh-CN"/>
              </w:rPr>
              <w:t>投标文件的形式：☑电子投标文件（包括“电子加密投标文件”和“备份投标文件”，在投标文件编制完成后同时生成）；</w:t>
            </w:r>
          </w:p>
          <w:p>
            <w:pPr>
              <w:autoSpaceDE w:val="0"/>
              <w:autoSpaceDN w:val="0"/>
              <w:snapToGrid w:val="0"/>
              <w:textAlignment w:val="bottom"/>
              <w:rPr>
                <w:rFonts w:hint="eastAsia" w:ascii="宋体" w:hAnsi="宋体" w:cs="宋体"/>
                <w:b/>
                <w:bCs/>
                <w:sz w:val="24"/>
                <w:lang w:val="zh-CN"/>
              </w:rPr>
            </w:pPr>
            <w:r>
              <w:rPr>
                <w:rFonts w:hint="eastAsia" w:ascii="宋体" w:hAnsi="宋体" w:cs="宋体"/>
                <w:sz w:val="24"/>
                <w:lang w:val="zh-CN"/>
              </w:rPr>
              <w:t>（1）“电子加密投标文件”是指通过“政采云电子交易客户端”完成投标文件编制后生成并加密的数据电文形式的投标文件。</w:t>
            </w:r>
            <w:r>
              <w:rPr>
                <w:rFonts w:hint="eastAsia" w:ascii="宋体" w:hAnsi="宋体" w:cs="宋体"/>
                <w:b/>
                <w:bCs/>
                <w:sz w:val="24"/>
                <w:lang w:val="zh-CN"/>
              </w:rPr>
              <w:t>解密投标文件的 CA 锁和制作投标文件的 CA锁需一致。</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（2）“备份投标文件”是指与“电子加密投标文件”同时生成的数据电文形式的电子文件（备份标书），其他方式编制的备份投标文件视为无效备份投标文件。</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4</w:t>
            </w:r>
            <w:r>
              <w:rPr>
                <w:rFonts w:hint="eastAsia" w:ascii="宋体" w:hAnsi="宋体" w:cs="宋体"/>
                <w:sz w:val="24"/>
              </w:rPr>
              <w:t>.</w:t>
            </w:r>
            <w:r>
              <w:rPr>
                <w:rFonts w:hint="eastAsia" w:ascii="宋体" w:hAnsi="宋体" w:cs="宋体"/>
                <w:sz w:val="24"/>
                <w:lang w:val="zh-CN"/>
              </w:rPr>
              <w:t>投标文件份数：（1）“电子加密投标文件”：在线上传递交、一份。（2）“备份投标文件”：（自愿提交，非强制性）；用途：标书解密异常时应急使用；如果提交，密封包装后（建议以邮寄形式）必须在投标截止时间前递交、一份（邮寄地址：</w:t>
            </w:r>
            <w:r>
              <w:rPr>
                <w:rFonts w:hint="eastAsia" w:ascii="宋体" w:hAnsi="宋体" w:cs="宋体"/>
                <w:sz w:val="24"/>
              </w:rPr>
              <w:t>嵊州市三江街道迪贝路101号2楼</w:t>
            </w:r>
            <w:r>
              <w:rPr>
                <w:rFonts w:hint="eastAsia" w:ascii="宋体" w:hAnsi="宋体" w:cs="宋体"/>
                <w:sz w:val="24"/>
                <w:lang w:val="zh-CN"/>
              </w:rPr>
              <w:t>，</w:t>
            </w:r>
            <w:r>
              <w:rPr>
                <w:rFonts w:hint="eastAsia" w:ascii="宋体" w:hAnsi="宋体" w:cs="宋体"/>
                <w:sz w:val="24"/>
              </w:rPr>
              <w:t>王黎明</w:t>
            </w:r>
            <w:r>
              <w:rPr>
                <w:rFonts w:hint="eastAsia" w:ascii="宋体" w:hAnsi="宋体" w:cs="宋体"/>
                <w:sz w:val="24"/>
                <w:lang w:val="zh-CN"/>
              </w:rPr>
              <w:t>收，</w:t>
            </w:r>
            <w:r>
              <w:rPr>
                <w:rFonts w:hint="eastAsia" w:ascii="宋体" w:hAnsi="宋体" w:cs="宋体"/>
                <w:sz w:val="24"/>
              </w:rPr>
              <w:t>13777339331</w:t>
            </w:r>
            <w:r>
              <w:rPr>
                <w:rFonts w:hint="eastAsia" w:ascii="宋体" w:hAnsi="宋体" w:cs="宋体"/>
                <w:sz w:val="24"/>
                <w:lang w:val="zh-CN"/>
              </w:rPr>
              <w:t>，以接收签收时间为准）。</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5</w:t>
            </w:r>
            <w:r>
              <w:rPr>
                <w:rFonts w:hint="eastAsia" w:ascii="宋体" w:hAnsi="宋体" w:cs="宋体"/>
                <w:sz w:val="24"/>
              </w:rPr>
              <w:t>.</w:t>
            </w:r>
            <w:r>
              <w:rPr>
                <w:rFonts w:hint="eastAsia" w:ascii="宋体" w:hAnsi="宋体" w:cs="宋体"/>
                <w:sz w:val="24"/>
                <w:lang w:val="zh-CN"/>
              </w:rPr>
              <w:t>投标文件的上传和递交：</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（1）“电子加密投标文件”的上传、递交：</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a.供应商应在投标截止时间前将“电子加密投标文件”成功上传递交至“政府采购云平台”，否则投标无效。</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b.“电子加密投标文件”成功上传递交后，供应商可自行打印投标文件接收回执。</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（2）“备份投标文件”的密封包装、递交（自愿提交，非强制性）：</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a.供应商在“政府采购云平台”完成“电子加密投标文件”的上传递交后，以（邮寄形式）在投标截止时间前递交以介质（U盘）存储的 “备份投标文件”（一份）；</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b.“备份投标文件”应当密封包装，并在包装上标注投标项目名称、投标单位名称并加盖公章。没有密封包装或者逾期邮寄送达至投标地点的“备份投标文件”将不予接收；</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c.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6</w:t>
            </w:r>
            <w:r>
              <w:rPr>
                <w:rFonts w:hint="eastAsia" w:ascii="宋体" w:hAnsi="宋体" w:cs="宋体"/>
                <w:sz w:val="24"/>
              </w:rPr>
              <w:t>.</w:t>
            </w:r>
            <w:r>
              <w:rPr>
                <w:rFonts w:hint="eastAsia" w:ascii="宋体" w:hAnsi="宋体" w:cs="宋体"/>
                <w:sz w:val="24"/>
                <w:lang w:val="zh-CN"/>
              </w:rPr>
              <w:t>电子加密投标文件的解密和异常情况处理：</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（1）开标后，采购组织机构将向各供应商发出“电子加密投标文件”的解密通知，各供应商代表应当在接到解密通知后</w:t>
            </w:r>
            <w:r>
              <w:rPr>
                <w:rFonts w:hint="eastAsia" w:ascii="宋体" w:hAnsi="宋体" w:cs="宋体"/>
                <w:color w:val="FF0000"/>
                <w:sz w:val="24"/>
              </w:rPr>
              <w:t>30</w:t>
            </w:r>
            <w:r>
              <w:rPr>
                <w:rFonts w:hint="eastAsia" w:ascii="宋体" w:hAnsi="宋体" w:cs="宋体"/>
                <w:color w:val="FF0000"/>
                <w:sz w:val="24"/>
                <w:lang w:val="zh-CN"/>
              </w:rPr>
              <w:t>分钟</w:t>
            </w:r>
            <w:r>
              <w:rPr>
                <w:rFonts w:hint="eastAsia" w:ascii="宋体" w:hAnsi="宋体" w:cs="宋体"/>
                <w:sz w:val="24"/>
                <w:lang w:val="zh-CN"/>
              </w:rPr>
              <w:t>内自行完成“电子加密投标文件”的在线解密。</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（3）投标截止时间前，供应商仅递交了“备份投标文件”而未将电子加密投标文件上传至“政府采购云平台”的，投标无效。</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7</w:t>
            </w:r>
            <w:r>
              <w:rPr>
                <w:rFonts w:hint="eastAsia" w:ascii="宋体" w:hAnsi="宋体" w:cs="宋体"/>
                <w:sz w:val="24"/>
              </w:rPr>
              <w:t>.</w:t>
            </w:r>
            <w:r>
              <w:rPr>
                <w:rFonts w:hint="eastAsia" w:ascii="宋体" w:hAnsi="宋体" w:cs="宋体"/>
                <w:sz w:val="24"/>
                <w:lang w:val="zh-CN"/>
              </w:rPr>
              <w:t>投标截止后，在投标有效期内，供应商不能撤销投标文件。供应商强行撤销投标文件的，应按预算金额的2%赔偿对招标代理机构造成的损失。</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8</w:t>
            </w:r>
            <w:r>
              <w:rPr>
                <w:rFonts w:hint="eastAsia" w:ascii="宋体" w:hAnsi="宋体" w:cs="宋体"/>
                <w:sz w:val="24"/>
              </w:rPr>
              <w:t>.</w:t>
            </w:r>
            <w:r>
              <w:rPr>
                <w:rFonts w:hint="eastAsia" w:ascii="宋体" w:hAnsi="宋体" w:cs="宋体"/>
                <w:sz w:val="24"/>
                <w:lang w:val="zh-CN"/>
              </w:rPr>
              <w:t>中标后，供应商拒绝签订合同的，采购人可以按照评审报告推荐的中标候选人名单排序，确定下一候选人为中标供应商，也可以重新开展政府采购活动。供应商中标后拒绝签订合同的，应按预算金额的2%对采购人进行赔偿；赔偿金额不足以弥补采购人损失的，供应商应继续承担超过部分的损失。</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9</w:t>
            </w:r>
            <w:r>
              <w:rPr>
                <w:rFonts w:hint="eastAsia" w:ascii="宋体" w:hAnsi="宋体" w:cs="宋体"/>
                <w:sz w:val="24"/>
              </w:rPr>
              <w:t>.</w:t>
            </w:r>
            <w:r>
              <w:rPr>
                <w:rFonts w:hint="eastAsia" w:ascii="宋体" w:hAnsi="宋体" w:cs="宋体"/>
                <w:sz w:val="24"/>
                <w:lang w:val="zh-CN"/>
              </w:rPr>
              <w:t>存在下列行为的，招标代理机构将其失信行为上报政府采购主管部门，由主管部门按有关规定对其违法失信行为记录进行公开：</w:t>
            </w:r>
          </w:p>
          <w:p>
            <w:pPr>
              <w:autoSpaceDE w:val="0"/>
              <w:autoSpaceDN w:val="0"/>
              <w:snapToGrid w:val="0"/>
              <w:textAlignment w:val="bottom"/>
              <w:rPr>
                <w:rFonts w:hint="eastAsia" w:ascii="宋体" w:hAnsi="宋体" w:cs="宋体"/>
                <w:sz w:val="24"/>
                <w:lang w:val="zh-CN"/>
              </w:rPr>
            </w:pPr>
            <w:r>
              <w:rPr>
                <w:rFonts w:hint="eastAsia" w:ascii="宋体" w:hAnsi="宋体" w:cs="宋体"/>
                <w:sz w:val="24"/>
                <w:lang w:val="zh-CN"/>
              </w:rPr>
              <w:t>（1）中标或者成交后，拒绝签订政府采购合同的；</w:t>
            </w:r>
          </w:p>
          <w:p>
            <w:pPr>
              <w:autoSpaceDE w:val="0"/>
              <w:autoSpaceDN w:val="0"/>
              <w:snapToGrid w:val="0"/>
              <w:textAlignment w:val="bottom"/>
              <w:rPr>
                <w:rFonts w:hint="eastAsia" w:ascii="宋体" w:hAnsi="宋体" w:cs="宋体"/>
                <w:sz w:val="24"/>
              </w:rPr>
            </w:pPr>
            <w:r>
              <w:rPr>
                <w:rFonts w:hint="eastAsia" w:ascii="宋体" w:hAnsi="宋体" w:cs="宋体"/>
                <w:sz w:val="24"/>
                <w:lang w:val="zh-CN"/>
              </w:rPr>
              <w:t>（2）投标有效期内撤销投标文件的。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8</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textAlignment w:val="bottom"/>
              <w:rPr>
                <w:rFonts w:ascii="宋体" w:hAnsi="宋体" w:cs="宋体"/>
                <w:sz w:val="24"/>
              </w:rPr>
            </w:pPr>
            <w:r>
              <w:rPr>
                <w:rFonts w:hint="eastAsia" w:ascii="宋体" w:hAnsi="宋体" w:cs="宋体"/>
                <w:sz w:val="24"/>
              </w:rPr>
              <w:t>招标结果公示</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 w:val="24"/>
              </w:rPr>
            </w:pPr>
            <w:r>
              <w:rPr>
                <w:rFonts w:hint="eastAsia" w:ascii="宋体" w:hAnsi="宋体" w:cs="宋体"/>
                <w:sz w:val="24"/>
              </w:rPr>
              <w:t>评标结束结果经采购人确认后2个工作日内发出中标通知书，并在浙江省政府采购网(http://www.zjzfcg.gov.cn)发布中标公告。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9</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center"/>
              <w:textAlignment w:val="bottom"/>
              <w:rPr>
                <w:rFonts w:ascii="宋体" w:hAnsi="宋体" w:cs="宋体"/>
                <w:sz w:val="24"/>
              </w:rPr>
            </w:pPr>
            <w:r>
              <w:rPr>
                <w:rFonts w:hint="eastAsia" w:ascii="宋体" w:hAnsi="宋体" w:cs="宋体"/>
                <w:sz w:val="24"/>
              </w:rPr>
              <w:t>签订合同时间</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sz w:val="24"/>
              </w:rPr>
            </w:pPr>
            <w:r>
              <w:rPr>
                <w:rFonts w:hint="eastAsia" w:ascii="宋体" w:hAnsi="宋体" w:cs="宋体"/>
                <w:sz w:val="24"/>
              </w:rPr>
              <w:t>中标通知书发出后</w:t>
            </w:r>
            <w:r>
              <w:rPr>
                <w:rFonts w:hint="eastAsia" w:ascii="宋体" w:hAnsi="宋体" w:cs="宋体"/>
                <w:sz w:val="24"/>
                <w:u w:val="single"/>
              </w:rPr>
              <w:t>30</w:t>
            </w:r>
            <w:r>
              <w:rPr>
                <w:rFonts w:hint="eastAsia" w:ascii="宋体" w:hAnsi="宋体" w:cs="宋体"/>
                <w:sz w:val="24"/>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10</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宋体" w:hAnsi="宋体" w:cs="宋体"/>
                <w:sz w:val="24"/>
              </w:rPr>
            </w:pPr>
            <w:r>
              <w:rPr>
                <w:rFonts w:hint="eastAsia" w:ascii="宋体" w:hAnsi="宋体" w:cs="宋体"/>
                <w:sz w:val="24"/>
              </w:rPr>
              <w:t>付款方式</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cs="宋体"/>
                <w:sz w:val="24"/>
              </w:rPr>
            </w:pPr>
            <w:r>
              <w:rPr>
                <w:rFonts w:hint="eastAsia" w:ascii="宋体" w:hAnsi="宋体"/>
                <w:sz w:val="24"/>
              </w:rPr>
              <w:t>详见各商务条款。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11</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 w:val="24"/>
              </w:rPr>
            </w:pPr>
            <w:r>
              <w:rPr>
                <w:rFonts w:hint="eastAsia" w:ascii="宋体" w:hAnsi="宋体"/>
                <w:sz w:val="24"/>
              </w:rPr>
              <w:t>履约保证金</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宋体" w:hAnsi="宋体"/>
                <w:sz w:val="24"/>
              </w:rPr>
            </w:pPr>
            <w:r>
              <w:rPr>
                <w:rFonts w:hint="eastAsia" w:ascii="宋体" w:hAnsi="宋体"/>
                <w:sz w:val="24"/>
              </w:rPr>
              <w:t>详见各商务条款。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12</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 w:val="24"/>
              </w:rPr>
            </w:pPr>
            <w:r>
              <w:rPr>
                <w:rFonts w:hint="eastAsia" w:ascii="宋体" w:hAnsi="宋体" w:cs="宋体"/>
                <w:sz w:val="24"/>
              </w:rPr>
              <w:t>投标文件有效期</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 w:val="24"/>
              </w:rPr>
            </w:pPr>
            <w:r>
              <w:rPr>
                <w:rFonts w:hint="eastAsia" w:ascii="宋体" w:hAnsi="宋体" w:cs="宋体"/>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13</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s="宋体"/>
                <w:sz w:val="24"/>
              </w:rPr>
            </w:pPr>
            <w:r>
              <w:rPr>
                <w:rFonts w:hint="eastAsia" w:ascii="宋体" w:hAnsi="宋体" w:cs="宋体"/>
                <w:sz w:val="24"/>
              </w:rPr>
              <w:t>电子投标文件的传输递交</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sz w:val="24"/>
              </w:rPr>
            </w:pPr>
            <w:r>
              <w:rPr>
                <w:rFonts w:hint="eastAsia" w:ascii="宋体" w:hAnsi="宋体" w:cs="宋体"/>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14</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其他</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b/>
                <w:bCs/>
                <w:sz w:val="24"/>
              </w:rPr>
            </w:pPr>
            <w:r>
              <w:rPr>
                <w:rFonts w:hint="eastAsia" w:ascii="宋体" w:hAnsi="宋体" w:cs="宋体"/>
                <w:b/>
                <w:bCs/>
                <w:sz w:val="24"/>
              </w:rPr>
              <w:t>为提高采购效率，节省采购成本，已获取招标文件的供应商若放弃参加投标的，请在开标前3天之前以书面形式（或加盖单位公章的电子扫描件）通知招标代理机构。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sz w:val="24"/>
              </w:rPr>
            </w:pPr>
            <w:r>
              <w:rPr>
                <w:rFonts w:hint="eastAsia" w:ascii="宋体" w:hAnsi="宋体" w:cs="宋体"/>
                <w:sz w:val="24"/>
              </w:rPr>
              <w:t>15</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kern w:val="2"/>
                <w:sz w:val="24"/>
                <w:szCs w:val="24"/>
                <w:lang w:val="en-US" w:eastAsia="zh-CN" w:bidi="ar-SA"/>
              </w:rPr>
            </w:pPr>
            <w:r>
              <w:rPr>
                <w:rFonts w:hint="eastAsia" w:ascii="宋体" w:hAnsi="宋体" w:cs="宋体"/>
                <w:color w:val="auto"/>
                <w:sz w:val="24"/>
                <w:lang w:eastAsia="zh-CN"/>
              </w:rPr>
              <w:t>项目属性</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auto"/>
                <w:kern w:val="2"/>
                <w:sz w:val="24"/>
                <w:szCs w:val="24"/>
                <w:lang w:val="en-US" w:eastAsia="zh-CN" w:bidi="ar-SA"/>
              </w:rPr>
            </w:pPr>
            <w:r>
              <w:rPr>
                <w:rFonts w:hint="eastAsia" w:ascii="宋体" w:hAnsi="宋体" w:cs="宋体"/>
                <w:color w:val="auto"/>
                <w:sz w:val="24"/>
                <w:lang w:eastAsia="zh-CN"/>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宋体"/>
                <w:sz w:val="24"/>
                <w:lang w:val="en-US" w:eastAsia="zh-CN"/>
              </w:rPr>
            </w:pPr>
            <w:r>
              <w:rPr>
                <w:rFonts w:hint="eastAsia" w:ascii="宋体" w:hAnsi="宋体" w:cs="宋体"/>
                <w:sz w:val="24"/>
                <w:lang w:val="en-US" w:eastAsia="zh-CN"/>
              </w:rPr>
              <w:t>16</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auto"/>
                <w:kern w:val="2"/>
                <w:sz w:val="24"/>
                <w:szCs w:val="24"/>
                <w:lang w:val="en-US" w:eastAsia="zh-CN" w:bidi="ar-SA"/>
              </w:rPr>
            </w:pPr>
            <w:r>
              <w:rPr>
                <w:rFonts w:hint="eastAsia" w:ascii="宋体" w:hAnsi="宋体" w:cs="宋体"/>
                <w:color w:val="auto"/>
                <w:sz w:val="24"/>
                <w:lang w:eastAsia="zh-CN"/>
              </w:rPr>
              <w:t>中小企业划分标准所属行业</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color w:val="auto"/>
                <w:kern w:val="2"/>
                <w:sz w:val="24"/>
                <w:szCs w:val="24"/>
                <w:lang w:val="en-US" w:eastAsia="zh-CN" w:bidi="ar-SA"/>
              </w:rPr>
            </w:pPr>
            <w:r>
              <w:rPr>
                <w:rFonts w:hint="eastAsia" w:ascii="宋体" w:hAnsi="宋体" w:eastAsia="宋体" w:cs="宋体"/>
                <w:color w:val="auto"/>
                <w:sz w:val="24"/>
                <w:szCs w:val="24"/>
                <w:lang w:eastAsia="zh-CN"/>
              </w:rPr>
              <w:t>采购标的：</w:t>
            </w:r>
            <w:r>
              <w:rPr>
                <w:rFonts w:hint="eastAsia" w:ascii="宋体" w:hAnsi="宋体" w:eastAsia="宋体" w:cs="宋体"/>
                <w:color w:val="auto"/>
                <w:sz w:val="24"/>
                <w:szCs w:val="24"/>
                <w:u w:val="single"/>
                <w:lang w:val="en-US" w:eastAsia="zh-CN"/>
              </w:rPr>
              <w:t xml:space="preserve">  嵊州市崇仁镇人民政府安保服务等采购项目  </w:t>
            </w:r>
            <w:r>
              <w:rPr>
                <w:rFonts w:hint="eastAsia" w:ascii="宋体" w:hAnsi="宋体" w:eastAsia="宋体" w:cs="宋体"/>
                <w:color w:val="auto"/>
                <w:sz w:val="24"/>
                <w:szCs w:val="24"/>
                <w:u w:val="none"/>
                <w:lang w:val="en-US" w:eastAsia="zh-CN"/>
              </w:rPr>
              <w:t xml:space="preserve"> ，所属行业：</w:t>
            </w:r>
            <w:r>
              <w:rPr>
                <w:rFonts w:hint="eastAsia" w:ascii="宋体" w:hAnsi="宋体" w:eastAsia="宋体" w:cs="宋体"/>
                <w:color w:val="auto"/>
                <w:sz w:val="24"/>
                <w:szCs w:val="24"/>
                <w:u w:val="single"/>
                <w:lang w:val="en-US" w:eastAsia="zh-CN"/>
              </w:rPr>
              <w:t xml:space="preserve"> 租赁和商务服务业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s="宋体"/>
                <w:sz w:val="24"/>
                <w:lang w:val="en-US" w:eastAsia="zh-CN"/>
              </w:rPr>
            </w:pPr>
            <w:r>
              <w:rPr>
                <w:rFonts w:hint="eastAsia" w:ascii="宋体" w:hAnsi="宋体" w:cs="宋体"/>
                <w:sz w:val="24"/>
                <w:lang w:val="en-US" w:eastAsia="zh-CN"/>
              </w:rPr>
              <w:t>17</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color w:val="auto"/>
                <w:kern w:val="2"/>
                <w:sz w:val="24"/>
                <w:szCs w:val="24"/>
                <w:lang w:val="en-US" w:eastAsia="zh-CN" w:bidi="ar-SA"/>
              </w:rPr>
            </w:pPr>
            <w:r>
              <w:rPr>
                <w:rFonts w:hint="eastAsia" w:ascii="宋体" w:hAnsi="宋体" w:cs="宋体"/>
                <w:color w:val="auto"/>
                <w:sz w:val="24"/>
                <w:lang w:eastAsia="zh-CN"/>
              </w:rPr>
              <w:t>特别说明</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s="宋体"/>
                <w:color w:val="auto"/>
                <w:kern w:val="2"/>
                <w:sz w:val="24"/>
                <w:szCs w:val="24"/>
                <w:lang w:val="en-US" w:eastAsia="zh-CN" w:bidi="ar-SA"/>
              </w:rPr>
            </w:pPr>
            <w:r>
              <w:rPr>
                <w:rFonts w:hint="eastAsia" w:ascii="宋体" w:hAnsi="宋体" w:cs="宋体"/>
                <w:color w:val="auto"/>
                <w:sz w:val="24"/>
              </w:rPr>
              <w:t>声明函中所列行业与采购文件所明确的行业不一致但不改变划型结果情形的</w:t>
            </w:r>
            <w:r>
              <w:rPr>
                <w:rFonts w:hint="eastAsia" w:ascii="宋体" w:hAnsi="宋体" w:cs="宋体"/>
                <w:color w:val="auto"/>
                <w:sz w:val="24"/>
                <w:lang w:eastAsia="zh-CN"/>
              </w:rPr>
              <w:t>，</w:t>
            </w:r>
            <w:r>
              <w:rPr>
                <w:rFonts w:hint="eastAsia" w:ascii="宋体" w:hAnsi="宋体" w:cs="宋体"/>
                <w:color w:val="auto"/>
                <w:sz w:val="24"/>
              </w:rPr>
              <w:t>不影响声明有效性，也不作为虚假资料情形认定</w:t>
            </w:r>
            <w:r>
              <w:rPr>
                <w:rFonts w:hint="eastAsia" w:ascii="宋体" w:hAnsi="宋体" w:cs="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7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cs="宋体"/>
                <w:sz w:val="24"/>
                <w:lang w:val="en-US" w:eastAsia="zh-CN"/>
              </w:rPr>
            </w:pPr>
            <w:r>
              <w:rPr>
                <w:rFonts w:hint="eastAsia" w:ascii="宋体" w:hAnsi="宋体" w:cs="宋体"/>
                <w:sz w:val="24"/>
                <w:lang w:val="en-US" w:eastAsia="zh-CN"/>
              </w:rPr>
              <w:t>18</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kern w:val="2"/>
                <w:sz w:val="24"/>
                <w:szCs w:val="24"/>
                <w:lang w:val="en-US" w:eastAsia="zh-CN" w:bidi="ar-SA"/>
              </w:rPr>
            </w:pPr>
            <w:r>
              <w:rPr>
                <w:rFonts w:hint="eastAsia" w:ascii="宋体" w:hAnsi="宋体" w:cs="宋体"/>
                <w:sz w:val="24"/>
              </w:rPr>
              <w:t>解释</w:t>
            </w:r>
          </w:p>
        </w:tc>
        <w:tc>
          <w:tcPr>
            <w:tcW w:w="7799"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s="宋体"/>
                <w:kern w:val="2"/>
                <w:sz w:val="24"/>
                <w:szCs w:val="24"/>
                <w:lang w:val="en-US" w:eastAsia="zh-CN" w:bidi="ar-SA"/>
              </w:rPr>
            </w:pPr>
            <w:r>
              <w:rPr>
                <w:rFonts w:hint="eastAsia" w:ascii="宋体" w:hAnsi="宋体" w:cs="宋体"/>
                <w:sz w:val="24"/>
              </w:rPr>
              <w:t>本招标文件的解释权属于嵊州市力标招标代理有限公司</w:t>
            </w:r>
          </w:p>
        </w:tc>
      </w:tr>
    </w:tbl>
    <w:p>
      <w:pPr>
        <w:pStyle w:val="26"/>
        <w:snapToGrid w:val="0"/>
        <w:spacing w:before="120" w:beforeLines="0" w:after="120" w:afterLines="0" w:line="360" w:lineRule="auto"/>
        <w:ind w:firstLine="480" w:firstLineChars="200"/>
        <w:outlineLvl w:val="1"/>
        <w:rPr>
          <w:rFonts w:hAnsi="宋体" w:cs="宋体"/>
          <w:sz w:val="28"/>
          <w:szCs w:val="28"/>
        </w:rPr>
      </w:pPr>
      <w:r>
        <w:rPr>
          <w:rFonts w:hint="eastAsia" w:hAnsi="宋体" w:cs="宋体"/>
        </w:rPr>
        <w:br w:type="page"/>
      </w:r>
      <w:bookmarkEnd w:id="26"/>
      <w:bookmarkEnd w:id="27"/>
      <w:bookmarkStart w:id="29" w:name="_Toc29888"/>
      <w:bookmarkStart w:id="30" w:name="_Toc15822"/>
      <w:bookmarkStart w:id="31" w:name="_Toc353117303"/>
      <w:bookmarkStart w:id="32" w:name="_Toc19905"/>
      <w:bookmarkStart w:id="33" w:name="_Toc17792"/>
      <w:bookmarkStart w:id="34" w:name="_Toc18058"/>
      <w:bookmarkStart w:id="35" w:name="_Toc24576"/>
      <w:bookmarkStart w:id="36" w:name="_Toc10465"/>
      <w:r>
        <w:rPr>
          <w:rFonts w:hint="eastAsia" w:hAnsi="宋体" w:cs="宋体"/>
          <w:b/>
          <w:sz w:val="28"/>
          <w:szCs w:val="28"/>
        </w:rPr>
        <w:t>一、总  则</w:t>
      </w:r>
      <w:bookmarkEnd w:id="29"/>
      <w:bookmarkEnd w:id="30"/>
      <w:bookmarkEnd w:id="31"/>
      <w:bookmarkEnd w:id="32"/>
      <w:bookmarkEnd w:id="33"/>
      <w:bookmarkEnd w:id="34"/>
      <w:bookmarkEnd w:id="35"/>
      <w:bookmarkEnd w:id="36"/>
    </w:p>
    <w:p>
      <w:pPr>
        <w:snapToGrid w:val="0"/>
        <w:spacing w:line="360" w:lineRule="auto"/>
        <w:ind w:firstLine="357" w:firstLineChars="148"/>
        <w:jc w:val="left"/>
        <w:outlineLvl w:val="2"/>
        <w:rPr>
          <w:rFonts w:ascii="宋体" w:hAnsi="宋体" w:cs="宋体"/>
          <w:b/>
          <w:sz w:val="24"/>
        </w:rPr>
      </w:pPr>
      <w:bookmarkStart w:id="37" w:name="_Toc23913"/>
      <w:bookmarkStart w:id="38" w:name="_Toc11067"/>
      <w:bookmarkStart w:id="39" w:name="_Toc15572"/>
      <w:bookmarkStart w:id="40" w:name="_Toc353117304"/>
      <w:bookmarkStart w:id="41" w:name="_Toc24327"/>
      <w:bookmarkStart w:id="42" w:name="_Toc2711"/>
      <w:r>
        <w:rPr>
          <w:rFonts w:hint="eastAsia" w:ascii="宋体" w:hAnsi="宋体" w:cs="宋体"/>
          <w:b/>
          <w:sz w:val="24"/>
        </w:rPr>
        <w:t>（一） 适用范围</w:t>
      </w:r>
      <w:bookmarkEnd w:id="37"/>
      <w:bookmarkEnd w:id="38"/>
      <w:bookmarkEnd w:id="39"/>
      <w:bookmarkEnd w:id="40"/>
      <w:bookmarkEnd w:id="41"/>
      <w:bookmarkEnd w:id="42"/>
    </w:p>
    <w:p>
      <w:pPr>
        <w:snapToGrid w:val="0"/>
        <w:spacing w:line="360" w:lineRule="auto"/>
        <w:ind w:firstLine="480" w:firstLineChars="200"/>
        <w:rPr>
          <w:rFonts w:ascii="宋体" w:hAnsi="宋体" w:cs="Arial"/>
          <w:sz w:val="24"/>
        </w:rPr>
      </w:pPr>
      <w:r>
        <w:rPr>
          <w:rFonts w:hint="eastAsia" w:ascii="宋体" w:hAnsi="宋体" w:cs="Arial"/>
          <w:sz w:val="24"/>
        </w:rPr>
        <w:t>仅适用于本次招标文件中采购项目的的招标、投标、评标、定标、验收、合同履约、付款等行为（法律、法规另有规定的，从其规定）。</w:t>
      </w:r>
    </w:p>
    <w:p>
      <w:pPr>
        <w:snapToGrid w:val="0"/>
        <w:spacing w:before="156" w:beforeLines="50" w:line="360" w:lineRule="auto"/>
        <w:ind w:firstLine="354" w:firstLineChars="147"/>
        <w:jc w:val="left"/>
        <w:outlineLvl w:val="2"/>
        <w:rPr>
          <w:rFonts w:ascii="宋体" w:hAnsi="宋体" w:cs="宋体"/>
          <w:b/>
          <w:sz w:val="24"/>
        </w:rPr>
      </w:pPr>
      <w:bookmarkStart w:id="43" w:name="_Toc8598"/>
      <w:bookmarkStart w:id="44" w:name="_Toc27381"/>
      <w:bookmarkStart w:id="45" w:name="_Toc438"/>
      <w:bookmarkStart w:id="46" w:name="_Toc21352"/>
      <w:bookmarkStart w:id="47" w:name="_Toc13171"/>
      <w:bookmarkStart w:id="48" w:name="_Toc353117305"/>
      <w:r>
        <w:rPr>
          <w:rFonts w:hint="eastAsia" w:ascii="宋体" w:hAnsi="宋体" w:cs="宋体"/>
          <w:b/>
          <w:sz w:val="24"/>
        </w:rPr>
        <w:t>（二）定义</w:t>
      </w:r>
      <w:bookmarkEnd w:id="43"/>
      <w:bookmarkEnd w:id="44"/>
      <w:bookmarkEnd w:id="45"/>
      <w:bookmarkEnd w:id="46"/>
      <w:bookmarkEnd w:id="47"/>
      <w:bookmarkEnd w:id="48"/>
    </w:p>
    <w:p>
      <w:pPr>
        <w:snapToGrid w:val="0"/>
        <w:spacing w:line="360" w:lineRule="auto"/>
        <w:ind w:firstLine="480" w:firstLineChars="200"/>
        <w:rPr>
          <w:rFonts w:hint="eastAsia" w:ascii="宋体" w:hAnsi="宋体" w:cs="Arial"/>
          <w:sz w:val="24"/>
        </w:rPr>
      </w:pPr>
      <w:r>
        <w:rPr>
          <w:rFonts w:hint="eastAsia" w:ascii="宋体" w:hAnsi="宋体" w:cs="Arial"/>
          <w:sz w:val="24"/>
        </w:rPr>
        <w:t>1.“代理机构”系指组织本次招标的嵊州市力标招标代理有限公司。</w:t>
      </w:r>
    </w:p>
    <w:p>
      <w:pPr>
        <w:snapToGrid w:val="0"/>
        <w:spacing w:line="360" w:lineRule="auto"/>
        <w:ind w:firstLine="480" w:firstLineChars="200"/>
        <w:rPr>
          <w:rFonts w:hint="eastAsia" w:ascii="宋体" w:hAnsi="宋体" w:cs="Arial"/>
          <w:sz w:val="24"/>
        </w:rPr>
      </w:pPr>
      <w:r>
        <w:rPr>
          <w:rFonts w:hint="eastAsia" w:ascii="宋体" w:hAnsi="宋体" w:cs="Arial"/>
          <w:sz w:val="24"/>
        </w:rPr>
        <w:t>2.“投标人”系指向招标方提交投标文件的单位。</w:t>
      </w:r>
    </w:p>
    <w:p>
      <w:pPr>
        <w:snapToGrid w:val="0"/>
        <w:spacing w:line="360" w:lineRule="auto"/>
        <w:ind w:firstLine="480" w:firstLineChars="200"/>
        <w:rPr>
          <w:rFonts w:hint="eastAsia" w:ascii="宋体" w:hAnsi="宋体" w:cs="Arial"/>
          <w:sz w:val="24"/>
        </w:rPr>
      </w:pPr>
      <w:r>
        <w:rPr>
          <w:rFonts w:hint="eastAsia" w:ascii="宋体" w:hAnsi="宋体" w:cs="Arial"/>
          <w:sz w:val="24"/>
        </w:rPr>
        <w:t>3.“采购人”系指委托招标方采购本次项目的国家机关、事业单位和团体组织。</w:t>
      </w:r>
    </w:p>
    <w:p>
      <w:pPr>
        <w:snapToGrid w:val="0"/>
        <w:spacing w:line="360" w:lineRule="auto"/>
        <w:ind w:firstLine="480" w:firstLineChars="200"/>
        <w:rPr>
          <w:rFonts w:hint="eastAsia" w:ascii="宋体" w:hAnsi="宋体" w:cs="Arial"/>
          <w:sz w:val="24"/>
        </w:rPr>
      </w:pPr>
      <w:r>
        <w:rPr>
          <w:rFonts w:hint="eastAsia" w:ascii="宋体" w:hAnsi="宋体" w:cs="Arial"/>
          <w:sz w:val="24"/>
        </w:rPr>
        <w:t>4.“产品”系指供方按招标文件规定，须向采购人提供的一切货物、保险、税金及其它有关资料和材料。</w:t>
      </w:r>
    </w:p>
    <w:p>
      <w:pPr>
        <w:snapToGrid w:val="0"/>
        <w:spacing w:line="360" w:lineRule="auto"/>
        <w:ind w:firstLine="480" w:firstLineChars="200"/>
        <w:rPr>
          <w:rFonts w:hint="eastAsia" w:ascii="宋体" w:hAnsi="宋体" w:cs="Arial"/>
          <w:sz w:val="24"/>
        </w:rPr>
      </w:pPr>
      <w:r>
        <w:rPr>
          <w:rFonts w:hint="eastAsia" w:ascii="宋体" w:hAnsi="宋体" w:cs="Arial"/>
          <w:sz w:val="24"/>
        </w:rPr>
        <w:t>5.“服务”系指招标文件规定投标人须承担的包装、装卸、运输以及其他类似的义务。</w:t>
      </w:r>
    </w:p>
    <w:p>
      <w:pPr>
        <w:snapToGrid w:val="0"/>
        <w:spacing w:line="360" w:lineRule="auto"/>
        <w:ind w:firstLine="480" w:firstLineChars="200"/>
        <w:rPr>
          <w:rFonts w:hint="eastAsia" w:ascii="宋体" w:hAnsi="宋体" w:cs="Arial"/>
          <w:sz w:val="24"/>
        </w:rPr>
      </w:pPr>
      <w:r>
        <w:rPr>
          <w:rFonts w:hint="eastAsia" w:ascii="宋体" w:hAnsi="宋体" w:cs="Arial"/>
          <w:sz w:val="24"/>
        </w:rPr>
        <w:t>6.“项目”系指投标人按招标文件规定向采购人提供的产品和服务。</w:t>
      </w:r>
    </w:p>
    <w:p>
      <w:pPr>
        <w:snapToGrid w:val="0"/>
        <w:spacing w:before="156" w:beforeLines="50" w:line="360" w:lineRule="auto"/>
        <w:ind w:firstLine="354" w:firstLineChars="147"/>
        <w:jc w:val="left"/>
        <w:outlineLvl w:val="2"/>
        <w:rPr>
          <w:rFonts w:hint="eastAsia" w:ascii="宋体" w:hAnsi="宋体" w:cs="宋体"/>
          <w:b/>
          <w:sz w:val="24"/>
        </w:rPr>
      </w:pPr>
      <w:bookmarkStart w:id="49" w:name="_Toc23121"/>
      <w:bookmarkStart w:id="50" w:name="_Toc7474"/>
      <w:bookmarkStart w:id="51" w:name="_Toc18792"/>
      <w:bookmarkStart w:id="52" w:name="_Toc20030"/>
      <w:bookmarkStart w:id="53" w:name="_Toc353117306"/>
      <w:bookmarkStart w:id="54" w:name="_Toc747"/>
      <w:r>
        <w:rPr>
          <w:rFonts w:hint="eastAsia" w:ascii="宋体" w:hAnsi="宋体" w:cs="宋体"/>
          <w:b/>
          <w:sz w:val="24"/>
        </w:rPr>
        <w:t>（三）投标人及委托有关说明</w:t>
      </w:r>
      <w:bookmarkEnd w:id="49"/>
      <w:bookmarkEnd w:id="50"/>
    </w:p>
    <w:p>
      <w:pPr>
        <w:snapToGrid w:val="0"/>
        <w:spacing w:line="360" w:lineRule="auto"/>
        <w:ind w:firstLine="480" w:firstLineChars="200"/>
        <w:rPr>
          <w:rFonts w:hint="eastAsia" w:ascii="宋体" w:hAnsi="宋体" w:cs="Arial"/>
          <w:sz w:val="24"/>
        </w:rPr>
      </w:pPr>
      <w:r>
        <w:rPr>
          <w:rFonts w:hint="eastAsia" w:ascii="宋体" w:hAnsi="宋体" w:cs="Arial"/>
          <w:sz w:val="24"/>
        </w:rPr>
        <w:t>1.全权代表须携带有效身份证件。如全权代表不是法定代表人</w:t>
      </w:r>
      <w:r>
        <w:rPr>
          <w:rFonts w:hint="eastAsia" w:ascii="宋体" w:hAnsi="宋体" w:cs="宋体"/>
          <w:sz w:val="24"/>
        </w:rPr>
        <w:t>(</w:t>
      </w:r>
      <w:r>
        <w:rPr>
          <w:rFonts w:hint="eastAsia" w:ascii="宋体" w:hAnsi="宋体" w:cs="宋体"/>
          <w:bCs/>
          <w:color w:val="000000"/>
          <w:kern w:val="0"/>
          <w:sz w:val="24"/>
        </w:rPr>
        <w:t>或负责人</w:t>
      </w:r>
      <w:r>
        <w:rPr>
          <w:rFonts w:hint="eastAsia" w:ascii="宋体" w:hAnsi="宋体" w:cs="宋体"/>
          <w:sz w:val="24"/>
        </w:rPr>
        <w:t>)</w:t>
      </w:r>
      <w:r>
        <w:rPr>
          <w:rFonts w:hint="eastAsia" w:ascii="宋体" w:hAnsi="宋体" w:cs="Arial"/>
          <w:sz w:val="24"/>
        </w:rPr>
        <w:t>，须有法定代表人</w:t>
      </w:r>
      <w:r>
        <w:rPr>
          <w:rFonts w:hint="eastAsia" w:ascii="宋体" w:hAnsi="宋体" w:cs="宋体"/>
          <w:sz w:val="24"/>
        </w:rPr>
        <w:t>(</w:t>
      </w:r>
      <w:r>
        <w:rPr>
          <w:rFonts w:hint="eastAsia" w:ascii="宋体" w:hAnsi="宋体" w:cs="宋体"/>
          <w:bCs/>
          <w:color w:val="000000"/>
          <w:kern w:val="0"/>
          <w:sz w:val="24"/>
        </w:rPr>
        <w:t>或负责人</w:t>
      </w:r>
      <w:r>
        <w:rPr>
          <w:rFonts w:hint="eastAsia" w:ascii="宋体" w:hAnsi="宋体" w:cs="宋体"/>
          <w:sz w:val="24"/>
        </w:rPr>
        <w:t>)</w:t>
      </w:r>
      <w:r>
        <w:rPr>
          <w:rFonts w:hint="eastAsia" w:ascii="宋体" w:hAnsi="宋体" w:cs="Arial"/>
          <w:sz w:val="24"/>
        </w:rPr>
        <w:t>出具的授权委托书（正本用原件，副本用复印件，格式见附件）。</w:t>
      </w:r>
    </w:p>
    <w:p>
      <w:pPr>
        <w:snapToGrid w:val="0"/>
        <w:spacing w:after="120" w:line="360" w:lineRule="auto"/>
        <w:ind w:left="2" w:leftChars="1" w:firstLine="480" w:firstLineChars="200"/>
        <w:rPr>
          <w:rFonts w:hint="eastAsia" w:ascii="宋体" w:hAnsi="宋体" w:cs="Arial"/>
          <w:sz w:val="24"/>
        </w:rPr>
      </w:pPr>
      <w:r>
        <w:rPr>
          <w:rFonts w:hint="eastAsia" w:ascii="宋体" w:hAnsi="宋体" w:cs="Arial"/>
          <w:sz w:val="24"/>
        </w:rPr>
        <w:t>2.投标人投标所使用的资格、信誉、荣誉、业绩与企业认证必须为本法人所拥有。投标人投标所使用的采购项目实施人员必须为本法人员工（或必须为本法人或控股公司正式员工）。</w:t>
      </w:r>
    </w:p>
    <w:p>
      <w:pPr>
        <w:snapToGrid w:val="0"/>
        <w:spacing w:line="360" w:lineRule="auto"/>
        <w:ind w:firstLine="480" w:firstLineChars="200"/>
        <w:rPr>
          <w:rFonts w:hint="eastAsia" w:ascii="宋体" w:hAnsi="宋体" w:cs="Arial"/>
          <w:sz w:val="24"/>
        </w:rPr>
      </w:pPr>
      <w:r>
        <w:rPr>
          <w:rFonts w:hint="eastAsia" w:ascii="宋体" w:hAnsi="宋体" w:cs="Arial"/>
          <w:sz w:val="24"/>
        </w:rPr>
        <w:t>3.单位负责人为同一人或者存在直接控股、管理关系的不同供应商，不得参加同一合同项下的政府采购活动。</w:t>
      </w:r>
    </w:p>
    <w:p>
      <w:pPr>
        <w:snapToGrid w:val="0"/>
        <w:spacing w:line="360" w:lineRule="auto"/>
        <w:ind w:left="2" w:leftChars="1" w:firstLine="480" w:firstLineChars="200"/>
        <w:rPr>
          <w:rFonts w:hint="eastAsia" w:ascii="宋体" w:hAnsi="宋体" w:cs="Arial"/>
          <w:sz w:val="24"/>
        </w:rPr>
      </w:pPr>
      <w:r>
        <w:rPr>
          <w:rFonts w:hint="eastAsia" w:ascii="宋体" w:hAnsi="宋体" w:cs="Arial"/>
          <w:sz w:val="24"/>
        </w:rPr>
        <w:t>4.投标人应仔细阅读招标文件的所有内容，按照招标文件的要求提交投标文件，并对所提供的全部资料的真实性承担法律责任。</w:t>
      </w:r>
    </w:p>
    <w:bookmarkEnd w:id="51"/>
    <w:bookmarkEnd w:id="52"/>
    <w:bookmarkEnd w:id="53"/>
    <w:bookmarkEnd w:id="54"/>
    <w:p>
      <w:pPr>
        <w:snapToGrid w:val="0"/>
        <w:spacing w:before="156" w:beforeLines="50" w:line="360" w:lineRule="auto"/>
        <w:ind w:firstLine="472" w:firstLineChars="196"/>
        <w:jc w:val="left"/>
        <w:outlineLvl w:val="2"/>
        <w:rPr>
          <w:rFonts w:ascii="宋体" w:hAnsi="宋体" w:cs="宋体"/>
          <w:b/>
          <w:sz w:val="24"/>
        </w:rPr>
      </w:pPr>
      <w:bookmarkStart w:id="55" w:name="_Toc6295"/>
      <w:bookmarkStart w:id="56" w:name="_Toc3724"/>
      <w:bookmarkStart w:id="57" w:name="_Toc26565"/>
      <w:bookmarkStart w:id="58" w:name="_Toc353117307"/>
      <w:bookmarkStart w:id="59" w:name="_Toc17486"/>
      <w:bookmarkStart w:id="60" w:name="_Toc22604"/>
      <w:r>
        <w:rPr>
          <w:rFonts w:hint="eastAsia" w:ascii="宋体" w:hAnsi="宋体" w:cs="宋体"/>
          <w:b/>
          <w:sz w:val="24"/>
        </w:rPr>
        <w:t>（四）</w:t>
      </w:r>
      <w:bookmarkEnd w:id="55"/>
      <w:bookmarkEnd w:id="56"/>
      <w:bookmarkEnd w:id="57"/>
      <w:bookmarkEnd w:id="58"/>
      <w:r>
        <w:rPr>
          <w:rFonts w:hint="eastAsia" w:ascii="宋体" w:hAnsi="宋体" w:cs="宋体"/>
          <w:b/>
          <w:sz w:val="24"/>
        </w:rPr>
        <w:t>投标费用</w:t>
      </w:r>
      <w:bookmarkEnd w:id="59"/>
      <w:bookmarkEnd w:id="60"/>
    </w:p>
    <w:p>
      <w:pPr>
        <w:snapToGrid w:val="0"/>
        <w:spacing w:line="360" w:lineRule="auto"/>
        <w:ind w:firstLine="480" w:firstLineChars="200"/>
        <w:rPr>
          <w:rFonts w:ascii="宋体" w:hAnsi="宋体" w:cs="Arial"/>
          <w:sz w:val="24"/>
        </w:rPr>
      </w:pPr>
      <w:r>
        <w:rPr>
          <w:rFonts w:hint="eastAsia" w:ascii="宋体" w:hAnsi="宋体" w:cs="Arial"/>
          <w:sz w:val="24"/>
        </w:rPr>
        <w:t>不论投标结果如何，投标人均应自行承担所有与投标有关的全部费用（招标文件有其他相反规定除外）。</w:t>
      </w:r>
    </w:p>
    <w:p>
      <w:pPr>
        <w:pStyle w:val="26"/>
        <w:snapToGrid w:val="0"/>
        <w:spacing w:before="0" w:beforeLines="0" w:after="0" w:afterLines="0" w:line="360" w:lineRule="auto"/>
        <w:ind w:firstLine="472" w:firstLineChars="196"/>
        <w:outlineLvl w:val="2"/>
        <w:rPr>
          <w:rFonts w:hAnsi="宋体" w:cs="宋体"/>
          <w:b/>
        </w:rPr>
      </w:pPr>
      <w:bookmarkStart w:id="61" w:name="_Toc9818"/>
      <w:bookmarkStart w:id="62" w:name="_Toc353117308"/>
      <w:bookmarkStart w:id="63" w:name="_Toc156"/>
      <w:bookmarkStart w:id="64" w:name="_Toc30339"/>
      <w:bookmarkStart w:id="65" w:name="_Toc11836"/>
      <w:bookmarkStart w:id="66" w:name="_Toc18991"/>
      <w:r>
        <w:rPr>
          <w:rFonts w:hint="eastAsia" w:hAnsi="宋体" w:cs="宋体"/>
          <w:b/>
          <w:bCs/>
        </w:rPr>
        <w:t>（五）</w:t>
      </w:r>
      <w:bookmarkEnd w:id="61"/>
      <w:bookmarkEnd w:id="62"/>
      <w:bookmarkEnd w:id="63"/>
      <w:bookmarkEnd w:id="64"/>
      <w:r>
        <w:rPr>
          <w:rFonts w:hint="eastAsia" w:hAnsi="宋体"/>
          <w:b/>
          <w:bCs/>
        </w:rPr>
        <w:t>质疑</w:t>
      </w:r>
      <w:bookmarkEnd w:id="65"/>
      <w:bookmarkEnd w:id="66"/>
    </w:p>
    <w:p>
      <w:pPr>
        <w:pStyle w:val="26"/>
        <w:snapToGrid w:val="0"/>
        <w:spacing w:before="0" w:beforeLines="0" w:after="0" w:afterLines="0" w:line="360" w:lineRule="auto"/>
        <w:ind w:firstLine="480" w:firstLineChars="200"/>
        <w:outlineLvl w:val="2"/>
        <w:rPr>
          <w:rFonts w:hint="eastAsia" w:ascii="宋体" w:hAnsi="宋体" w:cs="Arial"/>
          <w:color w:val="auto"/>
          <w:sz w:val="24"/>
        </w:rPr>
      </w:pPr>
      <w:bookmarkStart w:id="67" w:name="_Toc2931"/>
      <w:bookmarkStart w:id="68" w:name="_Toc9828"/>
      <w:r>
        <w:rPr>
          <w:rFonts w:hint="eastAsia" w:ascii="宋体" w:hAnsi="宋体" w:cs="Arial"/>
          <w:color w:val="auto"/>
          <w:sz w:val="24"/>
        </w:rPr>
        <w:t>1.投标人认为招标过程或中标结果使自己的合法权益受到损害的，可以在中标结果公告期限届满之日起七个工作日内，以书面形式向招标方提出质疑。</w:t>
      </w:r>
    </w:p>
    <w:p>
      <w:pPr>
        <w:pStyle w:val="26"/>
        <w:snapToGrid w:val="0"/>
        <w:spacing w:before="0" w:beforeLines="0" w:after="0" w:afterLines="0" w:line="360" w:lineRule="auto"/>
        <w:ind w:firstLine="470" w:firstLineChars="196"/>
        <w:outlineLvl w:val="2"/>
        <w:rPr>
          <w:rFonts w:hint="eastAsia" w:ascii="宋体" w:hAnsi="宋体" w:cs="Arial"/>
          <w:color w:val="auto"/>
          <w:sz w:val="24"/>
        </w:rPr>
      </w:pPr>
      <w:r>
        <w:rPr>
          <w:rFonts w:hint="eastAsia" w:ascii="宋体" w:hAnsi="宋体" w:cs="Arial"/>
          <w:color w:val="auto"/>
          <w:sz w:val="24"/>
        </w:rPr>
        <w:t>2.质疑应当以书面形式提出，格式见《政府采购质疑和投诉办法》（财政部令第94号）附件范本，下载网址：浙江政府采购网(</w:t>
      </w:r>
      <w:r>
        <w:rPr>
          <w:rFonts w:hint="eastAsia" w:ascii="宋体" w:hAnsi="宋体" w:cs="Arial"/>
          <w:color w:val="auto"/>
          <w:sz w:val="24"/>
        </w:rPr>
        <w:fldChar w:fldCharType="begin"/>
      </w:r>
      <w:r>
        <w:rPr>
          <w:rFonts w:hint="eastAsia" w:ascii="宋体" w:hAnsi="宋体" w:cs="Arial"/>
          <w:color w:val="auto"/>
          <w:sz w:val="24"/>
        </w:rPr>
        <w:instrText xml:space="preserve"> HYPERLINK "http://zfcg.czt.zj.gov.cn/" </w:instrText>
      </w:r>
      <w:r>
        <w:rPr>
          <w:rFonts w:hint="eastAsia" w:ascii="宋体" w:hAnsi="宋体" w:cs="Arial"/>
          <w:color w:val="auto"/>
          <w:sz w:val="24"/>
        </w:rPr>
        <w:fldChar w:fldCharType="separate"/>
      </w:r>
      <w:r>
        <w:rPr>
          <w:rFonts w:hint="eastAsia" w:ascii="宋体" w:hAnsi="宋体" w:cs="Arial"/>
          <w:color w:val="auto"/>
          <w:sz w:val="24"/>
        </w:rPr>
        <w:t>http://zfcg.czt.zj.gov.cn/</w:t>
      </w:r>
      <w:r>
        <w:rPr>
          <w:rFonts w:hint="eastAsia" w:ascii="宋体" w:hAnsi="宋体" w:cs="Arial"/>
          <w:color w:val="auto"/>
          <w:sz w:val="24"/>
        </w:rPr>
        <w:fldChar w:fldCharType="end"/>
      </w:r>
      <w:r>
        <w:rPr>
          <w:rFonts w:hint="eastAsia" w:ascii="宋体" w:hAnsi="宋体" w:cs="Arial"/>
          <w:color w:val="auto"/>
          <w:sz w:val="24"/>
        </w:rPr>
        <w:t>)，位置：“首页-下载专区-质疑投诉模板”。供应商提出质疑应当提交质疑函和必要的证明材料。供应商应当在法定质疑期内一次性提出针对同一采购程序环节的质疑。</w:t>
      </w:r>
    </w:p>
    <w:p>
      <w:pPr>
        <w:pStyle w:val="26"/>
        <w:snapToGrid w:val="0"/>
        <w:spacing w:before="0" w:beforeLines="0" w:after="0" w:afterLines="0" w:line="360" w:lineRule="auto"/>
        <w:ind w:firstLine="470" w:firstLineChars="196"/>
        <w:outlineLvl w:val="2"/>
        <w:rPr>
          <w:rFonts w:hint="eastAsia" w:hAnsi="宋体" w:cs="宋体"/>
          <w:b w:val="0"/>
          <w:bCs w:val="0"/>
          <w:color w:val="auto"/>
        </w:rPr>
      </w:pPr>
      <w:r>
        <w:rPr>
          <w:rFonts w:hint="eastAsia" w:hAnsi="宋体" w:cs="宋体"/>
          <w:b w:val="0"/>
          <w:bCs w:val="0"/>
          <w:color w:val="auto"/>
        </w:rPr>
        <w:t>质疑函应当包括下列内容：</w:t>
      </w:r>
    </w:p>
    <w:p>
      <w:pPr>
        <w:pStyle w:val="26"/>
        <w:snapToGrid w:val="0"/>
        <w:spacing w:before="0" w:beforeLines="0" w:after="0" w:afterLines="0" w:line="360" w:lineRule="auto"/>
        <w:ind w:firstLine="470" w:firstLineChars="196"/>
        <w:outlineLvl w:val="2"/>
        <w:rPr>
          <w:rFonts w:hint="eastAsia" w:hAnsi="宋体" w:cs="宋体"/>
          <w:b w:val="0"/>
          <w:bCs w:val="0"/>
          <w:color w:val="auto"/>
        </w:rPr>
      </w:pPr>
      <w:r>
        <w:rPr>
          <w:rFonts w:hint="eastAsia" w:hAnsi="宋体" w:cs="宋体"/>
          <w:b w:val="0"/>
          <w:bCs w:val="0"/>
          <w:color w:val="auto"/>
        </w:rPr>
        <w:t>a.供应商的姓名或者名称、地址、邮编、联系人及联系电话；</w:t>
      </w:r>
    </w:p>
    <w:p>
      <w:pPr>
        <w:pStyle w:val="26"/>
        <w:snapToGrid w:val="0"/>
        <w:spacing w:before="0" w:beforeLines="0" w:after="0" w:afterLines="0" w:line="360" w:lineRule="auto"/>
        <w:ind w:firstLine="470" w:firstLineChars="196"/>
        <w:outlineLvl w:val="2"/>
        <w:rPr>
          <w:rFonts w:hint="eastAsia" w:hAnsi="宋体" w:cs="宋体"/>
          <w:b w:val="0"/>
          <w:bCs w:val="0"/>
          <w:color w:val="auto"/>
        </w:rPr>
      </w:pPr>
      <w:r>
        <w:rPr>
          <w:rFonts w:hint="eastAsia" w:hAnsi="宋体" w:cs="宋体"/>
          <w:b w:val="0"/>
          <w:bCs w:val="0"/>
          <w:color w:val="auto"/>
        </w:rPr>
        <w:t>b.质疑项目的名称、编号；</w:t>
      </w:r>
    </w:p>
    <w:p>
      <w:pPr>
        <w:pStyle w:val="26"/>
        <w:snapToGrid w:val="0"/>
        <w:spacing w:before="0" w:beforeLines="0" w:after="0" w:afterLines="0" w:line="360" w:lineRule="auto"/>
        <w:ind w:firstLine="470" w:firstLineChars="196"/>
        <w:outlineLvl w:val="2"/>
        <w:rPr>
          <w:rFonts w:hint="eastAsia" w:hAnsi="宋体" w:cs="宋体"/>
          <w:b w:val="0"/>
          <w:bCs w:val="0"/>
          <w:color w:val="auto"/>
        </w:rPr>
      </w:pPr>
      <w:r>
        <w:rPr>
          <w:rFonts w:hint="eastAsia" w:hAnsi="宋体" w:cs="宋体"/>
          <w:b w:val="0"/>
          <w:bCs w:val="0"/>
          <w:color w:val="auto"/>
        </w:rPr>
        <w:t>c.具体、明确的质疑事项和与质疑事项相关的请求；</w:t>
      </w:r>
    </w:p>
    <w:p>
      <w:pPr>
        <w:pStyle w:val="26"/>
        <w:snapToGrid w:val="0"/>
        <w:spacing w:before="0" w:beforeLines="0" w:after="0" w:afterLines="0" w:line="360" w:lineRule="auto"/>
        <w:ind w:firstLine="470" w:firstLineChars="196"/>
        <w:outlineLvl w:val="2"/>
        <w:rPr>
          <w:rFonts w:hint="eastAsia" w:hAnsi="宋体" w:cs="宋体"/>
          <w:b w:val="0"/>
          <w:bCs w:val="0"/>
          <w:color w:val="auto"/>
        </w:rPr>
      </w:pPr>
      <w:r>
        <w:rPr>
          <w:rFonts w:hint="eastAsia" w:hAnsi="宋体" w:cs="宋体"/>
          <w:b w:val="0"/>
          <w:bCs w:val="0"/>
          <w:color w:val="auto"/>
        </w:rPr>
        <w:t>d.事实依据；</w:t>
      </w:r>
    </w:p>
    <w:p>
      <w:pPr>
        <w:pStyle w:val="26"/>
        <w:snapToGrid w:val="0"/>
        <w:spacing w:before="0" w:beforeLines="0" w:after="0" w:afterLines="0" w:line="360" w:lineRule="auto"/>
        <w:ind w:firstLine="470" w:firstLineChars="196"/>
        <w:outlineLvl w:val="2"/>
        <w:rPr>
          <w:rFonts w:hint="eastAsia" w:hAnsi="宋体" w:cs="宋体"/>
          <w:b w:val="0"/>
          <w:bCs w:val="0"/>
          <w:color w:val="auto"/>
        </w:rPr>
      </w:pPr>
      <w:r>
        <w:rPr>
          <w:rFonts w:hint="eastAsia" w:hAnsi="宋体" w:cs="宋体"/>
          <w:b w:val="0"/>
          <w:bCs w:val="0"/>
          <w:color w:val="auto"/>
        </w:rPr>
        <w:t>e.必要的法律依据；</w:t>
      </w:r>
    </w:p>
    <w:p>
      <w:pPr>
        <w:pStyle w:val="26"/>
        <w:snapToGrid w:val="0"/>
        <w:spacing w:before="0" w:beforeLines="0" w:after="0" w:afterLines="0" w:line="360" w:lineRule="auto"/>
        <w:ind w:firstLine="470" w:firstLineChars="196"/>
        <w:outlineLvl w:val="2"/>
        <w:rPr>
          <w:rFonts w:hint="eastAsia" w:hAnsi="宋体" w:cs="宋体"/>
          <w:b w:val="0"/>
          <w:bCs w:val="0"/>
          <w:color w:val="auto"/>
        </w:rPr>
      </w:pPr>
      <w:r>
        <w:rPr>
          <w:rFonts w:hint="eastAsia" w:hAnsi="宋体" w:cs="宋体"/>
          <w:b w:val="0"/>
          <w:bCs w:val="0"/>
          <w:color w:val="auto"/>
        </w:rPr>
        <w:t>f.提出质疑的日期。</w:t>
      </w:r>
    </w:p>
    <w:p>
      <w:pPr>
        <w:pStyle w:val="26"/>
        <w:snapToGrid w:val="0"/>
        <w:spacing w:before="0" w:beforeLines="0" w:after="0" w:afterLines="0" w:line="360" w:lineRule="auto"/>
        <w:ind w:firstLine="470" w:firstLineChars="196"/>
        <w:outlineLvl w:val="2"/>
        <w:rPr>
          <w:rFonts w:hint="eastAsia" w:hAnsi="宋体" w:cs="宋体"/>
          <w:b w:val="0"/>
          <w:bCs w:val="0"/>
          <w:color w:val="auto"/>
        </w:rPr>
      </w:pPr>
      <w:r>
        <w:rPr>
          <w:rFonts w:hint="eastAsia" w:hAnsi="宋体" w:cs="宋体"/>
          <w:b w:val="0"/>
          <w:bCs w:val="0"/>
          <w:color w:val="auto"/>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pStyle w:val="26"/>
        <w:snapToGrid w:val="0"/>
        <w:spacing w:before="0" w:beforeLines="0" w:after="0" w:afterLines="0" w:line="360" w:lineRule="auto"/>
        <w:ind w:firstLine="472" w:firstLineChars="196"/>
        <w:outlineLvl w:val="2"/>
        <w:rPr>
          <w:rFonts w:hAnsi="宋体" w:cs="宋体"/>
          <w:b/>
          <w:bCs/>
        </w:rPr>
      </w:pPr>
      <w:r>
        <w:rPr>
          <w:rFonts w:hint="eastAsia" w:hAnsi="宋体" w:cs="宋体"/>
          <w:b/>
          <w:bCs/>
        </w:rPr>
        <w:t>（六）招标文件的澄清与修改</w:t>
      </w:r>
      <w:bookmarkEnd w:id="67"/>
      <w:bookmarkEnd w:id="68"/>
      <w:r>
        <w:rPr>
          <w:rFonts w:hint="eastAsia" w:hAnsi="宋体" w:cs="宋体"/>
          <w:b/>
          <w:bCs/>
        </w:rPr>
        <w:t xml:space="preserve"> </w:t>
      </w:r>
    </w:p>
    <w:p>
      <w:pPr>
        <w:pStyle w:val="26"/>
        <w:snapToGrid w:val="0"/>
        <w:spacing w:before="0" w:beforeLines="0" w:after="0" w:afterLines="0" w:line="360" w:lineRule="auto"/>
        <w:ind w:firstLine="480" w:firstLineChars="200"/>
        <w:rPr>
          <w:rFonts w:hAnsi="宋体"/>
        </w:rPr>
      </w:pPr>
      <w:r>
        <w:rPr>
          <w:rFonts w:hint="eastAsia" w:hAnsi="宋体"/>
        </w:rPr>
        <w:t>1.</w:t>
      </w:r>
      <w:r>
        <w:rPr>
          <w:rFonts w:hint="eastAsia" w:hAnsi="宋体"/>
          <w:bCs/>
        </w:rPr>
        <w:t>投标人应认真阅读本招标文件，发现其中有误或有不合理要求的，投标人应当在前附表中规定的时间内以书面形式向嵊州市力标招标代理有限公司提出</w:t>
      </w:r>
      <w:r>
        <w:rPr>
          <w:rFonts w:hint="eastAsia" w:hAnsi="宋体"/>
        </w:rPr>
        <w:t>。嵊州市力标招标代理有限公司将在规定的时间内，在浙江政府采购网发布更正公告。</w:t>
      </w:r>
    </w:p>
    <w:p>
      <w:pPr>
        <w:pStyle w:val="26"/>
        <w:snapToGrid w:val="0"/>
        <w:spacing w:before="0" w:beforeLines="0" w:after="0" w:afterLines="0" w:line="360" w:lineRule="auto"/>
        <w:ind w:firstLine="480" w:firstLineChars="200"/>
        <w:rPr>
          <w:rFonts w:hAnsi="宋体"/>
        </w:rPr>
      </w:pPr>
      <w:r>
        <w:rPr>
          <w:rFonts w:hint="eastAsia" w:hAnsi="宋体"/>
        </w:rPr>
        <w:t>2.招标文件澄清、答复、修改、补充的内容为招标文件的组成部分。当招标文件与招标文件的答复、澄清、修改、补充通知就同一内容的表述不一致时，以最后发出的书面文件为准。</w:t>
      </w:r>
    </w:p>
    <w:p>
      <w:pPr>
        <w:pStyle w:val="26"/>
        <w:snapToGrid w:val="0"/>
        <w:spacing w:before="120" w:beforeLines="0" w:after="120" w:afterLines="0" w:line="360" w:lineRule="auto"/>
        <w:ind w:firstLine="562" w:firstLineChars="200"/>
        <w:outlineLvl w:val="1"/>
        <w:rPr>
          <w:rFonts w:hAnsi="宋体" w:cs="宋体"/>
          <w:b/>
          <w:sz w:val="28"/>
          <w:szCs w:val="28"/>
        </w:rPr>
      </w:pPr>
      <w:bookmarkStart w:id="69" w:name="_Toc27095"/>
      <w:bookmarkStart w:id="70" w:name="_Toc26522"/>
      <w:bookmarkStart w:id="71" w:name="_Toc10937"/>
      <w:bookmarkStart w:id="72" w:name="_Toc4226"/>
      <w:bookmarkStart w:id="73" w:name="_Toc13706"/>
      <w:bookmarkStart w:id="74" w:name="_Toc353117309"/>
      <w:bookmarkStart w:id="75" w:name="_Toc3064"/>
      <w:bookmarkStart w:id="76" w:name="_Toc18508"/>
      <w:r>
        <w:rPr>
          <w:rFonts w:hint="eastAsia" w:hAnsi="宋体" w:cs="宋体"/>
          <w:b/>
          <w:sz w:val="28"/>
          <w:szCs w:val="28"/>
        </w:rPr>
        <w:t>二、投标文件的编制</w:t>
      </w:r>
      <w:bookmarkEnd w:id="69"/>
      <w:bookmarkEnd w:id="70"/>
      <w:bookmarkEnd w:id="71"/>
      <w:bookmarkEnd w:id="72"/>
    </w:p>
    <w:p>
      <w:pPr>
        <w:snapToGrid w:val="0"/>
        <w:spacing w:line="360" w:lineRule="auto"/>
        <w:ind w:firstLine="470" w:firstLineChars="196"/>
        <w:jc w:val="left"/>
        <w:outlineLvl w:val="2"/>
        <w:rPr>
          <w:rFonts w:hint="eastAsia" w:ascii="宋体" w:hAnsi="宋体" w:cs="宋体"/>
          <w:sz w:val="24"/>
        </w:rPr>
      </w:pPr>
      <w:bookmarkStart w:id="77" w:name="_Toc3642"/>
      <w:bookmarkStart w:id="78" w:name="_Toc381971539"/>
      <w:bookmarkStart w:id="79" w:name="_Toc330214840"/>
      <w:bookmarkStart w:id="80" w:name="_Toc330215465"/>
      <w:bookmarkStart w:id="81" w:name="_Toc330215267"/>
      <w:bookmarkStart w:id="82" w:name="_Toc330214712"/>
      <w:bookmarkStart w:id="83" w:name="_Toc468"/>
      <w:bookmarkStart w:id="84" w:name="_Toc330212071"/>
      <w:bookmarkStart w:id="85" w:name="_Toc28503"/>
      <w:bookmarkStart w:id="86" w:name="_Toc330214710"/>
      <w:bookmarkStart w:id="87" w:name="_Toc330215463"/>
      <w:bookmarkStart w:id="88" w:name="_Toc330215265"/>
      <w:bookmarkStart w:id="89" w:name="_Toc330214838"/>
      <w:bookmarkStart w:id="90" w:name="_Toc12876"/>
      <w:bookmarkStart w:id="91" w:name="_Toc381971537"/>
      <w:bookmarkStart w:id="92" w:name="_Toc330212069"/>
      <w:r>
        <w:rPr>
          <w:rFonts w:hint="eastAsia" w:ascii="宋体" w:hAnsi="宋体" w:cs="宋体"/>
          <w:sz w:val="24"/>
        </w:rPr>
        <w:t>1.本项目通过“政府采购云平台（http://zfcg.czt.zj.gov.cn/）”实行在线投标响应（电子投标）。供应商应通过“政采云电子交易客户端”，并按照本采购文件和“政府采购云平台”的要求编制并加密投标文件。</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2.供应商应当按照本章节 “投标文件组成”规定的内容及顺序在“政采云电子交易客户端”编制投标文件。其中《资格证明文件》和《商务技术文件》中不得出现本项目投标报价，如因供应商原因提前泄露投标报价，是供应商的责任。</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3.本采购文件中有提供格式的，供应商须参照格式进行编制（格式中要求提供相关证明材料的还需后附相关证明材料），并按格式要求在指定位置根据要求进行签章，未提供格式的，请各供应商自行拟定格式，并加盖单位公章并由法定代表人或其授权代表签署（签字或盖章），否则视为未提供。</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4.《投标文件》内容不完整、编排混乱导致《投标文件》被误读、漏读或者查找不到相关内容的，是供应商的责任。</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5.《投标文件》因字迹潦草或表达不清所引起的后果由供应商负责。</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6.供应商没有按照本采购文件内 “投标文件组成”要求提供全部资料，或者没有仔细阅读采购文件，或者没有对采购文件在各方面的要求作出实质性响应是供应商的风险，由此造成的一切后果由供应商自行承担。</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（一）投标文件的组成</w:t>
      </w:r>
      <w:bookmarkEnd w:id="77"/>
    </w:p>
    <w:p>
      <w:pPr>
        <w:snapToGrid w:val="0"/>
        <w:spacing w:line="360" w:lineRule="auto"/>
        <w:ind w:firstLine="470" w:firstLineChars="196"/>
        <w:jc w:val="left"/>
        <w:outlineLvl w:val="2"/>
        <w:rPr>
          <w:rFonts w:hint="eastAsia" w:ascii="宋体" w:hAnsi="宋体" w:cs="宋体"/>
          <w:sz w:val="24"/>
        </w:rPr>
      </w:pPr>
      <w:bookmarkStart w:id="93" w:name="_Toc12300"/>
      <w:r>
        <w:rPr>
          <w:rFonts w:hint="eastAsia" w:ascii="宋体" w:hAnsi="宋体" w:cs="宋体"/>
          <w:sz w:val="24"/>
        </w:rPr>
        <w:t>投标文件由资格证明文件、商务技术文件、报价文件三部份组成。</w:t>
      </w:r>
      <w:bookmarkEnd w:id="93"/>
      <w:r>
        <w:rPr>
          <w:rFonts w:hint="eastAsia" w:ascii="宋体" w:hAnsi="宋体" w:cs="宋体"/>
          <w:sz w:val="24"/>
        </w:rPr>
        <w:t>《投标文件》应由供应商法定代表人或其授权代表签字（或盖（签）章）；其中电子投标文件中所须加盖公章部分均采用CA签章。</w:t>
      </w:r>
    </w:p>
    <w:p>
      <w:pPr>
        <w:pStyle w:val="21"/>
        <w:spacing w:line="360" w:lineRule="auto"/>
        <w:ind w:firstLine="482" w:firstLineChars="200"/>
        <w:rPr>
          <w:rFonts w:hint="eastAsia" w:hAnsi="宋体" w:cs="宋体"/>
          <w:b/>
          <w:bCs/>
          <w:spacing w:val="0"/>
          <w:sz w:val="24"/>
          <w:lang w:val="en-US" w:eastAsia="zh-CN"/>
        </w:rPr>
      </w:pPr>
      <w:r>
        <w:rPr>
          <w:rFonts w:hint="eastAsia" w:hAnsi="宋体" w:cs="宋体"/>
          <w:b/>
          <w:bCs/>
          <w:spacing w:val="0"/>
          <w:sz w:val="24"/>
          <w:lang w:val="en-US" w:eastAsia="zh-CN"/>
        </w:rPr>
        <w:t>特别提醒：</w:t>
      </w:r>
    </w:p>
    <w:p>
      <w:pPr>
        <w:pStyle w:val="21"/>
        <w:numPr>
          <w:ilvl w:val="0"/>
          <w:numId w:val="4"/>
        </w:numPr>
        <w:spacing w:line="360" w:lineRule="auto"/>
        <w:ind w:firstLine="482" w:firstLineChars="200"/>
        <w:rPr>
          <w:rFonts w:hint="eastAsia" w:hAnsi="宋体" w:cs="宋体"/>
          <w:b/>
          <w:bCs/>
          <w:spacing w:val="0"/>
          <w:sz w:val="24"/>
          <w:lang w:val="en-US" w:eastAsia="zh-CN"/>
        </w:rPr>
      </w:pPr>
      <w:r>
        <w:rPr>
          <w:rFonts w:hint="eastAsia" w:hAnsi="宋体" w:cs="宋体"/>
          <w:b/>
          <w:bCs/>
          <w:spacing w:val="0"/>
          <w:sz w:val="24"/>
          <w:lang w:val="en-US" w:eastAsia="zh-CN"/>
        </w:rPr>
        <w:t>电子投标文件按政府采购云平台供应商项目采购-电子招投标操作指南（网址：</w:t>
      </w:r>
      <w:r>
        <w:rPr>
          <w:rFonts w:hint="eastAsia" w:hAnsi="宋体" w:cs="宋体"/>
          <w:b/>
          <w:bCs/>
          <w:spacing w:val="0"/>
          <w:sz w:val="24"/>
          <w:lang w:val="en-US" w:eastAsia="zh-CN"/>
        </w:rPr>
        <w:fldChar w:fldCharType="begin"/>
      </w:r>
      <w:r>
        <w:rPr>
          <w:rFonts w:hint="eastAsia" w:hAnsi="宋体" w:cs="宋体"/>
          <w:b/>
          <w:bCs/>
          <w:spacing w:val="0"/>
          <w:sz w:val="24"/>
          <w:lang w:val="en-US" w:eastAsia="zh-CN"/>
        </w:rPr>
        <w:instrText xml:space="preserve"> HYPERLINK "https://help.zcygov.cn/web/site_2/2018/12-28/2573.html）及本招标文件要求制作、加密。" </w:instrText>
      </w:r>
      <w:r>
        <w:rPr>
          <w:rFonts w:hint="eastAsia" w:hAnsi="宋体" w:cs="宋体"/>
          <w:b/>
          <w:bCs/>
          <w:spacing w:val="0"/>
          <w:sz w:val="24"/>
          <w:lang w:val="en-US" w:eastAsia="zh-CN"/>
        </w:rPr>
        <w:fldChar w:fldCharType="separate"/>
      </w:r>
      <w:r>
        <w:rPr>
          <w:rFonts w:hint="eastAsia" w:hAnsi="宋体" w:cs="宋体"/>
          <w:b/>
          <w:bCs/>
          <w:spacing w:val="0"/>
          <w:sz w:val="24"/>
          <w:lang w:val="en-US" w:eastAsia="zh-CN"/>
        </w:rPr>
        <w:t>https://help.zcygov.cn/web/site_2/2018/12-28/2573.html）及本招标文件要求制作、加密。</w:t>
      </w:r>
      <w:r>
        <w:rPr>
          <w:rFonts w:hint="eastAsia" w:hAnsi="宋体" w:cs="宋体"/>
          <w:b/>
          <w:bCs/>
          <w:spacing w:val="0"/>
          <w:sz w:val="24"/>
          <w:lang w:val="en-US" w:eastAsia="zh-CN"/>
        </w:rPr>
        <w:fldChar w:fldCharType="end"/>
      </w:r>
      <w:r>
        <w:rPr>
          <w:rFonts w:hint="eastAsia" w:hAnsi="宋体" w:cs="宋体"/>
          <w:b/>
          <w:bCs/>
          <w:spacing w:val="0"/>
          <w:sz w:val="24"/>
          <w:lang w:val="en-US" w:eastAsia="zh-CN"/>
        </w:rPr>
        <w:t xml:space="preserve">   </w:t>
      </w:r>
    </w:p>
    <w:p>
      <w:pPr>
        <w:pStyle w:val="21"/>
        <w:spacing w:line="360" w:lineRule="auto"/>
        <w:ind w:left="420" w:leftChars="200" w:firstLine="0"/>
        <w:rPr>
          <w:rFonts w:hint="eastAsia" w:hAnsi="宋体" w:cs="宋体"/>
          <w:b/>
          <w:bCs/>
          <w:spacing w:val="0"/>
          <w:sz w:val="24"/>
          <w:lang w:val="en-US" w:eastAsia="zh-CN"/>
        </w:rPr>
      </w:pPr>
      <w:bookmarkStart w:id="94" w:name="_Toc7002"/>
      <w:bookmarkStart w:id="95" w:name="_Toc19483"/>
      <w:r>
        <w:rPr>
          <w:rFonts w:hint="eastAsia" w:hAnsi="宋体" w:cs="宋体"/>
          <w:b/>
          <w:bCs/>
          <w:spacing w:val="0"/>
          <w:sz w:val="24"/>
          <w:lang w:val="en-US" w:eastAsia="zh-CN"/>
        </w:rPr>
        <w:t>（2）参与在线投标时如遇平台技术问题详询400-881-7190。</w:t>
      </w:r>
    </w:p>
    <w:p>
      <w:pPr>
        <w:snapToGrid w:val="0"/>
        <w:spacing w:line="360" w:lineRule="auto"/>
        <w:ind w:firstLine="720" w:firstLineChars="300"/>
        <w:jc w:val="left"/>
        <w:outlineLvl w:val="2"/>
        <w:rPr>
          <w:rFonts w:hint="eastAsia" w:ascii="宋体" w:hAnsi="宋体" w:cs="宋体"/>
          <w:sz w:val="24"/>
        </w:rPr>
      </w:pPr>
      <w:r>
        <w:rPr>
          <w:rFonts w:hint="eastAsia" w:ascii="宋体" w:hAnsi="宋体" w:cs="宋体"/>
          <w:sz w:val="24"/>
        </w:rPr>
        <w:t>1.资格证明文件：</w:t>
      </w:r>
      <w:bookmarkEnd w:id="94"/>
      <w:bookmarkEnd w:id="95"/>
    </w:p>
    <w:p>
      <w:pPr>
        <w:spacing w:line="360" w:lineRule="auto"/>
        <w:ind w:firstLine="470"/>
        <w:jc w:val="left"/>
        <w:rPr>
          <w:rFonts w:hint="eastAsia" w:ascii="宋体" w:hAnsi="宋体" w:cs="宋体"/>
          <w:color w:val="auto"/>
          <w:sz w:val="24"/>
        </w:rPr>
      </w:pPr>
      <w:bookmarkStart w:id="96" w:name="_Toc9675"/>
      <w:bookmarkStart w:id="97" w:name="_Toc20188"/>
      <w:r>
        <w:rPr>
          <w:rFonts w:hint="eastAsia" w:ascii="宋体" w:hAnsi="宋体" w:cs="宋体"/>
          <w:color w:val="auto"/>
          <w:sz w:val="24"/>
        </w:rPr>
        <w:t>（1）营业执照扫描件；</w:t>
      </w:r>
    </w:p>
    <w:p>
      <w:pPr>
        <w:snapToGrid w:val="0"/>
        <w:spacing w:line="360" w:lineRule="auto"/>
        <w:ind w:firstLine="470" w:firstLineChars="196"/>
        <w:jc w:val="left"/>
        <w:outlineLvl w:val="2"/>
        <w:rPr>
          <w:rFonts w:hint="eastAsia" w:ascii="宋体" w:hAnsi="宋体" w:cs="宋体"/>
          <w:color w:val="auto"/>
          <w:sz w:val="24"/>
        </w:rPr>
      </w:pPr>
      <w:r>
        <w:rPr>
          <w:rFonts w:hint="eastAsia" w:ascii="宋体" w:hAnsi="宋体" w:cs="宋体"/>
          <w:color w:val="auto"/>
          <w:sz w:val="24"/>
        </w:rPr>
        <w:t>（2）最近3个月中任意1个月的税务缴纳证明材料扫描件；</w:t>
      </w:r>
    </w:p>
    <w:p>
      <w:pPr>
        <w:snapToGrid w:val="0"/>
        <w:spacing w:line="360" w:lineRule="auto"/>
        <w:ind w:firstLine="470" w:firstLineChars="196"/>
        <w:jc w:val="left"/>
        <w:outlineLvl w:val="2"/>
        <w:rPr>
          <w:rFonts w:hint="eastAsia" w:ascii="宋体" w:hAnsi="宋体" w:cs="宋体"/>
          <w:color w:val="auto"/>
          <w:sz w:val="24"/>
        </w:rPr>
      </w:pPr>
      <w:r>
        <w:rPr>
          <w:rFonts w:hint="eastAsia" w:ascii="宋体" w:hAnsi="宋体" w:cs="宋体"/>
          <w:color w:val="auto"/>
          <w:sz w:val="24"/>
        </w:rPr>
        <w:t>（3）最近3个月中任意1个月的社保缴纳证明材料扫描件；</w:t>
      </w:r>
    </w:p>
    <w:p>
      <w:pPr>
        <w:snapToGrid w:val="0"/>
        <w:spacing w:line="360" w:lineRule="auto"/>
        <w:ind w:firstLine="470" w:firstLineChars="196"/>
        <w:jc w:val="left"/>
        <w:outlineLvl w:val="2"/>
        <w:rPr>
          <w:rFonts w:hint="eastAsia" w:ascii="宋体" w:hAnsi="宋体" w:cs="宋体"/>
          <w:color w:val="auto"/>
          <w:sz w:val="24"/>
        </w:rPr>
      </w:pPr>
      <w:r>
        <w:rPr>
          <w:rFonts w:hint="eastAsia" w:ascii="宋体" w:hAnsi="宋体" w:cs="宋体"/>
          <w:color w:val="auto"/>
          <w:sz w:val="24"/>
        </w:rPr>
        <w:t>（4）最近一季度财务报表资料文件(新成立的公司请提供情况说明)；</w:t>
      </w:r>
    </w:p>
    <w:p>
      <w:pPr>
        <w:snapToGrid w:val="0"/>
        <w:spacing w:line="360" w:lineRule="auto"/>
        <w:ind w:firstLine="470" w:firstLineChars="196"/>
        <w:jc w:val="left"/>
        <w:outlineLvl w:val="2"/>
        <w:rPr>
          <w:rFonts w:hint="eastAsia" w:ascii="宋体" w:hAnsi="宋体" w:cs="宋体"/>
          <w:color w:val="auto"/>
          <w:sz w:val="24"/>
        </w:rPr>
      </w:pPr>
      <w:r>
        <w:rPr>
          <w:rFonts w:hint="eastAsia" w:ascii="宋体" w:hAnsi="宋体" w:cs="宋体"/>
          <w:color w:val="auto"/>
          <w:sz w:val="24"/>
        </w:rPr>
        <w:t>（5）具有履行合同所必需的设备和专业技术能力的承诺函（格式自拟）；</w:t>
      </w:r>
    </w:p>
    <w:p>
      <w:pPr>
        <w:snapToGrid w:val="0"/>
        <w:spacing w:line="360" w:lineRule="auto"/>
        <w:ind w:firstLine="470" w:firstLineChars="196"/>
        <w:jc w:val="left"/>
        <w:outlineLvl w:val="2"/>
        <w:rPr>
          <w:rFonts w:hint="eastAsia" w:ascii="宋体" w:hAnsi="宋体" w:cs="宋体"/>
          <w:color w:val="auto"/>
          <w:sz w:val="24"/>
        </w:rPr>
      </w:pPr>
      <w:r>
        <w:rPr>
          <w:rFonts w:hint="eastAsia" w:ascii="宋体" w:hAnsi="宋体" w:cs="宋体"/>
          <w:color w:val="auto"/>
          <w:sz w:val="24"/>
        </w:rPr>
        <w:t>（6）参加政府采购活动前三年内在经营活动中没有重大违法记录的声明；</w:t>
      </w:r>
    </w:p>
    <w:p>
      <w:pPr>
        <w:snapToGrid w:val="0"/>
        <w:spacing w:line="360" w:lineRule="auto"/>
        <w:ind w:firstLine="470" w:firstLineChars="196"/>
        <w:jc w:val="left"/>
        <w:outlineLvl w:val="2"/>
        <w:rPr>
          <w:rFonts w:hint="eastAsia" w:ascii="宋体" w:hAnsi="宋体" w:cs="宋体"/>
          <w:color w:val="auto"/>
          <w:sz w:val="24"/>
        </w:rPr>
      </w:pPr>
      <w:r>
        <w:rPr>
          <w:rFonts w:hint="eastAsia" w:ascii="宋体" w:hAnsi="宋体" w:cs="宋体"/>
          <w:color w:val="auto"/>
          <w:sz w:val="24"/>
        </w:rPr>
        <w:t>（7）单位负责人为同一人或者存在直接控股、管理关系的不同供应商，不得参加同一合同项下的政府采购活动承诺函（格式自拟）；</w:t>
      </w:r>
    </w:p>
    <w:p>
      <w:pPr>
        <w:snapToGrid w:val="0"/>
        <w:spacing w:line="360" w:lineRule="auto"/>
        <w:ind w:firstLine="470" w:firstLineChars="196"/>
        <w:jc w:val="left"/>
        <w:outlineLvl w:val="2"/>
        <w:rPr>
          <w:rFonts w:hint="eastAsia" w:ascii="宋体" w:hAnsi="宋体" w:cs="宋体"/>
          <w:color w:val="auto"/>
          <w:sz w:val="24"/>
        </w:rPr>
      </w:pPr>
      <w:r>
        <w:rPr>
          <w:rFonts w:hint="eastAsia" w:ascii="宋体" w:hAnsi="宋体" w:cs="宋体"/>
          <w:color w:val="auto"/>
          <w:sz w:val="24"/>
        </w:rPr>
        <w:t>（8）供应商没有失信记录承诺函（格式自拟）；</w:t>
      </w:r>
    </w:p>
    <w:p>
      <w:pPr>
        <w:snapToGrid w:val="0"/>
        <w:spacing w:line="360" w:lineRule="auto"/>
        <w:ind w:firstLine="470" w:firstLineChars="196"/>
        <w:jc w:val="left"/>
        <w:outlineLvl w:val="2"/>
        <w:rPr>
          <w:rFonts w:hint="eastAsia" w:ascii="宋体" w:hAnsi="宋体" w:cs="宋体"/>
          <w:color w:val="auto"/>
          <w:sz w:val="24"/>
        </w:rPr>
      </w:pPr>
      <w:r>
        <w:rPr>
          <w:rFonts w:hint="eastAsia" w:ascii="宋体" w:hAnsi="宋体" w:cs="宋体"/>
          <w:color w:val="auto"/>
          <w:sz w:val="24"/>
        </w:rPr>
        <w:t>（9）符合特定资格条件（如有）的有关证明材料（扫描件）。</w:t>
      </w:r>
    </w:p>
    <w:p>
      <w:pPr>
        <w:snapToGrid w:val="0"/>
        <w:spacing w:line="360" w:lineRule="auto"/>
        <w:ind w:firstLine="470" w:firstLineChars="196"/>
        <w:jc w:val="left"/>
        <w:outlineLvl w:val="2"/>
        <w:rPr>
          <w:rFonts w:hint="eastAsia" w:ascii="宋体" w:hAnsi="宋体" w:cs="宋体"/>
          <w:sz w:val="24"/>
          <w:highlight w:val="yellow"/>
        </w:rPr>
      </w:pPr>
      <w:r>
        <w:rPr>
          <w:rFonts w:hint="eastAsia" w:ascii="宋体" w:hAnsi="宋体" w:cs="宋体"/>
          <w:sz w:val="24"/>
        </w:rPr>
        <w:t>2.商务技术文件</w:t>
      </w:r>
      <w:bookmarkEnd w:id="96"/>
      <w:bookmarkEnd w:id="97"/>
      <w:bookmarkStart w:id="98" w:name="_Toc26432"/>
      <w:bookmarkStart w:id="99" w:name="_Toc10616"/>
      <w:bookmarkStart w:id="100" w:name="_Toc6449"/>
    </w:p>
    <w:bookmarkEnd w:id="98"/>
    <w:bookmarkEnd w:id="99"/>
    <w:bookmarkEnd w:id="100"/>
    <w:p>
      <w:pPr>
        <w:snapToGrid w:val="0"/>
        <w:spacing w:line="360" w:lineRule="auto"/>
        <w:ind w:firstLine="470" w:firstLineChars="196"/>
        <w:jc w:val="left"/>
        <w:outlineLvl w:val="2"/>
        <w:rPr>
          <w:rFonts w:hint="eastAsia" w:ascii="宋体" w:hAnsi="宋体" w:cs="宋体"/>
          <w:sz w:val="24"/>
        </w:rPr>
      </w:pPr>
      <w:bookmarkStart w:id="101" w:name="_Toc12951"/>
      <w:bookmarkStart w:id="102" w:name="_Toc5495"/>
      <w:r>
        <w:rPr>
          <w:rFonts w:hint="eastAsia" w:ascii="宋体" w:hAnsi="宋体" w:cs="宋体"/>
          <w:sz w:val="24"/>
        </w:rPr>
        <w:t>（1）评分索引表；</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（2）法定代表人资格证明书或法定代表人授权委托书(格式附后)；</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（3）提供符合要求的营业执照及符合特定资格条件的有关证明材料；</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（4）供应商市场行为信誉情况承诺书；</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（5）投标人基本情况；</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（6）综合实力；</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rPr>
        <w:t>（7）</w:t>
      </w:r>
      <w:r>
        <w:rPr>
          <w:rFonts w:hint="eastAsia" w:ascii="宋体" w:hAnsi="宋体" w:cs="宋体"/>
          <w:sz w:val="24"/>
          <w:lang w:val="en-US" w:eastAsia="zh-CN"/>
        </w:rPr>
        <w:t>成功案例；</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lang w:val="en-US" w:eastAsia="zh-CN"/>
        </w:rPr>
        <w:t>（8）人员培训；</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lang w:val="en-US" w:eastAsia="zh-CN"/>
        </w:rPr>
        <w:t>（9）项目负责人（队长）；</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lang w:val="en-US" w:eastAsia="zh-CN"/>
        </w:rPr>
        <w:t>（10）项目服务人员；</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lang w:val="en-US" w:eastAsia="zh-CN"/>
        </w:rPr>
        <w:t>（11）针对本项目的特点和难点分析及解决措施；</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lang w:val="en-US" w:eastAsia="zh-CN"/>
        </w:rPr>
        <w:t>（12）服务方案；</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lang w:val="en-US" w:eastAsia="zh-CN"/>
        </w:rPr>
        <w:t>（13）设备配置；</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lang w:val="en-US" w:eastAsia="zh-CN"/>
        </w:rPr>
        <w:t>（14）应急预案</w:t>
      </w:r>
      <w:r>
        <w:rPr>
          <w:rFonts w:hint="eastAsia" w:ascii="宋体" w:hAnsi="宋体" w:cs="宋体"/>
          <w:color w:val="000000"/>
          <w:sz w:val="24"/>
        </w:rPr>
        <w:t>；</w:t>
      </w:r>
    </w:p>
    <w:p>
      <w:pPr>
        <w:snapToGrid w:val="0"/>
        <w:spacing w:line="360" w:lineRule="auto"/>
        <w:ind w:firstLine="470" w:firstLineChars="196"/>
        <w:jc w:val="left"/>
        <w:outlineLvl w:val="2"/>
        <w:rPr>
          <w:rFonts w:hint="default" w:ascii="宋体" w:hAnsi="宋体" w:eastAsia="宋体" w:cs="宋体"/>
          <w:sz w:val="24"/>
          <w:lang w:val="en-US" w:eastAsia="zh-CN"/>
        </w:rPr>
      </w:pPr>
      <w:r>
        <w:rPr>
          <w:rFonts w:hint="eastAsia" w:ascii="宋体" w:hAnsi="宋体" w:cs="宋体"/>
          <w:sz w:val="24"/>
          <w:lang w:eastAsia="zh-CN"/>
        </w:rPr>
        <w:t>（</w:t>
      </w:r>
      <w:r>
        <w:rPr>
          <w:rFonts w:hint="eastAsia" w:ascii="宋体" w:hAnsi="宋体" w:cs="宋体"/>
          <w:sz w:val="24"/>
          <w:lang w:val="en-US" w:eastAsia="zh-CN"/>
        </w:rPr>
        <w:t>15）优惠措施及合理化建议；</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）商务条款偏离表（格式附后）；</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）技术偏离表（格式附后）；</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）廉政承诺书（格式附后）；</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9</w:t>
      </w:r>
      <w:r>
        <w:rPr>
          <w:rFonts w:hint="eastAsia" w:ascii="宋体" w:hAnsi="宋体" w:cs="宋体"/>
          <w:sz w:val="24"/>
        </w:rPr>
        <w:t>）投标人认为与评分有关的需要提供的其他资料。</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3.报价文件：</w:t>
      </w:r>
      <w:bookmarkEnd w:id="101"/>
      <w:bookmarkEnd w:id="102"/>
    </w:p>
    <w:p>
      <w:pPr>
        <w:snapToGrid w:val="0"/>
        <w:spacing w:line="360" w:lineRule="auto"/>
        <w:ind w:firstLine="470" w:firstLineChars="196"/>
        <w:jc w:val="left"/>
        <w:outlineLvl w:val="2"/>
        <w:rPr>
          <w:rFonts w:hint="eastAsia" w:ascii="宋体" w:hAnsi="宋体" w:cs="宋体"/>
          <w:sz w:val="24"/>
        </w:rPr>
      </w:pPr>
      <w:bookmarkStart w:id="103" w:name="_Toc21398"/>
      <w:bookmarkStart w:id="104" w:name="_Toc8359"/>
      <w:bookmarkStart w:id="105" w:name="_Toc12109"/>
      <w:r>
        <w:rPr>
          <w:rFonts w:hint="eastAsia" w:ascii="宋体" w:hAnsi="宋体" w:cs="宋体"/>
          <w:sz w:val="24"/>
        </w:rPr>
        <w:t>（1）投标函（格式附后）；</w:t>
      </w:r>
      <w:bookmarkEnd w:id="103"/>
      <w:bookmarkEnd w:id="104"/>
      <w:bookmarkEnd w:id="105"/>
      <w:r>
        <w:rPr>
          <w:rFonts w:hint="eastAsia" w:ascii="宋体" w:hAnsi="宋体" w:cs="宋体"/>
          <w:sz w:val="24"/>
        </w:rPr>
        <w:t xml:space="preserve"> </w:t>
      </w:r>
    </w:p>
    <w:p>
      <w:pPr>
        <w:snapToGrid w:val="0"/>
        <w:spacing w:line="360" w:lineRule="auto"/>
        <w:ind w:firstLine="470" w:firstLineChars="196"/>
        <w:jc w:val="left"/>
        <w:outlineLvl w:val="2"/>
        <w:rPr>
          <w:rFonts w:hint="eastAsia" w:ascii="宋体" w:hAnsi="宋体" w:cs="宋体"/>
          <w:sz w:val="24"/>
        </w:rPr>
      </w:pPr>
      <w:bookmarkStart w:id="106" w:name="_Toc24341"/>
      <w:bookmarkStart w:id="107" w:name="_Toc27014"/>
      <w:bookmarkStart w:id="108" w:name="_Toc7482"/>
      <w:r>
        <w:rPr>
          <w:rFonts w:hint="eastAsia" w:ascii="宋体" w:hAnsi="宋体" w:cs="宋体"/>
          <w:sz w:val="24"/>
        </w:rPr>
        <w:t>（2）开标一览表（格式附后）；</w:t>
      </w:r>
      <w:bookmarkEnd w:id="106"/>
      <w:bookmarkEnd w:id="107"/>
      <w:bookmarkEnd w:id="108"/>
    </w:p>
    <w:p>
      <w:pPr>
        <w:snapToGrid w:val="0"/>
        <w:spacing w:line="360" w:lineRule="auto"/>
        <w:ind w:firstLine="470" w:firstLineChars="196"/>
        <w:jc w:val="left"/>
        <w:outlineLvl w:val="2"/>
        <w:rPr>
          <w:rFonts w:hint="eastAsia" w:ascii="宋体" w:hAnsi="宋体" w:cs="宋体"/>
          <w:sz w:val="24"/>
        </w:rPr>
      </w:pPr>
      <w:bookmarkStart w:id="109" w:name="_Toc27146"/>
      <w:bookmarkStart w:id="110" w:name="_Toc30484"/>
      <w:bookmarkStart w:id="111" w:name="_Toc31605"/>
      <w:r>
        <w:rPr>
          <w:rFonts w:hint="eastAsia" w:ascii="宋体" w:hAnsi="宋体" w:cs="宋体"/>
          <w:sz w:val="24"/>
        </w:rPr>
        <w:t>（3）中小企业的相关证明材料；</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w:t>
      </w:r>
      <w:bookmarkEnd w:id="109"/>
      <w:bookmarkEnd w:id="110"/>
      <w:bookmarkStart w:id="112" w:name="_Toc14411"/>
      <w:bookmarkStart w:id="113" w:name="_Toc8554"/>
      <w:r>
        <w:rPr>
          <w:rFonts w:hint="eastAsia" w:ascii="宋体" w:hAnsi="宋体" w:cs="宋体"/>
          <w:sz w:val="24"/>
        </w:rPr>
        <w:t>投标人针对报价需要说明的其他文件和说明；</w:t>
      </w:r>
      <w:bookmarkEnd w:id="111"/>
      <w:bookmarkEnd w:id="112"/>
      <w:bookmarkEnd w:id="113"/>
    </w:p>
    <w:p>
      <w:pPr>
        <w:snapToGrid w:val="0"/>
        <w:spacing w:line="360" w:lineRule="auto"/>
        <w:ind w:firstLine="472" w:firstLineChars="196"/>
        <w:jc w:val="left"/>
        <w:outlineLvl w:val="2"/>
        <w:rPr>
          <w:rFonts w:hint="eastAsia" w:ascii="宋体" w:hAnsi="宋体" w:cs="宋体"/>
          <w:b/>
          <w:bCs/>
          <w:sz w:val="24"/>
        </w:rPr>
      </w:pPr>
      <w:bookmarkStart w:id="114" w:name="_Toc16387"/>
      <w:bookmarkStart w:id="115" w:name="_Toc19759"/>
      <w:bookmarkStart w:id="116" w:name="_Toc2785"/>
      <w:r>
        <w:rPr>
          <w:rFonts w:hint="eastAsia" w:ascii="宋体" w:hAnsi="宋体" w:cs="宋体"/>
          <w:b/>
          <w:bCs/>
          <w:sz w:val="24"/>
        </w:rPr>
        <w:t>注：</w:t>
      </w:r>
      <w:r>
        <w:rPr>
          <w:rFonts w:hint="eastAsia" w:ascii="宋体" w:hAnsi="宋体" w:cs="宋体"/>
          <w:b/>
          <w:bCs/>
          <w:sz w:val="24"/>
          <w:lang w:val="zh-CN"/>
        </w:rPr>
        <w:t>供应商提供以上资料复印件（加盖单位公章）。供应商应保证以上资料真实有效，必要时须提供原件进行核验，如发现弄虚作假，将取消投标资格，已中标的取消中标资格，并按有关规定处罚</w:t>
      </w:r>
      <w:r>
        <w:rPr>
          <w:rFonts w:hint="eastAsia" w:ascii="宋体" w:hAnsi="宋体" w:cs="宋体"/>
          <w:b/>
          <w:bCs/>
          <w:sz w:val="24"/>
        </w:rPr>
        <w:t>。</w:t>
      </w:r>
      <w:bookmarkEnd w:id="114"/>
      <w:bookmarkEnd w:id="115"/>
      <w:bookmarkEnd w:id="116"/>
    </w:p>
    <w:p>
      <w:pPr>
        <w:snapToGrid w:val="0"/>
        <w:spacing w:line="360" w:lineRule="auto"/>
        <w:ind w:firstLine="472" w:firstLineChars="196"/>
        <w:jc w:val="left"/>
        <w:outlineLvl w:val="2"/>
        <w:rPr>
          <w:rFonts w:ascii="宋体" w:hAnsi="宋体"/>
          <w:b/>
          <w:sz w:val="24"/>
        </w:rPr>
      </w:pPr>
      <w:bookmarkStart w:id="117" w:name="_Toc14308"/>
      <w:r>
        <w:rPr>
          <w:rFonts w:hint="eastAsia" w:ascii="宋体" w:hAnsi="宋体"/>
          <w:b/>
          <w:sz w:val="24"/>
        </w:rPr>
        <w:t>（二）投标文件的语言及计量</w:t>
      </w:r>
      <w:bookmarkEnd w:id="78"/>
      <w:bookmarkEnd w:id="79"/>
      <w:bookmarkEnd w:id="80"/>
      <w:bookmarkEnd w:id="81"/>
      <w:bookmarkEnd w:id="82"/>
      <w:bookmarkEnd w:id="83"/>
      <w:bookmarkEnd w:id="84"/>
      <w:bookmarkEnd w:id="117"/>
    </w:p>
    <w:p>
      <w:pPr>
        <w:snapToGrid w:val="0"/>
        <w:spacing w:line="360" w:lineRule="auto"/>
        <w:ind w:firstLine="480" w:firstLineChars="200"/>
        <w:jc w:val="left"/>
        <w:rPr>
          <w:rFonts w:ascii="宋体" w:hAnsi="宋体"/>
          <w:sz w:val="24"/>
        </w:rPr>
      </w:pPr>
      <w:r>
        <w:rPr>
          <w:rFonts w:hint="eastAsia" w:ascii="宋体" w:hAnsi="宋体"/>
          <w:sz w:val="24"/>
        </w:rPr>
        <w:t>1.投标文件以及投标人与招标方就有关投标事宜的所有来往函电，均应以中文汉语书写。除签名、盖章、专用名称等特殊情形外，以中文汉语以外的文字表述的投标文件视同未提供。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hAnsi="宋体"/>
          <w:sz w:val="24"/>
        </w:rPr>
      </w:pPr>
      <w:r>
        <w:rPr>
          <w:rFonts w:hint="eastAsia" w:ascii="宋体" w:hAnsi="宋体"/>
          <w:sz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70" w:firstLineChars="196"/>
        <w:jc w:val="left"/>
        <w:outlineLvl w:val="2"/>
        <w:rPr>
          <w:rFonts w:hint="eastAsia" w:ascii="宋体" w:hAnsi="宋体"/>
          <w:bCs/>
          <w:sz w:val="24"/>
        </w:rPr>
      </w:pPr>
      <w:bookmarkStart w:id="118" w:name="_Toc17461"/>
      <w:bookmarkStart w:id="119" w:name="_Toc5608"/>
      <w:r>
        <w:rPr>
          <w:rFonts w:hint="eastAsia" w:ascii="宋体" w:hAnsi="宋体"/>
          <w:bCs/>
          <w:sz w:val="24"/>
        </w:rPr>
        <w:t>3.投标文件的形式</w:t>
      </w:r>
    </w:p>
    <w:p>
      <w:pPr>
        <w:snapToGrid w:val="0"/>
        <w:spacing w:line="360" w:lineRule="auto"/>
        <w:ind w:firstLine="470" w:firstLineChars="196"/>
        <w:jc w:val="left"/>
        <w:outlineLvl w:val="2"/>
        <w:rPr>
          <w:rFonts w:hint="eastAsia" w:ascii="宋体" w:hAnsi="宋体"/>
          <w:bCs/>
          <w:sz w:val="24"/>
        </w:rPr>
      </w:pPr>
      <w:r>
        <w:rPr>
          <w:rFonts w:hint="eastAsia" w:ascii="宋体" w:hAnsi="宋体"/>
          <w:bCs/>
          <w:sz w:val="24"/>
          <w:lang w:val="en-US" w:eastAsia="zh-CN"/>
        </w:rPr>
        <w:t>（</w:t>
      </w:r>
      <w:r>
        <w:rPr>
          <w:rFonts w:hint="eastAsia" w:ascii="宋体" w:hAnsi="宋体"/>
          <w:bCs/>
          <w:sz w:val="24"/>
          <w:lang w:val="en-US" w:eastAsia="zh-CN"/>
        </w:rPr>
        <w:t>1）</w:t>
      </w:r>
      <w:r>
        <w:rPr>
          <w:rFonts w:hint="eastAsia" w:ascii="宋体" w:hAnsi="宋体"/>
          <w:bCs/>
          <w:sz w:val="24"/>
        </w:rPr>
        <w:t>投标文件的形式：见《前附表》；</w:t>
      </w:r>
    </w:p>
    <w:p>
      <w:pPr>
        <w:snapToGrid w:val="0"/>
        <w:spacing w:line="360" w:lineRule="auto"/>
        <w:ind w:firstLine="470" w:firstLineChars="196"/>
        <w:jc w:val="left"/>
        <w:outlineLvl w:val="2"/>
        <w:rPr>
          <w:rFonts w:hint="eastAsia" w:ascii="宋体" w:hAnsi="宋体"/>
          <w:bCs/>
          <w:sz w:val="24"/>
        </w:rPr>
      </w:pPr>
      <w:r>
        <w:rPr>
          <w:rFonts w:hint="eastAsia" w:ascii="宋体" w:hAnsi="宋体"/>
          <w:bCs/>
          <w:sz w:val="24"/>
          <w:lang w:val="en-US" w:eastAsia="zh-CN"/>
        </w:rPr>
        <w:t>（</w:t>
      </w:r>
      <w:r>
        <w:rPr>
          <w:rFonts w:hint="eastAsia" w:ascii="宋体" w:hAnsi="宋体"/>
          <w:bCs/>
          <w:sz w:val="24"/>
          <w:lang w:val="en-US" w:eastAsia="zh-CN"/>
        </w:rPr>
        <w:t>2）</w:t>
      </w:r>
      <w:r>
        <w:rPr>
          <w:rFonts w:hint="eastAsia" w:ascii="宋体" w:hAnsi="宋体"/>
          <w:bCs/>
          <w:sz w:val="24"/>
        </w:rPr>
        <w:t>“电子加密投标文件”：“电子加密投标文件”是指通过“政采云电子交易客户端”完成投标文件编制后生成并加密的数据电文形式的投标文件。</w:t>
      </w:r>
    </w:p>
    <w:p>
      <w:pPr>
        <w:snapToGrid w:val="0"/>
        <w:spacing w:line="360" w:lineRule="auto"/>
        <w:ind w:firstLine="470" w:firstLineChars="196"/>
        <w:jc w:val="left"/>
        <w:outlineLvl w:val="2"/>
        <w:rPr>
          <w:rFonts w:hint="eastAsia" w:ascii="宋体" w:hAnsi="宋体"/>
          <w:bCs/>
          <w:sz w:val="24"/>
        </w:rPr>
      </w:pPr>
      <w:r>
        <w:rPr>
          <w:rFonts w:hint="eastAsia" w:ascii="宋体" w:hAnsi="宋体"/>
          <w:bCs/>
          <w:sz w:val="24"/>
          <w:lang w:val="en-US" w:eastAsia="zh-CN"/>
        </w:rPr>
        <w:t>（</w:t>
      </w:r>
      <w:r>
        <w:rPr>
          <w:rFonts w:hint="eastAsia" w:ascii="宋体" w:hAnsi="宋体"/>
          <w:bCs/>
          <w:sz w:val="24"/>
          <w:lang w:val="en-US" w:eastAsia="zh-CN"/>
        </w:rPr>
        <w:t>3）</w:t>
      </w:r>
      <w:r>
        <w:rPr>
          <w:rFonts w:hint="eastAsia" w:ascii="宋体" w:hAnsi="宋体"/>
          <w:bCs/>
          <w:sz w:val="24"/>
        </w:rPr>
        <w:t>“备份投标文件”：“备份投标文件”是指与“电子加密投标文件”同时生成的数据电文形式的电子文件（备份标书），其他方式编制的“备份投标文件”视为无效的“备份投标文件”。</w:t>
      </w:r>
    </w:p>
    <w:p>
      <w:pPr>
        <w:snapToGrid w:val="0"/>
        <w:spacing w:line="360" w:lineRule="auto"/>
        <w:ind w:firstLine="472" w:firstLineChars="196"/>
        <w:jc w:val="left"/>
        <w:outlineLvl w:val="2"/>
        <w:rPr>
          <w:rFonts w:ascii="宋体" w:hAnsi="宋体"/>
          <w:b/>
          <w:sz w:val="24"/>
        </w:rPr>
      </w:pPr>
      <w:r>
        <w:rPr>
          <w:rFonts w:hint="eastAsia" w:ascii="宋体" w:hAnsi="宋体"/>
          <w:b/>
          <w:sz w:val="24"/>
        </w:rPr>
        <w:t>（三）投标报价</w:t>
      </w:r>
      <w:bookmarkEnd w:id="118"/>
      <w:bookmarkEnd w:id="119"/>
    </w:p>
    <w:p>
      <w:pPr>
        <w:pStyle w:val="26"/>
        <w:snapToGrid w:val="0"/>
        <w:spacing w:before="0" w:beforeLines="0" w:after="0" w:afterLines="0" w:line="360" w:lineRule="auto"/>
        <w:ind w:firstLine="480" w:firstLineChars="200"/>
        <w:jc w:val="left"/>
        <w:rPr>
          <w:rFonts w:hAnsi="宋体"/>
        </w:rPr>
      </w:pPr>
      <w:r>
        <w:rPr>
          <w:rFonts w:hint="eastAsia" w:hAnsi="宋体"/>
        </w:rPr>
        <w:t>1.</w:t>
      </w:r>
      <w:r>
        <w:rPr>
          <w:rFonts w:hAnsi="宋体"/>
        </w:rPr>
        <w:t>投标报价应按招标文件中相关附表格式填写。</w:t>
      </w:r>
    </w:p>
    <w:p>
      <w:pPr>
        <w:pStyle w:val="26"/>
        <w:snapToGrid w:val="0"/>
        <w:spacing w:before="0" w:beforeLines="0" w:after="0" w:afterLines="0" w:line="360" w:lineRule="auto"/>
        <w:ind w:firstLine="480" w:firstLineChars="200"/>
        <w:jc w:val="left"/>
        <w:rPr>
          <w:rFonts w:hAnsi="宋体"/>
        </w:rPr>
      </w:pPr>
      <w:r>
        <w:rPr>
          <w:rFonts w:hint="eastAsia" w:hAnsi="宋体"/>
        </w:rPr>
        <w:t>2.</w:t>
      </w:r>
      <w:r>
        <w:rPr>
          <w:rFonts w:hAnsi="宋体"/>
        </w:rPr>
        <w:t>投标报价</w:t>
      </w:r>
      <w:r>
        <w:rPr>
          <w:rFonts w:hint="eastAsia" w:hAnsi="宋体"/>
        </w:rPr>
        <w:t>包括</w:t>
      </w:r>
      <w:r>
        <w:rPr>
          <w:rFonts w:hint="eastAsia" w:hAnsi="宋体" w:cs="宋体"/>
          <w:kern w:val="0"/>
        </w:rPr>
        <w:t>本项目所需</w:t>
      </w:r>
      <w:r>
        <w:rPr>
          <w:rFonts w:hint="eastAsia" w:hAnsi="宋体"/>
          <w:bCs/>
        </w:rPr>
        <w:t>产品的设计、制造、运输、装卸、安装、产品保护、备品备件、验收、售后服务</w:t>
      </w:r>
      <w:r>
        <w:rPr>
          <w:rFonts w:hint="eastAsia" w:hAnsi="宋体" w:cs="宋体"/>
          <w:kern w:val="0"/>
        </w:rPr>
        <w:t>、税费及完成整个项目所需的一切费用及招标文件未列明、而投标单位认为必需的费用也需列入报价。</w:t>
      </w:r>
      <w:r>
        <w:rPr>
          <w:rFonts w:hint="eastAsia" w:hAnsi="宋体"/>
        </w:rPr>
        <w:t>投标文件中的《开标一览表》是报价的唯一载体。</w:t>
      </w:r>
    </w:p>
    <w:p>
      <w:pPr>
        <w:spacing w:line="360" w:lineRule="auto"/>
        <w:ind w:firstLine="480" w:firstLineChars="200"/>
        <w:textAlignment w:val="baseline"/>
        <w:rPr>
          <w:rFonts w:ascii="宋体" w:hAnsi="宋体"/>
          <w:sz w:val="24"/>
        </w:rPr>
      </w:pPr>
      <w:r>
        <w:rPr>
          <w:rFonts w:hint="eastAsia" w:ascii="宋体" w:hAnsi="宋体"/>
          <w:sz w:val="24"/>
        </w:rPr>
        <w:t>3.不论投标报价文件中的项目特征是否描述完全，都将被认为已包括实施对应项目所有工作内容及完成此工作内容而必须的各种辅助工作的费用。</w:t>
      </w:r>
    </w:p>
    <w:p>
      <w:pPr>
        <w:spacing w:line="360" w:lineRule="auto"/>
        <w:ind w:firstLine="480" w:firstLineChars="200"/>
        <w:textAlignment w:val="baseline"/>
        <w:rPr>
          <w:rFonts w:ascii="宋体" w:hAnsi="宋体"/>
          <w:sz w:val="24"/>
        </w:rPr>
      </w:pPr>
      <w:r>
        <w:rPr>
          <w:rFonts w:hint="eastAsia" w:ascii="宋体" w:hAnsi="宋体"/>
          <w:sz w:val="24"/>
        </w:rPr>
        <w:t>4.</w:t>
      </w:r>
      <w:r>
        <w:rPr>
          <w:rFonts w:ascii="宋体" w:hAnsi="宋体"/>
          <w:sz w:val="24"/>
        </w:rPr>
        <w:t>投标文件只允许有一个报价，有选择的</w:t>
      </w:r>
      <w:r>
        <w:rPr>
          <w:rFonts w:hint="eastAsia" w:ascii="宋体" w:hAnsi="宋体"/>
          <w:sz w:val="24"/>
        </w:rPr>
        <w:t>或有条件的</w:t>
      </w:r>
      <w:r>
        <w:rPr>
          <w:rFonts w:ascii="宋体" w:hAnsi="宋体"/>
          <w:sz w:val="24"/>
        </w:rPr>
        <w:t>报价将不予接受。</w:t>
      </w:r>
    </w:p>
    <w:p>
      <w:pPr>
        <w:tabs>
          <w:tab w:val="left" w:pos="525"/>
        </w:tabs>
        <w:snapToGrid w:val="0"/>
        <w:spacing w:line="360" w:lineRule="auto"/>
        <w:ind w:firstLine="480" w:firstLineChars="200"/>
        <w:jc w:val="left"/>
        <w:rPr>
          <w:rFonts w:ascii="宋体" w:hAnsi="宋体"/>
          <w:sz w:val="24"/>
        </w:rPr>
      </w:pPr>
      <w:r>
        <w:rPr>
          <w:rFonts w:hint="eastAsia" w:ascii="宋体" w:hAnsi="宋体"/>
          <w:sz w:val="24"/>
        </w:rPr>
        <w:t>5.投标报价采用的货币单位为</w:t>
      </w:r>
      <w:r>
        <w:rPr>
          <w:rFonts w:ascii="宋体" w:hAnsi="宋体"/>
          <w:sz w:val="24"/>
        </w:rPr>
        <w:t>：人民币元</w:t>
      </w:r>
      <w:r>
        <w:rPr>
          <w:rFonts w:hint="eastAsia" w:ascii="宋体" w:hAnsi="宋体"/>
          <w:sz w:val="24"/>
        </w:rPr>
        <w:t>。</w:t>
      </w:r>
    </w:p>
    <w:p>
      <w:pPr>
        <w:pStyle w:val="26"/>
        <w:snapToGrid w:val="0"/>
        <w:spacing w:before="0" w:beforeLines="0" w:after="0" w:afterLines="0" w:line="360" w:lineRule="auto"/>
        <w:ind w:firstLine="472" w:firstLineChars="196"/>
        <w:outlineLvl w:val="2"/>
        <w:rPr>
          <w:rFonts w:hint="eastAsia" w:hAnsi="宋体" w:cs="宋体"/>
          <w:b/>
          <w:bCs/>
        </w:rPr>
      </w:pPr>
      <w:bookmarkStart w:id="120" w:name="_Toc13735"/>
      <w:r>
        <w:rPr>
          <w:rFonts w:hint="eastAsia" w:hAnsi="宋体" w:cs="宋体"/>
          <w:b/>
          <w:bCs/>
        </w:rPr>
        <w:t>（四）投标文件的有效期</w:t>
      </w:r>
      <w:bookmarkEnd w:id="85"/>
      <w:bookmarkEnd w:id="120"/>
    </w:p>
    <w:p>
      <w:pPr>
        <w:tabs>
          <w:tab w:val="left" w:pos="720"/>
        </w:tabs>
        <w:snapToGrid w:val="0"/>
        <w:spacing w:after="120" w:line="360" w:lineRule="auto"/>
        <w:ind w:firstLine="480" w:firstLineChars="200"/>
        <w:jc w:val="left"/>
        <w:rPr>
          <w:rFonts w:hint="eastAsia" w:ascii="宋体" w:hAnsi="宋体"/>
          <w:color w:val="000000"/>
          <w:kern w:val="0"/>
          <w:sz w:val="24"/>
        </w:rPr>
      </w:pPr>
      <w:r>
        <w:rPr>
          <w:rFonts w:hint="eastAsia" w:ascii="宋体" w:hAnsi="宋体"/>
          <w:color w:val="000000"/>
          <w:kern w:val="0"/>
          <w:sz w:val="24"/>
        </w:rPr>
        <w:t>1.自投标截止日起90天内投标文件应保持有效。有效期不足的投标文件将被拒绝。</w:t>
      </w:r>
    </w:p>
    <w:p>
      <w:pPr>
        <w:tabs>
          <w:tab w:val="left" w:pos="720"/>
        </w:tabs>
        <w:snapToGrid w:val="0"/>
        <w:spacing w:after="120" w:line="360" w:lineRule="auto"/>
        <w:ind w:firstLine="480" w:firstLineChars="200"/>
        <w:jc w:val="left"/>
        <w:rPr>
          <w:rFonts w:hint="eastAsia" w:ascii="宋体" w:hAnsi="宋体"/>
          <w:color w:val="000000"/>
          <w:kern w:val="0"/>
          <w:sz w:val="24"/>
        </w:rPr>
      </w:pPr>
      <w:r>
        <w:rPr>
          <w:rFonts w:hint="eastAsia" w:ascii="宋体" w:hAnsi="宋体"/>
          <w:color w:val="000000"/>
          <w:kern w:val="0"/>
          <w:sz w:val="24"/>
        </w:rPr>
        <w:t>2.中标人的投标文件自开标之日起至合同履行完毕止均应保持有效。</w:t>
      </w:r>
    </w:p>
    <w:bookmarkEnd w:id="86"/>
    <w:bookmarkEnd w:id="87"/>
    <w:bookmarkEnd w:id="88"/>
    <w:bookmarkEnd w:id="89"/>
    <w:bookmarkEnd w:id="90"/>
    <w:bookmarkEnd w:id="91"/>
    <w:bookmarkEnd w:id="92"/>
    <w:p>
      <w:pPr>
        <w:pStyle w:val="26"/>
        <w:snapToGrid w:val="0"/>
        <w:spacing w:before="0" w:beforeLines="0" w:after="0" w:afterLines="0" w:line="360" w:lineRule="auto"/>
        <w:ind w:firstLine="472" w:firstLineChars="196"/>
        <w:outlineLvl w:val="2"/>
        <w:rPr>
          <w:rFonts w:hAnsi="宋体" w:cs="宋体"/>
          <w:b/>
          <w:bCs/>
        </w:rPr>
      </w:pPr>
      <w:bookmarkStart w:id="121" w:name="_Toc30895"/>
      <w:bookmarkStart w:id="122" w:name="_Toc32142"/>
      <w:bookmarkStart w:id="123" w:name="_Toc29602"/>
      <w:r>
        <w:rPr>
          <w:rFonts w:hint="eastAsia" w:hAnsi="宋体" w:cs="宋体"/>
          <w:b/>
          <w:bCs/>
        </w:rPr>
        <w:t>（</w:t>
      </w:r>
      <w:r>
        <w:rPr>
          <w:rFonts w:hint="eastAsia" w:hAnsi="宋体" w:cs="宋体"/>
          <w:b/>
          <w:bCs/>
          <w:lang w:eastAsia="zh-CN"/>
        </w:rPr>
        <w:t>五</w:t>
      </w:r>
      <w:r>
        <w:rPr>
          <w:rFonts w:hint="eastAsia" w:hAnsi="宋体" w:cs="宋体"/>
          <w:b/>
          <w:bCs/>
        </w:rPr>
        <w:t>）投标文件的份数</w:t>
      </w:r>
      <w:bookmarkEnd w:id="121"/>
      <w:bookmarkEnd w:id="122"/>
      <w:bookmarkEnd w:id="123"/>
    </w:p>
    <w:p>
      <w:pPr>
        <w:autoSpaceDE w:val="0"/>
        <w:autoSpaceDN w:val="0"/>
        <w:adjustRightInd w:val="0"/>
        <w:spacing w:line="360" w:lineRule="auto"/>
        <w:ind w:firstLine="480" w:firstLineChars="200"/>
        <w:jc w:val="left"/>
        <w:rPr>
          <w:rFonts w:hint="eastAsia" w:hAnsi="宋体" w:cs="宋体"/>
          <w:bCs/>
          <w:sz w:val="24"/>
        </w:rPr>
      </w:pPr>
      <w:bookmarkStart w:id="124" w:name="_Toc10427"/>
      <w:bookmarkStart w:id="125" w:name="_Toc23971"/>
      <w:r>
        <w:rPr>
          <w:rFonts w:hint="eastAsia" w:ascii="宋体" w:hAnsi="宋体" w:cs="宋体"/>
          <w:bCs/>
          <w:sz w:val="24"/>
        </w:rPr>
        <w:t>1.投</w:t>
      </w:r>
      <w:r>
        <w:rPr>
          <w:rFonts w:hint="eastAsia" w:hAnsi="宋体" w:cs="宋体"/>
          <w:bCs/>
          <w:sz w:val="24"/>
        </w:rPr>
        <w:t>标文件的份数：见《前附表》。</w:t>
      </w:r>
    </w:p>
    <w:p>
      <w:pPr>
        <w:pStyle w:val="26"/>
        <w:snapToGrid w:val="0"/>
        <w:spacing w:before="0" w:beforeLines="0" w:after="0" w:afterLines="0" w:line="360" w:lineRule="auto"/>
        <w:ind w:firstLine="472" w:firstLineChars="196"/>
        <w:outlineLvl w:val="2"/>
        <w:rPr>
          <w:rFonts w:hint="eastAsia" w:hAnsi="宋体" w:cs="宋体"/>
          <w:b/>
          <w:bCs/>
        </w:rPr>
      </w:pPr>
      <w:r>
        <w:rPr>
          <w:rFonts w:hint="eastAsia" w:hAnsi="宋体" w:cs="宋体"/>
          <w:b/>
          <w:bCs/>
        </w:rPr>
        <w:t>（六）</w:t>
      </w:r>
      <w:bookmarkEnd w:id="124"/>
      <w:bookmarkEnd w:id="125"/>
      <w:bookmarkStart w:id="126" w:name="_Toc5879"/>
      <w:bookmarkStart w:id="127" w:name="_Toc1317"/>
      <w:bookmarkStart w:id="128" w:name="_Toc13705"/>
      <w:r>
        <w:rPr>
          <w:rFonts w:hint="eastAsia" w:hAnsi="宋体" w:cs="宋体"/>
          <w:b/>
          <w:bCs/>
        </w:rPr>
        <w:t>投标文件的上传、递交</w:t>
      </w:r>
    </w:p>
    <w:p>
      <w:pPr>
        <w:pStyle w:val="26"/>
        <w:snapToGrid w:val="0"/>
        <w:spacing w:before="0" w:beforeLines="0" w:after="0" w:afterLines="0" w:line="360" w:lineRule="auto"/>
        <w:ind w:firstLine="470" w:firstLineChars="196"/>
        <w:outlineLvl w:val="2"/>
        <w:rPr>
          <w:rFonts w:hint="eastAsia" w:hAnsi="宋体" w:cs="宋体"/>
        </w:rPr>
      </w:pPr>
      <w:r>
        <w:rPr>
          <w:rFonts w:hint="eastAsia" w:hAnsi="宋体" w:cs="宋体"/>
          <w:lang w:val="en-US" w:eastAsia="zh-CN"/>
        </w:rPr>
        <w:t>1.</w:t>
      </w:r>
      <w:r>
        <w:rPr>
          <w:rFonts w:hint="eastAsia" w:hAnsi="宋体" w:cs="宋体"/>
        </w:rPr>
        <w:t>投标文件”的上传、递交：见《前附表》。</w:t>
      </w:r>
    </w:p>
    <w:p>
      <w:pPr>
        <w:pStyle w:val="26"/>
        <w:snapToGrid w:val="0"/>
        <w:spacing w:before="0" w:beforeLines="0" w:after="0" w:afterLines="0" w:line="360" w:lineRule="auto"/>
        <w:ind w:firstLine="472" w:firstLineChars="196"/>
        <w:outlineLvl w:val="2"/>
        <w:rPr>
          <w:rFonts w:hint="eastAsia" w:hAnsi="宋体" w:cs="宋体"/>
          <w:b/>
          <w:bCs/>
        </w:rPr>
      </w:pPr>
      <w:r>
        <w:rPr>
          <w:rFonts w:hint="eastAsia" w:hAnsi="宋体" w:cs="宋体"/>
          <w:b/>
          <w:bCs/>
          <w:lang w:eastAsia="zh-CN"/>
        </w:rPr>
        <w:t>（七）</w:t>
      </w:r>
      <w:r>
        <w:rPr>
          <w:rFonts w:hint="eastAsia" w:hAnsi="宋体" w:cs="宋体"/>
          <w:b/>
          <w:bCs/>
        </w:rPr>
        <w:t>“电子加密投标文件”解密和异常情况处理</w:t>
      </w:r>
    </w:p>
    <w:p>
      <w:pPr>
        <w:pStyle w:val="26"/>
        <w:snapToGrid w:val="0"/>
        <w:spacing w:before="0" w:beforeLines="0" w:after="0" w:afterLines="0" w:line="360" w:lineRule="auto"/>
        <w:ind w:firstLine="470" w:firstLineChars="196"/>
        <w:outlineLvl w:val="2"/>
        <w:rPr>
          <w:rFonts w:hint="eastAsia" w:hAnsi="宋体" w:cs="宋体"/>
        </w:rPr>
      </w:pPr>
      <w:r>
        <w:rPr>
          <w:rFonts w:hint="eastAsia" w:hAnsi="宋体" w:cs="宋体"/>
          <w:lang w:val="en-US" w:eastAsia="zh-CN"/>
        </w:rPr>
        <w:t>1.</w:t>
      </w:r>
      <w:r>
        <w:rPr>
          <w:rFonts w:hint="eastAsia" w:hAnsi="宋体" w:cs="宋体"/>
        </w:rPr>
        <w:t>“电子加密投标文件”解密：见《前附表》。</w:t>
      </w:r>
    </w:p>
    <w:p>
      <w:pPr>
        <w:pStyle w:val="26"/>
        <w:snapToGrid w:val="0"/>
        <w:spacing w:before="0" w:beforeLines="0" w:after="0" w:afterLines="0" w:line="360" w:lineRule="auto"/>
        <w:ind w:firstLine="472" w:firstLineChars="196"/>
        <w:outlineLvl w:val="2"/>
        <w:rPr>
          <w:rFonts w:hint="eastAsia" w:hAnsi="宋体" w:cs="宋体"/>
          <w:b/>
          <w:bCs/>
        </w:rPr>
      </w:pPr>
      <w:r>
        <w:rPr>
          <w:rFonts w:hint="eastAsia" w:hAnsi="宋体" w:cs="宋体"/>
          <w:b/>
          <w:bCs/>
          <w:lang w:eastAsia="zh-CN"/>
        </w:rPr>
        <w:t>（八）</w:t>
      </w:r>
      <w:r>
        <w:rPr>
          <w:rFonts w:hint="eastAsia" w:hAnsi="宋体" w:cs="宋体"/>
          <w:b/>
          <w:bCs/>
        </w:rPr>
        <w:t>投标文件的补充、修改或撤回</w:t>
      </w:r>
    </w:p>
    <w:p>
      <w:pPr>
        <w:pStyle w:val="26"/>
        <w:snapToGrid w:val="0"/>
        <w:spacing w:before="0" w:beforeLines="0" w:after="0" w:afterLines="0" w:line="360" w:lineRule="auto"/>
        <w:ind w:firstLine="470" w:firstLineChars="196"/>
        <w:outlineLvl w:val="2"/>
        <w:rPr>
          <w:rFonts w:hint="eastAsia" w:hAnsi="宋体" w:cs="宋体"/>
        </w:rPr>
      </w:pPr>
      <w:r>
        <w:rPr>
          <w:rFonts w:hint="eastAsia" w:hAnsi="宋体" w:cs="宋体"/>
          <w:lang w:val="en-US" w:eastAsia="zh-CN"/>
        </w:rPr>
        <w:t>1.</w:t>
      </w:r>
      <w:r>
        <w:rPr>
          <w:rFonts w:hint="eastAsia" w:hAnsi="宋体" w:cs="宋体"/>
        </w:rPr>
        <w:t>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26"/>
        <w:snapToGrid w:val="0"/>
        <w:spacing w:before="0" w:beforeLines="0" w:after="0" w:afterLines="0" w:line="360" w:lineRule="auto"/>
        <w:ind w:firstLine="470" w:firstLineChars="196"/>
        <w:outlineLvl w:val="2"/>
        <w:rPr>
          <w:rFonts w:hint="eastAsia" w:hAnsi="宋体" w:cs="宋体"/>
        </w:rPr>
      </w:pPr>
      <w:r>
        <w:rPr>
          <w:rFonts w:hint="eastAsia" w:hAnsi="宋体" w:cs="宋体"/>
        </w:rPr>
        <w:t>2</w:t>
      </w:r>
      <w:r>
        <w:rPr>
          <w:rFonts w:hint="eastAsia" w:hAnsi="宋体" w:cs="宋体"/>
          <w:lang w:val="en-US" w:eastAsia="zh-CN"/>
        </w:rPr>
        <w:t>.</w:t>
      </w:r>
      <w:r>
        <w:rPr>
          <w:rFonts w:hint="eastAsia" w:hAnsi="宋体" w:cs="宋体"/>
        </w:rPr>
        <w:t>投标截止时间后，供应商不得撤回、修改《投标文件》。</w:t>
      </w:r>
    </w:p>
    <w:p>
      <w:pPr>
        <w:pStyle w:val="26"/>
        <w:snapToGrid w:val="0"/>
        <w:spacing w:before="0" w:beforeLines="0" w:after="0" w:afterLines="0" w:line="360" w:lineRule="auto"/>
        <w:ind w:firstLine="472" w:firstLineChars="196"/>
        <w:outlineLvl w:val="2"/>
        <w:rPr>
          <w:rFonts w:hint="eastAsia" w:hAnsi="宋体" w:cs="宋体"/>
          <w:b/>
          <w:bCs/>
        </w:rPr>
      </w:pPr>
      <w:r>
        <w:rPr>
          <w:rFonts w:hint="eastAsia" w:hAnsi="宋体" w:cs="宋体"/>
          <w:b/>
          <w:bCs/>
          <w:lang w:eastAsia="zh-CN"/>
        </w:rPr>
        <w:t>（九）</w:t>
      </w:r>
      <w:r>
        <w:rPr>
          <w:rFonts w:hint="eastAsia" w:hAnsi="宋体" w:cs="宋体"/>
          <w:b/>
          <w:bCs/>
        </w:rPr>
        <w:t>投标文件的备选方案</w:t>
      </w:r>
    </w:p>
    <w:p>
      <w:pPr>
        <w:pStyle w:val="26"/>
        <w:snapToGrid w:val="0"/>
        <w:spacing w:before="0" w:beforeLines="0" w:after="0" w:afterLines="0" w:line="360" w:lineRule="auto"/>
        <w:ind w:firstLine="470" w:firstLineChars="196"/>
        <w:outlineLvl w:val="2"/>
        <w:rPr>
          <w:rFonts w:hint="eastAsia" w:hAnsi="宋体" w:cs="宋体"/>
        </w:rPr>
      </w:pPr>
      <w:r>
        <w:rPr>
          <w:rFonts w:hint="eastAsia" w:hAnsi="宋体" w:cs="宋体"/>
          <w:lang w:val="en-US" w:eastAsia="zh-CN"/>
        </w:rPr>
        <w:t>1.</w:t>
      </w:r>
      <w:r>
        <w:rPr>
          <w:rFonts w:hint="eastAsia" w:hAnsi="宋体" w:cs="宋体"/>
        </w:rPr>
        <w:t>供应商不得递交任何的投标备选（替代）方案，否则其投标文件将作无效标处理。与“电子加密投标文件”同时生成的“备份投标文件”不是投标备选（替代）方案。</w:t>
      </w:r>
    </w:p>
    <w:p>
      <w:pPr>
        <w:pStyle w:val="26"/>
        <w:snapToGrid w:val="0"/>
        <w:spacing w:before="0" w:beforeLines="0" w:after="0" w:afterLines="0" w:line="360" w:lineRule="auto"/>
        <w:ind w:firstLine="472" w:firstLineChars="196"/>
        <w:outlineLvl w:val="2"/>
        <w:rPr>
          <w:rFonts w:hint="eastAsia" w:hAnsi="宋体" w:cs="宋体"/>
          <w:b/>
          <w:bCs/>
        </w:rPr>
      </w:pPr>
      <w:r>
        <w:rPr>
          <w:rFonts w:hint="eastAsia" w:hAnsi="宋体" w:cs="宋体"/>
          <w:b/>
          <w:bCs/>
          <w:lang w:eastAsia="zh-CN"/>
        </w:rPr>
        <w:t>（十）</w:t>
      </w:r>
      <w:r>
        <w:rPr>
          <w:rFonts w:hint="eastAsia" w:hAnsi="宋体" w:cs="宋体"/>
          <w:b/>
          <w:bCs/>
        </w:rPr>
        <w:t xml:space="preserve"> 投标截止</w:t>
      </w:r>
      <w:r>
        <w:rPr>
          <w:rFonts w:hint="eastAsia" w:hAnsi="宋体" w:cs="宋体"/>
          <w:b/>
          <w:bCs/>
          <w:lang w:eastAsia="zh-CN"/>
        </w:rPr>
        <w:t>时</w:t>
      </w:r>
      <w:r>
        <w:rPr>
          <w:rFonts w:hint="eastAsia" w:hAnsi="宋体" w:cs="宋体"/>
          <w:b/>
          <w:bCs/>
        </w:rPr>
        <w:t>期</w:t>
      </w:r>
    </w:p>
    <w:p>
      <w:pPr>
        <w:pStyle w:val="26"/>
        <w:snapToGrid w:val="0"/>
        <w:spacing w:before="0" w:beforeLines="0" w:after="0" w:afterLines="0" w:line="360" w:lineRule="auto"/>
        <w:ind w:firstLine="470" w:firstLineChars="196"/>
        <w:outlineLvl w:val="2"/>
        <w:rPr>
          <w:rFonts w:hint="eastAsia" w:hAnsi="宋体" w:cs="宋体"/>
        </w:rPr>
      </w:pPr>
      <w:r>
        <w:rPr>
          <w:rFonts w:hint="eastAsia" w:hAnsi="宋体" w:cs="宋体"/>
          <w:lang w:val="en-US" w:eastAsia="zh-CN"/>
        </w:rPr>
        <w:t>1.</w:t>
      </w:r>
      <w:r>
        <w:rPr>
          <w:rFonts w:hint="eastAsia" w:hAnsi="宋体" w:cs="宋体"/>
        </w:rPr>
        <w:t>供应商应按</w:t>
      </w:r>
      <w:r>
        <w:rPr>
          <w:rFonts w:hint="eastAsia" w:hAnsi="宋体" w:cs="宋体"/>
          <w:lang w:eastAsia="zh-CN"/>
        </w:rPr>
        <w:t>招标公告</w:t>
      </w:r>
      <w:r>
        <w:rPr>
          <w:rFonts w:hint="eastAsia" w:hAnsi="宋体" w:cs="宋体"/>
        </w:rPr>
        <w:t>规定的时间、地点</w:t>
      </w:r>
      <w:r>
        <w:rPr>
          <w:rFonts w:hint="eastAsia" w:hAnsi="宋体" w:cs="宋体"/>
          <w:lang w:eastAsia="zh-CN"/>
        </w:rPr>
        <w:t>规定</w:t>
      </w:r>
      <w:r>
        <w:rPr>
          <w:rFonts w:hint="eastAsia" w:hAnsi="宋体" w:cs="宋体"/>
        </w:rPr>
        <w:t>递交投标文件，采购人</w:t>
      </w:r>
      <w:r>
        <w:rPr>
          <w:rFonts w:hint="eastAsia" w:hAnsi="宋体" w:cs="宋体"/>
          <w:lang w:eastAsia="zh-CN"/>
        </w:rPr>
        <w:t>、采购代理机构</w:t>
      </w:r>
      <w:r>
        <w:rPr>
          <w:rFonts w:hint="eastAsia" w:hAnsi="宋体" w:cs="宋体"/>
        </w:rPr>
        <w:t>将拒绝接受逾期送达的投标文件。</w:t>
      </w:r>
    </w:p>
    <w:p>
      <w:pPr>
        <w:pStyle w:val="26"/>
        <w:snapToGrid w:val="0"/>
        <w:spacing w:before="0" w:beforeLines="0" w:after="0" w:afterLines="0" w:line="360" w:lineRule="auto"/>
        <w:ind w:firstLine="470" w:firstLineChars="196"/>
        <w:outlineLvl w:val="2"/>
        <w:rPr>
          <w:rFonts w:hint="eastAsia" w:hAnsi="宋体" w:cs="宋体"/>
        </w:rPr>
      </w:pPr>
      <w:r>
        <w:rPr>
          <w:rFonts w:hint="eastAsia" w:hAnsi="宋体" w:cs="宋体"/>
          <w:lang w:val="en-US" w:eastAsia="zh-CN"/>
        </w:rPr>
        <w:t>2.</w:t>
      </w:r>
      <w:r>
        <w:rPr>
          <w:rFonts w:hint="eastAsia" w:hAnsi="宋体" w:cs="宋体"/>
        </w:rPr>
        <w:t>采购人可以按本须知规定以补充通知的方式，酌情延长递交投标文件的截止日期。在上述情况下，采购人与供应商以在投标截止期方面的全部权利、责任和义务，将适用于延长至新的投标截止期。</w:t>
      </w:r>
    </w:p>
    <w:p>
      <w:pPr>
        <w:pStyle w:val="26"/>
        <w:snapToGrid w:val="0"/>
        <w:spacing w:before="0" w:beforeLines="0" w:after="0" w:afterLines="0" w:line="360" w:lineRule="auto"/>
        <w:ind w:firstLine="472" w:firstLineChars="196"/>
        <w:outlineLvl w:val="2"/>
        <w:rPr>
          <w:rFonts w:hAnsi="宋体" w:cs="宋体"/>
          <w:b/>
          <w:bCs/>
        </w:rPr>
      </w:pPr>
      <w:r>
        <w:rPr>
          <w:rFonts w:hint="eastAsia" w:hAnsi="宋体" w:cs="宋体"/>
          <w:b/>
          <w:bCs/>
        </w:rPr>
        <w:t>（</w:t>
      </w:r>
      <w:r>
        <w:rPr>
          <w:rFonts w:hint="eastAsia" w:hAnsi="宋体" w:cs="宋体"/>
          <w:b/>
          <w:bCs/>
          <w:lang w:eastAsia="zh-CN"/>
        </w:rPr>
        <w:t>十一</w:t>
      </w:r>
      <w:r>
        <w:rPr>
          <w:rFonts w:hint="eastAsia" w:hAnsi="宋体" w:cs="宋体"/>
          <w:b/>
          <w:bCs/>
        </w:rPr>
        <w:t>）投标无效的情形</w:t>
      </w:r>
      <w:bookmarkEnd w:id="126"/>
      <w:bookmarkEnd w:id="127"/>
      <w:bookmarkEnd w:id="128"/>
    </w:p>
    <w:p>
      <w:pPr>
        <w:pStyle w:val="26"/>
        <w:snapToGrid w:val="0"/>
        <w:spacing w:before="0" w:beforeLines="0" w:after="0" w:afterLines="0" w:line="360" w:lineRule="auto"/>
        <w:ind w:firstLine="470" w:firstLineChars="196"/>
        <w:outlineLvl w:val="2"/>
        <w:rPr>
          <w:rFonts w:hint="eastAsia" w:hAnsi="宋体" w:cs="宋体"/>
        </w:rPr>
      </w:pPr>
      <w:bookmarkStart w:id="129" w:name="_Toc7843"/>
      <w:bookmarkStart w:id="130" w:name="_Toc13023"/>
      <w:bookmarkStart w:id="131" w:name="_Toc17185"/>
      <w:bookmarkStart w:id="132" w:name="_Toc9819"/>
      <w:bookmarkStart w:id="133" w:name="_Toc6620"/>
      <w:r>
        <w:rPr>
          <w:rFonts w:hint="eastAsia" w:hAnsi="宋体" w:cs="宋体"/>
        </w:rPr>
        <w:t>实质上没有响应采购文件要求的投标将被视为无效投标。投标人不得通过修正或撤消不合要求的偏离从而使其投标成为实质上响应的投标。出现下列情形之一的，投标文件将被视为无效：</w:t>
      </w:r>
      <w:bookmarkEnd w:id="129"/>
      <w:bookmarkEnd w:id="130"/>
      <w:bookmarkEnd w:id="131"/>
    </w:p>
    <w:p>
      <w:pPr>
        <w:pStyle w:val="7"/>
        <w:spacing w:line="360" w:lineRule="auto"/>
        <w:rPr>
          <w:rFonts w:hint="eastAsia" w:ascii="宋体" w:hAnsi="宋体" w:cs="宋体"/>
          <w:b/>
          <w:bCs/>
          <w:color w:val="000000"/>
          <w:sz w:val="24"/>
        </w:rPr>
      </w:pPr>
      <w:r>
        <w:rPr>
          <w:rFonts w:hint="eastAsia" w:ascii="宋体" w:hAnsi="宋体" w:cs="宋体"/>
          <w:b/>
          <w:bCs/>
          <w:color w:val="000000"/>
          <w:sz w:val="24"/>
        </w:rPr>
        <w:t>1.在资格审查时，如发现下列情形之一的，投标文件将被视为无效：</w:t>
      </w:r>
    </w:p>
    <w:p>
      <w:pPr>
        <w:pStyle w:val="7"/>
        <w:spacing w:line="360" w:lineRule="auto"/>
        <w:ind w:firstLine="360" w:firstLineChars="150"/>
        <w:rPr>
          <w:rFonts w:hint="eastAsia" w:ascii="宋体" w:hAnsi="宋体" w:cs="宋体"/>
          <w:color w:val="000000"/>
          <w:sz w:val="24"/>
        </w:rPr>
      </w:pPr>
      <w:r>
        <w:rPr>
          <w:rFonts w:hint="eastAsia" w:ascii="宋体" w:hAnsi="宋体" w:cs="宋体"/>
          <w:color w:val="000000"/>
          <w:sz w:val="24"/>
        </w:rPr>
        <w:t>资格证明文件不全的，或者不符合招标文件标明的资格要求的；</w:t>
      </w:r>
    </w:p>
    <w:p>
      <w:pPr>
        <w:pStyle w:val="7"/>
        <w:spacing w:line="360" w:lineRule="auto"/>
        <w:ind w:firstLine="361" w:firstLineChars="150"/>
        <w:rPr>
          <w:rFonts w:hint="eastAsia" w:ascii="宋体" w:hAnsi="宋体" w:cs="宋体"/>
          <w:b/>
          <w:bCs/>
          <w:color w:val="000000"/>
          <w:sz w:val="24"/>
        </w:rPr>
      </w:pPr>
      <w:r>
        <w:rPr>
          <w:rFonts w:hint="eastAsia" w:ascii="宋体" w:hAnsi="宋体" w:cs="宋体"/>
          <w:b/>
          <w:bCs/>
          <w:color w:val="000000"/>
          <w:sz w:val="24"/>
        </w:rPr>
        <w:t>2.在商务、技术评审时，如发现下列情形之一的，投标将被视为无效：</w:t>
      </w:r>
    </w:p>
    <w:p>
      <w:pPr>
        <w:pStyle w:val="21"/>
        <w:snapToGrid w:val="0"/>
        <w:spacing w:line="360" w:lineRule="auto"/>
        <w:ind w:firstLine="454" w:firstLineChars="196"/>
        <w:rPr>
          <w:rFonts w:hint="eastAsia" w:hAnsi="宋体" w:cs="宋体"/>
          <w:color w:val="000000"/>
          <w:sz w:val="24"/>
        </w:rPr>
      </w:pPr>
      <w:bookmarkStart w:id="134" w:name="_Toc33194396"/>
      <w:r>
        <w:rPr>
          <w:rFonts w:hint="eastAsia" w:hAnsi="宋体" w:cs="宋体"/>
          <w:color w:val="000000"/>
          <w:sz w:val="24"/>
        </w:rPr>
        <w:t>（1）投标文件未有效授权，法定代表人授权委托书等填写不完整或有涂改的；</w:t>
      </w:r>
      <w:bookmarkEnd w:id="134"/>
    </w:p>
    <w:p>
      <w:pPr>
        <w:pStyle w:val="21"/>
        <w:snapToGrid w:val="0"/>
        <w:spacing w:line="360" w:lineRule="auto"/>
        <w:ind w:firstLine="454" w:firstLineChars="196"/>
        <w:rPr>
          <w:rFonts w:hint="eastAsia" w:hAnsi="宋体" w:cs="宋体"/>
          <w:color w:val="000000"/>
          <w:sz w:val="24"/>
        </w:rPr>
      </w:pPr>
      <w:r>
        <w:rPr>
          <w:rFonts w:hint="eastAsia" w:hAnsi="宋体" w:cs="宋体"/>
          <w:color w:val="000000"/>
          <w:sz w:val="24"/>
        </w:rPr>
        <w:t>（2）投标文件没有对本采购文件作出实质性响应的，或不满足（不响应）本采购文件中标注“▲”的实质性要求条款的，或存在采购文件中明确规定的其他无效标情形的；</w:t>
      </w:r>
    </w:p>
    <w:p>
      <w:pPr>
        <w:pStyle w:val="21"/>
        <w:snapToGrid w:val="0"/>
        <w:spacing w:line="360" w:lineRule="auto"/>
        <w:ind w:firstLine="454" w:firstLineChars="196"/>
        <w:rPr>
          <w:rFonts w:hint="eastAsia" w:hAnsi="宋体" w:cs="宋体"/>
          <w:color w:val="000000"/>
          <w:sz w:val="24"/>
        </w:rPr>
      </w:pPr>
      <w:r>
        <w:rPr>
          <w:rFonts w:hint="eastAsia" w:hAnsi="宋体" w:cs="宋体"/>
          <w:color w:val="000000"/>
          <w:sz w:val="24"/>
        </w:rPr>
        <w:t>（3）投标文件存在一个或一个以上备选（替代）投标方案的；</w:t>
      </w:r>
    </w:p>
    <w:p>
      <w:pPr>
        <w:pStyle w:val="21"/>
        <w:snapToGrid w:val="0"/>
        <w:spacing w:line="360" w:lineRule="auto"/>
        <w:ind w:firstLine="454" w:firstLineChars="196"/>
        <w:rPr>
          <w:rFonts w:hint="eastAsia" w:hAnsi="宋体" w:cs="宋体"/>
          <w:color w:val="000000"/>
          <w:sz w:val="24"/>
        </w:rPr>
      </w:pPr>
      <w:r>
        <w:rPr>
          <w:rFonts w:hint="eastAsia" w:hAnsi="宋体" w:cs="宋体"/>
          <w:color w:val="000000"/>
          <w:sz w:val="24"/>
        </w:rPr>
        <w:t>（4）仅提交“备份投标文件”的；</w:t>
      </w:r>
    </w:p>
    <w:p>
      <w:pPr>
        <w:pStyle w:val="21"/>
        <w:snapToGrid w:val="0"/>
        <w:spacing w:line="360" w:lineRule="auto"/>
        <w:ind w:firstLine="454" w:firstLineChars="196"/>
        <w:rPr>
          <w:rFonts w:hint="eastAsia" w:hAnsi="宋体" w:cs="宋体"/>
          <w:color w:val="000000"/>
          <w:sz w:val="24"/>
        </w:rPr>
      </w:pPr>
      <w:r>
        <w:rPr>
          <w:rFonts w:hint="eastAsia" w:hAnsi="宋体" w:cs="宋体"/>
          <w:color w:val="000000"/>
          <w:sz w:val="24"/>
        </w:rPr>
        <w:t>（5）文件组成内容不齐全，本采购文件规定必须提供而未提供的（属于资格审查范围的除外）；</w:t>
      </w:r>
    </w:p>
    <w:p>
      <w:pPr>
        <w:pStyle w:val="21"/>
        <w:snapToGrid w:val="0"/>
        <w:spacing w:line="360" w:lineRule="auto"/>
        <w:ind w:firstLine="454" w:firstLineChars="196"/>
        <w:rPr>
          <w:rFonts w:hint="eastAsia" w:hAnsi="宋体" w:cs="宋体"/>
          <w:color w:val="000000"/>
          <w:sz w:val="24"/>
        </w:rPr>
      </w:pPr>
      <w:r>
        <w:rPr>
          <w:rFonts w:hint="eastAsia" w:hAnsi="宋体" w:cs="宋体"/>
          <w:color w:val="000000"/>
          <w:sz w:val="24"/>
        </w:rPr>
        <w:t>（6）投标文件标注的响应或偏离情况与事实不符，或提供了虚假材料的；</w:t>
      </w:r>
    </w:p>
    <w:p>
      <w:pPr>
        <w:pStyle w:val="21"/>
        <w:snapToGrid w:val="0"/>
        <w:spacing w:line="360" w:lineRule="auto"/>
        <w:ind w:firstLine="454" w:firstLineChars="196"/>
        <w:rPr>
          <w:rFonts w:hint="eastAsia" w:hAnsi="宋体" w:cs="宋体"/>
          <w:color w:val="000000"/>
          <w:sz w:val="24"/>
        </w:rPr>
      </w:pPr>
      <w:r>
        <w:rPr>
          <w:rFonts w:hint="eastAsia" w:hAnsi="宋体" w:cs="宋体"/>
          <w:color w:val="000000"/>
          <w:sz w:val="24"/>
        </w:rPr>
        <w:t>（7）不响应或擅自改变本采购文件要求或投标文件有采购人不能接受的附加条件的；</w:t>
      </w:r>
    </w:p>
    <w:p>
      <w:pPr>
        <w:pStyle w:val="21"/>
        <w:snapToGrid w:val="0"/>
        <w:spacing w:line="360" w:lineRule="auto"/>
        <w:ind w:firstLine="454" w:firstLineChars="196"/>
        <w:rPr>
          <w:rFonts w:hint="eastAsia" w:hAnsi="宋体" w:cs="宋体"/>
          <w:color w:val="000000"/>
          <w:sz w:val="24"/>
        </w:rPr>
      </w:pPr>
      <w:r>
        <w:rPr>
          <w:rFonts w:hint="eastAsia" w:hAnsi="宋体" w:cs="宋体"/>
          <w:color w:val="000000"/>
          <w:sz w:val="24"/>
        </w:rPr>
        <w:t>（8）参加同一合同项下政府采购活动的不同供应商之间存在利害关系并且存在影响政府采购公平竞争行为的；</w:t>
      </w:r>
    </w:p>
    <w:p>
      <w:pPr>
        <w:pStyle w:val="21"/>
        <w:snapToGrid w:val="0"/>
        <w:spacing w:line="360" w:lineRule="auto"/>
        <w:ind w:firstLine="454" w:firstLineChars="196"/>
        <w:rPr>
          <w:rFonts w:hint="eastAsia" w:hAnsi="宋体" w:cs="宋体"/>
          <w:color w:val="000000"/>
          <w:sz w:val="24"/>
        </w:rPr>
      </w:pPr>
      <w:bookmarkStart w:id="135" w:name="_Toc33194397"/>
      <w:r>
        <w:rPr>
          <w:rFonts w:hint="eastAsia" w:hAnsi="宋体" w:cs="宋体"/>
          <w:color w:val="000000"/>
          <w:sz w:val="24"/>
        </w:rPr>
        <w:t>（9）采购人拟采购的产品如属于品目清单范围内的强制采购品目的，供应商未</w:t>
      </w:r>
      <w:bookmarkEnd w:id="135"/>
      <w:bookmarkStart w:id="136" w:name="_Toc33194398"/>
      <w:r>
        <w:rPr>
          <w:rFonts w:hint="eastAsia" w:hAnsi="宋体" w:cs="宋体"/>
          <w:color w:val="000000"/>
          <w:sz w:val="24"/>
        </w:rPr>
        <w:t>能在响应文件中提供国家确定的认证机构出具的、处于有效期之内的该产品节能产品、环境标志产品认证证书；</w:t>
      </w:r>
      <w:bookmarkEnd w:id="136"/>
    </w:p>
    <w:p>
      <w:pPr>
        <w:pStyle w:val="21"/>
        <w:snapToGrid w:val="0"/>
        <w:spacing w:line="360" w:lineRule="auto"/>
        <w:ind w:firstLine="454" w:firstLineChars="196"/>
        <w:rPr>
          <w:rFonts w:hint="eastAsia" w:hAnsi="宋体" w:cs="宋体"/>
          <w:color w:val="000000"/>
          <w:sz w:val="24"/>
        </w:rPr>
      </w:pPr>
      <w:r>
        <w:rPr>
          <w:rFonts w:hint="eastAsia" w:hAnsi="宋体" w:cs="宋体"/>
          <w:color w:val="000000"/>
          <w:sz w:val="24"/>
        </w:rPr>
        <w:t>（10）违反国家或政府部门相关法律、法规、文件规定的。</w:t>
      </w:r>
    </w:p>
    <w:p>
      <w:pPr>
        <w:pStyle w:val="21"/>
        <w:snapToGrid w:val="0"/>
        <w:spacing w:line="360" w:lineRule="auto"/>
        <w:ind w:firstLine="457" w:firstLineChars="196"/>
        <w:rPr>
          <w:rFonts w:hint="eastAsia" w:hAnsi="宋体" w:cs="宋体"/>
          <w:b/>
          <w:bCs/>
          <w:color w:val="000000"/>
          <w:sz w:val="24"/>
        </w:rPr>
      </w:pPr>
      <w:r>
        <w:rPr>
          <w:rFonts w:hint="eastAsia" w:hAnsi="宋体" w:cs="宋体"/>
          <w:b/>
          <w:bCs/>
          <w:color w:val="000000"/>
          <w:sz w:val="24"/>
        </w:rPr>
        <w:t>3.在报价评审时，如发现下列情形之一的，投标将被视为无效：</w:t>
      </w:r>
    </w:p>
    <w:p>
      <w:pPr>
        <w:pStyle w:val="26"/>
        <w:snapToGrid w:val="0"/>
        <w:spacing w:before="0" w:beforeLines="0" w:after="0" w:afterLines="0" w:line="360" w:lineRule="auto"/>
        <w:ind w:firstLine="480" w:firstLineChars="200"/>
        <w:outlineLvl w:val="2"/>
        <w:rPr>
          <w:rFonts w:hint="eastAsia" w:hAnsi="宋体" w:cs="宋体"/>
          <w:lang w:val="zh-CN"/>
        </w:rPr>
      </w:pPr>
      <w:bookmarkStart w:id="137" w:name="_Toc17605"/>
      <w:r>
        <w:rPr>
          <w:rFonts w:hint="eastAsia" w:hAnsi="宋体" w:cs="宋体"/>
          <w:lang w:val="zh-CN"/>
        </w:rPr>
        <w:t>（1）投标文件没有对本采购文件作出实质性响应的，或不满足（不响应）本采购文件中标注“▲”的实质性要求条款的，或存在采购文件中明确规定的其他无效标情形的；</w:t>
      </w:r>
    </w:p>
    <w:p>
      <w:pPr>
        <w:pStyle w:val="26"/>
        <w:snapToGrid w:val="0"/>
        <w:spacing w:before="0" w:beforeLines="0" w:after="0" w:afterLines="0" w:line="360" w:lineRule="auto"/>
        <w:ind w:firstLine="480" w:firstLineChars="200"/>
        <w:outlineLvl w:val="2"/>
        <w:rPr>
          <w:rFonts w:hint="eastAsia" w:hAnsi="宋体" w:cs="宋体"/>
          <w:lang w:val="zh-CN"/>
        </w:rPr>
      </w:pPr>
      <w:r>
        <w:rPr>
          <w:rFonts w:hint="eastAsia" w:hAnsi="宋体" w:cs="宋体"/>
          <w:lang w:val="zh-CN"/>
        </w:rPr>
        <w:t>（2）投标文件存在一个或一个以上备选（替代）投标方案的；</w:t>
      </w:r>
    </w:p>
    <w:p>
      <w:pPr>
        <w:pStyle w:val="26"/>
        <w:snapToGrid w:val="0"/>
        <w:spacing w:before="0" w:beforeLines="0" w:after="0" w:afterLines="0" w:line="360" w:lineRule="auto"/>
        <w:ind w:firstLine="480" w:firstLineChars="200"/>
        <w:outlineLvl w:val="2"/>
        <w:rPr>
          <w:rFonts w:hint="eastAsia" w:hAnsi="宋体" w:cs="宋体"/>
          <w:lang w:val="zh-CN"/>
        </w:rPr>
      </w:pPr>
      <w:r>
        <w:rPr>
          <w:rFonts w:hint="eastAsia" w:hAnsi="宋体" w:cs="宋体"/>
          <w:lang w:val="zh-CN"/>
        </w:rPr>
        <w:t>（3）未按照采购文件标明的币种报价的，或者投标报价涵盖的内容不符合采购文件要求的；</w:t>
      </w:r>
    </w:p>
    <w:p>
      <w:pPr>
        <w:pStyle w:val="26"/>
        <w:snapToGrid w:val="0"/>
        <w:spacing w:before="0" w:beforeLines="0" w:after="0" w:afterLines="0" w:line="360" w:lineRule="auto"/>
        <w:ind w:firstLine="480" w:firstLineChars="200"/>
        <w:outlineLvl w:val="2"/>
        <w:rPr>
          <w:rFonts w:hint="eastAsia" w:hAnsi="宋体" w:cs="宋体"/>
          <w:lang w:val="zh-CN"/>
        </w:rPr>
      </w:pPr>
      <w:r>
        <w:rPr>
          <w:rFonts w:hint="eastAsia" w:hAnsi="宋体" w:cs="宋体"/>
          <w:lang w:val="zh-CN"/>
        </w:rPr>
        <w:t>（4）《开标一览表》内容与《投标报价明细表》内容不一致且拒不接受修正的；</w:t>
      </w:r>
    </w:p>
    <w:p>
      <w:pPr>
        <w:pStyle w:val="26"/>
        <w:snapToGrid w:val="0"/>
        <w:spacing w:before="0" w:beforeLines="0" w:after="0" w:afterLines="0" w:line="360" w:lineRule="auto"/>
        <w:ind w:firstLine="480" w:firstLineChars="200"/>
        <w:outlineLvl w:val="2"/>
        <w:rPr>
          <w:rFonts w:hint="eastAsia" w:hAnsi="宋体" w:cs="宋体"/>
          <w:lang w:val="zh-CN"/>
        </w:rPr>
      </w:pPr>
      <w:r>
        <w:rPr>
          <w:rFonts w:hint="eastAsia" w:hAnsi="宋体" w:cs="宋体"/>
          <w:lang w:val="zh-CN"/>
        </w:rPr>
        <w:t>（5）投标报价具有选择性，唱标价格与《投标文件》承诺的优惠（折扣）后价格不一致的；</w:t>
      </w:r>
    </w:p>
    <w:p>
      <w:pPr>
        <w:pStyle w:val="26"/>
        <w:snapToGrid w:val="0"/>
        <w:spacing w:before="0" w:beforeLines="0" w:after="0" w:afterLines="0" w:line="360" w:lineRule="auto"/>
        <w:ind w:firstLine="480" w:firstLineChars="200"/>
        <w:outlineLvl w:val="2"/>
        <w:rPr>
          <w:rFonts w:hint="eastAsia" w:hAnsi="宋体" w:cs="宋体"/>
          <w:lang w:val="zh-CN"/>
        </w:rPr>
      </w:pPr>
      <w:r>
        <w:rPr>
          <w:rFonts w:hint="eastAsia" w:hAnsi="宋体" w:cs="宋体"/>
          <w:lang w:val="zh-CN"/>
        </w:rPr>
        <w:t>（6）投标报价超过采购预算（或最高限价）的；</w:t>
      </w:r>
    </w:p>
    <w:p>
      <w:pPr>
        <w:pStyle w:val="26"/>
        <w:snapToGrid w:val="0"/>
        <w:spacing w:before="0" w:beforeLines="0" w:after="0" w:afterLines="0" w:line="360" w:lineRule="auto"/>
        <w:ind w:firstLine="480" w:firstLineChars="200"/>
        <w:outlineLvl w:val="2"/>
        <w:rPr>
          <w:rFonts w:hint="eastAsia" w:hAnsi="宋体" w:cs="宋体"/>
          <w:lang w:val="zh-CN"/>
        </w:rPr>
      </w:pPr>
      <w:r>
        <w:rPr>
          <w:rFonts w:hint="eastAsia" w:hAnsi="宋体" w:cs="宋体"/>
          <w:lang w:val="zh-CN"/>
        </w:rPr>
        <w:t>（7）仅提交“备份投标文件”的；</w:t>
      </w:r>
    </w:p>
    <w:p>
      <w:pPr>
        <w:pStyle w:val="26"/>
        <w:snapToGrid w:val="0"/>
        <w:spacing w:before="0" w:beforeLines="0" w:after="0" w:afterLines="0" w:line="360" w:lineRule="auto"/>
        <w:ind w:firstLine="480" w:firstLineChars="200"/>
        <w:outlineLvl w:val="2"/>
        <w:rPr>
          <w:rFonts w:hint="eastAsia" w:hAnsi="宋体" w:cs="宋体"/>
          <w:lang w:val="zh-CN"/>
        </w:rPr>
      </w:pPr>
      <w:r>
        <w:rPr>
          <w:rFonts w:hint="eastAsia" w:hAnsi="宋体" w:cs="宋体"/>
          <w:lang w:val="zh-CN"/>
        </w:rPr>
        <w:t>（8）投标文件组成内容不齐全，本采购文件规定必须提供而未提供的（属于资格审查范围的除外）；</w:t>
      </w:r>
    </w:p>
    <w:p>
      <w:pPr>
        <w:pStyle w:val="26"/>
        <w:snapToGrid w:val="0"/>
        <w:spacing w:before="0" w:beforeLines="0" w:after="0" w:afterLines="0" w:line="360" w:lineRule="auto"/>
        <w:ind w:firstLine="480" w:firstLineChars="200"/>
        <w:outlineLvl w:val="2"/>
        <w:rPr>
          <w:rFonts w:hint="eastAsia" w:hAnsi="宋体" w:cs="宋体"/>
          <w:lang w:val="zh-CN"/>
        </w:rPr>
      </w:pPr>
      <w:r>
        <w:rPr>
          <w:rFonts w:hint="eastAsia" w:hAnsi="宋体" w:cs="宋体"/>
          <w:lang w:val="zh-CN"/>
        </w:rPr>
        <w:t>（9）投标文件标注的响应或偏离情况与事实不符，或提供了虚假材料的；</w:t>
      </w:r>
    </w:p>
    <w:p>
      <w:pPr>
        <w:pStyle w:val="26"/>
        <w:snapToGrid w:val="0"/>
        <w:spacing w:before="0" w:beforeLines="0" w:after="0" w:afterLines="0" w:line="360" w:lineRule="auto"/>
        <w:ind w:firstLine="480" w:firstLineChars="200"/>
        <w:outlineLvl w:val="2"/>
        <w:rPr>
          <w:rFonts w:hint="eastAsia" w:hAnsi="宋体" w:cs="宋体"/>
          <w:lang w:val="zh-CN"/>
        </w:rPr>
      </w:pPr>
      <w:r>
        <w:rPr>
          <w:rFonts w:hint="eastAsia" w:hAnsi="宋体" w:cs="宋体"/>
          <w:lang w:val="zh-CN"/>
        </w:rPr>
        <w:t>（10）不响应或擅自改变本采购文件要求或投标文件有采购人不能接受的附加条件的；</w:t>
      </w:r>
    </w:p>
    <w:p>
      <w:pPr>
        <w:pStyle w:val="26"/>
        <w:snapToGrid w:val="0"/>
        <w:spacing w:before="0" w:beforeLines="0" w:after="0" w:afterLines="0" w:line="360" w:lineRule="auto"/>
        <w:ind w:firstLine="480" w:firstLineChars="200"/>
        <w:outlineLvl w:val="2"/>
        <w:rPr>
          <w:rFonts w:hint="eastAsia" w:hAnsi="宋体" w:cs="宋体"/>
          <w:lang w:val="zh-CN"/>
        </w:rPr>
      </w:pPr>
      <w:r>
        <w:rPr>
          <w:rFonts w:hint="eastAsia" w:hAnsi="宋体" w:cs="宋体"/>
          <w:lang w:val="zh-CN"/>
        </w:rPr>
        <w:t>（11）评审委员会认为供应商报价明显低于其他合格供应商的报价，有可能影响产品质量或者不能诚信履约的，应当要求其在合理时间内提供书面说明，必要时提供相关证明材料；供应商不能证明其报价合理性的，评审委员会应当将其作为无效投标或者无效响应处理；</w:t>
      </w:r>
    </w:p>
    <w:p>
      <w:pPr>
        <w:pStyle w:val="26"/>
        <w:snapToGrid w:val="0"/>
        <w:spacing w:before="0" w:beforeLines="0" w:after="0" w:afterLines="0" w:line="360" w:lineRule="auto"/>
        <w:ind w:firstLine="480" w:firstLineChars="200"/>
        <w:outlineLvl w:val="2"/>
        <w:rPr>
          <w:rFonts w:hint="eastAsia" w:hAnsi="宋体" w:cs="宋体"/>
          <w:lang w:val="zh-CN"/>
        </w:rPr>
      </w:pPr>
      <w:r>
        <w:rPr>
          <w:rFonts w:hint="eastAsia" w:hAnsi="宋体" w:cs="宋体"/>
          <w:lang w:val="zh-CN"/>
        </w:rPr>
        <w:t>（12）违反国家或政府部门相关法律、法规、文件规定的。</w:t>
      </w:r>
    </w:p>
    <w:p>
      <w:pPr>
        <w:pStyle w:val="26"/>
        <w:snapToGrid w:val="0"/>
        <w:spacing w:before="0" w:beforeLines="0" w:after="0" w:afterLines="0" w:line="360" w:lineRule="auto"/>
        <w:ind w:firstLine="482" w:firstLineChars="200"/>
        <w:outlineLvl w:val="2"/>
        <w:rPr>
          <w:rFonts w:hint="eastAsia" w:hAnsi="宋体" w:cs="宋体"/>
          <w:b/>
          <w:bCs/>
          <w:lang w:val="zh-CN"/>
        </w:rPr>
      </w:pPr>
      <w:r>
        <w:rPr>
          <w:rFonts w:hint="eastAsia" w:hAnsi="宋体" w:cs="宋体"/>
          <w:b/>
          <w:bCs/>
          <w:lang w:val="zh-CN"/>
        </w:rPr>
        <w:t>（十二）废标的情形</w:t>
      </w:r>
      <w:bookmarkEnd w:id="137"/>
    </w:p>
    <w:p>
      <w:pPr>
        <w:pStyle w:val="26"/>
        <w:snapToGrid w:val="0"/>
        <w:spacing w:before="0" w:beforeLines="0" w:after="0" w:afterLines="0" w:line="360" w:lineRule="auto"/>
        <w:outlineLvl w:val="2"/>
        <w:rPr>
          <w:rFonts w:hint="eastAsia" w:hAnsi="宋体" w:cs="宋体"/>
        </w:rPr>
      </w:pPr>
      <w:r>
        <w:rPr>
          <w:rFonts w:hint="eastAsia" w:hAnsi="宋体" w:cs="宋体"/>
        </w:rPr>
        <w:t xml:space="preserve">    </w:t>
      </w:r>
      <w:bookmarkStart w:id="138" w:name="_Toc29026"/>
      <w:bookmarkStart w:id="139" w:name="_Toc7172"/>
      <w:bookmarkStart w:id="140" w:name="_Toc8650"/>
      <w:r>
        <w:rPr>
          <w:rFonts w:hint="eastAsia" w:hAnsi="宋体" w:cs="宋体"/>
        </w:rPr>
        <w:t xml:space="preserve">  1.投标截止时间后或评审期间，参加投标的符合专业条件的投标人或者对采购文件作实质响应的投标人不足三家的；</w:t>
      </w:r>
      <w:bookmarkEnd w:id="138"/>
      <w:bookmarkEnd w:id="139"/>
      <w:bookmarkEnd w:id="140"/>
    </w:p>
    <w:p>
      <w:pPr>
        <w:pStyle w:val="26"/>
        <w:snapToGrid w:val="0"/>
        <w:spacing w:before="0" w:beforeLines="0" w:after="0" w:afterLines="0" w:line="360" w:lineRule="auto"/>
        <w:ind w:firstLine="720" w:firstLineChars="300"/>
        <w:outlineLvl w:val="2"/>
        <w:rPr>
          <w:rFonts w:hint="eastAsia" w:hAnsi="宋体" w:cs="宋体"/>
        </w:rPr>
      </w:pPr>
      <w:bookmarkStart w:id="141" w:name="_Toc5366"/>
      <w:bookmarkStart w:id="142" w:name="_Toc13866"/>
      <w:bookmarkStart w:id="143" w:name="_Toc20123"/>
      <w:r>
        <w:rPr>
          <w:rFonts w:hint="eastAsia" w:hAnsi="宋体" w:cs="宋体"/>
        </w:rPr>
        <w:t>2.出现影响招标公正的违法、违规行为的；</w:t>
      </w:r>
      <w:bookmarkEnd w:id="141"/>
      <w:bookmarkEnd w:id="142"/>
      <w:bookmarkEnd w:id="143"/>
    </w:p>
    <w:p>
      <w:pPr>
        <w:pStyle w:val="26"/>
        <w:snapToGrid w:val="0"/>
        <w:spacing w:before="0" w:beforeLines="0" w:after="0" w:afterLines="0" w:line="360" w:lineRule="auto"/>
        <w:ind w:firstLine="720" w:firstLineChars="300"/>
        <w:outlineLvl w:val="2"/>
        <w:rPr>
          <w:rFonts w:hint="eastAsia" w:hAnsi="宋体" w:cs="宋体"/>
        </w:rPr>
      </w:pPr>
      <w:bookmarkStart w:id="144" w:name="_Toc9753"/>
      <w:bookmarkStart w:id="145" w:name="_Toc29532"/>
      <w:bookmarkStart w:id="146" w:name="_Toc13442"/>
      <w:r>
        <w:rPr>
          <w:rFonts w:hint="eastAsia" w:hAnsi="宋体" w:cs="宋体"/>
        </w:rPr>
        <w:t>3.投标人的报价均超过了采购预算，采购单位不能支付的；</w:t>
      </w:r>
      <w:bookmarkEnd w:id="144"/>
      <w:bookmarkEnd w:id="145"/>
      <w:bookmarkEnd w:id="146"/>
    </w:p>
    <w:p>
      <w:pPr>
        <w:pStyle w:val="26"/>
        <w:snapToGrid w:val="0"/>
        <w:spacing w:before="0" w:beforeLines="0" w:after="0" w:afterLines="0" w:line="360" w:lineRule="auto"/>
        <w:ind w:firstLine="720" w:firstLineChars="300"/>
        <w:outlineLvl w:val="2"/>
        <w:rPr>
          <w:rFonts w:hint="eastAsia" w:hAnsi="宋体" w:cs="宋体"/>
        </w:rPr>
      </w:pPr>
      <w:bookmarkStart w:id="147" w:name="_Toc11349"/>
      <w:bookmarkStart w:id="148" w:name="_Toc29890"/>
      <w:bookmarkStart w:id="149" w:name="_Toc25444"/>
      <w:r>
        <w:rPr>
          <w:rFonts w:hint="eastAsia" w:hAnsi="宋体" w:cs="宋体"/>
        </w:rPr>
        <w:t>4.因重大变故，采购任务取消的。</w:t>
      </w:r>
      <w:bookmarkEnd w:id="147"/>
      <w:bookmarkEnd w:id="148"/>
      <w:bookmarkEnd w:id="149"/>
    </w:p>
    <w:p>
      <w:pPr>
        <w:pStyle w:val="26"/>
        <w:snapToGrid w:val="0"/>
        <w:spacing w:before="0" w:beforeLines="0" w:after="0" w:afterLines="0" w:line="360" w:lineRule="auto"/>
        <w:ind w:firstLine="480" w:firstLineChars="200"/>
        <w:outlineLvl w:val="2"/>
        <w:rPr>
          <w:rFonts w:hint="eastAsia" w:hAnsi="宋体" w:cs="宋体"/>
        </w:rPr>
      </w:pPr>
      <w:bookmarkStart w:id="150" w:name="_Toc26652"/>
      <w:bookmarkStart w:id="151" w:name="_Toc13868"/>
      <w:bookmarkStart w:id="152" w:name="_Toc31885"/>
      <w:r>
        <w:rPr>
          <w:rFonts w:hint="eastAsia" w:hAnsi="宋体" w:cs="宋体"/>
        </w:rPr>
        <w:t>废标后，废标理由将在原招标公告发布媒体上公告通知所有投标人。</w:t>
      </w:r>
      <w:bookmarkEnd w:id="150"/>
      <w:bookmarkEnd w:id="151"/>
      <w:bookmarkEnd w:id="152"/>
    </w:p>
    <w:p>
      <w:pPr>
        <w:pStyle w:val="26"/>
        <w:snapToGrid w:val="0"/>
        <w:spacing w:before="0" w:beforeLines="0" w:after="0" w:afterLines="0" w:line="360" w:lineRule="auto"/>
        <w:ind w:firstLine="472" w:firstLineChars="196"/>
        <w:outlineLvl w:val="2"/>
        <w:rPr>
          <w:rFonts w:hAnsi="宋体" w:cs="宋体"/>
          <w:b/>
          <w:bCs/>
        </w:rPr>
      </w:pPr>
      <w:bookmarkStart w:id="153" w:name="_Toc14344"/>
      <w:r>
        <w:rPr>
          <w:rFonts w:hint="eastAsia" w:hAnsi="宋体" w:cs="宋体"/>
          <w:b/>
          <w:bCs/>
        </w:rPr>
        <w:t>（</w:t>
      </w:r>
      <w:r>
        <w:rPr>
          <w:rFonts w:hint="eastAsia" w:hAnsi="宋体" w:cs="宋体"/>
          <w:b/>
          <w:bCs/>
          <w:lang w:eastAsia="zh-CN"/>
        </w:rPr>
        <w:t>十三</w:t>
      </w:r>
      <w:r>
        <w:rPr>
          <w:rFonts w:hint="eastAsia" w:hAnsi="宋体" w:cs="宋体"/>
          <w:b/>
          <w:bCs/>
        </w:rPr>
        <w:t>）错误修正</w:t>
      </w:r>
      <w:bookmarkEnd w:id="132"/>
      <w:bookmarkEnd w:id="133"/>
      <w:bookmarkEnd w:id="153"/>
    </w:p>
    <w:p>
      <w:pPr>
        <w:pStyle w:val="26"/>
        <w:snapToGrid w:val="0"/>
        <w:spacing w:before="0" w:beforeLines="0" w:after="0" w:afterLines="0" w:line="360" w:lineRule="auto"/>
        <w:rPr>
          <w:rFonts w:hAnsi="宋体"/>
        </w:rPr>
      </w:pPr>
      <w:r>
        <w:rPr>
          <w:rFonts w:hint="eastAsia" w:hAnsi="宋体"/>
        </w:rPr>
        <w:t xml:space="preserve">    投标文件如果出现计算或表达上的错误，修正错误的原则如下：</w:t>
      </w:r>
    </w:p>
    <w:p>
      <w:pPr>
        <w:snapToGrid w:val="0"/>
        <w:spacing w:line="360" w:lineRule="auto"/>
        <w:ind w:firstLine="720" w:firstLineChars="300"/>
        <w:rPr>
          <w:rFonts w:ascii="宋体" w:hAnsi="宋体"/>
          <w:sz w:val="24"/>
        </w:rPr>
      </w:pPr>
      <w:r>
        <w:rPr>
          <w:rFonts w:hint="eastAsia" w:ascii="宋体" w:hAnsi="宋体"/>
          <w:sz w:val="24"/>
        </w:rPr>
        <w:t>1.开标一览表总价与投标报价明细表汇总数不一致的，</w:t>
      </w:r>
      <w:r>
        <w:rPr>
          <w:rFonts w:hint="eastAsia" w:ascii="宋体" w:hAnsi="宋体" w:cs="Arial"/>
          <w:kern w:val="0"/>
          <w:sz w:val="24"/>
        </w:rPr>
        <w:t>以开标一览表为准；</w:t>
      </w:r>
    </w:p>
    <w:p>
      <w:pPr>
        <w:pStyle w:val="26"/>
        <w:snapToGrid w:val="0"/>
        <w:spacing w:before="0" w:beforeLines="0" w:after="0" w:afterLines="0" w:line="360" w:lineRule="auto"/>
        <w:ind w:firstLine="720" w:firstLineChars="300"/>
        <w:rPr>
          <w:rFonts w:hAnsi="宋体"/>
        </w:rPr>
      </w:pPr>
      <w:r>
        <w:rPr>
          <w:rFonts w:hint="eastAsia" w:hAnsi="宋体"/>
        </w:rPr>
        <w:t>2.投标文件的大写金额和小写金额不一致的，以大写金额为准；</w:t>
      </w:r>
    </w:p>
    <w:p>
      <w:pPr>
        <w:pStyle w:val="26"/>
        <w:snapToGrid w:val="0"/>
        <w:spacing w:before="0" w:beforeLines="0" w:after="0" w:afterLines="0" w:line="360" w:lineRule="auto"/>
        <w:ind w:firstLine="720" w:firstLineChars="300"/>
        <w:rPr>
          <w:rFonts w:hAnsi="宋体"/>
        </w:rPr>
      </w:pPr>
      <w:r>
        <w:rPr>
          <w:rFonts w:hint="eastAsia" w:hAnsi="宋体"/>
        </w:rPr>
        <w:t>3.总价金额与按单价汇总金额不一致的，以单价金额计算结果为准；</w:t>
      </w:r>
    </w:p>
    <w:p>
      <w:pPr>
        <w:pStyle w:val="26"/>
        <w:snapToGrid w:val="0"/>
        <w:spacing w:before="0" w:beforeLines="0" w:after="0" w:afterLines="0" w:line="360" w:lineRule="auto"/>
        <w:ind w:firstLine="720" w:firstLineChars="300"/>
        <w:rPr>
          <w:rFonts w:hAnsi="宋体"/>
        </w:rPr>
      </w:pPr>
      <w:r>
        <w:rPr>
          <w:rFonts w:hint="eastAsia" w:hAnsi="宋体"/>
        </w:rPr>
        <w:t>4.对不同文字文本投标文件的解释发生异议的，以中文文本为准。</w:t>
      </w:r>
    </w:p>
    <w:p>
      <w:pPr>
        <w:pStyle w:val="26"/>
        <w:snapToGrid w:val="0"/>
        <w:spacing w:before="0" w:beforeLines="0" w:after="0" w:afterLines="0" w:line="360" w:lineRule="auto"/>
        <w:ind w:firstLine="482" w:firstLineChars="200"/>
        <w:rPr>
          <w:rFonts w:hAnsi="宋体"/>
          <w:b/>
          <w:bCs/>
        </w:rPr>
      </w:pPr>
      <w:r>
        <w:rPr>
          <w:rFonts w:hint="eastAsia" w:hAnsi="宋体"/>
          <w:b/>
          <w:bCs/>
        </w:rPr>
        <w:t>按上述修正错误的原则及方法调整或修正投标文件的投标报价，投标人同意并签字确认后，调整后的投标报价对投标人具有约束作用。如果投标人不接受修正后的报价，则其投标将作为无效投标处理。</w:t>
      </w:r>
    </w:p>
    <w:bookmarkEnd w:id="73"/>
    <w:bookmarkEnd w:id="74"/>
    <w:bookmarkEnd w:id="75"/>
    <w:bookmarkEnd w:id="76"/>
    <w:p>
      <w:pPr>
        <w:pStyle w:val="21"/>
        <w:snapToGrid w:val="0"/>
        <w:spacing w:line="360" w:lineRule="auto"/>
        <w:ind w:firstLine="535" w:firstLineChars="196"/>
        <w:outlineLvl w:val="1"/>
        <w:rPr>
          <w:rFonts w:hAnsi="宋体"/>
          <w:b/>
          <w:snapToGrid w:val="0"/>
          <w:color w:val="000000"/>
          <w:sz w:val="28"/>
          <w:szCs w:val="28"/>
        </w:rPr>
      </w:pPr>
      <w:bookmarkStart w:id="154" w:name="_Toc504504566"/>
      <w:bookmarkStart w:id="155" w:name="_Toc6368"/>
      <w:bookmarkStart w:id="156" w:name="_Toc14201"/>
      <w:bookmarkStart w:id="157" w:name="_Toc30406"/>
      <w:r>
        <w:rPr>
          <w:rFonts w:hint="eastAsia" w:hAnsi="宋体"/>
          <w:b/>
          <w:color w:val="000000"/>
          <w:sz w:val="28"/>
          <w:szCs w:val="28"/>
        </w:rPr>
        <w:t>三、开标</w:t>
      </w:r>
      <w:bookmarkEnd w:id="154"/>
      <w:bookmarkEnd w:id="155"/>
      <w:bookmarkEnd w:id="156"/>
      <w:bookmarkEnd w:id="157"/>
    </w:p>
    <w:p>
      <w:pPr>
        <w:pStyle w:val="26"/>
        <w:snapToGrid w:val="0"/>
        <w:spacing w:before="0" w:beforeLines="0" w:after="0" w:afterLines="0" w:line="360" w:lineRule="auto"/>
        <w:ind w:firstLine="470" w:firstLineChars="196"/>
        <w:outlineLvl w:val="2"/>
        <w:rPr>
          <w:rFonts w:hint="eastAsia" w:hAnsi="宋体"/>
          <w:bCs/>
        </w:rPr>
      </w:pPr>
      <w:bookmarkStart w:id="158" w:name="_Toc91899902"/>
      <w:bookmarkStart w:id="159" w:name="_Toc504504567"/>
      <w:bookmarkStart w:id="160" w:name="_Toc3895"/>
      <w:bookmarkStart w:id="161" w:name="_Toc5329"/>
      <w:r>
        <w:rPr>
          <w:rFonts w:hint="eastAsia" w:hAnsi="宋体"/>
          <w:bCs/>
        </w:rPr>
        <w:t>（一）开标形式</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lang w:val="en-US" w:eastAsia="zh-CN"/>
        </w:rPr>
        <w:t>.</w:t>
      </w:r>
      <w:r>
        <w:rPr>
          <w:rFonts w:hint="eastAsia" w:hAnsi="宋体"/>
          <w:bCs/>
        </w:rPr>
        <w:t xml:space="preserve"> 采购组织机构将按照采购文件规定的时间通过“政府采购云平台”组织开标、开启投标文件，所有供应商均应当准时在线参加。</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（二） 开标准备</w:t>
      </w:r>
    </w:p>
    <w:p>
      <w:pPr>
        <w:pStyle w:val="26"/>
        <w:snapToGrid w:val="0"/>
        <w:spacing w:before="0" w:beforeLines="0" w:after="0" w:afterLines="0" w:line="360" w:lineRule="auto"/>
        <w:ind w:firstLine="470" w:firstLineChars="196"/>
        <w:rPr>
          <w:rFonts w:hint="eastAsia" w:hAnsi="宋体"/>
          <w:bCs/>
        </w:rPr>
      </w:pPr>
      <w:r>
        <w:rPr>
          <w:rFonts w:hint="eastAsia" w:hAnsi="宋体"/>
          <w:bCs/>
          <w:lang w:val="en-US" w:eastAsia="zh-CN"/>
        </w:rPr>
        <w:t>1.</w:t>
      </w:r>
      <w:r>
        <w:rPr>
          <w:rFonts w:hint="eastAsia" w:hAnsi="宋体"/>
          <w:bCs/>
        </w:rPr>
        <w:t>开标的准备工作由采购组织机构负责落实；</w:t>
      </w:r>
    </w:p>
    <w:p>
      <w:pPr>
        <w:pStyle w:val="26"/>
        <w:snapToGrid w:val="0"/>
        <w:spacing w:before="0" w:beforeLines="0" w:after="0" w:afterLines="0" w:line="360" w:lineRule="auto"/>
        <w:ind w:firstLine="470" w:firstLineChars="196"/>
        <w:rPr>
          <w:rFonts w:hint="eastAsia" w:hAnsi="宋体"/>
          <w:bCs/>
        </w:rPr>
      </w:pPr>
      <w:r>
        <w:rPr>
          <w:rFonts w:hint="eastAsia" w:hAnsi="宋体"/>
          <w:bCs/>
        </w:rPr>
        <w:t>2.采购组织机构将按照采购文件规定的时间通过“政府采购云平台”组织开标、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（三）开标流程（两阶段）</w:t>
      </w:r>
    </w:p>
    <w:p>
      <w:pPr>
        <w:pStyle w:val="26"/>
        <w:snapToGrid w:val="0"/>
        <w:spacing w:before="0" w:beforeLines="0" w:after="0" w:afterLines="0" w:line="360" w:lineRule="auto"/>
        <w:ind w:firstLine="470" w:firstLineChars="196"/>
        <w:rPr>
          <w:rFonts w:hint="eastAsia" w:hAnsi="宋体"/>
          <w:bCs/>
        </w:rPr>
      </w:pPr>
      <w:r>
        <w:rPr>
          <w:rFonts w:hint="eastAsia" w:hAnsi="宋体"/>
          <w:bCs/>
          <w:lang w:val="en-US" w:eastAsia="zh-CN"/>
        </w:rPr>
        <w:t>1</w:t>
      </w:r>
      <w:r>
        <w:rPr>
          <w:rFonts w:hint="eastAsia" w:hAnsi="宋体"/>
          <w:bCs/>
          <w:lang w:val="en-US" w:eastAsia="zh-CN"/>
        </w:rPr>
        <w:t>.</w:t>
      </w:r>
      <w:r>
        <w:rPr>
          <w:rFonts w:hint="eastAsia" w:hAnsi="宋体"/>
          <w:bCs/>
        </w:rPr>
        <w:t>开标第一阶段</w:t>
      </w:r>
    </w:p>
    <w:p>
      <w:pPr>
        <w:pStyle w:val="26"/>
        <w:snapToGrid w:val="0"/>
        <w:spacing w:before="0" w:beforeLines="0" w:after="0" w:afterLines="0" w:line="360" w:lineRule="auto"/>
        <w:ind w:firstLine="470" w:firstLineChars="196"/>
        <w:rPr>
          <w:rFonts w:hint="eastAsia" w:hAnsi="宋体"/>
          <w:bCs/>
        </w:rPr>
      </w:pPr>
      <w:r>
        <w:rPr>
          <w:rFonts w:hint="eastAsia" w:hAnsi="宋体"/>
          <w:bCs/>
        </w:rPr>
        <w:t>（1）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（2）投标文件解密结束，通过邮件形式发送各供应商组织签署《政府采购活动现场确认声明书》；</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（3）开启投标文件，进入资格审查；</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（4）开启资格审查通过的供应商的商务技术文件进入符合性审查、商务技术评审；</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（5）第一阶段开标结束。</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备注：开标大会的第一阶段结束后，采购人或采购代理机构将对依法对供应商的资格进行审查，资格审查结束后进入符合性审查和资信技术的评审工作。</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2</w:t>
      </w:r>
      <w:r>
        <w:rPr>
          <w:rFonts w:hint="eastAsia" w:hAnsi="宋体"/>
          <w:bCs/>
          <w:lang w:val="en-US" w:eastAsia="zh-CN"/>
        </w:rPr>
        <w:t>.</w:t>
      </w:r>
      <w:r>
        <w:rPr>
          <w:rFonts w:hint="eastAsia" w:hAnsi="宋体"/>
          <w:bCs/>
        </w:rPr>
        <w:t>开标大会第二阶段</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（1）符合性审查、</w:t>
      </w:r>
      <w:r>
        <w:rPr>
          <w:rFonts w:hint="eastAsia" w:hAnsi="宋体"/>
          <w:bCs/>
          <w:lang w:eastAsia="zh-CN"/>
        </w:rPr>
        <w:t>商务</w:t>
      </w:r>
      <w:r>
        <w:rPr>
          <w:rFonts w:hint="eastAsia" w:hAnsi="宋体"/>
          <w:bCs/>
        </w:rPr>
        <w:t>技术评审结束后，举行开标大会第二阶段会议。首先通过</w:t>
      </w:r>
      <w:r>
        <w:rPr>
          <w:rFonts w:hint="eastAsia" w:hAnsi="宋体"/>
          <w:bCs/>
          <w:lang w:eastAsia="zh-CN"/>
        </w:rPr>
        <w:t>政府采购云平台</w:t>
      </w:r>
      <w:r>
        <w:rPr>
          <w:rFonts w:hint="eastAsia" w:hAnsi="宋体"/>
          <w:bCs/>
        </w:rPr>
        <w:t>公布符合性审查、</w:t>
      </w:r>
      <w:r>
        <w:rPr>
          <w:rFonts w:hint="eastAsia" w:hAnsi="宋体"/>
          <w:bCs/>
          <w:lang w:eastAsia="zh-CN"/>
        </w:rPr>
        <w:t>商务</w:t>
      </w:r>
      <w:r>
        <w:rPr>
          <w:rFonts w:hint="eastAsia" w:hAnsi="宋体"/>
          <w:bCs/>
        </w:rPr>
        <w:t>技术评审无效供应商名称及理由；公布经</w:t>
      </w:r>
      <w:r>
        <w:rPr>
          <w:rFonts w:hint="eastAsia" w:hAnsi="宋体"/>
          <w:bCs/>
          <w:lang w:eastAsia="zh-CN"/>
        </w:rPr>
        <w:t>商务</w:t>
      </w:r>
      <w:r>
        <w:rPr>
          <w:rFonts w:hint="eastAsia" w:hAnsi="宋体"/>
          <w:bCs/>
        </w:rPr>
        <w:t>技术评审后有效供应商的名单，同时公布其资信技术得分情况。</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（2）开启符合性审查、</w:t>
      </w:r>
      <w:r>
        <w:rPr>
          <w:rFonts w:hint="eastAsia" w:hAnsi="宋体"/>
          <w:bCs/>
          <w:lang w:eastAsia="zh-CN"/>
        </w:rPr>
        <w:t>商务</w:t>
      </w:r>
      <w:r>
        <w:rPr>
          <w:rFonts w:hint="eastAsia" w:hAnsi="宋体"/>
          <w:bCs/>
        </w:rPr>
        <w:t>技术评审有效供应商的《报价文件》，通过</w:t>
      </w:r>
      <w:r>
        <w:rPr>
          <w:rFonts w:hint="eastAsia" w:hAnsi="宋体"/>
          <w:bCs/>
          <w:lang w:eastAsia="zh-CN"/>
        </w:rPr>
        <w:t>政府采购云平台</w:t>
      </w:r>
      <w:r>
        <w:rPr>
          <w:rFonts w:hint="eastAsia" w:hAnsi="宋体"/>
          <w:bCs/>
        </w:rPr>
        <w:t>公布开标一览表有关内容，同时当场制作开标记录表，供应商通过</w:t>
      </w:r>
      <w:r>
        <w:rPr>
          <w:rFonts w:hint="eastAsia" w:hAnsi="宋体"/>
          <w:bCs/>
          <w:lang w:eastAsia="zh-CN"/>
        </w:rPr>
        <w:t>政府采购云平台</w:t>
      </w:r>
      <w:r>
        <w:rPr>
          <w:rFonts w:hint="eastAsia" w:hAnsi="宋体"/>
          <w:bCs/>
        </w:rPr>
        <w:t>签字确认（不予确认的应说明理由，否则视为无异议）。唱标结束后，由评标委员会对报价的合理性、准确性等进行审查核实。</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（3）评审结束后，通过</w:t>
      </w:r>
      <w:r>
        <w:rPr>
          <w:rFonts w:hint="eastAsia" w:hAnsi="宋体"/>
          <w:bCs/>
          <w:lang w:eastAsia="zh-CN"/>
        </w:rPr>
        <w:t>政府采购云平台</w:t>
      </w:r>
      <w:r>
        <w:rPr>
          <w:rFonts w:hint="eastAsia" w:hAnsi="宋体"/>
          <w:bCs/>
        </w:rPr>
        <w:t>公布中标（成交）候选供应商名单，及采购人最终确定中标或成交供应商名单的时间和公告方式等。</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特别说明：如遇“政府采购云平台”电子化开标或评审程序调整的，按调整后程序执行。</w:t>
      </w:r>
    </w:p>
    <w:p>
      <w:pPr>
        <w:pStyle w:val="26"/>
        <w:snapToGrid w:val="0"/>
        <w:spacing w:before="0" w:beforeLines="0" w:after="0" w:afterLines="0" w:line="360" w:lineRule="auto"/>
        <w:ind w:firstLine="470" w:firstLineChars="196"/>
        <w:outlineLvl w:val="2"/>
        <w:rPr>
          <w:rFonts w:hint="eastAsia" w:hAnsi="宋体"/>
          <w:bCs/>
        </w:rPr>
      </w:pPr>
      <w:bookmarkStart w:id="162" w:name="_Toc33194393"/>
      <w:bookmarkStart w:id="163" w:name="_Toc24550037"/>
      <w:r>
        <w:rPr>
          <w:rFonts w:hint="eastAsia" w:hAnsi="宋体"/>
          <w:bCs/>
        </w:rPr>
        <w:t>（四）供应商资格审查</w:t>
      </w:r>
      <w:bookmarkEnd w:id="162"/>
      <w:bookmarkEnd w:id="163"/>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lang w:val="en-US" w:eastAsia="zh-CN"/>
        </w:rPr>
        <w:t>.</w:t>
      </w:r>
      <w:r>
        <w:rPr>
          <w:rFonts w:hint="eastAsia" w:hAnsi="宋体"/>
          <w:bCs/>
        </w:rPr>
        <w:t>开标大会第一阶段结束后，采购人或采购代理机构首先依法对各供应商的资格进行审查，审查各供应商的资格是否满足采购文件的要求。采购人或采购代理机构对供应商所提交的资格证明材料仅负审核的责任。如发现供应商所提交的资格证明材料不合法或与事实不符，采购人可取消其中标资格并追究供应商的法律责任。</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2</w:t>
      </w:r>
      <w:r>
        <w:rPr>
          <w:rFonts w:hint="eastAsia" w:hAnsi="宋体"/>
          <w:bCs/>
          <w:lang w:val="en-US" w:eastAsia="zh-CN"/>
        </w:rPr>
        <w:t>.</w:t>
      </w:r>
      <w:r>
        <w:rPr>
          <w:rFonts w:hint="eastAsia" w:hAnsi="宋体"/>
          <w:bCs/>
        </w:rPr>
        <w:t>供应商提交的资格证明材料无法证明其符合采购文件规定的“供应商资格要求”的，采购人或采购代理机构将对其作资格审查不通过处理（无效投标），并不再将其投标提交评标委员会进行后续评审。</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3</w:t>
      </w:r>
      <w:r>
        <w:rPr>
          <w:rFonts w:hint="eastAsia" w:hAnsi="宋体"/>
          <w:bCs/>
          <w:lang w:val="en-US" w:eastAsia="zh-CN"/>
        </w:rPr>
        <w:t>.</w:t>
      </w:r>
      <w:r>
        <w:rPr>
          <w:rFonts w:hint="eastAsia" w:hAnsi="宋体"/>
          <w:bCs/>
        </w:rPr>
        <w:t>单位负责人为同一人或者存在直接控股、管理关系的不同供应商参加同一合同项下的政府采购活动的，相关供应商均作资格无效处理。</w:t>
      </w:r>
    </w:p>
    <w:p>
      <w:pPr>
        <w:pStyle w:val="26"/>
        <w:snapToGrid w:val="0"/>
        <w:spacing w:before="0" w:beforeLines="0" w:after="0" w:afterLines="0" w:line="360" w:lineRule="auto"/>
        <w:ind w:firstLine="551" w:firstLineChars="196"/>
        <w:outlineLvl w:val="1"/>
        <w:rPr>
          <w:rFonts w:hint="eastAsia" w:hAnsi="宋体"/>
          <w:b/>
          <w:sz w:val="28"/>
          <w:szCs w:val="28"/>
        </w:rPr>
      </w:pPr>
      <w:bookmarkStart w:id="164" w:name="_Toc33718208"/>
      <w:bookmarkStart w:id="165" w:name="_Toc26787"/>
      <w:bookmarkStart w:id="166" w:name="_Toc26382"/>
      <w:r>
        <w:rPr>
          <w:rFonts w:hint="eastAsia" w:hAnsi="宋体"/>
          <w:b/>
          <w:sz w:val="28"/>
          <w:szCs w:val="28"/>
          <w:lang w:eastAsia="zh-CN"/>
        </w:rPr>
        <w:t>四、</w:t>
      </w:r>
      <w:r>
        <w:rPr>
          <w:rFonts w:hint="eastAsia" w:hAnsi="宋体"/>
          <w:b/>
          <w:sz w:val="28"/>
          <w:szCs w:val="28"/>
        </w:rPr>
        <w:t>评标</w:t>
      </w:r>
      <w:bookmarkEnd w:id="158"/>
      <w:bookmarkEnd w:id="164"/>
      <w:bookmarkEnd w:id="165"/>
      <w:bookmarkEnd w:id="166"/>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（一）评审工作的组织</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1.采购人或采购代理机构负责组织本项目的评审工作，并依据《政府采购货物和服务招标投标管理办法（财政部第87号令）》第四十五条的相关规定履行职责。</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（二）评标委员会的组建</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1</w:t>
      </w:r>
      <w:r>
        <w:rPr>
          <w:rFonts w:hint="eastAsia" w:hAnsi="宋体"/>
          <w:bCs/>
          <w:lang w:val="en-US" w:eastAsia="zh-CN"/>
        </w:rPr>
        <w:t>.</w:t>
      </w:r>
      <w:r>
        <w:rPr>
          <w:rFonts w:hint="eastAsia" w:hAnsi="宋体"/>
          <w:bCs/>
        </w:rPr>
        <w:t>评标委员会由采购人或采购代理机构依法组建，成员包括采购人代表和评审专家，成员人数为五人或以上单数，其中评审专家不少于成员总数的三分之二。</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2.评标委员会成员名单在评审结果（采购结果）公告前保密。</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（三）评标委员会的职责</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rPr>
        <w:t>评标委员会负责具体评审事务，并独立履行下列职责：</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（1）审查、评价投标文件是否符合采购文件的</w:t>
      </w:r>
      <w:r>
        <w:rPr>
          <w:rFonts w:hint="eastAsia" w:hAnsi="宋体"/>
          <w:bCs/>
          <w:lang w:eastAsia="zh-CN"/>
        </w:rPr>
        <w:t>商务</w:t>
      </w:r>
      <w:r>
        <w:rPr>
          <w:rFonts w:hint="eastAsia" w:hAnsi="宋体"/>
          <w:bCs/>
        </w:rPr>
        <w:t>、技术等实质性要求；</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（2）要求供应商对投标文件有关事项作出澄清或者说明；</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（3）对投标文件进行比较和评价；</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（4）确定中标候选人名单，以及根据采购人委托直接确定中标人；</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向采购人、采购代理机构或者有关部门报告评审中发现的违法行为。</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（四）评审原则</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rPr>
        <w:t>评审原则：评标委员会按照客观、公正、审慎、择优的原则，根据采购文件规定的评审程序、评审方法和评审标准进行独立评审。</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2.</w:t>
      </w:r>
      <w:r>
        <w:rPr>
          <w:rFonts w:hint="eastAsia" w:hAnsi="宋体"/>
          <w:bCs/>
        </w:rPr>
        <w:t>评审工作将依据采购文件、投标文件及采购文件中事先已列明的内容进行。</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（五）评审意见的争议处理</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rPr>
        <w:t>评标委员会成员对需要共同认定的事项存在争议的，按照少数服从多数的原则作出结论。持不同意见的评标委员会成员应当在评审报告上签署不同意见及理由，否则视为同意评审报告。</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（六）评委纪律</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rPr>
        <w:t>评标委员会成员必须严格遵守保密规定，不得泄露评审的有关情况，任何单位和个人不得干扰、影响评标的正常进行，评标委员会成员不得私下与供应商接触，不得出现浙江省政府采购活动现场组织管理办法中规定的其他禁止行为。</w:t>
      </w:r>
    </w:p>
    <w:p>
      <w:pPr>
        <w:pStyle w:val="26"/>
        <w:snapToGrid w:val="0"/>
        <w:spacing w:before="0" w:beforeLines="0" w:after="0" w:afterLines="0" w:line="360" w:lineRule="auto"/>
        <w:ind w:firstLine="470" w:firstLineChars="196"/>
        <w:outlineLvl w:val="2"/>
        <w:rPr>
          <w:rFonts w:hint="eastAsia" w:hAnsi="宋体"/>
          <w:bCs/>
        </w:rPr>
      </w:pPr>
      <w:bookmarkStart w:id="167" w:name="_Toc24550044"/>
      <w:bookmarkStart w:id="168" w:name="_Toc33194395"/>
      <w:r>
        <w:rPr>
          <w:rFonts w:hint="eastAsia" w:hAnsi="宋体"/>
          <w:bCs/>
        </w:rPr>
        <w:t>（七）评审流程及内容</w:t>
      </w:r>
      <w:bookmarkEnd w:id="167"/>
      <w:bookmarkEnd w:id="168"/>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本项目具体的评审事务由评标委员会负责，评审流程及内容如下：</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rPr>
        <w:t>评审前准备</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w:t>
      </w:r>
      <w:r>
        <w:rPr>
          <w:rFonts w:hint="eastAsia" w:hAnsi="宋体"/>
          <w:bCs/>
          <w:lang w:val="en-US" w:eastAsia="zh-CN"/>
        </w:rPr>
        <w:t>1）</w:t>
      </w:r>
      <w:r>
        <w:rPr>
          <w:rFonts w:hint="eastAsia" w:hAnsi="宋体"/>
          <w:bCs/>
        </w:rPr>
        <w:t>由评审专家推选评审小组组长，采购人代表不得担任评审小组组长。</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w:t>
      </w:r>
      <w:r>
        <w:rPr>
          <w:rFonts w:hint="eastAsia" w:hAnsi="宋体"/>
          <w:bCs/>
          <w:lang w:val="en-US" w:eastAsia="zh-CN"/>
        </w:rPr>
        <w:t>2）</w:t>
      </w:r>
      <w:r>
        <w:rPr>
          <w:rFonts w:hint="eastAsia" w:hAnsi="宋体"/>
          <w:bCs/>
        </w:rPr>
        <w:t>由评审小组组长（评标委员会主任委员）召集所有评委成员阅读采购文件及相关补充、质疑、答复文件、项目书面说明等材料，熟悉采购项目基本情况、采购需求、合同主要条款、投标文件无效情形、评审办法、评审标准，以及其他与评审有关的内容。</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2.</w:t>
      </w:r>
      <w:r>
        <w:rPr>
          <w:rFonts w:hint="eastAsia" w:hAnsi="宋体"/>
          <w:bCs/>
        </w:rPr>
        <w:t>投标文件的初步审查、符合性审查</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对所有通过资格审查的供应商的投标文件进行初步审查，审查、评价投标文件是否符合采购文件的资信、技术、服务等实质性要求。</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eastAsia="zh-CN"/>
        </w:rPr>
        <w:t>（</w:t>
      </w:r>
      <w:r>
        <w:rPr>
          <w:rFonts w:hint="eastAsia" w:hAnsi="宋体"/>
          <w:bCs/>
          <w:lang w:val="en-US" w:eastAsia="zh-CN"/>
        </w:rPr>
        <w:t>1）</w:t>
      </w:r>
      <w:r>
        <w:rPr>
          <w:rFonts w:hint="eastAsia" w:hAnsi="宋体"/>
          <w:bCs/>
        </w:rPr>
        <w:t>评标委员会首先对所有通过资格审查的供应商的投标文件进行符合性审查，审查每份投标文件是否实质上响应了采购文件的要求（实质性响应的投标文件是指投标文件符合采购文件规定的实质性内容、条件和规定）。</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3.</w:t>
      </w:r>
      <w:r>
        <w:rPr>
          <w:rFonts w:hint="eastAsia" w:hAnsi="宋体"/>
          <w:bCs/>
        </w:rPr>
        <w:t>投标文件的澄清、说明或补正</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eastAsia="zh-CN"/>
        </w:rPr>
        <w:t>（</w:t>
      </w:r>
      <w:r>
        <w:rPr>
          <w:rFonts w:hint="eastAsia" w:hAnsi="宋体"/>
          <w:bCs/>
          <w:lang w:val="en-US" w:eastAsia="zh-CN"/>
        </w:rPr>
        <w:t>1）</w:t>
      </w:r>
      <w:r>
        <w:rPr>
          <w:rFonts w:hint="eastAsia" w:hAnsi="宋体"/>
          <w:bCs/>
        </w:rPr>
        <w:t>对于投标文件中含义不明确、同类问题表述不一致或者有明显文字和计算错误的内容，评标委员会将以书面形式（或通过“政府采购云平台”在线询标）的形式要求供应商在规定的时间内作出必要的澄清、说明或者补正，供应商澄清、说明或补正时间为30分钟。</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eastAsia="zh-CN"/>
        </w:rPr>
        <w:t>（</w:t>
      </w:r>
      <w:r>
        <w:rPr>
          <w:rFonts w:hint="eastAsia" w:hAnsi="宋体"/>
          <w:bCs/>
          <w:lang w:val="en-US" w:eastAsia="zh-CN"/>
        </w:rPr>
        <w:t>2）</w:t>
      </w:r>
      <w:r>
        <w:rPr>
          <w:rFonts w:hint="eastAsia" w:hAnsi="宋体"/>
          <w:bCs/>
        </w:rPr>
        <w:t>评标过程中评标委员会对供应商提出质询或要求供应商书面确认的（或通过“政府采购云平台”在线答复），采用书面形式提交并加盖公章，或者由法定代表人或其授权的代表签字，30分钟内予以书面回复或确认，否则视为不予回复或确认，评标委员会有权拒绝该投标文件，澄清、说明或者补正不得超出投标文件的范围或者改变投标文件的实质性内容。</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w:t>
      </w:r>
      <w:r>
        <w:rPr>
          <w:rFonts w:hint="eastAsia" w:hAnsi="宋体"/>
          <w:bCs/>
          <w:lang w:eastAsia="zh-CN"/>
        </w:rPr>
        <w:t>八</w:t>
      </w:r>
      <w:r>
        <w:rPr>
          <w:rFonts w:hint="eastAsia" w:hAnsi="宋体"/>
          <w:bCs/>
        </w:rPr>
        <w:t>）投标文件的评估、比较、评分</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lang w:val="en-US" w:eastAsia="zh-CN"/>
        </w:rPr>
        <w:t>.</w:t>
      </w:r>
      <w:r>
        <w:rPr>
          <w:rFonts w:hint="eastAsia" w:hAnsi="宋体"/>
          <w:bCs/>
        </w:rPr>
        <w:t>评标委员会应当按照采购文件中规定的评审方法和标准，对符合性审查合格的投标文件进行商务和技术评估，综合比较与评价。评标时，评标委员会各成员将独立对每个供应商的投标文件进行评价，并汇总每个供应商的得分。评审细则详见“评标办法”。</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2</w:t>
      </w:r>
      <w:r>
        <w:rPr>
          <w:rFonts w:hint="eastAsia" w:hAnsi="宋体"/>
          <w:bCs/>
          <w:lang w:val="en-US" w:eastAsia="zh-CN"/>
        </w:rPr>
        <w:t>.</w:t>
      </w:r>
      <w:r>
        <w:rPr>
          <w:rFonts w:hint="eastAsia" w:hAnsi="宋体"/>
          <w:bCs/>
        </w:rPr>
        <w:t>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pPr>
        <w:tabs>
          <w:tab w:val="left" w:pos="630"/>
        </w:tabs>
        <w:snapToGrid w:val="0"/>
        <w:spacing w:line="360" w:lineRule="auto"/>
        <w:ind w:firstLine="470" w:firstLineChars="196"/>
        <w:rPr>
          <w:rFonts w:ascii="宋体" w:hAnsi="宋体"/>
          <w:bCs/>
          <w:sz w:val="24"/>
        </w:rPr>
      </w:pPr>
      <w:r>
        <w:rPr>
          <w:rFonts w:hint="eastAsia" w:ascii="宋体" w:hAnsi="宋体"/>
          <w:bCs/>
          <w:sz w:val="24"/>
        </w:rPr>
        <w:t>（九）</w:t>
      </w:r>
      <w:r>
        <w:rPr>
          <w:rFonts w:ascii="宋体" w:hAnsi="宋体"/>
          <w:bCs/>
          <w:sz w:val="24"/>
        </w:rPr>
        <w:t>评标原则和评标办法</w:t>
      </w:r>
    </w:p>
    <w:p>
      <w:pPr>
        <w:snapToGrid w:val="0"/>
        <w:spacing w:line="360" w:lineRule="auto"/>
        <w:ind w:firstLine="480" w:firstLineChars="200"/>
        <w:rPr>
          <w:rFonts w:ascii="宋体" w:hAnsi="宋体"/>
          <w:sz w:val="24"/>
        </w:rPr>
      </w:pPr>
      <w:r>
        <w:rPr>
          <w:rFonts w:hint="eastAsia" w:ascii="宋体" w:hAnsi="宋体"/>
          <w:sz w:val="24"/>
          <w:lang w:val="en-US" w:eastAsia="zh-CN"/>
        </w:rPr>
        <w:t>1.</w:t>
      </w:r>
      <w:r>
        <w:rPr>
          <w:rFonts w:ascii="宋体" w:hAnsi="宋体"/>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auto"/>
        <w:ind w:firstLine="480" w:firstLineChars="200"/>
        <w:rPr>
          <w:rFonts w:hint="eastAsia" w:hAnsi="宋体"/>
          <w:bCs/>
        </w:rPr>
      </w:pPr>
      <w:r>
        <w:rPr>
          <w:rFonts w:hint="eastAsia" w:ascii="宋体" w:hAnsi="宋体"/>
          <w:sz w:val="24"/>
          <w:lang w:val="en-US" w:eastAsia="zh-CN"/>
        </w:rPr>
        <w:t>2.</w:t>
      </w:r>
      <w:r>
        <w:rPr>
          <w:rFonts w:ascii="宋体" w:hAnsi="宋体"/>
          <w:sz w:val="24"/>
        </w:rPr>
        <w:t>评标办法。本项目评标办法是</w:t>
      </w:r>
      <w:r>
        <w:rPr>
          <w:rFonts w:hint="eastAsia" w:ascii="宋体" w:hAnsi="宋体"/>
          <w:sz w:val="24"/>
          <w:u w:val="single"/>
        </w:rPr>
        <w:t>综合评分法</w:t>
      </w:r>
      <w:r>
        <w:rPr>
          <w:rFonts w:ascii="宋体" w:hAnsi="宋体"/>
          <w:sz w:val="24"/>
        </w:rPr>
        <w:t>，具体评标内容及评分标准等详见《第</w:t>
      </w:r>
      <w:r>
        <w:rPr>
          <w:rFonts w:hint="eastAsia" w:ascii="宋体" w:hAnsi="宋体"/>
          <w:sz w:val="24"/>
        </w:rPr>
        <w:t>三</w:t>
      </w:r>
      <w:r>
        <w:rPr>
          <w:rFonts w:ascii="宋体" w:hAnsi="宋体"/>
          <w:sz w:val="24"/>
        </w:rPr>
        <w:t>章：评标办法及评分标准》。</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w:t>
      </w:r>
      <w:r>
        <w:rPr>
          <w:rFonts w:hint="eastAsia" w:hAnsi="宋体"/>
          <w:bCs/>
          <w:lang w:eastAsia="zh-CN"/>
        </w:rPr>
        <w:t>十</w:t>
      </w:r>
      <w:r>
        <w:rPr>
          <w:rFonts w:hint="eastAsia" w:hAnsi="宋体"/>
          <w:bCs/>
        </w:rPr>
        <w:t>）修改评审结果</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lang w:val="en-US" w:eastAsia="zh-CN"/>
        </w:rPr>
        <w:t>.</w:t>
      </w:r>
      <w:r>
        <w:rPr>
          <w:rFonts w:hint="eastAsia" w:hAnsi="宋体"/>
          <w:bCs/>
        </w:rPr>
        <w:t>评标结果汇总完成后，除下列情形外，任何人不得修改评标结果：</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（1）分值汇总计算错误的；</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（2）分项评分超出评分标准范围的；</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（3）评标委员会成员对客观评审因素评分不一致的；</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（4）经评标委员会认定评分畸高、畸低的。</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2</w:t>
      </w:r>
      <w:r>
        <w:rPr>
          <w:rFonts w:hint="eastAsia" w:hAnsi="宋体"/>
          <w:bCs/>
          <w:lang w:val="en-US" w:eastAsia="zh-CN"/>
        </w:rPr>
        <w:t>.</w:t>
      </w:r>
      <w:r>
        <w:rPr>
          <w:rFonts w:hint="eastAsia" w:hAnsi="宋体"/>
          <w:bCs/>
        </w:rPr>
        <w:t>评标报告签署前，经复核发现存在以上情形之一的，评标委员会将当场修改评标结果，并在评标报告中记载。</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（十</w:t>
      </w:r>
      <w:r>
        <w:rPr>
          <w:rFonts w:hint="eastAsia" w:hAnsi="宋体"/>
          <w:bCs/>
          <w:lang w:eastAsia="zh-CN"/>
        </w:rPr>
        <w:t>一</w:t>
      </w:r>
      <w:r>
        <w:rPr>
          <w:rFonts w:hint="eastAsia" w:hAnsi="宋体"/>
          <w:bCs/>
        </w:rPr>
        <w:t>）供应商排序及推荐中标（成交）候选供应商</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评标委员会根据以下规定确定供应商排名并推荐中标（成交）候选供应商。</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lang w:val="en-US" w:eastAsia="zh-CN"/>
        </w:rPr>
        <w:t>.</w:t>
      </w:r>
      <w:r>
        <w:rPr>
          <w:rFonts w:hint="eastAsia" w:hAnsi="宋体"/>
          <w:bCs/>
        </w:rPr>
        <w:t>评标委员会根据各供应商的综合得分（商务技术分与报价得分之和）从高到低依次进行排名排序。特殊情形按以下原则处理：</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（1）综合得分相同的，按投标报价低的优先原则确定排名；</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（2）综合得分和投标报价均相同的，按技术资信得分从高到低确定排名；</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（3）综合得分、投标报价和技术资信得分均相同的由评标委员会全体成员记名投票按少数服从多数的原则确定排名。</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2</w:t>
      </w:r>
      <w:r>
        <w:rPr>
          <w:rFonts w:hint="eastAsia" w:hAnsi="宋体"/>
          <w:bCs/>
          <w:lang w:val="en-US" w:eastAsia="zh-CN"/>
        </w:rPr>
        <w:t>.</w:t>
      </w:r>
      <w:r>
        <w:rPr>
          <w:rFonts w:hint="eastAsia" w:hAnsi="宋体"/>
          <w:bCs/>
        </w:rPr>
        <w:t>根据最终得分排序，通过书面评审报告的形式，向采购人推荐排名第一的供应商为中标（成交）候选供应商。</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（十</w:t>
      </w:r>
      <w:r>
        <w:rPr>
          <w:rFonts w:hint="eastAsia" w:hAnsi="宋体"/>
          <w:bCs/>
          <w:lang w:eastAsia="zh-CN"/>
        </w:rPr>
        <w:t>二</w:t>
      </w:r>
      <w:r>
        <w:rPr>
          <w:rFonts w:hint="eastAsia" w:hAnsi="宋体"/>
          <w:bCs/>
        </w:rPr>
        <w:t>）起草、签署评审报告</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26"/>
        <w:snapToGrid w:val="0"/>
        <w:spacing w:before="0" w:beforeLines="0" w:after="0" w:afterLines="0" w:line="360" w:lineRule="auto"/>
        <w:ind w:firstLine="470" w:firstLineChars="196"/>
        <w:outlineLvl w:val="2"/>
        <w:rPr>
          <w:rFonts w:hint="eastAsia" w:hAnsi="宋体"/>
          <w:bCs/>
        </w:rPr>
      </w:pPr>
      <w:bookmarkStart w:id="169" w:name="_Toc86216994"/>
      <w:r>
        <w:rPr>
          <w:rFonts w:hint="eastAsia" w:hAnsi="宋体"/>
          <w:bCs/>
          <w:lang w:eastAsia="zh-CN"/>
        </w:rPr>
        <w:t>（十三）</w:t>
      </w:r>
      <w:r>
        <w:rPr>
          <w:rFonts w:hint="eastAsia" w:hAnsi="宋体"/>
          <w:bCs/>
        </w:rPr>
        <w:t>评标内容的保密</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lang w:val="en-US" w:eastAsia="zh-CN"/>
        </w:rPr>
        <w:t>.</w:t>
      </w:r>
      <w:r>
        <w:rPr>
          <w:rFonts w:hint="eastAsia" w:hAnsi="宋体"/>
          <w:bCs/>
        </w:rPr>
        <w:t>公开开标后，直到宣布中标单位止，凡属于审查、澄清、评价和比较投标的所有资料，都不应向供应商或与评标无关的其他人泄露。</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2</w:t>
      </w:r>
      <w:r>
        <w:rPr>
          <w:rFonts w:hint="eastAsia" w:hAnsi="宋体"/>
          <w:bCs/>
          <w:lang w:val="en-US" w:eastAsia="zh-CN"/>
        </w:rPr>
        <w:t>.</w:t>
      </w:r>
      <w:r>
        <w:rPr>
          <w:rFonts w:hint="eastAsia" w:hAnsi="宋体"/>
          <w:bCs/>
        </w:rPr>
        <w:t>在投标文件的审查、澄清、评价和比较以及确定中标人过程中，供应商对采购人和评标机构施加影响的任何行为，都将导致取消资格。</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eastAsia="zh-CN"/>
        </w:rPr>
        <w:t>（十四）</w:t>
      </w:r>
      <w:r>
        <w:rPr>
          <w:rFonts w:hint="eastAsia" w:hAnsi="宋体"/>
          <w:bCs/>
        </w:rPr>
        <w:t xml:space="preserve"> 投标文件的澄清</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rPr>
        <w:t>公开开标后，直到宣布中标单位止，凡属于审查、澄清、评价和比较投标的所有资料，都不应向供应商或与评标无关的其他人泄露。</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2</w:t>
      </w:r>
      <w:r>
        <w:rPr>
          <w:rFonts w:hint="eastAsia" w:hAnsi="宋体"/>
          <w:bCs/>
          <w:lang w:val="en-US" w:eastAsia="zh-CN"/>
        </w:rPr>
        <w:t>.</w:t>
      </w:r>
      <w:r>
        <w:rPr>
          <w:rFonts w:hint="eastAsia" w:hAnsi="宋体"/>
          <w:bCs/>
        </w:rPr>
        <w:t>在投标文件的审查、澄清、评价和比较以及确定中标人过程中，供应商对采购人、招标代理机构和评标委员会施加影响的任何行为，都将导致取消资格。</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eastAsia="zh-CN"/>
        </w:rPr>
        <w:t>（十五）</w:t>
      </w:r>
      <w:r>
        <w:rPr>
          <w:rFonts w:hint="eastAsia" w:hAnsi="宋体"/>
          <w:bCs/>
        </w:rPr>
        <w:t xml:space="preserve"> 废标</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rPr>
        <w:t>在采购中，出现下列情形之一的，应予废标：</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eastAsia="zh-CN"/>
        </w:rPr>
        <w:t>（</w:t>
      </w:r>
      <w:r>
        <w:rPr>
          <w:rFonts w:hint="eastAsia" w:hAnsi="宋体"/>
          <w:bCs/>
          <w:lang w:val="en-US" w:eastAsia="zh-CN"/>
        </w:rPr>
        <w:t>1）</w:t>
      </w:r>
      <w:r>
        <w:rPr>
          <w:rFonts w:hint="eastAsia" w:hAnsi="宋体"/>
          <w:bCs/>
        </w:rPr>
        <w:t>符合专业条件的供应商或者对采购文件作实质响应的供应商不足3家的；</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eastAsia="zh-CN"/>
        </w:rPr>
        <w:t>（</w:t>
      </w:r>
      <w:r>
        <w:rPr>
          <w:rFonts w:hint="eastAsia" w:hAnsi="宋体"/>
          <w:bCs/>
          <w:lang w:val="en-US" w:eastAsia="zh-CN"/>
        </w:rPr>
        <w:t>2）</w:t>
      </w:r>
      <w:r>
        <w:rPr>
          <w:rFonts w:hint="eastAsia" w:hAnsi="宋体"/>
          <w:bCs/>
        </w:rPr>
        <w:t>出现影响采购公正的违法、违规行为的；</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eastAsia="zh-CN"/>
        </w:rPr>
        <w:t>（</w:t>
      </w:r>
      <w:r>
        <w:rPr>
          <w:rFonts w:hint="eastAsia" w:hAnsi="宋体"/>
          <w:bCs/>
          <w:lang w:val="en-US" w:eastAsia="zh-CN"/>
        </w:rPr>
        <w:t>3）</w:t>
      </w:r>
      <w:r>
        <w:rPr>
          <w:rFonts w:hint="eastAsia" w:hAnsi="宋体"/>
          <w:bCs/>
        </w:rPr>
        <w:t>报价均超过预算，不能支付的；</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eastAsia="zh-CN"/>
        </w:rPr>
        <w:t>（</w:t>
      </w:r>
      <w:r>
        <w:rPr>
          <w:rFonts w:hint="eastAsia" w:hAnsi="宋体"/>
          <w:bCs/>
          <w:lang w:val="en-US" w:eastAsia="zh-CN"/>
        </w:rPr>
        <w:t>4）</w:t>
      </w:r>
      <w:r>
        <w:rPr>
          <w:rFonts w:hint="eastAsia" w:hAnsi="宋体"/>
          <w:bCs/>
        </w:rPr>
        <w:t>因重大变故，采购任务取消的。</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eastAsia="zh-CN"/>
        </w:rPr>
        <w:t>（十六）</w:t>
      </w:r>
      <w:r>
        <w:rPr>
          <w:rFonts w:hint="eastAsia" w:hAnsi="宋体"/>
          <w:bCs/>
        </w:rPr>
        <w:t>可中止电子交易活动的情形</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rPr>
        <w:t>采购过程中出现以下情形，导致电子交易平台无法正常运行，或者无法保证电子交易的公平、公正和安全时，采购组织机构可中止电子交易活动：</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w:t>
      </w:r>
      <w:r>
        <w:rPr>
          <w:rFonts w:hint="eastAsia" w:hAnsi="宋体"/>
          <w:bCs/>
          <w:lang w:val="en-US" w:eastAsia="zh-CN"/>
        </w:rPr>
        <w:t>1）</w:t>
      </w:r>
      <w:r>
        <w:rPr>
          <w:rFonts w:hint="eastAsia" w:hAnsi="宋体"/>
          <w:bCs/>
        </w:rPr>
        <w:t>电子交易平台发生故障而无法登录访问的；</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w:t>
      </w:r>
      <w:r>
        <w:rPr>
          <w:rFonts w:hint="eastAsia" w:hAnsi="宋体"/>
          <w:bCs/>
          <w:lang w:val="en-US" w:eastAsia="zh-CN"/>
        </w:rPr>
        <w:t>2）</w:t>
      </w:r>
      <w:r>
        <w:rPr>
          <w:rFonts w:hint="eastAsia" w:hAnsi="宋体"/>
          <w:bCs/>
        </w:rPr>
        <w:t>电子交易平台应用或数据库出现错误，不能进行正常操作的；</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w:t>
      </w:r>
      <w:r>
        <w:rPr>
          <w:rFonts w:hint="eastAsia" w:hAnsi="宋体"/>
          <w:bCs/>
          <w:lang w:val="en-US" w:eastAsia="zh-CN"/>
        </w:rPr>
        <w:t>3）</w:t>
      </w:r>
      <w:r>
        <w:rPr>
          <w:rFonts w:hint="eastAsia" w:hAnsi="宋体"/>
          <w:bCs/>
        </w:rPr>
        <w:t>电子交易平台发现严重安全漏洞，有潜在泄密危险的；</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w:t>
      </w:r>
      <w:r>
        <w:rPr>
          <w:rFonts w:hint="eastAsia" w:hAnsi="宋体"/>
          <w:bCs/>
          <w:lang w:val="en-US" w:eastAsia="zh-CN"/>
        </w:rPr>
        <w:t>4）</w:t>
      </w:r>
      <w:r>
        <w:rPr>
          <w:rFonts w:hint="eastAsia" w:hAnsi="宋体"/>
          <w:bCs/>
        </w:rPr>
        <w:t>其他无法保证电子交易的公平、公正和安全的情况。</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出现第</w:t>
      </w:r>
      <w:r>
        <w:rPr>
          <w:rFonts w:hint="eastAsia" w:hAnsi="宋体"/>
          <w:bCs/>
          <w:lang w:val="en-US" w:eastAsia="zh-CN"/>
        </w:rPr>
        <w:t>十六</w:t>
      </w:r>
      <w:r>
        <w:rPr>
          <w:rFonts w:hint="eastAsia" w:hAnsi="宋体"/>
          <w:bCs/>
        </w:rPr>
        <w:t>款规定以内的情形，不影响采购公平、公正性的，采购组织机构可以待上述情形消除后继续组织电子交易活动；影响或可能影响采购公平、公正性的，应当重新采购。</w:t>
      </w:r>
    </w:p>
    <w:p>
      <w:pPr>
        <w:pStyle w:val="26"/>
        <w:snapToGrid w:val="0"/>
        <w:spacing w:before="0" w:beforeLines="0" w:after="0" w:afterLines="0" w:line="360" w:lineRule="auto"/>
        <w:ind w:firstLine="551" w:firstLineChars="196"/>
        <w:outlineLvl w:val="1"/>
        <w:rPr>
          <w:rFonts w:hint="eastAsia" w:hAnsi="宋体"/>
          <w:b/>
          <w:sz w:val="28"/>
          <w:szCs w:val="28"/>
        </w:rPr>
      </w:pPr>
      <w:bookmarkStart w:id="170" w:name="_Toc11207"/>
      <w:bookmarkStart w:id="171" w:name="_Toc555"/>
      <w:r>
        <w:rPr>
          <w:rFonts w:hint="eastAsia" w:hAnsi="宋体"/>
          <w:b/>
          <w:sz w:val="28"/>
          <w:szCs w:val="28"/>
          <w:lang w:eastAsia="zh-CN"/>
        </w:rPr>
        <w:t>五、</w:t>
      </w:r>
      <w:r>
        <w:rPr>
          <w:rFonts w:hint="eastAsia" w:hAnsi="宋体"/>
          <w:b/>
          <w:sz w:val="28"/>
          <w:szCs w:val="28"/>
        </w:rPr>
        <w:t>定标</w:t>
      </w:r>
      <w:bookmarkEnd w:id="170"/>
      <w:bookmarkEnd w:id="171"/>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eastAsia="zh-CN"/>
        </w:rPr>
        <w:t>（一）</w:t>
      </w:r>
      <w:r>
        <w:rPr>
          <w:rFonts w:hint="eastAsia" w:hAnsi="宋体"/>
          <w:bCs/>
        </w:rPr>
        <w:t xml:space="preserve"> 定标</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rPr>
        <w:t>.确定中标人后，招标代理机构将在发布招标公告的网站上公布评标结果。</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2</w:t>
      </w:r>
      <w:r>
        <w:rPr>
          <w:rFonts w:hint="eastAsia" w:hAnsi="宋体"/>
          <w:bCs/>
          <w:lang w:val="en-US" w:eastAsia="zh-CN"/>
        </w:rPr>
        <w:t>.</w:t>
      </w:r>
      <w:r>
        <w:rPr>
          <w:rFonts w:hint="eastAsia" w:hAnsi="宋体"/>
          <w:bCs/>
        </w:rPr>
        <w:t>如中标人拒绝承担中标的项目，或提出招标方不能接受的条件，致使合同无法签订，招标方将取消其中标资格，并根据评标委员会推荐的中标候选人先后顺序，将下一顺序的中标候选人作为预中标人进行公示，或由招标方组织评标委员会复议后提出重新组织采购等建议。</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3</w:t>
      </w:r>
      <w:r>
        <w:rPr>
          <w:rFonts w:hint="eastAsia" w:hAnsi="宋体"/>
          <w:bCs/>
          <w:lang w:val="en-US" w:eastAsia="zh-CN"/>
        </w:rPr>
        <w:t>.</w:t>
      </w:r>
      <w:r>
        <w:rPr>
          <w:rFonts w:hint="eastAsia" w:hAnsi="宋体"/>
          <w:bCs/>
        </w:rPr>
        <w:t>在中标人签订合同并生效后，招标代理机构及时将未中标的结果通知其他供应商。</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4</w:t>
      </w:r>
      <w:r>
        <w:rPr>
          <w:rFonts w:hint="eastAsia" w:hAnsi="宋体"/>
          <w:bCs/>
          <w:lang w:val="en-US" w:eastAsia="zh-CN"/>
        </w:rPr>
        <w:t>.</w:t>
      </w:r>
      <w:r>
        <w:rPr>
          <w:rFonts w:hint="eastAsia" w:hAnsi="宋体"/>
          <w:bCs/>
        </w:rPr>
        <w:t>如签订合同并生效后，供应商无故拒绝或延期，除按照合同条款处罚外，列入不良行为记录一次，并给予通报。</w:t>
      </w:r>
    </w:p>
    <w:bookmarkEnd w:id="169"/>
    <w:p>
      <w:pPr>
        <w:pStyle w:val="26"/>
        <w:snapToGrid w:val="0"/>
        <w:spacing w:before="0" w:beforeLines="0" w:after="0" w:afterLines="0" w:line="360" w:lineRule="auto"/>
        <w:ind w:firstLine="470" w:firstLineChars="196"/>
        <w:outlineLvl w:val="2"/>
        <w:rPr>
          <w:rFonts w:hint="eastAsia" w:hAnsi="宋体"/>
          <w:bCs/>
        </w:rPr>
      </w:pPr>
      <w:bookmarkStart w:id="172" w:name="_Toc33718209"/>
      <w:bookmarkStart w:id="173" w:name="_Toc91899910"/>
      <w:r>
        <w:rPr>
          <w:rFonts w:hint="eastAsia" w:hAnsi="宋体"/>
          <w:bCs/>
          <w:lang w:eastAsia="zh-CN"/>
        </w:rPr>
        <w:t>（二）</w:t>
      </w:r>
      <w:r>
        <w:rPr>
          <w:rFonts w:hint="eastAsia" w:hAnsi="宋体"/>
          <w:bCs/>
        </w:rPr>
        <w:t>合同签订及其他</w:t>
      </w:r>
      <w:bookmarkEnd w:id="172"/>
    </w:p>
    <w:bookmarkEnd w:id="173"/>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rPr>
        <w:t>中标通知书</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w:t>
      </w:r>
      <w:r>
        <w:rPr>
          <w:rFonts w:hint="eastAsia" w:hAnsi="宋体"/>
          <w:bCs/>
          <w:lang w:val="en-US" w:eastAsia="zh-CN"/>
        </w:rPr>
        <w:t>1）</w:t>
      </w:r>
      <w:r>
        <w:rPr>
          <w:rFonts w:hint="eastAsia" w:hAnsi="宋体"/>
          <w:bCs/>
        </w:rPr>
        <w:t>确定中标供应商后，采购人将在发布招标公告的网站上公布中标结果，在发布公告的同时，采购代理机构将通知中标候选供应商按《关于印发浙江省政府采购供应商注册及诚信管理暂行办法的通知》（浙江省财政厅文件 浙财采监字[2009]28号）的要求注册并登记加入政府采购供应商库。</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w:t>
      </w:r>
      <w:r>
        <w:rPr>
          <w:rFonts w:hint="eastAsia" w:hAnsi="宋体"/>
          <w:bCs/>
          <w:lang w:val="en-US" w:eastAsia="zh-CN"/>
        </w:rPr>
        <w:t>2）</w:t>
      </w:r>
      <w:r>
        <w:rPr>
          <w:rFonts w:hint="eastAsia" w:hAnsi="宋体"/>
          <w:bCs/>
        </w:rPr>
        <w:t>中标通知书对采购人和中标供应商具有同等法律效力。供应商对中标公告有异议的，应当在中标公告发布之日起七个工作日内，以书面形式向采购人或采购代理机构提出质疑。</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w:t>
      </w:r>
      <w:r>
        <w:rPr>
          <w:rFonts w:hint="eastAsia" w:hAnsi="宋体"/>
          <w:bCs/>
          <w:lang w:val="en-US" w:eastAsia="zh-CN"/>
        </w:rPr>
        <w:t>3）</w:t>
      </w:r>
      <w:r>
        <w:rPr>
          <w:rFonts w:hint="eastAsia" w:hAnsi="宋体"/>
          <w:bCs/>
        </w:rPr>
        <w:t>供应商全部接受合同条件并签订合同后，中标通知书亦成为合同的组成部分。</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w:t>
      </w:r>
      <w:r>
        <w:rPr>
          <w:rFonts w:hint="eastAsia" w:hAnsi="宋体"/>
          <w:bCs/>
          <w:lang w:val="en-US" w:eastAsia="zh-CN"/>
        </w:rPr>
        <w:t>4）</w:t>
      </w:r>
      <w:r>
        <w:rPr>
          <w:rFonts w:hint="eastAsia" w:hAnsi="宋体"/>
          <w:bCs/>
        </w:rPr>
        <w:t>如中标供应商拒绝承担中标的项目，或提出采购人、采购代理机构不能接受的条件，致使合同无法签订，采购人将取消其中标资格，可以考虑与下一次序中标候选人进行签订合同或另行组织采购。</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w:t>
      </w:r>
      <w:r>
        <w:rPr>
          <w:rFonts w:hint="eastAsia" w:hAnsi="宋体"/>
          <w:bCs/>
          <w:lang w:val="en-US" w:eastAsia="zh-CN"/>
        </w:rPr>
        <w:t>5）</w:t>
      </w:r>
      <w:r>
        <w:rPr>
          <w:rFonts w:hint="eastAsia" w:hAnsi="宋体"/>
          <w:bCs/>
        </w:rPr>
        <w:t>如签</w:t>
      </w:r>
      <w:r>
        <w:rPr>
          <w:rFonts w:hint="eastAsia" w:hAnsi="宋体"/>
          <w:bCs/>
          <w:lang w:val="zh-CN"/>
        </w:rPr>
        <w:t>订合同并生效后，供应商无故拒绝或延期，将按照合同条款处罚。</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2.</w:t>
      </w:r>
      <w:r>
        <w:rPr>
          <w:rFonts w:hint="eastAsia" w:hAnsi="宋体"/>
          <w:bCs/>
        </w:rPr>
        <w:t>合同的签订</w:t>
      </w:r>
    </w:p>
    <w:p>
      <w:pPr>
        <w:pStyle w:val="26"/>
        <w:snapToGrid w:val="0"/>
        <w:spacing w:before="0" w:beforeLines="0" w:after="0" w:afterLines="0" w:line="360" w:lineRule="auto"/>
        <w:ind w:firstLine="470" w:firstLineChars="196"/>
        <w:outlineLvl w:val="2"/>
        <w:rPr>
          <w:rFonts w:hint="eastAsia" w:hAnsi="宋体"/>
          <w:bCs/>
          <w:color w:val="auto"/>
          <w:lang w:val="en-US" w:eastAsia="zh-CN"/>
        </w:rPr>
      </w:pPr>
      <w:r>
        <w:rPr>
          <w:rFonts w:hint="eastAsia" w:hAnsi="宋体"/>
          <w:bCs/>
          <w:lang w:val="en-US" w:eastAsia="zh-CN"/>
        </w:rPr>
        <w:t>（</w:t>
      </w:r>
      <w:r>
        <w:rPr>
          <w:rFonts w:hint="eastAsia" w:hAnsi="宋体"/>
          <w:bCs/>
          <w:lang w:val="en-US" w:eastAsia="zh-CN"/>
        </w:rPr>
        <w:t>1）</w:t>
      </w:r>
      <w:r>
        <w:rPr>
          <w:rFonts w:hint="eastAsia" w:hAnsi="宋体"/>
          <w:bCs/>
        </w:rPr>
        <w:t>中标供应商接到中标通知后30日内，与采购人签订合同</w:t>
      </w:r>
      <w:r>
        <w:rPr>
          <w:rFonts w:hint="eastAsia" w:hAnsi="宋体"/>
          <w:bCs/>
          <w:lang w:eastAsia="zh-CN"/>
        </w:rPr>
        <w:t>，</w:t>
      </w:r>
      <w:r>
        <w:rPr>
          <w:rFonts w:hint="eastAsia" w:hAnsi="宋体"/>
          <w:bCs/>
          <w:lang w:val="en-US" w:eastAsia="zh-CN"/>
        </w:rPr>
        <w:t>签订后送一份至招标代理机构备案。</w:t>
      </w:r>
    </w:p>
    <w:p>
      <w:pPr>
        <w:pStyle w:val="26"/>
        <w:snapToGrid w:val="0"/>
        <w:spacing w:before="0" w:beforeLines="0" w:after="0" w:afterLines="0" w:line="360" w:lineRule="auto"/>
        <w:ind w:firstLine="470" w:firstLineChars="196"/>
        <w:outlineLvl w:val="2"/>
        <w:rPr>
          <w:rFonts w:hint="default" w:hAnsi="宋体" w:eastAsia="宋体"/>
          <w:bCs/>
          <w:color w:val="auto"/>
          <w:lang w:val="en-US" w:eastAsia="zh-CN"/>
        </w:rPr>
      </w:pPr>
      <w:r>
        <w:rPr>
          <w:rFonts w:hint="eastAsia" w:hAnsi="宋体"/>
          <w:bCs/>
          <w:color w:val="auto"/>
        </w:rPr>
        <w:t>3</w:t>
      </w:r>
      <w:r>
        <w:rPr>
          <w:rFonts w:hint="eastAsia" w:hAnsi="宋体"/>
          <w:bCs/>
          <w:color w:val="auto"/>
          <w:lang w:val="en-US" w:eastAsia="zh-CN"/>
        </w:rPr>
        <w:t>.</w:t>
      </w:r>
      <w:r>
        <w:rPr>
          <w:rFonts w:hint="eastAsia" w:hAnsi="宋体"/>
          <w:bCs/>
          <w:color w:val="auto"/>
        </w:rPr>
        <w:t>履约保证金</w:t>
      </w:r>
      <w:r>
        <w:rPr>
          <w:rFonts w:hint="eastAsia" w:hAnsi="宋体"/>
          <w:bCs/>
          <w:color w:val="auto"/>
          <w:lang w:val="en-US" w:eastAsia="zh-CN"/>
        </w:rPr>
        <w:t>(若本招标文件相关商务条款有约定需要提交的，按以下步骤进行)</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eastAsia="zh-CN"/>
        </w:rPr>
        <w:t>（</w:t>
      </w:r>
      <w:r>
        <w:rPr>
          <w:rFonts w:hint="eastAsia" w:hAnsi="宋体"/>
          <w:bCs/>
          <w:lang w:val="en-US" w:eastAsia="zh-CN"/>
        </w:rPr>
        <w:t>1）</w:t>
      </w:r>
      <w:r>
        <w:rPr>
          <w:rFonts w:hint="eastAsia" w:hAnsi="宋体"/>
          <w:bCs/>
        </w:rPr>
        <w:t>中标人在合同签订之日起5个工作日内向采购人指定账户交纳合履约保证金。履约保证金的交付方式：网银、支票、汇票、本票或者金融机构、担保机构出具的保函等非现金方式。履约保证金在合同约定的质保期满，确认投标人无违约行为后15天内无息返还。</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eastAsia="zh-CN"/>
        </w:rPr>
        <w:t>（</w:t>
      </w:r>
      <w:r>
        <w:rPr>
          <w:rFonts w:hint="eastAsia" w:hAnsi="宋体"/>
          <w:bCs/>
          <w:lang w:val="en-US" w:eastAsia="zh-CN"/>
        </w:rPr>
        <w:t>2）</w:t>
      </w:r>
      <w:r>
        <w:rPr>
          <w:rFonts w:hint="eastAsia" w:hAnsi="宋体"/>
          <w:bCs/>
        </w:rPr>
        <w:t>中标人如未按时交纳履约保证金，采购人有权撤销其中标资格，并根据评标委员会确定的中标候选人名单与下一顺序单位商谈合同，或报请批准后另行采购。</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w:t>
      </w:r>
      <w:r>
        <w:rPr>
          <w:rFonts w:hint="eastAsia" w:hAnsi="宋体"/>
          <w:bCs/>
          <w:lang w:val="en-US" w:eastAsia="zh-CN"/>
        </w:rPr>
        <w:t>3）</w:t>
      </w:r>
      <w:r>
        <w:rPr>
          <w:rFonts w:hint="eastAsia" w:hAnsi="宋体"/>
          <w:bCs/>
        </w:rPr>
        <w:t xml:space="preserve"> 履约保证金可以用支票、银行汇票的形式交纳。</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4</w:t>
      </w:r>
      <w:r>
        <w:rPr>
          <w:rFonts w:hint="eastAsia" w:hAnsi="宋体"/>
          <w:bCs/>
        </w:rPr>
        <w:t>.采购方式改变</w:t>
      </w:r>
      <w:r>
        <w:rPr>
          <w:rFonts w:hint="eastAsia" w:hAnsi="宋体"/>
          <w:bCs/>
        </w:rPr>
        <w:tab/>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在符合资格的供应商不足规定数量或供应商提供的服务及其报价等不能满足采购人要求，以及招标过程中出现其他不正常情况时，经批准，采购人</w:t>
      </w:r>
      <w:r>
        <w:rPr>
          <w:rFonts w:hint="eastAsia" w:hAnsi="宋体"/>
          <w:bCs/>
          <w:lang w:val="zh-CN"/>
        </w:rPr>
        <w:t>将根据中华人民共和国财政部第87号令《政府采购货物和服务招标投标管理办法》的规定，</w:t>
      </w:r>
      <w:r>
        <w:rPr>
          <w:rFonts w:hint="eastAsia" w:hAnsi="宋体"/>
          <w:bCs/>
        </w:rPr>
        <w:t>重新选择合适的方式进行采购。</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5</w:t>
      </w:r>
      <w:r>
        <w:rPr>
          <w:rFonts w:hint="eastAsia" w:hAnsi="宋体"/>
          <w:bCs/>
        </w:rPr>
        <w:t>.质疑与投诉</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 xml:space="preserve">根据《中华人民共和国政府采购法》和《政府采购质疑和投诉办法》(财政部令第94号)的规定，供应商对政府采购活动事项有疑问的，可以向采购人和招标代理机构提出询问，采购人和招标代理机构应当及时作出答复，但答复的内容不得涉及商业秘密。  </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（1）</w:t>
      </w:r>
      <w:r>
        <w:rPr>
          <w:rFonts w:hint="eastAsia" w:hAnsi="宋体"/>
          <w:bCs/>
        </w:rPr>
        <w:t>供应商认为采购文件、采购过程和成交、成交结果使自己的权益受到损害的，可以在知道或者应知其权益受到损害之日起七个工作日内，以书面形式向采购人、采购代理机构提出质疑。</w:t>
      </w:r>
    </w:p>
    <w:p>
      <w:pPr>
        <w:pStyle w:val="26"/>
        <w:snapToGrid w:val="0"/>
        <w:spacing w:before="0" w:beforeLines="0" w:after="0" w:afterLines="0" w:line="360" w:lineRule="auto"/>
        <w:ind w:firstLine="470" w:firstLineChars="196"/>
        <w:outlineLvl w:val="2"/>
        <w:rPr>
          <w:rFonts w:hint="eastAsia" w:ascii="宋体" w:hAnsi="宋体" w:eastAsia="宋体" w:cs="宋体"/>
          <w:bCs/>
        </w:rPr>
      </w:pPr>
      <w:r>
        <w:rPr>
          <w:rFonts w:hint="eastAsia" w:ascii="宋体" w:hAnsi="宋体" w:eastAsia="宋体" w:cs="宋体"/>
          <w:bCs/>
        </w:rPr>
        <w:t>①对可以质疑的采购文件提出质疑的，为收到采购文件之日或者采购文件公告期限届满之日；</w:t>
      </w:r>
    </w:p>
    <w:p>
      <w:pPr>
        <w:pStyle w:val="26"/>
        <w:snapToGrid w:val="0"/>
        <w:spacing w:before="0" w:beforeLines="0" w:after="0" w:afterLines="0" w:line="360" w:lineRule="auto"/>
        <w:ind w:firstLine="470" w:firstLineChars="196"/>
        <w:outlineLvl w:val="2"/>
        <w:rPr>
          <w:rFonts w:hint="eastAsia" w:ascii="宋体" w:hAnsi="宋体" w:eastAsia="宋体" w:cs="宋体"/>
          <w:bCs/>
        </w:rPr>
      </w:pPr>
      <w:r>
        <w:rPr>
          <w:rFonts w:hint="eastAsia" w:ascii="宋体" w:hAnsi="宋体" w:eastAsia="宋体" w:cs="宋体"/>
          <w:bCs/>
        </w:rPr>
        <w:t>②对采购过程提出质疑的，为各采购程序环节结束之日；</w:t>
      </w:r>
    </w:p>
    <w:p>
      <w:pPr>
        <w:pStyle w:val="26"/>
        <w:snapToGrid w:val="0"/>
        <w:spacing w:before="0" w:beforeLines="0" w:after="0" w:afterLines="0" w:line="360" w:lineRule="auto"/>
        <w:ind w:firstLine="470" w:firstLineChars="196"/>
        <w:outlineLvl w:val="2"/>
        <w:rPr>
          <w:rFonts w:hint="eastAsia" w:hAnsi="宋体"/>
          <w:bCs/>
        </w:rPr>
      </w:pPr>
      <w:r>
        <w:rPr>
          <w:rFonts w:hint="eastAsia" w:ascii="宋体" w:hAnsi="宋体" w:eastAsia="宋体" w:cs="宋体"/>
          <w:bCs/>
        </w:rPr>
        <w:t>③对成</w:t>
      </w:r>
      <w:r>
        <w:rPr>
          <w:rFonts w:hint="eastAsia" w:hAnsi="宋体"/>
          <w:bCs/>
        </w:rPr>
        <w:t>交结果提出质疑的，为成交结果公告期限届满之日。</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（2）</w:t>
      </w:r>
      <w:r>
        <w:rPr>
          <w:rFonts w:hint="eastAsia" w:hAnsi="宋体"/>
          <w:bCs/>
        </w:rPr>
        <w:t>采购人或者采购代理机构应当在</w:t>
      </w:r>
      <w:r>
        <w:rPr>
          <w:rFonts w:hint="eastAsia" w:hAnsi="宋体"/>
          <w:bCs/>
          <w:lang w:val="en-US" w:eastAsia="zh-CN"/>
        </w:rPr>
        <w:t>7</w:t>
      </w:r>
      <w:r>
        <w:rPr>
          <w:rFonts w:hint="eastAsia" w:hAnsi="宋体"/>
          <w:bCs/>
        </w:rPr>
        <w:t>个工作日内对供应商依法提出的询问作出答复。</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供应商提出的询问或者质疑超出采购人对采购代理机构委托授权范围的，采购代理机构应当告知供应商向采购人提出。</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政府采购评审专家应当配合采购人或者采购代理机构答复供应商的询问和质疑。</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（3）</w:t>
      </w:r>
      <w:r>
        <w:rPr>
          <w:rFonts w:hint="eastAsia" w:hAnsi="宋体"/>
          <w:bCs/>
        </w:rPr>
        <w:t>质疑供应商对采购人、采购代理机构的答复不满意或者采购人、采购代理机构未在规定时间内作出答复的，可以在答复期满后十五个工作日内向同级政府采购监管部门投诉。</w:t>
      </w:r>
    </w:p>
    <w:p>
      <w:pPr>
        <w:pStyle w:val="26"/>
        <w:snapToGrid w:val="0"/>
        <w:spacing w:before="0" w:beforeLines="0" w:after="0" w:afterLines="0" w:line="360" w:lineRule="auto"/>
        <w:ind w:firstLine="470" w:firstLineChars="196"/>
        <w:outlineLvl w:val="2"/>
        <w:rPr>
          <w:rFonts w:hint="eastAsia" w:hAnsi="宋体"/>
          <w:bCs/>
          <w:lang w:val="en-US" w:eastAsia="zh-CN"/>
        </w:rPr>
      </w:pPr>
      <w:r>
        <w:rPr>
          <w:rFonts w:hint="eastAsia" w:hAnsi="宋体"/>
          <w:bCs/>
          <w:lang w:val="en-US" w:eastAsia="zh-CN"/>
        </w:rPr>
        <w:t>（4）</w:t>
      </w:r>
      <w:r>
        <w:rPr>
          <w:rFonts w:hint="eastAsia" w:hAnsi="宋体"/>
          <w:bCs/>
        </w:rPr>
        <w:t>要求供应商在法定质疑期内一次性提出针对同一招标程序环节的质疑。</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lang w:val="en-US" w:eastAsia="zh-CN"/>
        </w:rPr>
        <w:t>6</w:t>
      </w:r>
      <w:r>
        <w:rPr>
          <w:rFonts w:hint="eastAsia" w:hAnsi="宋体"/>
          <w:bCs/>
        </w:rPr>
        <w:t>．解释权</w:t>
      </w:r>
    </w:p>
    <w:p>
      <w:pPr>
        <w:pStyle w:val="26"/>
        <w:snapToGrid w:val="0"/>
        <w:spacing w:before="0" w:beforeLines="0" w:after="0" w:afterLines="0" w:line="360" w:lineRule="auto"/>
        <w:ind w:firstLine="470" w:firstLineChars="196"/>
        <w:outlineLvl w:val="2"/>
        <w:rPr>
          <w:rFonts w:hint="eastAsia" w:hAnsi="宋体"/>
          <w:bCs/>
        </w:rPr>
      </w:pPr>
      <w:r>
        <w:rPr>
          <w:rFonts w:hint="eastAsia" w:hAnsi="宋体"/>
          <w:bCs/>
        </w:rPr>
        <w:t>凡涉及本次采购文件的解释权均属于</w:t>
      </w:r>
      <w:r>
        <w:rPr>
          <w:rFonts w:hint="eastAsia" w:hAnsi="宋体"/>
          <w:bCs/>
          <w:lang w:eastAsia="zh-CN"/>
        </w:rPr>
        <w:t>采购人</w:t>
      </w:r>
      <w:r>
        <w:rPr>
          <w:rFonts w:hint="eastAsia" w:hAnsi="宋体"/>
          <w:bCs/>
        </w:rPr>
        <w:t>和招标代理机构。</w:t>
      </w:r>
    </w:p>
    <w:p>
      <w:pPr>
        <w:pStyle w:val="26"/>
        <w:snapToGrid w:val="0"/>
        <w:spacing w:before="0" w:beforeLines="0" w:after="0" w:afterLines="0" w:line="360" w:lineRule="auto"/>
        <w:ind w:firstLine="472" w:firstLineChars="196"/>
        <w:outlineLvl w:val="2"/>
        <w:rPr>
          <w:rFonts w:hint="eastAsia" w:hAnsi="宋体"/>
          <w:b/>
          <w:color w:val="FF0000"/>
        </w:rPr>
      </w:pPr>
    </w:p>
    <w:bookmarkEnd w:id="159"/>
    <w:bookmarkEnd w:id="160"/>
    <w:bookmarkEnd w:id="161"/>
    <w:p>
      <w:pPr>
        <w:pStyle w:val="26"/>
        <w:snapToGrid w:val="0"/>
        <w:spacing w:before="0" w:beforeLines="0" w:after="0" w:afterLines="0" w:line="360" w:lineRule="auto"/>
        <w:ind w:firstLine="472" w:firstLineChars="196"/>
        <w:outlineLvl w:val="2"/>
        <w:rPr>
          <w:rFonts w:hint="eastAsia" w:hAnsi="宋体"/>
          <w:b/>
          <w:color w:val="000000"/>
          <w:lang w:val="en-US" w:eastAsia="zh-CN"/>
        </w:rPr>
        <w:sectPr>
          <w:headerReference r:id="rId4" w:type="first"/>
          <w:headerReference r:id="rId3" w:type="default"/>
          <w:footerReference r:id="rId5" w:type="default"/>
          <w:pgSz w:w="11906" w:h="16838"/>
          <w:pgMar w:top="1134" w:right="1021" w:bottom="1134" w:left="1021" w:header="851" w:footer="851" w:gutter="0"/>
          <w:cols w:space="720" w:num="1"/>
          <w:docGrid w:type="lines" w:linePitch="312" w:charSpace="0"/>
        </w:sectPr>
      </w:pPr>
    </w:p>
    <w:p>
      <w:pPr>
        <w:pStyle w:val="231"/>
        <w:numPr>
          <w:ilvl w:val="0"/>
          <w:numId w:val="5"/>
        </w:numPr>
        <w:spacing w:after="120" w:afterLines="0"/>
        <w:jc w:val="center"/>
        <w:rPr>
          <w:rFonts w:hint="eastAsia" w:hAnsi="宋体"/>
          <w:sz w:val="36"/>
          <w:szCs w:val="36"/>
        </w:rPr>
      </w:pPr>
      <w:bookmarkStart w:id="174" w:name="_Toc350327717"/>
      <w:bookmarkStart w:id="175" w:name="_Toc30299"/>
      <w:bookmarkStart w:id="176" w:name="_Toc16586"/>
      <w:bookmarkStart w:id="177" w:name="_Toc10436"/>
      <w:bookmarkStart w:id="178" w:name="_Toc23482"/>
      <w:bookmarkStart w:id="179" w:name="_Toc11113"/>
      <w:bookmarkStart w:id="180" w:name="_Toc353117328"/>
      <w:r>
        <w:rPr>
          <w:rFonts w:hint="eastAsia" w:hAnsi="宋体"/>
          <w:b w:val="0"/>
          <w:sz w:val="36"/>
          <w:szCs w:val="36"/>
        </w:rPr>
        <w:t xml:space="preserve"> </w:t>
      </w:r>
      <w:bookmarkStart w:id="181" w:name="_Toc29565"/>
      <w:bookmarkStart w:id="182" w:name="_Toc11622"/>
      <w:bookmarkStart w:id="183" w:name="_Toc17392"/>
      <w:r>
        <w:rPr>
          <w:rFonts w:hint="eastAsia" w:hAnsi="宋体"/>
          <w:sz w:val="36"/>
          <w:szCs w:val="36"/>
        </w:rPr>
        <w:t>评标办法及评分标准</w:t>
      </w:r>
      <w:bookmarkEnd w:id="174"/>
      <w:bookmarkEnd w:id="175"/>
      <w:bookmarkEnd w:id="176"/>
      <w:bookmarkEnd w:id="181"/>
      <w:bookmarkEnd w:id="182"/>
      <w:bookmarkEnd w:id="183"/>
    </w:p>
    <w:bookmarkEnd w:id="177"/>
    <w:bookmarkEnd w:id="178"/>
    <w:bookmarkEnd w:id="179"/>
    <w:bookmarkEnd w:id="180"/>
    <w:p>
      <w:pPr>
        <w:adjustRightInd w:val="0"/>
        <w:snapToGrid w:val="0"/>
        <w:spacing w:line="400" w:lineRule="exact"/>
        <w:ind w:firstLine="472" w:firstLineChars="196"/>
        <w:outlineLvl w:val="1"/>
        <w:rPr>
          <w:rFonts w:hint="eastAsia" w:ascii="宋体" w:hAnsi="宋体" w:cs="宋体"/>
          <w:b/>
          <w:sz w:val="24"/>
        </w:rPr>
      </w:pPr>
      <w:bookmarkStart w:id="184" w:name="_Toc13492"/>
      <w:bookmarkStart w:id="185" w:name="_Toc21806"/>
      <w:bookmarkStart w:id="186" w:name="_Toc7725"/>
      <w:bookmarkStart w:id="187" w:name="_Toc9660"/>
      <w:bookmarkStart w:id="188" w:name="_Toc381971561"/>
      <w:bookmarkStart w:id="189" w:name="_Toc12199"/>
      <w:bookmarkStart w:id="190" w:name="_Toc17277"/>
      <w:bookmarkStart w:id="191" w:name="_Toc381971563"/>
      <w:bookmarkStart w:id="192" w:name="_Toc330214867"/>
      <w:bookmarkStart w:id="193" w:name="_Toc328381297"/>
      <w:bookmarkStart w:id="194" w:name="_Toc330214739"/>
      <w:bookmarkStart w:id="195" w:name="_Toc31571"/>
      <w:bookmarkStart w:id="196" w:name="_Toc381971607"/>
      <w:bookmarkStart w:id="197" w:name="_Toc392182958"/>
      <w:bookmarkStart w:id="198" w:name="_Toc330215490"/>
      <w:bookmarkStart w:id="199" w:name="_Toc19843"/>
      <w:bookmarkStart w:id="200" w:name="_Toc350241323"/>
      <w:bookmarkStart w:id="201" w:name="_Toc330212136"/>
      <w:bookmarkStart w:id="202" w:name="_Toc7182"/>
      <w:bookmarkStart w:id="203" w:name="_Toc31102"/>
      <w:bookmarkStart w:id="204" w:name="_Toc350327731"/>
      <w:bookmarkStart w:id="205" w:name="_Toc330215292"/>
      <w:bookmarkStart w:id="206" w:name="_Toc339872473"/>
      <w:bookmarkStart w:id="207" w:name="_Toc353117338"/>
      <w:bookmarkStart w:id="208" w:name="_Toc303256686"/>
      <w:r>
        <w:rPr>
          <w:rFonts w:hint="eastAsia" w:ascii="宋体" w:hAnsi="宋体" w:cs="宋体"/>
          <w:b/>
          <w:sz w:val="24"/>
        </w:rPr>
        <w:t>一、总则</w:t>
      </w:r>
      <w:bookmarkEnd w:id="184"/>
      <w:bookmarkEnd w:id="185"/>
      <w:bookmarkEnd w:id="186"/>
      <w:bookmarkEnd w:id="187"/>
      <w:bookmarkEnd w:id="188"/>
      <w:bookmarkEnd w:id="189"/>
    </w:p>
    <w:p>
      <w:pPr>
        <w:adjustRightInd w:val="0"/>
        <w:snapToGrid w:val="0"/>
        <w:spacing w:line="400" w:lineRule="exact"/>
        <w:ind w:firstLine="480" w:firstLineChars="200"/>
        <w:rPr>
          <w:rFonts w:hint="eastAsia" w:ascii="宋体" w:hAnsi="宋体" w:cs="宋体"/>
          <w:bCs/>
          <w:sz w:val="24"/>
        </w:rPr>
      </w:pPr>
      <w:r>
        <w:rPr>
          <w:rFonts w:hint="eastAsia" w:ascii="宋体" w:hAnsi="宋体" w:cs="宋体"/>
          <w:sz w:val="24"/>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宋体" w:hAnsi="宋体" w:cs="宋体"/>
          <w:bCs/>
          <w:sz w:val="24"/>
        </w:rPr>
        <w:t>评分过程中采用四舍五入法，并保留小数2位。</w:t>
      </w:r>
    </w:p>
    <w:p>
      <w:pPr>
        <w:adjustRightInd w:val="0"/>
        <w:snapToGrid w:val="0"/>
        <w:spacing w:line="400" w:lineRule="exact"/>
        <w:ind w:firstLine="472" w:firstLineChars="196"/>
        <w:outlineLvl w:val="1"/>
        <w:rPr>
          <w:rFonts w:hint="eastAsia" w:ascii="宋体" w:hAnsi="宋体" w:cs="宋体"/>
          <w:b/>
          <w:bCs/>
          <w:sz w:val="24"/>
        </w:rPr>
      </w:pPr>
      <w:bookmarkStart w:id="209" w:name="_Toc11578"/>
      <w:bookmarkStart w:id="210" w:name="_Toc10399"/>
      <w:bookmarkStart w:id="211" w:name="_Toc381971562"/>
      <w:bookmarkStart w:id="212" w:name="_Toc18361"/>
      <w:bookmarkStart w:id="213" w:name="_Toc100"/>
      <w:bookmarkStart w:id="214" w:name="_Toc31692"/>
      <w:r>
        <w:rPr>
          <w:rFonts w:hint="eastAsia" w:ascii="宋体" w:hAnsi="宋体" w:cs="宋体"/>
          <w:b/>
          <w:bCs/>
          <w:sz w:val="24"/>
        </w:rPr>
        <w:t>二、分值的计算</w:t>
      </w:r>
      <w:bookmarkEnd w:id="209"/>
      <w:bookmarkEnd w:id="210"/>
      <w:bookmarkEnd w:id="211"/>
      <w:bookmarkEnd w:id="212"/>
      <w:bookmarkEnd w:id="213"/>
      <w:bookmarkEnd w:id="214"/>
    </w:p>
    <w:p>
      <w:pPr>
        <w:spacing w:line="400" w:lineRule="exact"/>
        <w:ind w:firstLine="480"/>
        <w:rPr>
          <w:rFonts w:hint="eastAsia" w:ascii="宋体" w:hAnsi="宋体" w:cs="宋体"/>
          <w:sz w:val="24"/>
        </w:rPr>
      </w:pPr>
      <w:r>
        <w:rPr>
          <w:rFonts w:hint="eastAsia" w:ascii="宋体" w:hAnsi="宋体" w:cs="宋体"/>
          <w:sz w:val="24"/>
        </w:rPr>
        <w:t>技术分按照评标委员会成员的独立评分结果汇总后的算术平均分计算，计算公式为：</w:t>
      </w:r>
    </w:p>
    <w:p>
      <w:pPr>
        <w:spacing w:line="400" w:lineRule="exact"/>
        <w:ind w:firstLine="480"/>
        <w:rPr>
          <w:rFonts w:hint="eastAsia" w:ascii="宋体" w:hAnsi="宋体" w:cs="宋体"/>
          <w:sz w:val="24"/>
        </w:rPr>
      </w:pPr>
      <w:r>
        <w:rPr>
          <w:rFonts w:hint="eastAsia" w:ascii="宋体" w:hAnsi="宋体" w:cs="宋体"/>
          <w:sz w:val="24"/>
        </w:rPr>
        <w:t>商务技术分=(评标委员会所有成员评分合计数/评标委员会组成人员数）；</w:t>
      </w:r>
    </w:p>
    <w:p>
      <w:pPr>
        <w:spacing w:line="400" w:lineRule="exact"/>
        <w:ind w:firstLine="480"/>
        <w:rPr>
          <w:rFonts w:hint="eastAsia" w:ascii="宋体" w:hAnsi="宋体" w:cs="宋体"/>
          <w:sz w:val="24"/>
        </w:rPr>
      </w:pPr>
      <w:r>
        <w:rPr>
          <w:rFonts w:hint="eastAsia" w:ascii="宋体" w:hAnsi="宋体" w:cs="宋体"/>
          <w:sz w:val="24"/>
        </w:rPr>
        <w:t>投标人评标综合得分=价格分+商务技术分；</w:t>
      </w:r>
    </w:p>
    <w:bookmarkEnd w:id="190"/>
    <w:bookmarkEnd w:id="191"/>
    <w:p>
      <w:pPr>
        <w:spacing w:before="156" w:beforeLines="50" w:after="156" w:afterLines="50" w:line="400" w:lineRule="exact"/>
        <w:ind w:firstLine="472" w:firstLineChars="196"/>
        <w:outlineLvl w:val="1"/>
        <w:rPr>
          <w:rFonts w:hint="eastAsia" w:ascii="宋体" w:hAnsi="宋体" w:cs="宋体"/>
          <w:b/>
          <w:color w:val="000000"/>
          <w:sz w:val="24"/>
        </w:rPr>
      </w:pPr>
      <w:bookmarkStart w:id="215" w:name="_Toc6779"/>
      <w:bookmarkStart w:id="216" w:name="_Toc2059"/>
      <w:bookmarkStart w:id="217" w:name="_Toc7461"/>
      <w:bookmarkStart w:id="218" w:name="_Toc11711"/>
      <w:bookmarkStart w:id="219" w:name="_Toc31348"/>
      <w:bookmarkStart w:id="220" w:name="_Toc25582"/>
      <w:bookmarkStart w:id="221" w:name="_Toc350241321"/>
      <w:r>
        <w:rPr>
          <w:rFonts w:hint="eastAsia" w:ascii="宋体" w:hAnsi="宋体" w:cs="宋体"/>
          <w:b/>
          <w:color w:val="000000"/>
          <w:sz w:val="24"/>
        </w:rPr>
        <w:t>三、评审内容及标准</w:t>
      </w:r>
      <w:bookmarkEnd w:id="215"/>
      <w:bookmarkEnd w:id="216"/>
      <w:r>
        <w:rPr>
          <w:rFonts w:hint="eastAsia" w:ascii="宋体" w:hAnsi="宋体" w:cs="宋体"/>
          <w:b/>
          <w:color w:val="000000"/>
          <w:sz w:val="24"/>
        </w:rPr>
        <w:t xml:space="preserve"> </w:t>
      </w:r>
    </w:p>
    <w:p>
      <w:pPr>
        <w:spacing w:before="156" w:beforeLines="50" w:after="156" w:afterLines="50" w:line="400" w:lineRule="exact"/>
        <w:ind w:firstLine="241" w:firstLineChars="100"/>
        <w:rPr>
          <w:rFonts w:hint="eastAsia" w:ascii="宋体" w:hAnsi="宋体" w:cs="宋体"/>
          <w:b/>
          <w:color w:val="000000"/>
          <w:sz w:val="24"/>
        </w:rPr>
      </w:pPr>
      <w:r>
        <w:rPr>
          <w:rFonts w:hint="eastAsia" w:ascii="宋体" w:hAnsi="宋体" w:cs="宋体"/>
          <w:b/>
          <w:bCs/>
          <w:color w:val="000000"/>
          <w:sz w:val="24"/>
        </w:rPr>
        <w:t>（一）商务技术分</w:t>
      </w:r>
      <w:r>
        <w:rPr>
          <w:rFonts w:hint="eastAsia" w:ascii="宋体" w:hAnsi="宋体" w:cs="宋体"/>
          <w:b/>
          <w:color w:val="000000"/>
          <w:sz w:val="24"/>
        </w:rPr>
        <w:t>（</w:t>
      </w:r>
      <w:r>
        <w:rPr>
          <w:rFonts w:hint="eastAsia" w:ascii="宋体" w:hAnsi="宋体" w:cs="宋体"/>
          <w:b/>
          <w:color w:val="000000"/>
          <w:sz w:val="24"/>
          <w:lang w:val="en-US" w:eastAsia="zh-CN"/>
        </w:rPr>
        <w:t>8</w:t>
      </w:r>
      <w:r>
        <w:rPr>
          <w:rFonts w:hint="eastAsia" w:ascii="宋体" w:hAnsi="宋体" w:cs="宋体"/>
          <w:b/>
          <w:color w:val="000000"/>
          <w:sz w:val="24"/>
        </w:rPr>
        <w:t>0分）</w:t>
      </w:r>
    </w:p>
    <w:tbl>
      <w:tblPr>
        <w:tblStyle w:val="47"/>
        <w:tblW w:w="9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35"/>
        <w:gridCol w:w="1070"/>
        <w:gridCol w:w="7513"/>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04"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序号</w:t>
            </w:r>
          </w:p>
        </w:tc>
        <w:tc>
          <w:tcPr>
            <w:tcW w:w="107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评审内容</w:t>
            </w:r>
          </w:p>
        </w:tc>
        <w:tc>
          <w:tcPr>
            <w:tcW w:w="7513" w:type="dxa"/>
            <w:tcBorders>
              <w:top w:val="single" w:color="auto" w:sz="4" w:space="0"/>
              <w:left w:val="nil"/>
              <w:bottom w:val="single" w:color="auto" w:sz="4" w:space="0"/>
              <w:right w:val="single" w:color="auto" w:sz="4" w:space="0"/>
            </w:tcBorders>
            <w:noWrap w:val="0"/>
            <w:vAlign w:val="center"/>
          </w:tcPr>
          <w:p>
            <w:pPr>
              <w:spacing w:line="360" w:lineRule="auto"/>
              <w:ind w:firstLine="403" w:firstLineChars="192"/>
              <w:jc w:val="center"/>
              <w:rPr>
                <w:rFonts w:hint="eastAsia" w:ascii="宋体" w:hAnsi="宋体" w:cs="宋体"/>
                <w:szCs w:val="21"/>
              </w:rPr>
            </w:pPr>
            <w:r>
              <w:rPr>
                <w:rFonts w:hint="eastAsia" w:ascii="宋体" w:hAnsi="宋体" w:cs="宋体"/>
                <w:szCs w:val="21"/>
              </w:rPr>
              <w:t>评分细则及要求</w:t>
            </w:r>
          </w:p>
        </w:tc>
        <w:tc>
          <w:tcPr>
            <w:tcW w:w="635"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12" w:hRule="atLeast"/>
          <w:jc w:val="center"/>
        </w:trPr>
        <w:tc>
          <w:tcPr>
            <w:tcW w:w="735"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1</w:t>
            </w:r>
          </w:p>
        </w:tc>
        <w:tc>
          <w:tcPr>
            <w:tcW w:w="1070" w:type="dxa"/>
            <w:vMerge w:val="restart"/>
            <w:tcBorders>
              <w:top w:val="single" w:color="auto" w:sz="4" w:space="0"/>
              <w:left w:val="nil"/>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综合实力</w:t>
            </w:r>
          </w:p>
        </w:tc>
        <w:tc>
          <w:tcPr>
            <w:tcW w:w="7513" w:type="dxa"/>
            <w:tcBorders>
              <w:top w:val="single" w:color="auto" w:sz="4" w:space="0"/>
              <w:left w:val="nil"/>
              <w:right w:val="single" w:color="auto" w:sz="4" w:space="0"/>
            </w:tcBorders>
            <w:noWrap w:val="0"/>
            <w:vAlign w:val="center"/>
          </w:tcPr>
          <w:p>
            <w:pPr>
              <w:spacing w:line="360" w:lineRule="auto"/>
              <w:jc w:val="left"/>
              <w:rPr>
                <w:rFonts w:hint="eastAsia" w:ascii="宋体" w:hAnsi="宋体" w:eastAsia="宋体" w:cs="宋体"/>
                <w:szCs w:val="21"/>
                <w:lang w:val="en-US" w:eastAsia="zh-CN"/>
              </w:rPr>
            </w:pPr>
            <w:r>
              <w:rPr>
                <w:rFonts w:hint="eastAsia" w:ascii="宋体" w:hAnsi="宋体" w:cs="宋体"/>
                <w:szCs w:val="21"/>
                <w:lang w:eastAsia="zh-CN"/>
              </w:rPr>
              <w:t>投标人</w:t>
            </w:r>
            <w:r>
              <w:rPr>
                <w:rFonts w:hint="eastAsia" w:ascii="宋体" w:hAnsi="宋体" w:cs="宋体"/>
                <w:szCs w:val="21"/>
              </w:rPr>
              <w:t>具有</w:t>
            </w:r>
            <w:r>
              <w:rPr>
                <w:rFonts w:hint="eastAsia" w:ascii="宋体" w:hAnsi="宋体" w:cs="宋体"/>
                <w:szCs w:val="21"/>
                <w:lang w:eastAsia="zh-CN"/>
              </w:rPr>
              <w:t>有效期内省级及以上相关部门</w:t>
            </w:r>
            <w:r>
              <w:rPr>
                <w:rFonts w:hint="eastAsia" w:ascii="宋体" w:hAnsi="宋体" w:cs="宋体"/>
                <w:szCs w:val="21"/>
              </w:rPr>
              <w:t>颁发的人力防范资质叁级的得1分，贰级以上</w:t>
            </w:r>
            <w:r>
              <w:rPr>
                <w:rFonts w:hint="eastAsia" w:ascii="宋体" w:hAnsi="宋体" w:cs="宋体"/>
                <w:szCs w:val="21"/>
                <w:lang w:eastAsia="zh-CN"/>
              </w:rPr>
              <w:t>（含贰级）</w:t>
            </w:r>
            <w:r>
              <w:rPr>
                <w:rFonts w:hint="eastAsia" w:ascii="宋体" w:hAnsi="宋体" w:cs="宋体"/>
                <w:szCs w:val="21"/>
              </w:rPr>
              <w:t>的得2分，</w:t>
            </w:r>
            <w:r>
              <w:rPr>
                <w:rFonts w:hint="eastAsia" w:ascii="宋体" w:hAnsi="宋体" w:cs="宋体"/>
                <w:szCs w:val="21"/>
                <w:lang w:val="en-US" w:eastAsia="zh-CN"/>
              </w:rPr>
              <w:t>不累计计分</w:t>
            </w:r>
            <w:r>
              <w:rPr>
                <w:rFonts w:hint="eastAsia" w:ascii="宋体" w:hAnsi="宋体" w:cs="宋体"/>
                <w:szCs w:val="21"/>
              </w:rPr>
              <w:t>。(提供</w:t>
            </w:r>
            <w:r>
              <w:rPr>
                <w:rFonts w:hint="eastAsia" w:ascii="宋体" w:hAnsi="宋体" w:cs="宋体"/>
                <w:szCs w:val="21"/>
                <w:lang w:eastAsia="zh-CN"/>
              </w:rPr>
              <w:t>相关佐证材料原件</w:t>
            </w:r>
            <w:r>
              <w:rPr>
                <w:rFonts w:hint="eastAsia" w:ascii="宋体" w:hAnsi="宋体" w:cs="宋体"/>
                <w:szCs w:val="21"/>
              </w:rPr>
              <w:t>扫描件)</w:t>
            </w:r>
            <w:r>
              <w:rPr>
                <w:rFonts w:hint="eastAsia" w:ascii="宋体" w:hAnsi="宋体" w:cs="宋体"/>
                <w:szCs w:val="21"/>
                <w:lang w:eastAsia="zh-CN"/>
              </w:rPr>
              <w:t>。</w:t>
            </w:r>
          </w:p>
        </w:tc>
        <w:tc>
          <w:tcPr>
            <w:tcW w:w="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12" w:hRule="atLeast"/>
          <w:jc w:val="center"/>
        </w:trPr>
        <w:tc>
          <w:tcPr>
            <w:tcW w:w="735" w:type="dxa"/>
            <w:vMerge w:val="continue"/>
            <w:tcBorders>
              <w:left w:val="single" w:color="auto" w:sz="4" w:space="0"/>
              <w:right w:val="single" w:color="auto" w:sz="4" w:space="0"/>
            </w:tcBorders>
            <w:noWrap w:val="0"/>
            <w:vAlign w:val="center"/>
          </w:tcPr>
          <w:p>
            <w:pPr>
              <w:jc w:val="center"/>
            </w:pPr>
          </w:p>
        </w:tc>
        <w:tc>
          <w:tcPr>
            <w:tcW w:w="1070" w:type="dxa"/>
            <w:vMerge w:val="continue"/>
            <w:tcBorders>
              <w:left w:val="nil"/>
              <w:right w:val="single" w:color="auto" w:sz="4" w:space="0"/>
            </w:tcBorders>
            <w:noWrap w:val="0"/>
            <w:vAlign w:val="center"/>
          </w:tcPr>
          <w:p>
            <w:pPr>
              <w:jc w:val="center"/>
            </w:pPr>
          </w:p>
        </w:tc>
        <w:tc>
          <w:tcPr>
            <w:tcW w:w="7513" w:type="dxa"/>
            <w:tcBorders>
              <w:top w:val="single" w:color="auto" w:sz="4" w:space="0"/>
              <w:left w:val="nil"/>
              <w:right w:val="single" w:color="auto" w:sz="4" w:space="0"/>
            </w:tcBorders>
            <w:noWrap w:val="0"/>
            <w:vAlign w:val="center"/>
          </w:tcPr>
          <w:p>
            <w:pPr>
              <w:spacing w:line="360" w:lineRule="auto"/>
              <w:jc w:val="left"/>
              <w:rPr>
                <w:rFonts w:hint="eastAsia" w:ascii="宋体" w:hAnsi="宋体" w:eastAsia="宋体" w:cs="宋体"/>
                <w:szCs w:val="21"/>
                <w:lang w:val="en-US" w:eastAsia="zh-CN"/>
              </w:rPr>
            </w:pPr>
            <w:r>
              <w:rPr>
                <w:rFonts w:hint="eastAsia" w:ascii="宋体" w:hAnsi="宋体" w:cs="宋体"/>
                <w:szCs w:val="21"/>
              </w:rPr>
              <w:t>投标人在近三年内被人力资源和社会保障局评定“劳动保障诚信企业”AAAAA</w:t>
            </w:r>
            <w:r>
              <w:rPr>
                <w:rFonts w:hint="eastAsia" w:ascii="宋体" w:hAnsi="宋体" w:cs="宋体"/>
                <w:szCs w:val="21"/>
                <w:lang w:val="en-US" w:eastAsia="zh-CN"/>
              </w:rPr>
              <w:t>及以上</w:t>
            </w:r>
            <w:r>
              <w:rPr>
                <w:rFonts w:hint="eastAsia" w:ascii="宋体" w:hAnsi="宋体" w:cs="宋体"/>
                <w:szCs w:val="21"/>
              </w:rPr>
              <w:t>的得3分，评定AAAA的得2分，评定AAA的得1分</w:t>
            </w:r>
            <w:r>
              <w:rPr>
                <w:rFonts w:hint="eastAsia" w:ascii="宋体" w:hAnsi="宋体" w:cs="宋体"/>
                <w:szCs w:val="21"/>
                <w:lang w:eastAsia="zh-CN"/>
              </w:rPr>
              <w:t>，</w:t>
            </w:r>
            <w:r>
              <w:rPr>
                <w:rFonts w:hint="eastAsia" w:ascii="宋体" w:hAnsi="宋体" w:cs="宋体"/>
                <w:szCs w:val="21"/>
              </w:rPr>
              <w:t>以上不累计得分。</w:t>
            </w:r>
            <w:r>
              <w:rPr>
                <w:rFonts w:hint="eastAsia" w:ascii="宋体" w:hAnsi="宋体" w:cs="宋体"/>
                <w:szCs w:val="21"/>
                <w:lang w:eastAsia="zh-CN"/>
              </w:rPr>
              <w:t>连续三年被评定</w:t>
            </w:r>
            <w:r>
              <w:rPr>
                <w:rFonts w:hint="eastAsia" w:ascii="宋体" w:hAnsi="宋体" w:cs="宋体"/>
                <w:szCs w:val="21"/>
              </w:rPr>
              <w:t>AAA级以上的加</w:t>
            </w:r>
            <w:r>
              <w:rPr>
                <w:rFonts w:hint="eastAsia" w:ascii="宋体" w:hAnsi="宋体" w:cs="宋体"/>
                <w:szCs w:val="21"/>
                <w:lang w:val="en-US" w:eastAsia="zh-CN"/>
              </w:rPr>
              <w:t>2分，</w:t>
            </w:r>
            <w:r>
              <w:rPr>
                <w:rFonts w:hint="eastAsia" w:ascii="宋体" w:hAnsi="宋体" w:cs="宋体"/>
                <w:szCs w:val="21"/>
              </w:rPr>
              <w:t>(提供证书扫描件)</w:t>
            </w:r>
            <w:r>
              <w:rPr>
                <w:rFonts w:hint="eastAsia" w:ascii="宋体" w:hAnsi="宋体" w:cs="宋体"/>
                <w:szCs w:val="21"/>
                <w:lang w:eastAsia="zh-CN"/>
              </w:rPr>
              <w:t>。</w:t>
            </w:r>
          </w:p>
        </w:tc>
        <w:tc>
          <w:tcPr>
            <w:tcW w:w="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475" w:hRule="atLeast"/>
          <w:jc w:val="center"/>
        </w:trPr>
        <w:tc>
          <w:tcPr>
            <w:tcW w:w="735" w:type="dxa"/>
            <w:vMerge w:val="continue"/>
            <w:tcBorders>
              <w:left w:val="single" w:color="auto" w:sz="4" w:space="0"/>
              <w:right w:val="single" w:color="auto" w:sz="4" w:space="0"/>
            </w:tcBorders>
            <w:noWrap w:val="0"/>
            <w:vAlign w:val="center"/>
          </w:tcPr>
          <w:p>
            <w:pPr>
              <w:jc w:val="center"/>
              <w:rPr>
                <w:rFonts w:hint="eastAsia" w:ascii="宋体" w:hAnsi="宋体" w:cs="宋体"/>
                <w:szCs w:val="21"/>
              </w:rPr>
            </w:pPr>
          </w:p>
        </w:tc>
        <w:tc>
          <w:tcPr>
            <w:tcW w:w="1070" w:type="dxa"/>
            <w:vMerge w:val="continue"/>
            <w:tcBorders>
              <w:left w:val="nil"/>
              <w:right w:val="single" w:color="auto" w:sz="4" w:space="0"/>
            </w:tcBorders>
            <w:noWrap w:val="0"/>
            <w:vAlign w:val="center"/>
          </w:tcPr>
          <w:p>
            <w:pPr>
              <w:jc w:val="center"/>
              <w:rPr>
                <w:rFonts w:hint="eastAsia" w:ascii="宋体" w:hAnsi="宋体" w:cs="宋体"/>
                <w:szCs w:val="21"/>
              </w:rPr>
            </w:pPr>
          </w:p>
        </w:tc>
        <w:tc>
          <w:tcPr>
            <w:tcW w:w="7513" w:type="dxa"/>
            <w:tcBorders>
              <w:top w:val="single" w:color="auto" w:sz="4" w:space="0"/>
              <w:left w:val="nil"/>
              <w:right w:val="single" w:color="auto" w:sz="4" w:space="0"/>
            </w:tcBorders>
            <w:noWrap w:val="0"/>
            <w:vAlign w:val="center"/>
          </w:tcPr>
          <w:p>
            <w:pPr>
              <w:spacing w:line="360" w:lineRule="auto"/>
              <w:jc w:val="left"/>
              <w:rPr>
                <w:rFonts w:hint="eastAsia" w:ascii="宋体" w:hAnsi="宋体" w:eastAsia="宋体" w:cs="宋体"/>
                <w:szCs w:val="21"/>
                <w:lang w:val="en-US" w:eastAsia="zh-CN"/>
              </w:rPr>
            </w:pPr>
            <w:r>
              <w:rPr>
                <w:rFonts w:hint="eastAsia" w:ascii="宋体" w:hAnsi="宋体" w:cs="宋体"/>
                <w:szCs w:val="21"/>
              </w:rPr>
              <w:t>投标人具有质量管理体系认证证书的得1分</w:t>
            </w:r>
            <w:r>
              <w:rPr>
                <w:rFonts w:hint="eastAsia" w:ascii="宋体" w:hAnsi="宋体" w:cs="宋体"/>
                <w:szCs w:val="21"/>
                <w:lang w:eastAsia="zh-CN"/>
              </w:rPr>
              <w:t>；</w:t>
            </w:r>
            <w:r>
              <w:rPr>
                <w:rFonts w:hint="eastAsia" w:ascii="宋体" w:hAnsi="宋体" w:cs="宋体"/>
                <w:szCs w:val="21"/>
              </w:rPr>
              <w:t>具有环境管理体系认证证书的得1分</w:t>
            </w:r>
            <w:r>
              <w:rPr>
                <w:rFonts w:hint="eastAsia" w:ascii="宋体" w:hAnsi="宋体" w:cs="宋体"/>
                <w:szCs w:val="21"/>
                <w:lang w:eastAsia="zh-CN"/>
              </w:rPr>
              <w:t>；</w:t>
            </w:r>
            <w:r>
              <w:rPr>
                <w:rFonts w:hint="eastAsia" w:ascii="宋体" w:hAnsi="宋体" w:cs="宋体"/>
                <w:szCs w:val="21"/>
              </w:rPr>
              <w:t>具有职业健康安全管理体系认证证书的得1分，最高得3分。(提供证书扫描件)</w:t>
            </w:r>
            <w:r>
              <w:rPr>
                <w:rFonts w:hint="eastAsia" w:ascii="宋体" w:hAnsi="宋体" w:cs="宋体"/>
                <w:szCs w:val="21"/>
                <w:lang w:eastAsia="zh-CN"/>
              </w:rPr>
              <w:t>。</w:t>
            </w:r>
          </w:p>
        </w:tc>
        <w:tc>
          <w:tcPr>
            <w:tcW w:w="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2</w:t>
            </w:r>
          </w:p>
        </w:tc>
        <w:tc>
          <w:tcPr>
            <w:tcW w:w="1070" w:type="dxa"/>
            <w:tcBorders>
              <w:top w:val="single" w:color="auto" w:sz="4" w:space="0"/>
              <w:left w:val="nil"/>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成功案例</w:t>
            </w:r>
          </w:p>
        </w:tc>
        <w:tc>
          <w:tcPr>
            <w:tcW w:w="751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bCs/>
                <w:color w:val="auto"/>
                <w:szCs w:val="21"/>
              </w:rPr>
            </w:pPr>
            <w:r>
              <w:rPr>
                <w:rFonts w:hint="eastAsia" w:ascii="宋体" w:hAnsi="宋体" w:cs="宋体"/>
                <w:bCs/>
                <w:color w:val="auto"/>
                <w:szCs w:val="21"/>
              </w:rPr>
              <w:t>投标人提供自2017年</w:t>
            </w:r>
            <w:r>
              <w:rPr>
                <w:rFonts w:hint="eastAsia" w:ascii="宋体" w:hAnsi="宋体" w:cs="宋体"/>
                <w:bCs/>
                <w:color w:val="auto"/>
                <w:szCs w:val="21"/>
                <w:lang w:val="en-US" w:eastAsia="zh-CN"/>
              </w:rPr>
              <w:t>11</w:t>
            </w:r>
            <w:r>
              <w:rPr>
                <w:rFonts w:hint="eastAsia" w:ascii="宋体" w:hAnsi="宋体" w:cs="宋体"/>
                <w:bCs/>
                <w:color w:val="auto"/>
                <w:szCs w:val="21"/>
              </w:rPr>
              <w:t>月1日以来政府或公共事业部门保安(安保)服务项目(不同业主)的成功案例，每提供</w:t>
            </w:r>
            <w:r>
              <w:rPr>
                <w:rFonts w:hint="eastAsia" w:ascii="宋体" w:hAnsi="宋体" w:cs="宋体"/>
                <w:bCs/>
                <w:color w:val="auto"/>
                <w:szCs w:val="21"/>
                <w:lang w:val="en-US" w:eastAsia="zh-CN"/>
              </w:rPr>
              <w:t>一</w:t>
            </w:r>
            <w:r>
              <w:rPr>
                <w:rFonts w:hint="eastAsia" w:ascii="宋体" w:hAnsi="宋体" w:cs="宋体"/>
                <w:bCs/>
                <w:color w:val="auto"/>
                <w:szCs w:val="21"/>
              </w:rPr>
              <w:t>个得</w:t>
            </w:r>
            <w:r>
              <w:rPr>
                <w:rFonts w:hint="eastAsia" w:ascii="宋体" w:hAnsi="宋体" w:cs="宋体"/>
                <w:bCs/>
                <w:color w:val="auto"/>
                <w:szCs w:val="21"/>
                <w:lang w:val="en-US" w:eastAsia="zh-CN"/>
              </w:rPr>
              <w:t>0.5</w:t>
            </w:r>
            <w:r>
              <w:rPr>
                <w:rFonts w:hint="eastAsia" w:ascii="宋体" w:hAnsi="宋体" w:cs="宋体"/>
                <w:bCs/>
                <w:color w:val="auto"/>
                <w:szCs w:val="21"/>
              </w:rPr>
              <w:t>分，最高得</w:t>
            </w:r>
            <w:r>
              <w:rPr>
                <w:rFonts w:hint="eastAsia" w:ascii="宋体" w:hAnsi="宋体" w:cs="宋体"/>
                <w:bCs/>
                <w:color w:val="auto"/>
                <w:szCs w:val="21"/>
                <w:lang w:val="en-US" w:eastAsia="zh-CN"/>
              </w:rPr>
              <w:t>5</w:t>
            </w:r>
            <w:r>
              <w:rPr>
                <w:rFonts w:hint="eastAsia" w:ascii="宋体" w:hAnsi="宋体" w:cs="宋体"/>
                <w:bCs/>
                <w:color w:val="auto"/>
                <w:szCs w:val="21"/>
              </w:rPr>
              <w:t>分。(提供合同和中标通知书扫描件)</w:t>
            </w:r>
          </w:p>
        </w:tc>
        <w:tc>
          <w:tcPr>
            <w:tcW w:w="6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38" w:hRule="atLeast"/>
          <w:jc w:val="center"/>
        </w:trPr>
        <w:tc>
          <w:tcPr>
            <w:tcW w:w="735" w:type="dxa"/>
            <w:vMerge w:val="restart"/>
            <w:tcBorders>
              <w:top w:val="nil"/>
              <w:left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3</w:t>
            </w:r>
          </w:p>
        </w:tc>
        <w:tc>
          <w:tcPr>
            <w:tcW w:w="1070" w:type="dxa"/>
            <w:vMerge w:val="restart"/>
            <w:tcBorders>
              <w:top w:val="nil"/>
              <w:left w:val="nil"/>
              <w:right w:val="single" w:color="auto" w:sz="4" w:space="0"/>
            </w:tcBorders>
            <w:noWrap w:val="0"/>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eastAsia="zh-CN"/>
              </w:rPr>
              <w:t>人员培训</w:t>
            </w:r>
          </w:p>
        </w:tc>
        <w:tc>
          <w:tcPr>
            <w:tcW w:w="7513" w:type="dxa"/>
            <w:tcBorders>
              <w:top w:val="single" w:color="auto" w:sz="4" w:space="0"/>
              <w:left w:val="nil"/>
              <w:right w:val="single" w:color="auto" w:sz="4" w:space="0"/>
            </w:tcBorders>
            <w:noWrap w:val="0"/>
            <w:vAlign w:val="center"/>
          </w:tcPr>
          <w:p>
            <w:pPr>
              <w:widowControl/>
              <w:jc w:val="left"/>
              <w:rPr>
                <w:rFonts w:hint="eastAsia" w:ascii="宋体" w:hAnsi="宋体" w:cs="宋体"/>
                <w:bCs/>
                <w:color w:val="auto"/>
                <w:szCs w:val="21"/>
                <w:lang w:val="en-US" w:eastAsia="zh-CN"/>
              </w:rPr>
            </w:pPr>
            <w:r>
              <w:rPr>
                <w:rFonts w:hint="eastAsia" w:ascii="宋体" w:hAnsi="宋体" w:cs="宋体"/>
                <w:bCs/>
                <w:color w:val="auto"/>
                <w:szCs w:val="21"/>
              </w:rPr>
              <w:t>根据投标人提供的人员培训方案及措施完整性、科学性进行</w:t>
            </w:r>
            <w:r>
              <w:rPr>
                <w:rFonts w:hint="eastAsia" w:ascii="宋体" w:hAnsi="宋体" w:cs="宋体"/>
                <w:bCs/>
                <w:color w:val="auto"/>
                <w:szCs w:val="21"/>
                <w:lang w:eastAsia="zh-CN"/>
              </w:rPr>
              <w:t>综合</w:t>
            </w:r>
            <w:r>
              <w:rPr>
                <w:rFonts w:hint="eastAsia" w:ascii="宋体" w:hAnsi="宋体" w:cs="宋体"/>
                <w:bCs/>
                <w:color w:val="auto"/>
                <w:szCs w:val="21"/>
              </w:rPr>
              <w:t>打分</w:t>
            </w:r>
            <w:r>
              <w:rPr>
                <w:rFonts w:hint="eastAsia" w:ascii="宋体" w:hAnsi="宋体" w:cs="宋体"/>
                <w:bCs/>
                <w:color w:val="auto"/>
                <w:szCs w:val="21"/>
                <w:lang w:eastAsia="zh-CN"/>
              </w:rPr>
              <w:t>（</w:t>
            </w:r>
            <w:r>
              <w:rPr>
                <w:rFonts w:hint="eastAsia" w:ascii="宋体" w:hAnsi="宋体" w:cs="宋体"/>
                <w:bCs/>
                <w:color w:val="auto"/>
                <w:szCs w:val="21"/>
                <w:lang w:val="en-US" w:eastAsia="zh-CN"/>
              </w:rPr>
              <w:t>0-4分）</w:t>
            </w:r>
            <w:r>
              <w:rPr>
                <w:rFonts w:hint="eastAsia" w:ascii="宋体" w:hAnsi="宋体" w:cs="宋体"/>
                <w:bCs/>
                <w:color w:val="auto"/>
                <w:szCs w:val="21"/>
                <w:lang w:eastAsia="zh-CN"/>
              </w:rPr>
              <w:t>。</w:t>
            </w:r>
          </w:p>
        </w:tc>
        <w:tc>
          <w:tcPr>
            <w:tcW w:w="6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471" w:hRule="atLeast"/>
          <w:jc w:val="center"/>
        </w:trPr>
        <w:tc>
          <w:tcPr>
            <w:tcW w:w="735" w:type="dxa"/>
            <w:vMerge w:val="continue"/>
            <w:tcBorders>
              <w:left w:val="single" w:color="auto" w:sz="4" w:space="0"/>
              <w:right w:val="single" w:color="auto" w:sz="4" w:space="0"/>
            </w:tcBorders>
            <w:noWrap w:val="0"/>
            <w:vAlign w:val="center"/>
          </w:tcPr>
          <w:p>
            <w:pPr>
              <w:jc w:val="center"/>
            </w:pPr>
          </w:p>
        </w:tc>
        <w:tc>
          <w:tcPr>
            <w:tcW w:w="1070" w:type="dxa"/>
            <w:vMerge w:val="continue"/>
            <w:tcBorders>
              <w:left w:val="nil"/>
              <w:right w:val="single" w:color="auto" w:sz="4" w:space="0"/>
            </w:tcBorders>
            <w:noWrap w:val="0"/>
            <w:vAlign w:val="center"/>
          </w:tcPr>
          <w:p>
            <w:pPr>
              <w:jc w:val="center"/>
            </w:pPr>
          </w:p>
        </w:tc>
        <w:tc>
          <w:tcPr>
            <w:tcW w:w="7513" w:type="dxa"/>
            <w:tcBorders>
              <w:top w:val="single" w:color="auto" w:sz="4" w:space="0"/>
              <w:left w:val="nil"/>
              <w:right w:val="single" w:color="auto" w:sz="4" w:space="0"/>
            </w:tcBorders>
            <w:noWrap w:val="0"/>
            <w:vAlign w:val="center"/>
          </w:tcPr>
          <w:p>
            <w:pPr>
              <w:widowControl/>
              <w:jc w:val="left"/>
              <w:rPr>
                <w:rFonts w:hint="eastAsia" w:ascii="宋体" w:hAnsi="宋体" w:eastAsia="宋体" w:cs="宋体"/>
                <w:bCs/>
                <w:color w:val="auto"/>
                <w:szCs w:val="21"/>
                <w:lang w:val="en-US" w:eastAsia="zh-CN"/>
              </w:rPr>
            </w:pPr>
            <w:r>
              <w:rPr>
                <w:rFonts w:hint="eastAsia" w:ascii="宋体" w:hAnsi="宋体" w:cs="宋体"/>
                <w:bCs/>
                <w:color w:val="auto"/>
                <w:szCs w:val="21"/>
              </w:rPr>
              <w:t>投标人的员工培训负责人持有企业人力资源管理师(</w:t>
            </w:r>
            <w:r>
              <w:rPr>
                <w:rFonts w:hint="eastAsia" w:ascii="宋体" w:hAnsi="宋体" w:cs="宋体"/>
                <w:bCs/>
                <w:color w:val="auto"/>
                <w:szCs w:val="21"/>
                <w:lang w:val="en-US" w:eastAsia="zh-CN"/>
              </w:rPr>
              <w:t>一</w:t>
            </w:r>
            <w:r>
              <w:rPr>
                <w:rFonts w:hint="eastAsia" w:ascii="宋体" w:hAnsi="宋体" w:cs="宋体"/>
                <w:bCs/>
                <w:color w:val="auto"/>
                <w:szCs w:val="21"/>
              </w:rPr>
              <w:t>级)证书的得</w:t>
            </w:r>
            <w:r>
              <w:rPr>
                <w:rFonts w:hint="eastAsia" w:ascii="宋体" w:hAnsi="宋体" w:cs="宋体"/>
                <w:bCs/>
                <w:color w:val="auto"/>
                <w:szCs w:val="21"/>
                <w:lang w:val="en-US" w:eastAsia="zh-CN"/>
              </w:rPr>
              <w:t>3</w:t>
            </w:r>
            <w:r>
              <w:rPr>
                <w:rFonts w:hint="eastAsia" w:ascii="宋体" w:hAnsi="宋体" w:cs="宋体"/>
                <w:bCs/>
                <w:color w:val="auto"/>
                <w:szCs w:val="21"/>
              </w:rPr>
              <w:t>分，持有企业人力资源管理师(二级)证书的得</w:t>
            </w:r>
            <w:r>
              <w:rPr>
                <w:rFonts w:hint="eastAsia" w:ascii="宋体" w:hAnsi="宋体" w:cs="宋体"/>
                <w:bCs/>
                <w:color w:val="auto"/>
                <w:szCs w:val="21"/>
                <w:lang w:val="en-US" w:eastAsia="zh-CN"/>
              </w:rPr>
              <w:t>2</w:t>
            </w:r>
            <w:r>
              <w:rPr>
                <w:rFonts w:hint="eastAsia" w:ascii="宋体" w:hAnsi="宋体" w:cs="宋体"/>
                <w:bCs/>
                <w:color w:val="auto"/>
                <w:szCs w:val="21"/>
              </w:rPr>
              <w:t>分，持有企业人力资源管理师(三级)证书的得1分，同时具有保安师加</w:t>
            </w:r>
            <w:r>
              <w:rPr>
                <w:rFonts w:hint="eastAsia" w:ascii="宋体" w:hAnsi="宋体" w:cs="宋体"/>
                <w:bCs/>
                <w:color w:val="auto"/>
                <w:szCs w:val="21"/>
                <w:lang w:val="en-US" w:eastAsia="zh-CN"/>
              </w:rPr>
              <w:t>2</w:t>
            </w:r>
            <w:r>
              <w:rPr>
                <w:rFonts w:hint="eastAsia" w:ascii="宋体" w:hAnsi="宋体" w:cs="宋体"/>
                <w:bCs/>
                <w:color w:val="auto"/>
                <w:szCs w:val="21"/>
              </w:rPr>
              <w:t>分。(提供该人员</w:t>
            </w:r>
            <w:r>
              <w:rPr>
                <w:rFonts w:hint="eastAsia" w:ascii="宋体" w:hAnsi="宋体" w:cs="宋体"/>
                <w:bCs/>
                <w:color w:val="auto"/>
                <w:szCs w:val="21"/>
                <w:lang w:eastAsia="zh-CN"/>
              </w:rPr>
              <w:t>证书及</w:t>
            </w:r>
            <w:r>
              <w:rPr>
                <w:rFonts w:hint="eastAsia" w:ascii="宋体" w:hAnsi="宋体" w:cs="宋体"/>
                <w:bCs/>
                <w:color w:val="auto"/>
                <w:szCs w:val="21"/>
              </w:rPr>
              <w:t>在本单位缴纳的最近3个月的社保证明)</w:t>
            </w:r>
            <w:r>
              <w:rPr>
                <w:rFonts w:hint="eastAsia" w:ascii="宋体" w:hAnsi="宋体" w:cs="宋体"/>
                <w:bCs/>
                <w:color w:val="auto"/>
                <w:szCs w:val="21"/>
                <w:lang w:eastAsia="zh-CN"/>
              </w:rPr>
              <w:t>。</w:t>
            </w:r>
          </w:p>
        </w:tc>
        <w:tc>
          <w:tcPr>
            <w:tcW w:w="6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47" w:hRule="atLeast"/>
          <w:jc w:val="center"/>
        </w:trPr>
        <w:tc>
          <w:tcPr>
            <w:tcW w:w="735" w:type="dxa"/>
            <w:tcBorders>
              <w:top w:val="nil"/>
              <w:left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4</w:t>
            </w:r>
          </w:p>
        </w:tc>
        <w:tc>
          <w:tcPr>
            <w:tcW w:w="1070" w:type="dxa"/>
            <w:tcBorders>
              <w:top w:val="nil"/>
              <w:left w:val="nil"/>
              <w:right w:val="single" w:color="auto" w:sz="4" w:space="0"/>
            </w:tcBorders>
            <w:noWrap w:val="0"/>
            <w:vAlign w:val="center"/>
          </w:tcPr>
          <w:p>
            <w:pPr>
              <w:snapToGrid w:val="0"/>
              <w:spacing w:after="120"/>
              <w:jc w:val="center"/>
              <w:rPr>
                <w:rFonts w:hint="eastAsia" w:ascii="宋体" w:hAnsi="宋体" w:cs="宋体"/>
                <w:szCs w:val="21"/>
              </w:rPr>
            </w:pPr>
            <w:r>
              <w:rPr>
                <w:rFonts w:hint="eastAsia" w:ascii="宋体" w:hAnsi="宋体" w:cs="宋体"/>
                <w:szCs w:val="21"/>
                <w:lang w:val="en-US" w:eastAsia="zh-CN"/>
              </w:rPr>
              <w:t>项目负责人（队长）</w:t>
            </w:r>
          </w:p>
        </w:tc>
        <w:tc>
          <w:tcPr>
            <w:tcW w:w="7513" w:type="dxa"/>
            <w:tcBorders>
              <w:top w:val="single" w:color="auto" w:sz="4" w:space="0"/>
              <w:left w:val="nil"/>
              <w:right w:val="single" w:color="auto" w:sz="4" w:space="0"/>
            </w:tcBorders>
            <w:noWrap w:val="0"/>
            <w:vAlign w:val="center"/>
          </w:tcPr>
          <w:p>
            <w:pPr>
              <w:widowControl/>
              <w:jc w:val="left"/>
              <w:rPr>
                <w:rFonts w:hint="eastAsia" w:ascii="宋体" w:hAnsi="宋体" w:cs="宋体"/>
                <w:color w:val="auto"/>
                <w:szCs w:val="21"/>
              </w:rPr>
            </w:pPr>
            <w:r>
              <w:rPr>
                <w:rFonts w:hint="eastAsia" w:ascii="宋体" w:hAnsi="宋体" w:cs="宋体"/>
                <w:color w:val="auto"/>
                <w:szCs w:val="21"/>
                <w:lang w:val="en-US" w:eastAsia="zh-CN"/>
              </w:rPr>
              <w:t>根据投标人拟派的项目负责人(队长)年龄在40周岁以下，退伍军人，具有保安师或保安员二级职业资格证书及类似工作经验丰富程度，进行打分。(提供相关证书、资料、本单位最近3个月的社保缴纳证明)。</w:t>
            </w:r>
          </w:p>
        </w:tc>
        <w:tc>
          <w:tcPr>
            <w:tcW w:w="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rPr>
            </w:pPr>
            <w:r>
              <w:rPr>
                <w:rFonts w:hint="eastAsia" w:ascii="宋体" w:hAnsi="宋体"/>
                <w:color w:val="auto"/>
                <w:szCs w:val="21"/>
                <w:lang w:val="en-US" w:eastAsia="zh-CN"/>
              </w:rPr>
              <w:t>4</w:t>
            </w:r>
            <w:r>
              <w:rPr>
                <w:rFonts w:hint="eastAsia" w:ascii="宋体" w:hAnsi="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25" w:hRule="atLeast"/>
          <w:jc w:val="center"/>
        </w:trPr>
        <w:tc>
          <w:tcPr>
            <w:tcW w:w="735" w:type="dxa"/>
            <w:vMerge w:val="restart"/>
            <w:tcBorders>
              <w:top w:val="nil"/>
              <w:left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5</w:t>
            </w:r>
          </w:p>
        </w:tc>
        <w:tc>
          <w:tcPr>
            <w:tcW w:w="1070" w:type="dxa"/>
            <w:vMerge w:val="restart"/>
            <w:tcBorders>
              <w:top w:val="nil"/>
              <w:left w:val="nil"/>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cs="宋体"/>
                <w:szCs w:val="21"/>
                <w:lang w:val="en-US" w:eastAsia="zh-CN"/>
              </w:rPr>
              <w:t>项目服务人员</w:t>
            </w:r>
          </w:p>
        </w:tc>
        <w:tc>
          <w:tcPr>
            <w:tcW w:w="751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szCs w:val="21"/>
                <w:lang w:val="en-US" w:eastAsia="zh-CN"/>
              </w:rPr>
            </w:pPr>
            <w:r>
              <w:rPr>
                <w:rFonts w:hint="eastAsia" w:ascii="宋体" w:hAnsi="宋体" w:cs="宋体"/>
                <w:color w:val="auto"/>
                <w:szCs w:val="21"/>
                <w:lang w:val="en-US" w:eastAsia="zh-CN"/>
              </w:rPr>
              <w:t>根据投标人针对本项目拟派的专业人员概况，各类人员数量、年龄和专业素质，各岗位人员配置等的满足性、合理性等情况打分（0-4分）。(提供相关证书、本单位最近3个月的社保证明)。</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olor w:val="auto"/>
                <w:kern w:val="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1" w:hRule="atLeast"/>
          <w:jc w:val="center"/>
        </w:trPr>
        <w:tc>
          <w:tcPr>
            <w:tcW w:w="735"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cs="宋体"/>
                <w:szCs w:val="21"/>
              </w:rPr>
            </w:pPr>
          </w:p>
        </w:tc>
        <w:tc>
          <w:tcPr>
            <w:tcW w:w="1070" w:type="dxa"/>
            <w:vMerge w:val="continue"/>
            <w:tcBorders>
              <w:left w:val="nil"/>
              <w:right w:val="single" w:color="auto" w:sz="4" w:space="0"/>
            </w:tcBorders>
            <w:noWrap w:val="0"/>
            <w:vAlign w:val="center"/>
          </w:tcPr>
          <w:p>
            <w:pPr>
              <w:spacing w:line="300" w:lineRule="exact"/>
              <w:jc w:val="center"/>
              <w:rPr>
                <w:rFonts w:hint="eastAsia" w:ascii="宋体" w:hAnsi="宋体" w:cs="宋体"/>
                <w:szCs w:val="21"/>
              </w:rPr>
            </w:pPr>
          </w:p>
        </w:tc>
        <w:tc>
          <w:tcPr>
            <w:tcW w:w="751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szCs w:val="21"/>
                <w:lang w:val="en-US" w:eastAsia="zh-CN"/>
              </w:rPr>
            </w:pPr>
            <w:r>
              <w:rPr>
                <w:rFonts w:hint="eastAsia" w:ascii="宋体" w:hAnsi="宋体" w:cs="宋体"/>
                <w:color w:val="auto"/>
                <w:szCs w:val="21"/>
                <w:lang w:val="en-US" w:eastAsia="zh-CN"/>
              </w:rPr>
              <w:t>根据投标人针对本项目拟派各岗位组长每安排一位退伍军人，并具有高级(三级)保安员资格证书的得1分，最高得3分。(需同时提供退伍证和高级(三级)保安员资格证书扫描件及本单位近3个月社保缴纳证明)。</w:t>
            </w:r>
          </w:p>
        </w:tc>
        <w:tc>
          <w:tcPr>
            <w:tcW w:w="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rPr>
            </w:pPr>
            <w:r>
              <w:rPr>
                <w:rFonts w:hint="eastAsia" w:ascii="宋体" w:hAnsi="宋体"/>
                <w:color w:val="auto"/>
                <w:kern w:val="0"/>
                <w:szCs w:val="21"/>
                <w:lang w:val="en-US" w:eastAsia="zh-CN"/>
              </w:rPr>
              <w:t>3</w:t>
            </w:r>
            <w:r>
              <w:rPr>
                <w:rFonts w:hint="eastAsia" w:ascii="宋体" w:hAnsi="宋体"/>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28" w:hRule="atLeast"/>
          <w:jc w:val="center"/>
        </w:trPr>
        <w:tc>
          <w:tcPr>
            <w:tcW w:w="735" w:type="dxa"/>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szCs w:val="21"/>
                <w:lang w:val="en-US" w:eastAsia="zh-CN"/>
              </w:rPr>
            </w:pPr>
          </w:p>
        </w:tc>
        <w:tc>
          <w:tcPr>
            <w:tcW w:w="1070" w:type="dxa"/>
            <w:vMerge w:val="continue"/>
            <w:tcBorders>
              <w:left w:val="nil"/>
              <w:right w:val="single" w:color="auto" w:sz="4" w:space="0"/>
            </w:tcBorders>
            <w:noWrap w:val="0"/>
            <w:vAlign w:val="center"/>
          </w:tcPr>
          <w:p>
            <w:pPr>
              <w:spacing w:line="300" w:lineRule="exact"/>
              <w:jc w:val="center"/>
              <w:rPr>
                <w:rFonts w:hint="eastAsia" w:ascii="宋体" w:hAnsi="宋体" w:cs="宋体"/>
                <w:kern w:val="2"/>
                <w:sz w:val="21"/>
                <w:szCs w:val="21"/>
                <w:lang w:val="en-US" w:eastAsia="zh-CN" w:bidi="ar-SA"/>
              </w:rPr>
            </w:pPr>
          </w:p>
        </w:tc>
        <w:tc>
          <w:tcPr>
            <w:tcW w:w="751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szCs w:val="21"/>
                <w:lang w:val="en-US" w:eastAsia="zh-CN"/>
              </w:rPr>
            </w:pPr>
            <w:r>
              <w:rPr>
                <w:rFonts w:hint="eastAsia" w:ascii="宋体" w:hAnsi="宋体" w:cs="宋体"/>
                <w:color w:val="auto"/>
                <w:szCs w:val="21"/>
                <w:lang w:val="en-US" w:eastAsia="zh-CN"/>
              </w:rPr>
              <w:t>投标人在***消防或城管的安保人员投入每安排一位退伍军人得0.5分，最高得5分。(需同时提供退伍证和保安证扫描件及本单位最近3个月社保缴纳证明)。</w:t>
            </w:r>
          </w:p>
        </w:tc>
        <w:tc>
          <w:tcPr>
            <w:tcW w:w="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rPr>
            </w:pPr>
            <w:r>
              <w:rPr>
                <w:rFonts w:hint="eastAsia" w:ascii="宋体" w:hAnsi="宋体"/>
                <w:color w:val="auto"/>
                <w:kern w:val="0"/>
                <w:szCs w:val="21"/>
                <w:lang w:val="en-US" w:eastAsia="zh-CN"/>
              </w:rPr>
              <w:t>5</w:t>
            </w:r>
            <w:r>
              <w:rPr>
                <w:rFonts w:hint="eastAsia" w:ascii="宋体" w:hAnsi="宋体"/>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28" w:hRule="atLeast"/>
          <w:jc w:val="center"/>
        </w:trPr>
        <w:tc>
          <w:tcPr>
            <w:tcW w:w="735" w:type="dxa"/>
            <w:vMerge w:val="continue"/>
            <w:tcBorders>
              <w:left w:val="single" w:color="auto" w:sz="4" w:space="0"/>
              <w:bottom w:val="single" w:color="auto" w:sz="4" w:space="0"/>
              <w:right w:val="single" w:color="auto" w:sz="4" w:space="0"/>
            </w:tcBorders>
            <w:noWrap w:val="0"/>
            <w:vAlign w:val="center"/>
          </w:tcPr>
          <w:p>
            <w:pPr>
              <w:jc w:val="center"/>
            </w:pPr>
          </w:p>
        </w:tc>
        <w:tc>
          <w:tcPr>
            <w:tcW w:w="1070" w:type="dxa"/>
            <w:vMerge w:val="continue"/>
            <w:tcBorders>
              <w:left w:val="nil"/>
              <w:bottom w:val="single" w:color="auto" w:sz="4" w:space="0"/>
              <w:right w:val="single" w:color="auto" w:sz="4" w:space="0"/>
            </w:tcBorders>
            <w:noWrap w:val="0"/>
            <w:vAlign w:val="center"/>
          </w:tcPr>
          <w:p>
            <w:pPr>
              <w:jc w:val="center"/>
            </w:pPr>
          </w:p>
        </w:tc>
        <w:tc>
          <w:tcPr>
            <w:tcW w:w="7513"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szCs w:val="21"/>
                <w:lang w:val="en-US" w:eastAsia="zh-CN"/>
              </w:rPr>
            </w:pPr>
            <w:r>
              <w:rPr>
                <w:rFonts w:hint="eastAsia" w:ascii="宋体" w:hAnsi="宋体" w:cs="宋体"/>
                <w:color w:val="auto"/>
                <w:szCs w:val="21"/>
                <w:lang w:val="en-US" w:eastAsia="zh-CN"/>
              </w:rPr>
              <w:t>投标人配备的消防驾驶员具有驾驶员B证及以上，并同时提供保安证的，每提供一个得2分，最高得4分。（需同时提供相关人员驾驶证、保安证扫描件及本单位最近3个月社保缴纳证明）。</w:t>
            </w:r>
          </w:p>
        </w:tc>
        <w:tc>
          <w:tcPr>
            <w:tcW w:w="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rPr>
            </w:pPr>
            <w:r>
              <w:rPr>
                <w:rFonts w:hint="eastAsia" w:ascii="宋体" w:hAnsi="宋体"/>
                <w:color w:val="auto"/>
                <w:kern w:val="0"/>
                <w:szCs w:val="21"/>
                <w:lang w:val="en-US" w:eastAsia="zh-CN"/>
              </w:rPr>
              <w:t>4</w:t>
            </w:r>
            <w:r>
              <w:rPr>
                <w:rFonts w:hint="eastAsia" w:ascii="宋体" w:hAnsi="宋体"/>
                <w:color w:val="auto"/>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204" w:hRule="atLeast"/>
          <w:jc w:val="center"/>
        </w:trPr>
        <w:tc>
          <w:tcPr>
            <w:tcW w:w="735"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1070" w:type="dxa"/>
            <w:tcBorders>
              <w:top w:val="nil"/>
              <w:left w:val="nil"/>
              <w:bottom w:val="single" w:color="auto" w:sz="4" w:space="0"/>
              <w:right w:val="single" w:color="auto" w:sz="4" w:space="0"/>
            </w:tcBorders>
            <w:noWrap w:val="0"/>
            <w:vAlign w:val="center"/>
          </w:tcPr>
          <w:p>
            <w:pPr>
              <w:spacing w:line="300" w:lineRule="exact"/>
              <w:jc w:val="center"/>
              <w:rPr>
                <w:rFonts w:hint="eastAsia" w:ascii="宋体" w:hAnsi="宋体" w:cs="宋体"/>
                <w:szCs w:val="21"/>
              </w:rPr>
            </w:pPr>
            <w:r>
              <w:rPr>
                <w:rFonts w:hint="eastAsia" w:ascii="宋体" w:hAnsi="宋体" w:cs="宋体"/>
                <w:color w:val="auto"/>
                <w:szCs w:val="21"/>
                <w:lang w:val="en-US" w:eastAsia="zh-CN"/>
              </w:rPr>
              <w:t>针对本项目的特点和难点分析及解决措施</w:t>
            </w:r>
          </w:p>
        </w:tc>
        <w:tc>
          <w:tcPr>
            <w:tcW w:w="7513" w:type="dxa"/>
            <w:tcBorders>
              <w:top w:val="single" w:color="auto" w:sz="4" w:space="0"/>
              <w:left w:val="nil"/>
              <w:right w:val="single" w:color="auto" w:sz="4" w:space="0"/>
            </w:tcBorders>
            <w:noWrap w:val="0"/>
            <w:vAlign w:val="center"/>
          </w:tcPr>
          <w:p>
            <w:pPr>
              <w:widowControl/>
              <w:rPr>
                <w:rFonts w:hint="eastAsia" w:ascii="宋体" w:hAnsi="宋体" w:cs="宋体"/>
                <w:szCs w:val="21"/>
              </w:rPr>
            </w:pPr>
            <w:r>
              <w:rPr>
                <w:rFonts w:hint="eastAsia" w:ascii="宋体" w:hAnsi="宋体" w:cs="宋体"/>
                <w:szCs w:val="21"/>
                <w:lang w:eastAsia="zh-CN"/>
              </w:rPr>
              <w:t>根据</w:t>
            </w:r>
            <w:r>
              <w:rPr>
                <w:rFonts w:hint="eastAsia" w:ascii="宋体" w:hAnsi="宋体" w:cs="宋体"/>
                <w:szCs w:val="21"/>
              </w:rPr>
              <w:t>投标人提供的关于对本项目理解、重难点分析及应对措施进行</w:t>
            </w:r>
            <w:r>
              <w:rPr>
                <w:rFonts w:hint="eastAsia" w:ascii="宋体" w:hAnsi="宋体" w:cs="宋体"/>
                <w:szCs w:val="21"/>
                <w:lang w:eastAsia="zh-CN"/>
              </w:rPr>
              <w:t>综合</w:t>
            </w:r>
            <w:r>
              <w:rPr>
                <w:rFonts w:hint="eastAsia" w:ascii="宋体" w:hAnsi="宋体" w:cs="宋体"/>
                <w:szCs w:val="21"/>
              </w:rPr>
              <w:t>打分</w:t>
            </w:r>
            <w:r>
              <w:rPr>
                <w:rFonts w:hint="eastAsia" w:ascii="宋体" w:hAnsi="宋体" w:cs="宋体"/>
                <w:szCs w:val="21"/>
                <w:lang w:eastAsia="zh-CN"/>
              </w:rPr>
              <w:t>（</w:t>
            </w:r>
            <w:r>
              <w:rPr>
                <w:rFonts w:hint="eastAsia" w:ascii="宋体" w:hAnsi="宋体" w:cs="宋体"/>
                <w:szCs w:val="21"/>
                <w:lang w:val="en-US" w:eastAsia="zh-CN"/>
              </w:rPr>
              <w:t>0-4分）</w:t>
            </w:r>
            <w:r>
              <w:rPr>
                <w:rFonts w:hint="eastAsia" w:ascii="宋体" w:hAnsi="宋体" w:cs="宋体"/>
                <w:szCs w:val="21"/>
              </w:rPr>
              <w:t>。</w:t>
            </w:r>
          </w:p>
        </w:tc>
        <w:tc>
          <w:tcPr>
            <w:tcW w:w="635" w:type="dxa"/>
            <w:tcBorders>
              <w:top w:val="single" w:color="auto" w:sz="4" w:space="0"/>
              <w:left w:val="nil"/>
              <w:right w:val="single" w:color="auto" w:sz="4" w:space="0"/>
            </w:tcBorders>
            <w:noWrap w:val="0"/>
            <w:vAlign w:val="center"/>
          </w:tcPr>
          <w:p>
            <w:pPr>
              <w:widowControl/>
              <w:jc w:val="center"/>
              <w:textAlignment w:val="center"/>
              <w:rPr>
                <w:rFonts w:hint="eastAsia" w:ascii="宋体" w:hAnsi="宋体" w:cs="宋体"/>
                <w:szCs w:val="21"/>
              </w:rPr>
            </w:pPr>
            <w:r>
              <w:rPr>
                <w:rFonts w:hint="eastAsia" w:ascii="宋体" w:hAnsi="宋体"/>
                <w:kern w:val="0"/>
                <w:szCs w:val="21"/>
                <w:lang w:val="en-US" w:eastAsia="zh-CN"/>
              </w:rPr>
              <w:t>4</w:t>
            </w:r>
            <w:r>
              <w:rPr>
                <w:rFonts w:hint="eastAsia" w:ascii="宋体" w:hAnsi="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2" w:hRule="atLeast"/>
          <w:jc w:val="center"/>
        </w:trPr>
        <w:tc>
          <w:tcPr>
            <w:tcW w:w="735" w:type="dxa"/>
            <w:vMerge w:val="restart"/>
            <w:tcBorders>
              <w:top w:val="nil"/>
              <w:left w:val="single" w:color="auto" w:sz="4" w:space="0"/>
              <w:right w:val="single" w:color="auto" w:sz="4" w:space="0"/>
            </w:tcBorders>
            <w:noWrap w:val="0"/>
            <w:vAlign w:val="center"/>
          </w:tcPr>
          <w:p>
            <w:pPr>
              <w:spacing w:line="300" w:lineRule="exact"/>
              <w:jc w:val="center"/>
              <w:rPr>
                <w:rFonts w:hint="eastAsia" w:ascii="宋体" w:hAnsi="宋体" w:cs="宋体"/>
                <w:color w:val="auto"/>
                <w:szCs w:val="21"/>
                <w:lang w:val="en-US" w:eastAsia="zh-CN"/>
              </w:rPr>
            </w:pPr>
            <w:r>
              <w:rPr>
                <w:rFonts w:hint="eastAsia" w:ascii="宋体" w:hAnsi="宋体" w:cs="宋体"/>
                <w:color w:val="auto"/>
                <w:szCs w:val="21"/>
                <w:lang w:val="en-US" w:eastAsia="zh-CN"/>
              </w:rPr>
              <w:t>7</w:t>
            </w:r>
          </w:p>
        </w:tc>
        <w:tc>
          <w:tcPr>
            <w:tcW w:w="1070" w:type="dxa"/>
            <w:vMerge w:val="restart"/>
            <w:tcBorders>
              <w:top w:val="nil"/>
              <w:left w:val="nil"/>
              <w:right w:val="single" w:color="auto" w:sz="4" w:space="0"/>
            </w:tcBorders>
            <w:noWrap w:val="0"/>
            <w:vAlign w:val="center"/>
          </w:tcPr>
          <w:p>
            <w:pPr>
              <w:spacing w:line="300" w:lineRule="exact"/>
              <w:jc w:val="center"/>
              <w:rPr>
                <w:rFonts w:hint="eastAsia" w:ascii="宋体" w:hAnsi="宋体" w:cs="宋体"/>
                <w:color w:val="auto"/>
                <w:szCs w:val="21"/>
                <w:lang w:val="en-US" w:eastAsia="zh-CN"/>
              </w:rPr>
            </w:pPr>
            <w:r>
              <w:rPr>
                <w:rFonts w:hint="eastAsia" w:ascii="宋体" w:hAnsi="宋体" w:cs="宋体"/>
                <w:color w:val="auto"/>
                <w:szCs w:val="21"/>
                <w:lang w:val="en-US" w:eastAsia="zh-CN"/>
              </w:rPr>
              <w:t>服务方案</w:t>
            </w:r>
          </w:p>
        </w:tc>
        <w:tc>
          <w:tcPr>
            <w:tcW w:w="7513" w:type="dxa"/>
            <w:tcBorders>
              <w:top w:val="single" w:color="auto" w:sz="4" w:space="0"/>
              <w:left w:val="nil"/>
              <w:right w:val="single" w:color="auto" w:sz="4" w:space="0"/>
            </w:tcBorders>
            <w:noWrap w:val="0"/>
            <w:vAlign w:val="center"/>
          </w:tcPr>
          <w:p>
            <w:pPr>
              <w:spacing w:line="280" w:lineRule="exact"/>
              <w:rPr>
                <w:rFonts w:hint="eastAsia" w:ascii="宋体" w:hAnsi="宋体" w:cs="宋体"/>
                <w:sz w:val="21"/>
                <w:szCs w:val="21"/>
              </w:rPr>
            </w:pPr>
            <w:r>
              <w:rPr>
                <w:rFonts w:hint="eastAsia" w:eastAsia="宋体" w:cs="宋体"/>
                <w:color w:val="auto"/>
                <w:kern w:val="2"/>
                <w:sz w:val="21"/>
                <w:szCs w:val="21"/>
                <w:lang w:val="en-US" w:eastAsia="zh-CN" w:bidi="ar-SA"/>
              </w:rPr>
              <w:t>结合投标人</w:t>
            </w:r>
            <w:r>
              <w:rPr>
                <w:rFonts w:hint="eastAsia" w:ascii="宋体" w:hAnsi="宋体" w:eastAsia="宋体" w:cs="宋体"/>
                <w:color w:val="auto"/>
                <w:kern w:val="2"/>
                <w:sz w:val="21"/>
                <w:szCs w:val="21"/>
                <w:lang w:val="en-US" w:eastAsia="zh-CN" w:bidi="ar-SA"/>
              </w:rPr>
              <w:t>提供的服务方案科学性、合理性、完善性综合评</w:t>
            </w:r>
            <w:r>
              <w:rPr>
                <w:rFonts w:hint="eastAsia" w:eastAsia="宋体" w:cs="宋体"/>
                <w:color w:val="auto"/>
                <w:kern w:val="2"/>
                <w:sz w:val="21"/>
                <w:szCs w:val="21"/>
                <w:lang w:val="en-US" w:eastAsia="zh-CN" w:bidi="ar-SA"/>
              </w:rPr>
              <w:t>分</w:t>
            </w:r>
            <w:r>
              <w:rPr>
                <w:rFonts w:hint="eastAsia" w:ascii="宋体" w:hAnsi="宋体" w:eastAsia="宋体" w:cs="宋体"/>
                <w:color w:val="auto"/>
                <w:kern w:val="2"/>
                <w:sz w:val="21"/>
                <w:szCs w:val="21"/>
                <w:lang w:val="en-US" w:eastAsia="zh-CN" w:bidi="ar-SA"/>
              </w:rPr>
              <w:t>（0-2分）。</w:t>
            </w:r>
          </w:p>
        </w:tc>
        <w:tc>
          <w:tcPr>
            <w:tcW w:w="635" w:type="dxa"/>
            <w:tcBorders>
              <w:top w:val="single" w:color="auto" w:sz="4" w:space="0"/>
              <w:left w:val="nil"/>
              <w:right w:val="single" w:color="auto" w:sz="4" w:space="0"/>
            </w:tcBorders>
            <w:noWrap w:val="0"/>
            <w:vAlign w:val="center"/>
          </w:tcPr>
          <w:p>
            <w:pPr>
              <w:widowControl/>
              <w:jc w:val="center"/>
              <w:textAlignment w:val="center"/>
              <w:rPr>
                <w:rFonts w:hint="default" w:ascii="宋体" w:hAnsi="宋体"/>
                <w:kern w:val="0"/>
                <w:sz w:val="21"/>
                <w:szCs w:val="21"/>
                <w:lang w:val="en-US" w:eastAsia="zh-CN"/>
              </w:rPr>
            </w:pPr>
            <w:r>
              <w:rPr>
                <w:rFonts w:hint="eastAsia" w:ascii="宋体" w:hAnsi="宋体"/>
                <w:kern w:val="0"/>
                <w:sz w:val="21"/>
                <w:szCs w:val="21"/>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2" w:hRule="atLeast"/>
          <w:jc w:val="center"/>
        </w:trPr>
        <w:tc>
          <w:tcPr>
            <w:tcW w:w="735" w:type="dxa"/>
            <w:vMerge w:val="continue"/>
            <w:tcBorders>
              <w:left w:val="single" w:color="auto" w:sz="4" w:space="0"/>
              <w:right w:val="single" w:color="auto" w:sz="4" w:space="0"/>
            </w:tcBorders>
            <w:noWrap w:val="0"/>
            <w:vAlign w:val="center"/>
          </w:tcPr>
          <w:p>
            <w:pPr>
              <w:widowControl/>
              <w:jc w:val="center"/>
              <w:textAlignment w:val="center"/>
            </w:pPr>
          </w:p>
        </w:tc>
        <w:tc>
          <w:tcPr>
            <w:tcW w:w="1070" w:type="dxa"/>
            <w:vMerge w:val="continue"/>
            <w:tcBorders>
              <w:left w:val="nil"/>
              <w:right w:val="single" w:color="auto" w:sz="4" w:space="0"/>
            </w:tcBorders>
            <w:noWrap w:val="0"/>
            <w:vAlign w:val="center"/>
          </w:tcPr>
          <w:p>
            <w:pPr>
              <w:widowControl/>
              <w:jc w:val="center"/>
              <w:textAlignment w:val="center"/>
            </w:pPr>
          </w:p>
        </w:tc>
        <w:tc>
          <w:tcPr>
            <w:tcW w:w="7513" w:type="dxa"/>
            <w:tcBorders>
              <w:top w:val="single" w:color="auto" w:sz="4" w:space="0"/>
              <w:left w:val="nil"/>
              <w:right w:val="single" w:color="auto" w:sz="4" w:space="0"/>
            </w:tcBorders>
            <w:noWrap w:val="0"/>
            <w:vAlign w:val="center"/>
          </w:tcPr>
          <w:p>
            <w:pPr>
              <w:spacing w:line="280" w:lineRule="exact"/>
              <w:rPr>
                <w:rFonts w:hint="eastAsia" w:ascii="宋体" w:hAnsi="宋体" w:cs="宋体"/>
                <w:sz w:val="21"/>
                <w:szCs w:val="21"/>
              </w:rPr>
            </w:pPr>
            <w:r>
              <w:rPr>
                <w:rFonts w:ascii="宋体" w:hAnsi="宋体" w:eastAsia="宋体" w:cs="宋体"/>
                <w:sz w:val="21"/>
                <w:szCs w:val="21"/>
              </w:rPr>
              <w:t>根据投标人提供的稳定员工队伍的措施的科学性、合理性进行</w:t>
            </w:r>
            <w:r>
              <w:rPr>
                <w:rFonts w:hint="eastAsia" w:ascii="宋体" w:hAnsi="宋体" w:eastAsia="宋体" w:cs="宋体"/>
                <w:sz w:val="21"/>
                <w:szCs w:val="21"/>
                <w:lang w:eastAsia="zh-CN"/>
              </w:rPr>
              <w:t>综合</w:t>
            </w:r>
            <w:r>
              <w:rPr>
                <w:rFonts w:ascii="宋体" w:hAnsi="宋体" w:eastAsia="宋体" w:cs="宋体"/>
                <w:sz w:val="21"/>
                <w:szCs w:val="21"/>
              </w:rPr>
              <w:t>打分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0-3分）</w:t>
            </w:r>
            <w:r>
              <w:rPr>
                <w:rFonts w:ascii="宋体" w:hAnsi="宋体" w:eastAsia="宋体" w:cs="宋体"/>
                <w:sz w:val="21"/>
                <w:szCs w:val="21"/>
              </w:rPr>
              <w:t>。</w:t>
            </w:r>
          </w:p>
        </w:tc>
        <w:tc>
          <w:tcPr>
            <w:tcW w:w="635" w:type="dxa"/>
            <w:tcBorders>
              <w:top w:val="single" w:color="auto" w:sz="4" w:space="0"/>
              <w:left w:val="nil"/>
              <w:right w:val="single" w:color="auto" w:sz="4" w:space="0"/>
            </w:tcBorders>
            <w:noWrap w:val="0"/>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2" w:hRule="atLeast"/>
          <w:jc w:val="center"/>
        </w:trPr>
        <w:tc>
          <w:tcPr>
            <w:tcW w:w="73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070" w:type="dxa"/>
            <w:vMerge w:val="continue"/>
            <w:tcBorders>
              <w:left w:val="nil"/>
              <w:right w:val="single" w:color="auto" w:sz="4" w:space="0"/>
            </w:tcBorders>
            <w:noWrap w:val="0"/>
            <w:vAlign w:val="center"/>
          </w:tcPr>
          <w:p>
            <w:pPr>
              <w:widowControl/>
              <w:jc w:val="center"/>
              <w:textAlignment w:val="center"/>
              <w:rPr>
                <w:rFonts w:hint="eastAsia" w:ascii="宋体" w:hAnsi="宋体" w:cs="宋体"/>
                <w:szCs w:val="21"/>
              </w:rPr>
            </w:pPr>
          </w:p>
        </w:tc>
        <w:tc>
          <w:tcPr>
            <w:tcW w:w="7513" w:type="dxa"/>
            <w:tcBorders>
              <w:top w:val="single" w:color="auto" w:sz="4" w:space="0"/>
              <w:left w:val="nil"/>
              <w:right w:val="single" w:color="auto" w:sz="4" w:space="0"/>
            </w:tcBorders>
            <w:noWrap w:val="0"/>
            <w:vAlign w:val="center"/>
          </w:tcPr>
          <w:p>
            <w:pPr>
              <w:pStyle w:val="21"/>
              <w:spacing w:line="280" w:lineRule="exact"/>
              <w:ind w:firstLine="0" w:firstLineChars="0"/>
              <w:rPr>
                <w:rFonts w:hint="eastAsia" w:ascii="宋体" w:hAnsi="宋体" w:cs="宋体"/>
                <w:sz w:val="21"/>
                <w:szCs w:val="21"/>
              </w:rPr>
            </w:pPr>
            <w:r>
              <w:rPr>
                <w:rFonts w:ascii="宋体" w:hAnsi="宋体" w:eastAsia="宋体" w:cs="宋体"/>
                <w:sz w:val="21"/>
                <w:szCs w:val="21"/>
              </w:rPr>
              <w:t>根据投标人的各项制度(包括服务人员的招聘、培训制、员工岗位责任制</w:t>
            </w:r>
            <w:r>
              <w:rPr>
                <w:rFonts w:hint="eastAsia" w:hAnsi="宋体" w:eastAsia="宋体" w:cs="宋体"/>
                <w:sz w:val="21"/>
                <w:szCs w:val="21"/>
                <w:lang w:eastAsia="zh-CN"/>
              </w:rPr>
              <w:t>；</w:t>
            </w:r>
            <w:r>
              <w:rPr>
                <w:rFonts w:ascii="宋体" w:hAnsi="宋体" w:eastAsia="宋体" w:cs="宋体"/>
                <w:sz w:val="21"/>
                <w:szCs w:val="21"/>
              </w:rPr>
              <w:t>劳动纪律</w:t>
            </w:r>
            <w:r>
              <w:rPr>
                <w:rFonts w:hint="eastAsia" w:hAnsi="宋体" w:eastAsia="宋体" w:cs="宋体"/>
                <w:sz w:val="21"/>
                <w:szCs w:val="21"/>
                <w:lang w:eastAsia="zh-CN"/>
              </w:rPr>
              <w:t>；</w:t>
            </w:r>
            <w:r>
              <w:rPr>
                <w:rFonts w:ascii="宋体" w:hAnsi="宋体" w:eastAsia="宋体" w:cs="宋体"/>
                <w:sz w:val="21"/>
                <w:szCs w:val="21"/>
              </w:rPr>
              <w:t>各级各类人员奖惩制度</w:t>
            </w:r>
            <w:r>
              <w:rPr>
                <w:rFonts w:hint="eastAsia" w:hAnsi="宋体" w:eastAsia="宋体" w:cs="宋体"/>
                <w:sz w:val="21"/>
                <w:szCs w:val="21"/>
                <w:lang w:eastAsia="zh-CN"/>
              </w:rPr>
              <w:t>；</w:t>
            </w:r>
            <w:r>
              <w:rPr>
                <w:rFonts w:ascii="宋体" w:hAnsi="宋体" w:eastAsia="宋体" w:cs="宋体"/>
                <w:sz w:val="21"/>
                <w:szCs w:val="21"/>
              </w:rPr>
              <w:t>各项目检查、考核制度</w:t>
            </w:r>
            <w:r>
              <w:rPr>
                <w:rFonts w:hint="eastAsia" w:hAnsi="宋体" w:eastAsia="宋体" w:cs="宋体"/>
                <w:sz w:val="21"/>
                <w:szCs w:val="21"/>
                <w:lang w:eastAsia="zh-CN"/>
              </w:rPr>
              <w:t>；</w:t>
            </w:r>
            <w:r>
              <w:rPr>
                <w:rFonts w:ascii="宋体" w:hAnsi="宋体" w:eastAsia="宋体" w:cs="宋体"/>
                <w:sz w:val="21"/>
                <w:szCs w:val="21"/>
              </w:rPr>
              <w:t>各类人员规范制度等)进行</w:t>
            </w:r>
            <w:r>
              <w:rPr>
                <w:rFonts w:hint="eastAsia" w:hAnsi="宋体" w:eastAsia="宋体" w:cs="宋体"/>
                <w:sz w:val="21"/>
                <w:szCs w:val="21"/>
                <w:lang w:eastAsia="zh-CN"/>
              </w:rPr>
              <w:t>综合</w:t>
            </w:r>
            <w:r>
              <w:rPr>
                <w:rFonts w:ascii="宋体" w:hAnsi="宋体" w:eastAsia="宋体" w:cs="宋体"/>
                <w:sz w:val="21"/>
                <w:szCs w:val="21"/>
              </w:rPr>
              <w:t>打分</w:t>
            </w:r>
            <w:r>
              <w:rPr>
                <w:rFonts w:hint="eastAsia" w:hAnsi="宋体" w:eastAsia="宋体" w:cs="宋体"/>
                <w:sz w:val="21"/>
                <w:szCs w:val="21"/>
                <w:lang w:eastAsia="zh-CN"/>
              </w:rPr>
              <w:t>（</w:t>
            </w:r>
            <w:r>
              <w:rPr>
                <w:rFonts w:hint="eastAsia" w:hAnsi="宋体" w:eastAsia="宋体" w:cs="宋体"/>
                <w:sz w:val="21"/>
                <w:szCs w:val="21"/>
                <w:lang w:val="en-US" w:eastAsia="zh-CN"/>
              </w:rPr>
              <w:t>0-6分）</w:t>
            </w:r>
            <w:r>
              <w:rPr>
                <w:rFonts w:ascii="宋体" w:hAnsi="宋体" w:eastAsia="宋体" w:cs="宋体"/>
                <w:sz w:val="21"/>
                <w:szCs w:val="21"/>
              </w:rPr>
              <w:t>。</w:t>
            </w:r>
          </w:p>
        </w:tc>
        <w:tc>
          <w:tcPr>
            <w:tcW w:w="635" w:type="dxa"/>
            <w:tcBorders>
              <w:top w:val="single" w:color="auto" w:sz="4" w:space="0"/>
              <w:left w:val="nil"/>
              <w:right w:val="single" w:color="auto" w:sz="4" w:space="0"/>
            </w:tcBorders>
            <w:noWrap w:val="0"/>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2" w:hRule="atLeast"/>
          <w:jc w:val="center"/>
        </w:trPr>
        <w:tc>
          <w:tcPr>
            <w:tcW w:w="735"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070" w:type="dxa"/>
            <w:vMerge w:val="continue"/>
            <w:tcBorders>
              <w:left w:val="nil"/>
              <w:right w:val="single" w:color="auto" w:sz="4" w:space="0"/>
            </w:tcBorders>
            <w:noWrap w:val="0"/>
            <w:vAlign w:val="center"/>
          </w:tcPr>
          <w:p>
            <w:pPr>
              <w:widowControl/>
              <w:jc w:val="center"/>
              <w:textAlignment w:val="center"/>
              <w:rPr>
                <w:rFonts w:hint="eastAsia" w:ascii="宋体" w:hAnsi="宋体" w:cs="宋体"/>
                <w:szCs w:val="21"/>
              </w:rPr>
            </w:pPr>
          </w:p>
        </w:tc>
        <w:tc>
          <w:tcPr>
            <w:tcW w:w="7513" w:type="dxa"/>
            <w:tcBorders>
              <w:top w:val="single" w:color="auto" w:sz="4" w:space="0"/>
              <w:left w:val="nil"/>
              <w:right w:val="single" w:color="auto" w:sz="4" w:space="0"/>
            </w:tcBorders>
            <w:noWrap w:val="0"/>
            <w:vAlign w:val="center"/>
          </w:tcPr>
          <w:p>
            <w:pPr>
              <w:pStyle w:val="21"/>
              <w:spacing w:line="280" w:lineRule="exact"/>
              <w:ind w:firstLine="0" w:firstLineChars="0"/>
              <w:rPr>
                <w:rFonts w:hint="eastAsia" w:ascii="宋体" w:hAnsi="宋体" w:cs="宋体"/>
                <w:sz w:val="21"/>
                <w:szCs w:val="21"/>
              </w:rPr>
            </w:pPr>
            <w:r>
              <w:rPr>
                <w:rFonts w:ascii="宋体" w:hAnsi="宋体" w:eastAsia="宋体" w:cs="宋体"/>
                <w:sz w:val="21"/>
                <w:szCs w:val="21"/>
              </w:rPr>
              <w:t>根据投标人提供的服务质量保证措施、安全措施进行</w:t>
            </w:r>
            <w:r>
              <w:rPr>
                <w:rFonts w:hint="eastAsia" w:hAnsi="宋体" w:eastAsia="宋体" w:cs="宋体"/>
                <w:sz w:val="21"/>
                <w:szCs w:val="21"/>
                <w:lang w:eastAsia="zh-CN"/>
              </w:rPr>
              <w:t>综合</w:t>
            </w:r>
            <w:r>
              <w:rPr>
                <w:rFonts w:ascii="宋体" w:hAnsi="宋体" w:eastAsia="宋体" w:cs="宋体"/>
                <w:sz w:val="21"/>
                <w:szCs w:val="21"/>
              </w:rPr>
              <w:t>打分</w:t>
            </w:r>
            <w:r>
              <w:rPr>
                <w:rFonts w:hint="eastAsia" w:hAnsi="宋体" w:eastAsia="宋体" w:cs="宋体"/>
                <w:sz w:val="21"/>
                <w:szCs w:val="21"/>
                <w:lang w:eastAsia="zh-CN"/>
              </w:rPr>
              <w:t>（</w:t>
            </w:r>
            <w:r>
              <w:rPr>
                <w:rFonts w:hint="eastAsia" w:hAnsi="宋体" w:eastAsia="宋体" w:cs="宋体"/>
                <w:sz w:val="21"/>
                <w:szCs w:val="21"/>
                <w:lang w:val="en-US" w:eastAsia="zh-CN"/>
              </w:rPr>
              <w:t>0-4分)</w:t>
            </w:r>
            <w:r>
              <w:rPr>
                <w:rFonts w:ascii="宋体" w:hAnsi="宋体" w:eastAsia="宋体" w:cs="宋体"/>
                <w:sz w:val="21"/>
                <w:szCs w:val="21"/>
              </w:rPr>
              <w:t>。</w:t>
            </w:r>
          </w:p>
        </w:tc>
        <w:tc>
          <w:tcPr>
            <w:tcW w:w="635" w:type="dxa"/>
            <w:tcBorders>
              <w:top w:val="single" w:color="auto" w:sz="4" w:space="0"/>
              <w:left w:val="nil"/>
              <w:right w:val="single" w:color="auto" w:sz="4" w:space="0"/>
            </w:tcBorders>
            <w:noWrap w:val="0"/>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2" w:hRule="atLeast"/>
          <w:jc w:val="center"/>
        </w:trPr>
        <w:tc>
          <w:tcPr>
            <w:tcW w:w="735"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1070" w:type="dxa"/>
            <w:vMerge w:val="continue"/>
            <w:tcBorders>
              <w:left w:val="nil"/>
              <w:bottom w:val="single" w:color="auto" w:sz="4" w:space="0"/>
              <w:right w:val="single" w:color="auto" w:sz="4" w:space="0"/>
            </w:tcBorders>
            <w:noWrap w:val="0"/>
            <w:vAlign w:val="center"/>
          </w:tcPr>
          <w:p>
            <w:pPr>
              <w:widowControl/>
              <w:jc w:val="center"/>
              <w:textAlignment w:val="center"/>
              <w:rPr>
                <w:rFonts w:hint="eastAsia" w:ascii="宋体" w:hAnsi="宋体" w:cs="宋体"/>
                <w:szCs w:val="21"/>
              </w:rPr>
            </w:pPr>
          </w:p>
        </w:tc>
        <w:tc>
          <w:tcPr>
            <w:tcW w:w="7513" w:type="dxa"/>
            <w:tcBorders>
              <w:top w:val="single" w:color="auto" w:sz="4" w:space="0"/>
              <w:left w:val="nil"/>
              <w:right w:val="single" w:color="auto" w:sz="4" w:space="0"/>
            </w:tcBorders>
            <w:noWrap w:val="0"/>
            <w:vAlign w:val="center"/>
          </w:tcPr>
          <w:p>
            <w:pPr>
              <w:spacing w:line="280" w:lineRule="exact"/>
              <w:rPr>
                <w:rFonts w:hint="eastAsia" w:ascii="宋体" w:hAnsi="宋体" w:cs="宋体"/>
                <w:sz w:val="21"/>
                <w:szCs w:val="21"/>
              </w:rPr>
            </w:pPr>
            <w:r>
              <w:rPr>
                <w:rFonts w:ascii="宋体" w:hAnsi="宋体" w:eastAsia="宋体" w:cs="宋体"/>
                <w:sz w:val="21"/>
                <w:szCs w:val="21"/>
              </w:rPr>
              <w:t>根据投标人提供的人员调配情况及响应时间等方面进行</w:t>
            </w:r>
            <w:r>
              <w:rPr>
                <w:rFonts w:hint="eastAsia" w:ascii="宋体" w:hAnsi="宋体" w:eastAsia="宋体" w:cs="宋体"/>
                <w:sz w:val="21"/>
                <w:szCs w:val="21"/>
                <w:lang w:eastAsia="zh-CN"/>
              </w:rPr>
              <w:t>综合</w:t>
            </w:r>
            <w:r>
              <w:rPr>
                <w:rFonts w:ascii="宋体" w:hAnsi="宋体" w:eastAsia="宋体" w:cs="宋体"/>
                <w:sz w:val="21"/>
                <w:szCs w:val="21"/>
              </w:rPr>
              <w:t>打分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0-3分）</w:t>
            </w:r>
            <w:r>
              <w:rPr>
                <w:rFonts w:ascii="宋体" w:hAnsi="宋体" w:eastAsia="宋体" w:cs="宋体"/>
                <w:sz w:val="21"/>
                <w:szCs w:val="21"/>
              </w:rPr>
              <w:t>。</w:t>
            </w:r>
          </w:p>
        </w:tc>
        <w:tc>
          <w:tcPr>
            <w:tcW w:w="635" w:type="dxa"/>
            <w:tcBorders>
              <w:top w:val="single" w:color="auto" w:sz="4" w:space="0"/>
              <w:left w:val="nil"/>
              <w:right w:val="single" w:color="auto" w:sz="4" w:space="0"/>
            </w:tcBorders>
            <w:noWrap w:val="0"/>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1" w:hRule="atLeast"/>
          <w:jc w:val="center"/>
        </w:trPr>
        <w:tc>
          <w:tcPr>
            <w:tcW w:w="735" w:type="dxa"/>
            <w:vMerge w:val="restart"/>
            <w:tcBorders>
              <w:top w:val="nil"/>
              <w:left w:val="single" w:color="auto" w:sz="4" w:space="0"/>
              <w:right w:val="single" w:color="auto" w:sz="4" w:space="0"/>
            </w:tcBorders>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8</w:t>
            </w:r>
          </w:p>
        </w:tc>
        <w:tc>
          <w:tcPr>
            <w:tcW w:w="1070" w:type="dxa"/>
            <w:vMerge w:val="restart"/>
            <w:tcBorders>
              <w:top w:val="nil"/>
              <w:left w:val="nil"/>
              <w:right w:val="single" w:color="auto" w:sz="4" w:space="0"/>
            </w:tcBorders>
            <w:noWrap w:val="0"/>
            <w:vAlign w:val="center"/>
          </w:tcPr>
          <w:p>
            <w:pPr>
              <w:widowControl/>
              <w:jc w:val="center"/>
              <w:textAlignment w:val="center"/>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设备配置</w:t>
            </w:r>
          </w:p>
        </w:tc>
        <w:tc>
          <w:tcPr>
            <w:tcW w:w="7513"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kern w:val="2"/>
                <w:sz w:val="21"/>
                <w:szCs w:val="21"/>
                <w:lang w:val="en-US" w:eastAsia="zh-CN" w:bidi="ar-SA"/>
              </w:rPr>
            </w:pPr>
            <w:r>
              <w:rPr>
                <w:rFonts w:ascii="宋体" w:hAnsi="宋体" w:eastAsia="宋体" w:cs="宋体"/>
                <w:sz w:val="21"/>
                <w:szCs w:val="21"/>
              </w:rPr>
              <w:t>根据</w:t>
            </w:r>
            <w:r>
              <w:rPr>
                <w:rFonts w:hint="eastAsia" w:ascii="宋体" w:hAnsi="宋体" w:eastAsia="宋体" w:cs="宋体"/>
                <w:sz w:val="21"/>
                <w:szCs w:val="21"/>
                <w:lang w:eastAsia="zh-CN"/>
              </w:rPr>
              <w:t>投标人</w:t>
            </w:r>
            <w:r>
              <w:rPr>
                <w:rFonts w:ascii="宋体" w:hAnsi="宋体" w:eastAsia="宋体" w:cs="宋体"/>
                <w:sz w:val="21"/>
                <w:szCs w:val="21"/>
              </w:rPr>
              <w:t>拟投入设备的先进性、新旧程度等</w:t>
            </w:r>
            <w:r>
              <w:rPr>
                <w:rFonts w:hint="eastAsia" w:ascii="宋体" w:hAnsi="宋体" w:eastAsia="宋体" w:cs="宋体"/>
                <w:sz w:val="21"/>
                <w:szCs w:val="21"/>
                <w:lang w:eastAsia="zh-CN"/>
              </w:rPr>
              <w:t>情况进行综合</w:t>
            </w:r>
            <w:r>
              <w:rPr>
                <w:rFonts w:ascii="宋体" w:hAnsi="宋体" w:eastAsia="宋体" w:cs="宋体"/>
                <w:sz w:val="21"/>
                <w:szCs w:val="21"/>
              </w:rPr>
              <w:t>打分(提供设备照片</w:t>
            </w:r>
            <w:r>
              <w:rPr>
                <w:rFonts w:hint="eastAsia" w:ascii="宋体" w:hAnsi="宋体" w:eastAsia="宋体" w:cs="宋体"/>
                <w:sz w:val="21"/>
                <w:szCs w:val="21"/>
                <w:lang w:eastAsia="zh-CN"/>
              </w:rPr>
              <w:t>等</w:t>
            </w:r>
            <w:r>
              <w:rPr>
                <w:rFonts w:ascii="宋体" w:hAnsi="宋体" w:eastAsia="宋体" w:cs="宋体"/>
                <w:sz w:val="21"/>
                <w:szCs w:val="21"/>
              </w:rPr>
              <w:t>证明材料)</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0-3分）</w:t>
            </w:r>
            <w:r>
              <w:rPr>
                <w:rFonts w:ascii="宋体" w:hAnsi="宋体" w:eastAsia="宋体" w:cs="宋体"/>
                <w:sz w:val="21"/>
                <w:szCs w:val="21"/>
              </w:rPr>
              <w:t>。</w:t>
            </w:r>
          </w:p>
        </w:tc>
        <w:tc>
          <w:tcPr>
            <w:tcW w:w="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cs="宋体"/>
                <w:szCs w:val="21"/>
              </w:rPr>
            </w:pPr>
            <w:r>
              <w:rPr>
                <w:rFonts w:hint="eastAsia" w:ascii="宋体" w:hAnsi="宋体"/>
                <w:kern w:val="0"/>
                <w:szCs w:val="21"/>
                <w:lang w:val="en-US" w:eastAsia="zh-CN"/>
              </w:rPr>
              <w:t>3</w:t>
            </w:r>
            <w:r>
              <w:rPr>
                <w:rFonts w:hint="eastAsia" w:ascii="宋体" w:hAnsi="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1" w:hRule="atLeast"/>
          <w:jc w:val="center"/>
        </w:trPr>
        <w:tc>
          <w:tcPr>
            <w:tcW w:w="735"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zCs w:val="21"/>
                <w:lang w:val="en-US" w:eastAsia="zh-CN"/>
              </w:rPr>
            </w:pPr>
          </w:p>
        </w:tc>
        <w:tc>
          <w:tcPr>
            <w:tcW w:w="1070" w:type="dxa"/>
            <w:vMerge w:val="continue"/>
            <w:tcBorders>
              <w:left w:val="nil"/>
              <w:bottom w:val="single" w:color="auto" w:sz="4" w:space="0"/>
              <w:right w:val="single" w:color="auto" w:sz="4" w:space="0"/>
            </w:tcBorders>
            <w:noWrap w:val="0"/>
            <w:vAlign w:val="center"/>
          </w:tcPr>
          <w:p>
            <w:pPr>
              <w:spacing w:line="300" w:lineRule="exact"/>
              <w:jc w:val="center"/>
              <w:rPr>
                <w:rFonts w:hint="eastAsia" w:ascii="宋体" w:hAnsi="宋体"/>
                <w:kern w:val="2"/>
                <w:sz w:val="21"/>
                <w:szCs w:val="21"/>
                <w:lang w:val="en-US" w:eastAsia="zh-CN" w:bidi="ar-SA"/>
              </w:rPr>
            </w:pPr>
          </w:p>
        </w:tc>
        <w:tc>
          <w:tcPr>
            <w:tcW w:w="7513"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宋体" w:hAnsi="宋体" w:cs="宋体"/>
                <w:color w:val="000000"/>
                <w:kern w:val="2"/>
                <w:sz w:val="21"/>
                <w:szCs w:val="21"/>
                <w:lang w:val="en-US" w:eastAsia="zh-CN" w:bidi="ar-SA"/>
              </w:rPr>
            </w:pPr>
            <w:r>
              <w:rPr>
                <w:rFonts w:hint="eastAsia" w:ascii="宋体" w:hAnsi="宋体" w:eastAsia="宋体" w:cs="宋体"/>
                <w:color w:val="auto"/>
                <w:sz w:val="21"/>
                <w:szCs w:val="21"/>
                <w:highlight w:val="none"/>
              </w:rPr>
              <w:t>提供巡逻皮卡</w:t>
            </w:r>
            <w:r>
              <w:rPr>
                <w:rFonts w:hint="eastAsia" w:ascii="宋体" w:hAnsi="宋体" w:eastAsia="宋体" w:cs="宋体"/>
                <w:color w:val="auto"/>
                <w:sz w:val="21"/>
                <w:szCs w:val="21"/>
                <w:highlight w:val="none"/>
                <w:lang w:eastAsia="zh-CN"/>
              </w:rPr>
              <w:t>车</w:t>
            </w:r>
            <w:r>
              <w:rPr>
                <w:rFonts w:hint="eastAsia" w:ascii="宋体" w:hAnsi="宋体" w:eastAsia="宋体" w:cs="宋体"/>
                <w:color w:val="auto"/>
                <w:sz w:val="21"/>
                <w:szCs w:val="21"/>
                <w:highlight w:val="none"/>
              </w:rPr>
              <w:t>一辆</w:t>
            </w:r>
            <w:r>
              <w:rPr>
                <w:rFonts w:hint="eastAsia" w:ascii="宋体" w:hAnsi="宋体" w:eastAsia="宋体" w:cs="宋体"/>
                <w:color w:val="auto"/>
                <w:sz w:val="21"/>
                <w:szCs w:val="21"/>
                <w:highlight w:val="none"/>
                <w:lang w:eastAsia="zh-CN"/>
              </w:rPr>
              <w:t>的基础上，每多备一辆得</w:t>
            </w:r>
            <w:r>
              <w:rPr>
                <w:rFonts w:hint="eastAsia" w:ascii="宋体" w:hAnsi="宋体" w:eastAsia="宋体" w:cs="宋体"/>
                <w:color w:val="auto"/>
                <w:sz w:val="21"/>
                <w:szCs w:val="21"/>
                <w:highlight w:val="none"/>
                <w:lang w:val="en-US" w:eastAsia="zh-CN"/>
              </w:rPr>
              <w:t>1.5分，</w:t>
            </w:r>
            <w:r>
              <w:rPr>
                <w:rFonts w:hint="eastAsia" w:ascii="宋体" w:hAnsi="宋体" w:eastAsia="宋体" w:cs="宋体"/>
                <w:color w:val="auto"/>
                <w:sz w:val="21"/>
                <w:szCs w:val="21"/>
                <w:highlight w:val="none"/>
              </w:rPr>
              <w:t>最多得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须提供车辆照片、车辆行驶证</w:t>
            </w:r>
            <w:r>
              <w:rPr>
                <w:rFonts w:hint="eastAsia" w:ascii="宋体" w:hAnsi="宋体" w:eastAsia="宋体" w:cs="宋体"/>
                <w:color w:val="auto"/>
                <w:kern w:val="0"/>
                <w:sz w:val="21"/>
                <w:szCs w:val="21"/>
                <w:highlight w:val="none"/>
              </w:rPr>
              <w:t>扫描件</w:t>
            </w:r>
            <w:r>
              <w:rPr>
                <w:rFonts w:hint="eastAsia" w:ascii="宋体" w:hAnsi="宋体" w:eastAsia="宋体" w:cs="宋体"/>
                <w:color w:val="auto"/>
                <w:sz w:val="21"/>
                <w:szCs w:val="21"/>
                <w:highlight w:val="none"/>
                <w:lang w:eastAsia="zh-CN"/>
              </w:rPr>
              <w:t>）。</w:t>
            </w:r>
          </w:p>
        </w:tc>
        <w:tc>
          <w:tcPr>
            <w:tcW w:w="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kern w:val="2"/>
                <w:sz w:val="21"/>
                <w:szCs w:val="21"/>
                <w:lang w:val="en-US" w:eastAsia="zh-CN" w:bidi="ar-SA"/>
              </w:rPr>
            </w:pPr>
            <w:r>
              <w:rPr>
                <w:rFonts w:hint="eastAsia" w:ascii="宋体" w:hAnsi="宋体"/>
                <w:szCs w:val="21"/>
                <w:lang w:val="en-US" w:eastAsia="zh-CN"/>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jc w:val="center"/>
        </w:trPr>
        <w:tc>
          <w:tcPr>
            <w:tcW w:w="735" w:type="dxa"/>
            <w:vMerge w:val="restart"/>
            <w:tcBorders>
              <w:top w:val="nil"/>
              <w:left w:val="single" w:color="auto" w:sz="4" w:space="0"/>
              <w:right w:val="single" w:color="auto" w:sz="4" w:space="0"/>
            </w:tcBorders>
            <w:noWrap w:val="0"/>
            <w:vAlign w:val="center"/>
          </w:tcPr>
          <w:p>
            <w:pPr>
              <w:spacing w:line="360" w:lineRule="auto"/>
              <w:jc w:val="center"/>
              <w:rPr>
                <w:rFonts w:hint="default" w:ascii="宋体" w:hAnsi="宋体" w:cs="宋体"/>
                <w:szCs w:val="21"/>
                <w:lang w:val="en-US" w:eastAsia="zh-CN"/>
              </w:rPr>
            </w:pPr>
            <w:r>
              <w:rPr>
                <w:rFonts w:hint="eastAsia" w:ascii="宋体" w:hAnsi="宋体" w:cs="宋体"/>
                <w:szCs w:val="21"/>
                <w:lang w:val="en-US" w:eastAsia="zh-CN"/>
              </w:rPr>
              <w:t>9</w:t>
            </w:r>
          </w:p>
        </w:tc>
        <w:tc>
          <w:tcPr>
            <w:tcW w:w="1070" w:type="dxa"/>
            <w:vMerge w:val="restart"/>
            <w:tcBorders>
              <w:top w:val="nil"/>
              <w:left w:val="nil"/>
              <w:right w:val="single" w:color="auto" w:sz="4" w:space="0"/>
            </w:tcBorders>
            <w:noWrap w:val="0"/>
            <w:vAlign w:val="center"/>
          </w:tcPr>
          <w:p>
            <w:pPr>
              <w:spacing w:line="300" w:lineRule="exact"/>
              <w:jc w:val="center"/>
              <w:rPr>
                <w:rFonts w:hint="eastAsia" w:ascii="宋体" w:hAnsi="宋体"/>
                <w:kern w:val="2"/>
                <w:sz w:val="21"/>
                <w:szCs w:val="21"/>
                <w:lang w:val="en-US" w:eastAsia="zh-CN" w:bidi="ar-SA"/>
              </w:rPr>
            </w:pPr>
            <w:r>
              <w:rPr>
                <w:rFonts w:hint="eastAsia" w:ascii="宋体" w:hAnsi="宋体"/>
                <w:kern w:val="2"/>
                <w:sz w:val="21"/>
                <w:szCs w:val="21"/>
                <w:lang w:val="en-US" w:eastAsia="zh-CN" w:bidi="ar-SA"/>
              </w:rPr>
              <w:t>应急预案</w:t>
            </w:r>
          </w:p>
        </w:tc>
        <w:tc>
          <w:tcPr>
            <w:tcW w:w="7513" w:type="dxa"/>
            <w:tcBorders>
              <w:top w:val="single" w:color="auto" w:sz="4" w:space="0"/>
              <w:left w:val="nil"/>
              <w:bottom w:val="single" w:color="auto" w:sz="4" w:space="0"/>
              <w:right w:val="single" w:color="auto" w:sz="4" w:space="0"/>
            </w:tcBorders>
            <w:noWrap w:val="0"/>
            <w:vAlign w:val="center"/>
          </w:tcPr>
          <w:p>
            <w:pPr>
              <w:spacing w:line="280" w:lineRule="exact"/>
              <w:rPr>
                <w:rFonts w:hint="eastAsia"/>
                <w:kern w:val="2"/>
                <w:sz w:val="21"/>
                <w:szCs w:val="21"/>
                <w:lang w:val="en-US" w:eastAsia="zh-CN" w:bidi="ar-SA"/>
              </w:rPr>
            </w:pPr>
            <w:r>
              <w:rPr>
                <w:sz w:val="21"/>
                <w:szCs w:val="21"/>
              </w:rPr>
              <w:t>根据投标人提供的应急预案</w:t>
            </w:r>
            <w:r>
              <w:rPr>
                <w:rFonts w:hint="eastAsia"/>
                <w:sz w:val="21"/>
                <w:szCs w:val="21"/>
                <w:lang w:val="en-US" w:eastAsia="zh-CN"/>
              </w:rPr>
              <w:t>及其可操作性等</w:t>
            </w:r>
            <w:r>
              <w:rPr>
                <w:sz w:val="21"/>
                <w:szCs w:val="21"/>
              </w:rPr>
              <w:t>进行</w:t>
            </w:r>
            <w:r>
              <w:rPr>
                <w:rFonts w:hint="eastAsia"/>
                <w:sz w:val="21"/>
                <w:szCs w:val="21"/>
                <w:lang w:eastAsia="zh-CN"/>
              </w:rPr>
              <w:t>综合</w:t>
            </w:r>
            <w:r>
              <w:rPr>
                <w:sz w:val="21"/>
                <w:szCs w:val="21"/>
              </w:rPr>
              <w:t>打</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0-3分）</w:t>
            </w:r>
            <w:r>
              <w:rPr>
                <w:rFonts w:hint="eastAsia" w:ascii="宋体" w:hAnsi="宋体" w:eastAsia="宋体" w:cs="宋体"/>
                <w:sz w:val="21"/>
                <w:szCs w:val="21"/>
              </w:rPr>
              <w:t>。</w:t>
            </w:r>
          </w:p>
        </w:tc>
        <w:tc>
          <w:tcPr>
            <w:tcW w:w="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eastAsia="宋体"/>
                <w:sz w:val="21"/>
                <w:szCs w:val="21"/>
                <w:lang w:val="en-US" w:eastAsia="zh-CN"/>
              </w:rPr>
            </w:pPr>
            <w:r>
              <w:rPr>
                <w:rFonts w:hint="eastAsia" w:ascii="宋体" w:hAnsi="宋体"/>
                <w:sz w:val="21"/>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jc w:val="center"/>
        </w:trPr>
        <w:tc>
          <w:tcPr>
            <w:tcW w:w="735" w:type="dxa"/>
            <w:vMerge w:val="continue"/>
            <w:tcBorders>
              <w:left w:val="single" w:color="auto" w:sz="4" w:space="0"/>
              <w:bottom w:val="single" w:color="auto" w:sz="4" w:space="0"/>
              <w:right w:val="single" w:color="auto" w:sz="4" w:space="0"/>
            </w:tcBorders>
            <w:noWrap w:val="0"/>
            <w:vAlign w:val="center"/>
          </w:tcPr>
          <w:p>
            <w:pPr>
              <w:spacing w:line="300" w:lineRule="exact"/>
              <w:jc w:val="center"/>
            </w:pPr>
          </w:p>
        </w:tc>
        <w:tc>
          <w:tcPr>
            <w:tcW w:w="1070" w:type="dxa"/>
            <w:vMerge w:val="continue"/>
            <w:tcBorders>
              <w:left w:val="nil"/>
              <w:bottom w:val="single" w:color="auto" w:sz="4" w:space="0"/>
              <w:right w:val="single" w:color="auto" w:sz="4" w:space="0"/>
            </w:tcBorders>
            <w:noWrap w:val="0"/>
            <w:vAlign w:val="center"/>
          </w:tcPr>
          <w:p>
            <w:pPr>
              <w:spacing w:line="300" w:lineRule="exact"/>
              <w:jc w:val="center"/>
            </w:pPr>
          </w:p>
        </w:tc>
        <w:tc>
          <w:tcPr>
            <w:tcW w:w="7513" w:type="dxa"/>
            <w:tcBorders>
              <w:top w:val="single" w:color="auto" w:sz="4" w:space="0"/>
              <w:left w:val="nil"/>
              <w:bottom w:val="single" w:color="auto" w:sz="4" w:space="0"/>
              <w:right w:val="single" w:color="auto" w:sz="4" w:space="0"/>
            </w:tcBorders>
            <w:noWrap w:val="0"/>
            <w:vAlign w:val="center"/>
          </w:tcPr>
          <w:p>
            <w:pPr>
              <w:spacing w:line="280" w:lineRule="exact"/>
              <w:rPr>
                <w:rFonts w:hint="eastAsia"/>
                <w:kern w:val="2"/>
                <w:sz w:val="21"/>
                <w:szCs w:val="21"/>
                <w:lang w:val="en-US" w:eastAsia="zh-CN" w:bidi="ar-SA"/>
              </w:rPr>
            </w:pPr>
            <w:r>
              <w:rPr>
                <w:rFonts w:hint="eastAsia" w:ascii="宋体" w:hAnsi="宋体" w:cs="宋体"/>
                <w:sz w:val="21"/>
                <w:szCs w:val="21"/>
                <w:lang w:eastAsia="zh-CN"/>
              </w:rPr>
              <w:t>投标人</w:t>
            </w:r>
            <w:r>
              <w:rPr>
                <w:rFonts w:hint="eastAsia" w:ascii="宋体" w:hAnsi="宋体" w:cs="宋体"/>
                <w:sz w:val="21"/>
                <w:szCs w:val="21"/>
              </w:rPr>
              <w:t>近三年来参加经由政府部门审批或备案的大型群众性活动治安保障任务，且参与的保安人员≥50人的，一次得1分，最高得</w:t>
            </w:r>
            <w:r>
              <w:rPr>
                <w:rFonts w:hint="eastAsia" w:ascii="宋体" w:hAnsi="宋体" w:cs="宋体"/>
                <w:sz w:val="21"/>
                <w:szCs w:val="21"/>
                <w:lang w:val="en-US" w:eastAsia="zh-CN"/>
              </w:rPr>
              <w:t>2</w:t>
            </w:r>
            <w:r>
              <w:rPr>
                <w:rFonts w:hint="eastAsia" w:ascii="宋体" w:hAnsi="宋体" w:cs="宋体"/>
                <w:sz w:val="21"/>
                <w:szCs w:val="21"/>
              </w:rPr>
              <w:t>分。须提供相关合同；图片（如有）、用户联系方式。</w:t>
            </w:r>
          </w:p>
        </w:tc>
        <w:tc>
          <w:tcPr>
            <w:tcW w:w="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宋体" w:hAnsi="宋体"/>
                <w:kern w:val="0"/>
                <w:sz w:val="21"/>
                <w:szCs w:val="21"/>
                <w:lang w:val="en-US" w:eastAsia="zh-CN" w:bidi="ar-SA"/>
              </w:rPr>
            </w:pPr>
            <w:r>
              <w:rPr>
                <w:rFonts w:hint="eastAsia" w:ascii="宋体" w:hAnsi="宋体"/>
                <w:kern w:val="0"/>
                <w:sz w:val="21"/>
                <w:szCs w:val="21"/>
                <w:lang w:val="en-US" w:eastAsia="zh-CN" w:bidi="ar-SA"/>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1" w:hRule="atLeast"/>
          <w:jc w:val="center"/>
        </w:trPr>
        <w:tc>
          <w:tcPr>
            <w:tcW w:w="735" w:type="dxa"/>
            <w:tcBorders>
              <w:top w:val="nil"/>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cs="宋体"/>
                <w:szCs w:val="21"/>
                <w:lang w:val="en-US" w:eastAsia="zh-CN"/>
              </w:rPr>
            </w:pPr>
            <w:r>
              <w:rPr>
                <w:rFonts w:hint="eastAsia" w:ascii="宋体" w:hAnsi="宋体" w:cs="宋体"/>
                <w:szCs w:val="21"/>
                <w:lang w:val="en-US" w:eastAsia="zh-CN"/>
              </w:rPr>
              <w:t>10</w:t>
            </w:r>
          </w:p>
        </w:tc>
        <w:tc>
          <w:tcPr>
            <w:tcW w:w="1070" w:type="dxa"/>
            <w:tcBorders>
              <w:top w:val="nil"/>
              <w:left w:val="nil"/>
              <w:bottom w:val="single" w:color="auto" w:sz="4" w:space="0"/>
              <w:right w:val="single" w:color="auto" w:sz="4" w:space="0"/>
            </w:tcBorders>
            <w:noWrap w:val="0"/>
            <w:vAlign w:val="center"/>
          </w:tcPr>
          <w:p>
            <w:pPr>
              <w:spacing w:line="300" w:lineRule="exact"/>
              <w:jc w:val="center"/>
              <w:rPr>
                <w:rFonts w:hint="eastAsia" w:ascii="宋体" w:hAnsi="宋体"/>
                <w:kern w:val="2"/>
                <w:sz w:val="21"/>
                <w:szCs w:val="21"/>
                <w:lang w:val="en-US" w:eastAsia="zh-CN" w:bidi="ar-SA"/>
              </w:rPr>
            </w:pPr>
            <w:r>
              <w:rPr>
                <w:rFonts w:hint="eastAsia" w:ascii="宋体" w:hAnsi="宋体"/>
                <w:kern w:val="2"/>
                <w:sz w:val="21"/>
                <w:szCs w:val="21"/>
                <w:lang w:val="en-US" w:eastAsia="zh-CN" w:bidi="ar-SA"/>
              </w:rPr>
              <w:t>优惠措施及合理化建议</w:t>
            </w:r>
          </w:p>
        </w:tc>
        <w:tc>
          <w:tcPr>
            <w:tcW w:w="7513"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kern w:val="0"/>
                <w:sz w:val="21"/>
                <w:szCs w:val="21"/>
                <w:lang w:val="en-US" w:eastAsia="zh-CN" w:bidi="ar-SA"/>
              </w:rPr>
            </w:pPr>
            <w:r>
              <w:rPr>
                <w:rFonts w:hint="eastAsia" w:ascii="宋体" w:hAnsi="宋体"/>
                <w:kern w:val="0"/>
                <w:sz w:val="21"/>
                <w:szCs w:val="21"/>
                <w:lang w:val="en-US" w:eastAsia="zh-CN" w:bidi="ar-SA"/>
              </w:rPr>
              <w:t>根据投标人针对本项目提供实质性优惠措施及合理化建议进行综合打分（0-3分）。</w:t>
            </w:r>
          </w:p>
        </w:tc>
        <w:tc>
          <w:tcPr>
            <w:tcW w:w="635"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宋体" w:hAnsi="宋体" w:eastAsia="宋体"/>
                <w:szCs w:val="21"/>
                <w:lang w:val="en-US" w:eastAsia="zh-CN"/>
              </w:rPr>
            </w:pPr>
            <w:r>
              <w:rPr>
                <w:rFonts w:hint="eastAsia" w:ascii="宋体" w:hAnsi="宋体"/>
                <w:szCs w:val="21"/>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jc w:val="center"/>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1070" w:type="dxa"/>
            <w:tcBorders>
              <w:top w:val="single" w:color="auto" w:sz="4" w:space="0"/>
              <w:left w:val="nil"/>
              <w:bottom w:val="single" w:color="auto" w:sz="4" w:space="0"/>
              <w:right w:val="single" w:color="auto" w:sz="4" w:space="0"/>
            </w:tcBorders>
            <w:noWrap w:val="0"/>
            <w:vAlign w:val="center"/>
          </w:tcPr>
          <w:p>
            <w:pPr>
              <w:pStyle w:val="230"/>
              <w:jc w:val="center"/>
              <w:rPr>
                <w:rFonts w:hint="eastAsia" w:hAnsi="宋体" w:cs="宋体"/>
                <w:color w:val="auto"/>
                <w:sz w:val="21"/>
                <w:szCs w:val="21"/>
              </w:rPr>
            </w:pPr>
            <w:r>
              <w:rPr>
                <w:rFonts w:hint="eastAsia" w:hAnsi="宋体" w:cs="宋体"/>
                <w:color w:val="auto"/>
                <w:sz w:val="21"/>
                <w:szCs w:val="21"/>
              </w:rPr>
              <w:t>评委综合分</w:t>
            </w:r>
          </w:p>
        </w:tc>
        <w:tc>
          <w:tcPr>
            <w:tcW w:w="7513" w:type="dxa"/>
            <w:tcBorders>
              <w:top w:val="single" w:color="auto" w:sz="4" w:space="0"/>
              <w:left w:val="nil"/>
              <w:bottom w:val="single" w:color="auto" w:sz="4" w:space="0"/>
              <w:right w:val="single" w:color="auto" w:sz="4" w:space="0"/>
            </w:tcBorders>
            <w:noWrap w:val="0"/>
            <w:vAlign w:val="center"/>
          </w:tcPr>
          <w:p>
            <w:pPr>
              <w:pStyle w:val="230"/>
              <w:rPr>
                <w:rFonts w:hint="eastAsia" w:hAnsi="宋体" w:cs="宋体"/>
                <w:color w:val="auto"/>
                <w:sz w:val="21"/>
                <w:szCs w:val="21"/>
              </w:rPr>
            </w:pPr>
            <w:r>
              <w:rPr>
                <w:rFonts w:hint="eastAsia" w:hAnsi="宋体" w:cs="宋体"/>
                <w:color w:val="auto"/>
                <w:sz w:val="21"/>
                <w:szCs w:val="21"/>
              </w:rPr>
              <w:t>评委根据投标文件的内容详实、条例清晰、有无错误、对应内容与招标文件的评分要点准确设置关联点、文本图片清晰、前后有无矛盾等情况综合打分（0-2分）。</w:t>
            </w:r>
          </w:p>
        </w:tc>
        <w:tc>
          <w:tcPr>
            <w:tcW w:w="635" w:type="dxa"/>
            <w:tcBorders>
              <w:top w:val="single" w:color="auto" w:sz="4" w:space="0"/>
              <w:left w:val="nil"/>
              <w:bottom w:val="single" w:color="auto" w:sz="4" w:space="0"/>
              <w:right w:val="single" w:color="auto" w:sz="4" w:space="0"/>
            </w:tcBorders>
            <w:noWrap w:val="0"/>
            <w:vAlign w:val="center"/>
          </w:tcPr>
          <w:p>
            <w:pPr>
              <w:pStyle w:val="230"/>
              <w:jc w:val="center"/>
              <w:rPr>
                <w:rFonts w:hint="eastAsia" w:hAnsi="宋体" w:cs="宋体"/>
                <w:color w:val="auto"/>
                <w:sz w:val="21"/>
                <w:szCs w:val="21"/>
              </w:rPr>
            </w:pPr>
            <w:r>
              <w:rPr>
                <w:rFonts w:hint="eastAsia" w:hAnsi="宋体" w:cs="宋体"/>
                <w:color w:val="auto"/>
                <w:sz w:val="21"/>
                <w:szCs w:val="21"/>
              </w:rPr>
              <w:t>2分</w:t>
            </w:r>
          </w:p>
        </w:tc>
      </w:tr>
    </w:tbl>
    <w:p>
      <w:pPr>
        <w:widowControl/>
        <w:shd w:val="clear" w:color="auto" w:fill="FFFFFF"/>
        <w:spacing w:before="100" w:beforeAutospacing="1" w:after="100" w:afterAutospacing="1" w:line="400" w:lineRule="exact"/>
        <w:ind w:firstLine="241" w:firstLineChars="100"/>
        <w:rPr>
          <w:rFonts w:hint="eastAsia" w:ascii="宋体" w:hAnsi="宋体" w:cs="宋体"/>
          <w:b/>
          <w:bCs/>
          <w:kern w:val="0"/>
          <w:sz w:val="24"/>
        </w:rPr>
      </w:pPr>
      <w:r>
        <w:rPr>
          <w:rFonts w:hint="eastAsia" w:ascii="宋体" w:hAnsi="宋体" w:cs="宋体"/>
          <w:b/>
          <w:bCs/>
          <w:kern w:val="0"/>
          <w:sz w:val="24"/>
        </w:rPr>
        <w:t>（二） 价格分（</w:t>
      </w:r>
      <w:r>
        <w:rPr>
          <w:rFonts w:hint="eastAsia" w:ascii="宋体" w:hAnsi="宋体" w:cs="宋体"/>
          <w:b/>
          <w:bCs/>
          <w:kern w:val="0"/>
          <w:sz w:val="24"/>
          <w:lang w:val="en-US" w:eastAsia="zh-CN"/>
        </w:rPr>
        <w:t>2</w:t>
      </w:r>
      <w:r>
        <w:rPr>
          <w:rFonts w:hint="eastAsia" w:ascii="宋体" w:hAnsi="宋体" w:cs="宋体"/>
          <w:b/>
          <w:bCs/>
          <w:kern w:val="0"/>
          <w:sz w:val="24"/>
        </w:rPr>
        <w:t>0分）</w:t>
      </w:r>
    </w:p>
    <w:p>
      <w:pPr>
        <w:pStyle w:val="159"/>
        <w:tabs>
          <w:tab w:val="left" w:pos="900"/>
        </w:tabs>
        <w:spacing w:after="0" w:line="400" w:lineRule="exact"/>
        <w:ind w:left="0" w:firstLine="480"/>
        <w:rPr>
          <w:rFonts w:hint="eastAsia" w:ascii="宋体" w:hAnsi="宋体" w:cs="Times New Roman"/>
          <w:color w:val="auto"/>
          <w:kern w:val="2"/>
          <w:szCs w:val="24"/>
          <w:lang w:val="en-US" w:eastAsia="zh-CN"/>
        </w:rPr>
      </w:pPr>
      <w:r>
        <w:rPr>
          <w:rFonts w:hint="eastAsia" w:ascii="宋体" w:hAnsi="宋体"/>
          <w:kern w:val="2"/>
          <w:szCs w:val="24"/>
        </w:rPr>
        <w:t>价格评分采用低价优先法计算，即满足招标文件要求且投标价格</w:t>
      </w:r>
      <w:r>
        <w:rPr>
          <w:rFonts w:hint="eastAsia" w:ascii="宋体" w:hAnsi="宋体"/>
          <w:color w:val="auto"/>
          <w:kern w:val="2"/>
          <w:szCs w:val="24"/>
          <w:lang w:eastAsia="zh-CN"/>
        </w:rPr>
        <w:t>【</w:t>
      </w:r>
      <w:r>
        <w:rPr>
          <w:rFonts w:hint="eastAsia" w:ascii="宋体" w:hAnsi="宋体" w:cs="Times New Roman"/>
          <w:color w:val="auto"/>
          <w:kern w:val="2"/>
          <w:szCs w:val="24"/>
          <w:lang w:eastAsia="zh-CN"/>
        </w:rPr>
        <w:t>即</w:t>
      </w:r>
      <w:r>
        <w:rPr>
          <w:rFonts w:hint="eastAsia" w:ascii="宋体" w:hAnsi="宋体" w:cs="Times New Roman"/>
          <w:color w:val="auto"/>
          <w:kern w:val="2"/>
          <w:szCs w:val="24"/>
          <w:lang w:val="en-US" w:eastAsia="zh-CN"/>
        </w:rPr>
        <w:t>管理费费率</w:t>
      </w:r>
    </w:p>
    <w:p>
      <w:pPr>
        <w:pStyle w:val="159"/>
        <w:tabs>
          <w:tab w:val="left" w:pos="900"/>
        </w:tabs>
        <w:spacing w:after="0" w:line="400" w:lineRule="exact"/>
        <w:ind w:left="0" w:firstLine="480"/>
        <w:rPr>
          <w:rFonts w:hint="eastAsia" w:ascii="宋体" w:hAnsi="宋体"/>
          <w:kern w:val="2"/>
          <w:szCs w:val="24"/>
        </w:rPr>
      </w:pPr>
      <w:r>
        <w:rPr>
          <w:rFonts w:hint="eastAsia" w:ascii="宋体" w:hAnsi="宋体" w:cs="Times New Roman"/>
          <w:color w:val="auto"/>
          <w:kern w:val="2"/>
          <w:szCs w:val="24"/>
          <w:lang w:val="en-US" w:eastAsia="zh-CN"/>
        </w:rPr>
        <w:t>（含利润、税金等）</w:t>
      </w:r>
      <w:r>
        <w:rPr>
          <w:rFonts w:hint="eastAsia" w:ascii="宋体" w:hAnsi="宋体" w:cs="Times New Roman"/>
          <w:color w:val="auto"/>
          <w:kern w:val="2"/>
          <w:szCs w:val="24"/>
          <w:lang w:eastAsia="zh-CN"/>
        </w:rPr>
        <w:t>）】</w:t>
      </w:r>
      <w:r>
        <w:rPr>
          <w:rFonts w:hint="eastAsia" w:ascii="宋体" w:hAnsi="宋体"/>
          <w:color w:val="auto"/>
          <w:kern w:val="2"/>
          <w:szCs w:val="24"/>
        </w:rPr>
        <w:t>最低的投标报价为评标基准价，其报价</w:t>
      </w:r>
      <w:r>
        <w:rPr>
          <w:rFonts w:hint="eastAsia" w:ascii="宋体" w:hAnsi="宋体"/>
          <w:kern w:val="2"/>
          <w:szCs w:val="24"/>
        </w:rPr>
        <w:t>分为满分</w:t>
      </w:r>
      <w:r>
        <w:rPr>
          <w:rFonts w:hint="eastAsia" w:ascii="宋体" w:hAnsi="宋体"/>
          <w:kern w:val="2"/>
          <w:szCs w:val="24"/>
          <w:lang w:val="en-US" w:eastAsia="zh-CN"/>
        </w:rPr>
        <w:t>2</w:t>
      </w:r>
      <w:r>
        <w:rPr>
          <w:rFonts w:hint="eastAsia" w:ascii="宋体" w:hAnsi="宋体"/>
          <w:kern w:val="2"/>
          <w:szCs w:val="24"/>
        </w:rPr>
        <w:t>0分。其他投标人的报价分统一按照下列公式计算：投标报价得分=（评标基准价/投标报价）×</w:t>
      </w:r>
      <w:r>
        <w:rPr>
          <w:rFonts w:hint="eastAsia" w:ascii="宋体" w:hAnsi="宋体"/>
          <w:kern w:val="2"/>
          <w:szCs w:val="24"/>
          <w:lang w:val="en-US" w:eastAsia="zh-CN"/>
        </w:rPr>
        <w:t>2</w:t>
      </w:r>
      <w:r>
        <w:rPr>
          <w:rFonts w:hint="eastAsia" w:ascii="宋体" w:hAnsi="宋体"/>
          <w:kern w:val="2"/>
          <w:szCs w:val="24"/>
        </w:rPr>
        <w:t>0%×100（保留到小数点后两位，第三位四舍五入）。</w:t>
      </w:r>
    </w:p>
    <w:p>
      <w:pPr>
        <w:spacing w:line="400" w:lineRule="exact"/>
        <w:ind w:firstLine="480" w:firstLineChars="200"/>
        <w:jc w:val="left"/>
        <w:rPr>
          <w:rFonts w:hint="eastAsia" w:ascii="宋体" w:hAnsi="宋体"/>
        </w:rPr>
      </w:pPr>
      <w:r>
        <w:rPr>
          <w:rFonts w:hint="eastAsia" w:ascii="宋体" w:hAnsi="宋体"/>
          <w:sz w:val="24"/>
          <w:lang w:val="zh-CN"/>
        </w:rPr>
        <w:t>依据</w:t>
      </w:r>
      <w:r>
        <w:rPr>
          <w:rFonts w:ascii="宋体" w:hAnsi="宋体"/>
          <w:sz w:val="24"/>
          <w:lang w:val="zh-CN"/>
        </w:rPr>
        <w:t>《</w:t>
      </w:r>
      <w:r>
        <w:rPr>
          <w:rFonts w:hint="eastAsia" w:ascii="宋体" w:hAnsi="宋体"/>
          <w:sz w:val="24"/>
          <w:lang w:val="zh-CN"/>
        </w:rPr>
        <w:t>政府采购促进中小企业发展管理办法</w:t>
      </w:r>
      <w:r>
        <w:rPr>
          <w:rFonts w:ascii="宋体" w:hAnsi="宋体"/>
          <w:sz w:val="24"/>
          <w:lang w:val="zh-CN"/>
        </w:rPr>
        <w:t>》（财库</w:t>
      </w:r>
      <w:r>
        <w:rPr>
          <w:rFonts w:hint="eastAsia" w:ascii="宋体" w:hAnsi="宋体"/>
          <w:sz w:val="24"/>
          <w:lang w:val="zh-CN"/>
        </w:rPr>
        <w:t>〔2020〕46号</w:t>
      </w:r>
      <w:r>
        <w:rPr>
          <w:rFonts w:ascii="宋体" w:hAnsi="宋体"/>
          <w:sz w:val="24"/>
          <w:lang w:val="zh-CN"/>
        </w:rPr>
        <w:t>）的规定</w:t>
      </w:r>
      <w:r>
        <w:rPr>
          <w:rFonts w:hint="eastAsia" w:ascii="宋体" w:hAnsi="宋体"/>
          <w:sz w:val="24"/>
          <w:lang w:val="zh-CN"/>
        </w:rPr>
        <w:t>，对小型和微型企业产品的价格给予6%的扣除，用扣除后的价格参与评审。(依据</w:t>
      </w:r>
      <w:r>
        <w:rPr>
          <w:rFonts w:ascii="宋体" w:hAnsi="宋体"/>
          <w:sz w:val="24"/>
          <w:lang w:val="zh-CN"/>
        </w:rPr>
        <w:t>财库[201</w:t>
      </w:r>
      <w:r>
        <w:rPr>
          <w:rFonts w:hint="eastAsia" w:ascii="宋体" w:hAnsi="宋体"/>
          <w:sz w:val="24"/>
          <w:lang w:val="zh-CN"/>
        </w:rPr>
        <w:t>4</w:t>
      </w:r>
      <w:r>
        <w:rPr>
          <w:rFonts w:ascii="宋体" w:hAnsi="宋体"/>
          <w:sz w:val="24"/>
          <w:lang w:val="zh-CN"/>
        </w:rPr>
        <w:t>]</w:t>
      </w:r>
      <w:r>
        <w:rPr>
          <w:rFonts w:hint="eastAsia" w:ascii="宋体" w:hAnsi="宋体"/>
          <w:sz w:val="24"/>
          <w:lang w:val="zh-CN"/>
        </w:rPr>
        <w:t>68</w:t>
      </w:r>
      <w:r>
        <w:rPr>
          <w:rFonts w:ascii="宋体" w:hAnsi="宋体"/>
          <w:sz w:val="24"/>
          <w:lang w:val="zh-CN"/>
        </w:rPr>
        <w:t>号</w:t>
      </w:r>
      <w:r>
        <w:rPr>
          <w:rFonts w:hint="eastAsia" w:ascii="宋体" w:hAnsi="宋体"/>
          <w:sz w:val="24"/>
          <w:lang w:val="zh-CN"/>
        </w:rPr>
        <w:t>文件规定，监狱企业视同小型、微型企业。依据《财政部、民政部、中国残疾人联合会关于促进残疾人就业政府采购政策的通知》（财库〔2017〕141号）的规定，残疾人福利性单位视同小型、微型企业。)</w:t>
      </w:r>
    </w:p>
    <w:p>
      <w:pPr>
        <w:spacing w:line="400" w:lineRule="exact"/>
        <w:ind w:firstLine="482" w:firstLineChars="200"/>
        <w:rPr>
          <w:rFonts w:hint="eastAsia" w:ascii="宋体" w:hAnsi="宋体"/>
          <w:b/>
          <w:sz w:val="36"/>
          <w:szCs w:val="36"/>
        </w:rPr>
      </w:pPr>
      <w:r>
        <w:rPr>
          <w:rFonts w:hint="eastAsia" w:ascii="宋体" w:hAnsi="宋体" w:cs="宋体"/>
          <w:b/>
          <w:bCs/>
          <w:sz w:val="24"/>
        </w:rPr>
        <w:t>根据</w:t>
      </w:r>
      <w:r>
        <w:rPr>
          <w:rFonts w:hint="eastAsia" w:ascii="宋体" w:hAnsi="宋体" w:cs="宋体"/>
          <w:b/>
          <w:bCs/>
          <w:sz w:val="24"/>
          <w:lang w:eastAsia="zh-CN"/>
        </w:rPr>
        <w:t>《政府采购货物和服务招标投标管理办法》（</w:t>
      </w:r>
      <w:r>
        <w:rPr>
          <w:rFonts w:hint="eastAsia" w:ascii="宋体" w:hAnsi="宋体" w:cs="宋体"/>
          <w:b/>
          <w:bCs/>
          <w:sz w:val="24"/>
        </w:rPr>
        <w:t>财政部</w:t>
      </w:r>
      <w:r>
        <w:rPr>
          <w:rFonts w:hint="eastAsia" w:ascii="宋体" w:hAnsi="宋体" w:cs="宋体"/>
          <w:b/>
          <w:bCs/>
          <w:sz w:val="24"/>
          <w:lang w:eastAsia="zh-CN"/>
        </w:rPr>
        <w:t>第</w:t>
      </w:r>
      <w:r>
        <w:rPr>
          <w:rFonts w:hint="eastAsia" w:ascii="宋体" w:hAnsi="宋体" w:cs="宋体"/>
          <w:b/>
          <w:bCs/>
          <w:sz w:val="24"/>
        </w:rPr>
        <w:t>87号令</w:t>
      </w:r>
      <w:r>
        <w:rPr>
          <w:rFonts w:hint="eastAsia" w:ascii="宋体" w:hAnsi="宋体" w:cs="宋体"/>
          <w:b/>
          <w:bCs/>
          <w:sz w:val="24"/>
          <w:lang w:eastAsia="zh-CN"/>
        </w:rPr>
        <w:t>）</w:t>
      </w:r>
      <w:r>
        <w:rPr>
          <w:rFonts w:hint="eastAsia" w:ascii="宋体" w:hAnsi="宋体" w:cs="宋体"/>
          <w:b/>
          <w:bCs/>
          <w:sz w:val="24"/>
        </w:rPr>
        <w:t xml:space="preserve">六十条规定，评标委员会认为投标人的报价明显低于其他通过符合性审查投标人的报价，有可能影响产品质量或者不能诚信履约的，应当要求其在评标现场合理的时间内通过政采云平台提供线上说明，必要时提交相关证明材料。投标人不能在规定时间内合理说明原因并提供证明材料的，评标委员会应当将该投标人的投标文件作无效处理，并在评审报告中说明。 </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17"/>
      <w:bookmarkEnd w:id="218"/>
      <w:bookmarkEnd w:id="219"/>
      <w:bookmarkEnd w:id="220"/>
      <w:bookmarkEnd w:id="221"/>
      <w:bookmarkStart w:id="222" w:name="_Toc15967"/>
      <w:bookmarkStart w:id="223" w:name="_Toc1196"/>
    </w:p>
    <w:p>
      <w:pPr>
        <w:jc w:val="both"/>
        <w:outlineLvl w:val="0"/>
        <w:rPr>
          <w:rFonts w:hint="eastAsia" w:ascii="宋体" w:hAnsi="宋体"/>
          <w:b/>
          <w:sz w:val="36"/>
          <w:szCs w:val="36"/>
        </w:rPr>
      </w:pPr>
    </w:p>
    <w:p>
      <w:pPr>
        <w:jc w:val="center"/>
        <w:outlineLvl w:val="0"/>
        <w:rPr>
          <w:rFonts w:hint="eastAsia" w:ascii="宋体" w:hAnsi="宋体"/>
          <w:b/>
          <w:sz w:val="36"/>
          <w:szCs w:val="36"/>
        </w:rPr>
      </w:pPr>
    </w:p>
    <w:p>
      <w:pPr>
        <w:jc w:val="center"/>
        <w:outlineLvl w:val="0"/>
        <w:rPr>
          <w:rFonts w:hint="eastAsia" w:ascii="宋体" w:hAnsi="宋体"/>
          <w:b/>
          <w:sz w:val="36"/>
          <w:szCs w:val="36"/>
        </w:rPr>
      </w:pPr>
    </w:p>
    <w:p>
      <w:pPr>
        <w:jc w:val="center"/>
        <w:outlineLvl w:val="0"/>
        <w:rPr>
          <w:rFonts w:hint="eastAsia" w:ascii="宋体" w:hAnsi="宋体"/>
          <w:b/>
          <w:sz w:val="36"/>
          <w:szCs w:val="36"/>
        </w:rPr>
      </w:pPr>
    </w:p>
    <w:p>
      <w:pPr>
        <w:jc w:val="center"/>
        <w:outlineLvl w:val="0"/>
        <w:rPr>
          <w:rFonts w:hint="eastAsia" w:ascii="宋体" w:hAnsi="宋体"/>
          <w:b/>
          <w:sz w:val="36"/>
          <w:szCs w:val="36"/>
        </w:rPr>
      </w:pPr>
    </w:p>
    <w:p>
      <w:pPr>
        <w:jc w:val="center"/>
        <w:outlineLvl w:val="0"/>
        <w:rPr>
          <w:rFonts w:hint="eastAsia" w:ascii="宋体" w:hAnsi="宋体"/>
          <w:b/>
          <w:sz w:val="36"/>
          <w:szCs w:val="36"/>
        </w:rPr>
      </w:pPr>
    </w:p>
    <w:p>
      <w:pPr>
        <w:jc w:val="center"/>
        <w:outlineLvl w:val="0"/>
        <w:rPr>
          <w:rFonts w:hint="eastAsia" w:ascii="宋体" w:hAnsi="宋体"/>
          <w:b/>
          <w:sz w:val="36"/>
          <w:szCs w:val="36"/>
        </w:rPr>
      </w:pPr>
    </w:p>
    <w:p>
      <w:pPr>
        <w:jc w:val="center"/>
        <w:outlineLvl w:val="0"/>
        <w:rPr>
          <w:rFonts w:hint="eastAsia" w:ascii="宋体" w:hAnsi="宋体"/>
          <w:b/>
          <w:sz w:val="36"/>
          <w:szCs w:val="36"/>
        </w:rPr>
      </w:pPr>
    </w:p>
    <w:p>
      <w:pPr>
        <w:jc w:val="center"/>
        <w:outlineLvl w:val="0"/>
        <w:rPr>
          <w:rFonts w:hint="eastAsia" w:ascii="宋体" w:hAnsi="宋体"/>
          <w:b/>
          <w:sz w:val="36"/>
          <w:szCs w:val="36"/>
        </w:rPr>
      </w:pPr>
    </w:p>
    <w:p>
      <w:pPr>
        <w:jc w:val="center"/>
        <w:outlineLvl w:val="0"/>
        <w:rPr>
          <w:rFonts w:hint="eastAsia" w:ascii="宋体" w:hAnsi="宋体"/>
          <w:b/>
          <w:sz w:val="36"/>
          <w:szCs w:val="36"/>
        </w:rPr>
      </w:pPr>
    </w:p>
    <w:p>
      <w:pPr>
        <w:jc w:val="center"/>
        <w:outlineLvl w:val="0"/>
        <w:rPr>
          <w:rFonts w:hint="eastAsia" w:ascii="宋体" w:hAnsi="宋体"/>
          <w:b/>
          <w:sz w:val="36"/>
          <w:szCs w:val="36"/>
        </w:rPr>
      </w:pPr>
    </w:p>
    <w:p>
      <w:pPr>
        <w:jc w:val="center"/>
        <w:outlineLvl w:val="0"/>
        <w:rPr>
          <w:rFonts w:hint="eastAsia" w:ascii="宋体" w:hAnsi="宋体"/>
          <w:b/>
          <w:sz w:val="36"/>
          <w:szCs w:val="36"/>
        </w:rPr>
      </w:pPr>
    </w:p>
    <w:p>
      <w:pPr>
        <w:jc w:val="both"/>
        <w:outlineLvl w:val="0"/>
        <w:rPr>
          <w:rFonts w:hint="eastAsia" w:ascii="宋体" w:hAnsi="宋体"/>
          <w:b/>
          <w:sz w:val="36"/>
          <w:szCs w:val="36"/>
        </w:rPr>
      </w:pPr>
    </w:p>
    <w:p>
      <w:pPr>
        <w:jc w:val="center"/>
        <w:outlineLvl w:val="0"/>
        <w:rPr>
          <w:rFonts w:hint="eastAsia" w:ascii="宋体" w:hAnsi="宋体"/>
          <w:b/>
          <w:sz w:val="36"/>
          <w:szCs w:val="36"/>
        </w:rPr>
      </w:pPr>
      <w:r>
        <w:rPr>
          <w:rFonts w:hint="eastAsia" w:ascii="宋体" w:hAnsi="宋体"/>
          <w:b/>
          <w:sz w:val="36"/>
          <w:szCs w:val="36"/>
        </w:rPr>
        <w:t>第四章  采购需求</w:t>
      </w:r>
      <w:bookmarkEnd w:id="222"/>
    </w:p>
    <w:p>
      <w:pPr>
        <w:keepNext w:val="0"/>
        <w:keepLines w:val="0"/>
        <w:pageBreakBefore w:val="0"/>
        <w:widowControl w:val="0"/>
        <w:numPr>
          <w:ilvl w:val="0"/>
          <w:numId w:val="0"/>
        </w:numPr>
        <w:kinsoku/>
        <w:wordWrap/>
        <w:overflowPunct/>
        <w:topLinePunct w:val="0"/>
        <w:autoSpaceDE/>
        <w:autoSpaceDN/>
        <w:bidi w:val="0"/>
        <w:spacing w:line="440" w:lineRule="exact"/>
        <w:ind w:left="0" w:leftChars="0" w:right="0" w:rightChars="0"/>
        <w:textAlignment w:val="auto"/>
        <w:outlineLvl w:val="9"/>
        <w:rPr>
          <w:rFonts w:hint="eastAsia" w:ascii="宋体" w:hAnsi="宋体" w:eastAsia="宋体" w:cs="宋体"/>
          <w:b/>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lang w:eastAsia="zh-CN"/>
        </w:rPr>
        <w:t>一、</w:t>
      </w:r>
      <w:r>
        <w:rPr>
          <w:rFonts w:hint="eastAsia" w:ascii="宋体" w:hAnsi="宋体" w:eastAsia="宋体" w:cs="宋体"/>
          <w:b/>
          <w:color w:val="auto"/>
          <w:kern w:val="0"/>
          <w:sz w:val="24"/>
          <w:szCs w:val="24"/>
          <w:highlight w:val="none"/>
          <w:shd w:val="clear" w:color="auto" w:fill="auto"/>
        </w:rPr>
        <w:t>采购内容及数量：</w:t>
      </w:r>
    </w:p>
    <w:p>
      <w:pPr>
        <w:pStyle w:val="26"/>
        <w:keepNext w:val="0"/>
        <w:keepLines w:val="0"/>
        <w:pageBreakBefore w:val="0"/>
        <w:widowControl w:val="0"/>
        <w:numPr>
          <w:ilvl w:val="0"/>
          <w:numId w:val="6"/>
        </w:numPr>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auto"/>
        <w:outlineLvl w:val="9"/>
        <w:rPr>
          <w:rFonts w:hint="eastAsia" w:ascii="宋体" w:hAnsi="宋体" w:eastAsia="宋体" w:cs="宋体"/>
          <w:b/>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eastAsia="zh-CN"/>
        </w:rPr>
        <w:t>嵊州市崇仁镇人民政府安保服务采购项目，暂定保安人数</w:t>
      </w:r>
      <w:r>
        <w:rPr>
          <w:rFonts w:hint="eastAsia" w:hAnsi="宋体" w:eastAsia="宋体" w:cs="宋体"/>
          <w:color w:val="auto"/>
          <w:sz w:val="24"/>
          <w:szCs w:val="24"/>
          <w:highlight w:val="none"/>
          <w:shd w:val="clear" w:color="auto" w:fill="auto"/>
          <w:lang w:val="en-US" w:eastAsia="zh-CN"/>
        </w:rPr>
        <w:t>55</w:t>
      </w:r>
      <w:r>
        <w:rPr>
          <w:rFonts w:hint="eastAsia" w:ascii="宋体" w:hAnsi="宋体" w:eastAsia="宋体" w:cs="宋体"/>
          <w:color w:val="auto"/>
          <w:sz w:val="24"/>
          <w:szCs w:val="24"/>
          <w:highlight w:val="none"/>
          <w:shd w:val="clear" w:color="auto" w:fill="auto"/>
          <w:lang w:val="en-US" w:eastAsia="zh-CN"/>
        </w:rPr>
        <w:t>人。</w:t>
      </w:r>
      <w:r>
        <w:rPr>
          <w:rFonts w:hint="eastAsia" w:ascii="宋体" w:hAnsi="宋体" w:eastAsia="宋体" w:cs="宋体"/>
          <w:bCs/>
          <w:sz w:val="24"/>
          <w:szCs w:val="24"/>
          <w:highlight w:val="none"/>
          <w:lang w:val="en-US" w:eastAsia="zh-CN"/>
        </w:rPr>
        <w:t>如遇政策调整或采购人实际业务服务需求情况发生变化，中标人应配合采购人对服务人员数量进行相应的调增或调减，服务人员具体数量以满足委托方服务标准和服务要求为准。</w:t>
      </w:r>
    </w:p>
    <w:p>
      <w:pPr>
        <w:keepNext w:val="0"/>
        <w:keepLines w:val="0"/>
        <w:pageBreakBefore w:val="0"/>
        <w:widowControl w:val="0"/>
        <w:kinsoku/>
        <w:wordWrap/>
        <w:overflowPunct/>
        <w:topLinePunct w:val="0"/>
        <w:autoSpaceDE/>
        <w:autoSpaceDN/>
        <w:bidi w:val="0"/>
        <w:spacing w:line="440" w:lineRule="exact"/>
        <w:ind w:left="0" w:leftChars="0" w:right="0" w:rightChars="0"/>
        <w:jc w:val="left"/>
        <w:textAlignment w:val="auto"/>
        <w:outlineLvl w:val="9"/>
        <w:rPr>
          <w:rFonts w:hint="eastAsia" w:ascii="宋体" w:hAnsi="宋体" w:eastAsia="宋体" w:cs="宋体"/>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lang w:eastAsia="zh-CN"/>
        </w:rPr>
        <w:t>二、</w:t>
      </w:r>
      <w:r>
        <w:rPr>
          <w:rFonts w:hint="eastAsia" w:ascii="宋体" w:hAnsi="宋体" w:eastAsia="宋体" w:cs="宋体"/>
          <w:b/>
          <w:color w:val="auto"/>
          <w:sz w:val="24"/>
          <w:szCs w:val="24"/>
          <w:highlight w:val="none"/>
          <w:shd w:val="clear" w:color="auto" w:fill="auto"/>
        </w:rPr>
        <w:t>服务期限</w:t>
      </w:r>
    </w:p>
    <w:p>
      <w:pPr>
        <w:keepNext w:val="0"/>
        <w:keepLines w:val="0"/>
        <w:pageBreakBefore w:val="0"/>
        <w:widowControl w:val="0"/>
        <w:kinsoku/>
        <w:wordWrap/>
        <w:overflowPunct/>
        <w:topLinePunct w:val="0"/>
        <w:autoSpaceDE/>
        <w:autoSpaceDN/>
        <w:bidi w:val="0"/>
        <w:spacing w:line="440" w:lineRule="exact"/>
        <w:ind w:left="0" w:leftChars="0" w:right="0" w:rightChars="0" w:firstLine="480" w:firstLineChars="200"/>
        <w:textAlignment w:val="auto"/>
        <w:outlineLvl w:val="9"/>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rPr>
        <w:t>服务期限暂定</w:t>
      </w: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年。合同生效前，中标方需要提供详细的服务管理方案，包括管理和执行办法、各类事件的应急处理预案以及服务承诺等</w:t>
      </w:r>
      <w:r>
        <w:rPr>
          <w:rFonts w:hint="eastAsia" w:ascii="宋体" w:hAnsi="宋体" w:eastAsia="宋体" w:cs="宋体"/>
          <w:color w:val="auto"/>
          <w:sz w:val="24"/>
          <w:szCs w:val="24"/>
          <w:highlight w:val="none"/>
          <w:shd w:val="clear" w:color="auto" w:fill="auto"/>
          <w:lang w:eastAsia="zh-CN"/>
        </w:rPr>
        <w:t>。</w:t>
      </w:r>
    </w:p>
    <w:p>
      <w:pPr>
        <w:keepNext w:val="0"/>
        <w:keepLines w:val="0"/>
        <w:pageBreakBefore w:val="0"/>
        <w:widowControl w:val="0"/>
        <w:kinsoku/>
        <w:wordWrap/>
        <w:overflowPunct/>
        <w:topLinePunct w:val="0"/>
        <w:autoSpaceDE/>
        <w:autoSpaceDN/>
        <w:bidi w:val="0"/>
        <w:snapToGrid/>
        <w:spacing w:line="440" w:lineRule="exact"/>
        <w:ind w:left="0" w:leftChars="0" w:firstLine="0" w:firstLineChars="0"/>
        <w:textAlignment w:val="auto"/>
        <w:outlineLvl w:val="9"/>
        <w:rPr>
          <w:rFonts w:hint="eastAsia" w:ascii="宋体" w:hAnsi="宋体" w:eastAsia="宋体" w:cs="宋体"/>
          <w:b/>
          <w:bCs w:val="0"/>
          <w:color w:val="auto"/>
          <w:kern w:val="0"/>
          <w:sz w:val="24"/>
          <w:szCs w:val="24"/>
          <w:highlight w:val="none"/>
          <w:shd w:val="clear" w:color="auto" w:fill="auto"/>
        </w:rPr>
      </w:pPr>
      <w:r>
        <w:rPr>
          <w:rFonts w:hint="eastAsia" w:ascii="宋体" w:hAnsi="宋体" w:eastAsia="宋体" w:cs="宋体"/>
          <w:b/>
          <w:color w:val="auto"/>
          <w:kern w:val="0"/>
          <w:sz w:val="24"/>
          <w:szCs w:val="24"/>
          <w:highlight w:val="none"/>
          <w:shd w:val="clear" w:color="auto" w:fill="auto"/>
          <w:lang w:eastAsia="zh-CN"/>
        </w:rPr>
        <w:t>三、</w:t>
      </w:r>
      <w:r>
        <w:rPr>
          <w:rFonts w:hint="eastAsia" w:ascii="宋体" w:hAnsi="宋体" w:eastAsia="宋体" w:cs="宋体"/>
          <w:b/>
          <w:bCs w:val="0"/>
          <w:color w:val="auto"/>
          <w:kern w:val="0"/>
          <w:sz w:val="24"/>
          <w:szCs w:val="24"/>
          <w:highlight w:val="none"/>
          <w:shd w:val="clear" w:color="auto" w:fill="auto"/>
        </w:rPr>
        <w:t>工作岗位配置安排表</w:t>
      </w:r>
    </w:p>
    <w:tbl>
      <w:tblPr>
        <w:tblStyle w:val="48"/>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2280"/>
        <w:gridCol w:w="1044"/>
        <w:gridCol w:w="1416"/>
        <w:gridCol w:w="4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序号</w:t>
            </w:r>
          </w:p>
        </w:tc>
        <w:tc>
          <w:tcPr>
            <w:tcW w:w="2280" w:type="dxa"/>
            <w:noWrap w:val="0"/>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岗位</w:t>
            </w:r>
          </w:p>
        </w:tc>
        <w:tc>
          <w:tcPr>
            <w:tcW w:w="1044" w:type="dxa"/>
            <w:noWrap w:val="0"/>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人数</w:t>
            </w:r>
          </w:p>
        </w:tc>
        <w:tc>
          <w:tcPr>
            <w:tcW w:w="1416" w:type="dxa"/>
            <w:noWrap w:val="0"/>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年龄要求</w:t>
            </w:r>
          </w:p>
        </w:tc>
        <w:tc>
          <w:tcPr>
            <w:tcW w:w="4074" w:type="dxa"/>
            <w:noWrap w:val="0"/>
            <w:vAlign w:val="center"/>
          </w:tcPr>
          <w:p>
            <w:pPr>
              <w:spacing w:line="360" w:lineRule="auto"/>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城管协管员</w:t>
            </w:r>
          </w:p>
        </w:tc>
        <w:tc>
          <w:tcPr>
            <w:tcW w:w="1044" w:type="dxa"/>
            <w:noWrap w:val="0"/>
            <w:vAlign w:val="center"/>
          </w:tcPr>
          <w:p>
            <w:pPr>
              <w:spacing w:line="360" w:lineRule="auto"/>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26</w:t>
            </w:r>
          </w:p>
        </w:tc>
        <w:tc>
          <w:tcPr>
            <w:tcW w:w="1416" w:type="dxa"/>
            <w:noWrap w:val="0"/>
            <w:vAlign w:val="center"/>
          </w:tcPr>
          <w:p>
            <w:pPr>
              <w:spacing w:line="360" w:lineRule="auto"/>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20-40</w:t>
            </w:r>
          </w:p>
        </w:tc>
        <w:tc>
          <w:tcPr>
            <w:tcW w:w="4074" w:type="dxa"/>
            <w:noWrap w:val="0"/>
            <w:vAlign w:val="center"/>
          </w:tcPr>
          <w:p>
            <w:pPr>
              <w:spacing w:line="360" w:lineRule="auto"/>
              <w:jc w:val="left"/>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highlight w:val="none"/>
                <w:shd w:val="clear" w:color="auto" w:fill="auto"/>
                <w:vertAlign w:val="baseline"/>
                <w:lang w:eastAsia="zh-CN"/>
              </w:rPr>
              <w:t>集镇范围内城市管理等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2280" w:type="dxa"/>
            <w:noWrap w:val="0"/>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视频指挥平台</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20-40</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视频的观看、回放</w:t>
            </w:r>
            <w:r>
              <w:rPr>
                <w:rFonts w:hint="eastAsia" w:ascii="宋体" w:hAnsi="宋体" w:eastAsia="宋体" w:cs="宋体"/>
                <w:sz w:val="24"/>
                <w:szCs w:val="24"/>
                <w:vertAlign w:val="baseline"/>
                <w:lang w:eastAsia="zh-CN"/>
              </w:rPr>
              <w:t>及日常信息流转</w:t>
            </w:r>
            <w:r>
              <w:rPr>
                <w:rFonts w:hint="eastAsia" w:ascii="宋体" w:hAnsi="宋体" w:eastAsia="宋体" w:cs="宋体"/>
                <w:sz w:val="24"/>
                <w:szCs w:val="24"/>
                <w:vertAlign w:val="baseli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bookmarkStart w:id="224" w:name="OLE_LINK1"/>
            <w:r>
              <w:rPr>
                <w:rFonts w:hint="eastAsia" w:ascii="宋体" w:hAnsi="宋体" w:eastAsia="宋体" w:cs="宋体"/>
                <w:i w:val="0"/>
                <w:color w:val="000000"/>
                <w:kern w:val="0"/>
                <w:sz w:val="24"/>
                <w:szCs w:val="24"/>
                <w:u w:val="none"/>
                <w:lang w:val="en-US" w:eastAsia="zh-CN" w:bidi="ar"/>
              </w:rPr>
              <w:t>***</w:t>
            </w:r>
            <w:bookmarkEnd w:id="224"/>
            <w:r>
              <w:rPr>
                <w:rFonts w:hint="eastAsia" w:ascii="宋体" w:hAnsi="宋体" w:eastAsia="宋体" w:cs="宋体"/>
                <w:i w:val="0"/>
                <w:color w:val="000000"/>
                <w:kern w:val="0"/>
                <w:sz w:val="24"/>
                <w:szCs w:val="24"/>
                <w:u w:val="none"/>
                <w:lang w:val="en-US" w:eastAsia="zh-CN" w:bidi="ar"/>
              </w:rPr>
              <w:t>消防员</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w:t>
            </w:r>
          </w:p>
        </w:tc>
        <w:tc>
          <w:tcPr>
            <w:tcW w:w="1416" w:type="dxa"/>
            <w:noWrap w:val="0"/>
            <w:vAlign w:val="center"/>
          </w:tcPr>
          <w:p>
            <w:pPr>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20-40</w:t>
            </w:r>
          </w:p>
        </w:tc>
        <w:tc>
          <w:tcPr>
            <w:tcW w:w="4074" w:type="dxa"/>
            <w:noWrap w:val="0"/>
            <w:vAlign w:val="center"/>
          </w:tcPr>
          <w:p>
            <w:pPr>
              <w:spacing w:line="24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auto"/>
                <w:sz w:val="24"/>
                <w:highlight w:val="none"/>
                <w:shd w:val="clear" w:color="auto" w:fill="auto"/>
                <w:vertAlign w:val="baseline"/>
                <w:lang w:eastAsia="zh-CN"/>
              </w:rPr>
              <w:t>负责区域内消防检查、整改、救援等工作，其中二名负责消防车辆驾驶，协助其他消防人员等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2280" w:type="dxa"/>
            <w:noWrap w:val="0"/>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***户籍</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20-60</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协助***户籍工作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大厅保安员</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20-50</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auto"/>
                <w:sz w:val="24"/>
                <w:highlight w:val="none"/>
                <w:shd w:val="clear" w:color="auto" w:fill="auto"/>
                <w:vertAlign w:val="baseline"/>
                <w:lang w:eastAsia="zh-CN"/>
              </w:rPr>
              <w:t>镇政府人员、车辆进出登记等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门卫保安员</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20-55</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auto"/>
                <w:sz w:val="24"/>
                <w:highlight w:val="none"/>
                <w:shd w:val="clear" w:color="auto" w:fill="auto"/>
                <w:vertAlign w:val="baseline"/>
                <w:lang w:eastAsia="zh-CN"/>
              </w:rPr>
              <w:t>进出人员询问登记等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集镇片保安员</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20-55</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协助镇政府集镇管理工作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服务窗口</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20-35</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做好接待、登记、归档等工作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保洁</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20-60</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auto"/>
                <w:sz w:val="24"/>
                <w:highlight w:val="none"/>
                <w:shd w:val="clear" w:color="auto" w:fill="auto"/>
                <w:vertAlign w:val="baseline"/>
                <w:lang w:eastAsia="zh-CN"/>
              </w:rPr>
              <w:t>负责镇政府清洁卫生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统计</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20-55</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做好统计、录入工作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停车管理</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20-60</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做好车辆进出、停放工作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污水处理</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20-55</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处理排污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档案管理</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20-60</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资料整理、录入工作</w:t>
            </w:r>
          </w:p>
        </w:tc>
      </w:tr>
    </w:tbl>
    <w:p>
      <w:pPr>
        <w:pStyle w:val="19"/>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b/>
          <w:bCs/>
          <w:color w:val="auto"/>
          <w:sz w:val="24"/>
          <w:szCs w:val="24"/>
          <w:highlight w:val="none"/>
          <w:shd w:val="clear" w:color="auto" w:fill="auto"/>
          <w:lang w:val="en-US" w:eastAsia="zh-CN"/>
        </w:rPr>
        <w:t>注：装备配置（服装、皮卡汽车一辆、应急备用2辆等）由中标供应商提供。</w:t>
      </w:r>
    </w:p>
    <w:p>
      <w:pPr>
        <w:keepNext w:val="0"/>
        <w:keepLines w:val="0"/>
        <w:pageBreakBefore w:val="0"/>
        <w:widowControl w:val="0"/>
        <w:numPr>
          <w:ilvl w:val="0"/>
          <w:numId w:val="0"/>
        </w:numPr>
        <w:kinsoku/>
        <w:wordWrap/>
        <w:overflowPunct/>
        <w:topLinePunct w:val="0"/>
        <w:autoSpaceDE/>
        <w:autoSpaceDN/>
        <w:bidi w:val="0"/>
        <w:snapToGrid w:val="0"/>
        <w:spacing w:line="440" w:lineRule="exact"/>
        <w:ind w:right="0" w:rightChars="0"/>
        <w:jc w:val="both"/>
        <w:textAlignment w:val="auto"/>
        <w:outlineLvl w:val="9"/>
        <w:rPr>
          <w:rFonts w:hint="eastAsia" w:ascii="宋体" w:hAnsi="宋体" w:eastAsia="宋体" w:cs="宋体"/>
          <w:b/>
          <w:bCs/>
          <w:color w:val="auto"/>
          <w:sz w:val="24"/>
          <w:szCs w:val="24"/>
          <w:highlight w:val="none"/>
          <w:shd w:val="clear" w:color="auto" w:fill="auto"/>
        </w:rPr>
      </w:pPr>
      <w:bookmarkStart w:id="225" w:name="_Toc181721300"/>
      <w:r>
        <w:rPr>
          <w:rFonts w:hint="eastAsia" w:ascii="宋体" w:hAnsi="宋体" w:eastAsia="宋体" w:cs="宋体"/>
          <w:b/>
          <w:bCs/>
          <w:color w:val="auto"/>
          <w:sz w:val="24"/>
          <w:szCs w:val="24"/>
          <w:highlight w:val="none"/>
          <w:shd w:val="clear" w:color="auto" w:fill="auto"/>
          <w:lang w:eastAsia="zh-CN"/>
        </w:rPr>
        <w:t>四、</w:t>
      </w:r>
      <w:bookmarkEnd w:id="225"/>
      <w:r>
        <w:rPr>
          <w:rFonts w:hint="eastAsia" w:ascii="宋体" w:hAnsi="宋体" w:eastAsia="宋体" w:cs="宋体"/>
          <w:b/>
          <w:bCs w:val="0"/>
          <w:sz w:val="24"/>
          <w:szCs w:val="24"/>
          <w:lang w:val="en-US" w:eastAsia="zh-CN"/>
        </w:rPr>
        <w:t>服务要求</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（一）职责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各工作人员必须尽心尽力坚守岗位，认真负责，不得擅自离岗、脱岗，确保安全</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rPr>
        <w:t>严格执行</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有关规章制度，做到遵纪守法；接受群众监督；着装整洁，礼貌待人；工作认真负责。</w:t>
      </w:r>
      <w:r>
        <w:rPr>
          <w:rFonts w:hint="eastAsia" w:ascii="宋体" w:hAnsi="宋体" w:eastAsia="宋体" w:cs="宋体"/>
          <w:color w:val="auto"/>
          <w:sz w:val="24"/>
          <w:szCs w:val="24"/>
          <w:highlight w:val="none"/>
          <w:shd w:val="clear" w:color="auto" w:fill="auto"/>
        </w:rPr>
        <w:t>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各工作人员保持高度警惕性和积极的工作态度，对待群众用语得当，严肃执勤、热情服务，避免与群众发生矛盾，更不得有任何冲突。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各岗位工作人员密切观察所负责区域安全情况，及早发现问题并及早解决。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保安班长周密部署安全岗位，合理安排人员，勤于检查，及时发现和处理问题。如遇较大问题，及时请示分管队长。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如遇突发事件需采取紧急任务时，各岗位人员要迅速按紧急突发事件预案启动工作程序。</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6.安保服务人员</w:t>
      </w:r>
      <w:r>
        <w:rPr>
          <w:rFonts w:hint="eastAsia" w:ascii="宋体" w:hAnsi="宋体" w:eastAsia="宋体" w:cs="宋体"/>
          <w:color w:val="auto"/>
          <w:sz w:val="24"/>
          <w:szCs w:val="24"/>
          <w:highlight w:val="none"/>
          <w:shd w:val="clear" w:color="auto" w:fill="auto"/>
        </w:rPr>
        <w:t>必须服装规范，尽心尽责，及时盘查可疑人员、物品和车辆，及时堵控、抓捕违法犯罪嫌疑人员</w:t>
      </w:r>
      <w:r>
        <w:rPr>
          <w:rFonts w:hint="eastAsia" w:ascii="宋体" w:hAnsi="宋体" w:eastAsia="宋体" w:cs="宋体"/>
          <w:color w:val="auto"/>
          <w:sz w:val="24"/>
          <w:szCs w:val="24"/>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firstLine="480" w:firstLineChars="20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color w:val="auto"/>
          <w:sz w:val="24"/>
          <w:szCs w:val="24"/>
          <w:highlight w:val="none"/>
          <w:shd w:val="clear" w:color="auto" w:fill="auto"/>
          <w:lang w:val="en-US" w:eastAsia="zh-CN"/>
        </w:rPr>
        <w:t>7.中</w:t>
      </w:r>
      <w:r>
        <w:rPr>
          <w:rFonts w:hint="eastAsia" w:ascii="宋体" w:hAnsi="宋体" w:eastAsia="宋体" w:cs="宋体"/>
          <w:bCs/>
          <w:sz w:val="24"/>
          <w:szCs w:val="24"/>
          <w:lang w:val="en-US" w:eastAsia="zh-CN"/>
        </w:rPr>
        <w:t>标人全面负责</w:t>
      </w:r>
      <w:r>
        <w:rPr>
          <w:rFonts w:hint="eastAsia" w:ascii="宋体" w:hAnsi="宋体" w:eastAsia="宋体" w:cs="宋体"/>
          <w:color w:val="auto"/>
          <w:sz w:val="24"/>
          <w:szCs w:val="24"/>
          <w:highlight w:val="none"/>
          <w:shd w:val="clear" w:color="auto" w:fill="auto"/>
          <w:lang w:val="en-US" w:eastAsia="zh-CN"/>
        </w:rPr>
        <w:t>安保</w:t>
      </w:r>
      <w:r>
        <w:rPr>
          <w:rFonts w:hint="eastAsia" w:ascii="宋体" w:hAnsi="宋体" w:eastAsia="宋体" w:cs="宋体"/>
          <w:bCs/>
          <w:sz w:val="24"/>
          <w:szCs w:val="24"/>
          <w:lang w:val="en-US" w:eastAsia="zh-CN"/>
        </w:rPr>
        <w:t>服务人员的劳务用工管理、劳务纠纷处理与社保办理，处理涉及劳动关系的所有事宜，与</w:t>
      </w:r>
      <w:r>
        <w:rPr>
          <w:rFonts w:hint="eastAsia" w:ascii="宋体" w:hAnsi="宋体" w:eastAsia="宋体" w:cs="宋体"/>
          <w:color w:val="auto"/>
          <w:sz w:val="24"/>
          <w:szCs w:val="24"/>
          <w:highlight w:val="none"/>
          <w:shd w:val="clear" w:color="auto" w:fill="auto"/>
          <w:lang w:val="en-US" w:eastAsia="zh-CN"/>
        </w:rPr>
        <w:t>安保</w:t>
      </w:r>
      <w:r>
        <w:rPr>
          <w:rFonts w:hint="eastAsia" w:ascii="宋体" w:hAnsi="宋体" w:eastAsia="宋体" w:cs="宋体"/>
          <w:bCs/>
          <w:sz w:val="24"/>
          <w:szCs w:val="24"/>
          <w:lang w:val="en-US" w:eastAsia="zh-CN"/>
        </w:rPr>
        <w:t>服务人员签订劳动合同，并且提供给采购人备案。</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8.服务责任：因安保服务人员工作失职、故意行为给采购人造成损失的，中标人应当承担</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相应的赔偿责任；因中标人自身原因所引发的一切纠纷，由中标人负完全责任；因安保服务人员发生的人身意外或其他纠纷，由中标人负责处理。</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中标人应制定管理制度，履行服务责任，派遣、调换安保服务人员须得到采购人的同</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意。因中标人自身原因引发管理或劳资纠纷的，由中标人承担由此引发的全部责任。</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left="420" w:leftChars="200" w:right="0" w:rightChars="0" w:firstLine="0" w:firstLine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安保服务人员须从采购人规章制度和工作需要提出的其他管理要求，如中标人和采购</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人的规章制度有冲突时，以采购人的规章制度为准。</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11.在服务过程中，中标人所派驻的安保服务人员必须服从采购人的指挥和管理。</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12.中标人须保证安保服务人员不出现用人空缺，具体岗位安排由采购人根据工作需要进</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行设置。</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13.中标人须落实文明管理服务的措施，提供文明优质的服务。</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14.中标人要依法纳税，要按规定为安保服务人员缴纳社保；中标人应向采购人递交员工</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的工资和为员工购买的社会保险基数等资料，以便采购人监督。</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15.工作时间：全体安保服务人员工作时间根据采购人实际工作需要做具体安排。</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16.中标方须保证其从事本项目的外包服务事项已取得充分足够的行政许可。 </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17.中标方应按采购方标准和要求招聘相应服务人员，采购方有权对中标方提供的服务人</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Cs/>
          <w:sz w:val="24"/>
          <w:szCs w:val="24"/>
          <w:lang w:val="en-US" w:eastAsia="zh-CN"/>
        </w:rPr>
        <w:t>员进行服务资质审查和服务水平考核。若服务人员的服务水平不能满足采购方标准和要求，则采购方有权要求中标方及时更换。</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宋体" w:hAnsi="宋体" w:eastAsia="宋体" w:cs="宋体"/>
          <w:b/>
          <w:color w:val="auto"/>
          <w:sz w:val="24"/>
          <w:szCs w:val="24"/>
          <w:highlight w:val="none"/>
          <w:shd w:val="clear" w:color="auto" w:fill="auto"/>
        </w:rPr>
      </w:pPr>
      <w:bookmarkStart w:id="226" w:name="_Toc352672493"/>
      <w:r>
        <w:rPr>
          <w:rFonts w:hint="eastAsia" w:ascii="宋体" w:hAnsi="宋体" w:eastAsia="宋体" w:cs="宋体"/>
          <w:b/>
          <w:color w:val="auto"/>
          <w:sz w:val="24"/>
          <w:szCs w:val="24"/>
          <w:highlight w:val="none"/>
          <w:shd w:val="clear" w:color="auto" w:fill="auto"/>
        </w:rPr>
        <w:t>（二）管理</w:t>
      </w:r>
      <w:bookmarkEnd w:id="226"/>
      <w:r>
        <w:rPr>
          <w:rFonts w:hint="eastAsia" w:ascii="宋体" w:hAnsi="宋体" w:eastAsia="宋体" w:cs="宋体"/>
          <w:b/>
          <w:color w:val="auto"/>
          <w:sz w:val="24"/>
          <w:szCs w:val="24"/>
          <w:highlight w:val="none"/>
          <w:shd w:val="clear" w:color="auto" w:fill="auto"/>
        </w:rPr>
        <w:t>岗位工作要求</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bookmarkStart w:id="227" w:name="_Toc181721304"/>
      <w:bookmarkStart w:id="228" w:name="_Toc352672494"/>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要求政治思想素质好，热爱保安事业，有较强的责任心。</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要求工作人员体型、外貌端庄，身体健康，无犯罪记录，无劣迹。为人正派，具有正义感。</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要求工作人员必须遵守工作纪律、采购人单位的各项规章制度和员工守则，并能服从管理听指挥。</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rPr>
        <w:t xml:space="preserve">要求保安人员在执勤过程中，依法执勤、文明执勤、规范执勤，及时防范和消除不安全隐患；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投标人应对其上岗人员进行安全、消防、行为规范、法律等知识的上岗培训，上岗人员均应经培训合格后持证上岗。</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6.</w:t>
      </w:r>
      <w:r>
        <w:rPr>
          <w:rFonts w:hint="eastAsia" w:ascii="宋体" w:hAnsi="宋体" w:eastAsia="宋体" w:cs="宋体"/>
          <w:color w:val="auto"/>
          <w:sz w:val="24"/>
          <w:szCs w:val="24"/>
          <w:highlight w:val="none"/>
          <w:shd w:val="clear" w:color="auto" w:fill="auto"/>
        </w:rPr>
        <w:t>工作人员执勤时应统一着装，做到仪表端正、着装整齐、不留长发和胡子。</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7.</w:t>
      </w:r>
      <w:r>
        <w:rPr>
          <w:rFonts w:hint="eastAsia" w:ascii="宋体" w:hAnsi="宋体" w:eastAsia="宋体" w:cs="宋体"/>
          <w:color w:val="auto"/>
          <w:sz w:val="24"/>
          <w:szCs w:val="24"/>
          <w:highlight w:val="none"/>
          <w:shd w:val="clear" w:color="auto" w:fill="auto"/>
        </w:rPr>
        <w:t>上岗人员执勤应恪尽职守，敢于同违法犯罪分子作斗争；</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8.</w:t>
      </w:r>
      <w:r>
        <w:rPr>
          <w:rFonts w:hint="eastAsia" w:ascii="宋体" w:hAnsi="宋体" w:eastAsia="宋体" w:cs="宋体"/>
          <w:color w:val="auto"/>
          <w:sz w:val="24"/>
          <w:szCs w:val="24"/>
          <w:highlight w:val="none"/>
          <w:shd w:val="clear" w:color="auto" w:fill="auto"/>
        </w:rPr>
        <w:t>上岗人员执勤时应振作精神，准时到岗，做到不迟到、不早退、不串岗、不脱岗、不漏更、不旷工。当班期间不得睡觉、看书、看报，不得饮酒、吸烟，严禁赌博。</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9.</w:t>
      </w:r>
      <w:r>
        <w:rPr>
          <w:rFonts w:hint="eastAsia" w:ascii="宋体" w:hAnsi="宋体" w:eastAsia="宋体" w:cs="宋体"/>
          <w:color w:val="auto"/>
          <w:sz w:val="24"/>
          <w:szCs w:val="24"/>
          <w:highlight w:val="none"/>
          <w:shd w:val="clear" w:color="auto" w:fill="auto"/>
        </w:rPr>
        <w:t>前、后两班交接时，保安人员应认真做好交接工作，交接事项应详尽、准确地进行记录。</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10.</w:t>
      </w:r>
      <w:r>
        <w:rPr>
          <w:rFonts w:hint="eastAsia" w:ascii="宋体" w:hAnsi="宋体" w:eastAsia="宋体" w:cs="宋体"/>
          <w:color w:val="auto"/>
          <w:sz w:val="24"/>
          <w:szCs w:val="24"/>
          <w:highlight w:val="none"/>
          <w:shd w:val="clear" w:color="auto" w:fill="auto"/>
        </w:rPr>
        <w:t>巡逻过程中，遇到可疑人员，要礼貌盘查，如有需要，可带至保卫科询问；与其它岗位保持密切联系，及时通报相关情况；认真作好巡逻记录，对各种不安全隐患应及时处置，并详细记录上报；</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大门口其它管理。</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fldChar w:fldCharType="begin"/>
      </w:r>
      <w:r>
        <w:rPr>
          <w:rFonts w:hint="eastAsia" w:ascii="宋体" w:hAnsi="宋体" w:eastAsia="宋体" w:cs="宋体"/>
          <w:color w:val="auto"/>
          <w:sz w:val="24"/>
          <w:szCs w:val="24"/>
          <w:highlight w:val="none"/>
          <w:shd w:val="clear" w:color="auto" w:fill="auto"/>
        </w:rPr>
        <w:instrText xml:space="preserve"> = 1 \* GB3 \* MERGEFORMAT </w:instrText>
      </w:r>
      <w:r>
        <w:rPr>
          <w:rFonts w:hint="eastAsia" w:ascii="宋体" w:hAnsi="宋体" w:eastAsia="宋体" w:cs="宋体"/>
          <w:color w:val="auto"/>
          <w:sz w:val="24"/>
          <w:szCs w:val="24"/>
          <w:highlight w:val="none"/>
          <w:shd w:val="clear" w:color="auto" w:fill="auto"/>
        </w:rPr>
        <w:fldChar w:fldCharType="separate"/>
      </w:r>
      <w:r>
        <w:rPr>
          <w:rFonts w:hint="eastAsia" w:ascii="宋体" w:hAnsi="宋体" w:eastAsia="宋体" w:cs="宋体"/>
          <w:color w:val="auto"/>
          <w:sz w:val="24"/>
          <w:szCs w:val="24"/>
          <w:highlight w:val="none"/>
        </w:rPr>
        <w:t>①</w:t>
      </w:r>
      <w:r>
        <w:rPr>
          <w:rFonts w:hint="eastAsia" w:ascii="宋体" w:hAnsi="宋体" w:eastAsia="宋体" w:cs="宋体"/>
          <w:color w:val="auto"/>
          <w:sz w:val="24"/>
          <w:szCs w:val="24"/>
          <w:highlight w:val="none"/>
          <w:shd w:val="clear" w:color="auto" w:fill="auto"/>
        </w:rPr>
        <w:fldChar w:fldCharType="end"/>
      </w:r>
      <w:r>
        <w:rPr>
          <w:rFonts w:hint="eastAsia" w:ascii="宋体" w:hAnsi="宋体" w:eastAsia="宋体" w:cs="宋体"/>
          <w:color w:val="auto"/>
          <w:sz w:val="24"/>
          <w:szCs w:val="24"/>
          <w:highlight w:val="none"/>
          <w:shd w:val="clear" w:color="auto" w:fill="auto"/>
        </w:rPr>
        <w:t>做好大门外禁停区域管理，严禁黄牛车乱停乱放，时刻保持大门口交通顺畅；</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fldChar w:fldCharType="begin"/>
      </w:r>
      <w:r>
        <w:rPr>
          <w:rFonts w:hint="eastAsia" w:ascii="宋体" w:hAnsi="宋体" w:eastAsia="宋体" w:cs="宋体"/>
          <w:color w:val="auto"/>
          <w:sz w:val="24"/>
          <w:szCs w:val="24"/>
          <w:highlight w:val="none"/>
          <w:shd w:val="clear" w:color="auto" w:fill="auto"/>
        </w:rPr>
        <w:instrText xml:space="preserve"> = 2 \* GB3 \* MERGEFORMAT </w:instrText>
      </w:r>
      <w:r>
        <w:rPr>
          <w:rFonts w:hint="eastAsia" w:ascii="宋体" w:hAnsi="宋体" w:eastAsia="宋体" w:cs="宋体"/>
          <w:color w:val="auto"/>
          <w:sz w:val="24"/>
          <w:szCs w:val="24"/>
          <w:highlight w:val="none"/>
          <w:shd w:val="clear" w:color="auto" w:fill="auto"/>
        </w:rPr>
        <w:fldChar w:fldCharType="separate"/>
      </w:r>
      <w:r>
        <w:rPr>
          <w:rFonts w:hint="eastAsia" w:ascii="宋体" w:hAnsi="宋体" w:eastAsia="宋体" w:cs="宋体"/>
          <w:color w:val="auto"/>
          <w:sz w:val="24"/>
          <w:szCs w:val="24"/>
          <w:highlight w:val="none"/>
        </w:rPr>
        <w:t>②</w:t>
      </w:r>
      <w:r>
        <w:rPr>
          <w:rFonts w:hint="eastAsia" w:ascii="宋体" w:hAnsi="宋体" w:eastAsia="宋体" w:cs="宋体"/>
          <w:color w:val="auto"/>
          <w:sz w:val="24"/>
          <w:szCs w:val="24"/>
          <w:highlight w:val="none"/>
          <w:shd w:val="clear" w:color="auto" w:fill="auto"/>
        </w:rPr>
        <w:fldChar w:fldCharType="end"/>
      </w:r>
      <w:r>
        <w:rPr>
          <w:rFonts w:hint="eastAsia" w:ascii="宋体" w:hAnsi="宋体" w:eastAsia="宋体" w:cs="宋体"/>
          <w:color w:val="auto"/>
          <w:sz w:val="24"/>
          <w:szCs w:val="24"/>
          <w:highlight w:val="none"/>
          <w:shd w:val="clear" w:color="auto" w:fill="auto"/>
        </w:rPr>
        <w:t>保持门岗周围和值班室内的清洁卫生。</w:t>
      </w:r>
    </w:p>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rPr>
        <w:t>（三）门卫车辆管理</w:t>
      </w:r>
      <w:bookmarkEnd w:id="227"/>
      <w:bookmarkEnd w:id="228"/>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bookmarkStart w:id="229" w:name="_Toc352672495"/>
      <w:bookmarkStart w:id="230" w:name="_Toc181721305"/>
      <w:r>
        <w:rPr>
          <w:rFonts w:hint="eastAsia" w:ascii="宋体" w:hAnsi="宋体" w:eastAsia="宋体" w:cs="宋体"/>
          <w:color w:val="auto"/>
          <w:sz w:val="24"/>
          <w:szCs w:val="24"/>
          <w:highlight w:val="none"/>
          <w:shd w:val="clear" w:color="auto" w:fill="auto"/>
          <w:lang w:val="en-US" w:eastAsia="zh-CN"/>
        </w:rPr>
        <w:t>1.</w:t>
      </w:r>
      <w:r>
        <w:rPr>
          <w:rFonts w:hint="eastAsia" w:ascii="宋体" w:hAnsi="宋体" w:eastAsia="宋体" w:cs="宋体"/>
          <w:color w:val="auto"/>
          <w:sz w:val="24"/>
          <w:szCs w:val="24"/>
          <w:highlight w:val="none"/>
          <w:shd w:val="clear" w:color="auto" w:fill="auto"/>
        </w:rPr>
        <w:t>引导车辆的驶入与停放；</w:t>
      </w:r>
      <w:bookmarkEnd w:id="229"/>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bookmarkStart w:id="231" w:name="_Toc352672496"/>
      <w:r>
        <w:rPr>
          <w:rFonts w:hint="eastAsia" w:ascii="宋体" w:hAnsi="宋体" w:eastAsia="宋体" w:cs="宋体"/>
          <w:color w:val="auto"/>
          <w:sz w:val="24"/>
          <w:szCs w:val="24"/>
          <w:highlight w:val="none"/>
          <w:shd w:val="clear" w:color="auto" w:fill="auto"/>
          <w:lang w:val="en-US" w:eastAsia="zh-CN"/>
        </w:rPr>
        <w:t>2.</w:t>
      </w:r>
      <w:r>
        <w:rPr>
          <w:rFonts w:hint="eastAsia" w:ascii="宋体" w:hAnsi="宋体" w:eastAsia="宋体" w:cs="宋体"/>
          <w:color w:val="auto"/>
          <w:sz w:val="24"/>
          <w:szCs w:val="24"/>
          <w:highlight w:val="none"/>
          <w:shd w:val="clear" w:color="auto" w:fill="auto"/>
        </w:rPr>
        <w:t>外来无通行证车辆未经许可，不可进入院内；</w:t>
      </w:r>
      <w:bookmarkEnd w:id="231"/>
      <w:bookmarkStart w:id="232" w:name="_Toc352672498"/>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3.</w:t>
      </w:r>
      <w:r>
        <w:rPr>
          <w:rFonts w:hint="eastAsia" w:ascii="宋体" w:hAnsi="宋体" w:eastAsia="宋体" w:cs="宋体"/>
          <w:color w:val="auto"/>
          <w:sz w:val="24"/>
          <w:szCs w:val="24"/>
          <w:highlight w:val="none"/>
          <w:shd w:val="clear" w:color="auto" w:fill="auto"/>
        </w:rPr>
        <w:t>驶入院内的车辆，均需减速慢行；</w:t>
      </w:r>
      <w:bookmarkEnd w:id="232"/>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bookmarkStart w:id="233" w:name="_Toc352672501"/>
      <w:r>
        <w:rPr>
          <w:rFonts w:hint="eastAsia" w:ascii="宋体" w:hAnsi="宋体" w:eastAsia="宋体" w:cs="宋体"/>
          <w:color w:val="auto"/>
          <w:sz w:val="24"/>
          <w:szCs w:val="24"/>
          <w:highlight w:val="none"/>
          <w:shd w:val="clear" w:color="auto" w:fill="auto"/>
          <w:lang w:val="en-US" w:eastAsia="zh-CN"/>
        </w:rPr>
        <w:t>4.</w:t>
      </w:r>
      <w:r>
        <w:rPr>
          <w:rFonts w:hint="eastAsia" w:ascii="宋体" w:hAnsi="宋体" w:eastAsia="宋体" w:cs="宋体"/>
          <w:color w:val="auto"/>
          <w:sz w:val="24"/>
          <w:szCs w:val="24"/>
          <w:highlight w:val="none"/>
          <w:shd w:val="clear" w:color="auto" w:fill="auto"/>
        </w:rPr>
        <w:t>随时巡查车辆停放情况及车辆的车况，遇有门未锁、灯未关、漏油、漏水等现象发生时，及时通知车主；</w:t>
      </w:r>
      <w:bookmarkEnd w:id="233"/>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bookmarkStart w:id="234" w:name="_Toc352672502"/>
      <w:r>
        <w:rPr>
          <w:rFonts w:hint="eastAsia" w:ascii="宋体" w:hAnsi="宋体" w:eastAsia="宋体" w:cs="宋体"/>
          <w:color w:val="auto"/>
          <w:sz w:val="24"/>
          <w:szCs w:val="24"/>
          <w:highlight w:val="none"/>
          <w:shd w:val="clear" w:color="auto" w:fill="auto"/>
          <w:lang w:val="en-US" w:eastAsia="zh-CN"/>
        </w:rPr>
        <w:t>5.</w:t>
      </w:r>
      <w:r>
        <w:rPr>
          <w:rFonts w:hint="eastAsia" w:ascii="宋体" w:hAnsi="宋体" w:eastAsia="宋体" w:cs="宋体"/>
          <w:color w:val="auto"/>
          <w:sz w:val="24"/>
          <w:szCs w:val="24"/>
          <w:highlight w:val="none"/>
          <w:shd w:val="clear" w:color="auto" w:fill="auto"/>
        </w:rPr>
        <w:t>停车场内无货物堆积、道路阻塞现象；</w:t>
      </w:r>
      <w:bookmarkEnd w:id="234"/>
    </w:p>
    <w:bookmarkEnd w:id="230"/>
    <w:p>
      <w:pPr>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宋体" w:hAnsi="宋体" w:eastAsia="宋体" w:cs="宋体"/>
          <w:b/>
          <w:color w:val="auto"/>
          <w:sz w:val="24"/>
          <w:szCs w:val="24"/>
          <w:highlight w:val="none"/>
          <w:shd w:val="clear" w:color="auto" w:fill="auto"/>
        </w:rPr>
      </w:pPr>
      <w:r>
        <w:rPr>
          <w:rFonts w:hint="eastAsia" w:ascii="宋体" w:hAnsi="宋体" w:eastAsia="宋体" w:cs="宋体"/>
          <w:b/>
          <w:color w:val="auto"/>
          <w:sz w:val="24"/>
          <w:szCs w:val="24"/>
          <w:highlight w:val="none"/>
          <w:shd w:val="clear" w:color="auto" w:fill="auto"/>
          <w:lang w:eastAsia="zh-CN"/>
        </w:rPr>
        <w:t>（四）</w:t>
      </w:r>
      <w:r>
        <w:rPr>
          <w:rFonts w:hint="eastAsia" w:ascii="宋体" w:hAnsi="宋体" w:eastAsia="宋体" w:cs="宋体"/>
          <w:b/>
          <w:color w:val="auto"/>
          <w:sz w:val="24"/>
          <w:szCs w:val="24"/>
          <w:highlight w:val="none"/>
          <w:shd w:val="clear" w:color="auto" w:fill="auto"/>
        </w:rPr>
        <w:t>意识培养</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0" w:leftChars="0"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投标人培养上岗人员的服务管理意识，提高队员的工作意识，确保任务完成到位。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shd w:val="clear" w:color="auto" w:fill="auto"/>
          <w:lang w:eastAsia="zh-CN"/>
        </w:rPr>
        <w:t>五、</w:t>
      </w:r>
      <w:r>
        <w:rPr>
          <w:rFonts w:hint="eastAsia" w:ascii="宋体" w:hAnsi="宋体" w:eastAsia="宋体" w:cs="宋体"/>
          <w:b/>
          <w:bCs/>
          <w:color w:val="auto"/>
          <w:sz w:val="24"/>
          <w:szCs w:val="24"/>
          <w:highlight w:val="none"/>
        </w:rPr>
        <w:t>其它要求</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1.上岗人员管理指导思想：注重形象、保障安全。</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中标供应商在收到《中标通知书》后，签订合同前3天内提供符合招标要求的上岗人员名单、无犯罪证明、身份证复印件、健康体检表、上岗资格证等资料给镇政府，并按照招标文件和中标文件的要求安排上岗人员。如不按照要求提供</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 xml:space="preserve">将拒签合同。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3.中标供应商派驻镇政府的工作人员的撤换或辞退必须经镇分管领导同意认可。如因此造成人数的空缺，</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供应商应在保证各上岗正常执勤的前提下，在3个工作日内予以补充。</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4.工作人员有下列情况之一的，用户单位有权要求</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供应商撤换上岗人员，</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供应商必须在收到用户单位书面通知3个工作日内予以撤换：</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4.1违反镇政府有关管理规定被有效投诉3次的；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4.2工作失职给镇政府造成损失的；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4.3工作期间聚众闲谈、睡觉或干工作无关的事项，影响恶劣的；</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4.4 因其他原因违法犯罪被处罚的</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b/>
          <w:color w:val="auto"/>
          <w:sz w:val="24"/>
          <w:szCs w:val="24"/>
          <w:highlight w:val="none"/>
        </w:rPr>
        <w:t>社会保险：</w:t>
      </w:r>
      <w:r>
        <w:rPr>
          <w:rFonts w:hint="eastAsia" w:ascii="宋体" w:hAnsi="宋体" w:eastAsia="宋体" w:cs="宋体"/>
          <w:color w:val="auto"/>
          <w:sz w:val="24"/>
          <w:szCs w:val="24"/>
          <w:highlight w:val="none"/>
        </w:rPr>
        <w:t>（除必须的各种社保外，还应包括第三者责任保险和员工人身意外保险）</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5.1</w:t>
      </w:r>
      <w:r>
        <w:rPr>
          <w:rFonts w:hint="eastAsia" w:ascii="宋体" w:hAnsi="宋体" w:eastAsia="宋体" w:cs="宋体"/>
          <w:color w:val="auto"/>
          <w:sz w:val="24"/>
          <w:szCs w:val="24"/>
          <w:highlight w:val="none"/>
        </w:rPr>
        <w:t>第三者责任保险：中标供应商应</w:t>
      </w:r>
      <w:r>
        <w:rPr>
          <w:rFonts w:hint="eastAsia" w:ascii="宋体" w:hAnsi="宋体" w:eastAsia="宋体" w:cs="宋体"/>
          <w:color w:val="auto"/>
          <w:sz w:val="24"/>
          <w:szCs w:val="24"/>
          <w:highlight w:val="none"/>
          <w:lang w:eastAsia="zh-CN"/>
        </w:rPr>
        <w:t>按采购人要求</w:t>
      </w:r>
      <w:r>
        <w:rPr>
          <w:rFonts w:hint="eastAsia" w:ascii="宋体" w:hAnsi="宋体" w:eastAsia="宋体" w:cs="宋体"/>
          <w:color w:val="auto"/>
          <w:sz w:val="24"/>
          <w:szCs w:val="24"/>
          <w:highlight w:val="none"/>
        </w:rPr>
        <w:t>为工作人员投保，以保证在服务期间人员和财产以外遭受损失时得到补偿。</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5.2</w:t>
      </w:r>
      <w:r>
        <w:rPr>
          <w:rFonts w:hint="eastAsia" w:ascii="宋体" w:hAnsi="宋体" w:eastAsia="宋体" w:cs="宋体"/>
          <w:color w:val="auto"/>
          <w:sz w:val="24"/>
          <w:szCs w:val="24"/>
          <w:highlight w:val="none"/>
        </w:rPr>
        <w:t>员工人身意外保险：在安保服务期内，中标供应商应为其员工投保人身意外险，以保证业主在</w:t>
      </w: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供应商工作人员索偿时不受任何责任的约束。</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6.工资福利</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480"/>
        <w:jc w:val="both"/>
        <w:textAlignment w:val="auto"/>
        <w:rPr>
          <w:rFonts w:hint="eastAsia" w:ascii="宋体" w:hAnsi="宋体" w:eastAsia="宋体" w:cs="宋体"/>
          <w:bCs/>
          <w:kern w:val="2"/>
          <w:sz w:val="24"/>
          <w:szCs w:val="24"/>
          <w:lang w:val="en-US" w:eastAsia="zh-CN" w:bidi="ar-SA"/>
        </w:rPr>
      </w:pPr>
      <w:r>
        <w:rPr>
          <w:rFonts w:hint="eastAsia" w:ascii="宋体" w:hAnsi="宋体" w:eastAsia="宋体" w:cs="宋体"/>
          <w:bCs/>
          <w:kern w:val="2"/>
          <w:sz w:val="24"/>
          <w:szCs w:val="24"/>
          <w:lang w:val="en-US" w:eastAsia="zh-CN" w:bidi="ar-SA"/>
        </w:rPr>
        <w:t>6.1中标方须按不低于双方约定的标准发放和缴纳服务人员的工资、加班工资、五险一金、福利劳保等。同时中标方应向采购人提供所有服务岗位的用工合同备案，按月向采购人提供相关服务人员的工资发放清单。</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6.2中标方提供本项目相应服务人员等安保服务收取的管理费（含利润）、税金比例按实际招标结果确定，其发生的所有费用均纳入安保服务外包费用。</w:t>
      </w:r>
    </w:p>
    <w:p>
      <w:pPr>
        <w:pStyle w:val="19"/>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Cs/>
          <w:kern w:val="2"/>
          <w:sz w:val="24"/>
          <w:szCs w:val="24"/>
          <w:lang w:val="en-US" w:eastAsia="zh-CN" w:bidi="ar-SA"/>
        </w:rPr>
        <w:t>6.3工</w:t>
      </w:r>
      <w:r>
        <w:rPr>
          <w:rFonts w:hint="eastAsia" w:ascii="宋体" w:hAnsi="宋体" w:eastAsia="宋体" w:cs="宋体"/>
          <w:bCs/>
          <w:sz w:val="24"/>
          <w:szCs w:val="24"/>
          <w:lang w:val="en-US" w:eastAsia="zh-CN"/>
        </w:rPr>
        <w:t>时：实行国家、省规定的工时制度。</w:t>
      </w:r>
    </w:p>
    <w:p>
      <w:pPr>
        <w:numPr>
          <w:ilvl w:val="0"/>
          <w:numId w:val="0"/>
        </w:numPr>
        <w:spacing w:line="440" w:lineRule="exact"/>
        <w:rPr>
          <w:rFonts w:hint="eastAsia" w:ascii="宋体" w:hAnsi="宋体"/>
          <w:b/>
          <w:color w:val="auto"/>
          <w:sz w:val="24"/>
          <w:szCs w:val="24"/>
          <w:highlight w:val="none"/>
        </w:rPr>
      </w:pPr>
      <w:r>
        <w:rPr>
          <w:rFonts w:hint="eastAsia" w:ascii="宋体" w:hAnsi="宋体"/>
          <w:b/>
          <w:color w:val="auto"/>
          <w:sz w:val="24"/>
          <w:szCs w:val="24"/>
          <w:highlight w:val="none"/>
          <w:lang w:eastAsia="zh-CN"/>
        </w:rPr>
        <w:t>六、</w:t>
      </w:r>
      <w:r>
        <w:rPr>
          <w:rFonts w:hint="eastAsia" w:ascii="宋体" w:hAnsi="宋体"/>
          <w:b/>
          <w:color w:val="auto"/>
          <w:sz w:val="24"/>
          <w:szCs w:val="24"/>
          <w:highlight w:val="none"/>
        </w:rPr>
        <w:t>商务要求</w:t>
      </w:r>
    </w:p>
    <w:tbl>
      <w:tblPr>
        <w:tblStyle w:val="47"/>
        <w:tblW w:w="0" w:type="auto"/>
        <w:tblInd w:w="9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2"/>
        <w:gridCol w:w="83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名称</w:t>
            </w:r>
          </w:p>
        </w:tc>
        <w:tc>
          <w:tcPr>
            <w:tcW w:w="8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履约保证金</w:t>
            </w:r>
          </w:p>
        </w:tc>
        <w:tc>
          <w:tcPr>
            <w:tcW w:w="8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履约保证金</w:t>
            </w:r>
            <w:r>
              <w:rPr>
                <w:rFonts w:hint="eastAsia" w:ascii="宋体" w:hAnsi="宋体" w:eastAsia="宋体" w:cs="宋体"/>
                <w:color w:val="auto"/>
                <w:kern w:val="0"/>
                <w:sz w:val="24"/>
                <w:szCs w:val="24"/>
                <w:highlight w:val="none"/>
                <w:lang w:eastAsia="zh-CN" w:bidi="ar"/>
              </w:rPr>
              <w:t>壹拾万元整</w:t>
            </w:r>
            <w:r>
              <w:rPr>
                <w:rFonts w:hint="eastAsia" w:ascii="宋体" w:hAnsi="宋体" w:eastAsia="宋体" w:cs="宋体"/>
                <w:color w:val="auto"/>
                <w:kern w:val="0"/>
                <w:sz w:val="24"/>
                <w:szCs w:val="24"/>
                <w:highlight w:val="none"/>
                <w:lang w:bidi="ar"/>
              </w:rPr>
              <w:t>，中标人应在收到中标通知书之日起5个工作日内向</w:t>
            </w:r>
            <w:r>
              <w:rPr>
                <w:rFonts w:hint="eastAsia" w:ascii="宋体" w:hAnsi="宋体" w:eastAsia="宋体" w:cs="宋体"/>
                <w:color w:val="auto"/>
                <w:kern w:val="0"/>
                <w:sz w:val="24"/>
                <w:szCs w:val="24"/>
                <w:highlight w:val="none"/>
                <w:lang w:eastAsia="zh-CN" w:bidi="ar"/>
              </w:rPr>
              <w:t>采购</w:t>
            </w:r>
            <w:r>
              <w:rPr>
                <w:rFonts w:hint="eastAsia" w:ascii="宋体" w:hAnsi="宋体" w:eastAsia="宋体" w:cs="宋体"/>
                <w:color w:val="auto"/>
                <w:kern w:val="0"/>
                <w:sz w:val="24"/>
                <w:szCs w:val="24"/>
                <w:highlight w:val="none"/>
                <w:lang w:bidi="ar"/>
              </w:rPr>
              <w:t>人交付履约保证金，否则，视为中标人放弃中标。</w:t>
            </w:r>
            <w:r>
              <w:rPr>
                <w:rFonts w:hint="eastAsia" w:ascii="宋体" w:hAnsi="宋体" w:eastAsia="宋体" w:cs="宋体"/>
                <w:color w:val="auto"/>
                <w:kern w:val="0"/>
                <w:sz w:val="24"/>
                <w:szCs w:val="24"/>
                <w:highlight w:val="none"/>
                <w:lang w:eastAsia="zh-CN" w:bidi="ar"/>
              </w:rPr>
              <w:t>服务期满后无质量问题</w:t>
            </w:r>
            <w:r>
              <w:rPr>
                <w:rFonts w:hint="eastAsia" w:ascii="宋体" w:hAnsi="宋体" w:eastAsia="宋体" w:cs="宋体"/>
                <w:color w:val="auto"/>
                <w:kern w:val="0"/>
                <w:sz w:val="24"/>
                <w:szCs w:val="24"/>
                <w:highlight w:val="none"/>
                <w:lang w:bidi="ar"/>
              </w:rPr>
              <w:t>10日内</w:t>
            </w:r>
            <w:r>
              <w:rPr>
                <w:rFonts w:hint="eastAsia" w:ascii="宋体" w:hAnsi="宋体" w:eastAsia="宋体" w:cs="宋体"/>
                <w:color w:val="auto"/>
                <w:kern w:val="0"/>
                <w:sz w:val="24"/>
                <w:szCs w:val="24"/>
                <w:highlight w:val="none"/>
                <w:lang w:eastAsia="zh-CN" w:bidi="ar"/>
              </w:rPr>
              <w:t>（无息）</w:t>
            </w:r>
            <w:r>
              <w:rPr>
                <w:rFonts w:hint="eastAsia" w:ascii="宋体" w:hAnsi="宋体" w:eastAsia="宋体" w:cs="宋体"/>
                <w:color w:val="auto"/>
                <w:kern w:val="0"/>
                <w:sz w:val="24"/>
                <w:szCs w:val="24"/>
                <w:highlight w:val="none"/>
                <w:lang w:bidi="ar"/>
              </w:rPr>
              <w:t>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服务期及服务地点</w:t>
            </w:r>
          </w:p>
        </w:tc>
        <w:tc>
          <w:tcPr>
            <w:tcW w:w="8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300" w:lineRule="exac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服务地点：</w:t>
            </w:r>
            <w:r>
              <w:rPr>
                <w:rFonts w:hint="eastAsia" w:ascii="宋体" w:hAnsi="宋体" w:eastAsia="宋体" w:cs="宋体"/>
                <w:bCs/>
                <w:color w:val="auto"/>
                <w:sz w:val="24"/>
                <w:szCs w:val="24"/>
                <w:highlight w:val="none"/>
                <w:lang w:eastAsia="zh-CN"/>
              </w:rPr>
              <w:t>嵊州</w:t>
            </w:r>
            <w:r>
              <w:rPr>
                <w:rFonts w:hint="eastAsia" w:ascii="宋体" w:hAnsi="宋体" w:eastAsia="宋体" w:cs="宋体"/>
                <w:bCs/>
                <w:color w:val="auto"/>
                <w:sz w:val="24"/>
                <w:szCs w:val="24"/>
                <w:highlight w:val="none"/>
                <w:lang w:val="en-US" w:eastAsia="zh-CN"/>
              </w:rPr>
              <w:t>崇仁镇</w:t>
            </w:r>
            <w:r>
              <w:rPr>
                <w:rFonts w:hint="eastAsia" w:ascii="宋体" w:hAnsi="宋体" w:eastAsia="宋体" w:cs="宋体"/>
                <w:bCs/>
                <w:color w:val="auto"/>
                <w:sz w:val="24"/>
                <w:szCs w:val="24"/>
                <w:highlight w:val="none"/>
                <w:lang w:eastAsia="zh-CN"/>
              </w:rPr>
              <w:t>境内。</w:t>
            </w:r>
          </w:p>
          <w:p>
            <w:pPr>
              <w:keepNext w:val="0"/>
              <w:keepLines w:val="0"/>
              <w:pageBreakBefore w:val="0"/>
              <w:kinsoku/>
              <w:wordWrap/>
              <w:overflowPunct/>
              <w:topLinePunct w:val="0"/>
              <w:autoSpaceDE/>
              <w:autoSpaceDN/>
              <w:bidi w:val="0"/>
              <w:adjustRightInd/>
              <w:snapToGrid w:val="0"/>
              <w:spacing w:line="300" w:lineRule="exact"/>
              <w:jc w:val="left"/>
              <w:textAlignment w:val="auto"/>
              <w:rPr>
                <w:rFonts w:hint="eastAsia" w:ascii="宋体" w:hAnsi="宋体" w:eastAsia="宋体" w:cs="宋体"/>
                <w:color w:val="auto"/>
                <w:kern w:val="0"/>
                <w:sz w:val="24"/>
                <w:szCs w:val="24"/>
                <w:highlight w:val="none"/>
                <w:lang w:bidi="ar"/>
              </w:rPr>
            </w:pPr>
            <w:r>
              <w:rPr>
                <w:rFonts w:hint="eastAsia" w:ascii="宋体" w:hAnsi="宋体" w:eastAsia="宋体" w:cs="宋体"/>
                <w:bCs/>
                <w:color w:val="auto"/>
                <w:sz w:val="24"/>
                <w:szCs w:val="24"/>
                <w:highlight w:val="none"/>
                <w:lang w:eastAsia="zh-CN"/>
              </w:rPr>
              <w:t>服务</w:t>
            </w:r>
            <w:r>
              <w:rPr>
                <w:rFonts w:hint="eastAsia" w:ascii="宋体" w:hAnsi="宋体" w:eastAsia="宋体" w:cs="宋体"/>
                <w:bCs/>
                <w:color w:val="auto"/>
                <w:sz w:val="24"/>
                <w:szCs w:val="24"/>
                <w:highlight w:val="none"/>
              </w:rPr>
              <w:t>期：</w:t>
            </w:r>
            <w:r>
              <w:rPr>
                <w:rFonts w:hint="eastAsia" w:ascii="宋体" w:hAnsi="宋体" w:cs="宋体"/>
                <w:color w:val="auto"/>
                <w:kern w:val="0"/>
                <w:sz w:val="24"/>
                <w:highlight w:val="none"/>
                <w:lang w:val="en-US" w:eastAsia="zh-CN"/>
              </w:rPr>
              <w:t>2</w:t>
            </w:r>
            <w:r>
              <w:rPr>
                <w:rFonts w:hint="eastAsia" w:ascii="宋体" w:hAnsi="宋体" w:eastAsia="宋体" w:cs="宋体"/>
                <w:color w:val="auto"/>
                <w:sz w:val="24"/>
                <w:szCs w:val="24"/>
                <w:highlight w:val="none"/>
                <w:vertAlign w:val="baseline"/>
                <w:lang w:val="en-US" w:eastAsia="zh-CN"/>
              </w:rPr>
              <w:t>年。（</w:t>
            </w:r>
            <w:r>
              <w:rPr>
                <w:rFonts w:hint="eastAsia" w:ascii="新宋体" w:hAnsi="新宋体" w:eastAsia="新宋体"/>
                <w:color w:val="auto"/>
                <w:sz w:val="24"/>
                <w:highlight w:val="none"/>
                <w:lang w:eastAsia="zh-CN"/>
              </w:rPr>
              <w:t>采购人</w:t>
            </w:r>
            <w:r>
              <w:rPr>
                <w:rFonts w:hint="eastAsia" w:ascii="新宋体" w:hAnsi="新宋体" w:eastAsia="新宋体"/>
                <w:color w:val="auto"/>
                <w:sz w:val="24"/>
                <w:highlight w:val="none"/>
              </w:rPr>
              <w:t>因工作需要，需中止合同的，</w:t>
            </w:r>
            <w:r>
              <w:rPr>
                <w:rFonts w:hint="eastAsia" w:ascii="新宋体" w:hAnsi="新宋体" w:eastAsia="新宋体"/>
                <w:color w:val="auto"/>
                <w:sz w:val="24"/>
                <w:highlight w:val="none"/>
                <w:lang w:eastAsia="zh-CN"/>
              </w:rPr>
              <w:t>采购人</w:t>
            </w:r>
            <w:r>
              <w:rPr>
                <w:rFonts w:hint="eastAsia" w:ascii="新宋体" w:hAnsi="新宋体" w:eastAsia="新宋体"/>
                <w:color w:val="auto"/>
                <w:sz w:val="24"/>
                <w:highlight w:val="none"/>
              </w:rPr>
              <w:t>需提前一个月通知</w:t>
            </w:r>
            <w:r>
              <w:rPr>
                <w:rFonts w:hint="eastAsia" w:ascii="新宋体" w:hAnsi="新宋体" w:eastAsia="新宋体"/>
                <w:color w:val="auto"/>
                <w:sz w:val="24"/>
                <w:highlight w:val="none"/>
                <w:lang w:eastAsia="zh-CN"/>
              </w:rPr>
              <w:t>中标人</w:t>
            </w:r>
            <w:r>
              <w:rPr>
                <w:rFonts w:hint="eastAsia" w:ascii="新宋体" w:hAnsi="新宋体" w:eastAsia="新宋体"/>
                <w:color w:val="auto"/>
                <w:sz w:val="24"/>
                <w:highlight w:val="none"/>
              </w:rPr>
              <w:t>；</w:t>
            </w:r>
            <w:r>
              <w:rPr>
                <w:rFonts w:hint="eastAsia" w:ascii="新宋体" w:hAnsi="新宋体" w:eastAsia="新宋体"/>
                <w:color w:val="auto"/>
                <w:sz w:val="24"/>
                <w:highlight w:val="none"/>
                <w:lang w:eastAsia="zh-CN"/>
              </w:rPr>
              <w:t>采购人</w:t>
            </w:r>
            <w:r>
              <w:rPr>
                <w:rFonts w:hint="eastAsia" w:ascii="新宋体" w:hAnsi="新宋体" w:eastAsia="新宋体"/>
                <w:color w:val="auto"/>
                <w:sz w:val="24"/>
                <w:highlight w:val="none"/>
              </w:rPr>
              <w:t>根据工作需要需增减劳务人数，应提前15天通知</w:t>
            </w:r>
            <w:r>
              <w:rPr>
                <w:rFonts w:hint="eastAsia" w:ascii="新宋体" w:hAnsi="新宋体" w:eastAsia="新宋体"/>
                <w:color w:val="auto"/>
                <w:sz w:val="24"/>
                <w:highlight w:val="none"/>
                <w:lang w:eastAsia="zh-CN"/>
              </w:rPr>
              <w:t>中标人</w:t>
            </w:r>
            <w:r>
              <w:rPr>
                <w:rFonts w:hint="eastAsia" w:ascii="新宋体" w:hAnsi="新宋体" w:eastAsia="新宋体"/>
                <w:color w:val="auto"/>
                <w:sz w:val="24"/>
                <w:highlight w:val="none"/>
              </w:rPr>
              <w:t>。派遣的劳务人员日常工作由</w:t>
            </w:r>
            <w:r>
              <w:rPr>
                <w:rFonts w:hint="eastAsia" w:ascii="新宋体" w:hAnsi="新宋体" w:eastAsia="新宋体"/>
                <w:color w:val="auto"/>
                <w:sz w:val="24"/>
                <w:highlight w:val="none"/>
                <w:lang w:eastAsia="zh-CN"/>
              </w:rPr>
              <w:t>采购人、中标人</w:t>
            </w:r>
            <w:r>
              <w:rPr>
                <w:rFonts w:hint="eastAsia" w:ascii="新宋体" w:hAnsi="新宋体" w:eastAsia="新宋体"/>
                <w:color w:val="auto"/>
                <w:sz w:val="24"/>
                <w:highlight w:val="none"/>
              </w:rPr>
              <w:t>双方共同管理。</w:t>
            </w:r>
            <w:r>
              <w:rPr>
                <w:rFonts w:hint="eastAsia" w:ascii="宋体" w:hAnsi="宋体" w:eastAsia="宋体" w:cs="宋体"/>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rPr>
              <w:t>付款</w:t>
            </w:r>
            <w:r>
              <w:rPr>
                <w:rFonts w:hint="eastAsia" w:ascii="宋体" w:hAnsi="宋体"/>
                <w:color w:val="auto"/>
                <w:sz w:val="24"/>
                <w:szCs w:val="24"/>
                <w:highlight w:val="none"/>
                <w:lang w:eastAsia="zh-CN"/>
              </w:rPr>
              <w:t>方式</w:t>
            </w:r>
          </w:p>
        </w:tc>
        <w:tc>
          <w:tcPr>
            <w:tcW w:w="8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rFonts w:hint="eastAsia" w:hAnsi="宋体" w:eastAsia="宋体"/>
                <w:b/>
                <w:color w:val="auto"/>
                <w:sz w:val="24"/>
                <w:szCs w:val="24"/>
                <w:highlight w:val="none"/>
                <w:lang w:eastAsia="zh-CN"/>
              </w:rPr>
            </w:pPr>
            <w:r>
              <w:rPr>
                <w:rFonts w:hint="eastAsia" w:hAnsi="宋体" w:eastAsia="宋体"/>
                <w:b w:val="0"/>
                <w:bCs/>
                <w:color w:val="auto"/>
                <w:sz w:val="24"/>
                <w:szCs w:val="24"/>
                <w:highlight w:val="none"/>
                <w:lang w:eastAsia="zh-CN"/>
              </w:rPr>
              <w:t>结算方式为每月结算一次，</w:t>
            </w:r>
            <w:r>
              <w:rPr>
                <w:rFonts w:hint="eastAsia" w:ascii="宋体" w:hAnsi="宋体" w:cs="宋体"/>
                <w:b w:val="0"/>
                <w:bCs/>
                <w:snapToGrid w:val="0"/>
                <w:kern w:val="0"/>
                <w:sz w:val="24"/>
                <w:highlight w:val="none"/>
                <w:lang w:val="en-US" w:eastAsia="zh-CN"/>
              </w:rPr>
              <w:t>中标方每月月底凭安保服务费发票</w:t>
            </w:r>
            <w:r>
              <w:rPr>
                <w:rFonts w:hint="eastAsia" w:ascii="新宋体" w:hAnsi="新宋体" w:eastAsia="新宋体"/>
                <w:b w:val="0"/>
                <w:bCs/>
                <w:color w:val="000000"/>
                <w:sz w:val="24"/>
                <w:highlight w:val="none"/>
              </w:rPr>
              <w:t>和</w:t>
            </w:r>
            <w:r>
              <w:rPr>
                <w:rFonts w:hint="eastAsia" w:ascii="新宋体" w:hAnsi="新宋体" w:eastAsia="新宋体"/>
                <w:b w:val="0"/>
                <w:bCs/>
                <w:color w:val="000000"/>
                <w:sz w:val="24"/>
                <w:highlight w:val="none"/>
                <w:lang w:eastAsia="zh-CN"/>
              </w:rPr>
              <w:t>服务人员</w:t>
            </w:r>
            <w:r>
              <w:rPr>
                <w:rFonts w:hint="eastAsia" w:ascii="新宋体" w:hAnsi="新宋体" w:eastAsia="新宋体"/>
                <w:b w:val="0"/>
                <w:bCs/>
                <w:color w:val="000000"/>
                <w:sz w:val="24"/>
                <w:highlight w:val="none"/>
              </w:rPr>
              <w:t>工资发放凭证复印件</w:t>
            </w:r>
            <w:r>
              <w:rPr>
                <w:rFonts w:hint="eastAsia" w:ascii="宋体" w:hAnsi="宋体" w:cs="宋体"/>
                <w:b w:val="0"/>
                <w:bCs/>
                <w:snapToGrid w:val="0"/>
                <w:kern w:val="0"/>
                <w:sz w:val="24"/>
                <w:highlight w:val="none"/>
                <w:lang w:val="en-US" w:eastAsia="zh-CN"/>
              </w:rPr>
              <w:t>（工资、加班工资、五险一金、福利劳保等及管理费、利润、税金）结算服务费用，由采购人签署付款凭证，月初办理付款手续。</w:t>
            </w:r>
            <w:r>
              <w:rPr>
                <w:rFonts w:hint="eastAsia" w:hAnsi="宋体" w:eastAsia="宋体"/>
                <w:b w:val="0"/>
                <w:bCs/>
                <w:color w:val="auto"/>
                <w:sz w:val="24"/>
                <w:szCs w:val="24"/>
                <w:highlight w:val="none"/>
                <w:lang w:eastAsia="zh-CN"/>
              </w:rPr>
              <w:t>工人工资、福利待遇、五金等均由乙方支付，与甲方无关；结算方式：按实际岗位的人数、金额结算。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00" w:lineRule="exact"/>
              <w:jc w:val="center"/>
              <w:textAlignment w:val="auto"/>
              <w:outlineLvl w:val="9"/>
              <w:rPr>
                <w:rFonts w:hint="eastAsia" w:ascii="宋体" w:hAnsi="宋体"/>
                <w:color w:val="auto"/>
                <w:sz w:val="24"/>
                <w:szCs w:val="24"/>
                <w:highlight w:val="none"/>
              </w:rPr>
            </w:pPr>
            <w:r>
              <w:rPr>
                <w:rFonts w:ascii="宋体" w:cs="宋体"/>
                <w:color w:val="auto"/>
                <w:sz w:val="24"/>
                <w:highlight w:val="none"/>
              </w:rPr>
              <w:t>项目投标报价要求</w:t>
            </w:r>
          </w:p>
        </w:tc>
        <w:tc>
          <w:tcPr>
            <w:tcW w:w="8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8"/>
              </w:numPr>
              <w:kinsoku/>
              <w:wordWrap/>
              <w:overflowPunct/>
              <w:topLinePunct w:val="0"/>
              <w:autoSpaceDE/>
              <w:autoSpaceDN/>
              <w:bidi w:val="0"/>
              <w:adjustRightInd/>
              <w:spacing w:line="300" w:lineRule="exact"/>
              <w:jc w:val="left"/>
              <w:textAlignment w:val="auto"/>
              <w:outlineLvl w:val="9"/>
              <w:rPr>
                <w:rFonts w:hint="eastAsia" w:ascii="宋体" w:hAnsi="宋体"/>
                <w:color w:val="auto"/>
                <w:sz w:val="24"/>
                <w:highlight w:val="none"/>
              </w:rPr>
            </w:pPr>
            <w:r>
              <w:rPr>
                <w:rFonts w:ascii="宋体" w:hAnsi="宋体" w:cs="宋体"/>
                <w:snapToGrid w:val="0"/>
                <w:color w:val="auto"/>
                <w:kern w:val="0"/>
                <w:sz w:val="24"/>
                <w:highlight w:val="none"/>
              </w:rPr>
              <w:t>投标人的投标</w:t>
            </w:r>
            <w:r>
              <w:rPr>
                <w:rFonts w:hint="eastAsia" w:ascii="宋体" w:hAnsi="宋体" w:cs="宋体"/>
                <w:snapToGrid w:val="0"/>
                <w:color w:val="auto"/>
                <w:kern w:val="0"/>
                <w:sz w:val="24"/>
                <w:highlight w:val="none"/>
                <w:lang w:val="en-US" w:eastAsia="zh-CN"/>
              </w:rPr>
              <w:t>报价管理费费率（含利润、税金等）</w:t>
            </w:r>
            <w:r>
              <w:rPr>
                <w:rFonts w:ascii="宋体" w:hAnsi="宋体" w:cs="宋体"/>
                <w:snapToGrid w:val="0"/>
                <w:color w:val="auto"/>
                <w:kern w:val="0"/>
                <w:sz w:val="24"/>
                <w:highlight w:val="none"/>
              </w:rPr>
              <w:t>应</w:t>
            </w:r>
            <w:r>
              <w:rPr>
                <w:rFonts w:hint="eastAsia" w:ascii="宋体" w:hAnsi="宋体"/>
                <w:color w:val="auto"/>
                <w:sz w:val="24"/>
                <w:highlight w:val="none"/>
              </w:rPr>
              <w:t>包括保安服务所需的</w:t>
            </w:r>
            <w:r>
              <w:rPr>
                <w:rFonts w:hint="eastAsia" w:ascii="宋体" w:hAnsi="宋体" w:eastAsia="宋体" w:cs="宋体"/>
                <w:color w:val="auto"/>
                <w:sz w:val="24"/>
                <w:highlight w:val="none"/>
                <w:shd w:val="clear" w:color="auto" w:fill="auto"/>
              </w:rPr>
              <w:t>服装、工具、装备等费用；公司管理费；税费等</w:t>
            </w:r>
            <w:r>
              <w:rPr>
                <w:rFonts w:hint="eastAsia" w:ascii="宋体" w:hAnsi="宋体"/>
                <w:color w:val="auto"/>
                <w:sz w:val="24"/>
                <w:highlight w:val="none"/>
              </w:rPr>
              <w:t>一切费用。</w:t>
            </w:r>
          </w:p>
          <w:p>
            <w:pPr>
              <w:keepNext w:val="0"/>
              <w:keepLines w:val="0"/>
              <w:pageBreakBefore w:val="0"/>
              <w:widowControl/>
              <w:numPr>
                <w:ilvl w:val="0"/>
                <w:numId w:val="0"/>
              </w:numPr>
              <w:kinsoku/>
              <w:wordWrap/>
              <w:overflowPunct/>
              <w:topLinePunct w:val="0"/>
              <w:autoSpaceDE/>
              <w:autoSpaceDN/>
              <w:bidi w:val="0"/>
              <w:adjustRightInd/>
              <w:spacing w:line="300" w:lineRule="exact"/>
              <w:jc w:val="left"/>
              <w:textAlignment w:val="auto"/>
              <w:outlineLvl w:val="9"/>
              <w:rPr>
                <w:rFonts w:hint="eastAsia" w:ascii="宋体" w:hAnsi="宋体" w:eastAsia="宋体" w:cs="宋体"/>
                <w:color w:val="auto"/>
                <w:kern w:val="0"/>
                <w:sz w:val="24"/>
                <w:highlight w:val="none"/>
              </w:rPr>
            </w:pPr>
            <w:r>
              <w:rPr>
                <w:rFonts w:ascii="宋体" w:cs="宋体"/>
                <w:color w:val="auto"/>
                <w:sz w:val="24"/>
                <w:highlight w:val="none"/>
              </w:rPr>
              <w:t>2</w:t>
            </w:r>
            <w:r>
              <w:rPr>
                <w:rFonts w:hint="eastAsia" w:ascii="宋体" w:cs="宋体"/>
                <w:color w:val="auto"/>
                <w:sz w:val="24"/>
                <w:highlight w:val="none"/>
                <w:lang w:val="en-US" w:eastAsia="zh-CN"/>
              </w:rPr>
              <w:t>.</w:t>
            </w:r>
            <w:r>
              <w:rPr>
                <w:rFonts w:ascii="宋体" w:cs="宋体"/>
                <w:color w:val="auto"/>
                <w:sz w:val="24"/>
                <w:highlight w:val="none"/>
              </w:rPr>
              <w:t>投标人的报价超过</w:t>
            </w:r>
            <w:r>
              <w:rPr>
                <w:rFonts w:hint="eastAsia" w:ascii="宋体" w:hAnsi="宋体" w:cs="宋体"/>
                <w:snapToGrid w:val="0"/>
                <w:color w:val="auto"/>
                <w:kern w:val="0"/>
                <w:sz w:val="24"/>
                <w:highlight w:val="none"/>
                <w:lang w:val="en-US" w:eastAsia="zh-CN"/>
              </w:rPr>
              <w:t>管理费费率最高限价</w:t>
            </w:r>
            <w:r>
              <w:rPr>
                <w:rFonts w:ascii="宋体" w:cs="宋体"/>
                <w:color w:val="auto"/>
                <w:sz w:val="24"/>
                <w:highlight w:val="none"/>
              </w:rPr>
              <w:t>的将作无效标处理。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300" w:lineRule="exact"/>
              <w:jc w:val="center"/>
              <w:rPr>
                <w:rFonts w:ascii="宋体" w:cs="宋体"/>
                <w:color w:val="auto"/>
                <w:sz w:val="24"/>
                <w:highlight w:val="none"/>
              </w:rPr>
            </w:pPr>
            <w:r>
              <w:rPr>
                <w:rFonts w:hint="eastAsia" w:ascii="宋体" w:hAnsi="宋体" w:eastAsia="宋体" w:cs="宋体"/>
                <w:color w:val="auto"/>
                <w:sz w:val="24"/>
                <w:szCs w:val="24"/>
                <w:highlight w:val="none"/>
                <w:lang w:val="en-US" w:eastAsia="zh-CN"/>
              </w:rPr>
              <w:t>其他</w:t>
            </w:r>
          </w:p>
        </w:tc>
        <w:tc>
          <w:tcPr>
            <w:tcW w:w="8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pacing w:line="300" w:lineRule="exact"/>
              <w:jc w:val="left"/>
              <w:textAlignment w:val="auto"/>
              <w:outlineLvl w:val="9"/>
              <w:rPr>
                <w:rFonts w:hint="eastAsia"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lang w:val="en-US" w:eastAsia="zh-CN"/>
              </w:rPr>
              <w:t>1.如因财政年度预决算安排，采购人不能按时付款，中标供应商应每月按时支付服务人员劳务报酬，采购人延期付款不得超过6个月。</w:t>
            </w:r>
          </w:p>
          <w:p>
            <w:pPr>
              <w:keepNext w:val="0"/>
              <w:keepLines w:val="0"/>
              <w:pageBreakBefore w:val="0"/>
              <w:widowControl/>
              <w:numPr>
                <w:ilvl w:val="0"/>
                <w:numId w:val="0"/>
              </w:numPr>
              <w:kinsoku/>
              <w:wordWrap/>
              <w:overflowPunct/>
              <w:topLinePunct w:val="0"/>
              <w:autoSpaceDE/>
              <w:autoSpaceDN/>
              <w:bidi w:val="0"/>
              <w:adjustRightInd/>
              <w:spacing w:line="300" w:lineRule="exact"/>
              <w:jc w:val="left"/>
              <w:textAlignment w:val="auto"/>
              <w:outlineLvl w:val="9"/>
              <w:rPr>
                <w:rFonts w:hint="eastAsia" w:ascii="宋体" w:hAnsi="宋体" w:eastAsia="宋体" w:cs="宋体"/>
                <w:color w:val="auto"/>
                <w:sz w:val="24"/>
                <w:highlight w:val="none"/>
                <w:shd w:val="clear" w:color="auto" w:fill="auto"/>
                <w:lang w:val="en-US" w:eastAsia="zh-CN"/>
              </w:rPr>
            </w:pPr>
            <w:r>
              <w:rPr>
                <w:rFonts w:hint="eastAsia" w:ascii="宋体" w:hAnsi="宋体" w:eastAsia="宋体" w:cs="宋体"/>
                <w:color w:val="auto"/>
                <w:sz w:val="24"/>
                <w:highlight w:val="none"/>
                <w:shd w:val="clear" w:color="auto" w:fill="auto"/>
                <w:lang w:val="en-US" w:eastAsia="zh-CN"/>
              </w:rPr>
              <w:t>2.中标供应商提供符合采购人财务要求的正式发票，作为采购人按时付款的前提条件。</w:t>
            </w:r>
          </w:p>
          <w:p>
            <w:pPr>
              <w:keepNext w:val="0"/>
              <w:keepLines w:val="0"/>
              <w:pageBreakBefore w:val="0"/>
              <w:widowControl/>
              <w:numPr>
                <w:ilvl w:val="0"/>
                <w:numId w:val="0"/>
              </w:numPr>
              <w:kinsoku/>
              <w:wordWrap/>
              <w:overflowPunct/>
              <w:topLinePunct w:val="0"/>
              <w:autoSpaceDE/>
              <w:autoSpaceDN/>
              <w:bidi w:val="0"/>
              <w:adjustRightInd/>
              <w:spacing w:line="300" w:lineRule="exact"/>
              <w:jc w:val="left"/>
              <w:textAlignment w:val="auto"/>
              <w:outlineLvl w:val="9"/>
              <w:rPr>
                <w:rFonts w:hint="default" w:eastAsia="宋体"/>
                <w:lang w:val="en-US" w:eastAsia="zh-CN"/>
              </w:rPr>
            </w:pPr>
            <w:r>
              <w:rPr>
                <w:rFonts w:hint="eastAsia" w:ascii="宋体" w:hAnsi="宋体" w:eastAsia="宋体" w:cs="宋体"/>
                <w:b/>
                <w:bCs/>
                <w:color w:val="auto"/>
                <w:sz w:val="24"/>
                <w:highlight w:val="none"/>
                <w:shd w:val="clear" w:color="auto" w:fill="auto"/>
                <w:lang w:val="en-US" w:eastAsia="zh-CN"/>
              </w:rPr>
              <w:t>3.根据实际工作岗位需求，双方共同协商具体内容。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ind w:hanging="14" w:firstLineChars="0"/>
              <w:jc w:val="center"/>
              <w:textAlignment w:val="bottom"/>
              <w:rPr>
                <w:rFonts w:ascii="宋体" w:cs="宋体"/>
                <w:color w:val="auto"/>
                <w:sz w:val="24"/>
                <w:highlight w:val="none"/>
              </w:rPr>
            </w:pPr>
            <w:r>
              <w:rPr>
                <w:rFonts w:hint="eastAsia" w:ascii="宋体" w:hAnsi="宋体" w:eastAsia="宋体" w:cs="宋体"/>
                <w:color w:val="auto"/>
                <w:sz w:val="24"/>
                <w:szCs w:val="24"/>
                <w:highlight w:val="none"/>
                <w:lang w:eastAsia="zh-CN"/>
              </w:rPr>
              <w:t>安全要求</w:t>
            </w:r>
          </w:p>
        </w:tc>
        <w:tc>
          <w:tcPr>
            <w:tcW w:w="8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pacing w:line="300" w:lineRule="exact"/>
              <w:contextualSpacing/>
              <w:jc w:val="both"/>
              <w:textAlignment w:val="bottom"/>
              <w:rPr>
                <w:rFonts w:ascii="宋体" w:cs="宋体"/>
                <w:color w:val="auto"/>
                <w:sz w:val="24"/>
                <w:highlight w:val="none"/>
              </w:rPr>
            </w:pPr>
            <w:r>
              <w:rPr>
                <w:rFonts w:hint="eastAsia" w:ascii="宋体" w:hAnsi="宋体"/>
                <w:bCs/>
                <w:color w:val="auto"/>
                <w:sz w:val="24"/>
                <w:highlight w:val="none"/>
              </w:rPr>
              <w:t>在工作期间发生任何意外或发生人员伤亡，其责任由中标单位承担，采购人不承担任何责任。</w:t>
            </w:r>
          </w:p>
        </w:tc>
      </w:tr>
    </w:tbl>
    <w:p>
      <w:pPr>
        <w:rPr>
          <w:rFonts w:hint="eastAsia"/>
        </w:rPr>
      </w:pPr>
    </w:p>
    <w:p>
      <w:pPr>
        <w:rPr>
          <w:rFonts w:hint="eastAsia" w:ascii="宋体" w:hAnsi="宋体" w:cs="宋体"/>
          <w:b/>
          <w:bCs/>
          <w:sz w:val="24"/>
        </w:rPr>
      </w:pPr>
    </w:p>
    <w:p>
      <w:pPr>
        <w:spacing w:line="400" w:lineRule="exact"/>
        <w:outlineLvl w:val="0"/>
        <w:rPr>
          <w:rFonts w:hint="eastAsia" w:ascii="宋体" w:hAnsi="宋体"/>
          <w:b/>
          <w:bCs/>
          <w:sz w:val="36"/>
          <w:szCs w:val="36"/>
        </w:rPr>
      </w:pPr>
      <w:bookmarkStart w:id="235" w:name="_Toc2119"/>
      <w:bookmarkStart w:id="236" w:name="_Toc11815"/>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hint="eastAsia" w:ascii="宋体" w:hAnsi="宋体"/>
          <w:b/>
          <w:bCs/>
          <w:sz w:val="36"/>
          <w:szCs w:val="36"/>
        </w:rPr>
      </w:pPr>
    </w:p>
    <w:p>
      <w:pPr>
        <w:spacing w:line="400" w:lineRule="exact"/>
        <w:ind w:firstLine="1807" w:firstLineChars="500"/>
        <w:outlineLvl w:val="0"/>
        <w:rPr>
          <w:rFonts w:ascii="宋体"/>
          <w:sz w:val="36"/>
          <w:szCs w:val="36"/>
        </w:rPr>
      </w:pPr>
      <w:r>
        <w:rPr>
          <w:rFonts w:hint="eastAsia" w:ascii="宋体" w:hAnsi="宋体"/>
          <w:b/>
          <w:bCs/>
          <w:sz w:val="36"/>
          <w:szCs w:val="36"/>
        </w:rPr>
        <w:t>第五章</w:t>
      </w:r>
      <w:r>
        <w:rPr>
          <w:rFonts w:ascii="宋体" w:hAnsi="宋体"/>
          <w:b/>
          <w:bCs/>
          <w:sz w:val="36"/>
          <w:szCs w:val="36"/>
        </w:rPr>
        <w:t xml:space="preserve">  </w:t>
      </w:r>
      <w:r>
        <w:rPr>
          <w:rFonts w:hint="eastAsia" w:ascii="宋体" w:hAnsi="宋体"/>
          <w:b/>
          <w:bCs/>
          <w:sz w:val="36"/>
          <w:szCs w:val="36"/>
        </w:rPr>
        <w:t>政府采购合同主要条款指引</w:t>
      </w:r>
      <w:bookmarkEnd w:id="223"/>
      <w:bookmarkEnd w:id="235"/>
      <w:bookmarkEnd w:id="236"/>
    </w:p>
    <w:p>
      <w:pPr>
        <w:spacing w:line="400" w:lineRule="exact"/>
        <w:rPr>
          <w:rFonts w:hint="eastAsia"/>
          <w:sz w:val="24"/>
        </w:rPr>
      </w:pPr>
      <w:r>
        <w:rPr>
          <w:rFonts w:hint="eastAsia" w:hAnsi="宋体"/>
          <w:b/>
          <w:szCs w:val="21"/>
        </w:rPr>
        <w:t xml:space="preserve">                      （</w:t>
      </w:r>
      <w:r>
        <w:rPr>
          <w:rFonts w:hint="eastAsia" w:hAnsi="宋体"/>
          <w:b/>
        </w:rPr>
        <w:t>本合同为合同样稿，最终稿由双方协商后确定）</w:t>
      </w:r>
      <w:r>
        <w:rPr>
          <w:rFonts w:hAnsi="宋体"/>
          <w:b/>
        </w:rPr>
        <w:t xml:space="preserve"> </w:t>
      </w:r>
    </w:p>
    <w:p>
      <w:pPr>
        <w:widowControl/>
        <w:shd w:val="clear" w:color="auto" w:fill="FFFFFF"/>
        <w:spacing w:line="400" w:lineRule="exact"/>
        <w:rPr>
          <w:rFonts w:hint="eastAsia" w:ascii="宋体" w:hAnsi="宋体" w:cs="宋体"/>
          <w:kern w:val="0"/>
          <w:sz w:val="24"/>
        </w:rPr>
      </w:pPr>
    </w:p>
    <w:p>
      <w:pPr>
        <w:pStyle w:val="26"/>
        <w:keepNext w:val="0"/>
        <w:keepLines w:val="0"/>
        <w:pageBreakBefore w:val="0"/>
        <w:kinsoku/>
        <w:wordWrap/>
        <w:overflowPunct/>
        <w:topLinePunct w:val="0"/>
        <w:autoSpaceDE/>
        <w:autoSpaceDN/>
        <w:bidi w:val="0"/>
        <w:adjustRightInd/>
        <w:snapToGrid w:val="0"/>
        <w:spacing w:before="0" w:beforeLines="0" w:after="0" w:afterLines="0" w:line="440" w:lineRule="exact"/>
        <w:ind w:left="0" w:leftChars="0"/>
        <w:textAlignment w:val="auto"/>
        <w:rPr>
          <w:rFonts w:hint="eastAsia" w:hAnsi="宋体" w:cs="宋体"/>
          <w:kern w:val="0"/>
        </w:rPr>
      </w:pPr>
      <w:r>
        <w:rPr>
          <w:rFonts w:hAnsi="宋体"/>
        </w:rPr>
        <w:t>项目名称：                                       项目编号：</w:t>
      </w:r>
    </w:p>
    <w:p>
      <w:pPr>
        <w:keepNext w:val="0"/>
        <w:keepLines w:val="0"/>
        <w:pageBreakBefore w:val="0"/>
        <w:widowControl/>
        <w:shd w:val="clear" w:color="auto" w:fill="FFFFFF"/>
        <w:kinsoku/>
        <w:wordWrap/>
        <w:overflowPunct/>
        <w:topLinePunct w:val="0"/>
        <w:autoSpaceDE/>
        <w:autoSpaceDN/>
        <w:bidi w:val="0"/>
        <w:adjustRightInd/>
        <w:spacing w:line="440" w:lineRule="exact"/>
        <w:ind w:left="0" w:leftChars="0"/>
        <w:textAlignment w:val="auto"/>
        <w:rPr>
          <w:rFonts w:hint="eastAsia" w:ascii="宋体" w:hAnsi="宋体" w:cs="宋体"/>
          <w:kern w:val="0"/>
          <w:sz w:val="24"/>
        </w:rPr>
      </w:pPr>
      <w:r>
        <w:rPr>
          <w:rFonts w:hint="eastAsia" w:ascii="宋体" w:hAnsi="宋体" w:cs="宋体"/>
          <w:kern w:val="0"/>
          <w:sz w:val="24"/>
        </w:rPr>
        <w:t>甲方：</w:t>
      </w:r>
      <w:r>
        <w:rPr>
          <w:rFonts w:hint="eastAsia" w:ascii="宋体" w:hAnsi="宋体" w:cs="宋体"/>
          <w:b/>
          <w:bCs/>
          <w:kern w:val="0"/>
          <w:sz w:val="24"/>
          <w:u w:val="single"/>
        </w:rPr>
        <w:t>（</w:t>
      </w:r>
      <w:r>
        <w:rPr>
          <w:rFonts w:hint="eastAsia" w:ascii="宋体" w:hAnsi="宋体" w:cs="宋体"/>
          <w:b/>
          <w:bCs/>
          <w:kern w:val="0"/>
          <w:sz w:val="24"/>
          <w:u w:val="single"/>
          <w:lang w:eastAsia="zh-CN"/>
        </w:rPr>
        <w:t>使用方</w:t>
      </w:r>
      <w:r>
        <w:rPr>
          <w:rFonts w:hint="eastAsia" w:ascii="宋体" w:hAnsi="宋体" w:cs="宋体"/>
          <w:b/>
          <w:bCs/>
          <w:kern w:val="0"/>
          <w:sz w:val="24"/>
          <w:u w:val="single"/>
        </w:rPr>
        <w:t xml:space="preserve">）  </w:t>
      </w:r>
      <w:r>
        <w:rPr>
          <w:rFonts w:hint="eastAsia" w:ascii="宋体" w:hAnsi="宋体" w:cs="宋体"/>
          <w:kern w:val="0"/>
          <w:sz w:val="24"/>
          <w:u w:val="single"/>
        </w:rPr>
        <w:t xml:space="preserve">       </w:t>
      </w:r>
    </w:p>
    <w:p>
      <w:pPr>
        <w:keepNext w:val="0"/>
        <w:keepLines w:val="0"/>
        <w:pageBreakBefore w:val="0"/>
        <w:widowControl/>
        <w:shd w:val="clear" w:color="auto" w:fill="FFFFFF"/>
        <w:kinsoku/>
        <w:wordWrap/>
        <w:overflowPunct/>
        <w:topLinePunct w:val="0"/>
        <w:autoSpaceDE/>
        <w:autoSpaceDN/>
        <w:bidi w:val="0"/>
        <w:adjustRightInd/>
        <w:spacing w:line="440" w:lineRule="exact"/>
        <w:ind w:left="0" w:leftChars="0"/>
        <w:textAlignment w:val="auto"/>
        <w:rPr>
          <w:rFonts w:hint="eastAsia" w:ascii="宋体" w:hAnsi="宋体" w:cs="宋体"/>
          <w:sz w:val="24"/>
        </w:rPr>
      </w:pPr>
      <w:r>
        <w:rPr>
          <w:rFonts w:hint="eastAsia" w:ascii="宋体" w:hAnsi="宋体" w:cs="宋体"/>
          <w:kern w:val="0"/>
          <w:sz w:val="24"/>
        </w:rPr>
        <w:t>乙方：</w:t>
      </w:r>
      <w:r>
        <w:rPr>
          <w:rFonts w:hint="eastAsia" w:ascii="宋体" w:hAnsi="宋体" w:cs="宋体"/>
          <w:b/>
          <w:bCs/>
          <w:kern w:val="0"/>
          <w:sz w:val="24"/>
          <w:u w:val="single"/>
        </w:rPr>
        <w:t>（</w:t>
      </w:r>
      <w:r>
        <w:rPr>
          <w:rFonts w:hint="eastAsia" w:ascii="宋体" w:hAnsi="宋体" w:cs="宋体"/>
          <w:b/>
          <w:bCs/>
          <w:kern w:val="0"/>
          <w:sz w:val="24"/>
          <w:u w:val="single"/>
          <w:lang w:eastAsia="zh-CN"/>
        </w:rPr>
        <w:t>供应商</w:t>
      </w:r>
      <w:r>
        <w:rPr>
          <w:rFonts w:hint="eastAsia" w:ascii="宋体" w:hAnsi="宋体" w:cs="宋体"/>
          <w:b/>
          <w:bCs/>
          <w:kern w:val="0"/>
          <w:sz w:val="24"/>
          <w:u w:val="single"/>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color w:val="auto"/>
          <w:sz w:val="24"/>
          <w:highlight w:val="none"/>
        </w:rPr>
      </w:pPr>
      <w:bookmarkStart w:id="237" w:name="_Toc21419"/>
      <w:r>
        <w:rPr>
          <w:rFonts w:hint="eastAsia" w:ascii="宋体" w:hAnsi="宋体" w:cs="宋体"/>
          <w:kern w:val="0"/>
          <w:sz w:val="24"/>
        </w:rPr>
        <w:t>甲乙双</w:t>
      </w:r>
      <w:r>
        <w:rPr>
          <w:rFonts w:hint="eastAsia" w:ascii="宋体" w:hAnsi="宋体" w:eastAsia="宋体" w:cs="宋体"/>
          <w:color w:val="auto"/>
          <w:sz w:val="24"/>
          <w:highlight w:val="none"/>
        </w:rPr>
        <w:t>根据《中华人民共和国合同法》、《中华人民共和国劳动法》、《中华人民共和国劳动合同法》和国家有关法律法规，甲乙双方在平等、自愿、协商一致的基础上，就</w:t>
      </w:r>
      <w:r>
        <w:rPr>
          <w:rFonts w:hint="eastAsia"/>
          <w:color w:val="auto"/>
          <w:sz w:val="24"/>
          <w:highlight w:val="none"/>
        </w:rPr>
        <w:t>乙方根据甲方要求，派驻人员，负责甲方所指定区域、部位的安全防范</w:t>
      </w:r>
      <w:r>
        <w:rPr>
          <w:rFonts w:hint="eastAsia"/>
          <w:color w:val="auto"/>
          <w:sz w:val="24"/>
          <w:highlight w:val="none"/>
          <w:lang w:eastAsia="zh-CN"/>
        </w:rPr>
        <w:t>等</w:t>
      </w:r>
      <w:r>
        <w:rPr>
          <w:rFonts w:hint="eastAsia"/>
          <w:color w:val="auto"/>
          <w:sz w:val="24"/>
          <w:highlight w:val="none"/>
        </w:rPr>
        <w:t>工作。现经甲、乙双方协商一致，达成以下协议，以资共同遵守：</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outlineLvl w:val="9"/>
        <w:rPr>
          <w:rFonts w:hint="eastAsia" w:ascii="宋体" w:hAnsi="宋体" w:eastAsia="宋体" w:cs="宋体"/>
          <w:b/>
          <w:bCs w:val="0"/>
          <w:color w:val="auto"/>
          <w:kern w:val="0"/>
          <w:sz w:val="24"/>
          <w:highlight w:val="none"/>
          <w:shd w:val="clear" w:color="auto" w:fill="auto"/>
        </w:rPr>
      </w:pPr>
      <w:r>
        <w:rPr>
          <w:rFonts w:hint="eastAsia" w:ascii="宋体" w:hAnsi="宋体" w:eastAsia="宋体" w:cs="宋体"/>
          <w:b/>
          <w:color w:val="auto"/>
          <w:kern w:val="0"/>
          <w:sz w:val="24"/>
          <w:highlight w:val="none"/>
          <w:shd w:val="clear" w:color="auto" w:fill="auto"/>
          <w:lang w:eastAsia="zh-CN"/>
        </w:rPr>
        <w:t>一、</w:t>
      </w:r>
      <w:r>
        <w:rPr>
          <w:rFonts w:hint="eastAsia" w:ascii="宋体" w:hAnsi="宋体" w:eastAsia="宋体" w:cs="宋体"/>
          <w:b/>
          <w:bCs w:val="0"/>
          <w:color w:val="auto"/>
          <w:kern w:val="0"/>
          <w:sz w:val="24"/>
          <w:highlight w:val="none"/>
          <w:shd w:val="clear" w:color="auto" w:fill="auto"/>
        </w:rPr>
        <w:t>工作岗位配置安排表</w:t>
      </w:r>
    </w:p>
    <w:tbl>
      <w:tblPr>
        <w:tblStyle w:val="48"/>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2280"/>
        <w:gridCol w:w="1044"/>
        <w:gridCol w:w="1416"/>
        <w:gridCol w:w="4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序号</w:t>
            </w:r>
          </w:p>
        </w:tc>
        <w:tc>
          <w:tcPr>
            <w:tcW w:w="2280" w:type="dxa"/>
            <w:noWrap w:val="0"/>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岗位</w:t>
            </w:r>
          </w:p>
        </w:tc>
        <w:tc>
          <w:tcPr>
            <w:tcW w:w="1044" w:type="dxa"/>
            <w:noWrap w:val="0"/>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人数</w:t>
            </w:r>
          </w:p>
        </w:tc>
        <w:tc>
          <w:tcPr>
            <w:tcW w:w="1416" w:type="dxa"/>
            <w:noWrap w:val="0"/>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年龄要求</w:t>
            </w:r>
          </w:p>
        </w:tc>
        <w:tc>
          <w:tcPr>
            <w:tcW w:w="4074" w:type="dxa"/>
            <w:noWrap w:val="0"/>
            <w:vAlign w:val="center"/>
          </w:tcPr>
          <w:p>
            <w:pPr>
              <w:spacing w:line="360" w:lineRule="auto"/>
              <w:jc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城管协管员</w:t>
            </w:r>
          </w:p>
        </w:tc>
        <w:tc>
          <w:tcPr>
            <w:tcW w:w="1044" w:type="dxa"/>
            <w:noWrap w:val="0"/>
            <w:vAlign w:val="center"/>
          </w:tcPr>
          <w:p>
            <w:pPr>
              <w:spacing w:line="360" w:lineRule="auto"/>
              <w:jc w:val="center"/>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26</w:t>
            </w:r>
          </w:p>
        </w:tc>
        <w:tc>
          <w:tcPr>
            <w:tcW w:w="1416" w:type="dxa"/>
            <w:noWrap w:val="0"/>
            <w:vAlign w:val="center"/>
          </w:tcPr>
          <w:p>
            <w:pPr>
              <w:spacing w:line="360" w:lineRule="auto"/>
              <w:jc w:val="center"/>
              <w:rPr>
                <w:rFonts w:hint="default"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20-40</w:t>
            </w:r>
          </w:p>
        </w:tc>
        <w:tc>
          <w:tcPr>
            <w:tcW w:w="4074" w:type="dxa"/>
            <w:noWrap w:val="0"/>
            <w:vAlign w:val="center"/>
          </w:tcPr>
          <w:p>
            <w:pPr>
              <w:spacing w:line="360" w:lineRule="auto"/>
              <w:jc w:val="left"/>
              <w:rPr>
                <w:rFonts w:hint="eastAsia" w:ascii="宋体" w:hAnsi="宋体" w:eastAsia="宋体" w:cs="宋体"/>
                <w:color w:val="auto"/>
                <w:kern w:val="2"/>
                <w:sz w:val="24"/>
                <w:szCs w:val="24"/>
                <w:vertAlign w:val="baseline"/>
                <w:lang w:val="en-US" w:eastAsia="zh-CN" w:bidi="ar-SA"/>
              </w:rPr>
            </w:pPr>
            <w:r>
              <w:rPr>
                <w:rFonts w:hint="eastAsia" w:ascii="宋体" w:hAnsi="宋体" w:eastAsia="宋体" w:cs="宋体"/>
                <w:color w:val="auto"/>
                <w:sz w:val="24"/>
                <w:highlight w:val="none"/>
                <w:shd w:val="clear" w:color="auto" w:fill="auto"/>
                <w:vertAlign w:val="baseline"/>
                <w:lang w:eastAsia="zh-CN"/>
              </w:rPr>
              <w:t>集镇范围内城市管理等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2280" w:type="dxa"/>
            <w:noWrap w:val="0"/>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视频指挥平台</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20-40</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视频的观看、回放</w:t>
            </w:r>
            <w:r>
              <w:rPr>
                <w:rFonts w:hint="eastAsia" w:ascii="宋体" w:hAnsi="宋体" w:eastAsia="宋体" w:cs="宋体"/>
                <w:sz w:val="24"/>
                <w:szCs w:val="24"/>
                <w:vertAlign w:val="baseline"/>
                <w:lang w:eastAsia="zh-CN"/>
              </w:rPr>
              <w:t>及日常信息流转</w:t>
            </w:r>
            <w:r>
              <w:rPr>
                <w:rFonts w:hint="eastAsia" w:ascii="宋体" w:hAnsi="宋体" w:eastAsia="宋体" w:cs="宋体"/>
                <w:sz w:val="24"/>
                <w:szCs w:val="24"/>
                <w:vertAlign w:val="baseli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***消防员</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w:t>
            </w:r>
          </w:p>
        </w:tc>
        <w:tc>
          <w:tcPr>
            <w:tcW w:w="1416" w:type="dxa"/>
            <w:noWrap w:val="0"/>
            <w:vAlign w:val="center"/>
          </w:tcPr>
          <w:p>
            <w:pPr>
              <w:spacing w:line="24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20-40</w:t>
            </w:r>
          </w:p>
        </w:tc>
        <w:tc>
          <w:tcPr>
            <w:tcW w:w="4074" w:type="dxa"/>
            <w:noWrap w:val="0"/>
            <w:vAlign w:val="center"/>
          </w:tcPr>
          <w:p>
            <w:pPr>
              <w:spacing w:line="24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auto"/>
                <w:sz w:val="24"/>
                <w:highlight w:val="none"/>
                <w:shd w:val="clear" w:color="auto" w:fill="auto"/>
                <w:vertAlign w:val="baseline"/>
                <w:lang w:eastAsia="zh-CN"/>
              </w:rPr>
              <w:t>负责区域内消防检查、整改、救援等工作，其中二名负责消防车辆驾驶，协助其他消防人员等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4</w:t>
            </w:r>
          </w:p>
        </w:tc>
        <w:tc>
          <w:tcPr>
            <w:tcW w:w="2280" w:type="dxa"/>
            <w:noWrap w:val="0"/>
            <w:vAlign w:val="center"/>
          </w:tcPr>
          <w:p>
            <w:pPr>
              <w:spacing w:line="360" w:lineRule="auto"/>
              <w:jc w:val="center"/>
              <w:rPr>
                <w:rFonts w:hint="eastAsia" w:ascii="宋体" w:hAnsi="宋体" w:eastAsia="宋体" w:cs="宋体"/>
                <w:sz w:val="24"/>
                <w:szCs w:val="24"/>
                <w:vertAlign w:val="baseline"/>
              </w:rPr>
            </w:pPr>
            <w:r>
              <w:rPr>
                <w:rFonts w:hint="eastAsia" w:ascii="宋体" w:hAnsi="宋体" w:eastAsia="宋体" w:cs="宋体"/>
                <w:i w:val="0"/>
                <w:color w:val="000000"/>
                <w:kern w:val="0"/>
                <w:sz w:val="24"/>
                <w:szCs w:val="24"/>
                <w:u w:val="none"/>
                <w:lang w:val="en-US" w:eastAsia="zh-CN" w:bidi="ar"/>
              </w:rPr>
              <w:t>***户籍</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20-60</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协助***户籍工作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5</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大厅保安员</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20-50</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auto"/>
                <w:sz w:val="24"/>
                <w:highlight w:val="none"/>
                <w:shd w:val="clear" w:color="auto" w:fill="auto"/>
                <w:vertAlign w:val="baseline"/>
                <w:lang w:eastAsia="zh-CN"/>
              </w:rPr>
              <w:t>镇政府人员、车辆进出登记等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门卫保安员</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20-55</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auto"/>
                <w:sz w:val="24"/>
                <w:highlight w:val="none"/>
                <w:shd w:val="clear" w:color="auto" w:fill="auto"/>
                <w:vertAlign w:val="baseline"/>
                <w:lang w:eastAsia="zh-CN"/>
              </w:rPr>
              <w:t>进出人员询问登记等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7</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集镇片保安员</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20-55</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协助镇政府集镇管理工作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8</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服务窗口</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20-35</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做好接待、登记、归档等工作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9</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保洁</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20-60</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color w:val="auto"/>
                <w:sz w:val="24"/>
                <w:highlight w:val="none"/>
                <w:shd w:val="clear" w:color="auto" w:fill="auto"/>
                <w:vertAlign w:val="baseline"/>
                <w:lang w:eastAsia="zh-CN"/>
              </w:rPr>
              <w:t>负责镇政府清洁卫生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统计</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20-55</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做好统计、录入工作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11</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停车管理</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20-60</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做好车辆进出、停放工作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12</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污水处理</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20-55</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处理排污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13</w:t>
            </w:r>
          </w:p>
        </w:tc>
        <w:tc>
          <w:tcPr>
            <w:tcW w:w="2280" w:type="dxa"/>
            <w:noWrap w:val="0"/>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档案管理</w:t>
            </w:r>
          </w:p>
        </w:tc>
        <w:tc>
          <w:tcPr>
            <w:tcW w:w="1044" w:type="dxa"/>
            <w:noWrap w:val="0"/>
            <w:vAlign w:val="center"/>
          </w:tcPr>
          <w:p>
            <w:pPr>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16" w:type="dxa"/>
            <w:noWrap w:val="0"/>
            <w:vAlign w:val="center"/>
          </w:tcPr>
          <w:p>
            <w:pPr>
              <w:spacing w:line="360" w:lineRule="auto"/>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20-60</w:t>
            </w:r>
          </w:p>
        </w:tc>
        <w:tc>
          <w:tcPr>
            <w:tcW w:w="4074" w:type="dxa"/>
            <w:noWrap w:val="0"/>
            <w:vAlign w:val="center"/>
          </w:tcPr>
          <w:p>
            <w:pPr>
              <w:spacing w:line="360" w:lineRule="auto"/>
              <w:jc w:val="left"/>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rPr>
              <w:t>资料整理、录入工作</w:t>
            </w:r>
          </w:p>
        </w:tc>
      </w:tr>
    </w:tbl>
    <w:p>
      <w:pPr>
        <w:pStyle w:val="19"/>
        <w:keepNext w:val="0"/>
        <w:keepLines w:val="0"/>
        <w:pageBreakBefore w:val="0"/>
        <w:widowControl w:val="0"/>
        <w:kinsoku/>
        <w:wordWrap/>
        <w:overflowPunct/>
        <w:topLinePunct w:val="0"/>
        <w:autoSpaceDE/>
        <w:autoSpaceDN/>
        <w:bidi w:val="0"/>
        <w:spacing w:line="440" w:lineRule="exact"/>
        <w:ind w:firstLine="482" w:firstLineChars="200"/>
        <w:textAlignment w:val="auto"/>
        <w:rPr>
          <w:rFonts w:hint="eastAsia" w:ascii="宋体" w:hAnsi="宋体" w:eastAsia="宋体" w:cs="宋体"/>
          <w:b/>
          <w:bCs/>
          <w:color w:val="auto"/>
          <w:sz w:val="24"/>
          <w:highlight w:val="none"/>
          <w:shd w:val="clear" w:color="auto" w:fill="auto"/>
          <w:lang w:eastAsia="zh-CN"/>
        </w:rPr>
      </w:pPr>
      <w:r>
        <w:rPr>
          <w:rFonts w:hint="eastAsia" w:ascii="宋体" w:hAnsi="宋体" w:eastAsia="宋体" w:cs="宋体"/>
          <w:b/>
          <w:bCs/>
          <w:color w:val="auto"/>
          <w:sz w:val="24"/>
          <w:szCs w:val="24"/>
          <w:highlight w:val="none"/>
          <w:shd w:val="clear" w:color="auto" w:fill="auto"/>
          <w:lang w:val="en-US" w:eastAsia="zh-CN"/>
        </w:rPr>
        <w:t>注：装备配置（服装、皮卡汽车一辆、应急备用2辆等）由中标供应商提供。</w:t>
      </w:r>
    </w:p>
    <w:p>
      <w:pPr>
        <w:keepNext w:val="0"/>
        <w:keepLines w:val="0"/>
        <w:pageBreakBefore w:val="0"/>
        <w:numPr>
          <w:ilvl w:val="0"/>
          <w:numId w:val="0"/>
        </w:numPr>
        <w:kinsoku/>
        <w:wordWrap/>
        <w:overflowPunct/>
        <w:topLinePunct w:val="0"/>
        <w:autoSpaceDE/>
        <w:autoSpaceDN/>
        <w:bidi w:val="0"/>
        <w:adjustRightInd/>
        <w:snapToGrid w:val="0"/>
        <w:spacing w:line="440" w:lineRule="exact"/>
        <w:ind w:left="0" w:leftChars="0" w:right="0" w:rightChars="0"/>
        <w:jc w:val="both"/>
        <w:textAlignment w:val="auto"/>
        <w:outlineLvl w:val="9"/>
        <w:rPr>
          <w:rFonts w:hint="eastAsia" w:ascii="宋体" w:hAnsi="宋体" w:eastAsia="宋体" w:cs="宋体"/>
          <w:b/>
          <w:bCs/>
          <w:color w:val="auto"/>
          <w:sz w:val="24"/>
          <w:highlight w:val="none"/>
          <w:shd w:val="clear" w:color="auto" w:fill="auto"/>
        </w:rPr>
      </w:pPr>
      <w:r>
        <w:rPr>
          <w:rFonts w:hint="eastAsia" w:ascii="宋体" w:hAnsi="宋体" w:eastAsia="宋体" w:cs="宋体"/>
          <w:b/>
          <w:bCs/>
          <w:color w:val="auto"/>
          <w:sz w:val="24"/>
          <w:highlight w:val="none"/>
          <w:shd w:val="clear" w:color="auto" w:fill="auto"/>
          <w:lang w:eastAsia="zh-CN"/>
        </w:rPr>
        <w:t>二、</w:t>
      </w:r>
      <w:r>
        <w:rPr>
          <w:rFonts w:hint="eastAsia" w:ascii="宋体" w:hAnsi="宋体"/>
          <w:b/>
          <w:bCs w:val="0"/>
          <w:sz w:val="24"/>
          <w:szCs w:val="24"/>
          <w:lang w:val="en-US" w:eastAsia="zh-CN"/>
        </w:rPr>
        <w:t>服务要求</w:t>
      </w:r>
    </w:p>
    <w:p>
      <w:pPr>
        <w:keepNext w:val="0"/>
        <w:keepLines w:val="0"/>
        <w:pageBreakBefore w:val="0"/>
        <w:kinsoku/>
        <w:wordWrap/>
        <w:overflowPunct/>
        <w:topLinePunct w:val="0"/>
        <w:autoSpaceDE/>
        <w:autoSpaceDN/>
        <w:bidi w:val="0"/>
        <w:adjustRightInd/>
        <w:spacing w:line="440" w:lineRule="exact"/>
        <w:ind w:left="0" w:leftChars="0" w:firstLine="482" w:firstLineChars="200"/>
        <w:textAlignment w:val="auto"/>
        <w:rPr>
          <w:rFonts w:hint="eastAsia" w:ascii="宋体" w:hAnsi="宋体" w:eastAsia="宋体" w:cs="宋体"/>
          <w:b/>
          <w:color w:val="auto"/>
          <w:sz w:val="24"/>
          <w:highlight w:val="none"/>
          <w:shd w:val="clear" w:color="auto" w:fill="auto"/>
        </w:rPr>
      </w:pPr>
      <w:r>
        <w:rPr>
          <w:rFonts w:hint="eastAsia" w:ascii="宋体" w:hAnsi="宋体" w:eastAsia="宋体" w:cs="宋体"/>
          <w:b/>
          <w:color w:val="auto"/>
          <w:sz w:val="24"/>
          <w:highlight w:val="none"/>
          <w:shd w:val="clear" w:color="auto" w:fill="auto"/>
        </w:rPr>
        <w:t>（一）职责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1</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各工作人员必须尽心尽力坚守岗位，认真负责，不得擅自离岗、脱岗，确保安全</w:t>
      </w:r>
      <w:r>
        <w:rPr>
          <w:rFonts w:hint="eastAsia" w:ascii="宋体" w:hAnsi="宋体" w:eastAsia="宋体" w:cs="宋体"/>
          <w:color w:val="auto"/>
          <w:sz w:val="24"/>
          <w:szCs w:val="24"/>
          <w:highlight w:val="none"/>
          <w:shd w:val="clear" w:color="auto" w:fill="auto"/>
          <w:lang w:eastAsia="zh-CN"/>
        </w:rPr>
        <w:t>，</w:t>
      </w:r>
      <w:r>
        <w:rPr>
          <w:rFonts w:hint="eastAsia" w:ascii="宋体" w:hAnsi="宋体" w:eastAsia="宋体" w:cs="宋体"/>
          <w:color w:val="auto"/>
          <w:sz w:val="24"/>
          <w:szCs w:val="24"/>
          <w:highlight w:val="none"/>
        </w:rPr>
        <w:t>严格执行</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有关规章制度，做到遵纪守法；接受群众监督；着装整洁，礼貌待人；工作认真负责。</w:t>
      </w:r>
      <w:r>
        <w:rPr>
          <w:rFonts w:hint="eastAsia" w:ascii="宋体" w:hAnsi="宋体" w:eastAsia="宋体" w:cs="宋体"/>
          <w:color w:val="auto"/>
          <w:sz w:val="24"/>
          <w:szCs w:val="24"/>
          <w:highlight w:val="none"/>
          <w:shd w:val="clear" w:color="auto" w:fill="auto"/>
        </w:rPr>
        <w:t>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2</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各工作人员保持高度警惕性和积极的工作态度，对待群众用语得当，严肃执勤、热情服务，避免与群众发生矛盾，更不得有任何冲突。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3</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各岗位工作人员密切观察所负责区域安全情况，及早发现问题并及早解决。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4</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保安班长周密部署安全岗位，合理安排人员，勤于检查，及时发现和处理问题。如遇较大问题，及时请示分管队长。　　</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5</w:t>
      </w:r>
      <w:r>
        <w:rPr>
          <w:rFonts w:hint="eastAsia" w:ascii="宋体" w:hAnsi="宋体" w:eastAsia="宋体" w:cs="宋体"/>
          <w:color w:val="auto"/>
          <w:sz w:val="24"/>
          <w:szCs w:val="24"/>
          <w:highlight w:val="none"/>
          <w:shd w:val="clear" w:color="auto" w:fill="auto"/>
          <w:lang w:val="en-US" w:eastAsia="zh-CN"/>
        </w:rPr>
        <w:t>.</w:t>
      </w:r>
      <w:r>
        <w:rPr>
          <w:rFonts w:hint="eastAsia" w:ascii="宋体" w:hAnsi="宋体" w:eastAsia="宋体" w:cs="宋体"/>
          <w:color w:val="auto"/>
          <w:sz w:val="24"/>
          <w:szCs w:val="24"/>
          <w:highlight w:val="none"/>
          <w:shd w:val="clear" w:color="auto" w:fill="auto"/>
        </w:rPr>
        <w:t>如遇突发事件需采取紧急任务时，各岗位人员要迅速按紧急突发事件预案启动工作程序。</w:t>
      </w:r>
    </w:p>
    <w:p>
      <w:pPr>
        <w:keepNext w:val="0"/>
        <w:keepLines w:val="0"/>
        <w:pageBreakBefore w:val="0"/>
        <w:widowControl w:val="0"/>
        <w:kinsoku/>
        <w:wordWrap/>
        <w:overflowPunct/>
        <w:topLinePunct w:val="0"/>
        <w:autoSpaceDE/>
        <w:autoSpaceDN/>
        <w:bidi w:val="0"/>
        <w:spacing w:line="440" w:lineRule="exact"/>
        <w:ind w:firstLine="480" w:firstLineChars="200"/>
        <w:textAlignment w:val="auto"/>
        <w:rPr>
          <w:rFonts w:hint="eastAsia" w:ascii="宋体" w:hAnsi="宋体" w:eastAsia="宋体" w:cs="宋体"/>
          <w:color w:val="auto"/>
          <w:sz w:val="24"/>
          <w:szCs w:val="24"/>
          <w:highlight w:val="none"/>
          <w:shd w:val="clear" w:color="auto" w:fill="auto"/>
          <w:lang w:eastAsia="zh-CN"/>
        </w:rPr>
      </w:pPr>
      <w:r>
        <w:rPr>
          <w:rFonts w:hint="eastAsia" w:ascii="宋体" w:hAnsi="宋体" w:eastAsia="宋体" w:cs="宋体"/>
          <w:color w:val="auto"/>
          <w:sz w:val="24"/>
          <w:szCs w:val="24"/>
          <w:highlight w:val="none"/>
          <w:shd w:val="clear" w:color="auto" w:fill="auto"/>
          <w:lang w:val="en-US" w:eastAsia="zh-CN"/>
        </w:rPr>
        <w:t>6.安保服务人员</w:t>
      </w:r>
      <w:r>
        <w:rPr>
          <w:rFonts w:hint="eastAsia" w:ascii="宋体" w:hAnsi="宋体" w:eastAsia="宋体" w:cs="宋体"/>
          <w:color w:val="auto"/>
          <w:sz w:val="24"/>
          <w:szCs w:val="24"/>
          <w:highlight w:val="none"/>
          <w:shd w:val="clear" w:color="auto" w:fill="auto"/>
        </w:rPr>
        <w:t>必须服装规范，尽心尽责，及时盘查可疑人员、物品和车辆，及时堵控、抓捕违法犯罪嫌疑人员</w:t>
      </w:r>
      <w:r>
        <w:rPr>
          <w:rFonts w:hint="eastAsia" w:ascii="宋体" w:hAnsi="宋体" w:eastAsia="宋体" w:cs="宋体"/>
          <w:color w:val="auto"/>
          <w:sz w:val="24"/>
          <w:szCs w:val="24"/>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firstLine="480" w:firstLineChars="20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color w:val="auto"/>
          <w:sz w:val="24"/>
          <w:szCs w:val="24"/>
          <w:highlight w:val="none"/>
          <w:shd w:val="clear" w:color="auto" w:fill="auto"/>
          <w:lang w:val="en-US" w:eastAsia="zh-CN"/>
        </w:rPr>
        <w:t>7.中</w:t>
      </w:r>
      <w:r>
        <w:rPr>
          <w:rFonts w:hint="eastAsia" w:ascii="宋体" w:hAnsi="宋体" w:eastAsia="宋体" w:cs="宋体"/>
          <w:bCs/>
          <w:sz w:val="24"/>
          <w:szCs w:val="24"/>
          <w:lang w:val="en-US" w:eastAsia="zh-CN"/>
        </w:rPr>
        <w:t>标人全面负责</w:t>
      </w:r>
      <w:r>
        <w:rPr>
          <w:rFonts w:hint="eastAsia" w:ascii="宋体" w:hAnsi="宋体" w:eastAsia="宋体" w:cs="宋体"/>
          <w:color w:val="auto"/>
          <w:sz w:val="24"/>
          <w:szCs w:val="24"/>
          <w:highlight w:val="none"/>
          <w:shd w:val="clear" w:color="auto" w:fill="auto"/>
          <w:lang w:val="en-US" w:eastAsia="zh-CN"/>
        </w:rPr>
        <w:t>安保</w:t>
      </w:r>
      <w:r>
        <w:rPr>
          <w:rFonts w:hint="eastAsia" w:ascii="宋体" w:hAnsi="宋体" w:eastAsia="宋体" w:cs="宋体"/>
          <w:bCs/>
          <w:sz w:val="24"/>
          <w:szCs w:val="24"/>
          <w:lang w:val="en-US" w:eastAsia="zh-CN"/>
        </w:rPr>
        <w:t>服务人员的劳务用工管理、劳务纠纷处理与社保办理，处理涉及劳动关系的所有事宜，与</w:t>
      </w:r>
      <w:r>
        <w:rPr>
          <w:rFonts w:hint="eastAsia" w:ascii="宋体" w:hAnsi="宋体" w:eastAsia="宋体" w:cs="宋体"/>
          <w:color w:val="auto"/>
          <w:sz w:val="24"/>
          <w:szCs w:val="24"/>
          <w:highlight w:val="none"/>
          <w:shd w:val="clear" w:color="auto" w:fill="auto"/>
          <w:lang w:val="en-US" w:eastAsia="zh-CN"/>
        </w:rPr>
        <w:t>安保</w:t>
      </w:r>
      <w:r>
        <w:rPr>
          <w:rFonts w:hint="eastAsia" w:ascii="宋体" w:hAnsi="宋体" w:eastAsia="宋体" w:cs="宋体"/>
          <w:bCs/>
          <w:sz w:val="24"/>
          <w:szCs w:val="24"/>
          <w:lang w:val="en-US" w:eastAsia="zh-CN"/>
        </w:rPr>
        <w:t>服务人员签订劳动合同，并且提供给采购人备案。</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8.服务责任：因安保服务人员工作失职、故意行为给采购人造成损失的，中标人应当承担</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相应的赔偿责任；因中标人自身原因所引发的一切纠纷，由中标人负完全责任；因安保服务人员发生的人身意外或其他纠纷，由中标人负责处理。</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中标人应制定管理制度，履行服务责任，派遣、调换安保服务人员须得到采购人的同</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意。因中标人自身原因引发管理或劳资纠纷的，由中标人承担由此引发的全部责任。</w:t>
      </w:r>
    </w:p>
    <w:p>
      <w:pPr>
        <w:keepNext w:val="0"/>
        <w:keepLines w:val="0"/>
        <w:pageBreakBefore w:val="0"/>
        <w:widowControl w:val="0"/>
        <w:numPr>
          <w:ilvl w:val="0"/>
          <w:numId w:val="7"/>
        </w:numPr>
        <w:kinsoku/>
        <w:wordWrap/>
        <w:overflowPunct/>
        <w:topLinePunct w:val="0"/>
        <w:autoSpaceDE/>
        <w:autoSpaceDN/>
        <w:bidi w:val="0"/>
        <w:adjustRightInd/>
        <w:snapToGrid w:val="0"/>
        <w:spacing w:line="440" w:lineRule="exact"/>
        <w:ind w:left="420" w:leftChars="200" w:right="0" w:rightChars="0" w:firstLine="0" w:firstLine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安保服务人员须从采购人规章制度和工作需要提出的其他管理要求，如中标人和采购</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人的规章制度有冲突时，以采购人的规章制度为准。</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11.在服务过程中，中标人所派驻的安保服务人员必须服从采购人的指挥和管理。</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12.中标人须保证安保服务人员不出现用人空缺，具体岗位安排由采购人根据工作需要进</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行设置。</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13.中标人须落实文明管理服务的措施，提供文明优质的服务。</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14.中标人要依法纳税，要按规定为安保服务人员缴纳社保；中标人应向采购人递交员工</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的工资和为员工购买的社会保险基数等资料，以便采购人监督。</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15.工作时间：全体安保服务人员工作时间根据采购人实际工作需要做具体安排。</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16.中标方须保证其从事本项目的外包服务事项已取得充分足够的行政许可。 </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200" w:right="0" w:rightChars="0"/>
        <w:jc w:val="both"/>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17.中标方应按采购方标准和要求招聘相应服务人员，采购方有权对中标方提供的服务人</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right="0" w:rightChars="0"/>
        <w:jc w:val="both"/>
        <w:textAlignment w:val="auto"/>
        <w:outlineLvl w:val="9"/>
        <w:rPr>
          <w:rFonts w:hint="default"/>
          <w:lang w:val="en-US" w:eastAsia="zh-CN"/>
        </w:rPr>
      </w:pPr>
      <w:r>
        <w:rPr>
          <w:rFonts w:hint="eastAsia" w:ascii="宋体" w:hAnsi="宋体" w:eastAsia="宋体" w:cs="宋体"/>
          <w:bCs/>
          <w:sz w:val="24"/>
          <w:szCs w:val="24"/>
          <w:lang w:val="en-US" w:eastAsia="zh-CN"/>
        </w:rPr>
        <w:t>员进行服务资质审查和服务水平考核。若服务人员的服务水平不能满足采购方标准和要求，则采购方有权要求中标方及时更换。</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auto"/>
        <w:rPr>
          <w:rFonts w:hint="eastAsia" w:hAnsi="宋体" w:cs="宋体"/>
          <w:b/>
          <w:sz w:val="24"/>
          <w:szCs w:val="24"/>
        </w:rPr>
      </w:pPr>
      <w:r>
        <w:rPr>
          <w:rFonts w:hint="eastAsia" w:hAnsi="宋体" w:cs="宋体"/>
          <w:b/>
          <w:sz w:val="24"/>
          <w:szCs w:val="24"/>
          <w:lang w:eastAsia="zh-CN"/>
        </w:rPr>
        <w:t>三</w:t>
      </w:r>
      <w:r>
        <w:rPr>
          <w:rFonts w:hint="eastAsia" w:hAnsi="宋体" w:cs="宋体"/>
          <w:b/>
          <w:sz w:val="24"/>
          <w:szCs w:val="24"/>
        </w:rPr>
        <w:t>、合同金额</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left"/>
        <w:textAlignment w:val="auto"/>
        <w:outlineLvl w:val="9"/>
        <w:rPr>
          <w:rFonts w:hint="eastAsia" w:hAnsi="宋体" w:eastAsia="宋体" w:cs="宋体"/>
          <w:sz w:val="24"/>
          <w:szCs w:val="24"/>
          <w:lang w:val="en-US" w:eastAsia="zh-CN"/>
        </w:rPr>
      </w:pPr>
      <w:r>
        <w:rPr>
          <w:rFonts w:hint="eastAsia" w:hAnsi="宋体" w:cs="宋体"/>
          <w:sz w:val="24"/>
          <w:szCs w:val="24"/>
          <w:lang w:val="en-US" w:eastAsia="zh-CN"/>
        </w:rPr>
        <w:t xml:space="preserve">    中标管理费费率（利润、税金等）为 </w:t>
      </w:r>
      <w:r>
        <w:rPr>
          <w:rFonts w:hint="eastAsia" w:hAnsi="宋体" w:cs="宋体"/>
          <w:sz w:val="24"/>
          <w:szCs w:val="24"/>
          <w:u w:val="single"/>
          <w:lang w:val="en-US" w:eastAsia="zh-CN"/>
        </w:rPr>
        <w:t xml:space="preserve">       %  </w:t>
      </w:r>
      <w:r>
        <w:rPr>
          <w:rFonts w:hint="eastAsia" w:hAnsi="宋体" w:cs="宋体"/>
          <w:sz w:val="24"/>
          <w:szCs w:val="24"/>
          <w:lang w:val="en-US" w:eastAsia="zh-CN"/>
        </w:rPr>
        <w:t>。</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left"/>
        <w:textAlignment w:val="auto"/>
        <w:outlineLvl w:val="9"/>
        <w:rPr>
          <w:rFonts w:hint="eastAsia" w:hAnsi="宋体" w:cs="宋体"/>
          <w:sz w:val="24"/>
          <w:szCs w:val="24"/>
        </w:rPr>
      </w:pPr>
      <w:r>
        <w:rPr>
          <w:rFonts w:hint="eastAsia" w:hAnsi="宋体" w:cs="宋体"/>
          <w:sz w:val="24"/>
          <w:szCs w:val="24"/>
        </w:rPr>
        <w:t>本合同金额为</w:t>
      </w:r>
      <w:r>
        <w:rPr>
          <w:rFonts w:hint="eastAsia" w:hAnsi="宋体" w:cs="宋体"/>
          <w:sz w:val="24"/>
          <w:szCs w:val="24"/>
          <w:lang w:eastAsia="zh-CN"/>
        </w:rPr>
        <w:t>预算价</w:t>
      </w:r>
      <w:r>
        <w:rPr>
          <w:rFonts w:hint="eastAsia" w:hAnsi="宋体" w:cs="宋体"/>
          <w:sz w:val="24"/>
          <w:szCs w:val="24"/>
        </w:rPr>
        <w:t>（大写）：_______________________元（￥_________元</w:t>
      </w:r>
      <w:r>
        <w:rPr>
          <w:rFonts w:hint="eastAsia" w:hAnsi="宋体" w:cs="宋体"/>
          <w:sz w:val="24"/>
          <w:szCs w:val="24"/>
          <w:lang w:val="en-US" w:eastAsia="zh-CN"/>
        </w:rPr>
        <w:t>/年</w:t>
      </w:r>
      <w:r>
        <w:rPr>
          <w:rFonts w:hint="eastAsia" w:hAnsi="宋体" w:cs="宋体"/>
          <w:sz w:val="24"/>
          <w:szCs w:val="24"/>
        </w:rPr>
        <w:t>）人民币。（经甲方签字认可的</w:t>
      </w:r>
      <w:r>
        <w:rPr>
          <w:rFonts w:hint="eastAsia" w:hAnsi="宋体" w:cs="宋体"/>
          <w:sz w:val="24"/>
          <w:szCs w:val="24"/>
          <w:lang w:eastAsia="zh-CN"/>
        </w:rPr>
        <w:t>安保</w:t>
      </w:r>
      <w:r>
        <w:rPr>
          <w:rFonts w:hint="eastAsia" w:hAnsi="宋体" w:cs="宋体"/>
          <w:sz w:val="24"/>
          <w:szCs w:val="24"/>
        </w:rPr>
        <w:t>服务费、应交、必交的税金及管理费）</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auto"/>
        <w:rPr>
          <w:rFonts w:hint="eastAsia" w:hAnsi="宋体" w:cs="宋体"/>
          <w:b/>
          <w:sz w:val="24"/>
          <w:szCs w:val="24"/>
        </w:rPr>
      </w:pPr>
      <w:r>
        <w:rPr>
          <w:rFonts w:hint="eastAsia" w:hAnsi="宋体" w:cs="宋体"/>
          <w:b/>
          <w:sz w:val="24"/>
          <w:szCs w:val="24"/>
          <w:lang w:eastAsia="zh-CN"/>
        </w:rPr>
        <w:t>四</w:t>
      </w:r>
      <w:r>
        <w:rPr>
          <w:rFonts w:hint="eastAsia" w:hAnsi="宋体" w:cs="宋体"/>
          <w:b/>
          <w:sz w:val="24"/>
          <w:szCs w:val="24"/>
        </w:rPr>
        <w:t>、技术资料</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410" w:leftChars="0" w:right="0" w:rightChars="0" w:hanging="410" w:hangingChars="171"/>
        <w:textAlignment w:val="auto"/>
        <w:rPr>
          <w:rFonts w:hint="eastAsia" w:hAnsi="宋体" w:cs="宋体"/>
          <w:sz w:val="24"/>
          <w:szCs w:val="24"/>
        </w:rPr>
      </w:pPr>
      <w:r>
        <w:rPr>
          <w:rFonts w:hint="eastAsia" w:hAnsi="宋体" w:cs="宋体"/>
          <w:sz w:val="24"/>
          <w:szCs w:val="24"/>
        </w:rPr>
        <w:t xml:space="preserve">    1.乙方应按招标文件规定的时间向甲方提供有关技术资料。</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auto"/>
        <w:rPr>
          <w:rFonts w:hint="eastAsia" w:hAnsi="宋体" w:cs="宋体"/>
          <w:sz w:val="24"/>
          <w:szCs w:val="24"/>
        </w:rPr>
      </w:pPr>
      <w:r>
        <w:rPr>
          <w:rFonts w:hint="eastAsia" w:hAnsi="宋体" w:cs="宋体"/>
          <w:sz w:val="24"/>
          <w:szCs w:val="24"/>
        </w:rPr>
        <w:t xml:space="preserve">    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textAlignment w:val="auto"/>
        <w:rPr>
          <w:rFonts w:hint="eastAsia" w:hAnsi="宋体" w:cs="宋体"/>
          <w:b/>
          <w:sz w:val="24"/>
          <w:szCs w:val="24"/>
          <w:highlight w:val="none"/>
        </w:rPr>
      </w:pPr>
      <w:r>
        <w:rPr>
          <w:rFonts w:hint="eastAsia" w:hAnsi="宋体" w:cs="宋体"/>
          <w:b/>
          <w:sz w:val="24"/>
          <w:szCs w:val="24"/>
          <w:lang w:eastAsia="zh-CN"/>
        </w:rPr>
        <w:t>五</w:t>
      </w:r>
      <w:r>
        <w:rPr>
          <w:rFonts w:hint="eastAsia" w:hAnsi="宋体" w:cs="宋体"/>
          <w:b/>
          <w:sz w:val="24"/>
          <w:szCs w:val="24"/>
        </w:rPr>
        <w:t>、履约保证金</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left"/>
        <w:textAlignment w:val="auto"/>
        <w:rPr>
          <w:rFonts w:hint="eastAsia" w:hAnsi="宋体" w:cs="宋体"/>
          <w:sz w:val="24"/>
          <w:szCs w:val="24"/>
          <w:highlight w:val="yellow"/>
        </w:rPr>
      </w:pPr>
      <w:r>
        <w:rPr>
          <w:rFonts w:hint="eastAsia" w:hAnsi="宋体" w:cs="宋体"/>
          <w:sz w:val="24"/>
          <w:szCs w:val="24"/>
          <w:highlight w:val="none"/>
        </w:rPr>
        <w:t xml:space="preserve">  </w:t>
      </w:r>
      <w:r>
        <w:rPr>
          <w:rFonts w:hint="eastAsia" w:hAnsi="宋体" w:cs="宋体"/>
          <w:sz w:val="24"/>
          <w:szCs w:val="24"/>
          <w:highlight w:val="none"/>
          <w:lang w:val="en-US" w:eastAsia="zh-CN"/>
        </w:rPr>
        <w:t xml:space="preserve">  </w:t>
      </w:r>
      <w:r>
        <w:rPr>
          <w:rFonts w:hint="eastAsia" w:ascii="宋体" w:hAnsi="宋体" w:eastAsia="宋体" w:cs="宋体"/>
          <w:color w:val="auto"/>
          <w:kern w:val="0"/>
          <w:sz w:val="24"/>
          <w:szCs w:val="24"/>
          <w:highlight w:val="none"/>
          <w:lang w:bidi="ar"/>
        </w:rPr>
        <w:t>履约保证金</w:t>
      </w:r>
      <w:r>
        <w:rPr>
          <w:rFonts w:hint="eastAsia" w:ascii="宋体" w:hAnsi="宋体" w:eastAsia="宋体" w:cs="宋体"/>
          <w:color w:val="auto"/>
          <w:kern w:val="0"/>
          <w:sz w:val="24"/>
          <w:szCs w:val="24"/>
          <w:highlight w:val="none"/>
          <w:lang w:eastAsia="zh-CN" w:bidi="ar"/>
        </w:rPr>
        <w:t>壹拾万元整</w:t>
      </w:r>
      <w:r>
        <w:rPr>
          <w:rFonts w:hint="eastAsia" w:ascii="宋体" w:hAnsi="宋体" w:eastAsia="宋体" w:cs="宋体"/>
          <w:color w:val="auto"/>
          <w:kern w:val="0"/>
          <w:sz w:val="24"/>
          <w:szCs w:val="24"/>
          <w:highlight w:val="none"/>
          <w:lang w:bidi="ar"/>
        </w:rPr>
        <w:t>，中标人应在收到中标通知书之日起5个工作日内向招标人交付履约保证金，否则，视为中标人放弃中标。</w:t>
      </w:r>
      <w:r>
        <w:rPr>
          <w:rFonts w:hint="eastAsia" w:ascii="宋体" w:hAnsi="宋体" w:eastAsia="宋体" w:cs="宋体"/>
          <w:color w:val="auto"/>
          <w:kern w:val="0"/>
          <w:sz w:val="24"/>
          <w:szCs w:val="24"/>
          <w:highlight w:val="none"/>
          <w:lang w:eastAsia="zh-CN" w:bidi="ar"/>
        </w:rPr>
        <w:t>服务期满后无质量问题</w:t>
      </w:r>
      <w:r>
        <w:rPr>
          <w:rFonts w:hint="eastAsia" w:ascii="宋体" w:hAnsi="宋体" w:eastAsia="宋体" w:cs="宋体"/>
          <w:color w:val="auto"/>
          <w:kern w:val="0"/>
          <w:sz w:val="24"/>
          <w:szCs w:val="24"/>
          <w:highlight w:val="none"/>
          <w:lang w:bidi="ar"/>
        </w:rPr>
        <w:t>10日内</w:t>
      </w:r>
      <w:r>
        <w:rPr>
          <w:rFonts w:hint="eastAsia" w:ascii="宋体" w:hAnsi="宋体" w:eastAsia="宋体" w:cs="宋体"/>
          <w:color w:val="auto"/>
          <w:kern w:val="0"/>
          <w:sz w:val="24"/>
          <w:szCs w:val="24"/>
          <w:highlight w:val="none"/>
          <w:lang w:eastAsia="zh-CN" w:bidi="ar"/>
        </w:rPr>
        <w:t>（无息）</w:t>
      </w:r>
      <w:r>
        <w:rPr>
          <w:rFonts w:hint="eastAsia" w:ascii="宋体" w:hAnsi="宋体" w:eastAsia="宋体" w:cs="宋体"/>
          <w:color w:val="auto"/>
          <w:kern w:val="0"/>
          <w:sz w:val="24"/>
          <w:szCs w:val="24"/>
          <w:highlight w:val="none"/>
          <w:lang w:bidi="ar"/>
        </w:rPr>
        <w:t>退还</w:t>
      </w:r>
      <w:r>
        <w:rPr>
          <w:rFonts w:hint="eastAsia" w:hAnsi="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textAlignment w:val="auto"/>
        <w:rPr>
          <w:rFonts w:hint="eastAsia" w:ascii="宋体" w:hAnsi="宋体" w:cs="宋体"/>
          <w:b/>
          <w:sz w:val="24"/>
          <w:szCs w:val="24"/>
        </w:rPr>
      </w:pPr>
      <w:r>
        <w:rPr>
          <w:rFonts w:hint="eastAsia" w:ascii="宋体" w:hAnsi="宋体" w:cs="宋体"/>
          <w:b/>
          <w:sz w:val="24"/>
          <w:szCs w:val="24"/>
          <w:lang w:eastAsia="zh-CN"/>
        </w:rPr>
        <w:t>六</w:t>
      </w:r>
      <w:r>
        <w:rPr>
          <w:rFonts w:hint="eastAsia" w:ascii="宋体" w:hAnsi="宋体" w:cs="宋体"/>
          <w:b/>
          <w:sz w:val="24"/>
          <w:szCs w:val="24"/>
        </w:rPr>
        <w:t>、转包或分包</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textAlignment w:val="auto"/>
        <w:rPr>
          <w:rFonts w:hint="eastAsia" w:ascii="宋体" w:hAnsi="宋体" w:cs="宋体"/>
          <w:sz w:val="24"/>
          <w:szCs w:val="24"/>
        </w:rPr>
      </w:pPr>
      <w:r>
        <w:rPr>
          <w:rFonts w:hint="eastAsia" w:ascii="宋体" w:hAnsi="宋体" w:cs="宋体"/>
          <w:sz w:val="24"/>
          <w:szCs w:val="24"/>
        </w:rPr>
        <w:t xml:space="preserve">    1.本合同范围的服务，应由乙方直接供应，不得转让他人供应；</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textAlignment w:val="auto"/>
        <w:rPr>
          <w:rFonts w:hint="eastAsia" w:ascii="宋体" w:hAnsi="宋体" w:cs="宋体"/>
          <w:sz w:val="24"/>
          <w:szCs w:val="24"/>
        </w:rPr>
      </w:pPr>
      <w:r>
        <w:rPr>
          <w:rFonts w:hint="eastAsia" w:ascii="宋体" w:hAnsi="宋体" w:cs="宋体"/>
          <w:sz w:val="24"/>
          <w:szCs w:val="24"/>
        </w:rPr>
        <w:t xml:space="preserve">    2.除非得到甲方的书面同意，乙方不得将本合同范围的服务全部或部分分包给他人供应；</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textAlignment w:val="auto"/>
        <w:rPr>
          <w:rFonts w:hint="eastAsia" w:ascii="宋体" w:hAnsi="宋体" w:cs="宋体"/>
          <w:sz w:val="24"/>
          <w:szCs w:val="24"/>
        </w:rPr>
      </w:pPr>
      <w:r>
        <w:rPr>
          <w:rFonts w:hint="eastAsia" w:ascii="宋体" w:hAnsi="宋体" w:cs="宋体"/>
          <w:sz w:val="24"/>
          <w:szCs w:val="24"/>
        </w:rPr>
        <w:t xml:space="preserve">    3.如有转让和未经甲方同意的分包行为，甲方有权解除合同，没收履约保证金并追究乙方的违约责任。</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auto"/>
        <w:rPr>
          <w:rFonts w:hint="eastAsia" w:hAnsi="宋体" w:cs="宋体"/>
          <w:b/>
          <w:sz w:val="24"/>
          <w:szCs w:val="24"/>
        </w:rPr>
      </w:pPr>
      <w:r>
        <w:rPr>
          <w:rFonts w:hint="eastAsia" w:hAnsi="宋体" w:cs="宋体"/>
          <w:b/>
          <w:sz w:val="24"/>
          <w:szCs w:val="24"/>
          <w:lang w:eastAsia="zh-CN"/>
        </w:rPr>
        <w:t>七</w:t>
      </w:r>
      <w:r>
        <w:rPr>
          <w:rFonts w:hint="eastAsia" w:hAnsi="宋体" w:cs="宋体"/>
          <w:b/>
          <w:sz w:val="24"/>
          <w:szCs w:val="24"/>
        </w:rPr>
        <w:t>、服务期限及服务地点</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auto"/>
        <w:rPr>
          <w:rFonts w:hint="eastAsia" w:hAnsi="宋体" w:eastAsia="宋体" w:cs="宋体"/>
          <w:bCs/>
          <w:color w:val="000000"/>
          <w:sz w:val="24"/>
          <w:szCs w:val="24"/>
          <w:lang w:eastAsia="zh-CN"/>
        </w:rPr>
      </w:pPr>
      <w:r>
        <w:rPr>
          <w:rFonts w:hint="eastAsia" w:hAnsi="宋体" w:cs="宋体"/>
          <w:bCs/>
          <w:sz w:val="24"/>
          <w:szCs w:val="24"/>
        </w:rPr>
        <w:t xml:space="preserve">    1. </w:t>
      </w:r>
      <w:r>
        <w:rPr>
          <w:rFonts w:hint="eastAsia" w:hAnsi="宋体" w:cs="宋体"/>
          <w:sz w:val="24"/>
          <w:szCs w:val="24"/>
        </w:rPr>
        <w:t>服务期限</w:t>
      </w:r>
      <w:r>
        <w:rPr>
          <w:rFonts w:hint="eastAsia" w:hAnsi="宋体" w:cs="宋体"/>
          <w:bCs/>
          <w:sz w:val="24"/>
          <w:szCs w:val="24"/>
        </w:rPr>
        <w:t>：</w:t>
      </w:r>
      <w:r>
        <w:rPr>
          <w:rFonts w:hint="eastAsia" w:hAnsi="宋体" w:cs="宋体"/>
          <w:bCs/>
          <w:sz w:val="24"/>
          <w:szCs w:val="24"/>
          <w:lang w:val="en-US" w:eastAsia="zh-CN"/>
        </w:rPr>
        <w:t>2</w:t>
      </w:r>
      <w:r>
        <w:rPr>
          <w:rFonts w:hint="eastAsia" w:hAnsi="宋体" w:cs="宋体"/>
          <w:bCs/>
          <w:sz w:val="24"/>
          <w:szCs w:val="24"/>
          <w:lang w:eastAsia="zh-CN"/>
        </w:rPr>
        <w:t>年</w:t>
      </w:r>
      <w:r>
        <w:rPr>
          <w:rFonts w:hint="eastAsia" w:hAnsi="宋体" w:cs="宋体"/>
          <w:bCs/>
          <w:sz w:val="24"/>
          <w:szCs w:val="24"/>
        </w:rPr>
        <w:t>。（</w:t>
      </w:r>
      <w:r>
        <w:rPr>
          <w:rFonts w:hint="eastAsia" w:hAnsi="宋体" w:cs="宋体"/>
          <w:color w:val="000000"/>
          <w:sz w:val="24"/>
          <w:szCs w:val="24"/>
        </w:rPr>
        <w:t>自</w:t>
      </w:r>
      <w:r>
        <w:rPr>
          <w:rFonts w:hint="eastAsia" w:hAnsi="宋体" w:cs="宋体"/>
          <w:color w:val="000000"/>
          <w:sz w:val="24"/>
          <w:szCs w:val="24"/>
          <w:u w:val="single"/>
        </w:rPr>
        <w:t xml:space="preserve">     </w:t>
      </w:r>
      <w:r>
        <w:rPr>
          <w:rFonts w:hint="eastAsia" w:hAnsi="宋体" w:cs="宋体"/>
          <w:color w:val="000000"/>
          <w:sz w:val="24"/>
          <w:szCs w:val="24"/>
        </w:rPr>
        <w:t>年</w:t>
      </w:r>
      <w:r>
        <w:rPr>
          <w:rFonts w:hint="eastAsia" w:hAnsi="宋体" w:cs="宋体"/>
          <w:color w:val="000000"/>
          <w:sz w:val="24"/>
          <w:szCs w:val="24"/>
          <w:u w:val="single"/>
        </w:rPr>
        <w:t xml:space="preserve">    </w:t>
      </w:r>
      <w:r>
        <w:rPr>
          <w:rFonts w:hint="eastAsia" w:hAnsi="宋体" w:cs="宋体"/>
          <w:color w:val="000000"/>
          <w:sz w:val="24"/>
          <w:szCs w:val="24"/>
        </w:rPr>
        <w:t>月</w:t>
      </w:r>
      <w:r>
        <w:rPr>
          <w:rFonts w:hint="eastAsia" w:hAnsi="宋体" w:cs="宋体"/>
          <w:color w:val="000000"/>
          <w:sz w:val="24"/>
          <w:szCs w:val="24"/>
          <w:u w:val="single"/>
        </w:rPr>
        <w:t xml:space="preserve">     </w:t>
      </w:r>
      <w:r>
        <w:rPr>
          <w:rFonts w:hint="eastAsia" w:hAnsi="宋体" w:cs="宋体"/>
          <w:color w:val="000000"/>
          <w:sz w:val="24"/>
          <w:szCs w:val="24"/>
        </w:rPr>
        <w:t>日至</w:t>
      </w:r>
      <w:r>
        <w:rPr>
          <w:rFonts w:hint="eastAsia" w:hAnsi="宋体" w:cs="宋体"/>
          <w:color w:val="000000"/>
          <w:sz w:val="24"/>
          <w:szCs w:val="24"/>
          <w:u w:val="single"/>
        </w:rPr>
        <w:t xml:space="preserve">     </w:t>
      </w:r>
      <w:r>
        <w:rPr>
          <w:rFonts w:hint="eastAsia" w:hAnsi="宋体" w:cs="宋体"/>
          <w:color w:val="000000"/>
          <w:sz w:val="24"/>
          <w:szCs w:val="24"/>
        </w:rPr>
        <w:t>年</w:t>
      </w:r>
      <w:r>
        <w:rPr>
          <w:rFonts w:hint="eastAsia" w:hAnsi="宋体" w:cs="宋体"/>
          <w:color w:val="000000"/>
          <w:sz w:val="24"/>
          <w:szCs w:val="24"/>
          <w:u w:val="single"/>
        </w:rPr>
        <w:t xml:space="preserve">     </w:t>
      </w:r>
      <w:r>
        <w:rPr>
          <w:rFonts w:hint="eastAsia" w:hAnsi="宋体" w:cs="宋体"/>
          <w:color w:val="000000"/>
          <w:sz w:val="24"/>
          <w:szCs w:val="24"/>
        </w:rPr>
        <w:t>月</w:t>
      </w:r>
      <w:r>
        <w:rPr>
          <w:rFonts w:hint="eastAsia" w:hAnsi="宋体" w:cs="宋体"/>
          <w:color w:val="000000"/>
          <w:sz w:val="24"/>
          <w:szCs w:val="24"/>
          <w:u w:val="single"/>
        </w:rPr>
        <w:t xml:space="preserve">      </w:t>
      </w:r>
      <w:r>
        <w:rPr>
          <w:rFonts w:hint="eastAsia" w:hAnsi="宋体" w:cs="宋体"/>
          <w:color w:val="000000"/>
          <w:sz w:val="24"/>
          <w:szCs w:val="24"/>
        </w:rPr>
        <w:t>日）</w:t>
      </w:r>
      <w:r>
        <w:rPr>
          <w:rFonts w:hint="eastAsia" w:hAnsi="宋体" w:cs="宋体"/>
          <w:color w:val="000000"/>
          <w:sz w:val="24"/>
          <w:szCs w:val="24"/>
          <w:lang w:eastAsia="zh-CN"/>
        </w:rPr>
        <w:t>（一年一签）</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auto"/>
        <w:rPr>
          <w:rFonts w:hint="eastAsia" w:hAnsi="宋体" w:cs="宋体"/>
          <w:color w:val="000000"/>
          <w:sz w:val="24"/>
          <w:szCs w:val="24"/>
        </w:rPr>
      </w:pPr>
      <w:r>
        <w:rPr>
          <w:rFonts w:hint="eastAsia" w:hAnsi="宋体" w:cs="宋体"/>
          <w:bCs/>
          <w:color w:val="000000"/>
          <w:sz w:val="24"/>
          <w:szCs w:val="24"/>
        </w:rPr>
        <w:t xml:space="preserve">    2. </w:t>
      </w:r>
      <w:r>
        <w:rPr>
          <w:rFonts w:hint="eastAsia" w:hAnsi="宋体" w:cs="宋体"/>
          <w:sz w:val="24"/>
          <w:szCs w:val="24"/>
        </w:rPr>
        <w:t>履行地点</w:t>
      </w:r>
      <w:r>
        <w:rPr>
          <w:rFonts w:hint="eastAsia" w:hAnsi="宋体" w:cs="宋体"/>
          <w:bCs/>
          <w:color w:val="000000"/>
          <w:sz w:val="24"/>
          <w:szCs w:val="24"/>
        </w:rPr>
        <w:t>：按采购人要求。</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auto"/>
        <w:rPr>
          <w:rFonts w:hint="eastAsia" w:hAnsi="宋体" w:cs="宋体"/>
          <w:b/>
          <w:bCs/>
          <w:color w:val="000000"/>
          <w:sz w:val="24"/>
          <w:szCs w:val="24"/>
        </w:rPr>
      </w:pPr>
      <w:r>
        <w:rPr>
          <w:rFonts w:hint="eastAsia" w:hAnsi="宋体" w:cs="宋体"/>
          <w:b/>
          <w:bCs/>
          <w:color w:val="000000"/>
          <w:sz w:val="24"/>
          <w:szCs w:val="24"/>
          <w:lang w:eastAsia="zh-CN"/>
        </w:rPr>
        <w:t>八</w:t>
      </w:r>
      <w:r>
        <w:rPr>
          <w:rFonts w:hint="eastAsia" w:hAnsi="宋体" w:cs="宋体"/>
          <w:b/>
          <w:bCs/>
          <w:color w:val="000000"/>
          <w:sz w:val="24"/>
          <w:szCs w:val="24"/>
        </w:rPr>
        <w:t>、付款方式</w:t>
      </w:r>
    </w:p>
    <w:p>
      <w:pPr>
        <w:keepNext w:val="0"/>
        <w:keepLines w:val="0"/>
        <w:pageBreakBefore w:val="0"/>
        <w:widowControl w:val="0"/>
        <w:kinsoku/>
        <w:wordWrap/>
        <w:overflowPunct/>
        <w:topLinePunct w:val="0"/>
        <w:autoSpaceDE/>
        <w:autoSpaceDN/>
        <w:bidi w:val="0"/>
        <w:adjustRightInd/>
        <w:spacing w:line="440" w:lineRule="exact"/>
        <w:ind w:left="0" w:leftChars="0" w:right="0" w:rightChars="0"/>
        <w:textAlignment w:val="auto"/>
        <w:outlineLvl w:val="9"/>
        <w:rPr>
          <w:rFonts w:hint="eastAsia" w:ascii="宋体" w:hAnsi="宋体" w:cs="宋体"/>
          <w:b/>
          <w:bCs/>
          <w:color w:val="000000"/>
          <w:sz w:val="24"/>
          <w:szCs w:val="24"/>
        </w:rPr>
      </w:pPr>
      <w:r>
        <w:rPr>
          <w:rFonts w:hint="eastAsia" w:ascii="宋体" w:hAnsi="宋体" w:cs="宋体"/>
          <w:color w:val="000000"/>
          <w:sz w:val="24"/>
          <w:szCs w:val="24"/>
        </w:rPr>
        <w:t xml:space="preserve">   </w:t>
      </w:r>
      <w:r>
        <w:rPr>
          <w:rFonts w:hint="eastAsia" w:ascii="宋体" w:hAnsi="宋体" w:cs="宋体"/>
          <w:b w:val="0"/>
          <w:bCs w:val="0"/>
          <w:color w:val="000000"/>
          <w:sz w:val="24"/>
          <w:szCs w:val="24"/>
        </w:rPr>
        <w:t xml:space="preserve"> </w:t>
      </w:r>
      <w:r>
        <w:rPr>
          <w:rFonts w:hint="eastAsia" w:hAnsi="宋体" w:eastAsia="宋体"/>
          <w:b w:val="0"/>
          <w:bCs w:val="0"/>
          <w:color w:val="auto"/>
          <w:sz w:val="24"/>
          <w:szCs w:val="24"/>
          <w:highlight w:val="none"/>
          <w:lang w:eastAsia="zh-CN"/>
        </w:rPr>
        <w:t>结算方式为每月结算一次，</w:t>
      </w:r>
      <w:r>
        <w:rPr>
          <w:rFonts w:hint="eastAsia" w:ascii="宋体" w:hAnsi="宋体" w:cs="宋体"/>
          <w:b w:val="0"/>
          <w:bCs w:val="0"/>
          <w:snapToGrid w:val="0"/>
          <w:kern w:val="0"/>
          <w:sz w:val="24"/>
          <w:highlight w:val="none"/>
          <w:lang w:val="en-US" w:eastAsia="zh-CN"/>
        </w:rPr>
        <w:t>中标方每月月底凭安保服务费发票</w:t>
      </w:r>
      <w:r>
        <w:rPr>
          <w:rFonts w:hint="eastAsia" w:ascii="新宋体" w:hAnsi="新宋体" w:eastAsia="新宋体"/>
          <w:b w:val="0"/>
          <w:bCs w:val="0"/>
          <w:color w:val="000000"/>
          <w:sz w:val="24"/>
          <w:highlight w:val="none"/>
        </w:rPr>
        <w:t>和</w:t>
      </w:r>
      <w:r>
        <w:rPr>
          <w:rFonts w:hint="eastAsia" w:ascii="新宋体" w:hAnsi="新宋体" w:eastAsia="新宋体"/>
          <w:b w:val="0"/>
          <w:bCs w:val="0"/>
          <w:color w:val="000000"/>
          <w:sz w:val="24"/>
          <w:highlight w:val="none"/>
          <w:lang w:eastAsia="zh-CN"/>
        </w:rPr>
        <w:t>服务人员</w:t>
      </w:r>
      <w:r>
        <w:rPr>
          <w:rFonts w:hint="eastAsia" w:ascii="新宋体" w:hAnsi="新宋体" w:eastAsia="新宋体"/>
          <w:b w:val="0"/>
          <w:bCs w:val="0"/>
          <w:color w:val="000000"/>
          <w:sz w:val="24"/>
          <w:highlight w:val="none"/>
        </w:rPr>
        <w:t>工资发放凭证复印件</w:t>
      </w:r>
      <w:r>
        <w:rPr>
          <w:rFonts w:hint="eastAsia" w:ascii="宋体" w:hAnsi="宋体" w:cs="宋体"/>
          <w:b w:val="0"/>
          <w:bCs w:val="0"/>
          <w:snapToGrid w:val="0"/>
          <w:kern w:val="0"/>
          <w:sz w:val="24"/>
          <w:highlight w:val="none"/>
          <w:lang w:val="en-US" w:eastAsia="zh-CN"/>
        </w:rPr>
        <w:t>（工资、加班工资、五险一金、福利劳保等及管理费、利润、税金）结算服务费用，由采购人签署付款凭证，月初办理付款手续。</w:t>
      </w:r>
      <w:r>
        <w:rPr>
          <w:rFonts w:hint="eastAsia" w:hAnsi="宋体" w:eastAsia="宋体"/>
          <w:b w:val="0"/>
          <w:bCs w:val="0"/>
          <w:color w:val="auto"/>
          <w:sz w:val="24"/>
          <w:szCs w:val="24"/>
          <w:highlight w:val="none"/>
          <w:lang w:eastAsia="zh-CN"/>
        </w:rPr>
        <w:t>工人工资、福利待遇、五金等均由乙方支付，与甲方无关；结算方式：按实际岗位的人数、金额结算。</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textAlignment w:val="auto"/>
        <w:rPr>
          <w:rFonts w:hint="eastAsia" w:ascii="宋体" w:hAnsi="宋体" w:cs="宋体"/>
          <w:b/>
          <w:sz w:val="24"/>
          <w:szCs w:val="24"/>
        </w:rPr>
      </w:pPr>
      <w:r>
        <w:rPr>
          <w:rFonts w:hint="eastAsia" w:ascii="宋体" w:hAnsi="宋体" w:cs="宋体"/>
          <w:b/>
          <w:sz w:val="24"/>
          <w:szCs w:val="24"/>
          <w:lang w:eastAsia="zh-CN"/>
        </w:rPr>
        <w:t>九</w:t>
      </w:r>
      <w:r>
        <w:rPr>
          <w:rFonts w:hint="eastAsia" w:ascii="宋体" w:hAnsi="宋体" w:cs="宋体"/>
          <w:b/>
          <w:sz w:val="24"/>
          <w:szCs w:val="24"/>
        </w:rPr>
        <w:t>、税费</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textAlignment w:val="auto"/>
        <w:rPr>
          <w:rFonts w:hint="eastAsia" w:ascii="宋体" w:hAnsi="宋体" w:cs="宋体"/>
          <w:sz w:val="24"/>
          <w:szCs w:val="24"/>
        </w:rPr>
      </w:pPr>
      <w:r>
        <w:rPr>
          <w:rFonts w:hint="eastAsia" w:ascii="宋体" w:hAnsi="宋体" w:cs="宋体"/>
          <w:sz w:val="24"/>
          <w:szCs w:val="24"/>
        </w:rPr>
        <w:t xml:space="preserve">    本合同执行中相关的一切税费均由乙方负担。</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auto"/>
        <w:rPr>
          <w:rFonts w:hint="eastAsia" w:hAnsi="宋体" w:cs="宋体"/>
          <w:b/>
          <w:sz w:val="24"/>
          <w:szCs w:val="24"/>
        </w:rPr>
      </w:pPr>
      <w:r>
        <w:rPr>
          <w:rFonts w:hint="eastAsia" w:hAnsi="宋体" w:cs="宋体"/>
          <w:b/>
          <w:sz w:val="24"/>
          <w:szCs w:val="24"/>
          <w:lang w:eastAsia="zh-CN"/>
        </w:rPr>
        <w:t>十</w:t>
      </w:r>
      <w:r>
        <w:rPr>
          <w:rFonts w:hint="eastAsia" w:hAnsi="宋体" w:cs="宋体"/>
          <w:b/>
          <w:sz w:val="24"/>
          <w:szCs w:val="24"/>
        </w:rPr>
        <w:t>、违约责任</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textAlignment w:val="auto"/>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w:t>
      </w:r>
      <w:r>
        <w:rPr>
          <w:rFonts w:hint="eastAsia" w:hAnsi="宋体" w:cs="宋体"/>
          <w:sz w:val="24"/>
          <w:szCs w:val="24"/>
        </w:rPr>
        <w:t>乙方逾期履行合同的，自逾期之日起，向甲方每日偿付合同总价万分之二的滞纳金；乙方逾期30日不能交货的，应向甲方支付合同总价百分之五的违约金，同时不解除合同交货责任。</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textAlignment w:val="auto"/>
        <w:rPr>
          <w:rFonts w:hint="eastAsia" w:hAnsi="宋体" w:cs="宋体"/>
          <w:sz w:val="24"/>
          <w:szCs w:val="24"/>
        </w:rPr>
      </w:pPr>
      <w:r>
        <w:rPr>
          <w:rFonts w:hint="eastAsia" w:hAnsi="宋体" w:cs="宋体"/>
          <w:sz w:val="24"/>
          <w:szCs w:val="24"/>
        </w:rPr>
        <w:t>2</w:t>
      </w:r>
      <w:r>
        <w:rPr>
          <w:rFonts w:hint="eastAsia" w:hAnsi="宋体" w:cs="宋体"/>
          <w:sz w:val="24"/>
          <w:szCs w:val="24"/>
          <w:lang w:val="en-US" w:eastAsia="zh-CN"/>
        </w:rPr>
        <w:t>.</w:t>
      </w:r>
      <w:r>
        <w:rPr>
          <w:rFonts w:hint="eastAsia" w:hAnsi="宋体" w:cs="宋体"/>
          <w:sz w:val="24"/>
          <w:szCs w:val="24"/>
        </w:rPr>
        <w:t>因甲方原因逾期支付货款的，自逾期之日起，向乙方每日偿付合同总价万分之二的滞纳金；甲方无正当理由拒付货款的，应向乙方偿付合同总价百分之五的违约金，同时承担合同付款责任。</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textAlignment w:val="auto"/>
        <w:rPr>
          <w:rFonts w:hint="eastAsia" w:hAnsi="宋体" w:eastAsia="宋体" w:cs="宋体"/>
          <w:sz w:val="24"/>
          <w:szCs w:val="24"/>
          <w:lang w:val="en-US" w:eastAsia="zh-CN"/>
        </w:rPr>
      </w:pPr>
      <w:r>
        <w:rPr>
          <w:rFonts w:hint="eastAsia" w:hAnsi="宋体" w:cs="宋体"/>
          <w:sz w:val="24"/>
          <w:szCs w:val="24"/>
          <w:lang w:val="en-US" w:eastAsia="zh-CN"/>
        </w:rPr>
        <w:t>3.乙方未能如期提供服务的，每日向甲方支付合同款项的千分之六作为违约金。乙方超过约定日期10个工作日仍不能提供服务的，甲方可解除本合同。乙方因未能如期提供服务或其他违约行为导致甲方解除合同的，乙方应向甲方支付合同总值5%的违约金，如造成甲方损失超过违约金的，超出部分由乙方继续承担赔偿责任。</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auto"/>
        <w:rPr>
          <w:rFonts w:hint="eastAsia" w:hAnsi="宋体" w:cs="宋体"/>
          <w:b/>
          <w:sz w:val="24"/>
          <w:szCs w:val="24"/>
        </w:rPr>
      </w:pPr>
      <w:r>
        <w:rPr>
          <w:rFonts w:hint="eastAsia" w:hAnsi="宋体" w:cs="宋体"/>
          <w:b/>
          <w:sz w:val="24"/>
          <w:szCs w:val="24"/>
        </w:rPr>
        <w:t>十</w:t>
      </w:r>
      <w:r>
        <w:rPr>
          <w:rFonts w:hint="eastAsia" w:hAnsi="宋体" w:cs="宋体"/>
          <w:b/>
          <w:sz w:val="24"/>
          <w:szCs w:val="24"/>
          <w:lang w:eastAsia="zh-CN"/>
        </w:rPr>
        <w:t>一</w:t>
      </w:r>
      <w:r>
        <w:rPr>
          <w:rFonts w:hint="eastAsia" w:hAnsi="宋体" w:cs="宋体"/>
          <w:b/>
          <w:sz w:val="24"/>
          <w:szCs w:val="24"/>
        </w:rPr>
        <w:t>、不可抗力事件处理</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auto"/>
        <w:outlineLvl w:val="9"/>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w:t>
      </w:r>
      <w:r>
        <w:rPr>
          <w:rFonts w:hint="eastAsia" w:hAnsi="宋体" w:cs="宋体"/>
          <w:sz w:val="24"/>
          <w:szCs w:val="24"/>
        </w:rPr>
        <w:t>在合同有效期内，任何一方因不可抗力事件导致不能履行合同，则合同履行期可延长，其延长期与不可抗力影响期相同。</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auto"/>
        <w:outlineLvl w:val="9"/>
        <w:rPr>
          <w:rFonts w:hint="eastAsia" w:hAnsi="宋体" w:cs="宋体"/>
          <w:sz w:val="24"/>
          <w:szCs w:val="24"/>
        </w:rPr>
      </w:pPr>
      <w:r>
        <w:rPr>
          <w:rFonts w:hint="eastAsia" w:hAnsi="宋体" w:cs="宋体"/>
          <w:sz w:val="24"/>
          <w:szCs w:val="24"/>
        </w:rPr>
        <w:t>2</w:t>
      </w:r>
      <w:r>
        <w:rPr>
          <w:rFonts w:hint="eastAsia" w:hAnsi="宋体" w:cs="宋体"/>
          <w:sz w:val="24"/>
          <w:szCs w:val="24"/>
          <w:lang w:val="en-US" w:eastAsia="zh-CN"/>
        </w:rPr>
        <w:t>.</w:t>
      </w:r>
      <w:r>
        <w:rPr>
          <w:rFonts w:hint="eastAsia" w:hAnsi="宋体" w:cs="宋体"/>
          <w:sz w:val="24"/>
          <w:szCs w:val="24"/>
        </w:rPr>
        <w:t>不可抗力事件发生后，应立即通知对方，并寄送有关权威机构出具的证明。</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jc w:val="both"/>
        <w:textAlignment w:val="auto"/>
        <w:outlineLvl w:val="9"/>
        <w:rPr>
          <w:rFonts w:hint="eastAsia" w:hAnsi="宋体" w:cs="宋体"/>
          <w:sz w:val="24"/>
          <w:szCs w:val="24"/>
        </w:rPr>
      </w:pPr>
      <w:r>
        <w:rPr>
          <w:rFonts w:hint="eastAsia" w:hAnsi="宋体" w:cs="宋体"/>
          <w:sz w:val="24"/>
          <w:szCs w:val="24"/>
        </w:rPr>
        <w:t>3</w:t>
      </w:r>
      <w:r>
        <w:rPr>
          <w:rFonts w:hint="eastAsia" w:hAnsi="宋体" w:cs="宋体"/>
          <w:sz w:val="24"/>
          <w:szCs w:val="24"/>
          <w:lang w:val="en-US" w:eastAsia="zh-CN"/>
        </w:rPr>
        <w:t>.</w:t>
      </w:r>
      <w:r>
        <w:rPr>
          <w:rFonts w:hint="eastAsia" w:hAnsi="宋体" w:cs="宋体"/>
          <w:sz w:val="24"/>
          <w:szCs w:val="24"/>
        </w:rPr>
        <w:t>不可抗力事件延续120天以上，双方应通过友好协商，确定是否继续履行合同。</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auto"/>
        <w:rPr>
          <w:rFonts w:hint="eastAsia" w:hAnsi="宋体" w:cs="宋体"/>
          <w:b/>
          <w:sz w:val="24"/>
          <w:szCs w:val="24"/>
        </w:rPr>
      </w:pPr>
      <w:r>
        <w:rPr>
          <w:rFonts w:hint="eastAsia" w:hAnsi="宋体" w:cs="宋体"/>
          <w:b/>
          <w:sz w:val="24"/>
          <w:szCs w:val="24"/>
        </w:rPr>
        <w:t>十</w:t>
      </w:r>
      <w:r>
        <w:rPr>
          <w:rFonts w:hint="eastAsia" w:hAnsi="宋体" w:cs="宋体"/>
          <w:b/>
          <w:sz w:val="24"/>
          <w:szCs w:val="24"/>
          <w:lang w:eastAsia="zh-CN"/>
        </w:rPr>
        <w:t>二</w:t>
      </w:r>
      <w:r>
        <w:rPr>
          <w:rFonts w:hint="eastAsia" w:hAnsi="宋体" w:cs="宋体"/>
          <w:b/>
          <w:sz w:val="24"/>
          <w:szCs w:val="24"/>
        </w:rPr>
        <w:t>、诉讼</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jc w:val="left"/>
        <w:textAlignment w:val="auto"/>
        <w:rPr>
          <w:rFonts w:hint="eastAsia" w:hAnsi="宋体" w:cs="宋体"/>
          <w:sz w:val="24"/>
          <w:szCs w:val="24"/>
        </w:rPr>
      </w:pPr>
      <w:r>
        <w:rPr>
          <w:rFonts w:hint="eastAsia" w:hAnsi="宋体" w:cs="宋体"/>
          <w:sz w:val="24"/>
          <w:szCs w:val="24"/>
          <w:lang w:val="en-US" w:eastAsia="zh-CN"/>
        </w:rPr>
        <w:t xml:space="preserve">    </w:t>
      </w:r>
      <w:r>
        <w:rPr>
          <w:rFonts w:hint="eastAsia" w:hAnsi="宋体" w:cs="宋体"/>
          <w:sz w:val="24"/>
          <w:szCs w:val="24"/>
        </w:rPr>
        <w:t>双方在执行合同中所发生的一切争议，应通过协商解决。如协商不成，可向甲方所在地法院起诉。</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textAlignment w:val="auto"/>
        <w:rPr>
          <w:rFonts w:hint="eastAsia" w:hAnsi="宋体" w:cs="宋体"/>
          <w:b/>
          <w:sz w:val="24"/>
          <w:szCs w:val="24"/>
        </w:rPr>
      </w:pPr>
      <w:r>
        <w:rPr>
          <w:rFonts w:hint="eastAsia" w:hAnsi="宋体" w:cs="宋体"/>
          <w:b/>
          <w:sz w:val="24"/>
          <w:szCs w:val="24"/>
        </w:rPr>
        <w:t>十</w:t>
      </w:r>
      <w:r>
        <w:rPr>
          <w:rFonts w:hint="eastAsia" w:hAnsi="宋体" w:cs="宋体"/>
          <w:b/>
          <w:sz w:val="24"/>
          <w:szCs w:val="24"/>
          <w:lang w:eastAsia="zh-CN"/>
        </w:rPr>
        <w:t>三</w:t>
      </w:r>
      <w:r>
        <w:rPr>
          <w:rFonts w:hint="eastAsia" w:hAnsi="宋体" w:cs="宋体"/>
          <w:b/>
          <w:sz w:val="24"/>
          <w:szCs w:val="24"/>
        </w:rPr>
        <w:t>、合同生效及其它</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textAlignment w:val="auto"/>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w:t>
      </w:r>
      <w:r>
        <w:rPr>
          <w:rFonts w:hint="eastAsia" w:hAnsi="宋体" w:cs="宋体"/>
          <w:sz w:val="24"/>
          <w:szCs w:val="24"/>
        </w:rPr>
        <w:t>本合同经甲方、乙方法定代表人或其委托人签字并加盖双方公章后生效。</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textAlignment w:val="auto"/>
        <w:rPr>
          <w:rFonts w:hint="eastAsia" w:hAnsi="宋体" w:cs="宋体"/>
          <w:sz w:val="24"/>
          <w:szCs w:val="24"/>
        </w:rPr>
      </w:pPr>
      <w:r>
        <w:rPr>
          <w:rFonts w:hint="eastAsia" w:hAnsi="宋体" w:cs="宋体"/>
          <w:sz w:val="24"/>
          <w:szCs w:val="24"/>
        </w:rPr>
        <w:t>2</w:t>
      </w:r>
      <w:r>
        <w:rPr>
          <w:rFonts w:hint="eastAsia" w:hAnsi="宋体" w:cs="宋体"/>
          <w:sz w:val="24"/>
          <w:szCs w:val="24"/>
          <w:lang w:val="en-US" w:eastAsia="zh-CN"/>
        </w:rPr>
        <w:t>.</w:t>
      </w:r>
      <w:r>
        <w:rPr>
          <w:rFonts w:hint="eastAsia" w:hAnsi="宋体" w:cs="宋体"/>
          <w:sz w:val="24"/>
          <w:szCs w:val="24"/>
        </w:rPr>
        <w:t>本合同一式陆份，甲、乙双方各执三份。</w:t>
      </w:r>
    </w:p>
    <w:p>
      <w:pPr>
        <w:pStyle w:val="26"/>
        <w:keepNext w:val="0"/>
        <w:keepLines w:val="0"/>
        <w:pageBreakBefore w:val="0"/>
        <w:widowControl w:val="0"/>
        <w:kinsoku/>
        <w:wordWrap/>
        <w:overflowPunct/>
        <w:topLinePunct w:val="0"/>
        <w:autoSpaceDE/>
        <w:autoSpaceDN/>
        <w:bidi w:val="0"/>
        <w:adjustRightInd/>
        <w:snapToGrid w:val="0"/>
        <w:spacing w:before="0" w:beforeLines="0" w:after="0" w:afterLines="0" w:line="440" w:lineRule="exact"/>
        <w:ind w:left="0" w:leftChars="0" w:right="0" w:rightChars="0" w:firstLine="480" w:firstLineChars="200"/>
        <w:textAlignment w:val="auto"/>
        <w:rPr>
          <w:rFonts w:hint="eastAsia" w:hAnsi="宋体"/>
        </w:rPr>
      </w:pPr>
      <w:r>
        <w:rPr>
          <w:rFonts w:hint="eastAsia" w:hAnsi="宋体" w:cs="宋体"/>
          <w:sz w:val="24"/>
          <w:szCs w:val="24"/>
        </w:rPr>
        <w:t>3</w:t>
      </w:r>
      <w:r>
        <w:rPr>
          <w:rFonts w:hint="eastAsia" w:hAnsi="宋体" w:cs="宋体"/>
          <w:sz w:val="24"/>
          <w:szCs w:val="24"/>
          <w:lang w:val="en-US" w:eastAsia="zh-CN"/>
        </w:rPr>
        <w:t>.</w:t>
      </w:r>
      <w:r>
        <w:rPr>
          <w:rFonts w:hint="eastAsia" w:hAnsi="宋体" w:cs="宋体"/>
          <w:sz w:val="24"/>
          <w:szCs w:val="24"/>
        </w:rPr>
        <w:t>与本合同有关标书及记录同本合同具有同等法律效果。</w:t>
      </w:r>
    </w:p>
    <w:p>
      <w:pPr>
        <w:pStyle w:val="26"/>
        <w:snapToGrid w:val="0"/>
        <w:spacing w:before="0" w:beforeLines="0" w:after="160" w:afterLines="0" w:line="440" w:lineRule="exact"/>
        <w:ind w:firstLine="1200" w:firstLineChars="500"/>
        <w:rPr>
          <w:rFonts w:hAnsi="宋体"/>
        </w:rPr>
      </w:pPr>
      <w:r>
        <w:rPr>
          <w:rFonts w:hint="eastAsia" w:hAnsi="宋体"/>
        </w:rPr>
        <w:t>甲方（盖章）：                    　　乙方（盖章）：</w:t>
      </w:r>
    </w:p>
    <w:p>
      <w:pPr>
        <w:pStyle w:val="26"/>
        <w:snapToGrid w:val="0"/>
        <w:spacing w:before="0" w:beforeLines="0" w:after="160" w:afterLines="0" w:line="440" w:lineRule="exact"/>
        <w:ind w:left="2" w:leftChars="-85" w:hanging="180" w:hangingChars="75"/>
        <w:rPr>
          <w:rFonts w:hint="eastAsia" w:hAnsi="宋体"/>
          <w:lang w:eastAsia="zh-CN"/>
        </w:rPr>
      </w:pPr>
      <w:r>
        <w:rPr>
          <w:rFonts w:hint="eastAsia" w:hAnsi="宋体"/>
        </w:rPr>
        <w:t xml:space="preserve">    法定代表人或受委托人（签字）</w:t>
      </w:r>
      <w:r>
        <w:rPr>
          <w:rFonts w:hint="eastAsia" w:hAnsi="宋体"/>
          <w:lang w:eastAsia="zh-CN"/>
        </w:rPr>
        <w:t>：</w:t>
      </w:r>
      <w:r>
        <w:rPr>
          <w:rFonts w:hint="eastAsia" w:hAnsi="宋体"/>
        </w:rPr>
        <w:t xml:space="preserve">        法定代表人或受委托人（签字） </w:t>
      </w:r>
      <w:r>
        <w:rPr>
          <w:rFonts w:hint="eastAsia" w:hAnsi="宋体"/>
          <w:lang w:eastAsia="zh-CN"/>
        </w:rPr>
        <w:t>：</w:t>
      </w:r>
      <w:r>
        <w:rPr>
          <w:rFonts w:hint="eastAsia" w:hAnsi="宋体"/>
        </w:rPr>
        <w:t xml:space="preserve">                            </w:t>
      </w:r>
    </w:p>
    <w:p>
      <w:pPr>
        <w:pStyle w:val="26"/>
        <w:snapToGrid w:val="0"/>
        <w:spacing w:before="0" w:beforeLines="0" w:after="160" w:afterLines="0" w:line="440" w:lineRule="exact"/>
        <w:ind w:left="2" w:leftChars="-85" w:hanging="180" w:hangingChars="75"/>
        <w:rPr>
          <w:rFonts w:hAnsi="宋体"/>
        </w:rPr>
      </w:pPr>
      <w:r>
        <w:rPr>
          <w:rFonts w:hint="eastAsia" w:hAnsi="宋体"/>
        </w:rPr>
        <w:t xml:space="preserve">  </w:t>
      </w:r>
      <w:r>
        <w:rPr>
          <w:rFonts w:hint="eastAsia" w:hAnsi="宋体"/>
          <w:lang w:val="en-US" w:eastAsia="zh-CN"/>
        </w:rPr>
        <w:t xml:space="preserve">                 </w:t>
      </w:r>
      <w:r>
        <w:rPr>
          <w:rFonts w:hint="eastAsia" w:hAnsi="宋体"/>
        </w:rPr>
        <w:t>地址：                               地址：　　</w:t>
      </w:r>
    </w:p>
    <w:p>
      <w:pPr>
        <w:pStyle w:val="26"/>
        <w:snapToGrid w:val="0"/>
        <w:spacing w:before="0" w:beforeLines="0" w:after="160" w:afterLines="0" w:line="440" w:lineRule="exact"/>
        <w:ind w:left="2" w:leftChars="-85" w:hanging="180" w:hangingChars="75"/>
        <w:rPr>
          <w:rFonts w:hAnsi="宋体"/>
        </w:rPr>
      </w:pPr>
      <w:r>
        <w:rPr>
          <w:rFonts w:hint="eastAsia" w:hAnsi="宋体"/>
        </w:rPr>
        <w:t xml:space="preserve">   </w:t>
      </w:r>
      <w:r>
        <w:rPr>
          <w:rFonts w:hint="eastAsia" w:hAnsi="宋体"/>
          <w:lang w:val="en-US" w:eastAsia="zh-CN"/>
        </w:rPr>
        <w:t xml:space="preserve">               </w:t>
      </w:r>
      <w:r>
        <w:rPr>
          <w:rFonts w:hint="eastAsia" w:hAnsi="宋体"/>
        </w:rPr>
        <w:t xml:space="preserve"> 邮编：                               邮编：　</w:t>
      </w:r>
    </w:p>
    <w:p>
      <w:pPr>
        <w:pStyle w:val="26"/>
        <w:snapToGrid w:val="0"/>
        <w:spacing w:before="0" w:beforeLines="0" w:after="160" w:afterLines="0" w:line="440" w:lineRule="exact"/>
        <w:ind w:left="2" w:leftChars="-85" w:hanging="180" w:hangingChars="75"/>
        <w:rPr>
          <w:rFonts w:hAnsi="宋体"/>
        </w:rPr>
      </w:pPr>
      <w:r>
        <w:rPr>
          <w:rFonts w:hint="eastAsia" w:hAnsi="宋体"/>
        </w:rPr>
        <w:t xml:space="preserve">    </w:t>
      </w:r>
      <w:r>
        <w:rPr>
          <w:rFonts w:hint="eastAsia" w:hAnsi="宋体"/>
          <w:lang w:val="en-US" w:eastAsia="zh-CN"/>
        </w:rPr>
        <w:t xml:space="preserve">               </w:t>
      </w:r>
      <w:r>
        <w:rPr>
          <w:rFonts w:hint="eastAsia" w:hAnsi="宋体"/>
        </w:rPr>
        <w:t>电话：                               电话：　</w:t>
      </w:r>
    </w:p>
    <w:p>
      <w:pPr>
        <w:pStyle w:val="26"/>
        <w:snapToGrid w:val="0"/>
        <w:spacing w:before="0" w:beforeLines="0" w:after="160" w:afterLines="0" w:line="440" w:lineRule="exact"/>
        <w:ind w:left="2" w:leftChars="-85" w:hanging="180" w:hangingChars="75"/>
        <w:rPr>
          <w:rFonts w:hAnsi="宋体"/>
        </w:rPr>
      </w:pPr>
      <w:r>
        <w:rPr>
          <w:rFonts w:hint="eastAsia" w:hAnsi="宋体"/>
        </w:rPr>
        <w:t xml:space="preserve">    </w:t>
      </w:r>
      <w:r>
        <w:rPr>
          <w:rFonts w:hint="eastAsia" w:hAnsi="宋体"/>
          <w:lang w:val="en-US" w:eastAsia="zh-CN"/>
        </w:rPr>
        <w:t xml:space="preserve">               </w:t>
      </w:r>
      <w:r>
        <w:rPr>
          <w:rFonts w:hint="eastAsia" w:hAnsi="宋体"/>
        </w:rPr>
        <w:t>传真：                               传真：　</w:t>
      </w:r>
    </w:p>
    <w:p>
      <w:pPr>
        <w:pStyle w:val="26"/>
        <w:snapToGrid w:val="0"/>
        <w:spacing w:before="0" w:beforeLines="0" w:after="160" w:afterLines="0" w:line="440" w:lineRule="exact"/>
        <w:ind w:left="2" w:leftChars="-85" w:hanging="180" w:hangingChars="75"/>
        <w:rPr>
          <w:rFonts w:hint="eastAsia" w:hAnsi="宋体"/>
        </w:rPr>
      </w:pPr>
      <w:r>
        <w:rPr>
          <w:rFonts w:hint="eastAsia" w:hAnsi="宋体"/>
        </w:rPr>
        <w:t xml:space="preserve">    </w:t>
      </w:r>
      <w:r>
        <w:rPr>
          <w:rFonts w:hint="eastAsia" w:hAnsi="宋体"/>
          <w:lang w:val="en-US" w:eastAsia="zh-CN"/>
        </w:rPr>
        <w:t xml:space="preserve">           </w:t>
      </w:r>
      <w:r>
        <w:rPr>
          <w:rFonts w:hint="eastAsia" w:hAnsi="宋体"/>
        </w:rPr>
        <w:t>开户银行：                           开户银行：</w:t>
      </w:r>
    </w:p>
    <w:p>
      <w:pPr>
        <w:spacing w:line="360" w:lineRule="auto"/>
        <w:ind w:firstLine="2160" w:firstLineChars="900"/>
        <w:rPr>
          <w:rFonts w:hint="eastAsia" w:ascii="宋体" w:hAnsi="宋体" w:cs="宋体"/>
          <w:snapToGrid w:val="0"/>
          <w:kern w:val="0"/>
          <w:sz w:val="24"/>
        </w:rPr>
        <w:sectPr>
          <w:pgSz w:w="11906" w:h="16838"/>
          <w:pgMar w:top="1440" w:right="1080" w:bottom="1440" w:left="1080" w:header="851" w:footer="851" w:gutter="0"/>
          <w:cols w:space="720" w:num="1"/>
          <w:docGrid w:type="lines" w:linePitch="312" w:charSpace="0"/>
        </w:sectPr>
      </w:pPr>
      <w:r>
        <w:rPr>
          <w:rFonts w:hint="eastAsia" w:hAnsi="宋体"/>
          <w:sz w:val="24"/>
        </w:rPr>
        <w:t>帐号：                               帐号：</w:t>
      </w:r>
    </w:p>
    <w:p>
      <w:pPr>
        <w:pStyle w:val="26"/>
        <w:snapToGrid w:val="0"/>
        <w:spacing w:before="0" w:beforeLines="0" w:after="0" w:afterLines="0"/>
        <w:jc w:val="center"/>
        <w:outlineLvl w:val="0"/>
        <w:rPr>
          <w:rFonts w:hint="eastAsia" w:hAnsi="宋体" w:cs="宋体"/>
          <w:b/>
          <w:color w:val="000000"/>
        </w:rPr>
      </w:pPr>
      <w:bookmarkStart w:id="238" w:name="_Toc30768"/>
      <w:bookmarkStart w:id="239" w:name="_Toc10056"/>
      <w:r>
        <w:rPr>
          <w:rFonts w:hint="eastAsia" w:hAnsi="宋体"/>
          <w:b/>
          <w:sz w:val="36"/>
          <w:szCs w:val="36"/>
        </w:rPr>
        <w:t xml:space="preserve">第六章   </w:t>
      </w:r>
      <w:bookmarkStart w:id="240" w:name="_Toc253"/>
      <w:r>
        <w:rPr>
          <w:rFonts w:hint="eastAsia" w:hAnsi="宋体"/>
          <w:b/>
          <w:sz w:val="36"/>
          <w:szCs w:val="36"/>
        </w:rPr>
        <w:t>投标文件的格式</w:t>
      </w:r>
      <w:bookmarkEnd w:id="237"/>
      <w:bookmarkEnd w:id="238"/>
      <w:bookmarkEnd w:id="239"/>
      <w:bookmarkEnd w:id="240"/>
    </w:p>
    <w:p>
      <w:pPr>
        <w:snapToGrid w:val="0"/>
        <w:spacing w:line="360" w:lineRule="auto"/>
        <w:rPr>
          <w:rFonts w:hint="eastAsia" w:ascii="宋体" w:hAnsi="宋体" w:cs="宋体"/>
          <w:b/>
          <w:color w:val="000000"/>
          <w:sz w:val="24"/>
        </w:rPr>
      </w:pPr>
    </w:p>
    <w:p>
      <w:pPr>
        <w:snapToGrid w:val="0"/>
        <w:spacing w:line="360" w:lineRule="auto"/>
        <w:rPr>
          <w:rFonts w:hint="eastAsia" w:ascii="宋体" w:hAnsi="宋体" w:cs="宋体"/>
          <w:b/>
          <w:color w:val="000000"/>
          <w:sz w:val="24"/>
          <w:szCs w:val="20"/>
        </w:rPr>
      </w:pPr>
      <w:r>
        <w:rPr>
          <w:rFonts w:hint="eastAsia" w:ascii="宋体" w:hAnsi="宋体" w:cs="宋体"/>
          <w:b/>
          <w:color w:val="000000"/>
          <w:sz w:val="24"/>
        </w:rPr>
        <w:t xml:space="preserve">1.投标文件封面格式 </w:t>
      </w:r>
    </w:p>
    <w:p>
      <w:pPr>
        <w:snapToGrid w:val="0"/>
        <w:spacing w:before="120" w:beforeLines="50" w:after="50" w:line="360" w:lineRule="auto"/>
        <w:jc w:val="right"/>
        <w:rPr>
          <w:b/>
          <w:bCs/>
          <w:color w:val="000000"/>
          <w:sz w:val="32"/>
          <w:szCs w:val="20"/>
        </w:rPr>
      </w:pPr>
      <w:r>
        <w:rPr>
          <w:color w:val="000000"/>
          <w:sz w:val="24"/>
        </w:rPr>
        <w:t xml:space="preserve">                                                  </w:t>
      </w:r>
      <w:r>
        <w:rPr>
          <w:rFonts w:hint="eastAsia" w:ascii="宋体" w:hAnsi="宋体" w:cs="宋体"/>
          <w:color w:val="000000"/>
          <w:sz w:val="24"/>
        </w:rPr>
        <w:t xml:space="preserve">                     </w:t>
      </w:r>
      <w:r>
        <w:rPr>
          <w:rFonts w:hint="eastAsia" w:ascii="宋体" w:hAnsi="宋体" w:cs="宋体"/>
          <w:b/>
          <w:bCs/>
          <w:color w:val="000000"/>
          <w:sz w:val="24"/>
        </w:rPr>
        <w:t>正本</w:t>
      </w:r>
    </w:p>
    <w:p>
      <w:pPr>
        <w:snapToGrid w:val="0"/>
        <w:spacing w:before="120" w:beforeLines="50" w:after="50" w:line="360" w:lineRule="auto"/>
        <w:jc w:val="center"/>
        <w:rPr>
          <w:bCs/>
          <w:color w:val="000000"/>
          <w:sz w:val="24"/>
          <w:szCs w:val="20"/>
        </w:rPr>
      </w:pPr>
    </w:p>
    <w:p>
      <w:pPr>
        <w:snapToGrid w:val="0"/>
        <w:spacing w:before="120" w:beforeLines="50" w:after="50" w:line="360" w:lineRule="auto"/>
        <w:jc w:val="center"/>
        <w:rPr>
          <w:bCs/>
          <w:color w:val="000000"/>
          <w:sz w:val="24"/>
          <w:szCs w:val="20"/>
        </w:rPr>
      </w:pPr>
    </w:p>
    <w:p>
      <w:pPr>
        <w:snapToGrid w:val="0"/>
        <w:spacing w:before="120" w:beforeLines="50" w:after="50" w:line="360" w:lineRule="auto"/>
        <w:jc w:val="center"/>
        <w:rPr>
          <w:rFonts w:hint="eastAsia" w:ascii="宋体" w:hAnsi="宋体" w:cs="宋体"/>
          <w:b/>
          <w:bCs/>
          <w:color w:val="000000"/>
          <w:sz w:val="52"/>
          <w:szCs w:val="52"/>
        </w:rPr>
      </w:pPr>
      <w:r>
        <w:rPr>
          <w:rFonts w:hint="eastAsia" w:ascii="宋体" w:hAnsi="宋体" w:cs="宋体"/>
          <w:b/>
          <w:bCs/>
          <w:color w:val="000000"/>
          <w:sz w:val="52"/>
          <w:szCs w:val="52"/>
        </w:rPr>
        <w:t>资格证明/商务技术/报价文件</w:t>
      </w:r>
    </w:p>
    <w:p>
      <w:pPr>
        <w:snapToGrid w:val="0"/>
        <w:spacing w:before="120" w:beforeLines="50" w:after="50" w:line="360" w:lineRule="auto"/>
        <w:rPr>
          <w:bCs/>
          <w:color w:val="000000"/>
          <w:sz w:val="24"/>
          <w:szCs w:val="20"/>
        </w:rPr>
      </w:pPr>
    </w:p>
    <w:p>
      <w:pPr>
        <w:snapToGrid w:val="0"/>
        <w:spacing w:before="120" w:beforeLines="50" w:after="50" w:line="360" w:lineRule="auto"/>
        <w:rPr>
          <w:bCs/>
          <w:color w:val="000000"/>
          <w:sz w:val="24"/>
          <w:szCs w:val="20"/>
        </w:rPr>
      </w:pPr>
    </w:p>
    <w:p>
      <w:pPr>
        <w:snapToGrid w:val="0"/>
        <w:spacing w:before="120" w:beforeLines="50" w:after="50" w:line="360" w:lineRule="auto"/>
        <w:ind w:left="2649" w:leftChars="595" w:hanging="1400" w:hangingChars="500"/>
        <w:rPr>
          <w:bCs/>
          <w:color w:val="000000"/>
          <w:sz w:val="28"/>
          <w:szCs w:val="28"/>
        </w:rPr>
      </w:pPr>
    </w:p>
    <w:p>
      <w:pPr>
        <w:snapToGrid w:val="0"/>
        <w:spacing w:before="120" w:beforeLines="50" w:after="50" w:line="360" w:lineRule="auto"/>
        <w:ind w:left="2649" w:leftChars="595" w:hanging="1400" w:hangingChars="500"/>
        <w:rPr>
          <w:bCs/>
          <w:color w:val="000000"/>
          <w:sz w:val="28"/>
          <w:szCs w:val="28"/>
        </w:rPr>
      </w:pPr>
      <w:r>
        <w:rPr>
          <w:bCs/>
          <w:color w:val="000000"/>
          <w:sz w:val="28"/>
          <w:szCs w:val="28"/>
        </w:rPr>
        <w:t>项目名称：</w:t>
      </w:r>
    </w:p>
    <w:p>
      <w:pPr>
        <w:snapToGrid w:val="0"/>
        <w:spacing w:before="120" w:beforeLines="50" w:after="50" w:line="360" w:lineRule="auto"/>
        <w:ind w:firstLine="560" w:firstLineChars="200"/>
        <w:rPr>
          <w:bCs/>
          <w:color w:val="000000"/>
          <w:sz w:val="28"/>
          <w:szCs w:val="28"/>
        </w:rPr>
      </w:pPr>
      <w:r>
        <w:rPr>
          <w:bCs/>
          <w:color w:val="000000"/>
          <w:sz w:val="28"/>
          <w:szCs w:val="28"/>
        </w:rPr>
        <w:t xml:space="preserve">     项目编号：</w:t>
      </w:r>
    </w:p>
    <w:p>
      <w:pPr>
        <w:pStyle w:val="7"/>
        <w:snapToGrid w:val="0"/>
        <w:spacing w:before="50" w:after="50" w:line="360" w:lineRule="auto"/>
        <w:ind w:firstLine="1260" w:firstLineChars="450"/>
        <w:rPr>
          <w:bCs/>
          <w:color w:val="000000"/>
          <w:sz w:val="28"/>
          <w:szCs w:val="28"/>
        </w:rPr>
      </w:pPr>
    </w:p>
    <w:p>
      <w:pPr>
        <w:pStyle w:val="7"/>
        <w:snapToGrid w:val="0"/>
        <w:spacing w:before="50" w:after="50" w:line="360" w:lineRule="auto"/>
        <w:ind w:firstLine="1260" w:firstLineChars="450"/>
        <w:rPr>
          <w:bCs/>
          <w:color w:val="000000"/>
          <w:sz w:val="28"/>
          <w:szCs w:val="28"/>
        </w:rPr>
      </w:pPr>
    </w:p>
    <w:p>
      <w:pPr>
        <w:pStyle w:val="7"/>
        <w:snapToGrid w:val="0"/>
        <w:spacing w:before="50" w:after="50" w:line="360" w:lineRule="auto"/>
        <w:ind w:firstLine="1260" w:firstLineChars="450"/>
        <w:rPr>
          <w:bCs/>
          <w:color w:val="000000"/>
          <w:sz w:val="28"/>
          <w:szCs w:val="28"/>
        </w:rPr>
      </w:pPr>
    </w:p>
    <w:p>
      <w:pPr>
        <w:pStyle w:val="7"/>
        <w:snapToGrid w:val="0"/>
        <w:spacing w:before="50" w:after="50" w:line="360" w:lineRule="auto"/>
        <w:ind w:firstLine="1260" w:firstLineChars="450"/>
        <w:rPr>
          <w:bCs/>
          <w:color w:val="000000"/>
          <w:sz w:val="28"/>
          <w:szCs w:val="28"/>
        </w:rPr>
      </w:pPr>
    </w:p>
    <w:p>
      <w:pPr>
        <w:pStyle w:val="7"/>
        <w:snapToGrid w:val="0"/>
        <w:spacing w:before="50" w:after="50" w:line="360" w:lineRule="auto"/>
        <w:ind w:firstLine="1260" w:firstLineChars="450"/>
        <w:rPr>
          <w:bCs/>
          <w:color w:val="000000"/>
          <w:sz w:val="28"/>
          <w:szCs w:val="28"/>
        </w:rPr>
      </w:pPr>
      <w:r>
        <w:rPr>
          <w:bCs/>
          <w:color w:val="000000"/>
          <w:sz w:val="28"/>
          <w:szCs w:val="28"/>
        </w:rPr>
        <w:t>投标人名称：</w:t>
      </w:r>
    </w:p>
    <w:p>
      <w:pPr>
        <w:pStyle w:val="7"/>
        <w:snapToGrid w:val="0"/>
        <w:spacing w:before="50" w:after="50" w:line="360" w:lineRule="auto"/>
        <w:ind w:firstLine="1260" w:firstLineChars="450"/>
        <w:rPr>
          <w:bCs/>
          <w:color w:val="000000"/>
          <w:sz w:val="28"/>
          <w:szCs w:val="28"/>
        </w:rPr>
      </w:pPr>
      <w:r>
        <w:rPr>
          <w:bCs/>
          <w:color w:val="000000"/>
          <w:sz w:val="28"/>
          <w:szCs w:val="28"/>
        </w:rPr>
        <w:t>投标人地址：</w:t>
      </w:r>
    </w:p>
    <w:p>
      <w:pPr>
        <w:snapToGrid w:val="0"/>
        <w:spacing w:before="120" w:beforeLines="50" w:after="50" w:line="360" w:lineRule="auto"/>
        <w:ind w:firstLine="645"/>
        <w:jc w:val="center"/>
        <w:rPr>
          <w:color w:val="000000"/>
          <w:sz w:val="28"/>
          <w:szCs w:val="28"/>
        </w:rPr>
      </w:pPr>
      <w:r>
        <w:rPr>
          <w:color w:val="000000"/>
          <w:sz w:val="28"/>
          <w:szCs w:val="28"/>
        </w:rPr>
        <w:t xml:space="preserve">                        </w:t>
      </w:r>
    </w:p>
    <w:p>
      <w:pPr>
        <w:snapToGrid w:val="0"/>
        <w:spacing w:before="120" w:beforeLines="50" w:after="50" w:line="360" w:lineRule="auto"/>
        <w:ind w:firstLine="645"/>
        <w:jc w:val="center"/>
        <w:rPr>
          <w:color w:val="000000"/>
          <w:sz w:val="24"/>
          <w:szCs w:val="20"/>
        </w:rPr>
      </w:pPr>
      <w:r>
        <w:rPr>
          <w:color w:val="000000"/>
          <w:sz w:val="28"/>
          <w:szCs w:val="28"/>
        </w:rPr>
        <w:t>年  月  日</w:t>
      </w:r>
    </w:p>
    <w:p>
      <w:pPr>
        <w:snapToGrid w:val="0"/>
        <w:spacing w:before="120" w:beforeLines="50" w:line="360" w:lineRule="auto"/>
        <w:jc w:val="left"/>
        <w:rPr>
          <w:rFonts w:hint="eastAsia" w:ascii="宋体" w:hAnsi="宋体"/>
          <w:b/>
          <w:sz w:val="24"/>
        </w:rPr>
      </w:pPr>
      <w:r>
        <w:rPr>
          <w:rFonts w:hint="eastAsia" w:ascii="宋体" w:hAnsi="宋体"/>
          <w:b/>
          <w:sz w:val="24"/>
        </w:rPr>
        <w:t xml:space="preserve">  </w:t>
      </w:r>
    </w:p>
    <w:p>
      <w:pPr>
        <w:snapToGrid w:val="0"/>
        <w:spacing w:before="120" w:beforeLines="50" w:line="360" w:lineRule="auto"/>
        <w:jc w:val="left"/>
        <w:rPr>
          <w:rFonts w:hint="eastAsia" w:ascii="宋体" w:hAnsi="宋体"/>
          <w:b/>
          <w:sz w:val="24"/>
        </w:rPr>
      </w:pPr>
      <w:r>
        <w:rPr>
          <w:rFonts w:hint="eastAsia" w:ascii="宋体" w:hAnsi="宋体"/>
          <w:b/>
          <w:sz w:val="24"/>
        </w:rPr>
        <w:t xml:space="preserve"> </w:t>
      </w:r>
    </w:p>
    <w:p>
      <w:pPr>
        <w:snapToGrid w:val="0"/>
        <w:spacing w:before="120" w:beforeLines="50" w:line="360" w:lineRule="auto"/>
        <w:jc w:val="left"/>
        <w:rPr>
          <w:rFonts w:hint="eastAsia" w:ascii="宋体" w:hAnsi="宋体" w:cs="宋体"/>
          <w:b/>
          <w:color w:val="000000"/>
          <w:sz w:val="24"/>
        </w:rPr>
      </w:pPr>
    </w:p>
    <w:p>
      <w:pPr>
        <w:snapToGrid w:val="0"/>
        <w:spacing w:before="120" w:beforeLines="50" w:line="360" w:lineRule="auto"/>
        <w:jc w:val="left"/>
        <w:rPr>
          <w:rFonts w:hint="eastAsia" w:ascii="宋体" w:hAnsi="宋体" w:cs="宋体"/>
          <w:b/>
          <w:color w:val="000000"/>
          <w:sz w:val="24"/>
        </w:rPr>
      </w:pPr>
      <w:r>
        <w:rPr>
          <w:rFonts w:hint="eastAsia" w:ascii="宋体" w:hAnsi="宋体" w:cs="宋体"/>
          <w:b/>
          <w:color w:val="000000"/>
          <w:sz w:val="24"/>
        </w:rPr>
        <w:t>2.资格证明文件：</w:t>
      </w:r>
    </w:p>
    <w:p>
      <w:pPr>
        <w:spacing w:line="360" w:lineRule="auto"/>
        <w:ind w:firstLine="470"/>
        <w:jc w:val="left"/>
        <w:rPr>
          <w:rFonts w:hint="eastAsia" w:ascii="宋体" w:hAnsi="宋体" w:cs="宋体"/>
          <w:sz w:val="24"/>
        </w:rPr>
      </w:pPr>
      <w:r>
        <w:rPr>
          <w:rFonts w:hint="eastAsia" w:ascii="宋体" w:hAnsi="宋体" w:cs="宋体"/>
          <w:sz w:val="24"/>
        </w:rPr>
        <w:t>（1）营业执照扫描件；</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（2）最近3个月中任意1个月的税务缴纳证明材料扫描件；</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（3）最近3个月中任意1个月的社保缴纳证明材料扫描件；</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（4）最近一季度财务报表资料文件(新成立的公司请提供情况说明)；</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（5）具有履行合同所必需的设备和专业技术能力的承诺函（格式自拟）；</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（6）参加政府采购活动前三年内在经营活动中没有重大违法记录的声明；</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（7）单位负责人为同一人或者存在直接控股、管理关系的不同供应商，不得参加同一合同项下的政府采购活动承诺函（格式自拟）；</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（8）供应商没有失信记录承诺函（格式自拟）；</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（9）符合特定资格条件（如有）的有关证明材料（扫描件）。</w:t>
      </w:r>
    </w:p>
    <w:p>
      <w:pPr>
        <w:tabs>
          <w:tab w:val="left" w:pos="4018"/>
        </w:tabs>
        <w:snapToGrid w:val="0"/>
        <w:spacing w:line="400" w:lineRule="exact"/>
        <w:ind w:firstLine="480" w:firstLineChars="200"/>
        <w:jc w:val="left"/>
        <w:rPr>
          <w:rFonts w:hint="eastAsia" w:ascii="宋体" w:hAnsi="宋体"/>
          <w:sz w:val="24"/>
        </w:rPr>
      </w:pPr>
    </w:p>
    <w:p>
      <w:pPr>
        <w:pStyle w:val="28"/>
        <w:tabs>
          <w:tab w:val="left" w:pos="4018"/>
        </w:tabs>
        <w:snapToGrid w:val="0"/>
        <w:spacing w:line="400" w:lineRule="exact"/>
        <w:ind w:left="0" w:leftChars="0" w:firstLine="480" w:firstLineChars="200"/>
        <w:rPr>
          <w:rFonts w:ascii="宋体" w:hAnsi="宋体" w:eastAsia="宋体"/>
          <w:sz w:val="24"/>
        </w:rPr>
      </w:pPr>
    </w:p>
    <w:p>
      <w:pPr>
        <w:pStyle w:val="26"/>
        <w:snapToGrid w:val="0"/>
        <w:spacing w:before="0" w:beforeLines="0" w:after="120" w:line="240" w:lineRule="auto"/>
        <w:rPr>
          <w:rFonts w:hAnsi="宋体"/>
          <w:sz w:val="21"/>
          <w:szCs w:val="21"/>
        </w:rPr>
      </w:pPr>
    </w:p>
    <w:p>
      <w:pPr>
        <w:snapToGrid w:val="0"/>
        <w:spacing w:before="50" w:after="50" w:line="360" w:lineRule="auto"/>
        <w:rPr>
          <w:rFonts w:hint="eastAsia" w:ascii="宋体" w:hAnsi="宋体" w:cs="宋体"/>
          <w:b/>
          <w:bCs/>
          <w:sz w:val="24"/>
        </w:rPr>
      </w:pPr>
      <w:r>
        <w:rPr>
          <w:rFonts w:ascii="宋体" w:hAnsi="宋体"/>
          <w:sz w:val="30"/>
          <w:szCs w:val="30"/>
        </w:rPr>
        <w:br w:type="page"/>
      </w:r>
      <w:r>
        <w:rPr>
          <w:rFonts w:hint="eastAsia" w:ascii="宋体" w:hAnsi="宋体" w:cs="宋体"/>
          <w:b/>
          <w:bCs/>
          <w:sz w:val="24"/>
        </w:rPr>
        <w:t>3.商务技术文件目录</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（1）评分索引表；</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（2）法定代表人资格证明书或法定代表人授权委托书(格式附后)；</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（3）提供符合要求的营业执照及符合特定资格条件的有关证明材料；</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（4）供应商市场行为信誉情况承诺书；</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（5）投标人基本情况；</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（6）综合实力；</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rPr>
        <w:t>（7）</w:t>
      </w:r>
      <w:r>
        <w:rPr>
          <w:rFonts w:hint="eastAsia" w:ascii="宋体" w:hAnsi="宋体" w:cs="宋体"/>
          <w:sz w:val="24"/>
          <w:lang w:val="en-US" w:eastAsia="zh-CN"/>
        </w:rPr>
        <w:t>成功案例；</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lang w:val="en-US" w:eastAsia="zh-CN"/>
        </w:rPr>
        <w:t>（8）人员培训；</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lang w:val="en-US" w:eastAsia="zh-CN"/>
        </w:rPr>
        <w:t>（9）项目负责人（队长）；</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lang w:val="en-US" w:eastAsia="zh-CN"/>
        </w:rPr>
        <w:t>（10）项目服务人员；</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lang w:val="en-US" w:eastAsia="zh-CN"/>
        </w:rPr>
        <w:t>（11）针对本项目的特点和难点分析及解决措施；</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lang w:val="en-US" w:eastAsia="zh-CN"/>
        </w:rPr>
        <w:t>（12）服务方案；</w:t>
      </w:r>
    </w:p>
    <w:p>
      <w:pPr>
        <w:snapToGrid w:val="0"/>
        <w:spacing w:line="360" w:lineRule="auto"/>
        <w:ind w:firstLine="470" w:firstLineChars="196"/>
        <w:jc w:val="left"/>
        <w:outlineLvl w:val="2"/>
        <w:rPr>
          <w:rFonts w:hint="eastAsia" w:ascii="宋体" w:hAnsi="宋体" w:cs="宋体"/>
          <w:sz w:val="24"/>
          <w:lang w:val="en-US" w:eastAsia="zh-CN"/>
        </w:rPr>
      </w:pPr>
      <w:r>
        <w:rPr>
          <w:rFonts w:hint="eastAsia" w:ascii="宋体" w:hAnsi="宋体" w:cs="宋体"/>
          <w:sz w:val="24"/>
          <w:lang w:val="en-US" w:eastAsia="zh-CN"/>
        </w:rPr>
        <w:t>（13）设备配置；</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lang w:val="en-US" w:eastAsia="zh-CN"/>
        </w:rPr>
        <w:t>（14）应急预案</w:t>
      </w:r>
      <w:r>
        <w:rPr>
          <w:rFonts w:hint="eastAsia" w:ascii="宋体" w:hAnsi="宋体" w:cs="宋体"/>
          <w:color w:val="000000"/>
          <w:sz w:val="24"/>
        </w:rPr>
        <w:t>；</w:t>
      </w:r>
    </w:p>
    <w:p>
      <w:pPr>
        <w:snapToGrid w:val="0"/>
        <w:spacing w:line="360" w:lineRule="auto"/>
        <w:ind w:firstLine="470" w:firstLineChars="196"/>
        <w:jc w:val="left"/>
        <w:outlineLvl w:val="2"/>
        <w:rPr>
          <w:rFonts w:hint="default" w:ascii="宋体" w:hAnsi="宋体" w:eastAsia="宋体" w:cs="宋体"/>
          <w:sz w:val="24"/>
          <w:lang w:val="en-US" w:eastAsia="zh-CN"/>
        </w:rPr>
      </w:pPr>
      <w:r>
        <w:rPr>
          <w:rFonts w:hint="eastAsia" w:ascii="宋体" w:hAnsi="宋体" w:cs="宋体"/>
          <w:sz w:val="24"/>
          <w:lang w:eastAsia="zh-CN"/>
        </w:rPr>
        <w:t>（</w:t>
      </w:r>
      <w:r>
        <w:rPr>
          <w:rFonts w:hint="eastAsia" w:ascii="宋体" w:hAnsi="宋体" w:cs="宋体"/>
          <w:sz w:val="24"/>
          <w:lang w:val="en-US" w:eastAsia="zh-CN"/>
        </w:rPr>
        <w:t>15）优惠措施及合理化建议；</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）商务条款偏离表（格式附后）；</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）技术偏离表（格式附后）；</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）廉政承诺书（格式附后）；</w:t>
      </w:r>
    </w:p>
    <w:p>
      <w:pPr>
        <w:snapToGrid w:val="0"/>
        <w:spacing w:line="360" w:lineRule="auto"/>
        <w:ind w:firstLine="470" w:firstLineChars="196"/>
        <w:jc w:val="left"/>
        <w:outlineLvl w:val="2"/>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9</w:t>
      </w:r>
      <w:r>
        <w:rPr>
          <w:rFonts w:hint="eastAsia" w:ascii="宋体" w:hAnsi="宋体" w:cs="宋体"/>
          <w:sz w:val="24"/>
        </w:rPr>
        <w:t>）投标人认为与评分有关的需要提供的其他资料。</w:t>
      </w:r>
    </w:p>
    <w:p>
      <w:pPr>
        <w:snapToGrid w:val="0"/>
        <w:spacing w:line="360" w:lineRule="auto"/>
        <w:ind w:firstLine="480" w:firstLineChars="200"/>
        <w:rPr>
          <w:rFonts w:hint="eastAsia" w:ascii="宋体" w:hAnsi="宋体"/>
          <w:sz w:val="24"/>
          <w:highlight w:val="yellow"/>
        </w:rPr>
      </w:pPr>
    </w:p>
    <w:p>
      <w:pPr>
        <w:snapToGrid w:val="0"/>
        <w:spacing w:line="360" w:lineRule="auto"/>
        <w:ind w:firstLine="480" w:firstLineChars="200"/>
        <w:rPr>
          <w:rFonts w:hint="eastAsia" w:ascii="宋体" w:hAnsi="宋体"/>
          <w:sz w:val="24"/>
          <w:highlight w:val="yellow"/>
        </w:rPr>
      </w:pPr>
    </w:p>
    <w:p>
      <w:pPr>
        <w:snapToGrid w:val="0"/>
        <w:spacing w:line="360" w:lineRule="auto"/>
        <w:ind w:firstLine="480" w:firstLineChars="200"/>
        <w:rPr>
          <w:rFonts w:hint="eastAsia" w:ascii="宋体" w:hAnsi="宋体"/>
          <w:sz w:val="24"/>
          <w:highlight w:val="yellow"/>
        </w:rPr>
      </w:pPr>
    </w:p>
    <w:p>
      <w:pPr>
        <w:snapToGrid w:val="0"/>
        <w:spacing w:line="360" w:lineRule="auto"/>
        <w:ind w:firstLine="480" w:firstLineChars="200"/>
        <w:rPr>
          <w:rFonts w:hint="eastAsia" w:ascii="宋体" w:hAnsi="宋体"/>
          <w:sz w:val="24"/>
          <w:highlight w:val="yellow"/>
        </w:rPr>
      </w:pPr>
    </w:p>
    <w:p>
      <w:pPr>
        <w:snapToGrid w:val="0"/>
        <w:spacing w:line="360" w:lineRule="auto"/>
        <w:ind w:firstLine="480" w:firstLineChars="200"/>
        <w:rPr>
          <w:rFonts w:hint="eastAsia" w:ascii="宋体" w:hAnsi="宋体"/>
          <w:sz w:val="24"/>
          <w:highlight w:val="yellow"/>
        </w:rPr>
      </w:pPr>
    </w:p>
    <w:p>
      <w:pPr>
        <w:snapToGrid w:val="0"/>
        <w:spacing w:line="360" w:lineRule="auto"/>
        <w:ind w:firstLine="480" w:firstLineChars="200"/>
        <w:rPr>
          <w:rFonts w:hint="eastAsia" w:ascii="宋体" w:hAnsi="宋体"/>
          <w:sz w:val="24"/>
          <w:highlight w:val="yellow"/>
        </w:rPr>
      </w:pPr>
    </w:p>
    <w:p>
      <w:pPr>
        <w:snapToGrid w:val="0"/>
        <w:spacing w:line="360" w:lineRule="auto"/>
        <w:ind w:firstLine="480" w:firstLineChars="200"/>
        <w:rPr>
          <w:rFonts w:hint="eastAsia" w:ascii="宋体" w:hAnsi="宋体"/>
          <w:sz w:val="24"/>
          <w:highlight w:val="yellow"/>
        </w:rPr>
      </w:pPr>
    </w:p>
    <w:p>
      <w:pPr>
        <w:snapToGrid w:val="0"/>
        <w:spacing w:line="360" w:lineRule="auto"/>
        <w:ind w:firstLine="480" w:firstLineChars="200"/>
        <w:rPr>
          <w:rFonts w:hint="eastAsia" w:ascii="宋体" w:hAnsi="宋体"/>
          <w:sz w:val="24"/>
          <w:highlight w:val="yellow"/>
        </w:rPr>
      </w:pPr>
    </w:p>
    <w:p>
      <w:pPr>
        <w:snapToGrid w:val="0"/>
        <w:spacing w:before="50" w:after="120" w:afterLines="50" w:line="360" w:lineRule="auto"/>
        <w:jc w:val="left"/>
        <w:rPr>
          <w:rFonts w:hint="eastAsia" w:ascii="宋体" w:hAnsi="宋体" w:cs="宋体"/>
          <w:b/>
          <w:bCs/>
          <w:color w:val="000000"/>
          <w:sz w:val="24"/>
        </w:rPr>
      </w:pPr>
    </w:p>
    <w:p>
      <w:pPr>
        <w:snapToGrid w:val="0"/>
        <w:spacing w:before="50" w:after="120" w:afterLines="50" w:line="360" w:lineRule="auto"/>
        <w:jc w:val="left"/>
        <w:rPr>
          <w:rFonts w:hint="eastAsia" w:ascii="宋体" w:hAnsi="宋体" w:cs="宋体"/>
          <w:b/>
          <w:bCs/>
          <w:color w:val="000000"/>
          <w:sz w:val="24"/>
        </w:rPr>
      </w:pPr>
    </w:p>
    <w:p>
      <w:pPr>
        <w:snapToGrid w:val="0"/>
        <w:spacing w:before="50" w:after="120" w:afterLines="50" w:line="360" w:lineRule="auto"/>
        <w:jc w:val="left"/>
        <w:rPr>
          <w:rFonts w:hint="eastAsia" w:ascii="宋体" w:hAnsi="宋体" w:cs="宋体"/>
          <w:b/>
          <w:color w:val="000000"/>
          <w:sz w:val="24"/>
        </w:rPr>
      </w:pPr>
      <w:r>
        <w:rPr>
          <w:rFonts w:hint="eastAsia" w:ascii="宋体" w:hAnsi="宋体" w:cs="宋体"/>
          <w:b/>
          <w:bCs/>
          <w:color w:val="000000"/>
          <w:sz w:val="24"/>
        </w:rPr>
        <w:t>4.法定代表人资格证明书或法定代表人授权委托书格式</w:t>
      </w:r>
    </w:p>
    <w:p>
      <w:pPr>
        <w:snapToGrid w:val="0"/>
        <w:spacing w:line="400" w:lineRule="exact"/>
        <w:jc w:val="center"/>
        <w:rPr>
          <w:rFonts w:ascii="宋体" w:hAnsi="宋体" w:cs="宋体"/>
          <w:b/>
          <w:color w:val="000000"/>
          <w:sz w:val="24"/>
        </w:rPr>
      </w:pPr>
      <w:r>
        <w:rPr>
          <w:rFonts w:hint="eastAsia" w:ascii="宋体" w:hAnsi="宋体" w:cs="宋体"/>
          <w:b/>
          <w:color w:val="000000"/>
          <w:sz w:val="24"/>
        </w:rPr>
        <w:t>4.1</w:t>
      </w:r>
      <w:r>
        <w:rPr>
          <w:rFonts w:hint="eastAsia" w:ascii="宋体" w:hAnsi="宋体" w:cs="宋体"/>
          <w:b/>
          <w:bCs/>
          <w:color w:val="000000"/>
          <w:sz w:val="24"/>
        </w:rPr>
        <w:t>法定代表人资格证明书</w:t>
      </w:r>
    </w:p>
    <w:p>
      <w:pPr>
        <w:snapToGrid w:val="0"/>
        <w:spacing w:line="400" w:lineRule="exact"/>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u w:val="single"/>
          <w:lang w:eastAsia="zh-CN"/>
        </w:rPr>
        <w:t>嵊州市崇仁镇人民政府</w:t>
      </w:r>
      <w:r>
        <w:rPr>
          <w:rFonts w:hint="eastAsia" w:ascii="宋体" w:hAnsi="宋体"/>
          <w:sz w:val="24"/>
          <w:u w:val="single"/>
        </w:rPr>
        <w:t>（采购人名称）</w:t>
      </w:r>
    </w:p>
    <w:p>
      <w:pPr>
        <w:spacing w:line="400" w:lineRule="exact"/>
        <w:ind w:firstLine="420"/>
        <w:rPr>
          <w:snapToGrid w:val="0"/>
          <w:u w:val="single"/>
        </w:rPr>
      </w:pPr>
    </w:p>
    <w:p>
      <w:pPr>
        <w:spacing w:line="400" w:lineRule="exact"/>
        <w:ind w:firstLine="420"/>
        <w:rPr>
          <w:rFonts w:hint="eastAsia" w:ascii="宋体" w:hAnsi="宋体" w:cs="宋体"/>
          <w:snapToGrid w:val="0"/>
          <w:sz w:val="24"/>
          <w:u w:val="single"/>
        </w:rPr>
      </w:pPr>
    </w:p>
    <w:p>
      <w:pPr>
        <w:spacing w:line="400" w:lineRule="exact"/>
        <w:ind w:firstLine="420"/>
        <w:rPr>
          <w:rFonts w:hint="eastAsia" w:ascii="宋体" w:hAnsi="宋体" w:cs="宋体"/>
          <w:snapToGrid w:val="0"/>
          <w:sz w:val="24"/>
        </w:rPr>
      </w:pPr>
      <w:r>
        <w:rPr>
          <w:rFonts w:hint="eastAsia" w:ascii="宋体" w:hAnsi="宋体" w:cs="宋体"/>
          <w:snapToGrid w:val="0"/>
          <w:sz w:val="24"/>
          <w:u w:val="single"/>
        </w:rPr>
        <w:t xml:space="preserve">     （姓名）    </w:t>
      </w:r>
      <w:r>
        <w:rPr>
          <w:rFonts w:hint="eastAsia" w:ascii="宋体" w:hAnsi="宋体" w:cs="宋体"/>
          <w:snapToGrid w:val="0"/>
          <w:sz w:val="24"/>
        </w:rPr>
        <w:t>系</w:t>
      </w:r>
      <w:r>
        <w:rPr>
          <w:rFonts w:hint="eastAsia" w:ascii="宋体" w:hAnsi="宋体" w:cs="宋体"/>
          <w:snapToGrid w:val="0"/>
          <w:sz w:val="24"/>
          <w:u w:val="single"/>
        </w:rPr>
        <w:t xml:space="preserve">  （单位名称）  </w:t>
      </w:r>
      <w:r>
        <w:rPr>
          <w:rFonts w:hint="eastAsia" w:ascii="宋体" w:hAnsi="宋体" w:cs="宋体"/>
          <w:snapToGrid w:val="0"/>
          <w:sz w:val="24"/>
        </w:rPr>
        <w:t>的法定代表人，</w:t>
      </w:r>
      <w:r>
        <w:rPr>
          <w:rFonts w:hint="eastAsia" w:ascii="宋体" w:hAnsi="宋体" w:cs="宋体"/>
          <w:snapToGrid w:val="0"/>
          <w:sz w:val="24"/>
          <w:u w:val="single"/>
        </w:rPr>
        <w:t xml:space="preserve">   （身份证号）     </w:t>
      </w:r>
      <w:r>
        <w:rPr>
          <w:rFonts w:hint="eastAsia" w:ascii="宋体" w:hAnsi="宋体" w:cs="宋体"/>
          <w:snapToGrid w:val="0"/>
          <w:sz w:val="24"/>
        </w:rPr>
        <w:t>。</w:t>
      </w:r>
    </w:p>
    <w:p>
      <w:pPr>
        <w:spacing w:line="400" w:lineRule="exact"/>
        <w:ind w:firstLine="420"/>
        <w:rPr>
          <w:rFonts w:hint="eastAsia" w:ascii="宋体" w:hAnsi="宋体" w:cs="宋体"/>
          <w:snapToGrid w:val="0"/>
          <w:sz w:val="24"/>
        </w:rPr>
      </w:pPr>
      <w:r>
        <w:rPr>
          <w:rFonts w:hint="eastAsia" w:ascii="宋体" w:hAnsi="宋体" w:cs="宋体"/>
          <w:snapToGrid w:val="0"/>
          <w:sz w:val="24"/>
        </w:rPr>
        <w:t>特此证明。</w:t>
      </w:r>
    </w:p>
    <w:p>
      <w:pPr>
        <w:spacing w:line="400" w:lineRule="exact"/>
        <w:ind w:firstLine="420"/>
        <w:rPr>
          <w:rFonts w:hint="eastAsia" w:ascii="宋体" w:hAnsi="宋体" w:cs="宋体"/>
          <w:snapToGrid w:val="0"/>
          <w:sz w:val="24"/>
        </w:rPr>
      </w:pPr>
    </w:p>
    <w:p>
      <w:pPr>
        <w:spacing w:line="400" w:lineRule="exact"/>
        <w:ind w:firstLine="420"/>
        <w:rPr>
          <w:rFonts w:hint="eastAsia" w:ascii="宋体" w:hAnsi="宋体" w:cs="宋体"/>
          <w:kern w:val="0"/>
          <w:sz w:val="24"/>
        </w:rPr>
      </w:pPr>
      <w:r>
        <w:rPr>
          <w:rFonts w:hint="eastAsia" w:ascii="宋体" w:hAnsi="宋体" w:cs="宋体"/>
          <w:kern w:val="0"/>
          <w:sz w:val="24"/>
          <w:lang w:val="zh-CN"/>
        </w:rPr>
        <w:t>投标单位名称(公章)：</w:t>
      </w:r>
    </w:p>
    <w:p>
      <w:pPr>
        <w:spacing w:line="400" w:lineRule="exact"/>
        <w:ind w:firstLine="420"/>
        <w:rPr>
          <w:rFonts w:hint="eastAsia" w:ascii="宋体" w:hAnsi="宋体" w:cs="宋体"/>
          <w:kern w:val="0"/>
          <w:sz w:val="24"/>
        </w:rPr>
      </w:pPr>
      <w:r>
        <w:rPr>
          <w:rFonts w:hint="eastAsia" w:ascii="宋体" w:hAnsi="宋体" w:cs="宋体"/>
          <w:kern w:val="0"/>
          <w:sz w:val="24"/>
          <w:lang w:val="zh-CN"/>
        </w:rPr>
        <w:t>法定代表人 (签字或盖章)：</w:t>
      </w:r>
    </w:p>
    <w:p>
      <w:pPr>
        <w:spacing w:line="400" w:lineRule="exact"/>
        <w:ind w:firstLine="420"/>
        <w:rPr>
          <w:rFonts w:hint="eastAsia"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w:t>
      </w:r>
    </w:p>
    <w:p>
      <w:pPr>
        <w:spacing w:line="400" w:lineRule="exact"/>
        <w:ind w:firstLine="420"/>
        <w:rPr>
          <w:rFonts w:hint="eastAsia" w:ascii="宋体" w:hAnsi="宋体" w:cs="宋体"/>
          <w:kern w:val="0"/>
          <w:sz w:val="24"/>
        </w:rPr>
      </w:pPr>
    </w:p>
    <w:p>
      <w:pPr>
        <w:spacing w:line="400" w:lineRule="exact"/>
        <w:ind w:firstLine="420"/>
        <w:rPr>
          <w:rFonts w:hint="eastAsia" w:ascii="宋体" w:hAnsi="宋体" w:cs="宋体"/>
          <w:snapToGrid w:val="0"/>
          <w:kern w:val="0"/>
          <w:sz w:val="24"/>
        </w:rPr>
      </w:pPr>
      <w:r>
        <w:rPr>
          <w:rFonts w:hint="eastAsia" w:ascii="宋体" w:hAnsi="宋体" w:cs="宋体"/>
          <w:snapToGrid w:val="0"/>
          <w:kern w:val="0"/>
          <w:sz w:val="24"/>
        </w:rPr>
        <w:t>附：身份证复印件</w:t>
      </w: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p>
    <w:p>
      <w:pPr>
        <w:snapToGrid w:val="0"/>
        <w:spacing w:line="400" w:lineRule="exact"/>
        <w:jc w:val="center"/>
        <w:rPr>
          <w:rFonts w:hint="eastAsia" w:ascii="宋体" w:hAnsi="宋体" w:cs="宋体"/>
          <w:b/>
          <w:color w:val="000000"/>
          <w:sz w:val="24"/>
        </w:rPr>
      </w:pPr>
      <w:r>
        <w:rPr>
          <w:rFonts w:hint="eastAsia" w:ascii="宋体" w:hAnsi="宋体" w:cs="宋体"/>
          <w:b/>
          <w:color w:val="000000"/>
          <w:sz w:val="24"/>
        </w:rPr>
        <w:t>4.2法定代表人授权委托书</w:t>
      </w:r>
    </w:p>
    <w:p>
      <w:pPr>
        <w:snapToGrid w:val="0"/>
        <w:spacing w:line="400" w:lineRule="exact"/>
        <w:rPr>
          <w:rFonts w:hint="eastAsia" w:ascii="宋体" w:hAnsi="宋体"/>
          <w:sz w:val="24"/>
        </w:rPr>
      </w:pPr>
    </w:p>
    <w:p>
      <w:pPr>
        <w:snapToGrid w:val="0"/>
        <w:spacing w:line="400" w:lineRule="exact"/>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u w:val="single"/>
          <w:lang w:eastAsia="zh-CN"/>
        </w:rPr>
        <w:t>嵊州市崇仁镇人民政府</w:t>
      </w:r>
      <w:r>
        <w:rPr>
          <w:rFonts w:hint="eastAsia" w:ascii="宋体" w:hAnsi="宋体"/>
          <w:sz w:val="24"/>
          <w:u w:val="single"/>
        </w:rPr>
        <w:t>（采购人名称）</w:t>
      </w:r>
    </w:p>
    <w:p>
      <w:pPr>
        <w:snapToGrid w:val="0"/>
        <w:spacing w:line="400" w:lineRule="exact"/>
        <w:ind w:firstLine="480" w:firstLineChars="200"/>
        <w:rPr>
          <w:rFonts w:ascii="宋体" w:hAnsi="宋体"/>
          <w:sz w:val="24"/>
        </w:rPr>
      </w:pPr>
      <w:r>
        <w:rPr>
          <w:rFonts w:hint="eastAsia" w:ascii="宋体" w:hAnsi="宋体"/>
          <w:sz w:val="24"/>
        </w:rPr>
        <w:t>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w:t>
      </w:r>
      <w:r>
        <w:rPr>
          <w:rFonts w:hint="eastAsia" w:ascii="宋体" w:hAnsi="宋体" w:cs="宋体"/>
          <w:bCs/>
          <w:color w:val="000000"/>
          <w:kern w:val="0"/>
          <w:sz w:val="24"/>
        </w:rPr>
        <w:t>或负责人</w:t>
      </w:r>
      <w:r>
        <w:rPr>
          <w:rFonts w:hint="eastAsia" w:ascii="宋体" w:hAnsi="宋体"/>
          <w:sz w:val="24"/>
        </w:rPr>
        <w:t xml:space="preserve">)，现授权委托本单位在职职工 </w:t>
      </w:r>
      <w:r>
        <w:rPr>
          <w:rFonts w:hint="eastAsia" w:ascii="宋体" w:hAnsi="宋体"/>
          <w:sz w:val="24"/>
          <w:u w:val="single"/>
        </w:rPr>
        <w:t xml:space="preserve">         </w:t>
      </w:r>
      <w:r>
        <w:rPr>
          <w:rFonts w:hint="eastAsia" w:ascii="宋体" w:hAnsi="宋体"/>
          <w:sz w:val="24"/>
        </w:rPr>
        <w:t>（姓名）为全权代表，以我方的名义参加项目编号：</w:t>
      </w: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项目的投标活动，并代表我方全权办理针对上述项目的投标、开标、评标、签约等具体事务和签署相关文件。我方对全权代表的签名事项负全部责任。</w:t>
      </w:r>
    </w:p>
    <w:p>
      <w:pPr>
        <w:snapToGrid w:val="0"/>
        <w:spacing w:line="400" w:lineRule="exact"/>
        <w:ind w:firstLine="530" w:firstLineChars="221"/>
        <w:rPr>
          <w:rFonts w:ascii="宋体" w:hAnsi="宋体"/>
          <w:sz w:val="24"/>
        </w:rPr>
      </w:pPr>
      <w:r>
        <w:rPr>
          <w:rFonts w:hint="eastAsia" w:ascii="宋体" w:hAnsi="宋体"/>
          <w:sz w:val="24"/>
        </w:rPr>
        <w:t>在撤销授权的书面通知以前，本授权书一直有效。全权代表在授权书有效期内签署的所有文件不因授权的撤销而失效。</w:t>
      </w:r>
    </w:p>
    <w:p>
      <w:pPr>
        <w:snapToGrid w:val="0"/>
        <w:spacing w:line="400" w:lineRule="exact"/>
        <w:ind w:firstLine="530" w:firstLineChars="221"/>
        <w:rPr>
          <w:rFonts w:ascii="宋体" w:hAnsi="宋体"/>
          <w:sz w:val="24"/>
        </w:rPr>
      </w:pPr>
      <w:r>
        <w:rPr>
          <w:rFonts w:hint="eastAsia" w:ascii="宋体" w:hAnsi="宋体"/>
          <w:sz w:val="24"/>
        </w:rPr>
        <w:t>全权代表无转委托权，特此委托。</w:t>
      </w:r>
    </w:p>
    <w:p>
      <w:pPr>
        <w:snapToGrid w:val="0"/>
        <w:spacing w:line="400" w:lineRule="exact"/>
        <w:ind w:firstLine="480"/>
        <w:rPr>
          <w:rFonts w:ascii="宋体" w:hAnsi="宋体"/>
          <w:sz w:val="24"/>
        </w:rPr>
      </w:pPr>
    </w:p>
    <w:p>
      <w:pPr>
        <w:snapToGrid w:val="0"/>
        <w:spacing w:line="400" w:lineRule="exact"/>
        <w:ind w:firstLine="480"/>
        <w:rPr>
          <w:rFonts w:ascii="宋体" w:hAnsi="宋体"/>
          <w:sz w:val="24"/>
        </w:rPr>
      </w:pPr>
    </w:p>
    <w:p>
      <w:pPr>
        <w:snapToGrid w:val="0"/>
        <w:spacing w:line="400" w:lineRule="exact"/>
        <w:rPr>
          <w:rFonts w:ascii="宋体" w:hAnsi="宋体"/>
          <w:sz w:val="24"/>
        </w:rPr>
      </w:pPr>
      <w:r>
        <w:rPr>
          <w:rFonts w:hint="eastAsia" w:ascii="宋体" w:hAnsi="宋体"/>
          <w:sz w:val="24"/>
        </w:rPr>
        <w:t>全权代表（签名或盖章）：</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r>
        <w:rPr>
          <w:rFonts w:hint="eastAsia" w:ascii="宋体" w:hAnsi="宋体"/>
          <w:sz w:val="24"/>
        </w:rPr>
        <w:t xml:space="preserve">  </w:t>
      </w:r>
    </w:p>
    <w:p>
      <w:pPr>
        <w:snapToGrid w:val="0"/>
        <w:spacing w:line="400" w:lineRule="exact"/>
        <w:rPr>
          <w:rFonts w:ascii="宋体" w:hAnsi="宋体"/>
          <w:sz w:val="24"/>
        </w:rPr>
      </w:pPr>
      <w:r>
        <w:rPr>
          <w:rFonts w:hint="eastAsia" w:ascii="宋体" w:hAnsi="宋体"/>
          <w:sz w:val="24"/>
        </w:rPr>
        <w:t>全权代表身份证号码：</w:t>
      </w:r>
      <w:r>
        <w:rPr>
          <w:rFonts w:hint="eastAsia" w:ascii="宋体" w:hAnsi="宋体"/>
          <w:sz w:val="24"/>
          <w:u w:val="single"/>
        </w:rPr>
        <w:t xml:space="preserve">                         </w:t>
      </w:r>
      <w:r>
        <w:rPr>
          <w:rFonts w:hint="eastAsia" w:ascii="宋体" w:hAnsi="宋体"/>
          <w:sz w:val="24"/>
        </w:rPr>
        <w:t xml:space="preserve"> </w:t>
      </w:r>
    </w:p>
    <w:p>
      <w:pPr>
        <w:snapToGrid w:val="0"/>
        <w:spacing w:line="400" w:lineRule="exact"/>
        <w:rPr>
          <w:rFonts w:ascii="宋体" w:hAnsi="宋体"/>
          <w:sz w:val="24"/>
        </w:rPr>
      </w:pPr>
      <w:r>
        <w:rPr>
          <w:rFonts w:hint="eastAsia" w:ascii="宋体" w:hAnsi="宋体"/>
          <w:sz w:val="24"/>
        </w:rPr>
        <w:t>法定代表人（签名或盖章）：</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napToGrid w:val="0"/>
        <w:spacing w:line="400" w:lineRule="exact"/>
        <w:rPr>
          <w:rFonts w:ascii="宋体" w:hAnsi="宋体"/>
          <w:sz w:val="24"/>
        </w:rPr>
      </w:pPr>
    </w:p>
    <w:p>
      <w:pPr>
        <w:snapToGrid w:val="0"/>
        <w:spacing w:line="400" w:lineRule="exact"/>
        <w:rPr>
          <w:rFonts w:ascii="宋体" w:hAnsi="宋体"/>
          <w:sz w:val="24"/>
        </w:rPr>
      </w:pPr>
      <w:r>
        <w:rPr>
          <w:rFonts w:hint="eastAsia" w:ascii="宋体" w:hAnsi="宋体"/>
          <w:sz w:val="24"/>
        </w:rPr>
        <w:t xml:space="preserve">                                     </w:t>
      </w:r>
    </w:p>
    <w:p>
      <w:pPr>
        <w:snapToGrid w:val="0"/>
        <w:spacing w:line="400" w:lineRule="exact"/>
        <w:ind w:firstLine="4920" w:firstLineChars="2050"/>
        <w:rPr>
          <w:rFonts w:ascii="宋体" w:hAnsi="宋体"/>
          <w:sz w:val="24"/>
        </w:rPr>
      </w:pPr>
    </w:p>
    <w:p>
      <w:pPr>
        <w:snapToGrid w:val="0"/>
        <w:spacing w:line="400" w:lineRule="exact"/>
        <w:rPr>
          <w:rFonts w:ascii="宋体" w:hAnsi="宋体"/>
          <w:sz w:val="24"/>
          <w:u w:val="single"/>
        </w:rPr>
      </w:pPr>
      <w:r>
        <w:rPr>
          <w:rFonts w:hint="eastAsia" w:ascii="宋体" w:hAnsi="宋体"/>
          <w:sz w:val="24"/>
        </w:rPr>
        <w:t>单位全称（公章）：</w:t>
      </w:r>
      <w:r>
        <w:rPr>
          <w:rFonts w:hint="eastAsia" w:ascii="宋体" w:hAnsi="宋体"/>
          <w:sz w:val="24"/>
          <w:u w:val="single"/>
        </w:rPr>
        <w:t xml:space="preserve">           </w:t>
      </w:r>
      <w:r>
        <w:rPr>
          <w:rFonts w:hint="eastAsia" w:ascii="宋体" w:hAnsi="宋体"/>
          <w:sz w:val="24"/>
        </w:rPr>
        <w:t xml:space="preserve">                日  期：</w:t>
      </w:r>
      <w:r>
        <w:rPr>
          <w:rFonts w:hint="eastAsia" w:ascii="宋体" w:hAnsi="宋体"/>
          <w:sz w:val="24"/>
          <w:u w:val="single"/>
        </w:rPr>
        <w:t xml:space="preserve">         </w:t>
      </w:r>
    </w:p>
    <w:p>
      <w:pPr>
        <w:snapToGrid w:val="0"/>
        <w:spacing w:line="400" w:lineRule="exact"/>
        <w:jc w:val="left"/>
        <w:rPr>
          <w:rFonts w:ascii="宋体" w:hAnsi="宋体"/>
          <w:b/>
          <w:sz w:val="32"/>
          <w:szCs w:val="32"/>
        </w:rPr>
      </w:pPr>
    </w:p>
    <w:tbl>
      <w:tblPr>
        <w:tblStyle w:val="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2"/>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3992" w:type="dxa"/>
            <w:noWrap w:val="0"/>
            <w:vAlign w:val="center"/>
          </w:tcPr>
          <w:p>
            <w:pPr>
              <w:snapToGrid w:val="0"/>
              <w:spacing w:line="400" w:lineRule="exact"/>
              <w:jc w:val="center"/>
              <w:rPr>
                <w:rFonts w:hint="eastAsia" w:ascii="宋体" w:hAnsi="宋体"/>
                <w:b/>
                <w:sz w:val="28"/>
                <w:szCs w:val="28"/>
              </w:rPr>
            </w:pPr>
            <w:r>
              <w:rPr>
                <w:rFonts w:hint="eastAsia" w:ascii="宋体" w:hAnsi="宋体"/>
                <w:b/>
                <w:sz w:val="28"/>
                <w:szCs w:val="28"/>
              </w:rPr>
              <w:t>法人身份证复印件</w:t>
            </w:r>
          </w:p>
        </w:tc>
        <w:tc>
          <w:tcPr>
            <w:tcW w:w="3992" w:type="dxa"/>
            <w:noWrap w:val="0"/>
            <w:vAlign w:val="center"/>
          </w:tcPr>
          <w:p>
            <w:pPr>
              <w:snapToGrid w:val="0"/>
              <w:spacing w:line="400" w:lineRule="exact"/>
              <w:jc w:val="center"/>
              <w:rPr>
                <w:rFonts w:hint="eastAsia" w:ascii="宋体" w:hAnsi="宋体"/>
                <w:b/>
                <w:sz w:val="28"/>
                <w:szCs w:val="28"/>
              </w:rPr>
            </w:pPr>
            <w:r>
              <w:rPr>
                <w:rFonts w:hint="eastAsia" w:ascii="宋体" w:hAnsi="宋体"/>
                <w:b/>
                <w:sz w:val="28"/>
                <w:szCs w:val="28"/>
              </w:rPr>
              <w:t>授权代表身份证复印件</w:t>
            </w:r>
          </w:p>
        </w:tc>
      </w:tr>
    </w:tbl>
    <w:p>
      <w:pPr>
        <w:spacing w:line="400" w:lineRule="exact"/>
      </w:pPr>
    </w:p>
    <w:p/>
    <w:p>
      <w:pPr>
        <w:widowControl/>
        <w:autoSpaceDE w:val="0"/>
        <w:autoSpaceDN w:val="0"/>
        <w:spacing w:before="240" w:line="360" w:lineRule="atLeast"/>
        <w:textAlignment w:val="bottom"/>
        <w:rPr>
          <w:rFonts w:hint="eastAsia" w:ascii="宋体" w:hAnsi="宋体" w:cs="宋体"/>
          <w:sz w:val="28"/>
          <w:szCs w:val="28"/>
        </w:rPr>
      </w:pPr>
    </w:p>
    <w:p>
      <w:pPr>
        <w:snapToGrid w:val="0"/>
        <w:spacing w:before="50" w:after="120" w:afterLines="50" w:line="360" w:lineRule="auto"/>
        <w:jc w:val="left"/>
        <w:rPr>
          <w:rFonts w:hint="eastAsia" w:ascii="宋体" w:hAnsi="宋体" w:cs="宋体"/>
          <w:b/>
          <w:bCs/>
          <w:color w:val="000000"/>
          <w:sz w:val="24"/>
        </w:rPr>
      </w:pPr>
      <w:bookmarkStart w:id="241" w:name="_Toc11347"/>
      <w:bookmarkStart w:id="242" w:name="_Toc21744"/>
    </w:p>
    <w:p>
      <w:pPr>
        <w:snapToGrid w:val="0"/>
        <w:spacing w:before="50" w:after="120" w:afterLines="50" w:line="360" w:lineRule="auto"/>
        <w:jc w:val="left"/>
        <w:rPr>
          <w:rFonts w:hint="eastAsia" w:ascii="宋体" w:hAnsi="宋体" w:cs="宋体"/>
          <w:b/>
          <w:bCs/>
          <w:color w:val="000000"/>
          <w:sz w:val="24"/>
        </w:rPr>
      </w:pPr>
    </w:p>
    <w:p>
      <w:pPr>
        <w:snapToGrid w:val="0"/>
        <w:spacing w:before="50" w:after="120" w:afterLines="50" w:line="360" w:lineRule="auto"/>
        <w:jc w:val="left"/>
        <w:rPr>
          <w:rFonts w:hint="eastAsia" w:ascii="宋体" w:hAnsi="宋体" w:cs="宋体"/>
          <w:b/>
          <w:bCs/>
          <w:color w:val="000000"/>
          <w:sz w:val="24"/>
        </w:rPr>
      </w:pPr>
    </w:p>
    <w:p>
      <w:pPr>
        <w:snapToGrid w:val="0"/>
        <w:spacing w:before="50" w:after="120" w:afterLines="50" w:line="360" w:lineRule="auto"/>
        <w:jc w:val="left"/>
        <w:rPr>
          <w:rFonts w:hint="eastAsia" w:ascii="宋体" w:hAnsi="宋体" w:cs="宋体"/>
          <w:b/>
          <w:bCs/>
          <w:color w:val="000000"/>
          <w:sz w:val="24"/>
        </w:rPr>
      </w:pPr>
    </w:p>
    <w:p>
      <w:pPr>
        <w:snapToGrid w:val="0"/>
        <w:spacing w:before="50" w:after="120" w:afterLines="50" w:line="360" w:lineRule="auto"/>
        <w:jc w:val="left"/>
        <w:rPr>
          <w:rFonts w:hint="eastAsia" w:ascii="宋体" w:hAnsi="宋体" w:cs="宋体"/>
          <w:b/>
          <w:bCs/>
          <w:color w:val="000000"/>
          <w:sz w:val="24"/>
        </w:rPr>
      </w:pPr>
      <w:r>
        <w:rPr>
          <w:rFonts w:hint="eastAsia" w:ascii="宋体" w:hAnsi="宋体" w:cs="宋体"/>
          <w:b/>
          <w:bCs/>
          <w:color w:val="000000"/>
          <w:sz w:val="24"/>
        </w:rPr>
        <w:t>5.供应商市场行为信誉情况承诺书</w:t>
      </w:r>
      <w:bookmarkEnd w:id="241"/>
      <w:r>
        <w:rPr>
          <w:rFonts w:hint="eastAsia" w:ascii="宋体" w:hAnsi="宋体" w:cs="宋体"/>
          <w:b/>
          <w:bCs/>
          <w:color w:val="000000"/>
          <w:sz w:val="24"/>
        </w:rPr>
        <w:t>格式</w:t>
      </w:r>
      <w:bookmarkEnd w:id="242"/>
    </w:p>
    <w:p>
      <w:pPr>
        <w:pStyle w:val="20"/>
        <w:ind w:firstLine="0" w:firstLineChars="0"/>
        <w:jc w:val="center"/>
        <w:rPr>
          <w:rFonts w:hint="eastAsia"/>
          <w:b/>
          <w:bCs/>
        </w:rPr>
      </w:pPr>
      <w:r>
        <w:rPr>
          <w:rFonts w:hint="eastAsia" w:ascii="宋体" w:hAnsi="宋体" w:cs="宋体"/>
          <w:b/>
          <w:bCs/>
          <w:sz w:val="24"/>
          <w:szCs w:val="24"/>
        </w:rPr>
        <w:t>供应商市场行为信誉情况承诺书</w:t>
      </w:r>
    </w:p>
    <w:tbl>
      <w:tblPr>
        <w:tblStyle w:val="47"/>
        <w:tblW w:w="0" w:type="auto"/>
        <w:tblInd w:w="17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0"/>
        <w:gridCol w:w="813"/>
        <w:gridCol w:w="862"/>
        <w:gridCol w:w="943"/>
        <w:gridCol w:w="1016"/>
        <w:gridCol w:w="1684"/>
        <w:gridCol w:w="22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trPr>
        <w:tc>
          <w:tcPr>
            <w:tcW w:w="2595" w:type="dxa"/>
            <w:gridSpan w:val="3"/>
            <w:tcBorders>
              <w:top w:val="single"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投标</w:t>
            </w:r>
            <w:r>
              <w:rPr>
                <w:rFonts w:hint="eastAsia" w:ascii="宋体" w:hAnsi="宋体" w:cs="宋体"/>
                <w:b/>
                <w:bCs/>
                <w:sz w:val="24"/>
              </w:rPr>
              <w:t>供应商</w:t>
            </w:r>
            <w:r>
              <w:rPr>
                <w:rFonts w:hint="eastAsia" w:ascii="宋体" w:hAnsi="宋体" w:cs="宋体"/>
                <w:sz w:val="24"/>
              </w:rPr>
              <w:t xml:space="preserve">名称 </w:t>
            </w:r>
          </w:p>
        </w:tc>
        <w:tc>
          <w:tcPr>
            <w:tcW w:w="1959" w:type="dxa"/>
            <w:gridSpan w:val="2"/>
            <w:tcBorders>
              <w:top w:val="single" w:color="auto" w:sz="4" w:space="0"/>
              <w:left w:val="dotted" w:color="auto" w:sz="4" w:space="0"/>
              <w:bottom w:val="dotted" w:color="auto" w:sz="4" w:space="0"/>
              <w:right w:val="dotted" w:color="auto" w:sz="4" w:space="0"/>
            </w:tcBorders>
            <w:noWrap w:val="0"/>
            <w:vAlign w:val="center"/>
          </w:tcPr>
          <w:p>
            <w:pPr>
              <w:spacing w:line="260" w:lineRule="exact"/>
              <w:rPr>
                <w:rFonts w:hint="eastAsia" w:ascii="宋体" w:hAnsi="宋体" w:cs="宋体"/>
                <w:sz w:val="24"/>
              </w:rPr>
            </w:pPr>
          </w:p>
        </w:tc>
        <w:tc>
          <w:tcPr>
            <w:tcW w:w="1684" w:type="dxa"/>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企业资质等级</w:t>
            </w:r>
          </w:p>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 xml:space="preserve">（如 有） </w:t>
            </w:r>
          </w:p>
        </w:tc>
        <w:tc>
          <w:tcPr>
            <w:tcW w:w="2205" w:type="dxa"/>
            <w:tcBorders>
              <w:top w:val="single" w:color="auto" w:sz="4" w:space="0"/>
              <w:left w:val="dotted" w:color="auto" w:sz="4" w:space="0"/>
              <w:bottom w:val="dotted" w:color="auto" w:sz="4" w:space="0"/>
              <w:right w:val="single" w:color="auto" w:sz="4" w:space="0"/>
            </w:tcBorders>
            <w:noWrap w:val="0"/>
            <w:vAlign w:val="center"/>
          </w:tcPr>
          <w:p>
            <w:pPr>
              <w:spacing w:line="2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851" w:hRule="atLeast"/>
        </w:trPr>
        <w:tc>
          <w:tcPr>
            <w:tcW w:w="2595" w:type="dxa"/>
            <w:gridSpan w:val="3"/>
            <w:tcBorders>
              <w:top w:val="dotted"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 xml:space="preserve">企 业 地 址 </w:t>
            </w:r>
          </w:p>
        </w:tc>
        <w:tc>
          <w:tcPr>
            <w:tcW w:w="1959" w:type="dxa"/>
            <w:gridSpan w:val="2"/>
            <w:tcBorders>
              <w:top w:val="dotted" w:color="auto" w:sz="4" w:space="0"/>
              <w:left w:val="dotted" w:color="auto" w:sz="4" w:space="0"/>
              <w:bottom w:val="dotted" w:color="auto" w:sz="4" w:space="0"/>
              <w:right w:val="dotted" w:color="auto" w:sz="4" w:space="0"/>
            </w:tcBorders>
            <w:noWrap w:val="0"/>
            <w:vAlign w:val="center"/>
          </w:tcPr>
          <w:p>
            <w:pPr>
              <w:spacing w:line="260" w:lineRule="exact"/>
              <w:rPr>
                <w:rFonts w:hint="eastAsia" w:ascii="宋体" w:hAnsi="宋体" w:cs="宋体"/>
                <w:sz w:val="24"/>
              </w:rPr>
            </w:pPr>
          </w:p>
        </w:tc>
        <w:tc>
          <w:tcPr>
            <w:tcW w:w="1684" w:type="dxa"/>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 xml:space="preserve">联 系 电 话 </w:t>
            </w:r>
          </w:p>
        </w:tc>
        <w:tc>
          <w:tcPr>
            <w:tcW w:w="2205" w:type="dxa"/>
            <w:tcBorders>
              <w:top w:val="dotted" w:color="auto" w:sz="4" w:space="0"/>
              <w:left w:val="dotted" w:color="auto" w:sz="4" w:space="0"/>
              <w:bottom w:val="dotted" w:color="auto" w:sz="4" w:space="0"/>
              <w:right w:val="single" w:color="auto" w:sz="4" w:space="0"/>
            </w:tcBorders>
            <w:noWrap w:val="0"/>
            <w:vAlign w:val="center"/>
          </w:tcPr>
          <w:p>
            <w:pPr>
              <w:spacing w:line="2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950" w:hRule="atLeast"/>
        </w:trPr>
        <w:tc>
          <w:tcPr>
            <w:tcW w:w="2595" w:type="dxa"/>
            <w:gridSpan w:val="3"/>
            <w:tcBorders>
              <w:top w:val="dotted" w:color="auto" w:sz="4" w:space="0"/>
              <w:left w:val="single"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 xml:space="preserve">拟投标项目名称 </w:t>
            </w:r>
          </w:p>
        </w:tc>
        <w:tc>
          <w:tcPr>
            <w:tcW w:w="1959" w:type="dxa"/>
            <w:gridSpan w:val="2"/>
            <w:tcBorders>
              <w:top w:val="dotted" w:color="auto" w:sz="4" w:space="0"/>
              <w:left w:val="dotted" w:color="auto" w:sz="4" w:space="0"/>
              <w:bottom w:val="dotted" w:color="auto" w:sz="4" w:space="0"/>
              <w:right w:val="dotted" w:color="auto" w:sz="4" w:space="0"/>
            </w:tcBorders>
            <w:noWrap w:val="0"/>
            <w:vAlign w:val="center"/>
          </w:tcPr>
          <w:p>
            <w:pPr>
              <w:spacing w:line="260" w:lineRule="exact"/>
              <w:rPr>
                <w:rFonts w:hint="eastAsia" w:ascii="宋体" w:hAnsi="宋体" w:cs="宋体"/>
                <w:sz w:val="24"/>
              </w:rPr>
            </w:pPr>
          </w:p>
        </w:tc>
        <w:tc>
          <w:tcPr>
            <w:tcW w:w="1684" w:type="dxa"/>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 xml:space="preserve">拟投标项目负责人姓名及资质 </w:t>
            </w:r>
          </w:p>
        </w:tc>
        <w:tc>
          <w:tcPr>
            <w:tcW w:w="2205" w:type="dxa"/>
            <w:tcBorders>
              <w:top w:val="dotted" w:color="auto" w:sz="4" w:space="0"/>
              <w:left w:val="dotted" w:color="auto" w:sz="4" w:space="0"/>
              <w:bottom w:val="dotted" w:color="auto" w:sz="4" w:space="0"/>
              <w:right w:val="single" w:color="auto" w:sz="4" w:space="0"/>
            </w:tcBorders>
            <w:noWrap w:val="0"/>
            <w:vAlign w:val="top"/>
          </w:tcPr>
          <w:p>
            <w:pPr>
              <w:spacing w:line="2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70" w:hRule="atLeast"/>
        </w:trPr>
        <w:tc>
          <w:tcPr>
            <w:tcW w:w="920" w:type="dxa"/>
            <w:vMerge w:val="restart"/>
            <w:tcBorders>
              <w:top w:val="single" w:color="auto" w:sz="4" w:space="0"/>
              <w:left w:val="single"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供应商</w:t>
            </w:r>
          </w:p>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市场</w:t>
            </w:r>
          </w:p>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行为</w:t>
            </w:r>
          </w:p>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信用</w:t>
            </w:r>
          </w:p>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情况</w:t>
            </w:r>
          </w:p>
        </w:tc>
        <w:tc>
          <w:tcPr>
            <w:tcW w:w="2618" w:type="dxa"/>
            <w:gridSpan w:val="3"/>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rFonts w:hint="eastAsia" w:ascii="宋体" w:hAnsi="宋体" w:cs="宋体"/>
                <w:sz w:val="24"/>
              </w:rPr>
            </w:pPr>
            <w:r>
              <w:rPr>
                <w:rFonts w:hint="eastAsia" w:ascii="宋体" w:hAnsi="宋体" w:cs="宋体"/>
                <w:sz w:val="24"/>
              </w:rPr>
              <w:t>有无不良行为受到记录公告，正在公告期内的情况</w:t>
            </w:r>
          </w:p>
        </w:tc>
        <w:tc>
          <w:tcPr>
            <w:tcW w:w="4905" w:type="dxa"/>
            <w:gridSpan w:val="3"/>
            <w:tcBorders>
              <w:top w:val="single" w:color="auto" w:sz="4" w:space="0"/>
              <w:left w:val="dotted" w:color="auto" w:sz="4" w:space="0"/>
              <w:bottom w:val="dotted" w:color="auto" w:sz="4" w:space="0"/>
              <w:right w:val="single" w:color="auto" w:sz="4" w:space="0"/>
            </w:tcBorders>
            <w:noWrap w:val="0"/>
            <w:vAlign w:val="top"/>
          </w:tcPr>
          <w:p>
            <w:pPr>
              <w:spacing w:line="2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70" w:hRule="atLeast"/>
        </w:trPr>
        <w:tc>
          <w:tcPr>
            <w:tcW w:w="920" w:type="dxa"/>
            <w:vMerge w:val="continue"/>
            <w:tcBorders>
              <w:top w:val="single" w:color="auto" w:sz="4" w:space="0"/>
              <w:left w:val="single"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cs="宋体"/>
                <w:sz w:val="24"/>
              </w:rPr>
            </w:pPr>
          </w:p>
        </w:tc>
        <w:tc>
          <w:tcPr>
            <w:tcW w:w="2618" w:type="dxa"/>
            <w:gridSpan w:val="3"/>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rFonts w:hint="eastAsia" w:ascii="宋体" w:hAnsi="宋体" w:cs="宋体"/>
                <w:sz w:val="24"/>
              </w:rPr>
            </w:pPr>
            <w:r>
              <w:rPr>
                <w:rFonts w:hint="eastAsia" w:ascii="宋体" w:hAnsi="宋体" w:cs="宋体"/>
                <w:sz w:val="24"/>
              </w:rPr>
              <w:t>申请报名前三年内，在经营活动中有无重大违法记录</w:t>
            </w:r>
          </w:p>
        </w:tc>
        <w:tc>
          <w:tcPr>
            <w:tcW w:w="4905" w:type="dxa"/>
            <w:gridSpan w:val="3"/>
            <w:tcBorders>
              <w:top w:val="single" w:color="auto" w:sz="4" w:space="0"/>
              <w:left w:val="dotted" w:color="auto" w:sz="4" w:space="0"/>
              <w:bottom w:val="dotted" w:color="auto" w:sz="4" w:space="0"/>
              <w:right w:val="single" w:color="auto" w:sz="4" w:space="0"/>
            </w:tcBorders>
            <w:noWrap w:val="0"/>
            <w:vAlign w:val="top"/>
          </w:tcPr>
          <w:p>
            <w:pPr>
              <w:spacing w:line="2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70" w:hRule="atLeast"/>
        </w:trPr>
        <w:tc>
          <w:tcPr>
            <w:tcW w:w="920" w:type="dxa"/>
            <w:vMerge w:val="continue"/>
            <w:tcBorders>
              <w:left w:val="single" w:color="auto" w:sz="4" w:space="0"/>
              <w:right w:val="dotted" w:color="auto" w:sz="4" w:space="0"/>
            </w:tcBorders>
            <w:noWrap w:val="0"/>
            <w:vAlign w:val="center"/>
          </w:tcPr>
          <w:p>
            <w:pPr>
              <w:spacing w:line="260" w:lineRule="exact"/>
              <w:rPr>
                <w:rFonts w:hint="eastAsia" w:ascii="宋体" w:hAnsi="宋体" w:cs="宋体"/>
                <w:sz w:val="24"/>
              </w:rPr>
            </w:pPr>
          </w:p>
        </w:tc>
        <w:tc>
          <w:tcPr>
            <w:tcW w:w="2618" w:type="dxa"/>
            <w:gridSpan w:val="3"/>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rPr>
                <w:rFonts w:hint="eastAsia" w:ascii="宋体" w:hAnsi="宋体" w:cs="宋体"/>
                <w:sz w:val="24"/>
              </w:rPr>
            </w:pPr>
          </w:p>
        </w:tc>
        <w:tc>
          <w:tcPr>
            <w:tcW w:w="4905" w:type="dxa"/>
            <w:gridSpan w:val="3"/>
            <w:tcBorders>
              <w:top w:val="dotted" w:color="auto" w:sz="4" w:space="0"/>
              <w:left w:val="dotted" w:color="auto" w:sz="4" w:space="0"/>
              <w:bottom w:val="dotted" w:color="auto" w:sz="4" w:space="0"/>
              <w:right w:val="single" w:color="auto" w:sz="4" w:space="0"/>
            </w:tcBorders>
            <w:noWrap w:val="0"/>
            <w:vAlign w:val="top"/>
          </w:tcPr>
          <w:p>
            <w:pPr>
              <w:spacing w:line="2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70" w:hRule="atLeast"/>
        </w:trPr>
        <w:tc>
          <w:tcPr>
            <w:tcW w:w="920" w:type="dxa"/>
            <w:vMerge w:val="continue"/>
            <w:tcBorders>
              <w:left w:val="single"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cs="宋体"/>
                <w:sz w:val="24"/>
              </w:rPr>
            </w:pPr>
          </w:p>
        </w:tc>
        <w:tc>
          <w:tcPr>
            <w:tcW w:w="2618" w:type="dxa"/>
            <w:gridSpan w:val="3"/>
            <w:tcBorders>
              <w:top w:val="single"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cs="宋体"/>
                <w:sz w:val="24"/>
              </w:rPr>
            </w:pPr>
          </w:p>
        </w:tc>
        <w:tc>
          <w:tcPr>
            <w:tcW w:w="4905" w:type="dxa"/>
            <w:gridSpan w:val="3"/>
            <w:tcBorders>
              <w:top w:val="single" w:color="auto" w:sz="4" w:space="0"/>
              <w:left w:val="dotted" w:color="auto" w:sz="4" w:space="0"/>
              <w:bottom w:val="dotted" w:color="auto" w:sz="4" w:space="0"/>
              <w:right w:val="single" w:color="auto" w:sz="4" w:space="0"/>
            </w:tcBorders>
            <w:noWrap w:val="0"/>
            <w:vAlign w:val="top"/>
          </w:tcPr>
          <w:p>
            <w:pPr>
              <w:spacing w:line="2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cantSplit/>
          <w:trHeight w:val="970" w:hRule="atLeast"/>
        </w:trPr>
        <w:tc>
          <w:tcPr>
            <w:tcW w:w="920" w:type="dxa"/>
            <w:vMerge w:val="continue"/>
            <w:tcBorders>
              <w:left w:val="single" w:color="auto" w:sz="4" w:space="0"/>
              <w:bottom w:val="dotted" w:color="auto" w:sz="4" w:space="0"/>
              <w:right w:val="dotted" w:color="auto" w:sz="4" w:space="0"/>
            </w:tcBorders>
            <w:noWrap w:val="0"/>
            <w:vAlign w:val="center"/>
          </w:tcPr>
          <w:p>
            <w:pPr>
              <w:spacing w:line="260" w:lineRule="exact"/>
              <w:rPr>
                <w:rFonts w:hint="eastAsia" w:ascii="宋体" w:hAnsi="宋体" w:cs="宋体"/>
                <w:sz w:val="24"/>
              </w:rPr>
            </w:pPr>
          </w:p>
        </w:tc>
        <w:tc>
          <w:tcPr>
            <w:tcW w:w="2618" w:type="dxa"/>
            <w:gridSpan w:val="3"/>
            <w:tcBorders>
              <w:top w:val="dotted" w:color="auto" w:sz="4" w:space="0"/>
              <w:left w:val="dotted" w:color="auto" w:sz="4" w:space="0"/>
              <w:bottom w:val="dotted"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cs="宋体"/>
                <w:sz w:val="24"/>
              </w:rPr>
            </w:pPr>
          </w:p>
        </w:tc>
        <w:tc>
          <w:tcPr>
            <w:tcW w:w="4905" w:type="dxa"/>
            <w:gridSpan w:val="3"/>
            <w:tcBorders>
              <w:top w:val="dotted" w:color="auto" w:sz="4" w:space="0"/>
              <w:left w:val="dotted" w:color="auto" w:sz="4" w:space="0"/>
              <w:bottom w:val="dotted" w:color="auto" w:sz="4" w:space="0"/>
              <w:right w:val="single" w:color="auto" w:sz="4" w:space="0"/>
            </w:tcBorders>
            <w:noWrap w:val="0"/>
            <w:vAlign w:val="top"/>
          </w:tcPr>
          <w:p>
            <w:pPr>
              <w:spacing w:line="26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1782" w:hRule="atLeast"/>
        </w:trPr>
        <w:tc>
          <w:tcPr>
            <w:tcW w:w="1733" w:type="dxa"/>
            <w:gridSpan w:val="2"/>
            <w:tcBorders>
              <w:top w:val="dotted" w:color="auto" w:sz="4" w:space="0"/>
              <w:left w:val="single" w:color="auto" w:sz="4" w:space="0"/>
              <w:bottom w:val="single" w:color="auto" w:sz="4" w:space="0"/>
              <w:right w:val="dotted" w:color="auto" w:sz="4" w:space="0"/>
            </w:tcBorders>
            <w:noWrap w:val="0"/>
            <w:vAlign w:val="center"/>
          </w:tcPr>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投标供应商</w:t>
            </w:r>
          </w:p>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 xml:space="preserve"> 声 明 </w:t>
            </w:r>
          </w:p>
        </w:tc>
        <w:tc>
          <w:tcPr>
            <w:tcW w:w="6710" w:type="dxa"/>
            <w:gridSpan w:val="5"/>
            <w:tcBorders>
              <w:top w:val="dotted" w:color="auto" w:sz="4" w:space="0"/>
              <w:left w:val="dotted" w:color="auto" w:sz="4" w:space="0"/>
              <w:bottom w:val="single" w:color="auto" w:sz="4" w:space="0"/>
              <w:right w:val="single" w:color="auto" w:sz="4" w:space="0"/>
            </w:tcBorders>
            <w:noWrap w:val="0"/>
            <w:vAlign w:val="top"/>
          </w:tcPr>
          <w:p>
            <w:pPr>
              <w:pStyle w:val="21"/>
              <w:spacing w:line="260" w:lineRule="exact"/>
              <w:ind w:firstLine="454" w:firstLineChars="196"/>
              <w:rPr>
                <w:rFonts w:hint="eastAsia" w:hAnsi="宋体" w:cs="宋体"/>
                <w:sz w:val="24"/>
                <w:lang w:val="en-US" w:eastAsia="zh-CN"/>
              </w:rPr>
            </w:pPr>
            <w:r>
              <w:rPr>
                <w:rFonts w:hint="eastAsia" w:hAnsi="宋体" w:cs="宋体"/>
                <w:sz w:val="24"/>
                <w:lang w:val="en-US" w:eastAsia="zh-CN"/>
              </w:rPr>
              <w:t>以上内容是本企业市场行为信用的真实反映，如有不实，愿取消本项目投标资格。</w:t>
            </w:r>
          </w:p>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 xml:space="preserve">法定代表人（签名或盖章）： </w:t>
            </w:r>
          </w:p>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 xml:space="preserve">(单位公章) </w:t>
            </w:r>
          </w:p>
          <w:p>
            <w:pPr>
              <w:spacing w:before="100" w:beforeAutospacing="1" w:after="100" w:afterAutospacing="1" w:line="260" w:lineRule="exact"/>
              <w:jc w:val="center"/>
              <w:rPr>
                <w:rFonts w:hint="eastAsia" w:ascii="宋体" w:hAnsi="宋体" w:cs="宋体"/>
                <w:sz w:val="24"/>
              </w:rPr>
            </w:pPr>
            <w:r>
              <w:rPr>
                <w:rFonts w:hint="eastAsia" w:ascii="宋体" w:hAnsi="宋体" w:cs="宋体"/>
                <w:sz w:val="24"/>
              </w:rPr>
              <w:t xml:space="preserve">               日 期：    年  月   日 </w:t>
            </w:r>
          </w:p>
        </w:tc>
      </w:tr>
    </w:tbl>
    <w:p>
      <w:pPr>
        <w:rPr>
          <w:rFonts w:hint="eastAsia" w:ascii="宋体" w:hAnsi="宋体" w:cs="宋体"/>
          <w:sz w:val="24"/>
        </w:rPr>
      </w:pPr>
      <w:r>
        <w:rPr>
          <w:rFonts w:hint="eastAsia" w:ascii="宋体" w:hAnsi="宋体" w:cs="宋体"/>
          <w:sz w:val="24"/>
        </w:rPr>
        <w:t>注：1.本表格须如实填写；</w:t>
      </w:r>
    </w:p>
    <w:p>
      <w:pPr>
        <w:ind w:firstLine="480" w:firstLineChars="200"/>
        <w:rPr>
          <w:rFonts w:hint="eastAsia" w:ascii="宋体" w:hAnsi="宋体" w:cs="宋体"/>
          <w:sz w:val="24"/>
        </w:rPr>
      </w:pPr>
      <w:r>
        <w:rPr>
          <w:rFonts w:hint="eastAsia" w:ascii="宋体" w:hAnsi="宋体" w:cs="宋体"/>
          <w:sz w:val="24"/>
        </w:rPr>
        <w:t>2.本表格作为投标文件的商务部分内容放入投标文件中；</w:t>
      </w:r>
    </w:p>
    <w:p>
      <w:pPr>
        <w:ind w:firstLine="480" w:firstLineChars="200"/>
        <w:rPr>
          <w:rFonts w:hint="eastAsia" w:ascii="宋体" w:hAnsi="宋体" w:cs="宋体"/>
          <w:sz w:val="24"/>
        </w:rPr>
      </w:pPr>
      <w:r>
        <w:rPr>
          <w:rFonts w:hint="eastAsia" w:ascii="宋体" w:hAnsi="宋体" w:cs="宋体"/>
          <w:sz w:val="24"/>
        </w:rPr>
        <w:t>3.本表格由供应商自己填写，若无表中所列情况，则在相应栏中写“无“，若有，须按具体次数分别说明（包括处罚时间、事由、处罚主体等）。</w:t>
      </w:r>
    </w:p>
    <w:p>
      <w:pPr>
        <w:ind w:firstLine="480" w:firstLineChars="200"/>
        <w:rPr>
          <w:rFonts w:hint="eastAsia" w:ascii="宋体" w:hAnsi="宋体" w:cs="宋体"/>
          <w:sz w:val="24"/>
        </w:rPr>
      </w:pPr>
      <w:bookmarkStart w:id="243" w:name="_Toc130094927"/>
      <w:bookmarkStart w:id="244" w:name="_Toc98731776"/>
      <w:bookmarkStart w:id="245" w:name="_Toc365487074"/>
      <w:bookmarkStart w:id="246" w:name="_Toc11702"/>
      <w:bookmarkStart w:id="247" w:name="_Toc395532688"/>
      <w:bookmarkStart w:id="248" w:name="_Toc15990"/>
    </w:p>
    <w:p>
      <w:pPr>
        <w:snapToGrid w:val="0"/>
        <w:spacing w:line="360" w:lineRule="auto"/>
        <w:ind w:firstLine="480" w:firstLineChars="200"/>
        <w:rPr>
          <w:rFonts w:hint="eastAsia" w:ascii="宋体" w:hAnsi="宋体"/>
          <w:sz w:val="24"/>
        </w:rPr>
      </w:pPr>
    </w:p>
    <w:p>
      <w:pPr>
        <w:snapToGrid w:val="0"/>
        <w:spacing w:before="50" w:after="120" w:afterLines="50" w:line="360" w:lineRule="auto"/>
        <w:jc w:val="left"/>
        <w:rPr>
          <w:rFonts w:hint="eastAsia" w:ascii="宋体" w:hAnsi="宋体" w:cs="宋体"/>
          <w:b/>
          <w:bCs/>
          <w:color w:val="000000"/>
          <w:sz w:val="24"/>
        </w:rPr>
      </w:pPr>
    </w:p>
    <w:p>
      <w:pPr>
        <w:snapToGrid w:val="0"/>
        <w:spacing w:before="50" w:after="120" w:afterLines="50" w:line="360" w:lineRule="auto"/>
        <w:jc w:val="left"/>
        <w:rPr>
          <w:rFonts w:hint="eastAsia" w:ascii="宋体" w:hAnsi="宋体" w:cs="宋体"/>
          <w:b/>
          <w:bCs/>
          <w:color w:val="000000"/>
          <w:sz w:val="24"/>
        </w:rPr>
      </w:pPr>
    </w:p>
    <w:p>
      <w:pPr>
        <w:snapToGrid w:val="0"/>
        <w:spacing w:before="50" w:after="120" w:afterLines="50" w:line="360" w:lineRule="auto"/>
        <w:jc w:val="left"/>
        <w:rPr>
          <w:rFonts w:hint="eastAsia" w:ascii="宋体" w:hAnsi="宋体" w:cs="宋体"/>
          <w:b/>
          <w:bCs/>
          <w:color w:val="000000"/>
          <w:sz w:val="24"/>
        </w:rPr>
      </w:pPr>
      <w:r>
        <w:rPr>
          <w:rFonts w:hint="eastAsia" w:ascii="宋体" w:hAnsi="宋体" w:cs="宋体"/>
          <w:b/>
          <w:bCs/>
          <w:color w:val="000000"/>
          <w:sz w:val="24"/>
        </w:rPr>
        <w:t>6.投标人情况</w:t>
      </w:r>
      <w:bookmarkEnd w:id="243"/>
      <w:bookmarkEnd w:id="244"/>
      <w:r>
        <w:rPr>
          <w:rFonts w:hint="eastAsia" w:ascii="宋体" w:hAnsi="宋体" w:cs="宋体"/>
          <w:b/>
          <w:bCs/>
          <w:color w:val="000000"/>
          <w:sz w:val="24"/>
        </w:rPr>
        <w:t>介绍</w:t>
      </w:r>
      <w:bookmarkEnd w:id="245"/>
      <w:bookmarkEnd w:id="246"/>
      <w:bookmarkEnd w:id="247"/>
      <w:r>
        <w:rPr>
          <w:rFonts w:hint="eastAsia" w:ascii="宋体" w:hAnsi="宋体" w:cs="宋体"/>
          <w:b/>
          <w:bCs/>
          <w:color w:val="000000"/>
          <w:sz w:val="24"/>
        </w:rPr>
        <w:t>格式</w:t>
      </w:r>
      <w:bookmarkEnd w:id="248"/>
    </w:p>
    <w:p>
      <w:pPr>
        <w:spacing w:line="400" w:lineRule="atLeast"/>
        <w:jc w:val="center"/>
        <w:rPr>
          <w:rFonts w:hint="eastAsia" w:ascii="宋体" w:hAnsi="宋体" w:cs="宋体"/>
          <w:b/>
          <w:sz w:val="24"/>
        </w:rPr>
      </w:pPr>
      <w:r>
        <w:rPr>
          <w:rFonts w:hint="eastAsia" w:ascii="宋体" w:hAnsi="宋体" w:cs="宋体"/>
          <w:b/>
          <w:sz w:val="24"/>
        </w:rPr>
        <w:t>投标人情况介绍</w:t>
      </w:r>
    </w:p>
    <w:tbl>
      <w:tblPr>
        <w:tblStyle w:val="47"/>
        <w:tblW w:w="0" w:type="auto"/>
        <w:jc w:val="center"/>
        <w:tblLayout w:type="fixed"/>
        <w:tblCellMar>
          <w:top w:w="0" w:type="dxa"/>
          <w:left w:w="28" w:type="dxa"/>
          <w:bottom w:w="0" w:type="dxa"/>
          <w:right w:w="28" w:type="dxa"/>
        </w:tblCellMar>
      </w:tblPr>
      <w:tblGrid>
        <w:gridCol w:w="2487"/>
        <w:gridCol w:w="2154"/>
        <w:gridCol w:w="2760"/>
        <w:gridCol w:w="2140"/>
      </w:tblGrid>
      <w:tr>
        <w:tblPrEx>
          <w:tblCellMar>
            <w:top w:w="0" w:type="dxa"/>
            <w:left w:w="28" w:type="dxa"/>
            <w:bottom w:w="0" w:type="dxa"/>
            <w:right w:w="28" w:type="dxa"/>
          </w:tblCellMar>
        </w:tblPrEx>
        <w:trPr>
          <w:cantSplit/>
          <w:trHeight w:val="720" w:hRule="atLeast"/>
          <w:jc w:val="center"/>
        </w:trPr>
        <w:tc>
          <w:tcPr>
            <w:tcW w:w="248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ind w:left="113"/>
              <w:jc w:val="center"/>
              <w:textAlignment w:val="bottom"/>
              <w:rPr>
                <w:rFonts w:hint="eastAsia" w:ascii="宋体" w:hAnsi="宋体" w:cs="宋体"/>
                <w:sz w:val="24"/>
              </w:rPr>
            </w:pPr>
            <w:r>
              <w:rPr>
                <w:rFonts w:hint="eastAsia" w:ascii="宋体" w:hAnsi="宋体" w:cs="宋体"/>
                <w:sz w:val="24"/>
              </w:rPr>
              <w:t>投标人全称</w:t>
            </w:r>
          </w:p>
        </w:tc>
        <w:tc>
          <w:tcPr>
            <w:tcW w:w="2154"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jc w:val="center"/>
              <w:textAlignment w:val="bottom"/>
              <w:rPr>
                <w:rFonts w:hint="eastAsia" w:ascii="宋体" w:hAnsi="宋体" w:cs="宋体"/>
                <w:b/>
                <w:sz w:val="24"/>
              </w:rPr>
            </w:pPr>
          </w:p>
        </w:tc>
        <w:tc>
          <w:tcPr>
            <w:tcW w:w="276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jc w:val="center"/>
              <w:textAlignment w:val="bottom"/>
              <w:rPr>
                <w:rFonts w:hint="eastAsia" w:ascii="宋体" w:hAnsi="宋体" w:cs="宋体"/>
                <w:sz w:val="24"/>
              </w:rPr>
            </w:pPr>
            <w:r>
              <w:rPr>
                <w:rFonts w:hint="eastAsia" w:ascii="宋体" w:hAnsi="宋体" w:cs="宋体"/>
                <w:sz w:val="24"/>
              </w:rPr>
              <w:t>法人代表</w:t>
            </w:r>
          </w:p>
        </w:tc>
        <w:tc>
          <w:tcPr>
            <w:tcW w:w="214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textAlignment w:val="bottom"/>
              <w:rPr>
                <w:rFonts w:hint="eastAsia" w:ascii="宋体" w:hAnsi="宋体" w:cs="宋体"/>
                <w:b/>
                <w:sz w:val="24"/>
              </w:rPr>
            </w:pPr>
          </w:p>
        </w:tc>
      </w:tr>
      <w:tr>
        <w:tblPrEx>
          <w:tblCellMar>
            <w:top w:w="0" w:type="dxa"/>
            <w:left w:w="28" w:type="dxa"/>
            <w:bottom w:w="0" w:type="dxa"/>
            <w:right w:w="28" w:type="dxa"/>
          </w:tblCellMar>
        </w:tblPrEx>
        <w:trPr>
          <w:cantSplit/>
          <w:trHeight w:val="720" w:hRule="atLeast"/>
          <w:jc w:val="center"/>
        </w:trPr>
        <w:tc>
          <w:tcPr>
            <w:tcW w:w="2487"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ind w:left="113"/>
              <w:textAlignment w:val="bottom"/>
              <w:rPr>
                <w:rFonts w:hint="eastAsia" w:ascii="宋体" w:hAnsi="宋体" w:cs="宋体"/>
                <w:sz w:val="24"/>
              </w:rPr>
            </w:pPr>
            <w:r>
              <w:rPr>
                <w:rFonts w:hint="eastAsia" w:ascii="宋体" w:hAnsi="宋体" w:cs="宋体"/>
                <w:sz w:val="24"/>
              </w:rPr>
              <w:t>企业资质等级</w:t>
            </w:r>
          </w:p>
        </w:tc>
        <w:tc>
          <w:tcPr>
            <w:tcW w:w="2154"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jc w:val="center"/>
              <w:textAlignment w:val="bottom"/>
              <w:rPr>
                <w:rFonts w:hint="eastAsia" w:ascii="宋体" w:hAnsi="宋体" w:cs="宋体"/>
                <w:b/>
                <w:sz w:val="24"/>
              </w:rPr>
            </w:pPr>
          </w:p>
        </w:tc>
        <w:tc>
          <w:tcPr>
            <w:tcW w:w="276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ind w:left="113"/>
              <w:jc w:val="center"/>
              <w:textAlignment w:val="bottom"/>
              <w:rPr>
                <w:rFonts w:hint="eastAsia" w:ascii="宋体" w:hAnsi="宋体" w:cs="宋体"/>
                <w:sz w:val="24"/>
              </w:rPr>
            </w:pPr>
            <w:r>
              <w:rPr>
                <w:rFonts w:hint="eastAsia" w:ascii="宋体" w:hAnsi="宋体" w:cs="宋体"/>
                <w:sz w:val="24"/>
              </w:rPr>
              <w:t>营业执照编号</w:t>
            </w:r>
          </w:p>
        </w:tc>
        <w:tc>
          <w:tcPr>
            <w:tcW w:w="214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jc w:val="center"/>
              <w:textAlignment w:val="bottom"/>
              <w:rPr>
                <w:rFonts w:hint="eastAsia" w:ascii="宋体" w:hAnsi="宋体" w:cs="宋体"/>
                <w:b/>
                <w:sz w:val="24"/>
              </w:rPr>
            </w:pPr>
          </w:p>
        </w:tc>
      </w:tr>
      <w:tr>
        <w:tblPrEx>
          <w:tblCellMar>
            <w:top w:w="0" w:type="dxa"/>
            <w:left w:w="28" w:type="dxa"/>
            <w:bottom w:w="0" w:type="dxa"/>
            <w:right w:w="28" w:type="dxa"/>
          </w:tblCellMar>
        </w:tblPrEx>
        <w:trPr>
          <w:cantSplit/>
          <w:trHeight w:val="720" w:hRule="atLeast"/>
          <w:jc w:val="center"/>
        </w:trPr>
        <w:tc>
          <w:tcPr>
            <w:tcW w:w="248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ind w:left="113"/>
              <w:jc w:val="center"/>
              <w:textAlignment w:val="bottom"/>
              <w:rPr>
                <w:rFonts w:hint="eastAsia" w:ascii="宋体" w:hAnsi="宋体" w:cs="宋体"/>
                <w:sz w:val="24"/>
              </w:rPr>
            </w:pPr>
            <w:r>
              <w:rPr>
                <w:rFonts w:hint="eastAsia" w:ascii="宋体" w:hAnsi="宋体" w:cs="宋体"/>
                <w:sz w:val="24"/>
              </w:rPr>
              <w:t>单位性质</w:t>
            </w:r>
          </w:p>
        </w:tc>
        <w:tc>
          <w:tcPr>
            <w:tcW w:w="2154"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jc w:val="center"/>
              <w:textAlignment w:val="bottom"/>
              <w:rPr>
                <w:rFonts w:hint="eastAsia" w:ascii="宋体" w:hAnsi="宋体" w:cs="宋体"/>
                <w:b/>
                <w:sz w:val="24"/>
              </w:rPr>
            </w:pPr>
          </w:p>
        </w:tc>
        <w:tc>
          <w:tcPr>
            <w:tcW w:w="276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hint="eastAsia" w:ascii="宋体" w:hAnsi="宋体" w:cs="宋体"/>
                <w:sz w:val="24"/>
              </w:rPr>
            </w:pPr>
            <w:r>
              <w:rPr>
                <w:rFonts w:hint="eastAsia" w:ascii="宋体" w:hAnsi="宋体" w:cs="宋体"/>
                <w:sz w:val="24"/>
              </w:rPr>
              <w:t>隶属</w:t>
            </w:r>
          </w:p>
        </w:tc>
        <w:tc>
          <w:tcPr>
            <w:tcW w:w="214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jc w:val="center"/>
              <w:textAlignment w:val="bottom"/>
              <w:rPr>
                <w:rFonts w:hint="eastAsia" w:ascii="宋体" w:hAnsi="宋体" w:cs="宋体"/>
                <w:b/>
                <w:sz w:val="24"/>
              </w:rPr>
            </w:pPr>
          </w:p>
        </w:tc>
      </w:tr>
      <w:tr>
        <w:tblPrEx>
          <w:tblCellMar>
            <w:top w:w="0" w:type="dxa"/>
            <w:left w:w="28" w:type="dxa"/>
            <w:bottom w:w="0" w:type="dxa"/>
            <w:right w:w="28" w:type="dxa"/>
          </w:tblCellMar>
        </w:tblPrEx>
        <w:trPr>
          <w:cantSplit/>
          <w:trHeight w:val="720" w:hRule="atLeast"/>
          <w:jc w:val="center"/>
        </w:trPr>
        <w:tc>
          <w:tcPr>
            <w:tcW w:w="2487"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ind w:left="113"/>
              <w:jc w:val="center"/>
              <w:textAlignment w:val="bottom"/>
              <w:rPr>
                <w:rFonts w:hint="eastAsia" w:ascii="宋体" w:hAnsi="宋体" w:cs="宋体"/>
                <w:sz w:val="24"/>
              </w:rPr>
            </w:pPr>
            <w:r>
              <w:rPr>
                <w:rFonts w:hint="eastAsia" w:ascii="宋体" w:hAnsi="宋体" w:cs="宋体"/>
                <w:sz w:val="24"/>
              </w:rPr>
              <w:t>主要业务</w:t>
            </w:r>
          </w:p>
        </w:tc>
        <w:tc>
          <w:tcPr>
            <w:tcW w:w="2154"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jc w:val="center"/>
              <w:textAlignment w:val="bottom"/>
              <w:rPr>
                <w:rFonts w:hint="eastAsia" w:ascii="宋体" w:hAnsi="宋体" w:cs="宋体"/>
                <w:b/>
                <w:sz w:val="24"/>
              </w:rPr>
            </w:pPr>
          </w:p>
        </w:tc>
        <w:tc>
          <w:tcPr>
            <w:tcW w:w="276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jc w:val="center"/>
              <w:textAlignment w:val="bottom"/>
              <w:rPr>
                <w:rFonts w:hint="eastAsia" w:ascii="宋体" w:hAnsi="宋体" w:cs="宋体"/>
                <w:sz w:val="24"/>
              </w:rPr>
            </w:pPr>
            <w:r>
              <w:rPr>
                <w:rFonts w:hint="eastAsia" w:ascii="宋体" w:hAnsi="宋体" w:cs="宋体"/>
                <w:sz w:val="24"/>
              </w:rPr>
              <w:t>固定资产净值(万元)</w:t>
            </w:r>
          </w:p>
        </w:tc>
        <w:tc>
          <w:tcPr>
            <w:tcW w:w="2140" w:type="dxa"/>
            <w:tcBorders>
              <w:top w:val="single" w:color="auto" w:sz="6" w:space="0"/>
              <w:left w:val="single" w:color="auto" w:sz="6" w:space="0"/>
              <w:bottom w:val="single" w:color="auto" w:sz="6" w:space="0"/>
              <w:right w:val="single" w:color="auto" w:sz="6" w:space="0"/>
            </w:tcBorders>
            <w:noWrap w:val="0"/>
            <w:vAlign w:val="center"/>
          </w:tcPr>
          <w:p>
            <w:pPr>
              <w:widowControl/>
              <w:autoSpaceDE w:val="0"/>
              <w:autoSpaceDN w:val="0"/>
              <w:spacing w:line="400" w:lineRule="atLeast"/>
              <w:jc w:val="center"/>
              <w:textAlignment w:val="bottom"/>
              <w:rPr>
                <w:rFonts w:hint="eastAsia" w:ascii="宋体" w:hAnsi="宋体" w:cs="宋体"/>
                <w:b/>
                <w:sz w:val="24"/>
              </w:rPr>
            </w:pPr>
          </w:p>
        </w:tc>
      </w:tr>
      <w:tr>
        <w:tblPrEx>
          <w:tblCellMar>
            <w:top w:w="0" w:type="dxa"/>
            <w:left w:w="28" w:type="dxa"/>
            <w:bottom w:w="0" w:type="dxa"/>
            <w:right w:w="28" w:type="dxa"/>
          </w:tblCellMar>
        </w:tblPrEx>
        <w:trPr>
          <w:cantSplit/>
          <w:trHeight w:val="720" w:hRule="atLeast"/>
          <w:jc w:val="center"/>
        </w:trPr>
        <w:tc>
          <w:tcPr>
            <w:tcW w:w="2487"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ind w:left="113"/>
              <w:jc w:val="center"/>
              <w:textAlignment w:val="bottom"/>
              <w:rPr>
                <w:rFonts w:hint="eastAsia" w:ascii="宋体" w:hAnsi="宋体" w:cs="宋体"/>
                <w:sz w:val="24"/>
              </w:rPr>
            </w:pPr>
            <w:r>
              <w:rPr>
                <w:rFonts w:hint="eastAsia" w:ascii="宋体" w:hAnsi="宋体" w:cs="宋体"/>
                <w:sz w:val="24"/>
              </w:rPr>
              <w:t>现有职工总人数</w:t>
            </w:r>
          </w:p>
        </w:tc>
        <w:tc>
          <w:tcPr>
            <w:tcW w:w="2154"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jc w:val="center"/>
              <w:textAlignment w:val="bottom"/>
              <w:rPr>
                <w:rFonts w:hint="eastAsia" w:ascii="宋体" w:hAnsi="宋体" w:cs="宋体"/>
                <w:b/>
                <w:sz w:val="24"/>
              </w:rPr>
            </w:pPr>
          </w:p>
        </w:tc>
        <w:tc>
          <w:tcPr>
            <w:tcW w:w="276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jc w:val="center"/>
              <w:textAlignment w:val="bottom"/>
              <w:rPr>
                <w:rFonts w:hint="eastAsia" w:ascii="宋体" w:hAnsi="宋体" w:cs="宋体"/>
                <w:sz w:val="24"/>
              </w:rPr>
            </w:pPr>
            <w:r>
              <w:rPr>
                <w:rFonts w:hint="eastAsia" w:ascii="宋体" w:hAnsi="宋体" w:cs="宋体"/>
                <w:sz w:val="24"/>
              </w:rPr>
              <w:t>单位成立日期</w:t>
            </w:r>
          </w:p>
        </w:tc>
        <w:tc>
          <w:tcPr>
            <w:tcW w:w="2140"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jc w:val="center"/>
              <w:textAlignment w:val="bottom"/>
              <w:rPr>
                <w:rFonts w:hint="eastAsia" w:ascii="宋体" w:hAnsi="宋体" w:cs="宋体"/>
                <w:b/>
                <w:sz w:val="24"/>
              </w:rPr>
            </w:pPr>
          </w:p>
        </w:tc>
      </w:tr>
      <w:tr>
        <w:tblPrEx>
          <w:tblCellMar>
            <w:top w:w="0" w:type="dxa"/>
            <w:left w:w="28" w:type="dxa"/>
            <w:bottom w:w="0" w:type="dxa"/>
            <w:right w:w="28" w:type="dxa"/>
          </w:tblCellMar>
        </w:tblPrEx>
        <w:trPr>
          <w:cantSplit/>
          <w:jc w:val="center"/>
        </w:trPr>
        <w:tc>
          <w:tcPr>
            <w:tcW w:w="2487"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ind w:left="113"/>
              <w:textAlignment w:val="bottom"/>
              <w:rPr>
                <w:rFonts w:ascii="宋体" w:hAnsi="宋体" w:cs="宋体"/>
                <w:sz w:val="24"/>
              </w:rPr>
            </w:pPr>
            <w:r>
              <w:rPr>
                <w:rFonts w:hint="eastAsia" w:ascii="宋体" w:hAnsi="宋体" w:cs="宋体"/>
                <w:sz w:val="24"/>
              </w:rPr>
              <w:t>法定代表人(</w:t>
            </w:r>
            <w:r>
              <w:rPr>
                <w:rFonts w:hint="eastAsia" w:ascii="宋体" w:hAnsi="宋体" w:cs="宋体"/>
                <w:bCs/>
                <w:color w:val="000000"/>
                <w:kern w:val="0"/>
                <w:sz w:val="24"/>
              </w:rPr>
              <w:t>或负责人</w:t>
            </w:r>
            <w:r>
              <w:rPr>
                <w:rFonts w:hint="eastAsia" w:ascii="宋体" w:hAnsi="宋体" w:cs="宋体"/>
                <w:sz w:val="24"/>
              </w:rPr>
              <w:t>)</w:t>
            </w:r>
          </w:p>
        </w:tc>
        <w:tc>
          <w:tcPr>
            <w:tcW w:w="7054"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textAlignment w:val="bottom"/>
              <w:rPr>
                <w:rFonts w:hint="eastAsia" w:ascii="宋体" w:hAnsi="宋体" w:cs="宋体"/>
                <w:sz w:val="24"/>
              </w:rPr>
            </w:pPr>
            <w:r>
              <w:rPr>
                <w:rFonts w:hint="eastAsia" w:ascii="宋体" w:hAnsi="宋体" w:cs="宋体"/>
                <w:sz w:val="24"/>
              </w:rPr>
              <w:t>1.姓名：      2.职务：       3.职称：</w:t>
            </w:r>
          </w:p>
        </w:tc>
      </w:tr>
      <w:tr>
        <w:tblPrEx>
          <w:tblCellMar>
            <w:top w:w="0" w:type="dxa"/>
            <w:left w:w="28" w:type="dxa"/>
            <w:bottom w:w="0" w:type="dxa"/>
            <w:right w:w="28" w:type="dxa"/>
          </w:tblCellMar>
        </w:tblPrEx>
        <w:trPr>
          <w:cantSplit/>
          <w:jc w:val="center"/>
        </w:trPr>
        <w:tc>
          <w:tcPr>
            <w:tcW w:w="2487"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ind w:left="113"/>
              <w:textAlignment w:val="bottom"/>
              <w:rPr>
                <w:rFonts w:hint="eastAsia" w:ascii="宋体" w:hAnsi="宋体" w:cs="宋体"/>
                <w:sz w:val="24"/>
              </w:rPr>
            </w:pPr>
            <w:r>
              <w:rPr>
                <w:rFonts w:hint="eastAsia" w:ascii="宋体" w:hAnsi="宋体" w:cs="宋体"/>
                <w:sz w:val="24"/>
              </w:rPr>
              <w:t>联系方式</w:t>
            </w:r>
          </w:p>
        </w:tc>
        <w:tc>
          <w:tcPr>
            <w:tcW w:w="7054"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textAlignment w:val="bottom"/>
              <w:rPr>
                <w:rFonts w:hint="eastAsia" w:ascii="宋体" w:hAnsi="宋体" w:cs="宋体"/>
                <w:sz w:val="24"/>
              </w:rPr>
            </w:pPr>
            <w:r>
              <w:rPr>
                <w:rFonts w:hint="eastAsia" w:ascii="宋体" w:hAnsi="宋体" w:cs="宋体"/>
                <w:sz w:val="24"/>
              </w:rPr>
              <w:t>1.地址：</w:t>
            </w:r>
            <w:r>
              <w:rPr>
                <w:rFonts w:hint="eastAsia" w:ascii="宋体" w:hAnsi="宋体" w:cs="宋体"/>
                <w:b/>
                <w:sz w:val="24"/>
              </w:rPr>
              <w:t xml:space="preserve">               </w:t>
            </w:r>
            <w:r>
              <w:rPr>
                <w:rFonts w:hint="eastAsia" w:ascii="宋体" w:hAnsi="宋体" w:cs="宋体"/>
                <w:sz w:val="24"/>
              </w:rPr>
              <w:t xml:space="preserve"> 2.邮编：</w:t>
            </w:r>
            <w:r>
              <w:rPr>
                <w:rFonts w:hint="eastAsia" w:ascii="宋体" w:hAnsi="宋体" w:cs="宋体"/>
                <w:b/>
                <w:sz w:val="24"/>
              </w:rPr>
              <w:t xml:space="preserve">      </w:t>
            </w:r>
            <w:r>
              <w:rPr>
                <w:rFonts w:hint="eastAsia" w:ascii="宋体" w:hAnsi="宋体" w:cs="宋体"/>
                <w:sz w:val="24"/>
              </w:rPr>
              <w:t xml:space="preserve"> 3.电话：</w:t>
            </w:r>
            <w:r>
              <w:rPr>
                <w:rFonts w:hint="eastAsia" w:ascii="宋体" w:hAnsi="宋体" w:cs="宋体"/>
                <w:b/>
                <w:sz w:val="24"/>
              </w:rPr>
              <w:t xml:space="preserve"> </w:t>
            </w:r>
          </w:p>
          <w:p>
            <w:pPr>
              <w:widowControl/>
              <w:autoSpaceDE w:val="0"/>
              <w:autoSpaceDN w:val="0"/>
              <w:spacing w:line="400" w:lineRule="atLeast"/>
              <w:textAlignment w:val="bottom"/>
              <w:rPr>
                <w:rFonts w:hint="eastAsia" w:ascii="宋体" w:hAnsi="宋体" w:cs="宋体"/>
                <w:sz w:val="24"/>
              </w:rPr>
            </w:pPr>
            <w:r>
              <w:rPr>
                <w:rFonts w:hint="eastAsia" w:ascii="宋体" w:hAnsi="宋体" w:cs="宋体"/>
                <w:sz w:val="24"/>
              </w:rPr>
              <w:t>4.传真：</w:t>
            </w:r>
            <w:r>
              <w:rPr>
                <w:rFonts w:hint="eastAsia" w:ascii="宋体" w:hAnsi="宋体" w:cs="宋体"/>
                <w:b/>
                <w:sz w:val="24"/>
              </w:rPr>
              <w:t xml:space="preserve"> </w:t>
            </w:r>
            <w:r>
              <w:rPr>
                <w:rFonts w:hint="eastAsia" w:ascii="宋体" w:hAnsi="宋体" w:cs="宋体"/>
                <w:sz w:val="24"/>
              </w:rPr>
              <w:t xml:space="preserve">         5. 联系人：</w:t>
            </w:r>
            <w:r>
              <w:rPr>
                <w:rFonts w:hint="eastAsia" w:ascii="宋体" w:hAnsi="宋体" w:cs="宋体"/>
                <w:b/>
                <w:sz w:val="24"/>
              </w:rPr>
              <w:t xml:space="preserve"> </w:t>
            </w:r>
          </w:p>
        </w:tc>
      </w:tr>
      <w:tr>
        <w:tblPrEx>
          <w:tblCellMar>
            <w:top w:w="0" w:type="dxa"/>
            <w:left w:w="28" w:type="dxa"/>
            <w:bottom w:w="0" w:type="dxa"/>
            <w:right w:w="28" w:type="dxa"/>
          </w:tblCellMar>
        </w:tblPrEx>
        <w:trPr>
          <w:cantSplit/>
          <w:jc w:val="center"/>
        </w:trPr>
        <w:tc>
          <w:tcPr>
            <w:tcW w:w="2487" w:type="dxa"/>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ind w:left="113"/>
              <w:textAlignment w:val="bottom"/>
              <w:rPr>
                <w:rFonts w:hint="eastAsia" w:ascii="宋体" w:hAnsi="宋体" w:cs="宋体"/>
                <w:sz w:val="24"/>
              </w:rPr>
            </w:pPr>
            <w:r>
              <w:rPr>
                <w:rFonts w:hint="eastAsia" w:ascii="宋体" w:hAnsi="宋体" w:cs="宋体"/>
                <w:sz w:val="24"/>
              </w:rPr>
              <w:t>开户银行</w:t>
            </w:r>
          </w:p>
        </w:tc>
        <w:tc>
          <w:tcPr>
            <w:tcW w:w="7054" w:type="dxa"/>
            <w:gridSpan w:val="3"/>
            <w:tcBorders>
              <w:top w:val="single" w:color="auto" w:sz="6" w:space="0"/>
              <w:left w:val="single" w:color="auto" w:sz="6" w:space="0"/>
              <w:bottom w:val="single" w:color="auto" w:sz="6" w:space="0"/>
              <w:right w:val="single" w:color="auto" w:sz="6" w:space="0"/>
            </w:tcBorders>
            <w:noWrap w:val="0"/>
            <w:vAlign w:val="top"/>
          </w:tcPr>
          <w:p>
            <w:pPr>
              <w:widowControl/>
              <w:autoSpaceDE w:val="0"/>
              <w:autoSpaceDN w:val="0"/>
              <w:spacing w:line="400" w:lineRule="atLeast"/>
              <w:textAlignment w:val="bottom"/>
              <w:rPr>
                <w:rFonts w:hint="eastAsia" w:ascii="宋体" w:hAnsi="宋体" w:cs="宋体"/>
                <w:sz w:val="24"/>
              </w:rPr>
            </w:pPr>
            <w:r>
              <w:rPr>
                <w:rFonts w:hint="eastAsia" w:ascii="宋体" w:hAnsi="宋体" w:cs="宋体"/>
                <w:sz w:val="24"/>
              </w:rPr>
              <w:t>1.名称：</w:t>
            </w:r>
            <w:r>
              <w:rPr>
                <w:rFonts w:hint="eastAsia" w:ascii="宋体" w:hAnsi="宋体" w:cs="宋体"/>
                <w:b/>
                <w:sz w:val="24"/>
              </w:rPr>
              <w:t xml:space="preserve"> </w:t>
            </w:r>
            <w:r>
              <w:rPr>
                <w:rFonts w:hint="eastAsia" w:ascii="宋体" w:hAnsi="宋体" w:cs="宋体"/>
                <w:sz w:val="24"/>
              </w:rPr>
              <w:t xml:space="preserve"> </w:t>
            </w:r>
          </w:p>
          <w:p>
            <w:pPr>
              <w:widowControl/>
              <w:autoSpaceDE w:val="0"/>
              <w:autoSpaceDN w:val="0"/>
              <w:spacing w:line="400" w:lineRule="atLeast"/>
              <w:textAlignment w:val="bottom"/>
              <w:rPr>
                <w:rFonts w:hint="eastAsia" w:ascii="宋体" w:hAnsi="宋体" w:cs="宋体"/>
                <w:sz w:val="24"/>
              </w:rPr>
            </w:pPr>
            <w:r>
              <w:rPr>
                <w:rFonts w:hint="eastAsia" w:ascii="宋体" w:hAnsi="宋体" w:cs="宋体"/>
                <w:sz w:val="24"/>
              </w:rPr>
              <w:t>2.账号：</w:t>
            </w:r>
            <w:r>
              <w:rPr>
                <w:rFonts w:hint="eastAsia" w:ascii="宋体" w:hAnsi="宋体" w:cs="宋体"/>
                <w:b/>
                <w:sz w:val="24"/>
              </w:rPr>
              <w:t xml:space="preserve"> </w:t>
            </w:r>
          </w:p>
        </w:tc>
      </w:tr>
    </w:tbl>
    <w:p>
      <w:pPr>
        <w:widowControl/>
        <w:autoSpaceDE w:val="0"/>
        <w:autoSpaceDN w:val="0"/>
        <w:spacing w:before="240" w:line="360" w:lineRule="atLeast"/>
        <w:textAlignment w:val="bottom"/>
        <w:rPr>
          <w:rFonts w:hint="eastAsia" w:ascii="宋体" w:hAnsi="宋体" w:cs="宋体"/>
          <w:sz w:val="24"/>
        </w:rPr>
      </w:pPr>
      <w:r>
        <w:rPr>
          <w:rFonts w:hint="eastAsia" w:ascii="宋体" w:hAnsi="宋体" w:cs="宋体"/>
          <w:sz w:val="24"/>
        </w:rPr>
        <w:t>注: 在本表后应附投标人营业执照和资质证书的复印件(并加盖单位公章)。</w:t>
      </w:r>
    </w:p>
    <w:p>
      <w:pPr>
        <w:widowControl/>
        <w:autoSpaceDE w:val="0"/>
        <w:autoSpaceDN w:val="0"/>
        <w:spacing w:before="240" w:line="360" w:lineRule="atLeast"/>
        <w:textAlignment w:val="bottom"/>
        <w:rPr>
          <w:rFonts w:hint="eastAsia" w:ascii="宋体" w:hAnsi="宋体" w:cs="宋体"/>
          <w:sz w:val="24"/>
        </w:rPr>
      </w:pPr>
    </w:p>
    <w:p>
      <w:pPr>
        <w:tabs>
          <w:tab w:val="left" w:pos="2310"/>
        </w:tabs>
        <w:spacing w:line="360" w:lineRule="auto"/>
        <w:ind w:firstLine="600" w:firstLineChars="250"/>
        <w:rPr>
          <w:rFonts w:hint="eastAsia" w:ascii="宋体" w:hAnsi="宋体" w:cs="宋体"/>
          <w:sz w:val="24"/>
        </w:rPr>
      </w:pPr>
      <w:r>
        <w:rPr>
          <w:rFonts w:hint="eastAsia" w:ascii="宋体" w:hAnsi="宋体" w:cs="宋体"/>
          <w:sz w:val="24"/>
        </w:rPr>
        <w:t>投标单位名称:（盖章）</w:t>
      </w:r>
    </w:p>
    <w:p>
      <w:pPr>
        <w:spacing w:line="360" w:lineRule="auto"/>
        <w:ind w:firstLine="600" w:firstLineChars="250"/>
        <w:rPr>
          <w:rFonts w:hint="eastAsia" w:ascii="宋体" w:hAnsi="宋体" w:cs="宋体"/>
          <w:sz w:val="24"/>
        </w:rPr>
      </w:pPr>
    </w:p>
    <w:p>
      <w:pPr>
        <w:spacing w:line="360" w:lineRule="auto"/>
        <w:ind w:firstLine="600" w:firstLineChars="250"/>
        <w:rPr>
          <w:rFonts w:hint="eastAsia" w:ascii="宋体" w:hAnsi="宋体" w:cs="宋体"/>
          <w:sz w:val="24"/>
        </w:rPr>
      </w:pPr>
      <w:r>
        <w:rPr>
          <w:rFonts w:hint="eastAsia" w:ascii="宋体" w:hAnsi="宋体" w:cs="宋体"/>
          <w:sz w:val="24"/>
        </w:rPr>
        <w:t>法定代表人或授权委托人:（盖章或签字）</w:t>
      </w:r>
    </w:p>
    <w:p>
      <w:pPr>
        <w:spacing w:line="360" w:lineRule="auto"/>
        <w:ind w:firstLine="600" w:firstLineChars="250"/>
        <w:rPr>
          <w:rFonts w:hint="eastAsia" w:ascii="宋体" w:hAnsi="宋体" w:cs="宋体"/>
          <w:sz w:val="24"/>
        </w:rPr>
      </w:pPr>
    </w:p>
    <w:p>
      <w:pPr>
        <w:spacing w:line="360" w:lineRule="auto"/>
        <w:ind w:firstLine="600" w:firstLineChars="250"/>
        <w:rPr>
          <w:rFonts w:hint="eastAsia" w:ascii="宋体" w:hAnsi="宋体" w:cs="宋体"/>
          <w:sz w:val="24"/>
        </w:rPr>
      </w:pPr>
      <w:r>
        <w:rPr>
          <w:rFonts w:hint="eastAsia" w:ascii="宋体" w:hAnsi="宋体" w:cs="宋体"/>
          <w:sz w:val="24"/>
        </w:rPr>
        <w:t>日  期:</w:t>
      </w:r>
    </w:p>
    <w:p>
      <w:pPr>
        <w:pStyle w:val="35"/>
        <w:snapToGrid w:val="0"/>
        <w:spacing w:line="360" w:lineRule="auto"/>
        <w:ind w:left="643" w:hanging="643"/>
        <w:jc w:val="center"/>
        <w:rPr>
          <w:rFonts w:ascii="宋体" w:hAnsi="宋体"/>
          <w:b/>
          <w:sz w:val="32"/>
          <w:szCs w:val="32"/>
        </w:rPr>
      </w:pPr>
    </w:p>
    <w:p>
      <w:pPr>
        <w:pStyle w:val="35"/>
        <w:snapToGrid w:val="0"/>
        <w:spacing w:line="360" w:lineRule="auto"/>
        <w:ind w:left="643" w:hanging="643"/>
        <w:jc w:val="center"/>
        <w:rPr>
          <w:rFonts w:ascii="宋体" w:hAnsi="宋体"/>
          <w:b/>
          <w:sz w:val="32"/>
          <w:szCs w:val="32"/>
        </w:rPr>
      </w:pPr>
    </w:p>
    <w:p>
      <w:pPr>
        <w:pStyle w:val="35"/>
        <w:snapToGrid w:val="0"/>
        <w:spacing w:line="360" w:lineRule="auto"/>
        <w:ind w:left="643" w:hanging="643"/>
        <w:jc w:val="center"/>
        <w:rPr>
          <w:rFonts w:ascii="宋体" w:hAnsi="宋体"/>
          <w:b/>
          <w:sz w:val="32"/>
          <w:szCs w:val="32"/>
        </w:rPr>
      </w:pPr>
    </w:p>
    <w:p>
      <w:pPr>
        <w:spacing w:line="360" w:lineRule="auto"/>
        <w:rPr>
          <w:rStyle w:val="61"/>
          <w:rFonts w:hint="eastAsia" w:ascii="宋体" w:hAnsi="宋体" w:cs="宋体"/>
          <w:sz w:val="24"/>
        </w:rPr>
      </w:pPr>
      <w:bookmarkStart w:id="249" w:name="_Toc395532687"/>
    </w:p>
    <w:bookmarkEnd w:id="249"/>
    <w:p>
      <w:pPr>
        <w:pStyle w:val="35"/>
        <w:snapToGrid w:val="0"/>
        <w:spacing w:line="360" w:lineRule="auto"/>
        <w:ind w:left="643" w:hanging="643"/>
        <w:jc w:val="center"/>
        <w:rPr>
          <w:rFonts w:ascii="宋体" w:hAnsi="宋体"/>
          <w:b/>
          <w:sz w:val="32"/>
          <w:szCs w:val="32"/>
        </w:rPr>
      </w:pPr>
    </w:p>
    <w:p>
      <w:pPr>
        <w:snapToGrid w:val="0"/>
        <w:spacing w:before="50" w:after="120" w:afterLines="50" w:line="360" w:lineRule="auto"/>
        <w:jc w:val="left"/>
        <w:rPr>
          <w:rFonts w:hint="eastAsia" w:ascii="宋体" w:hAnsi="宋体" w:cs="宋体"/>
          <w:b/>
          <w:bCs/>
          <w:color w:val="000000"/>
          <w:sz w:val="24"/>
        </w:rPr>
      </w:pPr>
      <w:bookmarkStart w:id="250" w:name="_Toc19865"/>
      <w:bookmarkStart w:id="251" w:name="_Toc14187"/>
    </w:p>
    <w:p>
      <w:pPr>
        <w:snapToGrid w:val="0"/>
        <w:spacing w:before="50" w:after="120" w:afterLines="50" w:line="360" w:lineRule="auto"/>
        <w:jc w:val="left"/>
        <w:rPr>
          <w:rFonts w:hint="eastAsia" w:ascii="宋体" w:hAnsi="宋体" w:cs="宋体"/>
          <w:b/>
          <w:bCs/>
          <w:color w:val="000000"/>
          <w:sz w:val="24"/>
        </w:rPr>
      </w:pPr>
      <w:r>
        <w:rPr>
          <w:rFonts w:hint="eastAsia" w:ascii="宋体" w:hAnsi="宋体" w:cs="宋体"/>
          <w:b/>
          <w:bCs/>
          <w:color w:val="000000"/>
          <w:sz w:val="24"/>
        </w:rPr>
        <w:t>7.商务条款偏离表格式</w:t>
      </w:r>
      <w:bookmarkEnd w:id="250"/>
    </w:p>
    <w:p>
      <w:pPr>
        <w:keepNext/>
        <w:keepLines/>
        <w:tabs>
          <w:tab w:val="left" w:pos="358"/>
        </w:tabs>
        <w:spacing w:line="416" w:lineRule="auto"/>
        <w:jc w:val="center"/>
        <w:rPr>
          <w:rFonts w:hint="eastAsia" w:ascii="宋体" w:hAnsi="宋体" w:cs="宋体"/>
          <w:b/>
          <w:sz w:val="24"/>
        </w:rPr>
      </w:pPr>
      <w:bookmarkStart w:id="252" w:name="_Toc5170"/>
      <w:r>
        <w:rPr>
          <w:rFonts w:hint="eastAsia" w:ascii="宋体" w:hAnsi="宋体" w:cs="宋体"/>
          <w:b/>
          <w:sz w:val="24"/>
        </w:rPr>
        <w:t>商务条款偏离表</w:t>
      </w:r>
      <w:bookmarkEnd w:id="251"/>
      <w:bookmarkEnd w:id="252"/>
    </w:p>
    <w:tbl>
      <w:tblPr>
        <w:tblStyle w:val="47"/>
        <w:tblW w:w="0" w:type="auto"/>
        <w:tblInd w:w="1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4"/>
        <w:gridCol w:w="2448"/>
        <w:gridCol w:w="2448"/>
        <w:gridCol w:w="24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624" w:hRule="atLeast"/>
        </w:trPr>
        <w:tc>
          <w:tcPr>
            <w:tcW w:w="914" w:type="dxa"/>
            <w:tcBorders>
              <w:top w:val="single" w:color="auto" w:sz="4" w:space="0"/>
              <w:left w:val="single" w:color="auto" w:sz="4" w:space="0"/>
              <w:bottom w:val="single" w:color="auto" w:sz="4" w:space="0"/>
              <w:right w:val="single" w:color="auto" w:sz="4" w:space="0"/>
            </w:tcBorders>
            <w:noWrap w:val="0"/>
            <w:vAlign w:val="center"/>
          </w:tcPr>
          <w:p>
            <w:pPr>
              <w:pStyle w:val="21"/>
              <w:spacing w:line="240" w:lineRule="auto"/>
              <w:ind w:firstLine="0"/>
              <w:jc w:val="center"/>
              <w:rPr>
                <w:rFonts w:hint="eastAsia" w:hAnsi="宋体" w:cs="宋体"/>
                <w:sz w:val="24"/>
                <w:lang w:val="en-US" w:eastAsia="zh-CN"/>
              </w:rPr>
            </w:pPr>
            <w:r>
              <w:rPr>
                <w:rFonts w:hint="eastAsia" w:hAnsi="宋体" w:cs="宋体"/>
                <w:sz w:val="24"/>
                <w:lang w:val="en-US" w:eastAsia="zh-CN"/>
              </w:rPr>
              <w:t>序号</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pStyle w:val="21"/>
              <w:spacing w:line="240" w:lineRule="auto"/>
              <w:ind w:left="6" w:leftChars="3" w:firstLine="0"/>
              <w:jc w:val="center"/>
              <w:rPr>
                <w:rFonts w:hint="eastAsia" w:hAnsi="宋体" w:cs="宋体"/>
                <w:sz w:val="24"/>
                <w:lang w:val="en-US" w:eastAsia="zh-CN"/>
              </w:rPr>
            </w:pPr>
            <w:r>
              <w:rPr>
                <w:rFonts w:hint="eastAsia" w:hAnsi="宋体" w:cs="宋体"/>
                <w:sz w:val="24"/>
                <w:lang w:val="en-US" w:eastAsia="zh-CN"/>
              </w:rPr>
              <w:t>招标文件的商务条款</w:t>
            </w:r>
          </w:p>
        </w:tc>
        <w:tc>
          <w:tcPr>
            <w:tcW w:w="2448" w:type="dxa"/>
            <w:tcBorders>
              <w:top w:val="single" w:color="auto" w:sz="4" w:space="0"/>
              <w:left w:val="single" w:color="auto" w:sz="4" w:space="0"/>
              <w:bottom w:val="single" w:color="auto" w:sz="4" w:space="0"/>
              <w:right w:val="single" w:color="auto" w:sz="4" w:space="0"/>
            </w:tcBorders>
            <w:noWrap w:val="0"/>
            <w:vAlign w:val="center"/>
          </w:tcPr>
          <w:p>
            <w:pPr>
              <w:pStyle w:val="21"/>
              <w:spacing w:line="240" w:lineRule="auto"/>
              <w:ind w:firstLine="0"/>
              <w:jc w:val="center"/>
              <w:rPr>
                <w:rFonts w:hint="eastAsia" w:hAnsi="宋体" w:cs="宋体"/>
                <w:sz w:val="24"/>
                <w:lang w:val="en-US" w:eastAsia="zh-CN"/>
              </w:rPr>
            </w:pPr>
            <w:r>
              <w:rPr>
                <w:rFonts w:hint="eastAsia" w:hAnsi="宋体" w:cs="宋体"/>
                <w:sz w:val="24"/>
                <w:lang w:val="en-US" w:eastAsia="zh-CN"/>
              </w:rPr>
              <w:t>投标文件的商务条款</w:t>
            </w:r>
          </w:p>
        </w:tc>
        <w:tc>
          <w:tcPr>
            <w:tcW w:w="2450" w:type="dxa"/>
            <w:tcBorders>
              <w:top w:val="single" w:color="auto" w:sz="4" w:space="0"/>
              <w:left w:val="single" w:color="auto" w:sz="4" w:space="0"/>
              <w:bottom w:val="single" w:color="auto" w:sz="4" w:space="0"/>
              <w:right w:val="single" w:color="auto" w:sz="4" w:space="0"/>
            </w:tcBorders>
            <w:noWrap w:val="0"/>
            <w:vAlign w:val="center"/>
          </w:tcPr>
          <w:p>
            <w:pPr>
              <w:pStyle w:val="21"/>
              <w:spacing w:line="240" w:lineRule="auto"/>
              <w:ind w:firstLine="0"/>
              <w:jc w:val="center"/>
              <w:rPr>
                <w:rFonts w:hint="eastAsia" w:hAnsi="宋体" w:cs="宋体"/>
                <w:sz w:val="24"/>
                <w:lang w:val="en-US" w:eastAsia="zh-CN"/>
              </w:rPr>
            </w:pPr>
            <w:r>
              <w:rPr>
                <w:rFonts w:hint="eastAsia" w:hAnsi="宋体" w:cs="宋体"/>
                <w:sz w:val="24"/>
                <w:lang w:val="en-US" w:eastAsia="zh-CN"/>
              </w:rPr>
              <w:t>偏离原因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624" w:hRule="atLeast"/>
        </w:trPr>
        <w:tc>
          <w:tcPr>
            <w:tcW w:w="914"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5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624" w:hRule="atLeast"/>
        </w:trPr>
        <w:tc>
          <w:tcPr>
            <w:tcW w:w="914"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5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624" w:hRule="atLeast"/>
        </w:trPr>
        <w:tc>
          <w:tcPr>
            <w:tcW w:w="914"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5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624" w:hRule="atLeast"/>
        </w:trPr>
        <w:tc>
          <w:tcPr>
            <w:tcW w:w="914"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5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624" w:hRule="atLeast"/>
        </w:trPr>
        <w:tc>
          <w:tcPr>
            <w:tcW w:w="914"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5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624" w:hRule="atLeast"/>
        </w:trPr>
        <w:tc>
          <w:tcPr>
            <w:tcW w:w="914"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5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624" w:hRule="atLeast"/>
        </w:trPr>
        <w:tc>
          <w:tcPr>
            <w:tcW w:w="914"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5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624" w:hRule="atLeast"/>
        </w:trPr>
        <w:tc>
          <w:tcPr>
            <w:tcW w:w="914"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5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Height w:val="624" w:hRule="atLeast"/>
        </w:trPr>
        <w:tc>
          <w:tcPr>
            <w:tcW w:w="914"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48"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45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bl>
    <w:p>
      <w:pPr>
        <w:tabs>
          <w:tab w:val="left" w:pos="2310"/>
        </w:tabs>
        <w:spacing w:line="360" w:lineRule="auto"/>
        <w:ind w:firstLine="120" w:firstLineChars="50"/>
        <w:rPr>
          <w:rFonts w:hint="eastAsia" w:ascii="宋体" w:hAnsi="宋体" w:cs="宋体"/>
          <w:sz w:val="24"/>
        </w:rPr>
      </w:pPr>
      <w:r>
        <w:rPr>
          <w:rFonts w:hint="eastAsia" w:ascii="宋体" w:hAnsi="宋体" w:cs="宋体"/>
          <w:sz w:val="24"/>
        </w:rPr>
        <w:t>注：此表仅提供了表格形式，投标人应根据需要准备足够数量的表格来填写。</w:t>
      </w:r>
    </w:p>
    <w:p>
      <w:pPr>
        <w:tabs>
          <w:tab w:val="left" w:pos="1395"/>
        </w:tabs>
        <w:spacing w:line="360" w:lineRule="auto"/>
        <w:rPr>
          <w:rFonts w:hint="eastAsia" w:ascii="宋体" w:hAnsi="宋体" w:cs="宋体"/>
          <w:sz w:val="24"/>
        </w:rPr>
      </w:pPr>
    </w:p>
    <w:p>
      <w:pPr>
        <w:tabs>
          <w:tab w:val="left" w:pos="2310"/>
        </w:tabs>
        <w:spacing w:line="360" w:lineRule="auto"/>
        <w:ind w:firstLine="600" w:firstLineChars="250"/>
        <w:rPr>
          <w:rFonts w:hint="eastAsia" w:ascii="宋体" w:hAnsi="宋体" w:cs="宋体"/>
          <w:sz w:val="24"/>
        </w:rPr>
      </w:pPr>
      <w:r>
        <w:rPr>
          <w:rFonts w:hint="eastAsia" w:ascii="宋体" w:hAnsi="宋体" w:cs="宋体"/>
          <w:sz w:val="24"/>
        </w:rPr>
        <w:t>投标单位名称:（盖章）</w:t>
      </w:r>
    </w:p>
    <w:p>
      <w:pPr>
        <w:tabs>
          <w:tab w:val="left" w:pos="2310"/>
        </w:tabs>
        <w:spacing w:line="360" w:lineRule="auto"/>
        <w:rPr>
          <w:rFonts w:hint="eastAsia" w:ascii="宋体" w:hAnsi="宋体" w:cs="宋体"/>
          <w:sz w:val="24"/>
        </w:rPr>
      </w:pPr>
    </w:p>
    <w:p>
      <w:pPr>
        <w:tabs>
          <w:tab w:val="left" w:pos="5580"/>
        </w:tabs>
        <w:ind w:firstLine="600" w:firstLineChars="250"/>
        <w:rPr>
          <w:rFonts w:hint="eastAsia" w:ascii="宋体" w:hAnsi="宋体" w:cs="宋体"/>
          <w:sz w:val="24"/>
        </w:rPr>
      </w:pPr>
      <w:r>
        <w:rPr>
          <w:rFonts w:hint="eastAsia" w:ascii="宋体" w:hAnsi="宋体" w:cs="宋体"/>
          <w:sz w:val="24"/>
        </w:rPr>
        <w:t>法定代表人或授权委托人：（签字或盖章）</w:t>
      </w:r>
    </w:p>
    <w:p>
      <w:pPr>
        <w:spacing w:line="360" w:lineRule="auto"/>
        <w:ind w:firstLine="600" w:firstLineChars="250"/>
        <w:rPr>
          <w:rFonts w:hint="eastAsia" w:ascii="宋体" w:hAnsi="宋体" w:cs="宋体"/>
          <w:sz w:val="24"/>
        </w:rPr>
      </w:pPr>
      <w:r>
        <w:rPr>
          <w:rFonts w:hint="eastAsia" w:ascii="宋体" w:hAnsi="宋体" w:cs="宋体"/>
          <w:sz w:val="24"/>
        </w:rPr>
        <w:t xml:space="preserve">   </w:t>
      </w:r>
    </w:p>
    <w:p>
      <w:pPr>
        <w:pStyle w:val="35"/>
        <w:snapToGrid w:val="0"/>
        <w:spacing w:line="360" w:lineRule="auto"/>
        <w:ind w:left="480" w:hanging="480"/>
        <w:jc w:val="center"/>
        <w:rPr>
          <w:rFonts w:ascii="宋体" w:hAnsi="宋体"/>
          <w:b/>
          <w:sz w:val="32"/>
          <w:szCs w:val="32"/>
        </w:rPr>
      </w:pPr>
      <w:r>
        <w:rPr>
          <w:rFonts w:hint="eastAsia" w:ascii="宋体" w:hAnsi="宋体" w:cs="宋体"/>
          <w:sz w:val="24"/>
        </w:rPr>
        <w:t xml:space="preserve">     日  期:</w:t>
      </w:r>
    </w:p>
    <w:p>
      <w:pPr>
        <w:rPr>
          <w:rFonts w:hint="eastAsia" w:ascii="宋体" w:hAnsi="宋体" w:cs="宋体"/>
          <w:sz w:val="24"/>
        </w:rPr>
      </w:pPr>
      <w:bookmarkStart w:id="253" w:name="_Toc30410"/>
      <w:bookmarkStart w:id="254" w:name="_Toc10642"/>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pStyle w:val="3"/>
        <w:tabs>
          <w:tab w:val="left" w:pos="358"/>
        </w:tabs>
        <w:spacing w:line="240" w:lineRule="auto"/>
        <w:ind w:left="180"/>
        <w:rPr>
          <w:rFonts w:hint="eastAsia" w:ascii="宋体" w:hAnsi="宋体" w:cs="宋体"/>
          <w:sz w:val="24"/>
          <w:lang w:val="en-US" w:eastAsia="zh-CN"/>
        </w:rPr>
      </w:pPr>
    </w:p>
    <w:p>
      <w:pPr>
        <w:pStyle w:val="20"/>
        <w:ind w:firstLine="210"/>
        <w:rPr>
          <w:rFonts w:hint="eastAsia"/>
          <w:lang w:val="en-US" w:eastAsia="zh-CN"/>
        </w:rPr>
      </w:pPr>
    </w:p>
    <w:p>
      <w:pPr>
        <w:snapToGrid w:val="0"/>
        <w:spacing w:before="50" w:after="120" w:afterLines="50" w:line="360" w:lineRule="auto"/>
        <w:jc w:val="left"/>
        <w:rPr>
          <w:rFonts w:hint="eastAsia" w:ascii="宋体" w:hAnsi="宋体" w:cs="宋体"/>
          <w:b/>
          <w:bCs/>
          <w:color w:val="000000"/>
          <w:sz w:val="24"/>
        </w:rPr>
      </w:pPr>
    </w:p>
    <w:p>
      <w:pPr>
        <w:snapToGrid w:val="0"/>
        <w:spacing w:before="50" w:after="120" w:afterLines="50" w:line="360" w:lineRule="auto"/>
        <w:jc w:val="left"/>
        <w:rPr>
          <w:rFonts w:hint="eastAsia" w:ascii="宋体" w:hAnsi="宋体" w:cs="宋体"/>
          <w:b/>
          <w:bCs/>
          <w:color w:val="000000"/>
          <w:sz w:val="24"/>
        </w:rPr>
      </w:pPr>
    </w:p>
    <w:p>
      <w:pPr>
        <w:snapToGrid w:val="0"/>
        <w:spacing w:before="50" w:after="120" w:afterLines="50" w:line="360" w:lineRule="auto"/>
        <w:jc w:val="left"/>
        <w:rPr>
          <w:rFonts w:hint="eastAsia" w:ascii="宋体" w:hAnsi="宋体" w:cs="宋体"/>
          <w:b/>
          <w:bCs/>
          <w:color w:val="000000"/>
          <w:sz w:val="24"/>
        </w:rPr>
      </w:pPr>
      <w:r>
        <w:rPr>
          <w:rFonts w:hint="eastAsia" w:ascii="宋体" w:hAnsi="宋体" w:cs="宋体"/>
          <w:b/>
          <w:bCs/>
          <w:color w:val="000000"/>
          <w:sz w:val="24"/>
        </w:rPr>
        <w:t>8.技术偏离表</w:t>
      </w:r>
      <w:bookmarkEnd w:id="253"/>
      <w:r>
        <w:rPr>
          <w:rFonts w:hint="eastAsia" w:ascii="宋体" w:hAnsi="宋体" w:cs="宋体"/>
          <w:b/>
          <w:bCs/>
          <w:color w:val="000000"/>
          <w:sz w:val="24"/>
        </w:rPr>
        <w:t>格式</w:t>
      </w:r>
      <w:bookmarkEnd w:id="254"/>
    </w:p>
    <w:p>
      <w:pPr>
        <w:pStyle w:val="20"/>
        <w:ind w:left="180" w:firstLine="0" w:firstLineChars="0"/>
        <w:jc w:val="center"/>
        <w:rPr>
          <w:rFonts w:hint="eastAsia"/>
          <w:b/>
          <w:bCs/>
          <w:sz w:val="24"/>
          <w:szCs w:val="24"/>
        </w:rPr>
      </w:pPr>
      <w:r>
        <w:rPr>
          <w:rFonts w:hint="eastAsia" w:ascii="宋体" w:hAnsi="宋体" w:cs="宋体"/>
          <w:b/>
          <w:bCs/>
          <w:sz w:val="24"/>
          <w:szCs w:val="24"/>
        </w:rPr>
        <w:t>技术偏离表</w:t>
      </w:r>
    </w:p>
    <w:tbl>
      <w:tblPr>
        <w:tblStyle w:val="47"/>
        <w:tblW w:w="0" w:type="auto"/>
        <w:tblInd w:w="16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5"/>
        <w:gridCol w:w="1880"/>
        <w:gridCol w:w="1965"/>
        <w:gridCol w:w="1320"/>
        <w:gridCol w:w="20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065" w:type="dxa"/>
            <w:tcBorders>
              <w:top w:val="single" w:color="auto" w:sz="4" w:space="0"/>
              <w:left w:val="single" w:color="auto" w:sz="4" w:space="0"/>
              <w:bottom w:val="single" w:color="auto" w:sz="4" w:space="0"/>
              <w:right w:val="single" w:color="auto" w:sz="4" w:space="0"/>
            </w:tcBorders>
            <w:noWrap w:val="0"/>
            <w:vAlign w:val="center"/>
          </w:tcPr>
          <w:p>
            <w:pPr>
              <w:pStyle w:val="21"/>
              <w:spacing w:line="240" w:lineRule="auto"/>
              <w:ind w:firstLine="0"/>
              <w:jc w:val="center"/>
              <w:rPr>
                <w:rFonts w:hint="eastAsia" w:hAnsi="宋体" w:cs="宋体"/>
                <w:sz w:val="24"/>
                <w:lang w:val="en-US" w:eastAsia="zh-CN"/>
              </w:rPr>
            </w:pPr>
            <w:r>
              <w:rPr>
                <w:rFonts w:hint="eastAsia" w:hAnsi="宋体" w:cs="宋体"/>
                <w:sz w:val="24"/>
                <w:lang w:val="en-US" w:eastAsia="zh-CN"/>
              </w:rPr>
              <w:t>序号</w:t>
            </w:r>
          </w:p>
        </w:tc>
        <w:tc>
          <w:tcPr>
            <w:tcW w:w="1880" w:type="dxa"/>
            <w:tcBorders>
              <w:top w:val="single" w:color="auto" w:sz="4" w:space="0"/>
              <w:left w:val="single" w:color="auto" w:sz="4" w:space="0"/>
              <w:bottom w:val="single" w:color="auto" w:sz="4" w:space="0"/>
              <w:right w:val="single" w:color="auto" w:sz="4" w:space="0"/>
            </w:tcBorders>
            <w:noWrap w:val="0"/>
            <w:vAlign w:val="center"/>
          </w:tcPr>
          <w:p>
            <w:pPr>
              <w:pStyle w:val="21"/>
              <w:spacing w:line="240" w:lineRule="auto"/>
              <w:ind w:left="6" w:leftChars="3" w:firstLine="0"/>
              <w:jc w:val="center"/>
              <w:rPr>
                <w:rFonts w:hint="eastAsia" w:hAnsi="宋体" w:cs="宋体"/>
                <w:sz w:val="24"/>
                <w:lang w:val="en-US" w:eastAsia="zh-CN"/>
              </w:rPr>
            </w:pPr>
            <w:r>
              <w:rPr>
                <w:rFonts w:hint="eastAsia" w:hAnsi="宋体" w:cs="宋体"/>
                <w:sz w:val="24"/>
                <w:lang w:val="en-US" w:eastAsia="zh-CN"/>
              </w:rPr>
              <w:t>招标文件的指标</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Style w:val="21"/>
              <w:spacing w:line="240" w:lineRule="auto"/>
              <w:ind w:firstLine="0"/>
              <w:jc w:val="center"/>
              <w:rPr>
                <w:rFonts w:hint="eastAsia" w:hAnsi="宋体" w:cs="宋体"/>
                <w:sz w:val="24"/>
                <w:lang w:val="en-US" w:eastAsia="zh-CN"/>
              </w:rPr>
            </w:pPr>
            <w:r>
              <w:rPr>
                <w:rFonts w:hint="eastAsia" w:hAnsi="宋体" w:cs="宋体"/>
                <w:sz w:val="24"/>
                <w:lang w:val="en-US" w:eastAsia="zh-CN"/>
              </w:rPr>
              <w:t>投标文件的指标</w:t>
            </w:r>
          </w:p>
        </w:tc>
        <w:tc>
          <w:tcPr>
            <w:tcW w:w="1320" w:type="dxa"/>
            <w:tcBorders>
              <w:top w:val="single" w:color="auto" w:sz="4" w:space="0"/>
              <w:left w:val="single" w:color="auto" w:sz="4" w:space="0"/>
              <w:bottom w:val="single" w:color="auto" w:sz="4" w:space="0"/>
              <w:right w:val="single" w:color="auto" w:sz="4" w:space="0"/>
            </w:tcBorders>
            <w:noWrap w:val="0"/>
            <w:vAlign w:val="center"/>
          </w:tcPr>
          <w:p>
            <w:pPr>
              <w:pStyle w:val="21"/>
              <w:spacing w:line="240" w:lineRule="auto"/>
              <w:ind w:firstLine="0"/>
              <w:jc w:val="center"/>
              <w:rPr>
                <w:rFonts w:hint="eastAsia" w:hAnsi="宋体" w:cs="宋体"/>
                <w:sz w:val="24"/>
                <w:lang w:val="en-US" w:eastAsia="zh-CN"/>
              </w:rPr>
            </w:pPr>
            <w:r>
              <w:rPr>
                <w:rFonts w:hint="eastAsia" w:hAnsi="宋体" w:cs="宋体"/>
                <w:sz w:val="24"/>
                <w:lang w:val="en-US" w:eastAsia="zh-CN"/>
              </w:rPr>
              <w:t>偏离情况</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pStyle w:val="21"/>
              <w:spacing w:line="240" w:lineRule="auto"/>
              <w:ind w:firstLine="0"/>
              <w:jc w:val="center"/>
              <w:rPr>
                <w:rFonts w:hint="eastAsia" w:hAnsi="宋体" w:cs="宋体"/>
                <w:sz w:val="24"/>
                <w:lang w:val="en-US" w:eastAsia="zh-CN"/>
              </w:rPr>
            </w:pPr>
            <w:r>
              <w:rPr>
                <w:rFonts w:hint="eastAsia" w:hAnsi="宋体" w:cs="宋体"/>
                <w:sz w:val="24"/>
                <w:lang w:val="en-US" w:eastAsia="zh-CN"/>
              </w:rPr>
              <w:t>证明材料（若有）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06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88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96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p>
            <w:pPr>
              <w:pStyle w:val="21"/>
              <w:spacing w:line="240" w:lineRule="auto"/>
              <w:ind w:left="538" w:leftChars="256" w:firstLine="480"/>
              <w:jc w:val="center"/>
              <w:rPr>
                <w:rFonts w:hint="eastAsia" w:hAnsi="宋体" w:cs="宋体"/>
                <w:sz w:val="24"/>
                <w:lang w:val="en-US" w:eastAsia="zh-CN"/>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05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06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88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96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05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06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88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96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05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06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88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96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05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06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88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96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1320"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c>
          <w:tcPr>
            <w:tcW w:w="2055" w:type="dxa"/>
            <w:tcBorders>
              <w:top w:val="single" w:color="auto" w:sz="4" w:space="0"/>
              <w:left w:val="single" w:color="auto" w:sz="4" w:space="0"/>
              <w:bottom w:val="single" w:color="auto" w:sz="4" w:space="0"/>
              <w:right w:val="single" w:color="auto" w:sz="4" w:space="0"/>
            </w:tcBorders>
            <w:noWrap w:val="0"/>
            <w:vAlign w:val="top"/>
          </w:tcPr>
          <w:p>
            <w:pPr>
              <w:pStyle w:val="21"/>
              <w:spacing w:line="240" w:lineRule="auto"/>
              <w:ind w:left="538" w:leftChars="256" w:firstLine="480"/>
              <w:jc w:val="center"/>
              <w:rPr>
                <w:rFonts w:hint="eastAsia" w:hAnsi="宋体" w:cs="宋体"/>
                <w:sz w:val="24"/>
                <w:lang w:val="en-US" w:eastAsia="zh-CN"/>
              </w:rPr>
            </w:pPr>
          </w:p>
        </w:tc>
      </w:tr>
    </w:tbl>
    <w:p>
      <w:pPr>
        <w:pStyle w:val="20"/>
        <w:ind w:firstLine="240"/>
        <w:rPr>
          <w:rFonts w:hint="eastAsia" w:ascii="宋体" w:hAnsi="宋体" w:cs="宋体"/>
          <w:sz w:val="24"/>
          <w:szCs w:val="24"/>
        </w:rPr>
      </w:pPr>
    </w:p>
    <w:p>
      <w:pPr>
        <w:spacing w:line="440" w:lineRule="exact"/>
        <w:rPr>
          <w:rFonts w:hint="eastAsia" w:ascii="宋体" w:hAnsi="宋体" w:cs="宋体"/>
          <w:color w:val="000000"/>
          <w:sz w:val="24"/>
        </w:rPr>
      </w:pPr>
      <w:r>
        <w:rPr>
          <w:rFonts w:hint="eastAsia" w:ascii="宋体" w:hAnsi="宋体" w:cs="宋体"/>
          <w:color w:val="000000"/>
          <w:sz w:val="24"/>
        </w:rPr>
        <w:t>注：对每项技术要求的响应必须遵循如下规则：</w:t>
      </w:r>
    </w:p>
    <w:p>
      <w:pPr>
        <w:numPr>
          <w:ilvl w:val="0"/>
          <w:numId w:val="9"/>
        </w:numPr>
        <w:spacing w:line="440" w:lineRule="exact"/>
        <w:ind w:firstLine="480" w:firstLineChars="200"/>
        <w:rPr>
          <w:rFonts w:hint="eastAsia" w:ascii="宋体" w:hAnsi="宋体" w:cs="宋体"/>
          <w:color w:val="000000"/>
          <w:sz w:val="24"/>
        </w:rPr>
      </w:pPr>
      <w:r>
        <w:rPr>
          <w:rFonts w:hint="eastAsia" w:ascii="宋体" w:hAnsi="宋体" w:cs="宋体"/>
          <w:color w:val="000000"/>
          <w:sz w:val="24"/>
        </w:rPr>
        <w:t>偏离情况用“无偏离”、“负偏离”、“正偏离”三种之一来表明采购需求各项产品的功能或性能指标参数需求是否被满足。“无偏离”表示满足投标产品要求；“负偏离”表示投标产品有对应功能但性能指标参数劣于采购要求；“正偏离”表示投标产品有对应功能且性能指标参数优于采购要求，并说明对本项目应用有何实质性益处。</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2.偏离表中需填写与采购文件要求有差异的条款，要求每一项在同一行一一对应，解释投标方案与用户需求之间的偏差；偏离表中仅填写条款内容但没有在同一行标明偏离情况的，可能会对其作不利评定，因此产生的不利后果由投标单位承担。</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3.用数量来表示的需求，必须用确切的数字、单位来响应。</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4.没有填写在偏离表中的其它所有技术条款都默认为完全响应采购文件要求。</w:t>
      </w:r>
    </w:p>
    <w:p>
      <w:pPr>
        <w:spacing w:line="440" w:lineRule="exact"/>
        <w:ind w:firstLine="480" w:firstLineChars="200"/>
        <w:rPr>
          <w:rFonts w:ascii="宋体" w:hAnsi="宋体" w:cs="宋体"/>
          <w:color w:val="000000"/>
          <w:sz w:val="24"/>
        </w:rPr>
      </w:pPr>
      <w:r>
        <w:rPr>
          <w:rFonts w:hint="eastAsia" w:ascii="宋体" w:hAnsi="宋体" w:cs="宋体"/>
          <w:color w:val="000000"/>
          <w:sz w:val="24"/>
        </w:rPr>
        <w:t>5.重点条款必须按要求提供佐证材料，未提供按负偏离处理。</w:t>
      </w:r>
    </w:p>
    <w:p>
      <w:pPr>
        <w:spacing w:line="440" w:lineRule="exact"/>
        <w:ind w:firstLine="480" w:firstLineChars="200"/>
        <w:rPr>
          <w:rFonts w:hint="eastAsia" w:ascii="宋体" w:hAnsi="宋体" w:cs="宋体"/>
          <w:sz w:val="24"/>
        </w:rPr>
      </w:pPr>
      <w:r>
        <w:rPr>
          <w:rFonts w:hint="eastAsia" w:ascii="宋体" w:hAnsi="宋体" w:cs="宋体"/>
          <w:color w:val="000000"/>
          <w:sz w:val="24"/>
        </w:rPr>
        <w:t>6.此表可在不改变格式的情况下自行制作。</w:t>
      </w:r>
    </w:p>
    <w:p>
      <w:pPr>
        <w:tabs>
          <w:tab w:val="left" w:pos="2310"/>
        </w:tabs>
        <w:ind w:firstLine="600" w:firstLineChars="250"/>
        <w:rPr>
          <w:rFonts w:hint="eastAsia" w:ascii="宋体" w:hAnsi="宋体" w:cs="宋体"/>
          <w:sz w:val="24"/>
        </w:rPr>
      </w:pPr>
    </w:p>
    <w:p>
      <w:pPr>
        <w:tabs>
          <w:tab w:val="left" w:pos="2310"/>
        </w:tabs>
        <w:ind w:firstLine="600" w:firstLineChars="250"/>
        <w:rPr>
          <w:rFonts w:hint="eastAsia" w:ascii="宋体" w:hAnsi="宋体" w:cs="宋体"/>
          <w:sz w:val="24"/>
        </w:rPr>
      </w:pPr>
      <w:r>
        <w:rPr>
          <w:rFonts w:hint="eastAsia" w:ascii="宋体" w:hAnsi="宋体" w:cs="宋体"/>
          <w:sz w:val="24"/>
        </w:rPr>
        <w:t>投标单位名称:（盖章）</w:t>
      </w:r>
    </w:p>
    <w:p>
      <w:pPr>
        <w:tabs>
          <w:tab w:val="left" w:pos="2310"/>
        </w:tabs>
        <w:rPr>
          <w:rFonts w:hint="eastAsia" w:ascii="宋体" w:hAnsi="宋体" w:cs="宋体"/>
          <w:sz w:val="24"/>
        </w:rPr>
      </w:pPr>
    </w:p>
    <w:p>
      <w:pPr>
        <w:tabs>
          <w:tab w:val="left" w:pos="5580"/>
        </w:tabs>
        <w:ind w:firstLine="600" w:firstLineChars="250"/>
        <w:rPr>
          <w:rFonts w:hint="eastAsia" w:ascii="宋体" w:hAnsi="宋体" w:cs="宋体"/>
          <w:sz w:val="24"/>
        </w:rPr>
      </w:pPr>
      <w:r>
        <w:rPr>
          <w:rFonts w:hint="eastAsia" w:ascii="宋体" w:hAnsi="宋体" w:cs="宋体"/>
          <w:sz w:val="24"/>
        </w:rPr>
        <w:t>法定代表人或授权委托人：（签字或盖章）</w:t>
      </w:r>
    </w:p>
    <w:p>
      <w:pPr>
        <w:ind w:firstLine="600" w:firstLineChars="250"/>
        <w:rPr>
          <w:rFonts w:hint="eastAsia" w:ascii="宋体" w:hAnsi="宋体" w:cs="宋体"/>
          <w:sz w:val="24"/>
        </w:rPr>
      </w:pPr>
      <w:r>
        <w:rPr>
          <w:rFonts w:hint="eastAsia" w:ascii="宋体" w:hAnsi="宋体" w:cs="宋体"/>
          <w:sz w:val="24"/>
        </w:rPr>
        <w:t xml:space="preserve">   </w:t>
      </w:r>
    </w:p>
    <w:p>
      <w:pPr>
        <w:rPr>
          <w:rFonts w:hint="eastAsia" w:ascii="宋体" w:hAnsi="宋体" w:cs="宋体"/>
          <w:sz w:val="24"/>
        </w:rPr>
      </w:pPr>
      <w:r>
        <w:rPr>
          <w:rFonts w:hint="eastAsia" w:ascii="宋体" w:hAnsi="宋体" w:cs="宋体"/>
          <w:sz w:val="24"/>
        </w:rPr>
        <w:t xml:space="preserve">     日  期:</w:t>
      </w:r>
    </w:p>
    <w:p>
      <w:pPr>
        <w:autoSpaceDE w:val="0"/>
        <w:autoSpaceDN w:val="0"/>
        <w:jc w:val="left"/>
        <w:textAlignment w:val="bottom"/>
        <w:rPr>
          <w:rFonts w:hint="eastAsia" w:ascii="宋体" w:hAnsi="宋体" w:cs="宋体"/>
          <w:b/>
          <w:bCs/>
          <w:sz w:val="24"/>
        </w:rPr>
      </w:pPr>
    </w:p>
    <w:p>
      <w:pPr>
        <w:jc w:val="left"/>
        <w:outlineLvl w:val="2"/>
        <w:rPr>
          <w:rFonts w:hint="eastAsia" w:ascii="宋体" w:hAnsi="宋体" w:cs="宋体"/>
          <w:b/>
          <w:sz w:val="24"/>
        </w:rPr>
      </w:pPr>
      <w:r>
        <w:rPr>
          <w:rFonts w:hint="eastAsia" w:ascii="宋体" w:hAnsi="宋体" w:cs="宋体"/>
          <w:b/>
          <w:sz w:val="24"/>
        </w:rPr>
        <w:t>9.廉政承诺书格式</w:t>
      </w:r>
    </w:p>
    <w:p>
      <w:pPr>
        <w:outlineLvl w:val="2"/>
        <w:rPr>
          <w:rFonts w:hint="eastAsia" w:ascii="宋体" w:hAnsi="宋体" w:cs="宋体"/>
          <w:b/>
          <w:sz w:val="24"/>
        </w:rPr>
      </w:pPr>
    </w:p>
    <w:p>
      <w:pPr>
        <w:jc w:val="center"/>
        <w:outlineLvl w:val="2"/>
        <w:rPr>
          <w:rFonts w:hint="eastAsia" w:ascii="宋体" w:hAnsi="宋体" w:cs="宋体"/>
          <w:b/>
          <w:sz w:val="24"/>
        </w:rPr>
      </w:pPr>
      <w:r>
        <w:rPr>
          <w:rFonts w:hint="eastAsia" w:ascii="宋体" w:hAnsi="宋体" w:cs="宋体"/>
          <w:b/>
          <w:sz w:val="24"/>
        </w:rPr>
        <w:t>廉政承诺书</w:t>
      </w:r>
    </w:p>
    <w:p>
      <w:pPr>
        <w:rPr>
          <w:rFonts w:hint="eastAsia"/>
        </w:rPr>
      </w:pPr>
    </w:p>
    <w:p>
      <w:pPr>
        <w:rPr>
          <w:rFonts w:hint="eastAsia"/>
          <w:b/>
          <w:sz w:val="24"/>
          <w:u w:val="single"/>
        </w:rPr>
      </w:pPr>
      <w:r>
        <w:rPr>
          <w:rFonts w:hint="eastAsia"/>
          <w:b/>
          <w:sz w:val="24"/>
          <w:u w:val="single"/>
          <w:lang w:eastAsia="zh-CN"/>
        </w:rPr>
        <w:t>嵊州市崇仁镇人民政府</w:t>
      </w:r>
      <w:r>
        <w:rPr>
          <w:rFonts w:hint="eastAsia"/>
          <w:b/>
          <w:sz w:val="24"/>
          <w:u w:val="single"/>
        </w:rPr>
        <w:t>：</w:t>
      </w:r>
    </w:p>
    <w:p>
      <w:pPr>
        <w:spacing w:line="360" w:lineRule="auto"/>
        <w:ind w:firstLine="480" w:firstLineChars="200"/>
        <w:rPr>
          <w:rFonts w:hint="eastAsia"/>
          <w:sz w:val="24"/>
        </w:rPr>
      </w:pPr>
    </w:p>
    <w:p>
      <w:pPr>
        <w:spacing w:line="360" w:lineRule="auto"/>
        <w:ind w:firstLine="480" w:firstLineChars="200"/>
        <w:rPr>
          <w:rFonts w:hint="eastAsia"/>
          <w:sz w:val="24"/>
        </w:rPr>
      </w:pPr>
      <w:r>
        <w:rPr>
          <w:rFonts w:hint="eastAsia"/>
          <w:sz w:val="24"/>
        </w:rPr>
        <w:t xml:space="preserve">我单位响应你单位项目招标要求参加投标。在这次投标过程中和中标后，我们将严格遵守国家法律法规要求，并郑重承诺： </w:t>
      </w:r>
    </w:p>
    <w:p>
      <w:pPr>
        <w:spacing w:line="360" w:lineRule="auto"/>
        <w:ind w:firstLine="480" w:firstLineChars="200"/>
        <w:rPr>
          <w:rFonts w:hint="eastAsia"/>
          <w:sz w:val="24"/>
        </w:rPr>
      </w:pPr>
      <w:r>
        <w:rPr>
          <w:rFonts w:hint="eastAsia"/>
          <w:sz w:val="24"/>
        </w:rPr>
        <w:t>一、不向项目有关人员及部门赠送礼金礼物、有价证券、回扣以及中介费、介绍费、咨询费等好处费；</w:t>
      </w:r>
    </w:p>
    <w:p>
      <w:pPr>
        <w:spacing w:line="360" w:lineRule="auto"/>
        <w:ind w:firstLine="480" w:firstLineChars="200"/>
        <w:rPr>
          <w:rFonts w:hint="eastAsia"/>
          <w:sz w:val="24"/>
        </w:rPr>
      </w:pPr>
      <w:r>
        <w:rPr>
          <w:rFonts w:hint="eastAsia"/>
          <w:sz w:val="24"/>
        </w:rPr>
        <w:t>二、不为项目有关人员及部门报销应由你方单位或个人支付的费用；</w:t>
      </w:r>
    </w:p>
    <w:p>
      <w:pPr>
        <w:spacing w:line="360" w:lineRule="auto"/>
        <w:ind w:firstLine="480" w:firstLineChars="200"/>
        <w:rPr>
          <w:rFonts w:hint="eastAsia"/>
          <w:sz w:val="24"/>
        </w:rPr>
      </w:pPr>
      <w:r>
        <w:rPr>
          <w:rFonts w:hint="eastAsia"/>
          <w:sz w:val="24"/>
        </w:rPr>
        <w:t>三、不向项目有关人员及部门提供有可能影响公正的宴请和健身娱乐等活动；</w:t>
      </w:r>
    </w:p>
    <w:p>
      <w:pPr>
        <w:spacing w:line="360" w:lineRule="auto"/>
        <w:ind w:firstLine="480" w:firstLineChars="200"/>
        <w:rPr>
          <w:rFonts w:hint="eastAsia"/>
          <w:sz w:val="24"/>
        </w:rPr>
      </w:pPr>
      <w:r>
        <w:rPr>
          <w:rFonts w:hint="eastAsia"/>
          <w:sz w:val="24"/>
        </w:rPr>
        <w:t>四、不为项目有关人员及部门出国（境）、旅游等提供方便；</w:t>
      </w:r>
    </w:p>
    <w:p>
      <w:pPr>
        <w:spacing w:line="360" w:lineRule="auto"/>
        <w:ind w:firstLine="480" w:firstLineChars="200"/>
        <w:rPr>
          <w:rFonts w:hint="eastAsia"/>
          <w:sz w:val="24"/>
        </w:rPr>
      </w:pPr>
      <w:r>
        <w:rPr>
          <w:rFonts w:hint="eastAsia"/>
          <w:sz w:val="24"/>
        </w:rPr>
        <w:t>五、不为项目有关人员个人装修住房、婚丧嫁娶、配偶子女工作安排等提供好处；</w:t>
      </w:r>
    </w:p>
    <w:p>
      <w:pPr>
        <w:spacing w:line="360" w:lineRule="auto"/>
        <w:ind w:firstLine="480" w:firstLineChars="200"/>
        <w:rPr>
          <w:rFonts w:hint="eastAsia"/>
          <w:sz w:val="24"/>
        </w:rPr>
      </w:pPr>
      <w:r>
        <w:rPr>
          <w:rFonts w:hint="eastAsia"/>
          <w:sz w:val="24"/>
        </w:rPr>
        <w:t>六、严格遵守政府采购法、招标投标法、合同法等法律，诚实守信，合法经营，坚决抵制各种违法违纪行为。</w:t>
      </w:r>
    </w:p>
    <w:p>
      <w:pPr>
        <w:spacing w:line="360" w:lineRule="auto"/>
        <w:ind w:firstLine="480" w:firstLineChars="200"/>
        <w:rPr>
          <w:rFonts w:hint="eastAsia"/>
          <w:sz w:val="24"/>
        </w:rPr>
      </w:pPr>
      <w:r>
        <w:rPr>
          <w:rFonts w:hint="eastAsia"/>
          <w:sz w:val="24"/>
        </w:rPr>
        <w:t>如违反上述承诺，你单位有权立即取消我单位投标、中标或在建项目的建设资格，有权拒绝我单位在一定时期内进入你单位进行工程建设或其他经营活动，并通报市政府采购办。由此引起的相应损失均由我单位承担。</w:t>
      </w: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ind w:firstLine="3360" w:firstLineChars="1400"/>
        <w:rPr>
          <w:rFonts w:hint="eastAsia"/>
          <w:sz w:val="24"/>
        </w:rPr>
      </w:pPr>
      <w:r>
        <w:rPr>
          <w:rFonts w:hint="eastAsia"/>
          <w:sz w:val="24"/>
        </w:rPr>
        <w:t>投标</w:t>
      </w:r>
      <w:r>
        <w:rPr>
          <w:rFonts w:hint="eastAsia" w:ascii="宋体" w:hAnsi="宋体"/>
          <w:spacing w:val="20"/>
          <w:sz w:val="24"/>
        </w:rPr>
        <w:t>单位名称</w:t>
      </w:r>
      <w:r>
        <w:rPr>
          <w:rFonts w:hint="eastAsia"/>
          <w:sz w:val="24"/>
        </w:rPr>
        <w:t>（公章）：</w:t>
      </w:r>
    </w:p>
    <w:p>
      <w:pPr>
        <w:spacing w:line="360" w:lineRule="auto"/>
        <w:ind w:firstLine="1120" w:firstLineChars="400"/>
        <w:rPr>
          <w:rFonts w:hint="eastAsia"/>
          <w:sz w:val="24"/>
        </w:rPr>
      </w:pPr>
      <w:r>
        <w:rPr>
          <w:rFonts w:hint="eastAsia" w:ascii="宋体" w:hAnsi="宋体"/>
          <w:spacing w:val="20"/>
          <w:sz w:val="24"/>
        </w:rPr>
        <w:t>法定代表人或授权委托人</w:t>
      </w:r>
      <w:r>
        <w:rPr>
          <w:rFonts w:hint="eastAsia"/>
          <w:sz w:val="24"/>
        </w:rPr>
        <w:t>（</w:t>
      </w:r>
      <w:r>
        <w:rPr>
          <w:rFonts w:hint="eastAsia" w:ascii="宋体" w:hAnsi="宋体" w:cs="宋体"/>
          <w:sz w:val="24"/>
        </w:rPr>
        <w:t>签字或盖章</w:t>
      </w:r>
      <w:r>
        <w:rPr>
          <w:rFonts w:hint="eastAsia"/>
          <w:sz w:val="24"/>
        </w:rPr>
        <w:t>）：</w:t>
      </w:r>
    </w:p>
    <w:p>
      <w:pPr>
        <w:snapToGrid w:val="0"/>
        <w:spacing w:before="120" w:beforeLines="50" w:after="50"/>
        <w:ind w:firstLine="5040" w:firstLineChars="2100"/>
        <w:rPr>
          <w:rFonts w:hint="eastAsia" w:ascii="宋体" w:hAnsi="宋体"/>
          <w:b/>
          <w:sz w:val="28"/>
          <w:szCs w:val="28"/>
        </w:rPr>
      </w:pPr>
      <w:r>
        <w:rPr>
          <w:rFonts w:hint="eastAsia"/>
          <w:sz w:val="24"/>
        </w:rPr>
        <w:t>日期：   年  月  日</w:t>
      </w:r>
    </w:p>
    <w:p>
      <w:pPr>
        <w:snapToGrid w:val="0"/>
        <w:spacing w:before="120" w:beforeLines="50" w:after="50"/>
        <w:rPr>
          <w:rFonts w:hint="eastAsia" w:ascii="宋体" w:hAnsi="宋体"/>
          <w:b/>
          <w:sz w:val="28"/>
          <w:szCs w:val="28"/>
        </w:rPr>
      </w:pPr>
    </w:p>
    <w:p>
      <w:pPr>
        <w:snapToGrid w:val="0"/>
        <w:spacing w:before="120" w:beforeLines="50" w:after="50"/>
        <w:jc w:val="right"/>
        <w:rPr>
          <w:rFonts w:hint="eastAsia" w:ascii="宋体" w:hAnsi="宋体"/>
          <w:b/>
          <w:sz w:val="28"/>
          <w:szCs w:val="28"/>
        </w:rPr>
      </w:pPr>
    </w:p>
    <w:p>
      <w:pPr>
        <w:snapToGrid w:val="0"/>
        <w:spacing w:before="120" w:beforeLines="50" w:after="50"/>
        <w:jc w:val="right"/>
        <w:rPr>
          <w:rFonts w:hint="eastAsia" w:ascii="宋体" w:hAnsi="宋体"/>
          <w:b/>
          <w:sz w:val="28"/>
          <w:szCs w:val="28"/>
        </w:rPr>
      </w:pPr>
    </w:p>
    <w:p>
      <w:pPr>
        <w:snapToGrid w:val="0"/>
        <w:spacing w:before="120" w:beforeLines="50" w:after="50"/>
        <w:jc w:val="right"/>
        <w:rPr>
          <w:rFonts w:hint="eastAsia" w:ascii="宋体" w:hAnsi="宋体"/>
          <w:b/>
          <w:sz w:val="28"/>
          <w:szCs w:val="28"/>
        </w:rPr>
      </w:pPr>
    </w:p>
    <w:p>
      <w:pPr>
        <w:snapToGrid w:val="0"/>
        <w:spacing w:before="120" w:beforeLines="50" w:after="50"/>
        <w:jc w:val="right"/>
        <w:rPr>
          <w:rFonts w:hint="eastAsia" w:ascii="宋体" w:hAnsi="宋体"/>
          <w:b/>
          <w:sz w:val="28"/>
          <w:szCs w:val="28"/>
        </w:rPr>
      </w:pPr>
    </w:p>
    <w:p>
      <w:pPr>
        <w:pStyle w:val="28"/>
        <w:snapToGrid w:val="0"/>
        <w:spacing w:line="360" w:lineRule="auto"/>
        <w:ind w:left="0" w:leftChars="0"/>
        <w:jc w:val="left"/>
        <w:rPr>
          <w:rFonts w:hint="eastAsia" w:ascii="宋体" w:hAnsi="宋体" w:eastAsia="宋体"/>
          <w:sz w:val="24"/>
          <w:lang w:eastAsia="zh-CN"/>
        </w:rPr>
      </w:pPr>
      <w:r>
        <w:rPr>
          <w:rFonts w:hint="eastAsia" w:ascii="宋体" w:hAnsi="宋体" w:eastAsia="宋体"/>
          <w:b/>
          <w:sz w:val="24"/>
        </w:rPr>
        <w:t>1</w:t>
      </w:r>
      <w:r>
        <w:rPr>
          <w:rFonts w:hint="eastAsia" w:ascii="宋体" w:hAnsi="宋体" w:eastAsia="宋体"/>
          <w:b/>
          <w:sz w:val="24"/>
          <w:lang w:val="en-US" w:eastAsia="zh-CN"/>
        </w:rPr>
        <w:t>0</w:t>
      </w:r>
      <w:r>
        <w:rPr>
          <w:rFonts w:hint="eastAsia" w:ascii="宋体" w:hAnsi="宋体" w:eastAsia="宋体"/>
          <w:b/>
          <w:sz w:val="24"/>
        </w:rPr>
        <w:t>.报价文件目录</w:t>
      </w:r>
    </w:p>
    <w:p>
      <w:pPr>
        <w:tabs>
          <w:tab w:val="left" w:pos="4018"/>
        </w:tabs>
        <w:snapToGrid w:val="0"/>
        <w:spacing w:line="400" w:lineRule="exact"/>
        <w:ind w:firstLine="480" w:firstLineChars="200"/>
        <w:jc w:val="left"/>
        <w:rPr>
          <w:rFonts w:hint="eastAsia" w:ascii="宋体" w:hAnsi="宋体"/>
          <w:sz w:val="24"/>
        </w:rPr>
      </w:pPr>
      <w:r>
        <w:rPr>
          <w:rFonts w:hint="eastAsia" w:ascii="宋体" w:hAnsi="宋体"/>
          <w:sz w:val="24"/>
        </w:rPr>
        <w:t>（1）</w:t>
      </w:r>
      <w:r>
        <w:rPr>
          <w:rFonts w:hint="eastAsia" w:ascii="宋体" w:hAnsi="宋体" w:cs="宋体"/>
          <w:sz w:val="24"/>
        </w:rPr>
        <w:t>投标函</w:t>
      </w:r>
      <w:r>
        <w:rPr>
          <w:rFonts w:hint="eastAsia" w:ascii="宋体" w:hAnsi="宋体"/>
          <w:sz w:val="24"/>
        </w:rPr>
        <w:t>（格式附后）；</w:t>
      </w:r>
    </w:p>
    <w:p>
      <w:pPr>
        <w:tabs>
          <w:tab w:val="left" w:pos="4018"/>
        </w:tabs>
        <w:snapToGrid w:val="0"/>
        <w:spacing w:line="400" w:lineRule="exact"/>
        <w:ind w:firstLine="480" w:firstLineChars="200"/>
        <w:jc w:val="left"/>
        <w:rPr>
          <w:rFonts w:hint="eastAsia" w:ascii="宋体" w:hAnsi="宋体"/>
          <w:sz w:val="24"/>
        </w:rPr>
      </w:pPr>
      <w:r>
        <w:rPr>
          <w:rFonts w:hint="eastAsia" w:ascii="宋体" w:hAnsi="宋体"/>
          <w:sz w:val="24"/>
        </w:rPr>
        <w:t>（2）开标一览表（格式附后）；</w:t>
      </w:r>
    </w:p>
    <w:p>
      <w:pPr>
        <w:tabs>
          <w:tab w:val="left" w:pos="4018"/>
        </w:tabs>
        <w:snapToGrid w:val="0"/>
        <w:spacing w:line="400" w:lineRule="exact"/>
        <w:ind w:firstLine="480" w:firstLineChars="200"/>
        <w:jc w:val="left"/>
        <w:rPr>
          <w:rFonts w:hint="eastAsia"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）中小企业的相关证明材料；</w:t>
      </w:r>
    </w:p>
    <w:p>
      <w:pPr>
        <w:tabs>
          <w:tab w:val="left" w:pos="4018"/>
        </w:tabs>
        <w:snapToGrid w:val="0"/>
        <w:spacing w:line="400" w:lineRule="exact"/>
        <w:ind w:firstLine="480" w:firstLineChars="200"/>
        <w:jc w:val="left"/>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）投标人针对报价需要说明的其他文件和说明（格式自拟）。</w:t>
      </w:r>
    </w:p>
    <w:p>
      <w:pPr>
        <w:pStyle w:val="26"/>
        <w:snapToGrid w:val="0"/>
        <w:spacing w:before="0" w:beforeLines="0" w:after="120" w:line="240" w:lineRule="auto"/>
        <w:rPr>
          <w:rFonts w:hAnsi="宋体"/>
          <w:sz w:val="32"/>
          <w:szCs w:val="32"/>
        </w:rPr>
      </w:pPr>
    </w:p>
    <w:p>
      <w:pPr>
        <w:pStyle w:val="26"/>
        <w:snapToGrid w:val="0"/>
        <w:spacing w:before="0" w:beforeLines="0" w:after="120" w:line="240" w:lineRule="auto"/>
        <w:rPr>
          <w:rFonts w:hAnsi="宋体"/>
          <w:sz w:val="32"/>
          <w:szCs w:val="32"/>
        </w:rPr>
      </w:pPr>
    </w:p>
    <w:p>
      <w:pPr>
        <w:pStyle w:val="26"/>
        <w:snapToGrid w:val="0"/>
        <w:spacing w:before="0" w:beforeLines="0" w:after="120" w:line="240" w:lineRule="auto"/>
        <w:rPr>
          <w:rFonts w:hAnsi="宋体"/>
          <w:sz w:val="32"/>
          <w:szCs w:val="32"/>
        </w:rPr>
      </w:pPr>
    </w:p>
    <w:p>
      <w:pPr>
        <w:pStyle w:val="26"/>
        <w:snapToGrid w:val="0"/>
        <w:spacing w:before="0" w:beforeLines="0" w:after="120" w:line="240" w:lineRule="auto"/>
        <w:rPr>
          <w:rFonts w:hAnsi="宋体"/>
          <w:sz w:val="32"/>
          <w:szCs w:val="32"/>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snapToGrid w:val="0"/>
        <w:spacing w:before="120" w:beforeLines="50" w:after="50" w:line="360" w:lineRule="auto"/>
        <w:rPr>
          <w:rFonts w:hint="eastAsia" w:ascii="宋体" w:hAnsi="宋体" w:cs="宋体"/>
          <w:b/>
          <w:color w:val="000000"/>
          <w:sz w:val="24"/>
        </w:rPr>
      </w:pPr>
    </w:p>
    <w:p>
      <w:pPr>
        <w:snapToGrid w:val="0"/>
        <w:spacing w:before="120" w:beforeLines="50" w:after="50" w:line="360" w:lineRule="auto"/>
        <w:rPr>
          <w:rFonts w:hint="eastAsia" w:ascii="宋体" w:hAnsi="宋体" w:cs="宋体"/>
          <w:b/>
          <w:color w:val="000000"/>
          <w:sz w:val="24"/>
        </w:rPr>
      </w:pPr>
    </w:p>
    <w:p>
      <w:pPr>
        <w:snapToGrid w:val="0"/>
        <w:spacing w:before="120" w:beforeLines="50" w:after="50" w:line="360" w:lineRule="auto"/>
        <w:rPr>
          <w:rFonts w:hint="eastAsia" w:ascii="宋体" w:hAnsi="宋体" w:cs="宋体"/>
          <w:b/>
          <w:color w:val="000000"/>
          <w:sz w:val="24"/>
        </w:rPr>
      </w:pPr>
      <w:r>
        <w:rPr>
          <w:rFonts w:hint="eastAsia" w:ascii="宋体" w:hAnsi="宋体" w:cs="宋体"/>
          <w:b/>
          <w:color w:val="000000"/>
          <w:sz w:val="24"/>
        </w:rPr>
        <w:t>11.投标函格式</w:t>
      </w:r>
    </w:p>
    <w:p>
      <w:pPr>
        <w:snapToGrid w:val="0"/>
        <w:spacing w:before="120" w:beforeLines="50" w:after="50" w:line="360" w:lineRule="auto"/>
        <w:jc w:val="center"/>
        <w:rPr>
          <w:rFonts w:hint="eastAsia" w:ascii="宋体" w:hAnsi="宋体" w:cs="宋体"/>
          <w:b/>
          <w:color w:val="000000"/>
          <w:sz w:val="24"/>
        </w:rPr>
      </w:pPr>
      <w:r>
        <w:rPr>
          <w:rFonts w:hint="eastAsia" w:ascii="宋体" w:hAnsi="宋体" w:cs="宋体"/>
          <w:b/>
          <w:color w:val="000000"/>
          <w:sz w:val="24"/>
        </w:rPr>
        <w:t>投 标 函</w:t>
      </w:r>
    </w:p>
    <w:p>
      <w:pPr>
        <w:snapToGrid w:val="0"/>
        <w:spacing w:line="360" w:lineRule="auto"/>
        <w:rPr>
          <w:rFonts w:hint="eastAsia" w:ascii="宋体" w:hAnsi="宋体" w:cs="宋体"/>
          <w:color w:val="000000"/>
          <w:sz w:val="24"/>
        </w:rPr>
      </w:pPr>
      <w:r>
        <w:rPr>
          <w:rFonts w:hint="eastAsia" w:ascii="宋体" w:hAnsi="宋体" w:cs="宋体"/>
          <w:color w:val="000000"/>
          <w:sz w:val="24"/>
        </w:rPr>
        <w:t>致：</w:t>
      </w:r>
      <w:r>
        <w:rPr>
          <w:rFonts w:hint="eastAsia" w:ascii="宋体" w:hAnsi="宋体" w:cs="宋体"/>
          <w:color w:val="000000"/>
          <w:sz w:val="24"/>
          <w:u w:val="single"/>
        </w:rPr>
        <w:t xml:space="preserve">             </w:t>
      </w:r>
      <w:r>
        <w:rPr>
          <w:rFonts w:hint="eastAsia" w:ascii="宋体" w:hAnsi="宋体" w:cs="宋体"/>
          <w:color w:val="000000"/>
          <w:sz w:val="24"/>
        </w:rPr>
        <w:t>：</w:t>
      </w:r>
    </w:p>
    <w:p>
      <w:pPr>
        <w:spacing w:line="400" w:lineRule="exact"/>
        <w:ind w:firstLine="480" w:firstLineChars="200"/>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（投标单位全称）授权</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全权代表姓名</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职务、职称</w:t>
      </w:r>
      <w:r>
        <w:rPr>
          <w:rFonts w:hint="eastAsia" w:ascii="宋体" w:hAnsi="宋体" w:cs="宋体"/>
          <w:sz w:val="24"/>
        </w:rPr>
        <w:t>）为全权代表，参加贵方组织的</w:t>
      </w:r>
      <w:r>
        <w:rPr>
          <w:rFonts w:hint="eastAsia" w:ascii="宋体" w:hAnsi="宋体" w:cs="宋体"/>
          <w:sz w:val="24"/>
          <w:u w:val="single"/>
        </w:rPr>
        <w:t>项目名称</w:t>
      </w:r>
      <w:r>
        <w:rPr>
          <w:rFonts w:hint="eastAsia" w:ascii="宋体" w:hAnsi="宋体" w:cs="宋体"/>
          <w:sz w:val="24"/>
        </w:rPr>
        <w:t>，项目编号：（</w:t>
      </w:r>
      <w:r>
        <w:rPr>
          <w:rFonts w:hint="eastAsia" w:ascii="宋体" w:hAnsi="宋体" w:cs="宋体"/>
          <w:sz w:val="24"/>
          <w:u w:val="single"/>
        </w:rPr>
        <w:t xml:space="preserve">          </w:t>
      </w:r>
      <w:r>
        <w:rPr>
          <w:rFonts w:hint="eastAsia" w:ascii="宋体" w:hAnsi="宋体" w:cs="宋体"/>
          <w:sz w:val="24"/>
        </w:rPr>
        <w:t>）招标的有关活动，并对此项目进行投标。为此：</w:t>
      </w:r>
    </w:p>
    <w:p>
      <w:pPr>
        <w:spacing w:line="400" w:lineRule="exact"/>
        <w:ind w:firstLine="480" w:firstLineChars="200"/>
        <w:rPr>
          <w:rFonts w:hint="eastAsia" w:ascii="宋体" w:hAnsi="宋体" w:cs="宋体"/>
          <w:sz w:val="24"/>
        </w:rPr>
      </w:pPr>
      <w:r>
        <w:rPr>
          <w:rFonts w:hint="eastAsia" w:ascii="宋体" w:hAnsi="宋体" w:cs="宋体"/>
          <w:sz w:val="24"/>
        </w:rPr>
        <w:t>1.我方同意在投标人编制和提交采购响应文件须知规定的开标日期起遵守本投标书中的承诺且在投标有效期满之前均具有约束力。</w:t>
      </w:r>
    </w:p>
    <w:p>
      <w:pPr>
        <w:spacing w:line="400" w:lineRule="exact"/>
        <w:ind w:firstLine="480" w:firstLineChars="200"/>
        <w:rPr>
          <w:rFonts w:hint="eastAsia" w:ascii="宋体" w:hAnsi="宋体" w:cs="宋体"/>
          <w:sz w:val="24"/>
        </w:rPr>
      </w:pPr>
      <w:r>
        <w:rPr>
          <w:rFonts w:hint="eastAsia" w:ascii="宋体" w:hAnsi="宋体" w:cs="宋体"/>
          <w:sz w:val="24"/>
        </w:rPr>
        <w:t>2.我方承诺已经具备《中华人民共和国政府采购法》中规定的参加政府采购活动的供应商应当具备的条件：</w:t>
      </w:r>
    </w:p>
    <w:p>
      <w:pPr>
        <w:spacing w:line="400" w:lineRule="exact"/>
        <w:ind w:left="-720" w:firstLine="1200" w:firstLineChars="500"/>
        <w:rPr>
          <w:rFonts w:hint="eastAsia" w:ascii="宋体" w:hAnsi="宋体" w:cs="宋体"/>
          <w:sz w:val="24"/>
        </w:rPr>
      </w:pPr>
      <w:r>
        <w:rPr>
          <w:rFonts w:hint="eastAsia" w:ascii="宋体" w:hAnsi="宋体" w:cs="宋体"/>
          <w:sz w:val="24"/>
        </w:rPr>
        <w:t>（1）具有独立承担民事责任的能力；</w:t>
      </w:r>
    </w:p>
    <w:p>
      <w:pPr>
        <w:spacing w:line="400" w:lineRule="exact"/>
        <w:ind w:firstLine="480" w:firstLineChars="200"/>
        <w:rPr>
          <w:rFonts w:hint="eastAsia" w:ascii="宋体" w:hAnsi="宋体" w:cs="宋体"/>
          <w:sz w:val="24"/>
        </w:rPr>
      </w:pPr>
      <w:r>
        <w:rPr>
          <w:rFonts w:hint="eastAsia" w:ascii="宋体" w:hAnsi="宋体" w:cs="宋体"/>
          <w:sz w:val="24"/>
        </w:rPr>
        <w:t>（2）遵守国家法律、行政法规，具有良好的信誉和商业道德；</w:t>
      </w:r>
    </w:p>
    <w:p>
      <w:pPr>
        <w:spacing w:line="400" w:lineRule="exact"/>
        <w:ind w:left="-720" w:firstLine="1200" w:firstLineChars="500"/>
        <w:rPr>
          <w:rFonts w:hint="eastAsia" w:ascii="宋体" w:hAnsi="宋体" w:cs="宋体"/>
          <w:sz w:val="24"/>
        </w:rPr>
      </w:pPr>
      <w:r>
        <w:rPr>
          <w:rFonts w:hint="eastAsia" w:ascii="宋体" w:hAnsi="宋体" w:cs="宋体"/>
          <w:sz w:val="24"/>
        </w:rPr>
        <w:t>（3）具有履行合同的能力和良好的履行合同记录；</w:t>
      </w:r>
    </w:p>
    <w:p>
      <w:pPr>
        <w:spacing w:line="400" w:lineRule="exact"/>
        <w:ind w:left="-720" w:firstLine="1200" w:firstLineChars="500"/>
        <w:rPr>
          <w:rFonts w:hint="eastAsia" w:ascii="宋体" w:hAnsi="宋体" w:cs="宋体"/>
          <w:sz w:val="24"/>
        </w:rPr>
      </w:pPr>
      <w:r>
        <w:rPr>
          <w:rFonts w:hint="eastAsia" w:ascii="宋体" w:hAnsi="宋体" w:cs="宋体"/>
          <w:sz w:val="24"/>
        </w:rPr>
        <w:t>（4）良好的资金、财务状况；</w:t>
      </w:r>
    </w:p>
    <w:p>
      <w:pPr>
        <w:spacing w:line="400" w:lineRule="exact"/>
        <w:ind w:left="-720" w:firstLine="1200" w:firstLineChars="500"/>
        <w:rPr>
          <w:rFonts w:hint="eastAsia" w:ascii="宋体" w:hAnsi="宋体" w:cs="宋体"/>
          <w:sz w:val="24"/>
        </w:rPr>
      </w:pPr>
      <w:r>
        <w:rPr>
          <w:rFonts w:hint="eastAsia" w:ascii="宋体" w:hAnsi="宋体" w:cs="宋体"/>
          <w:sz w:val="24"/>
        </w:rPr>
        <w:t>（5）产品及生产所需装备符合中国政府规定的相应技术标准和环保标准；</w:t>
      </w:r>
    </w:p>
    <w:p>
      <w:pPr>
        <w:spacing w:line="400" w:lineRule="exact"/>
        <w:ind w:left="-720" w:firstLine="1200" w:firstLineChars="500"/>
        <w:rPr>
          <w:rFonts w:hint="eastAsia" w:ascii="宋体" w:hAnsi="宋体" w:cs="宋体"/>
          <w:sz w:val="24"/>
        </w:rPr>
      </w:pPr>
      <w:r>
        <w:rPr>
          <w:rFonts w:hint="eastAsia" w:ascii="宋体" w:hAnsi="宋体" w:cs="宋体"/>
          <w:sz w:val="24"/>
        </w:rPr>
        <w:t>（6）没有违反政府采购法规、政策的记录；</w:t>
      </w:r>
    </w:p>
    <w:p>
      <w:pPr>
        <w:spacing w:line="400" w:lineRule="exact"/>
        <w:ind w:left="-720" w:firstLine="1200" w:firstLineChars="500"/>
        <w:rPr>
          <w:rFonts w:hint="eastAsia" w:ascii="宋体" w:hAnsi="宋体" w:cs="宋体"/>
          <w:sz w:val="24"/>
        </w:rPr>
      </w:pPr>
      <w:r>
        <w:rPr>
          <w:rFonts w:hint="eastAsia" w:ascii="宋体" w:hAnsi="宋体" w:cs="宋体"/>
          <w:sz w:val="24"/>
        </w:rPr>
        <w:t>（7）没有发生重大经济纠纷和走私犯罪记录。</w:t>
      </w:r>
    </w:p>
    <w:p>
      <w:pPr>
        <w:spacing w:line="400" w:lineRule="exact"/>
        <w:ind w:firstLine="480" w:firstLineChars="200"/>
        <w:rPr>
          <w:rFonts w:hint="eastAsia" w:ascii="宋体" w:hAnsi="宋体" w:cs="宋体"/>
          <w:sz w:val="24"/>
        </w:rPr>
      </w:pPr>
      <w:r>
        <w:rPr>
          <w:rFonts w:hint="eastAsia" w:ascii="宋体" w:hAnsi="宋体" w:cs="宋体"/>
          <w:sz w:val="24"/>
        </w:rPr>
        <w:t>3.提供编制和提交投标文件须知规定的全部投标文件，具体内容为：</w:t>
      </w:r>
    </w:p>
    <w:p>
      <w:pPr>
        <w:spacing w:line="400" w:lineRule="exact"/>
        <w:ind w:left="-720" w:firstLine="1200" w:firstLineChars="500"/>
        <w:rPr>
          <w:rFonts w:hint="eastAsia" w:ascii="宋体" w:hAnsi="宋体" w:cs="宋体"/>
          <w:sz w:val="24"/>
        </w:rPr>
      </w:pPr>
      <w:r>
        <w:rPr>
          <w:rFonts w:hint="eastAsia" w:ascii="宋体" w:hAnsi="宋体" w:cs="宋体"/>
          <w:sz w:val="24"/>
        </w:rPr>
        <w:t>（1）开标一览表及投标报价明细清单；</w:t>
      </w:r>
    </w:p>
    <w:p>
      <w:pPr>
        <w:spacing w:line="400" w:lineRule="exact"/>
        <w:ind w:left="-720" w:firstLine="1200" w:firstLineChars="500"/>
        <w:rPr>
          <w:rFonts w:hint="eastAsia" w:ascii="宋体" w:hAnsi="宋体" w:cs="宋体"/>
          <w:sz w:val="24"/>
        </w:rPr>
      </w:pPr>
      <w:r>
        <w:rPr>
          <w:rFonts w:hint="eastAsia" w:ascii="宋体" w:hAnsi="宋体" w:cs="宋体"/>
          <w:sz w:val="24"/>
        </w:rPr>
        <w:t>（2）商务技术文件和资格证明文件；</w:t>
      </w:r>
    </w:p>
    <w:p>
      <w:pPr>
        <w:spacing w:line="400" w:lineRule="exact"/>
        <w:ind w:left="-720" w:firstLine="1200" w:firstLineChars="500"/>
        <w:rPr>
          <w:rFonts w:hint="eastAsia" w:ascii="宋体" w:hAnsi="宋体" w:cs="宋体"/>
          <w:sz w:val="24"/>
        </w:rPr>
      </w:pPr>
      <w:r>
        <w:rPr>
          <w:rFonts w:hint="eastAsia" w:ascii="宋体" w:hAnsi="宋体" w:cs="宋体"/>
          <w:sz w:val="24"/>
        </w:rPr>
        <w:t>（3）编制和提交投标文件须知要求投标人提交的全部文件；</w:t>
      </w:r>
    </w:p>
    <w:p>
      <w:pPr>
        <w:spacing w:line="400" w:lineRule="exact"/>
        <w:ind w:left="-720" w:firstLine="1200" w:firstLineChars="500"/>
        <w:rPr>
          <w:rFonts w:hint="eastAsia" w:ascii="宋体" w:hAnsi="宋体" w:cs="宋体"/>
          <w:sz w:val="24"/>
        </w:rPr>
      </w:pPr>
      <w:r>
        <w:rPr>
          <w:rFonts w:hint="eastAsia" w:ascii="宋体" w:hAnsi="宋体" w:cs="宋体"/>
          <w:sz w:val="24"/>
        </w:rPr>
        <w:t>（4）按招标文件要求提供和交付的货物和服务的投标报价详见开标一览表；</w:t>
      </w:r>
    </w:p>
    <w:p>
      <w:pPr>
        <w:spacing w:line="400" w:lineRule="exact"/>
        <w:ind w:left="-720" w:firstLine="1200" w:firstLineChars="500"/>
        <w:rPr>
          <w:rFonts w:hint="eastAsia" w:ascii="宋体" w:hAnsi="宋体" w:cs="宋体"/>
          <w:sz w:val="24"/>
        </w:rPr>
      </w:pPr>
      <w:r>
        <w:rPr>
          <w:rFonts w:hint="eastAsia" w:ascii="宋体" w:hAnsi="宋体" w:cs="宋体"/>
          <w:sz w:val="24"/>
        </w:rPr>
        <w:t>（5）保证忠实地执行双方所签订的合同，并承担合同规定的责任和义务；</w:t>
      </w:r>
    </w:p>
    <w:p>
      <w:pPr>
        <w:spacing w:line="400" w:lineRule="exact"/>
        <w:ind w:left="-720" w:firstLine="1200" w:firstLineChars="500"/>
        <w:rPr>
          <w:rFonts w:hint="eastAsia" w:ascii="宋体" w:hAnsi="宋体" w:cs="宋体"/>
          <w:sz w:val="24"/>
        </w:rPr>
      </w:pPr>
      <w:r>
        <w:rPr>
          <w:rFonts w:hint="eastAsia" w:ascii="宋体" w:hAnsi="宋体" w:cs="宋体"/>
          <w:sz w:val="24"/>
        </w:rPr>
        <w:t>（6）保证遵守招标文件中的其他有关规定。</w:t>
      </w:r>
    </w:p>
    <w:p>
      <w:pPr>
        <w:spacing w:line="400" w:lineRule="exact"/>
        <w:ind w:firstLine="480" w:firstLineChars="200"/>
        <w:rPr>
          <w:rFonts w:hint="eastAsia" w:ascii="宋体" w:hAnsi="宋体" w:cs="宋体"/>
          <w:sz w:val="24"/>
        </w:rPr>
      </w:pPr>
      <w:r>
        <w:rPr>
          <w:rFonts w:hint="eastAsia" w:ascii="宋体" w:hAnsi="宋体" w:cs="宋体"/>
          <w:sz w:val="24"/>
        </w:rPr>
        <w:t>4.如果在开标后规定的投标有效期内撤回投标，我方承担赔偿责任，赔偿金额为项目预算金额的2%。</w:t>
      </w:r>
    </w:p>
    <w:p>
      <w:pPr>
        <w:spacing w:line="400" w:lineRule="exact"/>
        <w:ind w:firstLine="480" w:firstLineChars="200"/>
        <w:rPr>
          <w:rFonts w:hint="eastAsia" w:ascii="宋体" w:hAnsi="宋体" w:cs="宋体"/>
          <w:sz w:val="24"/>
        </w:rPr>
      </w:pPr>
      <w:r>
        <w:rPr>
          <w:rFonts w:hint="eastAsia" w:ascii="宋体" w:hAnsi="宋体" w:cs="宋体"/>
          <w:sz w:val="24"/>
        </w:rPr>
        <w:t>5.我方完全理解贵方不一定要接受最低价的投标。</w:t>
      </w:r>
    </w:p>
    <w:p>
      <w:pPr>
        <w:spacing w:line="400" w:lineRule="exact"/>
        <w:ind w:firstLine="480" w:firstLineChars="200"/>
        <w:rPr>
          <w:rFonts w:hint="eastAsia" w:ascii="宋体" w:hAnsi="宋体" w:cs="宋体"/>
          <w:sz w:val="24"/>
        </w:rPr>
      </w:pPr>
      <w:r>
        <w:rPr>
          <w:rFonts w:hint="eastAsia" w:ascii="宋体" w:hAnsi="宋体" w:cs="宋体"/>
          <w:sz w:val="24"/>
        </w:rPr>
        <w:t>6.我方愿意向贵方提供任何与该项投标有关的数据、情况和技术资料。若贵方需要，我方愿意提供我方作出的一切承诺的证明材料。</w:t>
      </w:r>
    </w:p>
    <w:p>
      <w:pPr>
        <w:spacing w:line="400" w:lineRule="exact"/>
        <w:ind w:firstLine="480" w:firstLineChars="200"/>
        <w:rPr>
          <w:rFonts w:hint="eastAsia" w:ascii="宋体" w:hAnsi="宋体" w:cs="宋体"/>
          <w:sz w:val="24"/>
        </w:rPr>
      </w:pPr>
      <w:r>
        <w:rPr>
          <w:rFonts w:hint="eastAsia" w:ascii="宋体" w:hAnsi="宋体" w:cs="宋体"/>
          <w:sz w:val="24"/>
        </w:rPr>
        <w:t>7.我方已详细审核全部招标文件，包括招标文件修改书（如有的话），参考资料及有关附件，确认无误。</w:t>
      </w:r>
    </w:p>
    <w:p>
      <w:pPr>
        <w:spacing w:line="400" w:lineRule="exact"/>
        <w:ind w:firstLine="480" w:firstLineChars="200"/>
        <w:rPr>
          <w:rFonts w:hint="eastAsia" w:ascii="宋体" w:hAnsi="宋体" w:cs="宋体"/>
          <w:sz w:val="24"/>
        </w:rPr>
      </w:pPr>
      <w:r>
        <w:rPr>
          <w:rFonts w:hint="eastAsia" w:ascii="宋体" w:hAnsi="宋体" w:cs="宋体"/>
          <w:sz w:val="24"/>
        </w:rPr>
        <w:t>8.我方将严格遵守《中华人民共和国政府采购法》第七十七条规定，供应商有下列情形之一的，处以承包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400" w:lineRule="exact"/>
        <w:ind w:firstLine="360" w:firstLineChars="150"/>
        <w:rPr>
          <w:rFonts w:hint="eastAsia" w:ascii="宋体" w:hAnsi="宋体" w:cs="宋体"/>
          <w:sz w:val="24"/>
        </w:rPr>
      </w:pPr>
      <w:r>
        <w:rPr>
          <w:rFonts w:hint="eastAsia" w:ascii="宋体" w:hAnsi="宋体" w:cs="宋体"/>
          <w:sz w:val="24"/>
        </w:rPr>
        <w:t>a) 提供虚假材料谋取中标、成交的；</w:t>
      </w:r>
    </w:p>
    <w:p>
      <w:pPr>
        <w:spacing w:line="400" w:lineRule="exact"/>
        <w:ind w:firstLine="360" w:firstLineChars="150"/>
        <w:rPr>
          <w:rFonts w:hint="eastAsia" w:ascii="宋体" w:hAnsi="宋体" w:cs="宋体"/>
          <w:sz w:val="24"/>
        </w:rPr>
      </w:pPr>
      <w:r>
        <w:rPr>
          <w:rFonts w:hint="eastAsia" w:ascii="宋体" w:hAnsi="宋体" w:cs="宋体"/>
          <w:sz w:val="24"/>
        </w:rPr>
        <w:t>b) 采取不正当手段诋毁、排挤其他服务商的；</w:t>
      </w:r>
    </w:p>
    <w:p>
      <w:pPr>
        <w:spacing w:line="400" w:lineRule="exact"/>
        <w:ind w:firstLine="360" w:firstLineChars="150"/>
        <w:rPr>
          <w:rFonts w:hint="eastAsia" w:ascii="宋体" w:hAnsi="宋体" w:cs="宋体"/>
          <w:sz w:val="24"/>
        </w:rPr>
      </w:pPr>
      <w:r>
        <w:rPr>
          <w:rFonts w:hint="eastAsia" w:ascii="宋体" w:hAnsi="宋体" w:cs="宋体"/>
          <w:sz w:val="24"/>
        </w:rPr>
        <w:t>c) 与采购人、其它服务商或者采购代理机构恶意串通的；</w:t>
      </w:r>
    </w:p>
    <w:p>
      <w:pPr>
        <w:spacing w:line="400" w:lineRule="exact"/>
        <w:ind w:firstLine="360" w:firstLineChars="150"/>
        <w:rPr>
          <w:rFonts w:hint="eastAsia" w:ascii="宋体" w:hAnsi="宋体" w:cs="宋体"/>
          <w:sz w:val="24"/>
        </w:rPr>
      </w:pPr>
      <w:r>
        <w:rPr>
          <w:rFonts w:hint="eastAsia" w:ascii="宋体" w:hAnsi="宋体" w:cs="宋体"/>
          <w:sz w:val="24"/>
        </w:rPr>
        <w:t>d) 向采购人、采购代理机构行贿或者提供其他不正当利益的；</w:t>
      </w:r>
    </w:p>
    <w:p>
      <w:pPr>
        <w:spacing w:line="400" w:lineRule="exact"/>
        <w:ind w:firstLine="360" w:firstLineChars="150"/>
        <w:rPr>
          <w:rFonts w:hint="eastAsia" w:ascii="宋体" w:hAnsi="宋体" w:cs="宋体"/>
          <w:sz w:val="24"/>
        </w:rPr>
      </w:pPr>
      <w:r>
        <w:rPr>
          <w:rFonts w:hint="eastAsia" w:ascii="宋体" w:hAnsi="宋体" w:cs="宋体"/>
          <w:sz w:val="24"/>
        </w:rPr>
        <w:t>e) 在招标采购过程中与采购人进行协商谈判的；</w:t>
      </w:r>
    </w:p>
    <w:p>
      <w:pPr>
        <w:spacing w:line="400" w:lineRule="exact"/>
        <w:ind w:firstLine="360" w:firstLineChars="150"/>
        <w:rPr>
          <w:rFonts w:hint="eastAsia" w:ascii="宋体" w:hAnsi="宋体" w:cs="宋体"/>
          <w:sz w:val="24"/>
        </w:rPr>
      </w:pPr>
      <w:r>
        <w:rPr>
          <w:rFonts w:hint="eastAsia" w:ascii="宋体" w:hAnsi="宋体" w:cs="宋体"/>
          <w:sz w:val="24"/>
        </w:rPr>
        <w:t>f) 拒绝有关部门监督检查或提供虚假情况的。</w:t>
      </w:r>
    </w:p>
    <w:p>
      <w:pPr>
        <w:spacing w:line="400" w:lineRule="exact"/>
        <w:ind w:firstLine="360" w:firstLineChars="150"/>
        <w:rPr>
          <w:rFonts w:hint="eastAsia" w:ascii="宋体" w:hAnsi="宋体" w:cs="宋体"/>
          <w:sz w:val="24"/>
        </w:rPr>
      </w:pPr>
      <w:r>
        <w:rPr>
          <w:rFonts w:hint="eastAsia" w:ascii="宋体" w:hAnsi="宋体" w:cs="宋体"/>
          <w:sz w:val="24"/>
        </w:rPr>
        <w:t>供应商有前款第a)至e)项情形之一的,中标、成交无效。</w:t>
      </w:r>
    </w:p>
    <w:p>
      <w:pPr>
        <w:spacing w:line="400" w:lineRule="exact"/>
        <w:ind w:firstLine="360" w:firstLineChars="150"/>
        <w:rPr>
          <w:rFonts w:hint="eastAsia" w:ascii="宋体" w:hAnsi="宋体" w:cs="宋体"/>
          <w:sz w:val="24"/>
        </w:rPr>
      </w:pPr>
    </w:p>
    <w:p>
      <w:pPr>
        <w:spacing w:line="400" w:lineRule="exact"/>
        <w:ind w:hanging="2"/>
        <w:rPr>
          <w:rFonts w:hint="eastAsia" w:ascii="宋体" w:hAnsi="宋体" w:cs="宋体"/>
          <w:sz w:val="24"/>
        </w:rPr>
      </w:pPr>
    </w:p>
    <w:p>
      <w:pPr>
        <w:spacing w:line="400" w:lineRule="exact"/>
        <w:ind w:hanging="2"/>
        <w:rPr>
          <w:rFonts w:hint="eastAsia" w:ascii="宋体" w:hAnsi="宋体" w:cs="宋体"/>
          <w:sz w:val="24"/>
        </w:rPr>
      </w:pPr>
      <w:r>
        <w:rPr>
          <w:rFonts w:hint="eastAsia" w:ascii="宋体" w:hAnsi="宋体" w:cs="宋体"/>
          <w:sz w:val="24"/>
        </w:rPr>
        <w:t>法定代表人</w:t>
      </w:r>
      <w:r>
        <w:rPr>
          <w:rFonts w:hint="eastAsia" w:ascii="宋体" w:hAnsi="宋体" w:cs="宋体"/>
          <w:color w:val="000000"/>
          <w:sz w:val="24"/>
        </w:rPr>
        <w:t>（</w:t>
      </w:r>
      <w:r>
        <w:rPr>
          <w:rFonts w:hint="eastAsia" w:ascii="宋体" w:hAnsi="宋体" w:cs="宋体"/>
          <w:sz w:val="24"/>
        </w:rPr>
        <w:t>签字或盖章</w:t>
      </w:r>
      <w:r>
        <w:rPr>
          <w:rFonts w:hint="eastAsia" w:ascii="宋体" w:hAnsi="宋体" w:cs="宋体"/>
          <w:color w:val="000000"/>
          <w:sz w:val="24"/>
        </w:rPr>
        <w:t>）</w:t>
      </w:r>
      <w:r>
        <w:rPr>
          <w:rFonts w:hint="eastAsia" w:ascii="宋体" w:hAnsi="宋体" w:cs="宋体"/>
          <w:sz w:val="24"/>
        </w:rPr>
        <w:t>：</w:t>
      </w:r>
      <w:r>
        <w:rPr>
          <w:rFonts w:hint="eastAsia" w:ascii="宋体" w:hAnsi="宋体" w:cs="宋体"/>
          <w:sz w:val="24"/>
          <w:u w:val="single"/>
        </w:rPr>
        <w:t xml:space="preserve">                  </w:t>
      </w:r>
    </w:p>
    <w:p>
      <w:pPr>
        <w:spacing w:line="400" w:lineRule="exact"/>
        <w:ind w:hanging="2"/>
        <w:rPr>
          <w:rFonts w:hint="eastAsia" w:ascii="宋体" w:hAnsi="宋体" w:cs="宋体"/>
          <w:sz w:val="24"/>
          <w:u w:val="single"/>
        </w:rPr>
      </w:pPr>
      <w:r>
        <w:rPr>
          <w:rFonts w:hint="eastAsia" w:ascii="宋体" w:hAnsi="宋体" w:cs="宋体"/>
          <w:sz w:val="24"/>
        </w:rPr>
        <w:t>授权代表</w:t>
      </w:r>
      <w:r>
        <w:rPr>
          <w:rFonts w:hint="eastAsia" w:ascii="宋体" w:hAnsi="宋体" w:cs="宋体"/>
          <w:color w:val="000000"/>
          <w:sz w:val="24"/>
        </w:rPr>
        <w:t>（</w:t>
      </w:r>
      <w:r>
        <w:rPr>
          <w:rFonts w:hint="eastAsia" w:ascii="宋体" w:hAnsi="宋体" w:cs="宋体"/>
          <w:sz w:val="24"/>
        </w:rPr>
        <w:t>签字或盖章</w:t>
      </w:r>
      <w:r>
        <w:rPr>
          <w:rFonts w:hint="eastAsia" w:ascii="宋体" w:hAnsi="宋体" w:cs="宋体"/>
          <w:color w:val="000000"/>
          <w:sz w:val="24"/>
        </w:rPr>
        <w:t>）</w:t>
      </w:r>
      <w:r>
        <w:rPr>
          <w:rFonts w:hint="eastAsia" w:ascii="宋体" w:hAnsi="宋体" w:cs="宋体"/>
          <w:sz w:val="24"/>
        </w:rPr>
        <w:t>：</w:t>
      </w:r>
      <w:r>
        <w:rPr>
          <w:rFonts w:hint="eastAsia" w:ascii="宋体" w:hAnsi="宋体" w:cs="宋体"/>
          <w:sz w:val="24"/>
          <w:u w:val="single"/>
        </w:rPr>
        <w:t xml:space="preserve">                </w:t>
      </w:r>
    </w:p>
    <w:p>
      <w:pPr>
        <w:spacing w:line="400" w:lineRule="exact"/>
        <w:ind w:hanging="2"/>
        <w:rPr>
          <w:rFonts w:hint="eastAsia" w:ascii="宋体" w:hAnsi="宋体" w:cs="宋体"/>
          <w:sz w:val="24"/>
        </w:rPr>
      </w:pPr>
      <w:r>
        <w:rPr>
          <w:rFonts w:hint="eastAsia" w:ascii="宋体" w:hAnsi="宋体" w:cs="宋体"/>
          <w:sz w:val="24"/>
        </w:rPr>
        <w:t>投标单位盖章：</w:t>
      </w:r>
      <w:r>
        <w:rPr>
          <w:rFonts w:hint="eastAsia" w:ascii="宋体" w:hAnsi="宋体" w:cs="宋体"/>
          <w:sz w:val="24"/>
          <w:u w:val="single"/>
        </w:rPr>
        <w:t xml:space="preserve">                   </w:t>
      </w:r>
    </w:p>
    <w:p>
      <w:pPr>
        <w:spacing w:line="400" w:lineRule="exact"/>
        <w:ind w:hanging="2"/>
        <w:rPr>
          <w:rFonts w:hint="eastAsia" w:ascii="宋体" w:hAnsi="宋体" w:cs="宋体"/>
          <w:sz w:val="24"/>
        </w:rPr>
      </w:pP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 xml:space="preserve"> 联 系 电 话： </w:t>
      </w:r>
      <w:r>
        <w:rPr>
          <w:rFonts w:hint="eastAsia" w:ascii="宋体" w:hAnsi="宋体" w:cs="宋体"/>
          <w:sz w:val="24"/>
          <w:u w:val="single"/>
        </w:rPr>
        <w:t xml:space="preserve">                    </w:t>
      </w:r>
      <w:r>
        <w:rPr>
          <w:rFonts w:hint="eastAsia" w:ascii="宋体" w:hAnsi="宋体" w:cs="宋体"/>
          <w:sz w:val="24"/>
        </w:rPr>
        <w:t xml:space="preserve">                  </w:t>
      </w:r>
    </w:p>
    <w:p>
      <w:pPr>
        <w:spacing w:line="400" w:lineRule="exact"/>
        <w:ind w:hanging="2"/>
        <w:rPr>
          <w:rFonts w:hint="eastAsia" w:ascii="宋体" w:hAnsi="宋体" w:cs="宋体"/>
          <w:sz w:val="24"/>
        </w:rPr>
      </w:pPr>
      <w:r>
        <w:rPr>
          <w:rFonts w:hint="eastAsia" w:ascii="宋体" w:hAnsi="宋体" w:cs="宋体"/>
          <w:sz w:val="24"/>
        </w:rPr>
        <w:t xml:space="preserve">联系地址： </w:t>
      </w:r>
      <w:r>
        <w:rPr>
          <w:rFonts w:hint="eastAsia" w:ascii="宋体" w:hAnsi="宋体" w:cs="宋体"/>
          <w:sz w:val="24"/>
          <w:u w:val="single"/>
        </w:rPr>
        <w:t xml:space="preserve">                                </w:t>
      </w:r>
      <w:r>
        <w:rPr>
          <w:rFonts w:hint="eastAsia" w:ascii="宋体" w:hAnsi="宋体" w:cs="宋体"/>
          <w:sz w:val="24"/>
        </w:rPr>
        <w:t xml:space="preserve">                          </w:t>
      </w:r>
    </w:p>
    <w:p>
      <w:pPr>
        <w:spacing w:line="400" w:lineRule="exact"/>
        <w:ind w:hanging="2"/>
        <w:rPr>
          <w:rFonts w:hint="eastAsia" w:ascii="宋体" w:hAnsi="宋体" w:cs="宋体"/>
          <w:sz w:val="24"/>
        </w:rPr>
      </w:pP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 xml:space="preserve"> 传真号码：</w:t>
      </w:r>
      <w:r>
        <w:rPr>
          <w:rFonts w:hint="eastAsia" w:ascii="宋体" w:hAnsi="宋体" w:cs="宋体"/>
          <w:sz w:val="24"/>
          <w:u w:val="single"/>
        </w:rPr>
        <w:t xml:space="preserve">          </w:t>
      </w:r>
    </w:p>
    <w:p>
      <w:pPr>
        <w:spacing w:line="400" w:lineRule="exact"/>
        <w:ind w:hanging="2"/>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00" w:lineRule="exact"/>
        <w:ind w:hanging="2"/>
        <w:rPr>
          <w:rFonts w:hint="eastAsia" w:ascii="宋体" w:hAnsi="宋体" w:cs="宋体"/>
          <w:b/>
          <w:sz w:val="24"/>
        </w:rPr>
      </w:pPr>
      <w:r>
        <w:rPr>
          <w:rFonts w:hint="eastAsia" w:ascii="宋体" w:hAnsi="宋体" w:cs="宋体"/>
          <w:b/>
          <w:sz w:val="24"/>
        </w:rPr>
        <w:t>注：未按照本投标响应函要求填报的将被视为非实质性响应投标，从而可能导致该投标被拒绝</w:t>
      </w:r>
    </w:p>
    <w:p>
      <w:pPr>
        <w:snapToGrid w:val="0"/>
        <w:spacing w:line="360" w:lineRule="auto"/>
        <w:ind w:firstLine="480"/>
        <w:rPr>
          <w:rFonts w:hint="eastAsia" w:ascii="宋体" w:hAnsi="宋体" w:cs="宋体"/>
          <w:color w:val="000000"/>
          <w:sz w:val="24"/>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240" w:lineRule="auto"/>
        <w:rPr>
          <w:rFonts w:hAnsi="宋体"/>
          <w:sz w:val="30"/>
          <w:szCs w:val="30"/>
        </w:rPr>
      </w:pPr>
    </w:p>
    <w:p>
      <w:pPr>
        <w:pStyle w:val="26"/>
        <w:snapToGrid w:val="0"/>
        <w:spacing w:before="0" w:beforeLines="0" w:after="120" w:line="440" w:lineRule="exact"/>
        <w:rPr>
          <w:rFonts w:hint="eastAsia" w:hAnsi="宋体"/>
          <w:b/>
          <w:sz w:val="32"/>
          <w:szCs w:val="32"/>
        </w:rPr>
      </w:pPr>
    </w:p>
    <w:p>
      <w:pPr>
        <w:pStyle w:val="26"/>
        <w:snapToGrid w:val="0"/>
        <w:spacing w:before="0" w:beforeLines="0" w:after="120" w:line="440" w:lineRule="exact"/>
        <w:rPr>
          <w:rFonts w:hint="eastAsia" w:hAnsi="宋体"/>
          <w:b/>
          <w:sz w:val="32"/>
          <w:szCs w:val="32"/>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r>
        <w:rPr>
          <w:rFonts w:hint="eastAsia" w:ascii="宋体" w:hAnsi="宋体"/>
          <w:b/>
          <w:sz w:val="24"/>
        </w:rPr>
        <w:t>12.开标一览表格式</w:t>
      </w:r>
    </w:p>
    <w:p>
      <w:pPr>
        <w:spacing w:line="440" w:lineRule="exact"/>
        <w:rPr>
          <w:rFonts w:hint="eastAsia" w:ascii="宋体" w:hAnsi="宋体"/>
          <w:b/>
          <w:sz w:val="32"/>
          <w:szCs w:val="32"/>
        </w:rPr>
      </w:pPr>
    </w:p>
    <w:p>
      <w:pPr>
        <w:spacing w:line="440" w:lineRule="exact"/>
        <w:jc w:val="center"/>
        <w:rPr>
          <w:rFonts w:ascii="宋体" w:hAnsi="宋体"/>
          <w:b/>
          <w:sz w:val="24"/>
        </w:rPr>
      </w:pPr>
      <w:r>
        <w:rPr>
          <w:rFonts w:hint="eastAsia" w:ascii="宋体" w:hAnsi="宋体"/>
          <w:b/>
          <w:sz w:val="24"/>
        </w:rPr>
        <w:t>开标一览表</w:t>
      </w:r>
    </w:p>
    <w:p>
      <w:pPr>
        <w:spacing w:line="360" w:lineRule="exact"/>
        <w:rPr>
          <w:rFonts w:ascii="宋体" w:hAnsi="宋体"/>
          <w:sz w:val="24"/>
        </w:rPr>
      </w:pPr>
      <w:r>
        <w:rPr>
          <w:rFonts w:hint="eastAsia" w:ascii="宋体" w:hAnsi="宋体"/>
          <w:sz w:val="24"/>
        </w:rPr>
        <w:t xml:space="preserve"> </w:t>
      </w:r>
    </w:p>
    <w:p>
      <w:pPr>
        <w:spacing w:line="360" w:lineRule="exact"/>
        <w:rPr>
          <w:rFonts w:ascii="宋体" w:hAnsi="宋体"/>
          <w:sz w:val="24"/>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项目编号：</w:t>
      </w:r>
      <w:r>
        <w:rPr>
          <w:rFonts w:hint="eastAsia" w:ascii="宋体" w:hAnsi="宋体"/>
          <w:sz w:val="24"/>
          <w:u w:val="single"/>
          <w:lang w:eastAsia="zh-CN"/>
        </w:rPr>
        <w:t>SZLB-202112WLM</w:t>
      </w:r>
      <w:r>
        <w:rPr>
          <w:rFonts w:hint="eastAsia" w:ascii="宋体" w:hAnsi="宋体"/>
          <w:sz w:val="24"/>
          <w:u w:val="single"/>
        </w:rPr>
        <w:t xml:space="preserve">  </w:t>
      </w:r>
      <w:r>
        <w:rPr>
          <w:rFonts w:hint="eastAsia" w:ascii="宋体" w:hAnsi="宋体"/>
          <w:sz w:val="24"/>
        </w:rPr>
        <w:t xml:space="preserve">      </w:t>
      </w:r>
    </w:p>
    <w:p>
      <w:pPr>
        <w:spacing w:line="360" w:lineRule="exact"/>
        <w:rPr>
          <w:rFonts w:hint="eastAsia" w:ascii="宋体" w:hAnsi="宋体"/>
          <w:sz w:val="24"/>
        </w:rPr>
      </w:pPr>
      <w:r>
        <w:rPr>
          <w:rFonts w:ascii="宋体" w:hAnsi="宋体"/>
          <w:sz w:val="24"/>
        </w:rPr>
        <w:t xml:space="preserve">     </w:t>
      </w:r>
      <w:r>
        <w:rPr>
          <w:rFonts w:hint="eastAsia" w:ascii="宋体" w:hAnsi="宋体"/>
          <w:sz w:val="24"/>
        </w:rPr>
        <w:t xml:space="preserve">                                                         单位：元</w:t>
      </w: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910"/>
        <w:gridCol w:w="3019"/>
        <w:gridCol w:w="1509"/>
        <w:gridCol w:w="2008"/>
        <w:gridCol w:w="14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702" w:hRule="atLeast"/>
          <w:jc w:val="center"/>
        </w:trPr>
        <w:tc>
          <w:tcPr>
            <w:tcW w:w="910" w:type="dxa"/>
            <w:noWrap w:val="0"/>
            <w:vAlign w:val="center"/>
          </w:tcPr>
          <w:p>
            <w:pPr>
              <w:widowControl/>
              <w:snapToGrid w:val="0"/>
              <w:spacing w:line="360" w:lineRule="auto"/>
              <w:jc w:val="center"/>
              <w:rPr>
                <w:rFonts w:hint="eastAsia" w:ascii="宋体" w:hAnsi="宋体" w:cs="宋体"/>
                <w:kern w:val="0"/>
                <w:sz w:val="24"/>
              </w:rPr>
            </w:pPr>
            <w:r>
              <w:rPr>
                <w:rFonts w:hint="eastAsia" w:ascii="宋体" w:hAnsi="宋体" w:cs="宋体"/>
                <w:kern w:val="0"/>
                <w:sz w:val="24"/>
              </w:rPr>
              <w:t>序号</w:t>
            </w:r>
          </w:p>
        </w:tc>
        <w:tc>
          <w:tcPr>
            <w:tcW w:w="3019" w:type="dxa"/>
            <w:tcBorders>
              <w:right w:val="single" w:color="auto" w:sz="4" w:space="0"/>
            </w:tcBorders>
            <w:noWrap w:val="0"/>
            <w:vAlign w:val="center"/>
          </w:tcPr>
          <w:p>
            <w:pPr>
              <w:widowControl/>
              <w:snapToGrid w:val="0"/>
              <w:spacing w:line="360" w:lineRule="auto"/>
              <w:jc w:val="center"/>
              <w:rPr>
                <w:rFonts w:hint="eastAsia" w:ascii="宋体" w:hAnsi="宋体" w:cs="宋体"/>
                <w:kern w:val="0"/>
                <w:sz w:val="24"/>
              </w:rPr>
            </w:pPr>
            <w:r>
              <w:rPr>
                <w:rFonts w:hint="eastAsia" w:ascii="宋体" w:hAnsi="宋体" w:cs="宋体"/>
                <w:kern w:val="0"/>
                <w:sz w:val="24"/>
              </w:rPr>
              <w:t>项目名称</w:t>
            </w:r>
          </w:p>
        </w:tc>
        <w:tc>
          <w:tcPr>
            <w:tcW w:w="1509" w:type="dxa"/>
            <w:tcBorders>
              <w:left w:val="single" w:color="auto" w:sz="4" w:space="0"/>
              <w:right w:val="single" w:color="auto" w:sz="4" w:space="0"/>
            </w:tcBorders>
            <w:noWrap w:val="0"/>
            <w:vAlign w:val="center"/>
          </w:tcPr>
          <w:p>
            <w:pPr>
              <w:widowControl/>
              <w:snapToGrid w:val="0"/>
              <w:spacing w:line="360" w:lineRule="auto"/>
              <w:jc w:val="center"/>
              <w:rPr>
                <w:rFonts w:hint="eastAsia" w:ascii="宋体" w:hAnsi="宋体" w:cs="宋体"/>
                <w:kern w:val="0"/>
                <w:sz w:val="24"/>
              </w:rPr>
            </w:pPr>
            <w:r>
              <w:rPr>
                <w:rFonts w:hint="eastAsia" w:ascii="宋体" w:hAnsi="宋体" w:cs="宋体"/>
                <w:kern w:val="0"/>
                <w:sz w:val="24"/>
              </w:rPr>
              <w:t>数量</w:t>
            </w:r>
          </w:p>
        </w:tc>
        <w:tc>
          <w:tcPr>
            <w:tcW w:w="2008" w:type="dxa"/>
            <w:tcBorders>
              <w:left w:val="single" w:color="auto" w:sz="4" w:space="0"/>
              <w:right w:val="single" w:color="auto" w:sz="4" w:space="0"/>
            </w:tcBorders>
            <w:noWrap w:val="0"/>
            <w:vAlign w:val="center"/>
          </w:tcPr>
          <w:p>
            <w:pPr>
              <w:widowControl/>
              <w:snapToGrid w:val="0"/>
              <w:spacing w:line="360" w:lineRule="auto"/>
              <w:jc w:val="center"/>
              <w:rPr>
                <w:rFonts w:hint="eastAsia" w:ascii="宋体" w:hAnsi="宋体" w:cs="宋体"/>
                <w:kern w:val="0"/>
                <w:sz w:val="24"/>
              </w:rPr>
            </w:pPr>
            <w:r>
              <w:rPr>
                <w:rFonts w:hint="eastAsia" w:ascii="宋体" w:hAnsi="宋体" w:cs="宋体"/>
                <w:kern w:val="0"/>
                <w:sz w:val="24"/>
              </w:rPr>
              <w:t>单位</w:t>
            </w:r>
          </w:p>
        </w:tc>
        <w:tc>
          <w:tcPr>
            <w:tcW w:w="1475" w:type="dxa"/>
            <w:tcBorders>
              <w:left w:val="single" w:color="auto" w:sz="4" w:space="0"/>
            </w:tcBorders>
            <w:noWrap w:val="0"/>
            <w:vAlign w:val="center"/>
          </w:tcPr>
          <w:p>
            <w:pPr>
              <w:widowControl/>
              <w:snapToGrid w:val="0"/>
              <w:spacing w:line="360" w:lineRule="auto"/>
              <w:jc w:val="center"/>
              <w:rPr>
                <w:rFonts w:hint="eastAsia"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701" w:hRule="atLeast"/>
          <w:jc w:val="center"/>
        </w:trPr>
        <w:tc>
          <w:tcPr>
            <w:tcW w:w="910" w:type="dxa"/>
            <w:noWrap w:val="0"/>
            <w:vAlign w:val="center"/>
          </w:tcPr>
          <w:p>
            <w:pPr>
              <w:snapToGrid w:val="0"/>
              <w:spacing w:line="360" w:lineRule="auto"/>
              <w:jc w:val="center"/>
              <w:rPr>
                <w:rFonts w:hint="eastAsia" w:ascii="宋体" w:hAnsi="宋体" w:cs="宋体"/>
                <w:sz w:val="24"/>
              </w:rPr>
            </w:pPr>
            <w:r>
              <w:rPr>
                <w:rFonts w:hint="eastAsia" w:ascii="宋体" w:hAnsi="宋体" w:cs="宋体"/>
                <w:sz w:val="24"/>
              </w:rPr>
              <w:t>1</w:t>
            </w:r>
          </w:p>
          <w:p>
            <w:pPr>
              <w:snapToGrid w:val="0"/>
              <w:spacing w:line="360" w:lineRule="auto"/>
              <w:jc w:val="center"/>
              <w:rPr>
                <w:rFonts w:hint="eastAsia" w:ascii="宋体" w:hAnsi="宋体" w:cs="宋体"/>
                <w:sz w:val="24"/>
              </w:rPr>
            </w:pPr>
          </w:p>
        </w:tc>
        <w:tc>
          <w:tcPr>
            <w:tcW w:w="3019" w:type="dxa"/>
            <w:tcBorders>
              <w:right w:val="single" w:color="auto" w:sz="4" w:space="0"/>
            </w:tcBorders>
            <w:noWrap w:val="0"/>
            <w:vAlign w:val="center"/>
          </w:tcPr>
          <w:p>
            <w:pPr>
              <w:snapToGrid w:val="0"/>
              <w:spacing w:line="360" w:lineRule="auto"/>
              <w:rPr>
                <w:rFonts w:hint="eastAsia" w:ascii="宋体" w:hAnsi="宋体" w:cs="宋体"/>
                <w:sz w:val="24"/>
              </w:rPr>
            </w:pPr>
          </w:p>
        </w:tc>
        <w:tc>
          <w:tcPr>
            <w:tcW w:w="1509" w:type="dxa"/>
            <w:tcBorders>
              <w:left w:val="single" w:color="auto" w:sz="4" w:space="0"/>
              <w:right w:val="single" w:color="auto" w:sz="4" w:space="0"/>
            </w:tcBorders>
            <w:noWrap w:val="0"/>
            <w:vAlign w:val="center"/>
          </w:tcPr>
          <w:p>
            <w:pPr>
              <w:snapToGrid w:val="0"/>
              <w:spacing w:line="360" w:lineRule="auto"/>
              <w:jc w:val="center"/>
              <w:rPr>
                <w:rFonts w:hint="eastAsia" w:ascii="宋体" w:hAnsi="宋体" w:cs="宋体"/>
                <w:sz w:val="24"/>
              </w:rPr>
            </w:pPr>
            <w:r>
              <w:rPr>
                <w:rFonts w:hint="eastAsia" w:ascii="宋体" w:hAnsi="宋体" w:cs="宋体"/>
                <w:sz w:val="24"/>
              </w:rPr>
              <w:t>1</w:t>
            </w:r>
          </w:p>
        </w:tc>
        <w:tc>
          <w:tcPr>
            <w:tcW w:w="2008" w:type="dxa"/>
            <w:tcBorders>
              <w:left w:val="single" w:color="auto" w:sz="4" w:space="0"/>
              <w:right w:val="single" w:color="auto" w:sz="4" w:space="0"/>
            </w:tcBorders>
            <w:noWrap w:val="0"/>
            <w:vAlign w:val="center"/>
          </w:tcPr>
          <w:p>
            <w:pPr>
              <w:snapToGrid w:val="0"/>
              <w:spacing w:line="360" w:lineRule="auto"/>
              <w:jc w:val="center"/>
              <w:rPr>
                <w:rFonts w:hint="eastAsia" w:ascii="宋体" w:hAnsi="宋体" w:cs="宋体"/>
                <w:sz w:val="24"/>
              </w:rPr>
            </w:pPr>
            <w:r>
              <w:rPr>
                <w:rFonts w:hint="eastAsia" w:ascii="宋体" w:hAnsi="宋体" w:cs="宋体"/>
                <w:sz w:val="24"/>
              </w:rPr>
              <w:t>项</w:t>
            </w:r>
          </w:p>
        </w:tc>
        <w:tc>
          <w:tcPr>
            <w:tcW w:w="1475" w:type="dxa"/>
            <w:tcBorders>
              <w:left w:val="single" w:color="auto" w:sz="4" w:space="0"/>
            </w:tcBorders>
            <w:noWrap w:val="0"/>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eastAsia="zh-CN"/>
              </w:rPr>
              <w:t>服务期</w:t>
            </w:r>
            <w:r>
              <w:rPr>
                <w:rFonts w:hint="eastAsia" w:ascii="宋体" w:hAnsi="宋体" w:cs="宋体"/>
                <w:sz w:val="24"/>
                <w:lang w:val="en-US" w:eastAsia="zh-CN"/>
              </w:rPr>
              <w:t>2年，合同一年一签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8921" w:type="dxa"/>
            <w:gridSpan w:val="5"/>
            <w:noWrap w:val="0"/>
            <w:vAlign w:val="center"/>
          </w:tcPr>
          <w:p>
            <w:pPr>
              <w:widowControl/>
              <w:snapToGrid w:val="0"/>
              <w:spacing w:line="360" w:lineRule="auto"/>
              <w:rPr>
                <w:rFonts w:hint="eastAsia" w:ascii="宋体" w:hAnsi="宋体" w:cs="宋体"/>
                <w:kern w:val="0"/>
                <w:sz w:val="24"/>
              </w:rPr>
            </w:pPr>
            <w:r>
              <w:rPr>
                <w:rFonts w:hint="eastAsia" w:ascii="宋体" w:hAnsi="宋体" w:cs="宋体"/>
                <w:b/>
                <w:sz w:val="24"/>
                <w:lang w:eastAsia="zh-CN"/>
              </w:rPr>
              <w:t>管理费费率（含利润、税金）</w:t>
            </w:r>
            <w:r>
              <w:rPr>
                <w:rFonts w:hint="eastAsia" w:ascii="宋体" w:hAnsi="宋体" w:cs="宋体"/>
                <w:b/>
                <w:sz w:val="24"/>
              </w:rPr>
              <w:t>（</w:t>
            </w:r>
            <w:r>
              <w:rPr>
                <w:rFonts w:hint="eastAsia" w:ascii="宋体" w:hAnsi="宋体" w:cs="宋体"/>
                <w:b/>
                <w:sz w:val="24"/>
                <w:lang w:val="en-US" w:eastAsia="zh-CN"/>
              </w:rPr>
              <w:t>%</w:t>
            </w:r>
            <w:r>
              <w:rPr>
                <w:rFonts w:hint="eastAsia" w:ascii="宋体" w:hAnsi="宋体" w:cs="宋体"/>
                <w:b/>
                <w:sz w:val="24"/>
              </w:rPr>
              <w:t xml:space="preserve">）：                             </w:t>
            </w:r>
          </w:p>
        </w:tc>
      </w:tr>
    </w:tbl>
    <w:p>
      <w:pPr>
        <w:snapToGrid w:val="0"/>
        <w:spacing w:line="400" w:lineRule="exact"/>
        <w:jc w:val="left"/>
        <w:rPr>
          <w:rFonts w:hint="eastAsia" w:ascii="宋体" w:hAnsi="宋体"/>
          <w:sz w:val="24"/>
        </w:rPr>
      </w:pPr>
    </w:p>
    <w:p>
      <w:pPr>
        <w:snapToGrid w:val="0"/>
        <w:spacing w:line="400" w:lineRule="exact"/>
        <w:ind w:firstLine="480" w:firstLineChars="200"/>
        <w:jc w:val="left"/>
        <w:rPr>
          <w:rFonts w:ascii="宋体" w:hAnsi="宋体"/>
          <w:sz w:val="24"/>
        </w:rPr>
      </w:pPr>
      <w:r>
        <w:rPr>
          <w:rFonts w:hint="eastAsia" w:ascii="宋体" w:hAnsi="宋体"/>
          <w:sz w:val="24"/>
        </w:rPr>
        <w:t>注</w:t>
      </w:r>
      <w:r>
        <w:rPr>
          <w:rFonts w:ascii="宋体" w:hAnsi="宋体"/>
          <w:sz w:val="24"/>
        </w:rPr>
        <w:t xml:space="preserve">: </w:t>
      </w:r>
    </w:p>
    <w:p>
      <w:pPr>
        <w:snapToGrid w:val="0"/>
        <w:spacing w:line="400" w:lineRule="exact"/>
        <w:ind w:firstLine="480" w:firstLineChars="200"/>
        <w:jc w:val="left"/>
        <w:rPr>
          <w:rFonts w:hint="eastAsia" w:ascii="宋体" w:hAnsi="宋体"/>
          <w:sz w:val="24"/>
        </w:rPr>
      </w:pPr>
      <w:r>
        <w:rPr>
          <w:rFonts w:hint="eastAsia" w:ascii="宋体" w:hAnsi="宋体"/>
          <w:sz w:val="24"/>
        </w:rPr>
        <w:t>1.报价一经涂改，应在涂改处加盖单位公章或者由法定代表人(或负责人)或授权委托人签字或盖章，否则其投标作无效标处理。</w:t>
      </w:r>
    </w:p>
    <w:p>
      <w:pPr>
        <w:snapToGrid w:val="0"/>
        <w:spacing w:line="400" w:lineRule="exact"/>
        <w:ind w:firstLine="480" w:firstLineChars="200"/>
        <w:jc w:val="left"/>
        <w:rPr>
          <w:rFonts w:hint="eastAsia" w:ascii="宋体" w:hAnsi="宋体"/>
          <w:sz w:val="24"/>
        </w:rPr>
      </w:pPr>
      <w:r>
        <w:rPr>
          <w:rFonts w:hint="eastAsia" w:ascii="宋体" w:hAnsi="宋体"/>
          <w:sz w:val="24"/>
        </w:rPr>
        <w:t>2.本表的商务报价内容不能出现在商务技术文件中。</w:t>
      </w:r>
    </w:p>
    <w:p>
      <w:pPr>
        <w:snapToGrid w:val="0"/>
        <w:spacing w:line="400" w:lineRule="exact"/>
        <w:rPr>
          <w:rFonts w:hint="eastAsia" w:ascii="宋体" w:hAnsi="宋体"/>
          <w:sz w:val="24"/>
        </w:rPr>
      </w:pPr>
    </w:p>
    <w:p>
      <w:pPr>
        <w:tabs>
          <w:tab w:val="left" w:pos="2310"/>
        </w:tabs>
        <w:spacing w:line="400" w:lineRule="exact"/>
        <w:ind w:firstLine="700" w:firstLineChars="250"/>
        <w:rPr>
          <w:rFonts w:hint="eastAsia" w:ascii="宋体" w:hAnsi="宋体" w:cs="宋体"/>
          <w:sz w:val="24"/>
        </w:rPr>
      </w:pPr>
      <w:r>
        <w:rPr>
          <w:rFonts w:hint="eastAsia" w:ascii="宋体" w:hAnsi="宋体"/>
          <w:spacing w:val="20"/>
          <w:sz w:val="24"/>
          <w:lang w:eastAsia="zh-CN"/>
        </w:rPr>
        <w:t>投标单位名称</w:t>
      </w:r>
      <w:r>
        <w:rPr>
          <w:rFonts w:hint="eastAsia" w:ascii="宋体" w:hAnsi="宋体" w:cs="宋体"/>
          <w:sz w:val="24"/>
        </w:rPr>
        <w:t>:（公章）</w:t>
      </w:r>
    </w:p>
    <w:p>
      <w:pPr>
        <w:tabs>
          <w:tab w:val="left" w:pos="2310"/>
        </w:tabs>
        <w:spacing w:line="400" w:lineRule="exact"/>
        <w:ind w:firstLine="600" w:firstLineChars="250"/>
        <w:rPr>
          <w:rFonts w:ascii="宋体" w:hAnsi="宋体"/>
          <w:sz w:val="24"/>
        </w:rPr>
      </w:pPr>
      <w:r>
        <w:rPr>
          <w:rFonts w:hint="eastAsia" w:ascii="宋体" w:hAnsi="宋体" w:cs="宋体"/>
          <w:sz w:val="24"/>
        </w:rPr>
        <w:t>法定代表人或授权委托人：（签字或盖章）</w:t>
      </w:r>
      <w:r>
        <w:rPr>
          <w:rFonts w:ascii="宋体" w:hAnsi="宋体"/>
          <w:sz w:val="24"/>
        </w:rPr>
        <w:t xml:space="preserve">            </w:t>
      </w:r>
    </w:p>
    <w:p>
      <w:pPr>
        <w:spacing w:line="400" w:lineRule="exact"/>
        <w:ind w:firstLine="720" w:firstLineChars="300"/>
        <w:rPr>
          <w:rFonts w:hint="eastAsia" w:ascii="宋体" w:hAnsi="宋体"/>
          <w:b/>
          <w:sz w:val="24"/>
        </w:rPr>
      </w:pPr>
      <w:r>
        <w:rPr>
          <w:rFonts w:hint="eastAsia" w:ascii="宋体" w:hAnsi="宋体" w:cs="宋体"/>
          <w:sz w:val="24"/>
        </w:rPr>
        <w:t>日期：    年</w:t>
      </w:r>
      <w:r>
        <w:rPr>
          <w:rFonts w:hint="eastAsia" w:ascii="宋体" w:hAnsi="宋体" w:cs="宋体"/>
          <w:sz w:val="24"/>
          <w:lang w:val="en-US" w:eastAsia="zh-CN"/>
        </w:rPr>
        <w:t xml:space="preserve">  </w:t>
      </w:r>
      <w:r>
        <w:rPr>
          <w:rFonts w:hint="eastAsia" w:ascii="宋体" w:hAnsi="宋体" w:cs="宋体"/>
          <w:sz w:val="24"/>
        </w:rPr>
        <w:t xml:space="preserve"> 月   日</w:t>
      </w: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autoSpaceDE w:val="0"/>
        <w:autoSpaceDN w:val="0"/>
        <w:jc w:val="left"/>
        <w:textAlignment w:val="bottom"/>
        <w:rPr>
          <w:rFonts w:hint="eastAsia" w:ascii="宋体" w:hAnsi="宋体" w:cs="宋体"/>
          <w:b/>
          <w:bCs/>
          <w:sz w:val="24"/>
        </w:rPr>
      </w:pPr>
    </w:p>
    <w:p>
      <w:pPr>
        <w:autoSpaceDE w:val="0"/>
        <w:autoSpaceDN w:val="0"/>
        <w:jc w:val="left"/>
        <w:textAlignment w:val="bottom"/>
        <w:rPr>
          <w:rFonts w:hint="eastAsia" w:ascii="宋体" w:hAnsi="宋体" w:cs="宋体"/>
          <w:b/>
          <w:bCs/>
          <w:sz w:val="24"/>
        </w:rPr>
      </w:pPr>
    </w:p>
    <w:p>
      <w:pPr>
        <w:autoSpaceDE w:val="0"/>
        <w:autoSpaceDN w:val="0"/>
        <w:jc w:val="left"/>
        <w:textAlignment w:val="bottom"/>
        <w:rPr>
          <w:rFonts w:hint="eastAsia" w:eastAsia="宋体"/>
          <w:lang w:eastAsia="zh-CN"/>
        </w:rPr>
      </w:pPr>
      <w:r>
        <w:rPr>
          <w:rFonts w:hint="eastAsia" w:ascii="宋体" w:hAnsi="宋体" w:cs="宋体"/>
          <w:b/>
          <w:bCs/>
          <w:sz w:val="24"/>
        </w:rPr>
        <w:t>1</w:t>
      </w:r>
      <w:r>
        <w:rPr>
          <w:rFonts w:hint="eastAsia" w:ascii="宋体" w:hAnsi="宋体" w:cs="宋体"/>
          <w:b/>
          <w:bCs/>
          <w:sz w:val="24"/>
          <w:lang w:val="en-US" w:eastAsia="zh-CN"/>
        </w:rPr>
        <w:t>3</w:t>
      </w:r>
      <w:r>
        <w:rPr>
          <w:rFonts w:hint="eastAsia" w:ascii="宋体" w:hAnsi="宋体" w:cs="宋体"/>
          <w:b/>
          <w:bCs/>
          <w:sz w:val="24"/>
        </w:rPr>
        <w:t>.</w:t>
      </w:r>
      <w:r>
        <w:rPr>
          <w:rFonts w:hint="eastAsia" w:ascii="宋体" w:hAnsi="宋体" w:cs="宋体"/>
          <w:b/>
          <w:sz w:val="24"/>
        </w:rPr>
        <w:t>中小企业</w:t>
      </w:r>
      <w:r>
        <w:rPr>
          <w:rFonts w:hint="eastAsia"/>
          <w:b/>
          <w:sz w:val="24"/>
        </w:rPr>
        <w:t>的相关证明材料格式</w:t>
      </w:r>
    </w:p>
    <w:p>
      <w:pPr>
        <w:pStyle w:val="20"/>
        <w:ind w:firstLine="210"/>
        <w:rPr>
          <w:rFonts w:hint="eastAsia"/>
        </w:rPr>
      </w:pPr>
    </w:p>
    <w:p>
      <w:pPr>
        <w:autoSpaceDE w:val="0"/>
        <w:autoSpaceDN w:val="0"/>
        <w:jc w:val="center"/>
        <w:textAlignment w:val="bottom"/>
        <w:rPr>
          <w:rFonts w:hint="eastAsia"/>
          <w:b/>
          <w:sz w:val="24"/>
        </w:rPr>
      </w:pPr>
      <w:r>
        <w:rPr>
          <w:rFonts w:hint="eastAsia"/>
          <w:b/>
          <w:sz w:val="24"/>
        </w:rPr>
        <w:t>中小企业的相关证明材料</w:t>
      </w:r>
    </w:p>
    <w:p>
      <w:pPr>
        <w:widowControl/>
        <w:spacing w:line="520" w:lineRule="exact"/>
        <w:jc w:val="left"/>
        <w:rPr>
          <w:rFonts w:hint="eastAsia" w:ascii="宋体" w:hAnsi="宋体" w:cs="宋体"/>
          <w:color w:val="000000"/>
          <w:kern w:val="0"/>
          <w:sz w:val="24"/>
        </w:rPr>
      </w:pPr>
      <w:r>
        <w:rPr>
          <w:rFonts w:hint="eastAsia" w:ascii="宋体" w:hAnsi="宋体" w:cs="宋体"/>
          <w:color w:val="000000"/>
          <w:kern w:val="0"/>
          <w:sz w:val="24"/>
        </w:rPr>
        <w:t>（注：如投标人不是中小企业，无需提供以下材料。）</w:t>
      </w:r>
    </w:p>
    <w:p>
      <w:pPr>
        <w:widowControl/>
        <w:spacing w:line="520" w:lineRule="exact"/>
        <w:jc w:val="left"/>
        <w:rPr>
          <w:rFonts w:hint="eastAsia" w:ascii="宋体" w:hAnsi="宋体" w:cs="宋体"/>
          <w:color w:val="000000"/>
          <w:kern w:val="0"/>
          <w:sz w:val="24"/>
        </w:rPr>
      </w:pPr>
      <w:r>
        <w:rPr>
          <w:rFonts w:hint="eastAsia" w:ascii="宋体" w:hAnsi="宋体" w:cs="宋体"/>
          <w:color w:val="000000"/>
          <w:kern w:val="0"/>
          <w:sz w:val="24"/>
        </w:rPr>
        <w:t>附：</w:t>
      </w:r>
    </w:p>
    <w:p>
      <w:pPr>
        <w:widowControl/>
        <w:spacing w:line="520" w:lineRule="exact"/>
        <w:jc w:val="center"/>
        <w:rPr>
          <w:rFonts w:hint="eastAsia" w:ascii="宋体" w:hAnsi="宋体" w:cs="宋体"/>
          <w:color w:val="000000"/>
          <w:kern w:val="0"/>
          <w:sz w:val="24"/>
        </w:rPr>
      </w:pPr>
      <w:r>
        <w:rPr>
          <w:rFonts w:hint="eastAsia" w:ascii="宋体" w:hAnsi="宋体" w:cs="宋体"/>
          <w:color w:val="000000"/>
          <w:kern w:val="0"/>
          <w:sz w:val="24"/>
        </w:rPr>
        <w:t>中小企业声明函（工程、服务）</w:t>
      </w:r>
    </w:p>
    <w:p>
      <w:pPr>
        <w:pStyle w:val="19"/>
        <w:spacing w:line="302" w:lineRule="auto"/>
        <w:ind w:right="415"/>
        <w:rPr>
          <w:rFonts w:hint="eastAsia" w:ascii="宋体" w:hAnsi="宋体" w:eastAsia="宋体" w:cs="宋体"/>
          <w:spacing w:val="-2"/>
          <w:sz w:val="24"/>
          <w:szCs w:val="24"/>
        </w:rPr>
      </w:pPr>
    </w:p>
    <w:p>
      <w:pPr>
        <w:pStyle w:val="19"/>
        <w:keepNext w:val="0"/>
        <w:keepLines w:val="0"/>
        <w:pageBreakBefore w:val="0"/>
        <w:widowControl w:val="0"/>
        <w:kinsoku/>
        <w:wordWrap/>
        <w:overflowPunct/>
        <w:topLinePunct w:val="0"/>
        <w:autoSpaceDE/>
        <w:autoSpaceDN/>
        <w:bidi w:val="0"/>
        <w:adjustRightInd/>
        <w:snapToGrid/>
        <w:spacing w:line="440" w:lineRule="exact"/>
        <w:ind w:right="415" w:firstLine="640"/>
        <w:textAlignment w:val="auto"/>
        <w:rPr>
          <w:rFonts w:hint="eastAsia" w:ascii="宋体" w:hAnsi="宋体" w:eastAsia="宋体" w:cs="宋体"/>
          <w:sz w:val="24"/>
          <w:szCs w:val="24"/>
        </w:rPr>
      </w:pPr>
      <w:r>
        <w:rPr>
          <w:rFonts w:hint="eastAsia" w:ascii="宋体" w:hAnsi="宋体" w:eastAsia="宋体" w:cs="宋体"/>
          <w:spacing w:val="-2"/>
          <w:sz w:val="24"/>
          <w:szCs w:val="24"/>
        </w:rPr>
        <w:t>本公司</w:t>
      </w:r>
      <w:r>
        <w:rPr>
          <w:rFonts w:hint="eastAsia" w:ascii="宋体" w:hAnsi="宋体" w:eastAsia="宋体" w:cs="宋体"/>
          <w:sz w:val="24"/>
          <w:szCs w:val="24"/>
        </w:rPr>
        <w:t>（联合体</w:t>
      </w:r>
      <w:r>
        <w:rPr>
          <w:rFonts w:hint="eastAsia" w:ascii="宋体" w:hAnsi="宋体" w:eastAsia="宋体" w:cs="宋体"/>
          <w:spacing w:val="-5"/>
          <w:sz w:val="24"/>
          <w:szCs w:val="24"/>
        </w:rPr>
        <w:t>）</w:t>
      </w:r>
      <w:r>
        <w:rPr>
          <w:rFonts w:hint="eastAsia" w:ascii="宋体" w:hAnsi="宋体" w:eastAsia="宋体" w:cs="宋体"/>
          <w:spacing w:val="-2"/>
          <w:sz w:val="24"/>
          <w:szCs w:val="24"/>
        </w:rPr>
        <w:t>郑重声明，根据《政府采购促进中小</w:t>
      </w:r>
      <w:r>
        <w:rPr>
          <w:rFonts w:hint="eastAsia" w:ascii="宋体" w:hAnsi="宋体" w:eastAsia="宋体" w:cs="宋体"/>
          <w:spacing w:val="-18"/>
          <w:sz w:val="24"/>
          <w:szCs w:val="24"/>
        </w:rPr>
        <w:t>企业发展管理办法》</w:t>
      </w:r>
      <w:r>
        <w:rPr>
          <w:rFonts w:hint="eastAsia" w:ascii="宋体" w:hAnsi="宋体" w:eastAsia="宋体" w:cs="宋体"/>
          <w:sz w:val="24"/>
          <w:szCs w:val="24"/>
        </w:rPr>
        <w:t>（</w:t>
      </w:r>
      <w:r>
        <w:rPr>
          <w:rFonts w:hint="eastAsia" w:ascii="宋体" w:hAnsi="宋体" w:eastAsia="宋体" w:cs="宋体"/>
          <w:spacing w:val="5"/>
          <w:sz w:val="24"/>
          <w:szCs w:val="24"/>
        </w:rPr>
        <w:t>财库</w:t>
      </w:r>
      <w:r>
        <w:rPr>
          <w:rFonts w:hint="eastAsia" w:ascii="宋体" w:hAnsi="宋体" w:eastAsia="宋体" w:cs="宋体"/>
          <w:sz w:val="24"/>
          <w:szCs w:val="24"/>
        </w:rPr>
        <w:t>﹝2020﹞46</w:t>
      </w:r>
      <w:r>
        <w:rPr>
          <w:rFonts w:hint="eastAsia" w:ascii="宋体" w:hAnsi="宋体" w:eastAsia="宋体" w:cs="宋体"/>
          <w:spacing w:val="-38"/>
          <w:sz w:val="24"/>
          <w:szCs w:val="24"/>
        </w:rPr>
        <w:t xml:space="preserve"> 号</w:t>
      </w:r>
      <w:r>
        <w:rPr>
          <w:rFonts w:hint="eastAsia" w:ascii="宋体" w:hAnsi="宋体" w:eastAsia="宋体" w:cs="宋体"/>
          <w:spacing w:val="5"/>
          <w:sz w:val="24"/>
          <w:szCs w:val="24"/>
        </w:rPr>
        <w:t>）</w:t>
      </w:r>
      <w:r>
        <w:rPr>
          <w:rFonts w:hint="eastAsia" w:ascii="宋体" w:hAnsi="宋体" w:eastAsia="宋体" w:cs="宋体"/>
          <w:sz w:val="24"/>
          <w:szCs w:val="24"/>
        </w:rPr>
        <w:t>的规定，本公司（联合体）</w:t>
      </w:r>
      <w:r>
        <w:rPr>
          <w:rFonts w:hint="eastAsia" w:ascii="宋体" w:hAnsi="宋体" w:eastAsia="宋体" w:cs="宋体"/>
          <w:spacing w:val="-8"/>
          <w:sz w:val="24"/>
          <w:szCs w:val="24"/>
        </w:rPr>
        <w:t>参加</w:t>
      </w:r>
      <w:r>
        <w:rPr>
          <w:rFonts w:hint="eastAsia" w:ascii="宋体" w:hAnsi="宋体" w:cs="宋体"/>
          <w:i/>
          <w:iCs/>
          <w:color w:val="000000"/>
          <w:kern w:val="0"/>
          <w:sz w:val="24"/>
          <w:u w:val="single"/>
        </w:rPr>
        <w:t>（单位名称）</w:t>
      </w:r>
      <w:r>
        <w:rPr>
          <w:rFonts w:hint="eastAsia" w:ascii="宋体" w:hAnsi="宋体" w:cs="宋体"/>
          <w:color w:val="000000"/>
          <w:kern w:val="0"/>
          <w:sz w:val="24"/>
        </w:rPr>
        <w:t>的</w:t>
      </w:r>
      <w:r>
        <w:rPr>
          <w:rFonts w:hint="eastAsia" w:ascii="宋体" w:hAnsi="宋体" w:eastAsia="宋体" w:cs="宋体"/>
          <w:i/>
          <w:iCs/>
          <w:color w:val="000000"/>
          <w:kern w:val="0"/>
          <w:sz w:val="24"/>
          <w:u w:val="single"/>
        </w:rPr>
        <w:t>（项目名称）</w:t>
      </w:r>
      <w:r>
        <w:rPr>
          <w:rFonts w:hint="eastAsia" w:ascii="宋体" w:hAnsi="宋体" w:eastAsia="宋体" w:cs="宋体"/>
          <w:i w:val="0"/>
          <w:iCs w:val="0"/>
          <w:color w:val="000000"/>
          <w:kern w:val="0"/>
          <w:sz w:val="24"/>
          <w:u w:val="none"/>
          <w:lang w:eastAsia="zh-CN"/>
        </w:rPr>
        <w:t>采</w:t>
      </w:r>
      <w:r>
        <w:rPr>
          <w:rFonts w:hint="eastAsia" w:ascii="宋体" w:hAnsi="宋体" w:eastAsia="宋体" w:cs="宋体"/>
          <w:i w:val="0"/>
          <w:iCs w:val="0"/>
          <w:spacing w:val="-1"/>
          <w:sz w:val="24"/>
          <w:szCs w:val="24"/>
        </w:rPr>
        <w:t>购</w:t>
      </w:r>
      <w:r>
        <w:rPr>
          <w:rFonts w:hint="eastAsia" w:ascii="宋体" w:hAnsi="宋体" w:eastAsia="宋体" w:cs="宋体"/>
          <w:spacing w:val="-1"/>
          <w:sz w:val="24"/>
          <w:szCs w:val="24"/>
        </w:rPr>
        <w:t>活动，工</w:t>
      </w:r>
      <w:r>
        <w:rPr>
          <w:rFonts w:hint="eastAsia" w:ascii="宋体" w:hAnsi="宋体" w:eastAsia="宋体" w:cs="宋体"/>
          <w:spacing w:val="-2"/>
          <w:sz w:val="24"/>
          <w:szCs w:val="24"/>
        </w:rPr>
        <w:t>程的施工单位全部为符合政策要求的中小企业</w:t>
      </w:r>
      <w:r>
        <w:rPr>
          <w:rFonts w:hint="eastAsia" w:ascii="宋体" w:hAnsi="宋体" w:eastAsia="宋体" w:cs="宋体"/>
          <w:sz w:val="24"/>
          <w:szCs w:val="24"/>
        </w:rPr>
        <w:t>（</w:t>
      </w:r>
      <w:r>
        <w:rPr>
          <w:rFonts w:hint="eastAsia" w:ascii="宋体" w:hAnsi="宋体" w:eastAsia="宋体" w:cs="宋体"/>
          <w:spacing w:val="-3"/>
          <w:sz w:val="24"/>
          <w:szCs w:val="24"/>
        </w:rPr>
        <w:t>或者：服</w:t>
      </w:r>
      <w:r>
        <w:rPr>
          <w:rFonts w:hint="eastAsia" w:ascii="宋体" w:hAnsi="宋体" w:eastAsia="宋体" w:cs="宋体"/>
          <w:spacing w:val="-2"/>
          <w:sz w:val="24"/>
          <w:szCs w:val="24"/>
        </w:rPr>
        <w:t>务全部由符合政策要求的中小企业承接）。相关企业（含联合体中的中小企业、签订分包意向协议的中小企业）的具体情况如下：</w:t>
      </w:r>
    </w:p>
    <w:p>
      <w:pPr>
        <w:pStyle w:val="145"/>
        <w:keepNext w:val="0"/>
        <w:keepLines w:val="0"/>
        <w:pageBreakBefore w:val="0"/>
        <w:widowControl w:val="0"/>
        <w:numPr>
          <w:ilvl w:val="0"/>
          <w:numId w:val="0"/>
        </w:numPr>
        <w:tabs>
          <w:tab w:val="left" w:pos="1243"/>
        </w:tabs>
        <w:kinsoku/>
        <w:wordWrap/>
        <w:overflowPunct/>
        <w:topLinePunct w:val="0"/>
        <w:autoSpaceDE/>
        <w:autoSpaceDN/>
        <w:bidi w:val="0"/>
        <w:adjustRightInd/>
        <w:snapToGrid/>
        <w:spacing w:before="0" w:after="0" w:line="440" w:lineRule="exact"/>
        <w:ind w:right="0" w:rightChars="0"/>
        <w:jc w:val="left"/>
        <w:textAlignment w:val="auto"/>
        <w:rPr>
          <w:rFonts w:hint="eastAsia" w:ascii="宋体" w:hAnsi="宋体" w:eastAsia="宋体" w:cs="宋体"/>
          <w:spacing w:val="-2"/>
          <w:kern w:val="2"/>
          <w:sz w:val="24"/>
          <w:szCs w:val="24"/>
          <w:lang w:val="en-US" w:eastAsia="zh-CN" w:bidi="ar-SA"/>
        </w:rPr>
      </w:pPr>
      <w:r>
        <w:rPr>
          <w:rFonts w:hint="eastAsia" w:ascii="宋体" w:hAnsi="宋体" w:eastAsia="宋体" w:cs="宋体"/>
          <w:spacing w:val="-2"/>
          <w:kern w:val="2"/>
          <w:sz w:val="24"/>
          <w:szCs w:val="24"/>
          <w:lang w:val="en-US" w:eastAsia="zh-CN" w:bidi="ar-SA"/>
        </w:rPr>
        <w:t>1.</w:t>
      </w:r>
      <w:r>
        <w:rPr>
          <w:rFonts w:hint="eastAsia" w:ascii="宋体" w:hAnsi="宋体" w:eastAsia="宋体" w:cs="宋体"/>
          <w:i/>
          <w:iCs/>
          <w:spacing w:val="-2"/>
          <w:kern w:val="2"/>
          <w:sz w:val="24"/>
          <w:szCs w:val="24"/>
          <w:u w:val="single"/>
          <w:lang w:val="en-US" w:eastAsia="zh-CN" w:bidi="ar-SA"/>
        </w:rPr>
        <w:t>（标的名称）</w:t>
      </w:r>
      <w:r>
        <w:rPr>
          <w:rFonts w:hint="eastAsia" w:ascii="宋体" w:hAnsi="宋体" w:eastAsia="宋体" w:cs="宋体"/>
          <w:spacing w:val="-2"/>
          <w:kern w:val="2"/>
          <w:sz w:val="24"/>
          <w:szCs w:val="24"/>
          <w:lang w:val="en-US" w:eastAsia="zh-CN" w:bidi="ar-SA"/>
        </w:rPr>
        <w:t xml:space="preserve"> ，属于</w:t>
      </w:r>
      <w:r>
        <w:rPr>
          <w:rFonts w:hint="eastAsia" w:ascii="宋体" w:hAnsi="宋体" w:eastAsia="宋体" w:cs="宋体"/>
          <w:i/>
          <w:iCs/>
          <w:spacing w:val="-2"/>
          <w:kern w:val="2"/>
          <w:sz w:val="24"/>
          <w:szCs w:val="24"/>
          <w:u w:val="single"/>
          <w:lang w:val="en-US" w:eastAsia="zh-CN" w:bidi="ar-SA"/>
        </w:rPr>
        <w:t>（采购文件中明确的所属行业）</w:t>
      </w:r>
      <w:r>
        <w:rPr>
          <w:rFonts w:hint="eastAsia" w:ascii="宋体" w:hAnsi="宋体" w:eastAsia="宋体" w:cs="宋体"/>
          <w:spacing w:val="-2"/>
          <w:kern w:val="2"/>
          <w:sz w:val="24"/>
          <w:szCs w:val="24"/>
          <w:lang w:val="en-US" w:eastAsia="zh-CN" w:bidi="ar-SA"/>
        </w:rPr>
        <w:t>行业；承建（承接）企业为</w:t>
      </w:r>
      <w:r>
        <w:rPr>
          <w:rFonts w:hint="eastAsia" w:ascii="宋体" w:hAnsi="宋体" w:eastAsia="宋体" w:cs="宋体"/>
          <w:i/>
          <w:iCs/>
          <w:spacing w:val="-2"/>
          <w:kern w:val="2"/>
          <w:sz w:val="24"/>
          <w:szCs w:val="24"/>
          <w:u w:val="single"/>
          <w:lang w:val="en-US" w:eastAsia="zh-CN" w:bidi="ar-SA"/>
        </w:rPr>
        <w:t>（企业名称）</w:t>
      </w:r>
      <w:r>
        <w:rPr>
          <w:rFonts w:hint="eastAsia" w:ascii="宋体" w:hAnsi="宋体" w:eastAsia="宋体" w:cs="宋体"/>
          <w:spacing w:val="-2"/>
          <w:kern w:val="2"/>
          <w:sz w:val="24"/>
          <w:szCs w:val="24"/>
          <w:lang w:val="en-US" w:eastAsia="zh-CN" w:bidi="ar-SA"/>
        </w:rPr>
        <w:t>，从业人员</w:t>
      </w:r>
      <w:r>
        <w:rPr>
          <w:rFonts w:hint="eastAsia" w:ascii="宋体" w:hAnsi="宋体" w:eastAsia="宋体" w:cs="宋体"/>
          <w:spacing w:val="-2"/>
          <w:kern w:val="2"/>
          <w:sz w:val="24"/>
          <w:szCs w:val="24"/>
          <w:u w:val="single"/>
          <w:lang w:val="en-US" w:eastAsia="zh-CN" w:bidi="ar-SA"/>
        </w:rPr>
        <w:t xml:space="preserve"> </w:t>
      </w:r>
      <w:r>
        <w:rPr>
          <w:rFonts w:hint="eastAsia" w:ascii="宋体" w:hAnsi="宋体" w:eastAsia="宋体" w:cs="宋体"/>
          <w:spacing w:val="-2"/>
          <w:kern w:val="2"/>
          <w:sz w:val="24"/>
          <w:szCs w:val="24"/>
          <w:u w:val="single"/>
          <w:lang w:val="en-US" w:eastAsia="zh-CN" w:bidi="ar-SA"/>
        </w:rPr>
        <w:tab/>
      </w:r>
      <w:r>
        <w:rPr>
          <w:rFonts w:hint="eastAsia" w:ascii="宋体" w:hAnsi="宋体" w:eastAsia="宋体" w:cs="宋体"/>
          <w:spacing w:val="-2"/>
          <w:kern w:val="2"/>
          <w:sz w:val="24"/>
          <w:szCs w:val="24"/>
          <w:lang w:val="en-US" w:eastAsia="zh-CN" w:bidi="ar-SA"/>
        </w:rPr>
        <w:t>人，营业收入为</w:t>
      </w:r>
      <w:r>
        <w:rPr>
          <w:rFonts w:hint="eastAsia" w:ascii="宋体" w:hAnsi="宋体" w:eastAsia="宋体" w:cs="宋体"/>
          <w:spacing w:val="-2"/>
          <w:kern w:val="2"/>
          <w:sz w:val="24"/>
          <w:szCs w:val="24"/>
          <w:u w:val="single"/>
          <w:lang w:val="en-US" w:eastAsia="zh-CN" w:bidi="ar-SA"/>
        </w:rPr>
        <w:t xml:space="preserve"> </w:t>
      </w:r>
      <w:r>
        <w:rPr>
          <w:rFonts w:hint="eastAsia" w:ascii="宋体" w:hAnsi="宋体" w:eastAsia="宋体" w:cs="宋体"/>
          <w:spacing w:val="-2"/>
          <w:kern w:val="2"/>
          <w:sz w:val="24"/>
          <w:szCs w:val="24"/>
          <w:u w:val="single"/>
          <w:lang w:val="en-US" w:eastAsia="zh-CN" w:bidi="ar-SA"/>
        </w:rPr>
        <w:tab/>
      </w:r>
      <w:r>
        <w:rPr>
          <w:rFonts w:hint="eastAsia" w:ascii="宋体" w:hAnsi="宋体" w:eastAsia="宋体" w:cs="宋体"/>
          <w:spacing w:val="-2"/>
          <w:kern w:val="2"/>
          <w:sz w:val="24"/>
          <w:szCs w:val="24"/>
          <w:lang w:val="en-US" w:eastAsia="zh-CN" w:bidi="ar-SA"/>
        </w:rPr>
        <w:t>万元，资产总额为</w:t>
      </w:r>
      <w:r>
        <w:rPr>
          <w:rFonts w:hint="eastAsia" w:ascii="宋体" w:hAnsi="宋体" w:eastAsia="宋体" w:cs="宋体"/>
          <w:spacing w:val="-2"/>
          <w:kern w:val="2"/>
          <w:sz w:val="24"/>
          <w:szCs w:val="24"/>
          <w:u w:val="single"/>
          <w:lang w:val="en-US" w:eastAsia="zh-CN" w:bidi="ar-SA"/>
        </w:rPr>
        <w:t xml:space="preserve"> </w:t>
      </w:r>
      <w:r>
        <w:rPr>
          <w:rFonts w:hint="eastAsia" w:ascii="宋体" w:hAnsi="宋体" w:eastAsia="宋体" w:cs="宋体"/>
          <w:spacing w:val="-2"/>
          <w:kern w:val="2"/>
          <w:sz w:val="24"/>
          <w:szCs w:val="24"/>
          <w:u w:val="single"/>
          <w:lang w:val="en-US" w:eastAsia="zh-CN" w:bidi="ar-SA"/>
        </w:rPr>
        <w:tab/>
      </w:r>
      <w:r>
        <w:rPr>
          <w:rFonts w:hint="eastAsia" w:ascii="宋体" w:hAnsi="宋体" w:eastAsia="宋体" w:cs="宋体"/>
          <w:spacing w:val="-2"/>
          <w:kern w:val="2"/>
          <w:sz w:val="24"/>
          <w:szCs w:val="24"/>
          <w:u w:val="single"/>
          <w:lang w:val="en-US" w:eastAsia="zh-CN" w:bidi="ar-SA"/>
        </w:rPr>
        <w:t xml:space="preserve"> </w:t>
      </w:r>
      <w:r>
        <w:rPr>
          <w:rFonts w:hint="eastAsia" w:ascii="宋体" w:hAnsi="宋体" w:eastAsia="宋体" w:cs="宋体"/>
          <w:spacing w:val="-2"/>
          <w:kern w:val="2"/>
          <w:sz w:val="24"/>
          <w:szCs w:val="24"/>
          <w:lang w:val="en-US" w:eastAsia="zh-CN" w:bidi="ar-SA"/>
        </w:rPr>
        <w:t>万元，属于</w:t>
      </w:r>
      <w:r>
        <w:rPr>
          <w:rFonts w:hint="eastAsia" w:ascii="宋体" w:hAnsi="宋体" w:eastAsia="宋体" w:cs="宋体"/>
          <w:i/>
          <w:iCs/>
          <w:spacing w:val="-2"/>
          <w:kern w:val="2"/>
          <w:sz w:val="24"/>
          <w:szCs w:val="24"/>
          <w:u w:val="single"/>
          <w:lang w:val="en-US" w:eastAsia="zh-CN" w:bidi="ar-SA"/>
        </w:rPr>
        <w:t>（中型企业、小型企业、微型企业）</w:t>
      </w:r>
      <w:r>
        <w:rPr>
          <w:rFonts w:hint="eastAsia" w:ascii="宋体" w:hAnsi="宋体" w:eastAsia="宋体" w:cs="宋体"/>
          <w:spacing w:val="-2"/>
          <w:kern w:val="2"/>
          <w:sz w:val="24"/>
          <w:szCs w:val="24"/>
          <w:lang w:val="en-US" w:eastAsia="zh-CN" w:bidi="ar-SA"/>
        </w:rPr>
        <w:t>；</w:t>
      </w:r>
    </w:p>
    <w:p>
      <w:pPr>
        <w:pStyle w:val="145"/>
        <w:keepNext w:val="0"/>
        <w:keepLines w:val="0"/>
        <w:pageBreakBefore w:val="0"/>
        <w:widowControl w:val="0"/>
        <w:numPr>
          <w:ilvl w:val="0"/>
          <w:numId w:val="0"/>
        </w:numPr>
        <w:tabs>
          <w:tab w:val="left" w:pos="1243"/>
          <w:tab w:val="left" w:pos="1806"/>
          <w:tab w:val="left" w:pos="5005"/>
          <w:tab w:val="left" w:pos="7213"/>
        </w:tabs>
        <w:kinsoku/>
        <w:wordWrap/>
        <w:overflowPunct/>
        <w:topLinePunct w:val="0"/>
        <w:autoSpaceDE/>
        <w:autoSpaceDN/>
        <w:bidi w:val="0"/>
        <w:adjustRightInd/>
        <w:snapToGrid/>
        <w:spacing w:before="0" w:after="0" w:line="440" w:lineRule="exact"/>
        <w:ind w:right="258" w:rightChars="0"/>
        <w:jc w:val="left"/>
        <w:textAlignment w:val="auto"/>
        <w:rPr>
          <w:rFonts w:hint="eastAsia" w:ascii="宋体" w:hAnsi="宋体" w:eastAsia="宋体" w:cs="宋体"/>
          <w:spacing w:val="-2"/>
          <w:kern w:val="2"/>
          <w:sz w:val="24"/>
          <w:szCs w:val="24"/>
          <w:lang w:val="en-US" w:eastAsia="zh-CN" w:bidi="ar-SA"/>
        </w:rPr>
      </w:pPr>
      <w:r>
        <w:rPr>
          <w:rFonts w:hint="eastAsia" w:ascii="宋体" w:hAnsi="宋体" w:eastAsia="宋体" w:cs="宋体"/>
          <w:spacing w:val="-2"/>
          <w:kern w:val="2"/>
          <w:sz w:val="24"/>
          <w:szCs w:val="24"/>
          <w:lang w:val="en-US" w:eastAsia="zh-CN" w:bidi="ar-SA"/>
        </w:rPr>
        <w:t>2.</w:t>
      </w:r>
      <w:r>
        <w:rPr>
          <w:rFonts w:hint="eastAsia" w:ascii="宋体" w:hAnsi="宋体" w:eastAsia="宋体" w:cs="宋体"/>
          <w:spacing w:val="-2"/>
          <w:kern w:val="2"/>
          <w:sz w:val="24"/>
          <w:szCs w:val="24"/>
          <w:u w:val="single"/>
          <w:lang w:val="en-US" w:eastAsia="zh-CN" w:bidi="ar-SA"/>
        </w:rPr>
        <w:t>（标的名称）</w:t>
      </w:r>
      <w:r>
        <w:rPr>
          <w:rFonts w:hint="eastAsia" w:ascii="宋体" w:hAnsi="宋体" w:eastAsia="宋体" w:cs="宋体"/>
          <w:spacing w:val="-2"/>
          <w:kern w:val="2"/>
          <w:sz w:val="24"/>
          <w:szCs w:val="24"/>
          <w:lang w:val="en-US" w:eastAsia="zh-CN" w:bidi="ar-SA"/>
        </w:rPr>
        <w:t xml:space="preserve"> ，属于</w:t>
      </w:r>
      <w:r>
        <w:rPr>
          <w:rFonts w:hint="eastAsia" w:ascii="宋体" w:hAnsi="宋体" w:eastAsia="宋体" w:cs="宋体"/>
          <w:i/>
          <w:iCs/>
          <w:spacing w:val="-2"/>
          <w:kern w:val="2"/>
          <w:sz w:val="24"/>
          <w:szCs w:val="24"/>
          <w:u w:val="single"/>
          <w:lang w:val="en-US" w:eastAsia="zh-CN" w:bidi="ar-SA"/>
        </w:rPr>
        <w:t>（采购文件中明确的所属行业）</w:t>
      </w:r>
      <w:r>
        <w:rPr>
          <w:rFonts w:hint="eastAsia" w:ascii="宋体" w:hAnsi="宋体" w:eastAsia="宋体" w:cs="宋体"/>
          <w:spacing w:val="-2"/>
          <w:kern w:val="2"/>
          <w:sz w:val="24"/>
          <w:szCs w:val="24"/>
          <w:lang w:val="en-US" w:eastAsia="zh-CN" w:bidi="ar-SA"/>
        </w:rPr>
        <w:t>行业；承建（承接）企业为</w:t>
      </w:r>
      <w:r>
        <w:rPr>
          <w:rFonts w:hint="eastAsia" w:ascii="宋体" w:hAnsi="宋体" w:eastAsia="宋体" w:cs="宋体"/>
          <w:i/>
          <w:iCs/>
          <w:spacing w:val="-2"/>
          <w:kern w:val="2"/>
          <w:sz w:val="24"/>
          <w:szCs w:val="24"/>
          <w:u w:val="single"/>
          <w:lang w:val="en-US" w:eastAsia="zh-CN" w:bidi="ar-SA"/>
        </w:rPr>
        <w:t>（企业名称）</w:t>
      </w:r>
      <w:r>
        <w:rPr>
          <w:rFonts w:hint="eastAsia" w:ascii="宋体" w:hAnsi="宋体" w:eastAsia="宋体" w:cs="宋体"/>
          <w:spacing w:val="-2"/>
          <w:kern w:val="2"/>
          <w:sz w:val="24"/>
          <w:szCs w:val="24"/>
          <w:lang w:val="en-US" w:eastAsia="zh-CN" w:bidi="ar-SA"/>
        </w:rPr>
        <w:t>，从业人员</w:t>
      </w:r>
      <w:r>
        <w:rPr>
          <w:rFonts w:hint="eastAsia" w:ascii="宋体" w:hAnsi="宋体" w:eastAsia="宋体" w:cs="宋体"/>
          <w:spacing w:val="-2"/>
          <w:kern w:val="2"/>
          <w:sz w:val="24"/>
          <w:szCs w:val="24"/>
          <w:u w:val="single"/>
          <w:lang w:val="en-US" w:eastAsia="zh-CN" w:bidi="ar-SA"/>
        </w:rPr>
        <w:t xml:space="preserve">    </w:t>
      </w:r>
      <w:r>
        <w:rPr>
          <w:rFonts w:hint="eastAsia" w:ascii="宋体" w:hAnsi="宋体" w:eastAsia="宋体" w:cs="宋体"/>
          <w:spacing w:val="-2"/>
          <w:kern w:val="2"/>
          <w:sz w:val="24"/>
          <w:szCs w:val="24"/>
          <w:lang w:val="en-US" w:eastAsia="zh-CN" w:bidi="ar-SA"/>
        </w:rPr>
        <w:t>人，营业收入为</w:t>
      </w:r>
      <w:r>
        <w:rPr>
          <w:rFonts w:hint="eastAsia" w:ascii="宋体" w:hAnsi="宋体" w:eastAsia="宋体" w:cs="宋体"/>
          <w:spacing w:val="-2"/>
          <w:kern w:val="2"/>
          <w:sz w:val="24"/>
          <w:szCs w:val="24"/>
          <w:u w:val="single"/>
          <w:lang w:val="en-US" w:eastAsia="zh-CN" w:bidi="ar-SA"/>
        </w:rPr>
        <w:t xml:space="preserve">    </w:t>
      </w:r>
      <w:r>
        <w:rPr>
          <w:rFonts w:hint="eastAsia" w:ascii="宋体" w:hAnsi="宋体" w:eastAsia="宋体" w:cs="宋体"/>
          <w:spacing w:val="-2"/>
          <w:kern w:val="2"/>
          <w:sz w:val="24"/>
          <w:szCs w:val="24"/>
          <w:lang w:val="en-US" w:eastAsia="zh-CN" w:bidi="ar-SA"/>
        </w:rPr>
        <w:t>万元，资产总额为</w:t>
      </w:r>
      <w:r>
        <w:rPr>
          <w:rFonts w:hint="eastAsia" w:ascii="宋体" w:hAnsi="宋体" w:eastAsia="宋体" w:cs="宋体"/>
          <w:spacing w:val="-2"/>
          <w:kern w:val="2"/>
          <w:sz w:val="24"/>
          <w:szCs w:val="24"/>
          <w:u w:val="single"/>
          <w:lang w:val="en-US" w:eastAsia="zh-CN" w:bidi="ar-SA"/>
        </w:rPr>
        <w:t xml:space="preserve">  </w:t>
      </w:r>
      <w:r>
        <w:rPr>
          <w:rFonts w:hint="eastAsia" w:ascii="宋体" w:hAnsi="宋体" w:eastAsia="宋体" w:cs="宋体"/>
          <w:spacing w:val="-2"/>
          <w:kern w:val="2"/>
          <w:sz w:val="24"/>
          <w:szCs w:val="24"/>
          <w:lang w:val="en-US" w:eastAsia="zh-CN" w:bidi="ar-SA"/>
        </w:rPr>
        <w:t>万元，属于</w:t>
      </w:r>
      <w:r>
        <w:rPr>
          <w:rFonts w:hint="eastAsia" w:ascii="宋体" w:hAnsi="宋体" w:eastAsia="宋体" w:cs="宋体"/>
          <w:i/>
          <w:iCs/>
          <w:spacing w:val="-2"/>
          <w:kern w:val="2"/>
          <w:sz w:val="24"/>
          <w:szCs w:val="24"/>
          <w:u w:val="single"/>
          <w:lang w:val="en-US" w:eastAsia="zh-CN" w:bidi="ar-SA"/>
        </w:rPr>
        <w:t>（中型企业、小型企业、微型企业）</w:t>
      </w:r>
      <w:r>
        <w:rPr>
          <w:rFonts w:hint="eastAsia" w:ascii="宋体" w:hAnsi="宋体" w:eastAsia="宋体" w:cs="宋体"/>
          <w:spacing w:val="-2"/>
          <w:kern w:val="2"/>
          <w:sz w:val="24"/>
          <w:szCs w:val="24"/>
          <w:lang w:val="en-US" w:eastAsia="zh-CN" w:bidi="ar-SA"/>
        </w:rPr>
        <w:t>；</w:t>
      </w:r>
    </w:p>
    <w:p>
      <w:pPr>
        <w:pStyle w:val="19"/>
        <w:keepNext w:val="0"/>
        <w:keepLines w:val="0"/>
        <w:pageBreakBefore w:val="0"/>
        <w:widowControl w:val="0"/>
        <w:kinsoku/>
        <w:wordWrap/>
        <w:overflowPunct/>
        <w:topLinePunct w:val="0"/>
        <w:autoSpaceDE/>
        <w:autoSpaceDN/>
        <w:bidi w:val="0"/>
        <w:adjustRightInd/>
        <w:snapToGrid/>
        <w:spacing w:before="11" w:line="440" w:lineRule="exact"/>
        <w:ind w:firstLine="472" w:firstLineChars="200"/>
        <w:textAlignment w:val="auto"/>
        <w:rPr>
          <w:rFonts w:hint="eastAsia" w:ascii="宋体" w:hAnsi="宋体" w:eastAsia="宋体" w:cs="宋体"/>
          <w:spacing w:val="-2"/>
          <w:kern w:val="2"/>
          <w:sz w:val="24"/>
          <w:szCs w:val="24"/>
          <w:lang w:val="en-US" w:eastAsia="zh-CN" w:bidi="ar-SA"/>
        </w:rPr>
      </w:pPr>
      <w:r>
        <w:rPr>
          <w:rFonts w:hint="eastAsia" w:ascii="宋体" w:hAnsi="宋体" w:eastAsia="宋体" w:cs="宋体"/>
          <w:spacing w:val="-2"/>
          <w:kern w:val="2"/>
          <w:sz w:val="24"/>
          <w:szCs w:val="24"/>
          <w:lang w:val="en-US" w:eastAsia="zh-CN" w:bidi="ar-SA"/>
        </w:rPr>
        <w:t>……</w:t>
      </w:r>
    </w:p>
    <w:p>
      <w:pPr>
        <w:pStyle w:val="19"/>
        <w:keepNext w:val="0"/>
        <w:keepLines w:val="0"/>
        <w:pageBreakBefore w:val="0"/>
        <w:widowControl w:val="0"/>
        <w:kinsoku/>
        <w:wordWrap/>
        <w:overflowPunct/>
        <w:topLinePunct w:val="0"/>
        <w:autoSpaceDE/>
        <w:autoSpaceDN/>
        <w:bidi w:val="0"/>
        <w:adjustRightInd/>
        <w:snapToGrid/>
        <w:spacing w:before="108" w:line="440" w:lineRule="exact"/>
        <w:ind w:right="417" w:firstLine="468" w:firstLineChars="200"/>
        <w:jc w:val="both"/>
        <w:textAlignment w:val="auto"/>
        <w:rPr>
          <w:rFonts w:hint="eastAsia" w:ascii="宋体" w:hAnsi="宋体" w:eastAsia="宋体" w:cs="宋体"/>
          <w:sz w:val="24"/>
          <w:szCs w:val="24"/>
        </w:rPr>
      </w:pPr>
      <w:r>
        <w:rPr>
          <w:rFonts w:hint="eastAsia" w:ascii="宋体" w:hAnsi="宋体" w:eastAsia="宋体" w:cs="宋体"/>
          <w:spacing w:val="-3"/>
          <w:sz w:val="24"/>
          <w:szCs w:val="24"/>
        </w:rPr>
        <w:t>以上企业，不属于大企业的分支机构，不存在控股股东</w:t>
      </w:r>
      <w:r>
        <w:rPr>
          <w:rFonts w:hint="eastAsia" w:ascii="宋体" w:hAnsi="宋体" w:eastAsia="宋体" w:cs="宋体"/>
          <w:spacing w:val="-5"/>
          <w:sz w:val="24"/>
          <w:szCs w:val="24"/>
        </w:rPr>
        <w:t>为大企业的情形，也不存在与大企业的负责人为同一人的情形。</w:t>
      </w:r>
    </w:p>
    <w:p>
      <w:pPr>
        <w:pStyle w:val="19"/>
        <w:keepNext w:val="0"/>
        <w:keepLines w:val="0"/>
        <w:pageBreakBefore w:val="0"/>
        <w:widowControl w:val="0"/>
        <w:kinsoku/>
        <w:wordWrap/>
        <w:overflowPunct/>
        <w:topLinePunct w:val="0"/>
        <w:autoSpaceDE/>
        <w:autoSpaceDN/>
        <w:bidi w:val="0"/>
        <w:adjustRightInd/>
        <w:snapToGrid/>
        <w:spacing w:line="440" w:lineRule="exact"/>
        <w:ind w:right="375"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widowControl/>
        <w:spacing w:line="520" w:lineRule="exact"/>
        <w:jc w:val="left"/>
        <w:rPr>
          <w:rFonts w:hint="eastAsia" w:ascii="宋体" w:hAnsi="宋体" w:cs="宋体"/>
          <w:color w:val="000000"/>
          <w:kern w:val="0"/>
          <w:sz w:val="24"/>
        </w:rPr>
      </w:pPr>
    </w:p>
    <w:p>
      <w:pPr>
        <w:widowControl/>
        <w:spacing w:line="520" w:lineRule="exact"/>
        <w:jc w:val="left"/>
        <w:rPr>
          <w:rFonts w:hint="eastAsia" w:ascii="宋体" w:hAnsi="宋体" w:cs="宋体"/>
          <w:color w:val="000000"/>
          <w:kern w:val="0"/>
          <w:sz w:val="24"/>
        </w:rPr>
      </w:pPr>
    </w:p>
    <w:p>
      <w:pPr>
        <w:widowControl/>
        <w:spacing w:line="520" w:lineRule="exact"/>
        <w:jc w:val="center"/>
        <w:rPr>
          <w:rFonts w:hint="eastAsia" w:ascii="宋体" w:hAnsi="宋体" w:cs="宋体"/>
          <w:color w:val="000000"/>
          <w:kern w:val="0"/>
          <w:sz w:val="24"/>
        </w:rPr>
      </w:pPr>
      <w:r>
        <w:rPr>
          <w:rFonts w:hint="eastAsia" w:ascii="宋体" w:hAnsi="宋体" w:eastAsia="宋体" w:cs="宋体"/>
          <w:color w:val="000000"/>
          <w:kern w:val="0"/>
          <w:sz w:val="24"/>
          <w:lang w:val="en-US" w:eastAsia="zh-CN"/>
        </w:rPr>
        <w:t xml:space="preserve">                </w:t>
      </w:r>
      <w:r>
        <w:rPr>
          <w:rFonts w:hint="eastAsia" w:ascii="宋体" w:hAnsi="宋体" w:cs="宋体"/>
          <w:color w:val="000000"/>
          <w:kern w:val="0"/>
          <w:sz w:val="24"/>
        </w:rPr>
        <w:t>企业名称（盖章）：</w:t>
      </w:r>
    </w:p>
    <w:p>
      <w:pPr>
        <w:widowControl/>
        <w:spacing w:line="520" w:lineRule="exact"/>
        <w:jc w:val="center"/>
        <w:rPr>
          <w:rFonts w:hint="eastAsia" w:ascii="宋体" w:hAnsi="宋体" w:cs="宋体"/>
          <w:color w:val="000000"/>
          <w:kern w:val="0"/>
          <w:sz w:val="24"/>
        </w:rPr>
      </w:pPr>
      <w:r>
        <w:rPr>
          <w:rFonts w:hint="eastAsia" w:ascii="宋体" w:hAnsi="宋体" w:cs="宋体"/>
          <w:color w:val="000000"/>
          <w:kern w:val="0"/>
          <w:sz w:val="24"/>
        </w:rPr>
        <w:t xml:space="preserve">                          日  期：</w:t>
      </w:r>
    </w:p>
    <w:p>
      <w:pPr>
        <w:widowControl/>
        <w:spacing w:line="520" w:lineRule="exact"/>
        <w:jc w:val="left"/>
        <w:rPr>
          <w:rFonts w:hint="eastAsia" w:ascii="宋体" w:hAnsi="宋体" w:cs="宋体"/>
          <w:color w:val="000000"/>
          <w:kern w:val="0"/>
          <w:sz w:val="24"/>
        </w:rPr>
      </w:pPr>
    </w:p>
    <w:p>
      <w:pPr>
        <w:widowControl/>
        <w:spacing w:line="520" w:lineRule="exact"/>
        <w:jc w:val="both"/>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注：从业人员、营业收入、资产总额填报上一年度数据，无上一年度数据的新成立企业可不填报。</w:t>
      </w:r>
    </w:p>
    <w:p>
      <w:pPr>
        <w:widowControl/>
        <w:spacing w:line="520" w:lineRule="exact"/>
        <w:jc w:val="left"/>
        <w:rPr>
          <w:rFonts w:hint="eastAsia" w:ascii="宋体"/>
          <w:color w:val="000000"/>
          <w:sz w:val="24"/>
        </w:rPr>
      </w:pPr>
      <w:r>
        <w:rPr>
          <w:rFonts w:hint="eastAsia" w:ascii="宋体"/>
          <w:color w:val="000000"/>
          <w:sz w:val="24"/>
        </w:rPr>
        <w:t>注：</w:t>
      </w:r>
    </w:p>
    <w:p>
      <w:pPr>
        <w:widowControl/>
        <w:spacing w:line="520" w:lineRule="exact"/>
        <w:jc w:val="left"/>
        <w:rPr>
          <w:rFonts w:hint="eastAsia" w:ascii="宋体"/>
          <w:color w:val="000000"/>
          <w:sz w:val="24"/>
        </w:rPr>
      </w:pPr>
      <w:r>
        <w:rPr>
          <w:rFonts w:hint="eastAsia" w:ascii="宋体"/>
          <w:color w:val="000000"/>
          <w:sz w:val="24"/>
        </w:rPr>
        <w:t>1</w:t>
      </w:r>
      <w:r>
        <w:rPr>
          <w:rFonts w:hint="eastAsia" w:ascii="宋体"/>
          <w:color w:val="000000"/>
          <w:sz w:val="24"/>
          <w:lang w:val="en-US" w:eastAsia="zh-CN"/>
        </w:rPr>
        <w:t>.</w:t>
      </w:r>
      <w:r>
        <w:rPr>
          <w:rFonts w:hint="eastAsia" w:ascii="宋体"/>
          <w:color w:val="000000"/>
          <w:sz w:val="24"/>
        </w:rPr>
        <w:t>投标人提供的中小企业声明函与实际情况不符的，视为投标人提供虚假材料投标，投标无效。</w:t>
      </w:r>
    </w:p>
    <w:p>
      <w:pPr>
        <w:widowControl/>
        <w:spacing w:line="520" w:lineRule="exact"/>
        <w:jc w:val="left"/>
        <w:rPr>
          <w:rFonts w:hint="eastAsia" w:ascii="宋体"/>
          <w:color w:val="000000"/>
          <w:sz w:val="24"/>
        </w:rPr>
      </w:pPr>
      <w:r>
        <w:rPr>
          <w:rFonts w:hint="eastAsia" w:ascii="宋体"/>
          <w:color w:val="000000"/>
          <w:sz w:val="24"/>
        </w:rPr>
        <w:t>2</w:t>
      </w:r>
      <w:r>
        <w:rPr>
          <w:rFonts w:hint="eastAsia" w:ascii="宋体"/>
          <w:color w:val="000000"/>
          <w:sz w:val="24"/>
          <w:lang w:val="en-US" w:eastAsia="zh-CN"/>
        </w:rPr>
        <w:t>.</w:t>
      </w:r>
      <w:r>
        <w:rPr>
          <w:rFonts w:hint="eastAsia" w:ascii="宋体"/>
          <w:color w:val="000000"/>
          <w:sz w:val="24"/>
        </w:rPr>
        <w:t>根据《政府采购促进中小企业发展管理办法》的通知（财库〔2020〕46号）规定，中标、成交供应商享受中小企业扶持政策的，采购代理机构将随中标、成交结果公开中标、成交供应商的《中小企业声明函》。</w:t>
      </w:r>
    </w:p>
    <w:p>
      <w:pPr>
        <w:widowControl/>
        <w:spacing w:line="520" w:lineRule="exact"/>
        <w:jc w:val="left"/>
        <w:rPr>
          <w:rFonts w:hint="eastAsia" w:ascii="宋体"/>
          <w:color w:val="000000"/>
          <w:sz w:val="24"/>
        </w:rPr>
      </w:pPr>
      <w:r>
        <w:rPr>
          <w:rFonts w:hint="eastAsia" w:ascii="宋体"/>
          <w:color w:val="000000"/>
          <w:sz w:val="24"/>
        </w:rPr>
        <w:t>3</w:t>
      </w:r>
      <w:r>
        <w:rPr>
          <w:rFonts w:hint="eastAsia" w:ascii="宋体"/>
          <w:color w:val="000000"/>
          <w:sz w:val="24"/>
          <w:lang w:val="en-US" w:eastAsia="zh-CN"/>
        </w:rPr>
        <w:t>.</w:t>
      </w:r>
      <w:r>
        <w:rPr>
          <w:rFonts w:hint="eastAsia" w:ascii="宋体"/>
          <w:color w:val="000000"/>
          <w:sz w:val="24"/>
        </w:rPr>
        <w:t>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widowControl/>
        <w:spacing w:line="520" w:lineRule="exact"/>
        <w:jc w:val="left"/>
        <w:rPr>
          <w:rFonts w:hint="eastAsia" w:ascii="宋体" w:hAnsi="宋体" w:eastAsia="宋体" w:cs="宋体"/>
          <w:color w:val="000000"/>
          <w:sz w:val="24"/>
        </w:rPr>
      </w:pPr>
      <w:r>
        <w:rPr>
          <w:rFonts w:hint="eastAsia" w:ascii="宋体" w:hAnsi="宋体" w:eastAsia="宋体" w:cs="宋体"/>
          <w:color w:val="000000"/>
          <w:sz w:val="24"/>
        </w:rPr>
        <w:t>①中标供应商为残疾人福利性单位的，其《残疾人福利性单位声明函》随中标结果同时公告，接受社会监督。</w:t>
      </w:r>
    </w:p>
    <w:p>
      <w:pPr>
        <w:spacing w:line="588" w:lineRule="exact"/>
        <w:jc w:val="left"/>
        <w:rPr>
          <w:rFonts w:ascii="宋体" w:hAnsi="宋体"/>
          <w:b/>
          <w:color w:val="000000"/>
          <w:spacing w:val="6"/>
          <w:sz w:val="24"/>
        </w:rPr>
      </w:pPr>
      <w:r>
        <w:rPr>
          <w:rFonts w:hint="eastAsia" w:ascii="宋体" w:hAnsi="宋体" w:eastAsia="宋体" w:cs="宋体"/>
          <w:color w:val="000000"/>
          <w:sz w:val="24"/>
        </w:rPr>
        <w:t>②供</w:t>
      </w:r>
      <w:r>
        <w:rPr>
          <w:rFonts w:hint="eastAsia" w:ascii="宋体"/>
          <w:color w:val="000000"/>
          <w:sz w:val="24"/>
        </w:rPr>
        <w:t>应商提供的《残疾人福利性单位声明函》与事实不符的，依照《政府采购法》第七十七条第一款的规定追究法律责任。</w:t>
      </w:r>
    </w:p>
    <w:p>
      <w:pPr>
        <w:spacing w:line="588" w:lineRule="exact"/>
        <w:rPr>
          <w:rFonts w:hint="eastAsia" w:ascii="宋体" w:hAnsi="宋体"/>
          <w:spacing w:val="6"/>
          <w:sz w:val="24"/>
        </w:rPr>
      </w:pPr>
    </w:p>
    <w:p>
      <w:pPr>
        <w:spacing w:line="588" w:lineRule="exact"/>
        <w:rPr>
          <w:rFonts w:hint="eastAsia" w:ascii="宋体" w:hAnsi="宋体"/>
          <w:spacing w:val="6"/>
          <w:sz w:val="24"/>
        </w:rPr>
      </w:pPr>
    </w:p>
    <w:p>
      <w:pPr>
        <w:spacing w:line="588" w:lineRule="exact"/>
        <w:rPr>
          <w:rFonts w:hint="eastAsia" w:ascii="宋体" w:hAnsi="宋体"/>
          <w:spacing w:val="6"/>
          <w:sz w:val="24"/>
        </w:rPr>
      </w:pPr>
    </w:p>
    <w:p>
      <w:pPr>
        <w:spacing w:line="588" w:lineRule="exact"/>
        <w:rPr>
          <w:rFonts w:hint="eastAsia" w:ascii="宋体" w:hAnsi="宋体"/>
          <w:spacing w:val="6"/>
          <w:sz w:val="24"/>
        </w:rPr>
      </w:pPr>
    </w:p>
    <w:p>
      <w:pPr>
        <w:spacing w:line="588" w:lineRule="exact"/>
        <w:rPr>
          <w:rFonts w:hint="eastAsia" w:ascii="宋体" w:hAnsi="宋体"/>
          <w:spacing w:val="6"/>
          <w:sz w:val="24"/>
        </w:rPr>
      </w:pPr>
    </w:p>
    <w:p>
      <w:pPr>
        <w:spacing w:line="588" w:lineRule="exact"/>
        <w:rPr>
          <w:rFonts w:hint="eastAsia" w:ascii="宋体" w:hAnsi="宋体"/>
          <w:spacing w:val="6"/>
          <w:sz w:val="24"/>
        </w:rPr>
      </w:pPr>
    </w:p>
    <w:p>
      <w:pPr>
        <w:spacing w:line="588" w:lineRule="exact"/>
        <w:rPr>
          <w:rFonts w:hint="eastAsia" w:ascii="宋体" w:hAnsi="宋体"/>
          <w:spacing w:val="6"/>
          <w:sz w:val="24"/>
        </w:rPr>
      </w:pPr>
    </w:p>
    <w:p>
      <w:pPr>
        <w:spacing w:line="588" w:lineRule="exact"/>
        <w:rPr>
          <w:rFonts w:hint="eastAsia" w:ascii="宋体" w:hAnsi="宋体"/>
          <w:spacing w:val="6"/>
          <w:sz w:val="24"/>
        </w:rPr>
      </w:pPr>
    </w:p>
    <w:p>
      <w:pPr>
        <w:spacing w:line="588" w:lineRule="exact"/>
        <w:rPr>
          <w:rFonts w:hint="eastAsia" w:ascii="宋体" w:hAnsi="宋体"/>
          <w:spacing w:val="6"/>
          <w:sz w:val="24"/>
        </w:rPr>
      </w:pPr>
    </w:p>
    <w:p>
      <w:pPr>
        <w:spacing w:line="588" w:lineRule="exact"/>
        <w:rPr>
          <w:rFonts w:hint="eastAsia" w:ascii="宋体" w:hAnsi="宋体"/>
          <w:spacing w:val="6"/>
          <w:sz w:val="24"/>
        </w:rPr>
      </w:pPr>
    </w:p>
    <w:p>
      <w:pPr>
        <w:spacing w:line="588" w:lineRule="exact"/>
        <w:rPr>
          <w:rFonts w:ascii="宋体" w:hAnsi="宋体"/>
          <w:spacing w:val="6"/>
          <w:sz w:val="24"/>
        </w:rPr>
      </w:pPr>
      <w:r>
        <w:rPr>
          <w:rFonts w:hint="eastAsia" w:ascii="宋体" w:hAnsi="宋体"/>
          <w:b/>
          <w:bCs/>
          <w:spacing w:val="6"/>
          <w:sz w:val="24"/>
        </w:rPr>
        <w:t>附</w:t>
      </w:r>
    </w:p>
    <w:p>
      <w:pPr>
        <w:spacing w:line="588" w:lineRule="exact"/>
        <w:jc w:val="center"/>
        <w:rPr>
          <w:rFonts w:ascii="宋体" w:hAnsi="宋体"/>
          <w:b/>
          <w:spacing w:val="6"/>
          <w:sz w:val="24"/>
        </w:rPr>
      </w:pPr>
      <w:r>
        <w:rPr>
          <w:rFonts w:hint="eastAsia" w:ascii="宋体" w:hAnsi="宋体"/>
          <w:b/>
          <w:spacing w:val="6"/>
          <w:sz w:val="24"/>
        </w:rPr>
        <w:t>残疾人福利性单位声明函</w:t>
      </w:r>
    </w:p>
    <w:p>
      <w:pPr>
        <w:spacing w:line="588" w:lineRule="exact"/>
        <w:rPr>
          <w:rFonts w:ascii="宋体" w:hAnsi="宋体"/>
          <w:b/>
          <w:spacing w:val="6"/>
          <w:sz w:val="24"/>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right"/>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right"/>
        <w:rPr>
          <w:rFonts w:ascii="宋体" w:hAnsi="宋体"/>
          <w:spacing w:val="6"/>
          <w:sz w:val="24"/>
        </w:rPr>
      </w:pPr>
      <w:r>
        <w:rPr>
          <w:rFonts w:hint="eastAsia" w:ascii="宋体" w:hAnsi="宋体"/>
          <w:spacing w:val="6"/>
          <w:sz w:val="24"/>
        </w:rPr>
        <w:t>日  期：</w:t>
      </w:r>
    </w:p>
    <w:p>
      <w:pPr>
        <w:spacing w:line="360" w:lineRule="auto"/>
        <w:rPr>
          <w:rFonts w:hint="eastAsia" w:ascii="宋体"/>
          <w:color w:val="000000"/>
        </w:rPr>
      </w:pPr>
    </w:p>
    <w:p>
      <w:pPr>
        <w:spacing w:line="360" w:lineRule="auto"/>
        <w:rPr>
          <w:rFonts w:hint="eastAsia" w:ascii="宋体"/>
          <w:color w:val="000000"/>
        </w:rPr>
      </w:pPr>
    </w:p>
    <w:p>
      <w:pPr>
        <w:spacing w:line="360" w:lineRule="auto"/>
        <w:rPr>
          <w:rFonts w:hint="eastAsia" w:ascii="宋体"/>
          <w:color w:val="000000"/>
        </w:rPr>
      </w:pPr>
    </w:p>
    <w:p>
      <w:pPr>
        <w:snapToGrid w:val="0"/>
        <w:spacing w:line="360" w:lineRule="auto"/>
        <w:ind w:firstLine="470" w:firstLineChars="196"/>
        <w:jc w:val="left"/>
        <w:rPr>
          <w:rFonts w:hint="eastAsia" w:ascii="宋体" w:hAnsi="宋体" w:cs="宋体"/>
          <w:color w:val="000000"/>
          <w:sz w:val="24"/>
        </w:rPr>
      </w:pPr>
    </w:p>
    <w:p>
      <w:pPr>
        <w:snapToGrid w:val="0"/>
        <w:spacing w:line="360" w:lineRule="auto"/>
        <w:ind w:firstLine="470" w:firstLineChars="196"/>
        <w:jc w:val="left"/>
        <w:rPr>
          <w:rFonts w:hint="eastAsia" w:ascii="宋体" w:hAnsi="宋体" w:cs="宋体"/>
          <w:color w:val="000000"/>
          <w:sz w:val="24"/>
        </w:rPr>
      </w:pPr>
    </w:p>
    <w:p>
      <w:pPr>
        <w:snapToGrid w:val="0"/>
        <w:spacing w:line="360" w:lineRule="auto"/>
        <w:ind w:firstLine="470" w:firstLineChars="196"/>
        <w:jc w:val="left"/>
        <w:rPr>
          <w:rFonts w:hint="eastAsia" w:ascii="宋体" w:hAnsi="宋体" w:cs="宋体"/>
          <w:color w:val="000000"/>
          <w:sz w:val="24"/>
        </w:rPr>
      </w:pPr>
    </w:p>
    <w:p>
      <w:pPr>
        <w:snapToGrid w:val="0"/>
        <w:spacing w:line="360" w:lineRule="auto"/>
        <w:ind w:firstLine="470" w:firstLineChars="196"/>
        <w:jc w:val="left"/>
        <w:rPr>
          <w:rFonts w:hint="eastAsia" w:ascii="宋体" w:hAnsi="宋体" w:cs="宋体"/>
          <w:color w:val="000000"/>
          <w:sz w:val="24"/>
        </w:rPr>
      </w:pPr>
    </w:p>
    <w:p>
      <w:pPr>
        <w:snapToGrid w:val="0"/>
        <w:spacing w:line="360" w:lineRule="auto"/>
        <w:ind w:firstLine="470" w:firstLineChars="196"/>
        <w:jc w:val="left"/>
        <w:rPr>
          <w:rFonts w:hint="eastAsia" w:ascii="宋体" w:hAnsi="宋体" w:cs="宋体"/>
          <w:color w:val="000000"/>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p>
    <w:p>
      <w:pPr>
        <w:jc w:val="center"/>
        <w:rPr>
          <w:rFonts w:hint="eastAsia" w:ascii="宋体" w:hAnsi="宋体"/>
          <w:b/>
          <w:bCs/>
          <w:sz w:val="24"/>
        </w:rPr>
      </w:pPr>
      <w:r>
        <w:rPr>
          <w:rFonts w:hint="eastAsia" w:ascii="宋体" w:hAnsi="宋体"/>
          <w:b/>
          <w:bCs/>
          <w:sz w:val="24"/>
        </w:rPr>
        <w:t>监狱企业资格证明材料</w:t>
      </w:r>
    </w:p>
    <w:p>
      <w:pPr>
        <w:jc w:val="center"/>
        <w:rPr>
          <w:rFonts w:hint="eastAsia" w:ascii="宋体" w:hAnsi="宋体"/>
          <w:b/>
          <w:bCs/>
          <w:sz w:val="24"/>
        </w:rPr>
      </w:pPr>
    </w:p>
    <w:p>
      <w:pPr>
        <w:jc w:val="center"/>
        <w:rPr>
          <w:rFonts w:hint="eastAsia" w:ascii="宋体" w:hAnsi="宋体"/>
          <w:b/>
          <w:bCs/>
          <w:sz w:val="24"/>
        </w:rPr>
      </w:pPr>
    </w:p>
    <w:p>
      <w:pPr>
        <w:rPr>
          <w:rFonts w:ascii="宋体" w:hAnsi="宋体"/>
          <w:sz w:val="24"/>
        </w:rPr>
      </w:pPr>
      <w:r>
        <w:rPr>
          <w:rFonts w:hint="eastAsia" w:ascii="宋体" w:hAnsi="宋体"/>
          <w:sz w:val="24"/>
        </w:rPr>
        <w:t>（省级以上监狱管理局、戒毒管理局（含新疆生产建设兵团）出具的属于监狱企业的证明文件）</w:t>
      </w:r>
    </w:p>
    <w:p>
      <w:pPr>
        <w:rPr>
          <w:rFonts w:ascii="宋体" w:hAnsi="宋体"/>
          <w:sz w:val="24"/>
        </w:rPr>
      </w:pPr>
    </w:p>
    <w:p>
      <w:pPr>
        <w:autoSpaceDE w:val="0"/>
        <w:autoSpaceDN w:val="0"/>
        <w:textAlignment w:val="bottom"/>
        <w:rPr>
          <w:rFonts w:hint="eastAsia"/>
          <w:b/>
          <w:sz w:val="30"/>
          <w:szCs w:val="30"/>
        </w:rPr>
      </w:pPr>
      <w:r>
        <w:rPr>
          <w:rFonts w:hint="eastAsia" w:ascii="宋体" w:hAnsi="宋体"/>
          <w:sz w:val="24"/>
        </w:rPr>
        <w:t>说明</w:t>
      </w:r>
      <w:r>
        <w:rPr>
          <w:rFonts w:ascii="宋体" w:hAnsi="宋体"/>
          <w:sz w:val="24"/>
        </w:rPr>
        <w:t>：监狱企业视同小型、微型企业。</w:t>
      </w:r>
    </w:p>
    <w:p>
      <w:pPr>
        <w:autoSpaceDE w:val="0"/>
        <w:autoSpaceDN w:val="0"/>
        <w:jc w:val="center"/>
        <w:textAlignment w:val="bottom"/>
        <w:rPr>
          <w:rFonts w:hint="eastAsia"/>
          <w:b/>
          <w:sz w:val="44"/>
          <w:szCs w:val="44"/>
        </w:rPr>
      </w:pPr>
    </w:p>
    <w:p>
      <w:pPr>
        <w:pStyle w:val="20"/>
        <w:ind w:firstLine="210"/>
        <w:rPr>
          <w:rFonts w:hint="eastAsia"/>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snapToGrid w:val="0"/>
        <w:spacing w:before="120" w:beforeLines="50" w:after="50"/>
        <w:rPr>
          <w:rFonts w:hint="eastAsia" w:ascii="宋体" w:hAnsi="宋体"/>
          <w:b/>
          <w:sz w:val="28"/>
          <w:szCs w:val="28"/>
        </w:rPr>
      </w:pPr>
    </w:p>
    <w:p>
      <w:pPr>
        <w:pStyle w:val="2"/>
        <w:rPr>
          <w:rFonts w:hint="eastAsia" w:ascii="宋体" w:hAnsi="宋体"/>
          <w:sz w:val="28"/>
          <w:szCs w:val="28"/>
        </w:rPr>
      </w:pPr>
    </w:p>
    <w:p>
      <w:pPr>
        <w:rPr>
          <w:rFonts w:hint="eastAsia" w:ascii="宋体" w:hAnsi="宋体"/>
          <w:b/>
          <w:sz w:val="28"/>
          <w:szCs w:val="28"/>
        </w:rPr>
      </w:pPr>
    </w:p>
    <w:p>
      <w:pPr>
        <w:pStyle w:val="2"/>
        <w:rPr>
          <w:rFonts w:hint="eastAsia" w:ascii="宋体" w:hAnsi="宋体"/>
          <w:sz w:val="28"/>
          <w:szCs w:val="28"/>
        </w:rPr>
      </w:pPr>
    </w:p>
    <w:p>
      <w:pPr>
        <w:rPr>
          <w:rFonts w:hint="eastAsia" w:ascii="宋体" w:hAnsi="宋体"/>
          <w:b/>
          <w:sz w:val="28"/>
          <w:szCs w:val="28"/>
        </w:rPr>
      </w:pPr>
    </w:p>
    <w:p>
      <w:pPr>
        <w:pStyle w:val="2"/>
        <w:rPr>
          <w:rFonts w:hint="eastAsia" w:ascii="宋体" w:hAnsi="宋体"/>
          <w:sz w:val="28"/>
          <w:szCs w:val="28"/>
        </w:rPr>
      </w:pPr>
    </w:p>
    <w:p>
      <w:pPr>
        <w:rPr>
          <w:rFonts w:hint="eastAsia" w:ascii="宋体" w:hAnsi="宋体"/>
          <w:b/>
          <w:sz w:val="28"/>
          <w:szCs w:val="28"/>
        </w:rPr>
      </w:pPr>
    </w:p>
    <w:p>
      <w:pPr>
        <w:pStyle w:val="19"/>
        <w:jc w:val="center"/>
        <w:rPr>
          <w:rFonts w:hint="eastAsia" w:ascii="宋体" w:hAnsi="宋体"/>
          <w:spacing w:val="20"/>
          <w:sz w:val="24"/>
        </w:rPr>
      </w:pPr>
    </w:p>
    <w:p>
      <w:pPr>
        <w:pStyle w:val="19"/>
        <w:jc w:val="center"/>
        <w:rPr>
          <w:rFonts w:hint="eastAsia" w:ascii="宋体" w:hAnsi="宋体"/>
          <w:spacing w:val="20"/>
          <w:sz w:val="24"/>
        </w:rPr>
      </w:pPr>
    </w:p>
    <w:p>
      <w:pPr>
        <w:pStyle w:val="19"/>
        <w:jc w:val="center"/>
        <w:rPr>
          <w:rFonts w:hint="eastAsia" w:ascii="宋体" w:hAnsi="宋体"/>
          <w:spacing w:val="20"/>
          <w:sz w:val="24"/>
        </w:rPr>
      </w:pPr>
    </w:p>
    <w:p>
      <w:pPr>
        <w:pStyle w:val="19"/>
        <w:jc w:val="center"/>
        <w:rPr>
          <w:rFonts w:hint="eastAsia" w:ascii="宋体" w:hAnsi="宋体"/>
          <w:spacing w:val="20"/>
          <w:sz w:val="24"/>
        </w:rPr>
      </w:pPr>
    </w:p>
    <w:p>
      <w:pPr>
        <w:pStyle w:val="19"/>
        <w:jc w:val="center"/>
        <w:rPr>
          <w:rFonts w:hint="eastAsia" w:ascii="宋体" w:hAnsi="宋体"/>
          <w:spacing w:val="20"/>
          <w:sz w:val="24"/>
        </w:rPr>
      </w:pPr>
    </w:p>
    <w:p>
      <w:pPr>
        <w:pStyle w:val="19"/>
        <w:jc w:val="center"/>
        <w:rPr>
          <w:rFonts w:hint="eastAsia" w:ascii="宋体" w:hAnsi="宋体"/>
          <w:spacing w:val="20"/>
          <w:sz w:val="24"/>
        </w:rPr>
      </w:pPr>
    </w:p>
    <w:p>
      <w:pPr>
        <w:pStyle w:val="19"/>
        <w:jc w:val="center"/>
        <w:rPr>
          <w:rFonts w:hint="eastAsia" w:ascii="宋体" w:hAnsi="宋体"/>
          <w:spacing w:val="20"/>
          <w:sz w:val="24"/>
        </w:rPr>
      </w:pPr>
    </w:p>
    <w:p>
      <w:pPr>
        <w:pStyle w:val="19"/>
        <w:jc w:val="center"/>
        <w:rPr>
          <w:rFonts w:hint="eastAsia" w:ascii="宋体" w:hAnsi="宋体"/>
          <w:spacing w:val="20"/>
          <w:sz w:val="24"/>
        </w:rPr>
      </w:pPr>
    </w:p>
    <w:p>
      <w:pPr>
        <w:pStyle w:val="227"/>
        <w:widowControl w:val="0"/>
        <w:snapToGrid w:val="0"/>
        <w:spacing w:line="500" w:lineRule="exact"/>
        <w:rPr>
          <w:rFonts w:hint="default" w:hAnsi="宋体"/>
          <w:b/>
          <w:bCs/>
          <w:color w:val="C00000"/>
          <w:sz w:val="24"/>
          <w:szCs w:val="24"/>
        </w:rPr>
      </w:pPr>
      <w:r>
        <w:rPr>
          <w:rFonts w:hAnsi="宋体"/>
          <w:b/>
          <w:bCs/>
          <w:color w:val="C00000"/>
          <w:sz w:val="24"/>
          <w:szCs w:val="24"/>
        </w:rPr>
        <w:t>根据浙江省财政厅关于印发《浙江省政府采购活动现场组织管理办法》的通知（浙财采监【2015】13号）文件要求，由各投标供应商在投标文件解密后半小时内如实填写政府采购活动现场确认声明书，并以扫描件形式发送至271184168@qq.com邮箱，如未如实填写，将有可能影响你的投标文件评审（政府采购活动现场确认声明书格式见附表）。</w:t>
      </w: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p>
    <w:p>
      <w:pPr>
        <w:pStyle w:val="227"/>
        <w:widowControl w:val="0"/>
        <w:snapToGrid w:val="0"/>
        <w:spacing w:line="500" w:lineRule="exact"/>
        <w:rPr>
          <w:rFonts w:hAnsi="宋体"/>
          <w:b/>
          <w:bCs/>
          <w:color w:val="C00000"/>
          <w:sz w:val="24"/>
          <w:szCs w:val="24"/>
        </w:rPr>
      </w:pPr>
      <w:r>
        <w:rPr>
          <w:rFonts w:hAnsi="宋体"/>
          <w:b/>
          <w:bCs/>
          <w:color w:val="C00000"/>
          <w:sz w:val="24"/>
          <w:szCs w:val="24"/>
        </w:rPr>
        <w:t>附表：                   政府采购活动现场确认声明书</w:t>
      </w:r>
    </w:p>
    <w:p>
      <w:pPr>
        <w:pStyle w:val="227"/>
        <w:widowControl w:val="0"/>
        <w:snapToGrid w:val="0"/>
        <w:spacing w:line="500" w:lineRule="exact"/>
        <w:jc w:val="both"/>
        <w:rPr>
          <w:rFonts w:hAnsi="宋体" w:cs="宋体"/>
          <w:b/>
          <w:color w:val="C00000"/>
          <w:szCs w:val="21"/>
        </w:rPr>
      </w:pPr>
      <w:r>
        <w:rPr>
          <w:rFonts w:hAnsi="宋体" w:cs="宋体"/>
          <w:color w:val="C00000"/>
          <w:kern w:val="0"/>
          <w:szCs w:val="21"/>
          <w:u w:val="single"/>
        </w:rPr>
        <w:t>嵊州市力标招标代理有限公司</w:t>
      </w:r>
      <w:r>
        <w:rPr>
          <w:rFonts w:hAnsi="宋体" w:cs="宋体"/>
          <w:color w:val="C00000"/>
          <w:kern w:val="0"/>
          <w:szCs w:val="21"/>
        </w:rPr>
        <w:t>：</w:t>
      </w:r>
    </w:p>
    <w:p>
      <w:pPr>
        <w:pStyle w:val="227"/>
        <w:widowControl w:val="0"/>
        <w:snapToGrid w:val="0"/>
        <w:spacing w:line="500" w:lineRule="exact"/>
        <w:ind w:firstLine="444" w:firstLineChars="200"/>
        <w:jc w:val="both"/>
        <w:rPr>
          <w:rFonts w:hAnsi="宋体" w:cs="宋体"/>
          <w:color w:val="C00000"/>
          <w:spacing w:val="6"/>
          <w:szCs w:val="21"/>
        </w:rPr>
      </w:pPr>
      <w:r>
        <w:rPr>
          <w:rFonts w:hAnsi="宋体" w:cs="宋体"/>
          <w:color w:val="C00000"/>
          <w:spacing w:val="6"/>
          <w:szCs w:val="21"/>
        </w:rPr>
        <w:t>本人</w:t>
      </w:r>
      <w:r>
        <w:rPr>
          <w:rFonts w:hAnsi="宋体" w:cs="宋体"/>
          <w:color w:val="C00000"/>
          <w:spacing w:val="6"/>
          <w:szCs w:val="21"/>
          <w:u w:val="single"/>
        </w:rPr>
        <w:t xml:space="preserve">      </w:t>
      </w:r>
      <w:r>
        <w:rPr>
          <w:rFonts w:hAnsi="宋体" w:cs="宋体"/>
          <w:color w:val="C00000"/>
          <w:spacing w:val="6"/>
          <w:szCs w:val="21"/>
        </w:rPr>
        <w:t>经由</w:t>
      </w:r>
      <w:r>
        <w:rPr>
          <w:rFonts w:hAnsi="宋体" w:cs="宋体"/>
          <w:color w:val="C00000"/>
          <w:spacing w:val="6"/>
          <w:szCs w:val="21"/>
          <w:u w:val="single"/>
        </w:rPr>
        <w:t xml:space="preserve">                                （单位）</w:t>
      </w:r>
      <w:r>
        <w:rPr>
          <w:rFonts w:hAnsi="宋体" w:cs="宋体"/>
          <w:color w:val="C00000"/>
          <w:spacing w:val="6"/>
          <w:szCs w:val="21"/>
        </w:rPr>
        <w:t>负责人</w:t>
      </w:r>
      <w:r>
        <w:rPr>
          <w:rFonts w:hAnsi="宋体" w:cs="宋体"/>
          <w:color w:val="C00000"/>
          <w:spacing w:val="6"/>
          <w:szCs w:val="21"/>
          <w:u w:val="single"/>
        </w:rPr>
        <w:t xml:space="preserve"> </w:t>
      </w:r>
      <w:r>
        <w:rPr>
          <w:rFonts w:hAnsi="宋体" w:cs="宋体"/>
          <w:i/>
          <w:iCs/>
          <w:color w:val="C00000"/>
          <w:spacing w:val="6"/>
          <w:szCs w:val="21"/>
          <w:u w:val="single"/>
        </w:rPr>
        <w:t xml:space="preserve"> </w:t>
      </w:r>
      <w:r>
        <w:rPr>
          <w:rFonts w:hAnsi="宋体" w:cs="宋体"/>
          <w:i/>
          <w:iCs/>
          <w:spacing w:val="6"/>
          <w:szCs w:val="21"/>
          <w:u w:val="single"/>
        </w:rPr>
        <w:t xml:space="preserve">    </w:t>
      </w:r>
      <w:r>
        <w:rPr>
          <w:rFonts w:hAnsi="宋体" w:cs="宋体"/>
          <w:color w:val="C00000"/>
          <w:spacing w:val="6"/>
          <w:szCs w:val="21"/>
          <w:u w:val="single"/>
        </w:rPr>
        <w:t>（姓名）</w:t>
      </w:r>
      <w:r>
        <w:rPr>
          <w:rFonts w:hAnsi="宋体" w:cs="宋体"/>
          <w:color w:val="C00000"/>
          <w:spacing w:val="6"/>
          <w:szCs w:val="21"/>
        </w:rPr>
        <w:t>合法授权参加</w:t>
      </w:r>
      <w:r>
        <w:rPr>
          <w:rFonts w:hAnsi="宋体" w:cs="宋体"/>
          <w:color w:val="C00000"/>
          <w:spacing w:val="6"/>
          <w:szCs w:val="21"/>
          <w:u w:val="single"/>
        </w:rPr>
        <w:t xml:space="preserve">                </w:t>
      </w:r>
      <w:r>
        <w:rPr>
          <w:rFonts w:hAnsi="宋体" w:cs="宋体"/>
          <w:color w:val="C00000"/>
          <w:spacing w:val="6"/>
          <w:szCs w:val="21"/>
        </w:rPr>
        <w:t>（项目编号：</w:t>
      </w:r>
      <w:r>
        <w:rPr>
          <w:rFonts w:hAnsi="宋体" w:cs="宋体"/>
          <w:color w:val="C00000"/>
          <w:spacing w:val="6"/>
          <w:szCs w:val="21"/>
          <w:u w:val="single"/>
        </w:rPr>
        <w:t xml:space="preserve">            </w:t>
      </w:r>
      <w:r>
        <w:rPr>
          <w:rFonts w:hAnsi="宋体" w:cs="宋体"/>
          <w:color w:val="C00000"/>
          <w:spacing w:val="6"/>
          <w:szCs w:val="21"/>
        </w:rPr>
        <w:t xml:space="preserve">）政府采购活动，经与本单位法人代表（负责人）联系确认，现就有关公平竞争事项郑重声明如下： </w:t>
      </w:r>
    </w:p>
    <w:p>
      <w:pPr>
        <w:pStyle w:val="172"/>
        <w:widowControl/>
        <w:snapToGrid w:val="0"/>
        <w:spacing w:line="500" w:lineRule="exact"/>
        <w:rPr>
          <w:rFonts w:ascii="宋体" w:hAnsi="宋体" w:cs="宋体"/>
          <w:color w:val="C00000"/>
          <w:kern w:val="0"/>
          <w:szCs w:val="21"/>
        </w:rPr>
      </w:pPr>
      <w:r>
        <w:rPr>
          <w:rFonts w:ascii="宋体" w:hAnsi="宋体" w:cs="宋体"/>
          <w:color w:val="C00000"/>
          <w:kern w:val="0"/>
          <w:szCs w:val="21"/>
        </w:rPr>
        <w:t xml:space="preserve">一、本单位与采购人之间 </w:t>
      </w:r>
    </w:p>
    <w:p>
      <w:pPr>
        <w:pStyle w:val="172"/>
        <w:widowControl/>
        <w:snapToGrid w:val="0"/>
        <w:spacing w:line="500" w:lineRule="exact"/>
        <w:rPr>
          <w:rFonts w:ascii="宋体" w:hAnsi="宋体" w:cs="宋体"/>
          <w:color w:val="C00000"/>
          <w:kern w:val="0"/>
          <w:szCs w:val="21"/>
        </w:rPr>
      </w:pPr>
      <w:r>
        <w:rPr>
          <w:rFonts w:ascii="宋体" w:hAnsi="宋体" w:cs="宋体"/>
          <w:color w:val="C00000"/>
          <w:kern w:val="0"/>
          <w:szCs w:val="21"/>
        </w:rPr>
        <w:t xml:space="preserve">  □不存在利害关系;</w:t>
      </w:r>
    </w:p>
    <w:p>
      <w:pPr>
        <w:pStyle w:val="172"/>
        <w:widowControl/>
        <w:snapToGrid w:val="0"/>
        <w:spacing w:line="500" w:lineRule="exact"/>
        <w:rPr>
          <w:rFonts w:ascii="宋体" w:hAnsi="宋体" w:cs="宋体"/>
          <w:color w:val="C00000"/>
          <w:kern w:val="0"/>
          <w:szCs w:val="21"/>
        </w:rPr>
      </w:pPr>
      <w:r>
        <w:rPr>
          <w:rFonts w:ascii="宋体" w:hAnsi="宋体" w:cs="宋体"/>
          <w:color w:val="C00000"/>
          <w:kern w:val="0"/>
          <w:szCs w:val="21"/>
        </w:rPr>
        <w:t xml:space="preserve">  □存在下列利害关系</w:t>
      </w:r>
      <w:r>
        <w:rPr>
          <w:rFonts w:ascii="宋体" w:hAnsi="宋体" w:cs="宋体"/>
          <w:color w:val="C00000"/>
          <w:kern w:val="0"/>
          <w:szCs w:val="21"/>
          <w:u w:val="single"/>
        </w:rPr>
        <w:t xml:space="preserve">           </w:t>
      </w:r>
      <w:r>
        <w:rPr>
          <w:rFonts w:ascii="宋体" w:hAnsi="宋体" w:cs="宋体"/>
          <w:color w:val="C00000"/>
          <w:kern w:val="0"/>
          <w:szCs w:val="21"/>
        </w:rPr>
        <w:t>：</w:t>
      </w:r>
    </w:p>
    <w:p>
      <w:pPr>
        <w:pStyle w:val="172"/>
        <w:widowControl/>
        <w:snapToGrid w:val="0"/>
        <w:spacing w:line="500" w:lineRule="exact"/>
        <w:rPr>
          <w:rFonts w:ascii="宋体" w:hAnsi="宋体" w:cs="宋体"/>
          <w:color w:val="C00000"/>
          <w:kern w:val="0"/>
          <w:szCs w:val="21"/>
        </w:rPr>
      </w:pPr>
      <w:r>
        <w:rPr>
          <w:rFonts w:ascii="宋体" w:hAnsi="宋体" w:cs="宋体"/>
          <w:color w:val="C00000"/>
          <w:kern w:val="0"/>
          <w:szCs w:val="21"/>
        </w:rPr>
        <w:t xml:space="preserve">  A.投资关系    B.行政隶属关系    C.业务指导关系</w:t>
      </w:r>
    </w:p>
    <w:p>
      <w:pPr>
        <w:pStyle w:val="172"/>
        <w:widowControl/>
        <w:snapToGrid w:val="0"/>
        <w:spacing w:line="500" w:lineRule="exact"/>
        <w:rPr>
          <w:rFonts w:ascii="宋体" w:hAnsi="宋体" w:cs="宋体"/>
          <w:color w:val="C00000"/>
          <w:kern w:val="0"/>
          <w:szCs w:val="21"/>
        </w:rPr>
      </w:pPr>
      <w:r>
        <w:rPr>
          <w:rFonts w:ascii="宋体" w:hAnsi="宋体" w:cs="宋体"/>
          <w:color w:val="C00000"/>
          <w:kern w:val="0"/>
          <w:szCs w:val="21"/>
        </w:rPr>
        <w:t xml:space="preserve">  D.其他可能</w:t>
      </w:r>
      <w:r>
        <w:rPr>
          <w:rFonts w:ascii="宋体" w:hAnsi="宋体" w:cs="宋体"/>
          <w:color w:val="C00000"/>
          <w:szCs w:val="21"/>
        </w:rPr>
        <w:t>影响采购公正的</w:t>
      </w:r>
      <w:r>
        <w:rPr>
          <w:rFonts w:ascii="宋体" w:hAnsi="宋体" w:cs="宋体"/>
          <w:color w:val="C00000"/>
          <w:kern w:val="0"/>
          <w:szCs w:val="21"/>
        </w:rPr>
        <w:t>利害关系</w:t>
      </w:r>
      <w:r>
        <w:rPr>
          <w:rFonts w:ascii="宋体" w:hAnsi="宋体" w:cs="宋体"/>
          <w:color w:val="C00000"/>
          <w:kern w:val="0"/>
          <w:szCs w:val="21"/>
          <w:u w:val="single"/>
        </w:rPr>
        <w:t xml:space="preserve">（如有，请如实说明）                 </w:t>
      </w:r>
      <w:r>
        <w:rPr>
          <w:rFonts w:ascii="宋体" w:hAnsi="宋体" w:cs="宋体"/>
          <w:color w:val="C00000"/>
          <w:kern w:val="0"/>
          <w:szCs w:val="21"/>
        </w:rPr>
        <w:t>。</w:t>
      </w:r>
    </w:p>
    <w:p>
      <w:pPr>
        <w:pStyle w:val="172"/>
        <w:widowControl/>
        <w:snapToGrid w:val="0"/>
        <w:spacing w:line="500" w:lineRule="exact"/>
        <w:rPr>
          <w:rFonts w:ascii="宋体" w:hAnsi="宋体" w:cs="宋体"/>
          <w:color w:val="C00000"/>
          <w:kern w:val="0"/>
          <w:szCs w:val="21"/>
        </w:rPr>
      </w:pPr>
      <w:r>
        <w:rPr>
          <w:rFonts w:ascii="宋体" w:hAnsi="宋体" w:cs="宋体"/>
          <w:color w:val="C00000"/>
          <w:spacing w:val="6"/>
          <w:szCs w:val="21"/>
        </w:rPr>
        <w:t>二、</w:t>
      </w:r>
      <w:r>
        <w:rPr>
          <w:rFonts w:ascii="宋体" w:hAnsi="宋体" w:cs="宋体"/>
          <w:color w:val="C00000"/>
          <w:kern w:val="0"/>
          <w:szCs w:val="21"/>
        </w:rPr>
        <w:t xml:space="preserve">现已清楚知道参加本项目采购活动的其他所有供应商名称，本单位 </w:t>
      </w:r>
    </w:p>
    <w:p>
      <w:pPr>
        <w:pStyle w:val="172"/>
        <w:widowControl/>
        <w:snapToGrid w:val="0"/>
        <w:spacing w:line="500" w:lineRule="exact"/>
        <w:rPr>
          <w:rFonts w:ascii="宋体" w:hAnsi="宋体" w:cs="宋体"/>
          <w:color w:val="C00000"/>
          <w:kern w:val="0"/>
          <w:szCs w:val="21"/>
        </w:rPr>
      </w:pPr>
      <w:r>
        <w:rPr>
          <w:rFonts w:ascii="宋体" w:hAnsi="宋体" w:cs="宋体"/>
          <w:color w:val="C00000"/>
          <w:kern w:val="0"/>
          <w:szCs w:val="21"/>
        </w:rPr>
        <w:t xml:space="preserve">  □与其他所有供应商之间均不存在利害关系 </w:t>
      </w:r>
    </w:p>
    <w:p>
      <w:pPr>
        <w:pStyle w:val="172"/>
        <w:widowControl/>
        <w:snapToGrid w:val="0"/>
        <w:spacing w:line="500" w:lineRule="exact"/>
        <w:rPr>
          <w:rFonts w:ascii="宋体" w:hAnsi="宋体" w:cs="宋体"/>
          <w:color w:val="C00000"/>
          <w:kern w:val="0"/>
          <w:szCs w:val="21"/>
        </w:rPr>
      </w:pPr>
      <w:r>
        <w:rPr>
          <w:rFonts w:ascii="宋体" w:hAnsi="宋体" w:cs="宋体"/>
          <w:color w:val="C00000"/>
          <w:kern w:val="0"/>
          <w:szCs w:val="21"/>
        </w:rPr>
        <w:t xml:space="preserve">  □与</w:t>
      </w:r>
      <w:r>
        <w:rPr>
          <w:rFonts w:ascii="宋体" w:hAnsi="宋体" w:cs="宋体"/>
          <w:color w:val="C00000"/>
          <w:kern w:val="0"/>
          <w:szCs w:val="21"/>
          <w:u w:val="single"/>
        </w:rPr>
        <w:t xml:space="preserve">           （供应商名称）</w:t>
      </w:r>
      <w:r>
        <w:rPr>
          <w:rFonts w:ascii="宋体" w:hAnsi="宋体" w:cs="宋体"/>
          <w:color w:val="C00000"/>
          <w:kern w:val="0"/>
          <w:szCs w:val="21"/>
        </w:rPr>
        <w:t>之间存在下列利害关系</w:t>
      </w:r>
      <w:r>
        <w:rPr>
          <w:rFonts w:ascii="宋体" w:hAnsi="宋体" w:cs="宋体"/>
          <w:color w:val="C00000"/>
          <w:kern w:val="0"/>
          <w:szCs w:val="21"/>
          <w:u w:val="single"/>
        </w:rPr>
        <w:t xml:space="preserve">          </w:t>
      </w:r>
      <w:r>
        <w:rPr>
          <w:rFonts w:ascii="宋体" w:hAnsi="宋体" w:cs="宋体"/>
          <w:color w:val="C00000"/>
          <w:kern w:val="0"/>
          <w:szCs w:val="21"/>
        </w:rPr>
        <w:t>：</w:t>
      </w:r>
    </w:p>
    <w:p>
      <w:pPr>
        <w:pStyle w:val="227"/>
        <w:widowControl w:val="0"/>
        <w:snapToGrid w:val="0"/>
        <w:spacing w:line="500" w:lineRule="exact"/>
        <w:jc w:val="both"/>
        <w:rPr>
          <w:rFonts w:hAnsi="宋体" w:cs="宋体"/>
          <w:color w:val="C00000"/>
          <w:kern w:val="0"/>
          <w:szCs w:val="21"/>
        </w:rPr>
      </w:pPr>
      <w:r>
        <w:rPr>
          <w:rFonts w:hAnsi="宋体" w:cs="宋体"/>
          <w:color w:val="C00000"/>
          <w:kern w:val="0"/>
          <w:szCs w:val="21"/>
        </w:rPr>
        <w:t xml:space="preserve">  A.法定代表人或负责人或实际控制人是同一人</w:t>
      </w:r>
    </w:p>
    <w:p>
      <w:pPr>
        <w:pStyle w:val="227"/>
        <w:widowControl w:val="0"/>
        <w:snapToGrid w:val="0"/>
        <w:spacing w:line="500" w:lineRule="exact"/>
        <w:jc w:val="both"/>
        <w:rPr>
          <w:rFonts w:hAnsi="宋体" w:cs="宋体"/>
          <w:color w:val="C00000"/>
          <w:spacing w:val="6"/>
          <w:szCs w:val="21"/>
        </w:rPr>
      </w:pPr>
      <w:r>
        <w:rPr>
          <w:rFonts w:hAnsi="宋体" w:cs="宋体"/>
          <w:color w:val="C00000"/>
          <w:kern w:val="0"/>
          <w:szCs w:val="21"/>
        </w:rPr>
        <w:t xml:space="preserve">  B.法定代表人或负责人或实际控制人是夫妻关系</w:t>
      </w:r>
    </w:p>
    <w:p>
      <w:pPr>
        <w:pStyle w:val="227"/>
        <w:widowControl w:val="0"/>
        <w:snapToGrid w:val="0"/>
        <w:spacing w:line="500" w:lineRule="exact"/>
        <w:jc w:val="both"/>
        <w:rPr>
          <w:rFonts w:hAnsi="宋体" w:cs="宋体"/>
          <w:color w:val="C00000"/>
          <w:spacing w:val="6"/>
          <w:szCs w:val="21"/>
        </w:rPr>
      </w:pPr>
      <w:r>
        <w:rPr>
          <w:rFonts w:hAnsi="宋体" w:cs="宋体"/>
          <w:color w:val="C00000"/>
          <w:kern w:val="0"/>
          <w:szCs w:val="21"/>
        </w:rPr>
        <w:t xml:space="preserve">  C.法定代表人或负责人或实际控制人是直系血亲关系</w:t>
      </w:r>
    </w:p>
    <w:p>
      <w:pPr>
        <w:pStyle w:val="227"/>
        <w:widowControl w:val="0"/>
        <w:snapToGrid w:val="0"/>
        <w:spacing w:line="500" w:lineRule="exact"/>
        <w:jc w:val="both"/>
        <w:rPr>
          <w:rFonts w:hAnsi="宋体" w:cs="宋体"/>
          <w:color w:val="C00000"/>
          <w:spacing w:val="6"/>
          <w:szCs w:val="21"/>
        </w:rPr>
      </w:pPr>
      <w:r>
        <w:rPr>
          <w:rFonts w:hAnsi="宋体" w:cs="宋体"/>
          <w:color w:val="C00000"/>
          <w:kern w:val="0"/>
          <w:szCs w:val="21"/>
        </w:rPr>
        <w:t xml:space="preserve">  D.法定代表人或负责人或实际控制人存在三代以内旁系血亲关系</w:t>
      </w:r>
    </w:p>
    <w:p>
      <w:pPr>
        <w:pStyle w:val="227"/>
        <w:widowControl w:val="0"/>
        <w:snapToGrid w:val="0"/>
        <w:spacing w:line="500" w:lineRule="exact"/>
        <w:jc w:val="both"/>
        <w:rPr>
          <w:rFonts w:hAnsi="宋体" w:cs="宋体"/>
          <w:color w:val="C00000"/>
          <w:kern w:val="0"/>
          <w:szCs w:val="21"/>
        </w:rPr>
      </w:pPr>
      <w:r>
        <w:rPr>
          <w:rFonts w:hAnsi="宋体" w:cs="宋体"/>
          <w:color w:val="C00000"/>
          <w:kern w:val="0"/>
          <w:szCs w:val="21"/>
        </w:rPr>
        <w:t xml:space="preserve">  E.法定代表人或负责人或实际控制人存在近姻亲关系</w:t>
      </w:r>
    </w:p>
    <w:p>
      <w:pPr>
        <w:pStyle w:val="227"/>
        <w:widowControl w:val="0"/>
        <w:snapToGrid w:val="0"/>
        <w:spacing w:line="500" w:lineRule="exact"/>
        <w:jc w:val="both"/>
        <w:rPr>
          <w:rFonts w:hAnsi="宋体" w:cs="宋体"/>
          <w:color w:val="C00000"/>
          <w:kern w:val="0"/>
          <w:szCs w:val="21"/>
        </w:rPr>
      </w:pPr>
      <w:r>
        <w:rPr>
          <w:rFonts w:hAnsi="宋体" w:cs="宋体"/>
          <w:color w:val="C00000"/>
          <w:kern w:val="0"/>
          <w:szCs w:val="21"/>
        </w:rPr>
        <w:t xml:space="preserve">  F.法定代表人或负责人或实际控制人存在股份控制或实际控制关系</w:t>
      </w:r>
    </w:p>
    <w:p>
      <w:pPr>
        <w:pStyle w:val="227"/>
        <w:widowControl w:val="0"/>
        <w:snapToGrid w:val="0"/>
        <w:spacing w:line="500" w:lineRule="exact"/>
        <w:jc w:val="both"/>
        <w:outlineLvl w:val="0"/>
        <w:rPr>
          <w:rFonts w:hAnsi="宋体" w:cs="宋体"/>
          <w:color w:val="C00000"/>
          <w:kern w:val="0"/>
          <w:szCs w:val="21"/>
        </w:rPr>
      </w:pPr>
      <w:r>
        <w:rPr>
          <w:rFonts w:hAnsi="宋体" w:cs="宋体"/>
          <w:color w:val="C00000"/>
          <w:kern w:val="0"/>
          <w:szCs w:val="21"/>
        </w:rPr>
        <w:t xml:space="preserve">  </w:t>
      </w:r>
      <w:bookmarkStart w:id="255" w:name="_Toc11926"/>
      <w:r>
        <w:rPr>
          <w:rFonts w:hAnsi="宋体" w:cs="宋体"/>
          <w:color w:val="C00000"/>
          <w:kern w:val="0"/>
          <w:szCs w:val="21"/>
        </w:rPr>
        <w:t>G.存在共同直接或间接投资设立子公司、联营企业和合营企业情况</w:t>
      </w:r>
      <w:bookmarkEnd w:id="255"/>
    </w:p>
    <w:p>
      <w:pPr>
        <w:pStyle w:val="227"/>
        <w:widowControl w:val="0"/>
        <w:snapToGrid w:val="0"/>
        <w:spacing w:line="500" w:lineRule="exact"/>
        <w:jc w:val="both"/>
        <w:rPr>
          <w:rFonts w:hAnsi="宋体" w:cs="宋体"/>
          <w:color w:val="C00000"/>
          <w:szCs w:val="21"/>
        </w:rPr>
      </w:pPr>
      <w:r>
        <w:rPr>
          <w:rFonts w:hAnsi="宋体" w:cs="宋体"/>
          <w:color w:val="C00000"/>
          <w:kern w:val="0"/>
          <w:szCs w:val="21"/>
        </w:rPr>
        <w:t xml:space="preserve">  H.存在分级代理或代销关系、同一生产制造商关系、</w:t>
      </w:r>
      <w:r>
        <w:rPr>
          <w:rFonts w:hAnsi="宋体" w:cs="宋体"/>
          <w:color w:val="C00000"/>
          <w:szCs w:val="21"/>
        </w:rPr>
        <w:t>管理关系、重要业务（占主营业务收入50%以上）或重要财务往来关系（如融资）等其他实质性控制关系</w:t>
      </w:r>
    </w:p>
    <w:p>
      <w:pPr>
        <w:pStyle w:val="227"/>
        <w:widowControl w:val="0"/>
        <w:snapToGrid w:val="0"/>
        <w:spacing w:line="500" w:lineRule="exact"/>
        <w:jc w:val="both"/>
        <w:rPr>
          <w:rFonts w:hAnsi="宋体" w:cs="宋体"/>
          <w:color w:val="C00000"/>
          <w:spacing w:val="6"/>
          <w:szCs w:val="21"/>
        </w:rPr>
      </w:pPr>
      <w:r>
        <w:rPr>
          <w:rFonts w:hAnsi="宋体" w:cs="宋体"/>
          <w:color w:val="C00000"/>
          <w:szCs w:val="21"/>
        </w:rPr>
        <w:t xml:space="preserve">  I</w:t>
      </w:r>
      <w:r>
        <w:rPr>
          <w:rFonts w:hAnsi="宋体" w:cs="宋体"/>
          <w:color w:val="C00000"/>
          <w:kern w:val="0"/>
          <w:szCs w:val="21"/>
        </w:rPr>
        <w:t>.</w:t>
      </w:r>
      <w:r>
        <w:rPr>
          <w:rFonts w:hAnsi="宋体" w:cs="宋体"/>
          <w:color w:val="C00000"/>
          <w:szCs w:val="21"/>
        </w:rPr>
        <w:t>其他利害关系情况</w:t>
      </w:r>
      <w:r>
        <w:rPr>
          <w:rFonts w:hAnsi="宋体" w:cs="宋体"/>
          <w:color w:val="C00000"/>
          <w:szCs w:val="21"/>
          <w:u w:val="single"/>
        </w:rPr>
        <w:t xml:space="preserve">                              </w:t>
      </w:r>
      <w:r>
        <w:rPr>
          <w:rFonts w:hAnsi="宋体" w:cs="宋体"/>
          <w:color w:val="C00000"/>
          <w:kern w:val="0"/>
          <w:szCs w:val="21"/>
        </w:rPr>
        <w:t>。</w:t>
      </w:r>
    </w:p>
    <w:p>
      <w:pPr>
        <w:pStyle w:val="172"/>
        <w:widowControl/>
        <w:snapToGrid w:val="0"/>
        <w:spacing w:line="500" w:lineRule="exact"/>
        <w:rPr>
          <w:rFonts w:ascii="宋体" w:hAnsi="宋体" w:cs="宋体"/>
          <w:color w:val="C00000"/>
          <w:kern w:val="0"/>
          <w:szCs w:val="21"/>
        </w:rPr>
      </w:pPr>
      <w:r>
        <w:rPr>
          <w:rFonts w:ascii="宋体" w:hAnsi="宋体" w:cs="宋体"/>
          <w:color w:val="C00000"/>
          <w:szCs w:val="21"/>
        </w:rPr>
        <w:t>三、现已清楚知道并</w:t>
      </w:r>
      <w:r>
        <w:rPr>
          <w:rFonts w:ascii="宋体" w:hAnsi="宋体" w:cs="宋体"/>
          <w:color w:val="C00000"/>
          <w:kern w:val="0"/>
          <w:szCs w:val="21"/>
        </w:rPr>
        <w:t>严格遵守政府采购法律法规和现场纪律。</w:t>
      </w:r>
    </w:p>
    <w:p>
      <w:pPr>
        <w:pStyle w:val="172"/>
        <w:widowControl/>
        <w:snapToGrid w:val="0"/>
        <w:spacing w:line="500" w:lineRule="exact"/>
        <w:rPr>
          <w:rFonts w:ascii="宋体" w:hAnsi="宋体" w:cs="宋体"/>
          <w:color w:val="C00000"/>
          <w:kern w:val="0"/>
          <w:szCs w:val="21"/>
        </w:rPr>
      </w:pPr>
      <w:r>
        <w:rPr>
          <w:rFonts w:ascii="宋体" w:hAnsi="宋体" w:cs="宋体"/>
          <w:color w:val="C00000"/>
          <w:kern w:val="0"/>
          <w:szCs w:val="21"/>
        </w:rPr>
        <w:t>四、我发现</w:t>
      </w:r>
      <w:r>
        <w:rPr>
          <w:rFonts w:ascii="宋体" w:hAnsi="宋体" w:cs="宋体"/>
          <w:color w:val="C00000"/>
          <w:kern w:val="0"/>
          <w:szCs w:val="21"/>
          <w:u w:val="single"/>
        </w:rPr>
        <w:t xml:space="preserve">                </w:t>
      </w:r>
      <w:r>
        <w:rPr>
          <w:rFonts w:ascii="宋体" w:hAnsi="宋体" w:cs="宋体"/>
          <w:color w:val="C00000"/>
          <w:kern w:val="0"/>
          <w:szCs w:val="21"/>
        </w:rPr>
        <w:t>供应商之间存在或可能存在上述第二条第</w:t>
      </w:r>
      <w:r>
        <w:rPr>
          <w:rFonts w:ascii="宋体" w:hAnsi="宋体" w:cs="宋体"/>
          <w:color w:val="C00000"/>
          <w:kern w:val="0"/>
          <w:szCs w:val="21"/>
          <w:u w:val="single"/>
        </w:rPr>
        <w:t xml:space="preserve">        </w:t>
      </w:r>
      <w:r>
        <w:rPr>
          <w:rFonts w:ascii="宋体" w:hAnsi="宋体" w:cs="宋体"/>
          <w:color w:val="C00000"/>
          <w:kern w:val="0"/>
          <w:szCs w:val="21"/>
        </w:rPr>
        <w:t>项利害关系。</w:t>
      </w:r>
    </w:p>
    <w:p>
      <w:pPr>
        <w:pStyle w:val="227"/>
        <w:widowControl w:val="0"/>
        <w:snapToGrid w:val="0"/>
        <w:spacing w:line="500" w:lineRule="exact"/>
        <w:jc w:val="both"/>
        <w:rPr>
          <w:rFonts w:hAnsi="宋体"/>
          <w:spacing w:val="20"/>
          <w:sz w:val="24"/>
        </w:rPr>
      </w:pPr>
      <w:r>
        <w:rPr>
          <w:rFonts w:hAnsi="宋体" w:cs="宋体"/>
          <w:color w:val="C00000"/>
          <w:szCs w:val="21"/>
        </w:rPr>
        <w:t xml:space="preserve"> （供应商代表签名）：                                        </w:t>
      </w:r>
      <w:r>
        <w:rPr>
          <w:rFonts w:hint="eastAsia" w:hAnsi="宋体" w:cs="宋体"/>
          <w:color w:val="C00000"/>
          <w:szCs w:val="21"/>
          <w:lang w:eastAsia="zh-CN"/>
        </w:rPr>
        <w:t>2021</w:t>
      </w:r>
      <w:r>
        <w:rPr>
          <w:rFonts w:hAnsi="宋体" w:cs="宋体"/>
          <w:color w:val="C00000"/>
          <w:szCs w:val="21"/>
        </w:rPr>
        <w:t>年  月   日</w:t>
      </w:r>
    </w:p>
    <w:sectPr>
      <w:headerReference r:id="rId6" w:type="default"/>
      <w:footerReference r:id="rId7" w:type="default"/>
      <w:pgSz w:w="11906" w:h="16838"/>
      <w:pgMar w:top="1474" w:right="1797" w:bottom="1247" w:left="1797" w:header="851"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pple-system">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華康粗圓體">
    <w:altName w:val="Microsoft JhengHei"/>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19"/>
      </w:tabs>
      <w:rPr>
        <w:rFonts w:hint="eastAsia" w:ascii="宋体" w:hAnsi="宋体"/>
        <w:szCs w:val="2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tabs>
                              <w:tab w:val="left" w:pos="5619"/>
                            </w:tabs>
                            <w:jc w:val="center"/>
                          </w:pPr>
                          <w:r>
                            <w:rPr>
                              <w:rFonts w:hint="eastAsia" w:ascii="宋体" w:hAnsi="宋体"/>
                              <w:szCs w:val="21"/>
                            </w:rPr>
                            <w:t xml:space="preserve">- </w:t>
                          </w:r>
                          <w:r>
                            <w:rPr>
                              <w:rFonts w:hint="eastAsia" w:ascii="宋体" w:hAnsi="宋体"/>
                              <w:szCs w:val="21"/>
                            </w:rPr>
                            <w:fldChar w:fldCharType="begin"/>
                          </w:r>
                          <w:r>
                            <w:rPr>
                              <w:rFonts w:hint="eastAsia" w:ascii="宋体" w:hAnsi="宋体"/>
                              <w:szCs w:val="21"/>
                            </w:rPr>
                            <w:instrText xml:space="preserve"> PAGE  \* MERGEFORMAT </w:instrText>
                          </w:r>
                          <w:r>
                            <w:rPr>
                              <w:rFonts w:hint="eastAsia" w:ascii="宋体" w:hAnsi="宋体"/>
                              <w:szCs w:val="21"/>
                            </w:rPr>
                            <w:fldChar w:fldCharType="separate"/>
                          </w:r>
                          <w:r>
                            <w:rPr>
                              <w:rFonts w:ascii="宋体" w:hAnsi="宋体"/>
                              <w:szCs w:val="21"/>
                              <w:lang/>
                            </w:rPr>
                            <w:t>27</w:t>
                          </w:r>
                          <w:r>
                            <w:rPr>
                              <w:rFonts w:hint="eastAsia" w:ascii="宋体" w:hAnsi="宋体"/>
                              <w:szCs w:val="21"/>
                            </w:rPr>
                            <w:fldChar w:fldCharType="end"/>
                          </w:r>
                          <w:r>
                            <w:rPr>
                              <w:rFonts w:hint="eastAsia" w:ascii="宋体" w:hAnsi="宋体"/>
                              <w:szCs w:val="21"/>
                            </w:rPr>
                            <w:t xml:space="preserve"> -</w:t>
                          </w:r>
                        </w:p>
                      </w:txbxContent>
                    </wps:txbx>
                    <wps:bodyPr wrap="none" lIns="0" tIns="0" rIns="0" bIns="0" upright="0">
                      <a:spAutoFit/>
                    </wps:bodyPr>
                  </wps:wsp>
                </a:graphicData>
              </a:graphic>
            </wp:anchor>
          </w:drawing>
        </mc:Choice>
        <mc:Fallback>
          <w:pict>
            <v:shape id="文本框 205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M+lMKjTAQAApgMAAA4AAABkcnMvZTJvRG9jLnhtbK1TS27bMBDd F8gdCO5jKQ7cCoLloIGRokDRFkh7AJoiLQL8gUNb8gXaG3TVTfc9l8/RISU5RbrJohtqfnwz73G0 vhuMJkcRQDnb0JtFSYmw3LXK7hv69cvDdUUJRGZbpp0VDT0JoHebq1fr3tdi6TqnWxEIglioe9/Q LkZfFwXwThgGC+eFxaR0wbCIbtgXbWA9ohtdLMvyddG70PrguADA6HZM0gkxvATQSam42Dp+MMLG ETUIzSJSgk55oJs8rZSCx09SgohENxSZxnxiE7R36Sw2a1bvA/Od4tMI7CUjPONkmLLY9AK1ZZGR Q1D/QBnFgwMn44I7U4xEsiLI4qZ8ps1jx7zIXFBq8BfR4f/B8o/Hz4GoFjeBEssMPvj5x/fzz9/n X9/IslzdJoV6DzUWPnosjcO9G1L1FAcMJuKDDCZ9kRLBPOp7uugrhkh4ulQtq6rEFMfc7CBO8XTd B4jvhDMkGQ0N+IBZV3b8AHEsnUtSN+selNYYZ7W2pEfUVfVmlW9cUoiuLTZJLMZpkxWH3TBR2Ln2 hMx63IKGWlx6SvR7iyKnhZmNMBu72Tj4oPZd3qjUH/zbQ8Rx8pSpwwg7NcbnyzynVUv78befq55+ r80f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M+lMKjTAQAApgMAAA4AAAAAAAAAAQAgAAAA IgEAAGRycy9lMm9Eb2MueG1sUEsFBgAAAAAGAAYAWQEAAGcFAAAAAA== ">
              <v:fill on="f" focussize="0,0"/>
              <v:stroke on="f" weight="1.25pt"/>
              <v:imagedata o:title=""/>
              <o:lock v:ext="edit" aspectratio="f"/>
              <v:textbox inset="0mm,0mm,0mm,0mm" style="mso-fit-shape-to-text:t;">
                <w:txbxContent>
                  <w:p>
                    <w:pPr>
                      <w:tabs>
                        <w:tab w:val="left" w:pos="5619"/>
                      </w:tabs>
                      <w:jc w:val="center"/>
                    </w:pPr>
                    <w:r>
                      <w:rPr>
                        <w:rFonts w:hint="eastAsia" w:ascii="宋体" w:hAnsi="宋体"/>
                        <w:szCs w:val="21"/>
                      </w:rPr>
                      <w:t xml:space="preserve">- </w:t>
                    </w:r>
                    <w:r>
                      <w:rPr>
                        <w:rFonts w:hint="eastAsia" w:ascii="宋体" w:hAnsi="宋体"/>
                        <w:szCs w:val="21"/>
                      </w:rPr>
                      <w:fldChar w:fldCharType="begin"/>
                    </w:r>
                    <w:r>
                      <w:rPr>
                        <w:rFonts w:hint="eastAsia" w:ascii="宋体" w:hAnsi="宋体"/>
                        <w:szCs w:val="21"/>
                      </w:rPr>
                      <w:instrText xml:space="preserve"> PAGE  \* MERGEFORMAT </w:instrText>
                    </w:r>
                    <w:r>
                      <w:rPr>
                        <w:rFonts w:hint="eastAsia" w:ascii="宋体" w:hAnsi="宋体"/>
                        <w:szCs w:val="21"/>
                      </w:rPr>
                      <w:fldChar w:fldCharType="separate"/>
                    </w:r>
                    <w:r>
                      <w:rPr>
                        <w:rFonts w:ascii="宋体" w:hAnsi="宋体"/>
                        <w:szCs w:val="21"/>
                        <w:lang/>
                      </w:rPr>
                      <w:t>27</w:t>
                    </w:r>
                    <w:r>
                      <w:rPr>
                        <w:rFonts w:hint="eastAsia" w:ascii="宋体" w:hAnsi="宋体"/>
                        <w:szCs w:val="21"/>
                      </w:rPr>
                      <w:fldChar w:fldCharType="end"/>
                    </w:r>
                    <w:r>
                      <w:rPr>
                        <w:rFonts w:hint="eastAsia" w:ascii="宋体" w:hAnsi="宋体"/>
                        <w:szCs w:val="21"/>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lang/>
      </w:rPr>
      <w:t>51</w:t>
    </w:r>
    <w:r>
      <w:rPr>
        <w:rFonts w:hint="eastAsia"/>
      </w:rPr>
      <w:fldChar w:fldCharType="end"/>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eastAsia"/>
        <w:u w:val="single"/>
      </w:rPr>
    </w:pPr>
    <w:r>
      <w:rPr>
        <w:rFonts w:hint="eastAsia"/>
        <w:u w:val="single"/>
        <w:lang w:eastAsia="zh-CN"/>
      </w:rPr>
      <w:t>嵊州市崇仁镇人民政府</w:t>
    </w:r>
    <w:r>
      <w:rPr>
        <w:rFonts w:hint="eastAsia"/>
        <w:u w:val="single"/>
      </w:rPr>
      <w:t xml:space="preserve">公开招标文件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u w:val="single"/>
      </w:rPr>
      <w:t xml:space="preserve">嵊州中学家长委员会学生床上用品采购项目公开招标文件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hint="eastAsia"/>
        <w:u w:val="single"/>
      </w:rPr>
    </w:pPr>
    <w:r>
      <w:rPr>
        <w:rFonts w:hint="eastAsia"/>
        <w:u w:val="single"/>
        <w:lang w:eastAsia="zh-CN"/>
      </w:rPr>
      <w:t>嵊州市崇仁镇人民政府</w:t>
    </w:r>
    <w:r>
      <w:rPr>
        <w:rFonts w:hint="eastAsia"/>
        <w:u w:val="single"/>
      </w:rPr>
      <w:t xml:space="preserve">公开招标文件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33021"/>
    <w:multiLevelType w:val="singleLevel"/>
    <w:tmpl w:val="8FF33021"/>
    <w:lvl w:ilvl="0" w:tentative="0">
      <w:start w:val="1"/>
      <w:numFmt w:val="decimal"/>
      <w:suff w:val="nothing"/>
      <w:lvlText w:val="（%1）"/>
      <w:lvlJc w:val="left"/>
    </w:lvl>
  </w:abstractNum>
  <w:abstractNum w:abstractNumId="1">
    <w:nsid w:val="FDEF5AD8"/>
    <w:multiLevelType w:val="singleLevel"/>
    <w:tmpl w:val="FDEF5AD8"/>
    <w:lvl w:ilvl="0" w:tentative="0">
      <w:start w:val="9"/>
      <w:numFmt w:val="decimal"/>
      <w:lvlText w:val="%1."/>
      <w:lvlJc w:val="left"/>
      <w:pPr>
        <w:tabs>
          <w:tab w:val="left" w:pos="312"/>
        </w:tabs>
      </w:pPr>
    </w:lvl>
  </w:abstractNum>
  <w:abstractNum w:abstractNumId="2">
    <w:nsid w:val="0000000B"/>
    <w:multiLevelType w:val="singleLevel"/>
    <w:tmpl w:val="0000000B"/>
    <w:lvl w:ilvl="0" w:tentative="0">
      <w:start w:val="1"/>
      <w:numFmt w:val="decimal"/>
      <w:pStyle w:val="210"/>
      <w:suff w:val="nothing"/>
      <w:lvlText w:val="%1."/>
      <w:lvlJc w:val="left"/>
    </w:lvl>
  </w:abstractNum>
  <w:abstractNum w:abstractNumId="3">
    <w:nsid w:val="0000000D"/>
    <w:multiLevelType w:val="multilevel"/>
    <w:tmpl w:val="0000000D"/>
    <w:lvl w:ilvl="0" w:tentative="0">
      <w:start w:val="1"/>
      <w:numFmt w:val="decimal"/>
      <w:pStyle w:val="13"/>
      <w:lvlText w:val="%1."/>
      <w:lvlJc w:val="left"/>
      <w:pPr>
        <w:tabs>
          <w:tab w:val="left" w:pos="360"/>
        </w:tabs>
        <w:ind w:left="360" w:hanging="360"/>
      </w:pPr>
    </w:lvl>
    <w:lvl w:ilvl="1" w:tentative="0">
      <w:start w:val="1"/>
      <w:numFmt w:val="japaneseCounting"/>
      <w:lvlText w:val="%2、"/>
      <w:lvlJc w:val="left"/>
      <w:pPr>
        <w:tabs>
          <w:tab w:val="left" w:pos="3600"/>
        </w:tabs>
        <w:ind w:left="360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662FC74"/>
    <w:multiLevelType w:val="singleLevel"/>
    <w:tmpl w:val="1662FC74"/>
    <w:lvl w:ilvl="0" w:tentative="0">
      <w:start w:val="1"/>
      <w:numFmt w:val="decimal"/>
      <w:lvlText w:val="%1."/>
      <w:lvlJc w:val="left"/>
      <w:pPr>
        <w:tabs>
          <w:tab w:val="left" w:pos="312"/>
        </w:tabs>
      </w:pPr>
    </w:lvl>
  </w:abstractNum>
  <w:abstractNum w:abstractNumId="5">
    <w:nsid w:val="181A5F10"/>
    <w:multiLevelType w:val="singleLevel"/>
    <w:tmpl w:val="181A5F10"/>
    <w:lvl w:ilvl="0" w:tentative="0">
      <w:start w:val="1"/>
      <w:numFmt w:val="decimal"/>
      <w:lvlText w:val="%1."/>
      <w:lvlJc w:val="left"/>
      <w:pPr>
        <w:tabs>
          <w:tab w:val="left" w:pos="312"/>
        </w:tabs>
      </w:pPr>
    </w:lvl>
  </w:abstractNum>
  <w:abstractNum w:abstractNumId="6">
    <w:nsid w:val="5789A8E8"/>
    <w:multiLevelType w:val="singleLevel"/>
    <w:tmpl w:val="5789A8E8"/>
    <w:lvl w:ilvl="0" w:tentative="0">
      <w:start w:val="1"/>
      <w:numFmt w:val="decimal"/>
      <w:suff w:val="nothing"/>
      <w:lvlText w:val="%1."/>
      <w:lvlJc w:val="left"/>
    </w:lvl>
  </w:abstractNum>
  <w:abstractNum w:abstractNumId="7">
    <w:nsid w:val="5976B5FB"/>
    <w:multiLevelType w:val="singleLevel"/>
    <w:tmpl w:val="5976B5FB"/>
    <w:lvl w:ilvl="0" w:tentative="0">
      <w:start w:val="1"/>
      <w:numFmt w:val="decimal"/>
      <w:pStyle w:val="22"/>
      <w:lvlText w:val="%1."/>
      <w:lvlJc w:val="left"/>
      <w:pPr>
        <w:tabs>
          <w:tab w:val="left" w:pos="1200"/>
        </w:tabs>
        <w:ind w:left="1200" w:hanging="360"/>
      </w:pPr>
    </w:lvl>
  </w:abstractNum>
  <w:abstractNum w:abstractNumId="8">
    <w:nsid w:val="5A169A21"/>
    <w:multiLevelType w:val="singleLevel"/>
    <w:tmpl w:val="5A169A21"/>
    <w:lvl w:ilvl="0" w:tentative="0">
      <w:start w:val="3"/>
      <w:numFmt w:val="chineseCounting"/>
      <w:suff w:val="space"/>
      <w:lvlText w:val="第%1章"/>
      <w:lvlJc w:val="left"/>
    </w:lvl>
  </w:abstractNum>
  <w:num w:numId="1">
    <w:abstractNumId w:val="3"/>
  </w:num>
  <w:num w:numId="2">
    <w:abstractNumId w:val="7"/>
  </w:num>
  <w:num w:numId="3">
    <w:abstractNumId w:val="2"/>
  </w:num>
  <w:num w:numId="4">
    <w:abstractNumId w:val="0"/>
  </w:num>
  <w:num w:numId="5">
    <w:abstractNumId w:val="8"/>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5B"/>
    <w:rsid w:val="000011CA"/>
    <w:rsid w:val="00001247"/>
    <w:rsid w:val="000036FF"/>
    <w:rsid w:val="000051E0"/>
    <w:rsid w:val="000076D2"/>
    <w:rsid w:val="00007A0D"/>
    <w:rsid w:val="00010110"/>
    <w:rsid w:val="00011A8F"/>
    <w:rsid w:val="00012C2B"/>
    <w:rsid w:val="00024C93"/>
    <w:rsid w:val="00024CBD"/>
    <w:rsid w:val="00024E7C"/>
    <w:rsid w:val="00027F11"/>
    <w:rsid w:val="00030AA3"/>
    <w:rsid w:val="00031149"/>
    <w:rsid w:val="00031FD6"/>
    <w:rsid w:val="000329FA"/>
    <w:rsid w:val="000345EA"/>
    <w:rsid w:val="000347B3"/>
    <w:rsid w:val="00036ACF"/>
    <w:rsid w:val="00037E91"/>
    <w:rsid w:val="00042605"/>
    <w:rsid w:val="000445FB"/>
    <w:rsid w:val="00044C87"/>
    <w:rsid w:val="0005006A"/>
    <w:rsid w:val="0005032C"/>
    <w:rsid w:val="0005177D"/>
    <w:rsid w:val="00053113"/>
    <w:rsid w:val="00053C87"/>
    <w:rsid w:val="00060DA2"/>
    <w:rsid w:val="00060F1F"/>
    <w:rsid w:val="0006240E"/>
    <w:rsid w:val="00072D15"/>
    <w:rsid w:val="0007472E"/>
    <w:rsid w:val="00074ECE"/>
    <w:rsid w:val="000753E3"/>
    <w:rsid w:val="0007560C"/>
    <w:rsid w:val="00075A35"/>
    <w:rsid w:val="00084180"/>
    <w:rsid w:val="000849B3"/>
    <w:rsid w:val="00085FD4"/>
    <w:rsid w:val="00086342"/>
    <w:rsid w:val="0009051D"/>
    <w:rsid w:val="00091DEE"/>
    <w:rsid w:val="00092261"/>
    <w:rsid w:val="000944E2"/>
    <w:rsid w:val="00094AA0"/>
    <w:rsid w:val="0009711C"/>
    <w:rsid w:val="000977C9"/>
    <w:rsid w:val="000A097F"/>
    <w:rsid w:val="000A5199"/>
    <w:rsid w:val="000A6749"/>
    <w:rsid w:val="000B21A1"/>
    <w:rsid w:val="000B4D9B"/>
    <w:rsid w:val="000C28FA"/>
    <w:rsid w:val="000C3D08"/>
    <w:rsid w:val="000C52E7"/>
    <w:rsid w:val="000C5BF5"/>
    <w:rsid w:val="000C74E5"/>
    <w:rsid w:val="000D21AB"/>
    <w:rsid w:val="000D30B4"/>
    <w:rsid w:val="000D4094"/>
    <w:rsid w:val="000D43D0"/>
    <w:rsid w:val="000D62A5"/>
    <w:rsid w:val="000D7B77"/>
    <w:rsid w:val="000E0A33"/>
    <w:rsid w:val="000E4571"/>
    <w:rsid w:val="000E45AA"/>
    <w:rsid w:val="000E495F"/>
    <w:rsid w:val="000E66E1"/>
    <w:rsid w:val="000F286E"/>
    <w:rsid w:val="000F5DD0"/>
    <w:rsid w:val="000F7BDD"/>
    <w:rsid w:val="0010098F"/>
    <w:rsid w:val="00100E3B"/>
    <w:rsid w:val="001016AE"/>
    <w:rsid w:val="0010224F"/>
    <w:rsid w:val="001060F2"/>
    <w:rsid w:val="001061B5"/>
    <w:rsid w:val="00107544"/>
    <w:rsid w:val="00110074"/>
    <w:rsid w:val="00113EC4"/>
    <w:rsid w:val="001154E1"/>
    <w:rsid w:val="001207B0"/>
    <w:rsid w:val="00121B5F"/>
    <w:rsid w:val="00122051"/>
    <w:rsid w:val="00122A33"/>
    <w:rsid w:val="00124FEA"/>
    <w:rsid w:val="001259BC"/>
    <w:rsid w:val="001277AF"/>
    <w:rsid w:val="00130D5A"/>
    <w:rsid w:val="001408A7"/>
    <w:rsid w:val="00140BD8"/>
    <w:rsid w:val="0014302D"/>
    <w:rsid w:val="00144C66"/>
    <w:rsid w:val="001455CE"/>
    <w:rsid w:val="00145A82"/>
    <w:rsid w:val="00150B73"/>
    <w:rsid w:val="00151AD5"/>
    <w:rsid w:val="00152CE8"/>
    <w:rsid w:val="00156EE1"/>
    <w:rsid w:val="001601F8"/>
    <w:rsid w:val="00160E71"/>
    <w:rsid w:val="00162825"/>
    <w:rsid w:val="00163EBF"/>
    <w:rsid w:val="00164061"/>
    <w:rsid w:val="00164E0E"/>
    <w:rsid w:val="00164FDD"/>
    <w:rsid w:val="00166BFB"/>
    <w:rsid w:val="0016753F"/>
    <w:rsid w:val="00171756"/>
    <w:rsid w:val="0017179A"/>
    <w:rsid w:val="00171D3C"/>
    <w:rsid w:val="00172A27"/>
    <w:rsid w:val="001730BB"/>
    <w:rsid w:val="001755C6"/>
    <w:rsid w:val="00175962"/>
    <w:rsid w:val="001764BB"/>
    <w:rsid w:val="00176EA3"/>
    <w:rsid w:val="00182E48"/>
    <w:rsid w:val="00183097"/>
    <w:rsid w:val="00183586"/>
    <w:rsid w:val="001841A6"/>
    <w:rsid w:val="00184901"/>
    <w:rsid w:val="00190F12"/>
    <w:rsid w:val="00194E05"/>
    <w:rsid w:val="00197CDA"/>
    <w:rsid w:val="001A0A17"/>
    <w:rsid w:val="001A13D0"/>
    <w:rsid w:val="001A167B"/>
    <w:rsid w:val="001A1B40"/>
    <w:rsid w:val="001A2E10"/>
    <w:rsid w:val="001A31B5"/>
    <w:rsid w:val="001A529D"/>
    <w:rsid w:val="001A7220"/>
    <w:rsid w:val="001A7ABD"/>
    <w:rsid w:val="001B08CE"/>
    <w:rsid w:val="001B421C"/>
    <w:rsid w:val="001B4695"/>
    <w:rsid w:val="001B4B0D"/>
    <w:rsid w:val="001B6BD7"/>
    <w:rsid w:val="001B6C0D"/>
    <w:rsid w:val="001B77FF"/>
    <w:rsid w:val="001B7B21"/>
    <w:rsid w:val="001C1B91"/>
    <w:rsid w:val="001C28B9"/>
    <w:rsid w:val="001C294E"/>
    <w:rsid w:val="001C5E56"/>
    <w:rsid w:val="001C6E52"/>
    <w:rsid w:val="001C7C29"/>
    <w:rsid w:val="001D202E"/>
    <w:rsid w:val="001D3DC5"/>
    <w:rsid w:val="001D4F3B"/>
    <w:rsid w:val="001E07F9"/>
    <w:rsid w:val="001E2EAF"/>
    <w:rsid w:val="001E41A0"/>
    <w:rsid w:val="001E5897"/>
    <w:rsid w:val="001E5C34"/>
    <w:rsid w:val="001E6090"/>
    <w:rsid w:val="001E641A"/>
    <w:rsid w:val="001E7F62"/>
    <w:rsid w:val="001F2DB8"/>
    <w:rsid w:val="001F7A4A"/>
    <w:rsid w:val="002002FB"/>
    <w:rsid w:val="00202593"/>
    <w:rsid w:val="00203421"/>
    <w:rsid w:val="00203527"/>
    <w:rsid w:val="00205101"/>
    <w:rsid w:val="0020651C"/>
    <w:rsid w:val="002072C5"/>
    <w:rsid w:val="002077C4"/>
    <w:rsid w:val="00211DC4"/>
    <w:rsid w:val="00216A16"/>
    <w:rsid w:val="0021750E"/>
    <w:rsid w:val="00222CA8"/>
    <w:rsid w:val="002244FD"/>
    <w:rsid w:val="002257F7"/>
    <w:rsid w:val="00230724"/>
    <w:rsid w:val="00232ECC"/>
    <w:rsid w:val="00235267"/>
    <w:rsid w:val="00236F12"/>
    <w:rsid w:val="002379E0"/>
    <w:rsid w:val="00241D2B"/>
    <w:rsid w:val="00244E36"/>
    <w:rsid w:val="00244FFF"/>
    <w:rsid w:val="0024705D"/>
    <w:rsid w:val="0025095B"/>
    <w:rsid w:val="00251AA2"/>
    <w:rsid w:val="0025325B"/>
    <w:rsid w:val="00257440"/>
    <w:rsid w:val="00263271"/>
    <w:rsid w:val="00265BC2"/>
    <w:rsid w:val="00265E28"/>
    <w:rsid w:val="00266A7A"/>
    <w:rsid w:val="002673FE"/>
    <w:rsid w:val="0027229F"/>
    <w:rsid w:val="002779A6"/>
    <w:rsid w:val="002806EE"/>
    <w:rsid w:val="002829FC"/>
    <w:rsid w:val="002844C7"/>
    <w:rsid w:val="002858E2"/>
    <w:rsid w:val="00286085"/>
    <w:rsid w:val="00290045"/>
    <w:rsid w:val="00291E97"/>
    <w:rsid w:val="00293456"/>
    <w:rsid w:val="0029625B"/>
    <w:rsid w:val="002A084B"/>
    <w:rsid w:val="002A1FC9"/>
    <w:rsid w:val="002A529B"/>
    <w:rsid w:val="002A53BF"/>
    <w:rsid w:val="002A5C2E"/>
    <w:rsid w:val="002A6E52"/>
    <w:rsid w:val="002B144F"/>
    <w:rsid w:val="002B2107"/>
    <w:rsid w:val="002B3140"/>
    <w:rsid w:val="002B39C4"/>
    <w:rsid w:val="002B4555"/>
    <w:rsid w:val="002B674E"/>
    <w:rsid w:val="002C03A8"/>
    <w:rsid w:val="002C1E81"/>
    <w:rsid w:val="002C3CE6"/>
    <w:rsid w:val="002C4AD2"/>
    <w:rsid w:val="002D3604"/>
    <w:rsid w:val="002D6E7C"/>
    <w:rsid w:val="002D741C"/>
    <w:rsid w:val="002D7BC7"/>
    <w:rsid w:val="002E0C4B"/>
    <w:rsid w:val="002E5D8E"/>
    <w:rsid w:val="002E636B"/>
    <w:rsid w:val="002E7294"/>
    <w:rsid w:val="002F02E0"/>
    <w:rsid w:val="002F10E6"/>
    <w:rsid w:val="002F5392"/>
    <w:rsid w:val="00300752"/>
    <w:rsid w:val="003020CE"/>
    <w:rsid w:val="003032FD"/>
    <w:rsid w:val="003050E6"/>
    <w:rsid w:val="0031494A"/>
    <w:rsid w:val="0031494D"/>
    <w:rsid w:val="00314A8C"/>
    <w:rsid w:val="0032032F"/>
    <w:rsid w:val="003232E2"/>
    <w:rsid w:val="00323CF0"/>
    <w:rsid w:val="00326530"/>
    <w:rsid w:val="00327CF8"/>
    <w:rsid w:val="00327D0D"/>
    <w:rsid w:val="00331097"/>
    <w:rsid w:val="00331737"/>
    <w:rsid w:val="00333075"/>
    <w:rsid w:val="00333B0D"/>
    <w:rsid w:val="00335F09"/>
    <w:rsid w:val="003408C7"/>
    <w:rsid w:val="00343635"/>
    <w:rsid w:val="00353A04"/>
    <w:rsid w:val="003576C7"/>
    <w:rsid w:val="00362426"/>
    <w:rsid w:val="003672AC"/>
    <w:rsid w:val="003710A5"/>
    <w:rsid w:val="0037121C"/>
    <w:rsid w:val="00373527"/>
    <w:rsid w:val="003739E5"/>
    <w:rsid w:val="00374997"/>
    <w:rsid w:val="00376ED2"/>
    <w:rsid w:val="00380CBF"/>
    <w:rsid w:val="00381543"/>
    <w:rsid w:val="00384D14"/>
    <w:rsid w:val="003870F6"/>
    <w:rsid w:val="00394454"/>
    <w:rsid w:val="00394A6F"/>
    <w:rsid w:val="00395AEB"/>
    <w:rsid w:val="00397226"/>
    <w:rsid w:val="003A0B49"/>
    <w:rsid w:val="003A2588"/>
    <w:rsid w:val="003A2DEB"/>
    <w:rsid w:val="003A30DF"/>
    <w:rsid w:val="003A35CB"/>
    <w:rsid w:val="003A5BE4"/>
    <w:rsid w:val="003A67D3"/>
    <w:rsid w:val="003A6996"/>
    <w:rsid w:val="003B1C44"/>
    <w:rsid w:val="003B506C"/>
    <w:rsid w:val="003B7209"/>
    <w:rsid w:val="003B77A9"/>
    <w:rsid w:val="003C0E32"/>
    <w:rsid w:val="003C1B6B"/>
    <w:rsid w:val="003C6754"/>
    <w:rsid w:val="003C6F5F"/>
    <w:rsid w:val="003D0185"/>
    <w:rsid w:val="003D14D9"/>
    <w:rsid w:val="003D1BE1"/>
    <w:rsid w:val="003D5C88"/>
    <w:rsid w:val="003D736A"/>
    <w:rsid w:val="003D7AF7"/>
    <w:rsid w:val="003E2839"/>
    <w:rsid w:val="003F1F78"/>
    <w:rsid w:val="003F3EAA"/>
    <w:rsid w:val="003F79A6"/>
    <w:rsid w:val="003F7E0C"/>
    <w:rsid w:val="00401148"/>
    <w:rsid w:val="00402090"/>
    <w:rsid w:val="0040311C"/>
    <w:rsid w:val="00405ED0"/>
    <w:rsid w:val="004119ED"/>
    <w:rsid w:val="00416523"/>
    <w:rsid w:val="0042050D"/>
    <w:rsid w:val="00422723"/>
    <w:rsid w:val="00422C5C"/>
    <w:rsid w:val="0042319E"/>
    <w:rsid w:val="00426430"/>
    <w:rsid w:val="004334B8"/>
    <w:rsid w:val="004335B6"/>
    <w:rsid w:val="004368B8"/>
    <w:rsid w:val="0044219E"/>
    <w:rsid w:val="004424BB"/>
    <w:rsid w:val="00443F79"/>
    <w:rsid w:val="00445CB0"/>
    <w:rsid w:val="00451932"/>
    <w:rsid w:val="00452074"/>
    <w:rsid w:val="0045304F"/>
    <w:rsid w:val="00453AC2"/>
    <w:rsid w:val="004570D8"/>
    <w:rsid w:val="004578BA"/>
    <w:rsid w:val="00462113"/>
    <w:rsid w:val="00462577"/>
    <w:rsid w:val="00463F03"/>
    <w:rsid w:val="00464442"/>
    <w:rsid w:val="00465673"/>
    <w:rsid w:val="004670C7"/>
    <w:rsid w:val="00467D9E"/>
    <w:rsid w:val="00472AC0"/>
    <w:rsid w:val="004731B0"/>
    <w:rsid w:val="004740A0"/>
    <w:rsid w:val="004741C7"/>
    <w:rsid w:val="00475632"/>
    <w:rsid w:val="00481F3A"/>
    <w:rsid w:val="0048263B"/>
    <w:rsid w:val="0048385F"/>
    <w:rsid w:val="0048782D"/>
    <w:rsid w:val="004879CC"/>
    <w:rsid w:val="00487AD2"/>
    <w:rsid w:val="00490AFA"/>
    <w:rsid w:val="00491E09"/>
    <w:rsid w:val="00492CC7"/>
    <w:rsid w:val="00494889"/>
    <w:rsid w:val="00494941"/>
    <w:rsid w:val="0049523D"/>
    <w:rsid w:val="00495B1E"/>
    <w:rsid w:val="004A42C6"/>
    <w:rsid w:val="004A4704"/>
    <w:rsid w:val="004B19A4"/>
    <w:rsid w:val="004B1B59"/>
    <w:rsid w:val="004B31C7"/>
    <w:rsid w:val="004B43D7"/>
    <w:rsid w:val="004C1551"/>
    <w:rsid w:val="004C552C"/>
    <w:rsid w:val="004C582C"/>
    <w:rsid w:val="004D0B1F"/>
    <w:rsid w:val="004D208E"/>
    <w:rsid w:val="004D4A40"/>
    <w:rsid w:val="004D5D88"/>
    <w:rsid w:val="004D6553"/>
    <w:rsid w:val="004D78B5"/>
    <w:rsid w:val="004E5FFB"/>
    <w:rsid w:val="004E75E6"/>
    <w:rsid w:val="004F1110"/>
    <w:rsid w:val="004F263D"/>
    <w:rsid w:val="004F2789"/>
    <w:rsid w:val="004F3452"/>
    <w:rsid w:val="004F4539"/>
    <w:rsid w:val="004F4F17"/>
    <w:rsid w:val="004F714C"/>
    <w:rsid w:val="00500710"/>
    <w:rsid w:val="005033EB"/>
    <w:rsid w:val="00504792"/>
    <w:rsid w:val="00504A90"/>
    <w:rsid w:val="00505A18"/>
    <w:rsid w:val="0050706C"/>
    <w:rsid w:val="00507D11"/>
    <w:rsid w:val="00511EEB"/>
    <w:rsid w:val="0051655D"/>
    <w:rsid w:val="005168F9"/>
    <w:rsid w:val="0051709D"/>
    <w:rsid w:val="005210E6"/>
    <w:rsid w:val="005214A5"/>
    <w:rsid w:val="005226BC"/>
    <w:rsid w:val="00523E94"/>
    <w:rsid w:val="00525F4B"/>
    <w:rsid w:val="00526BF8"/>
    <w:rsid w:val="00526FFA"/>
    <w:rsid w:val="00532EB8"/>
    <w:rsid w:val="00536D86"/>
    <w:rsid w:val="00536DB9"/>
    <w:rsid w:val="005400DC"/>
    <w:rsid w:val="0054208F"/>
    <w:rsid w:val="0054543E"/>
    <w:rsid w:val="00556582"/>
    <w:rsid w:val="00557D01"/>
    <w:rsid w:val="00563D29"/>
    <w:rsid w:val="005705AB"/>
    <w:rsid w:val="005710B6"/>
    <w:rsid w:val="005720C8"/>
    <w:rsid w:val="0057451A"/>
    <w:rsid w:val="00575B69"/>
    <w:rsid w:val="00575F9F"/>
    <w:rsid w:val="00576274"/>
    <w:rsid w:val="0057701A"/>
    <w:rsid w:val="005770E3"/>
    <w:rsid w:val="005772B1"/>
    <w:rsid w:val="005850FE"/>
    <w:rsid w:val="0059264A"/>
    <w:rsid w:val="00593EEA"/>
    <w:rsid w:val="005A00F3"/>
    <w:rsid w:val="005A2512"/>
    <w:rsid w:val="005A2F17"/>
    <w:rsid w:val="005A5FF3"/>
    <w:rsid w:val="005A64C5"/>
    <w:rsid w:val="005A6696"/>
    <w:rsid w:val="005B100E"/>
    <w:rsid w:val="005B3239"/>
    <w:rsid w:val="005C19A5"/>
    <w:rsid w:val="005C6A8D"/>
    <w:rsid w:val="005C6F0A"/>
    <w:rsid w:val="005D1721"/>
    <w:rsid w:val="005D1DD0"/>
    <w:rsid w:val="005D25A0"/>
    <w:rsid w:val="005D44D6"/>
    <w:rsid w:val="005D56CF"/>
    <w:rsid w:val="005D682C"/>
    <w:rsid w:val="005E2A37"/>
    <w:rsid w:val="005E2AE2"/>
    <w:rsid w:val="005E4CD8"/>
    <w:rsid w:val="005E6058"/>
    <w:rsid w:val="005E6857"/>
    <w:rsid w:val="005F0F7B"/>
    <w:rsid w:val="005F13B5"/>
    <w:rsid w:val="005F4E0E"/>
    <w:rsid w:val="005F7664"/>
    <w:rsid w:val="0060215E"/>
    <w:rsid w:val="0060637C"/>
    <w:rsid w:val="00611105"/>
    <w:rsid w:val="00612DF6"/>
    <w:rsid w:val="0061340F"/>
    <w:rsid w:val="00613879"/>
    <w:rsid w:val="00613A67"/>
    <w:rsid w:val="0061534F"/>
    <w:rsid w:val="00615724"/>
    <w:rsid w:val="00623024"/>
    <w:rsid w:val="00625C33"/>
    <w:rsid w:val="0062672F"/>
    <w:rsid w:val="00626ADA"/>
    <w:rsid w:val="00630A16"/>
    <w:rsid w:val="00635AB5"/>
    <w:rsid w:val="00635FAD"/>
    <w:rsid w:val="00636C87"/>
    <w:rsid w:val="00636EB7"/>
    <w:rsid w:val="00637F82"/>
    <w:rsid w:val="00641CFB"/>
    <w:rsid w:val="006420CC"/>
    <w:rsid w:val="006446FB"/>
    <w:rsid w:val="00645B21"/>
    <w:rsid w:val="00646D2A"/>
    <w:rsid w:val="00647D66"/>
    <w:rsid w:val="00650BE4"/>
    <w:rsid w:val="0065121A"/>
    <w:rsid w:val="00651363"/>
    <w:rsid w:val="00652DAB"/>
    <w:rsid w:val="006562BA"/>
    <w:rsid w:val="006637E2"/>
    <w:rsid w:val="00676CB2"/>
    <w:rsid w:val="00676D53"/>
    <w:rsid w:val="0068060F"/>
    <w:rsid w:val="0068098C"/>
    <w:rsid w:val="00681B05"/>
    <w:rsid w:val="00681ED6"/>
    <w:rsid w:val="0068368A"/>
    <w:rsid w:val="006849A0"/>
    <w:rsid w:val="00684FBD"/>
    <w:rsid w:val="006860CE"/>
    <w:rsid w:val="00686121"/>
    <w:rsid w:val="00686E6B"/>
    <w:rsid w:val="00690EE2"/>
    <w:rsid w:val="00693D4C"/>
    <w:rsid w:val="006948F5"/>
    <w:rsid w:val="00694D6E"/>
    <w:rsid w:val="006A116B"/>
    <w:rsid w:val="006A181A"/>
    <w:rsid w:val="006A3813"/>
    <w:rsid w:val="006A3AEA"/>
    <w:rsid w:val="006A3C08"/>
    <w:rsid w:val="006A3D85"/>
    <w:rsid w:val="006A4361"/>
    <w:rsid w:val="006A4CB8"/>
    <w:rsid w:val="006A7869"/>
    <w:rsid w:val="006B0627"/>
    <w:rsid w:val="006B0870"/>
    <w:rsid w:val="006B173D"/>
    <w:rsid w:val="006B2327"/>
    <w:rsid w:val="006B2BC6"/>
    <w:rsid w:val="006B3A65"/>
    <w:rsid w:val="006B5B76"/>
    <w:rsid w:val="006B7CC1"/>
    <w:rsid w:val="006C06F6"/>
    <w:rsid w:val="006C0722"/>
    <w:rsid w:val="006C239D"/>
    <w:rsid w:val="006C3E10"/>
    <w:rsid w:val="006C52D7"/>
    <w:rsid w:val="006C6E11"/>
    <w:rsid w:val="006C7CAE"/>
    <w:rsid w:val="006C7E2F"/>
    <w:rsid w:val="006D0E02"/>
    <w:rsid w:val="006D2F3D"/>
    <w:rsid w:val="006D5544"/>
    <w:rsid w:val="006D7C0A"/>
    <w:rsid w:val="006E280A"/>
    <w:rsid w:val="006E3B89"/>
    <w:rsid w:val="006E41F0"/>
    <w:rsid w:val="006E5A26"/>
    <w:rsid w:val="006E6086"/>
    <w:rsid w:val="006E74C9"/>
    <w:rsid w:val="006F06BE"/>
    <w:rsid w:val="006F084B"/>
    <w:rsid w:val="006F66FB"/>
    <w:rsid w:val="006F699C"/>
    <w:rsid w:val="006F71BE"/>
    <w:rsid w:val="00700207"/>
    <w:rsid w:val="00700473"/>
    <w:rsid w:val="00700960"/>
    <w:rsid w:val="007016A3"/>
    <w:rsid w:val="007063D2"/>
    <w:rsid w:val="00706F5C"/>
    <w:rsid w:val="0071117D"/>
    <w:rsid w:val="00715A8B"/>
    <w:rsid w:val="00716D55"/>
    <w:rsid w:val="00717410"/>
    <w:rsid w:val="00717E6B"/>
    <w:rsid w:val="00725D6B"/>
    <w:rsid w:val="00726E2E"/>
    <w:rsid w:val="00731A5F"/>
    <w:rsid w:val="00733A43"/>
    <w:rsid w:val="007354DC"/>
    <w:rsid w:val="007412A8"/>
    <w:rsid w:val="00741A11"/>
    <w:rsid w:val="007431BE"/>
    <w:rsid w:val="007434C1"/>
    <w:rsid w:val="00744D11"/>
    <w:rsid w:val="007457D9"/>
    <w:rsid w:val="0075242E"/>
    <w:rsid w:val="00752F12"/>
    <w:rsid w:val="00754F6A"/>
    <w:rsid w:val="00755576"/>
    <w:rsid w:val="0076067B"/>
    <w:rsid w:val="00760B2C"/>
    <w:rsid w:val="00761239"/>
    <w:rsid w:val="00763650"/>
    <w:rsid w:val="00763BC1"/>
    <w:rsid w:val="00774DB0"/>
    <w:rsid w:val="00780A54"/>
    <w:rsid w:val="00785D2B"/>
    <w:rsid w:val="00786F51"/>
    <w:rsid w:val="007878CD"/>
    <w:rsid w:val="00787C0E"/>
    <w:rsid w:val="00790896"/>
    <w:rsid w:val="00790BA4"/>
    <w:rsid w:val="00794369"/>
    <w:rsid w:val="00795427"/>
    <w:rsid w:val="007976BB"/>
    <w:rsid w:val="007A07F4"/>
    <w:rsid w:val="007A118F"/>
    <w:rsid w:val="007A1A5E"/>
    <w:rsid w:val="007A340E"/>
    <w:rsid w:val="007A347E"/>
    <w:rsid w:val="007A3981"/>
    <w:rsid w:val="007A4A7A"/>
    <w:rsid w:val="007A5939"/>
    <w:rsid w:val="007A727A"/>
    <w:rsid w:val="007A760A"/>
    <w:rsid w:val="007B3E27"/>
    <w:rsid w:val="007B6070"/>
    <w:rsid w:val="007B7BFC"/>
    <w:rsid w:val="007C1DA1"/>
    <w:rsid w:val="007C1DFB"/>
    <w:rsid w:val="007C28B2"/>
    <w:rsid w:val="007C4660"/>
    <w:rsid w:val="007C5A36"/>
    <w:rsid w:val="007C5F9B"/>
    <w:rsid w:val="007C6485"/>
    <w:rsid w:val="007C6BFC"/>
    <w:rsid w:val="007C7237"/>
    <w:rsid w:val="007C7534"/>
    <w:rsid w:val="007D4583"/>
    <w:rsid w:val="007D5D86"/>
    <w:rsid w:val="007E0CEC"/>
    <w:rsid w:val="007E18EB"/>
    <w:rsid w:val="007E1B59"/>
    <w:rsid w:val="007E2026"/>
    <w:rsid w:val="007E3E48"/>
    <w:rsid w:val="007E4E2F"/>
    <w:rsid w:val="007F26B3"/>
    <w:rsid w:val="007F3816"/>
    <w:rsid w:val="007F71BA"/>
    <w:rsid w:val="007F7A81"/>
    <w:rsid w:val="008026B2"/>
    <w:rsid w:val="00804096"/>
    <w:rsid w:val="00804485"/>
    <w:rsid w:val="00804B9F"/>
    <w:rsid w:val="0080733A"/>
    <w:rsid w:val="00813BE2"/>
    <w:rsid w:val="0081522F"/>
    <w:rsid w:val="00821E98"/>
    <w:rsid w:val="00824FB9"/>
    <w:rsid w:val="008262B7"/>
    <w:rsid w:val="008271E7"/>
    <w:rsid w:val="008275F1"/>
    <w:rsid w:val="00831110"/>
    <w:rsid w:val="008312FF"/>
    <w:rsid w:val="00832E0D"/>
    <w:rsid w:val="0083331E"/>
    <w:rsid w:val="00835996"/>
    <w:rsid w:val="00842560"/>
    <w:rsid w:val="00842AE1"/>
    <w:rsid w:val="00842FFA"/>
    <w:rsid w:val="00843303"/>
    <w:rsid w:val="00845523"/>
    <w:rsid w:val="00845A1D"/>
    <w:rsid w:val="00850394"/>
    <w:rsid w:val="0085039A"/>
    <w:rsid w:val="0085065B"/>
    <w:rsid w:val="00851824"/>
    <w:rsid w:val="0085278F"/>
    <w:rsid w:val="00857140"/>
    <w:rsid w:val="008612AA"/>
    <w:rsid w:val="008613E5"/>
    <w:rsid w:val="00861FDB"/>
    <w:rsid w:val="00865042"/>
    <w:rsid w:val="008728DC"/>
    <w:rsid w:val="00873B94"/>
    <w:rsid w:val="00874B9D"/>
    <w:rsid w:val="00877125"/>
    <w:rsid w:val="00880D2A"/>
    <w:rsid w:val="008815F5"/>
    <w:rsid w:val="00881AA6"/>
    <w:rsid w:val="0088201B"/>
    <w:rsid w:val="00882649"/>
    <w:rsid w:val="008831DF"/>
    <w:rsid w:val="00883493"/>
    <w:rsid w:val="00885ABA"/>
    <w:rsid w:val="00886CB3"/>
    <w:rsid w:val="008871F7"/>
    <w:rsid w:val="00890206"/>
    <w:rsid w:val="00891908"/>
    <w:rsid w:val="008937D7"/>
    <w:rsid w:val="00893AEA"/>
    <w:rsid w:val="00893B60"/>
    <w:rsid w:val="00893D4B"/>
    <w:rsid w:val="00896DFE"/>
    <w:rsid w:val="008A3E43"/>
    <w:rsid w:val="008A551E"/>
    <w:rsid w:val="008A610D"/>
    <w:rsid w:val="008A6C81"/>
    <w:rsid w:val="008B3F25"/>
    <w:rsid w:val="008B529F"/>
    <w:rsid w:val="008B68D2"/>
    <w:rsid w:val="008C01EA"/>
    <w:rsid w:val="008C32D2"/>
    <w:rsid w:val="008C3ECF"/>
    <w:rsid w:val="008C3EFD"/>
    <w:rsid w:val="008C43EB"/>
    <w:rsid w:val="008C4E87"/>
    <w:rsid w:val="008C5C72"/>
    <w:rsid w:val="008D0218"/>
    <w:rsid w:val="008D043B"/>
    <w:rsid w:val="008D4956"/>
    <w:rsid w:val="008D4D9B"/>
    <w:rsid w:val="008D4DFF"/>
    <w:rsid w:val="008D641A"/>
    <w:rsid w:val="008D6889"/>
    <w:rsid w:val="008E0971"/>
    <w:rsid w:val="008E328F"/>
    <w:rsid w:val="008E43C5"/>
    <w:rsid w:val="008E4DC5"/>
    <w:rsid w:val="008E6C3D"/>
    <w:rsid w:val="008E7386"/>
    <w:rsid w:val="008F2140"/>
    <w:rsid w:val="008F2C4F"/>
    <w:rsid w:val="008F57B0"/>
    <w:rsid w:val="00902318"/>
    <w:rsid w:val="00906403"/>
    <w:rsid w:val="009064D9"/>
    <w:rsid w:val="00906A40"/>
    <w:rsid w:val="009102DA"/>
    <w:rsid w:val="009111F6"/>
    <w:rsid w:val="00917189"/>
    <w:rsid w:val="0092065F"/>
    <w:rsid w:val="00921367"/>
    <w:rsid w:val="00925E15"/>
    <w:rsid w:val="0093123C"/>
    <w:rsid w:val="0093189A"/>
    <w:rsid w:val="00931BC5"/>
    <w:rsid w:val="00932109"/>
    <w:rsid w:val="00932EA6"/>
    <w:rsid w:val="00933B4E"/>
    <w:rsid w:val="00934A56"/>
    <w:rsid w:val="00936F63"/>
    <w:rsid w:val="009410A9"/>
    <w:rsid w:val="009435EB"/>
    <w:rsid w:val="009441C7"/>
    <w:rsid w:val="00946D82"/>
    <w:rsid w:val="00953B31"/>
    <w:rsid w:val="00953E91"/>
    <w:rsid w:val="00957F93"/>
    <w:rsid w:val="0096323F"/>
    <w:rsid w:val="009659A2"/>
    <w:rsid w:val="00966C07"/>
    <w:rsid w:val="00966D62"/>
    <w:rsid w:val="009707F1"/>
    <w:rsid w:val="0097083C"/>
    <w:rsid w:val="00970B7E"/>
    <w:rsid w:val="00974098"/>
    <w:rsid w:val="00974116"/>
    <w:rsid w:val="00974CF9"/>
    <w:rsid w:val="00974F11"/>
    <w:rsid w:val="00974FFE"/>
    <w:rsid w:val="00977ED1"/>
    <w:rsid w:val="00982853"/>
    <w:rsid w:val="00983B4A"/>
    <w:rsid w:val="00984469"/>
    <w:rsid w:val="00990038"/>
    <w:rsid w:val="00990311"/>
    <w:rsid w:val="00990E9D"/>
    <w:rsid w:val="0099298D"/>
    <w:rsid w:val="00996C6F"/>
    <w:rsid w:val="00997030"/>
    <w:rsid w:val="009A08F4"/>
    <w:rsid w:val="009A160D"/>
    <w:rsid w:val="009A185D"/>
    <w:rsid w:val="009A2689"/>
    <w:rsid w:val="009A7D7C"/>
    <w:rsid w:val="009B2AA6"/>
    <w:rsid w:val="009B55D1"/>
    <w:rsid w:val="009B6909"/>
    <w:rsid w:val="009C2293"/>
    <w:rsid w:val="009C471F"/>
    <w:rsid w:val="009D0123"/>
    <w:rsid w:val="009D6517"/>
    <w:rsid w:val="009D69B8"/>
    <w:rsid w:val="009D71C6"/>
    <w:rsid w:val="009D7E50"/>
    <w:rsid w:val="009E1459"/>
    <w:rsid w:val="009E3741"/>
    <w:rsid w:val="009F5ED1"/>
    <w:rsid w:val="009F69AA"/>
    <w:rsid w:val="009F6BB9"/>
    <w:rsid w:val="00A01684"/>
    <w:rsid w:val="00A041A3"/>
    <w:rsid w:val="00A060FB"/>
    <w:rsid w:val="00A125A1"/>
    <w:rsid w:val="00A13419"/>
    <w:rsid w:val="00A1637F"/>
    <w:rsid w:val="00A179FE"/>
    <w:rsid w:val="00A245B1"/>
    <w:rsid w:val="00A25B24"/>
    <w:rsid w:val="00A27C78"/>
    <w:rsid w:val="00A32277"/>
    <w:rsid w:val="00A34AF9"/>
    <w:rsid w:val="00A36CF8"/>
    <w:rsid w:val="00A37402"/>
    <w:rsid w:val="00A41E2A"/>
    <w:rsid w:val="00A429F6"/>
    <w:rsid w:val="00A46A15"/>
    <w:rsid w:val="00A47EB7"/>
    <w:rsid w:val="00A52309"/>
    <w:rsid w:val="00A53118"/>
    <w:rsid w:val="00A534EC"/>
    <w:rsid w:val="00A55085"/>
    <w:rsid w:val="00A623F5"/>
    <w:rsid w:val="00A648CC"/>
    <w:rsid w:val="00A65781"/>
    <w:rsid w:val="00A70DBE"/>
    <w:rsid w:val="00A7174B"/>
    <w:rsid w:val="00A732D4"/>
    <w:rsid w:val="00A73A3B"/>
    <w:rsid w:val="00A75848"/>
    <w:rsid w:val="00A80150"/>
    <w:rsid w:val="00A81051"/>
    <w:rsid w:val="00A82DC7"/>
    <w:rsid w:val="00A83F3A"/>
    <w:rsid w:val="00A85756"/>
    <w:rsid w:val="00A861E9"/>
    <w:rsid w:val="00A8701D"/>
    <w:rsid w:val="00A93A52"/>
    <w:rsid w:val="00A95968"/>
    <w:rsid w:val="00A977D0"/>
    <w:rsid w:val="00A97F1A"/>
    <w:rsid w:val="00AA0F2C"/>
    <w:rsid w:val="00AA144D"/>
    <w:rsid w:val="00AA3416"/>
    <w:rsid w:val="00AA5271"/>
    <w:rsid w:val="00AA53A6"/>
    <w:rsid w:val="00AA7A98"/>
    <w:rsid w:val="00AB000E"/>
    <w:rsid w:val="00AB013F"/>
    <w:rsid w:val="00AB3C82"/>
    <w:rsid w:val="00AB5E60"/>
    <w:rsid w:val="00AB7749"/>
    <w:rsid w:val="00AC0538"/>
    <w:rsid w:val="00AC241C"/>
    <w:rsid w:val="00AC2A65"/>
    <w:rsid w:val="00AC5C5E"/>
    <w:rsid w:val="00AD21B5"/>
    <w:rsid w:val="00AD28AA"/>
    <w:rsid w:val="00AD3B86"/>
    <w:rsid w:val="00AE13F3"/>
    <w:rsid w:val="00AE750B"/>
    <w:rsid w:val="00AF1237"/>
    <w:rsid w:val="00AF2918"/>
    <w:rsid w:val="00AF501E"/>
    <w:rsid w:val="00AF5B47"/>
    <w:rsid w:val="00B0004C"/>
    <w:rsid w:val="00B00F85"/>
    <w:rsid w:val="00B03FBA"/>
    <w:rsid w:val="00B05E1B"/>
    <w:rsid w:val="00B0609D"/>
    <w:rsid w:val="00B11134"/>
    <w:rsid w:val="00B15B6B"/>
    <w:rsid w:val="00B21B57"/>
    <w:rsid w:val="00B2614F"/>
    <w:rsid w:val="00B27B2F"/>
    <w:rsid w:val="00B32031"/>
    <w:rsid w:val="00B32098"/>
    <w:rsid w:val="00B320FF"/>
    <w:rsid w:val="00B335E9"/>
    <w:rsid w:val="00B33FCE"/>
    <w:rsid w:val="00B36B3C"/>
    <w:rsid w:val="00B37366"/>
    <w:rsid w:val="00B37521"/>
    <w:rsid w:val="00B37B84"/>
    <w:rsid w:val="00B43A72"/>
    <w:rsid w:val="00B44E78"/>
    <w:rsid w:val="00B535CE"/>
    <w:rsid w:val="00B53993"/>
    <w:rsid w:val="00B5480A"/>
    <w:rsid w:val="00B55F2F"/>
    <w:rsid w:val="00B575F5"/>
    <w:rsid w:val="00B61279"/>
    <w:rsid w:val="00B6218F"/>
    <w:rsid w:val="00B72DC9"/>
    <w:rsid w:val="00B76229"/>
    <w:rsid w:val="00B76295"/>
    <w:rsid w:val="00B7705B"/>
    <w:rsid w:val="00B775FD"/>
    <w:rsid w:val="00B77954"/>
    <w:rsid w:val="00B80054"/>
    <w:rsid w:val="00B809D8"/>
    <w:rsid w:val="00B813C9"/>
    <w:rsid w:val="00B86E73"/>
    <w:rsid w:val="00B90F8D"/>
    <w:rsid w:val="00B93235"/>
    <w:rsid w:val="00B93820"/>
    <w:rsid w:val="00B943A8"/>
    <w:rsid w:val="00B95115"/>
    <w:rsid w:val="00BA0D3D"/>
    <w:rsid w:val="00BA3B4D"/>
    <w:rsid w:val="00BA3BBF"/>
    <w:rsid w:val="00BA54E4"/>
    <w:rsid w:val="00BA5D4D"/>
    <w:rsid w:val="00BA7121"/>
    <w:rsid w:val="00BA7827"/>
    <w:rsid w:val="00BB1DA7"/>
    <w:rsid w:val="00BB30B0"/>
    <w:rsid w:val="00BB70E8"/>
    <w:rsid w:val="00BC1BBC"/>
    <w:rsid w:val="00BC3B78"/>
    <w:rsid w:val="00BC3F13"/>
    <w:rsid w:val="00BD289D"/>
    <w:rsid w:val="00BD3F01"/>
    <w:rsid w:val="00BD67F0"/>
    <w:rsid w:val="00BD6F3A"/>
    <w:rsid w:val="00BE10DC"/>
    <w:rsid w:val="00BE1838"/>
    <w:rsid w:val="00BE4428"/>
    <w:rsid w:val="00BF0C40"/>
    <w:rsid w:val="00BF3BED"/>
    <w:rsid w:val="00BF4A83"/>
    <w:rsid w:val="00BF683A"/>
    <w:rsid w:val="00BF7E21"/>
    <w:rsid w:val="00C00552"/>
    <w:rsid w:val="00C020EA"/>
    <w:rsid w:val="00C02974"/>
    <w:rsid w:val="00C04E8A"/>
    <w:rsid w:val="00C058AB"/>
    <w:rsid w:val="00C05F3D"/>
    <w:rsid w:val="00C07D54"/>
    <w:rsid w:val="00C100C8"/>
    <w:rsid w:val="00C209B8"/>
    <w:rsid w:val="00C21BF5"/>
    <w:rsid w:val="00C221A7"/>
    <w:rsid w:val="00C22973"/>
    <w:rsid w:val="00C25D3E"/>
    <w:rsid w:val="00C25FFF"/>
    <w:rsid w:val="00C30895"/>
    <w:rsid w:val="00C31120"/>
    <w:rsid w:val="00C33E6B"/>
    <w:rsid w:val="00C37264"/>
    <w:rsid w:val="00C3799B"/>
    <w:rsid w:val="00C379D0"/>
    <w:rsid w:val="00C40497"/>
    <w:rsid w:val="00C40628"/>
    <w:rsid w:val="00C42F39"/>
    <w:rsid w:val="00C44F02"/>
    <w:rsid w:val="00C4544C"/>
    <w:rsid w:val="00C47D37"/>
    <w:rsid w:val="00C500CC"/>
    <w:rsid w:val="00C50EAD"/>
    <w:rsid w:val="00C521CA"/>
    <w:rsid w:val="00C53024"/>
    <w:rsid w:val="00C5327F"/>
    <w:rsid w:val="00C53DF5"/>
    <w:rsid w:val="00C54E1D"/>
    <w:rsid w:val="00C555EF"/>
    <w:rsid w:val="00C5674C"/>
    <w:rsid w:val="00C60D96"/>
    <w:rsid w:val="00C6257B"/>
    <w:rsid w:val="00C62E9E"/>
    <w:rsid w:val="00C63ABC"/>
    <w:rsid w:val="00C64E47"/>
    <w:rsid w:val="00C65337"/>
    <w:rsid w:val="00C6551C"/>
    <w:rsid w:val="00C65822"/>
    <w:rsid w:val="00C6605B"/>
    <w:rsid w:val="00C6688B"/>
    <w:rsid w:val="00C67165"/>
    <w:rsid w:val="00C678FB"/>
    <w:rsid w:val="00C72FA0"/>
    <w:rsid w:val="00C74D9C"/>
    <w:rsid w:val="00C75603"/>
    <w:rsid w:val="00C80C3F"/>
    <w:rsid w:val="00C80CE4"/>
    <w:rsid w:val="00C8442E"/>
    <w:rsid w:val="00C9066D"/>
    <w:rsid w:val="00C93220"/>
    <w:rsid w:val="00C9419A"/>
    <w:rsid w:val="00C9641B"/>
    <w:rsid w:val="00CA0FBA"/>
    <w:rsid w:val="00CA1B95"/>
    <w:rsid w:val="00CA4551"/>
    <w:rsid w:val="00CA58FB"/>
    <w:rsid w:val="00CA7E02"/>
    <w:rsid w:val="00CB194F"/>
    <w:rsid w:val="00CB1A86"/>
    <w:rsid w:val="00CB3956"/>
    <w:rsid w:val="00CB5AF2"/>
    <w:rsid w:val="00CB6B7C"/>
    <w:rsid w:val="00CB6EE8"/>
    <w:rsid w:val="00CB70DB"/>
    <w:rsid w:val="00CC00E6"/>
    <w:rsid w:val="00CC4B32"/>
    <w:rsid w:val="00CC4D8C"/>
    <w:rsid w:val="00CC4F39"/>
    <w:rsid w:val="00CC748C"/>
    <w:rsid w:val="00CC7642"/>
    <w:rsid w:val="00CC7C14"/>
    <w:rsid w:val="00CD1DF9"/>
    <w:rsid w:val="00CD779B"/>
    <w:rsid w:val="00CD7F14"/>
    <w:rsid w:val="00CE1AD4"/>
    <w:rsid w:val="00CE26C2"/>
    <w:rsid w:val="00CE26EE"/>
    <w:rsid w:val="00CE2B43"/>
    <w:rsid w:val="00CE3FF4"/>
    <w:rsid w:val="00CE672D"/>
    <w:rsid w:val="00CE7181"/>
    <w:rsid w:val="00CF6655"/>
    <w:rsid w:val="00D007F5"/>
    <w:rsid w:val="00D01ECD"/>
    <w:rsid w:val="00D0210C"/>
    <w:rsid w:val="00D02640"/>
    <w:rsid w:val="00D062D3"/>
    <w:rsid w:val="00D07A44"/>
    <w:rsid w:val="00D10310"/>
    <w:rsid w:val="00D11BD0"/>
    <w:rsid w:val="00D143D3"/>
    <w:rsid w:val="00D17977"/>
    <w:rsid w:val="00D179DB"/>
    <w:rsid w:val="00D34269"/>
    <w:rsid w:val="00D34464"/>
    <w:rsid w:val="00D35711"/>
    <w:rsid w:val="00D36C74"/>
    <w:rsid w:val="00D40EFC"/>
    <w:rsid w:val="00D4584B"/>
    <w:rsid w:val="00D46AC0"/>
    <w:rsid w:val="00D527E8"/>
    <w:rsid w:val="00D55A53"/>
    <w:rsid w:val="00D6191C"/>
    <w:rsid w:val="00D61B39"/>
    <w:rsid w:val="00D62103"/>
    <w:rsid w:val="00D6239B"/>
    <w:rsid w:val="00D6287B"/>
    <w:rsid w:val="00D63F60"/>
    <w:rsid w:val="00D661A2"/>
    <w:rsid w:val="00D6699C"/>
    <w:rsid w:val="00D66B0C"/>
    <w:rsid w:val="00D746DC"/>
    <w:rsid w:val="00D75D36"/>
    <w:rsid w:val="00D811BF"/>
    <w:rsid w:val="00D82036"/>
    <w:rsid w:val="00D84A44"/>
    <w:rsid w:val="00D8593A"/>
    <w:rsid w:val="00D86320"/>
    <w:rsid w:val="00D86944"/>
    <w:rsid w:val="00D92718"/>
    <w:rsid w:val="00D94CEE"/>
    <w:rsid w:val="00D95733"/>
    <w:rsid w:val="00DA1A75"/>
    <w:rsid w:val="00DA4095"/>
    <w:rsid w:val="00DA4816"/>
    <w:rsid w:val="00DA5BF8"/>
    <w:rsid w:val="00DA665A"/>
    <w:rsid w:val="00DA707B"/>
    <w:rsid w:val="00DA76F1"/>
    <w:rsid w:val="00DB0C50"/>
    <w:rsid w:val="00DB0F60"/>
    <w:rsid w:val="00DB0FD7"/>
    <w:rsid w:val="00DB2F32"/>
    <w:rsid w:val="00DB40AF"/>
    <w:rsid w:val="00DC4978"/>
    <w:rsid w:val="00DC6C2B"/>
    <w:rsid w:val="00DC6CA4"/>
    <w:rsid w:val="00DD0BFF"/>
    <w:rsid w:val="00DD78AF"/>
    <w:rsid w:val="00DE0104"/>
    <w:rsid w:val="00DE4567"/>
    <w:rsid w:val="00DE69D7"/>
    <w:rsid w:val="00DE6DB8"/>
    <w:rsid w:val="00DF1C4F"/>
    <w:rsid w:val="00DF1F53"/>
    <w:rsid w:val="00DF2844"/>
    <w:rsid w:val="00DF590F"/>
    <w:rsid w:val="00DF5C7F"/>
    <w:rsid w:val="00DF5F0D"/>
    <w:rsid w:val="00DF79C1"/>
    <w:rsid w:val="00E00184"/>
    <w:rsid w:val="00E00B72"/>
    <w:rsid w:val="00E0768C"/>
    <w:rsid w:val="00E11CBE"/>
    <w:rsid w:val="00E12819"/>
    <w:rsid w:val="00E136A3"/>
    <w:rsid w:val="00E14A08"/>
    <w:rsid w:val="00E14EB1"/>
    <w:rsid w:val="00E16941"/>
    <w:rsid w:val="00E24F75"/>
    <w:rsid w:val="00E252E6"/>
    <w:rsid w:val="00E33988"/>
    <w:rsid w:val="00E33B93"/>
    <w:rsid w:val="00E34AB8"/>
    <w:rsid w:val="00E35204"/>
    <w:rsid w:val="00E36615"/>
    <w:rsid w:val="00E36635"/>
    <w:rsid w:val="00E41329"/>
    <w:rsid w:val="00E42192"/>
    <w:rsid w:val="00E42443"/>
    <w:rsid w:val="00E431B0"/>
    <w:rsid w:val="00E44CF0"/>
    <w:rsid w:val="00E474E7"/>
    <w:rsid w:val="00E52D58"/>
    <w:rsid w:val="00E545EC"/>
    <w:rsid w:val="00E56FC9"/>
    <w:rsid w:val="00E619CE"/>
    <w:rsid w:val="00E65D18"/>
    <w:rsid w:val="00E74AD4"/>
    <w:rsid w:val="00E76FD8"/>
    <w:rsid w:val="00E81970"/>
    <w:rsid w:val="00E826C3"/>
    <w:rsid w:val="00E90EBE"/>
    <w:rsid w:val="00E9372E"/>
    <w:rsid w:val="00E93A7C"/>
    <w:rsid w:val="00E961A7"/>
    <w:rsid w:val="00E96435"/>
    <w:rsid w:val="00E97DEB"/>
    <w:rsid w:val="00E97ED1"/>
    <w:rsid w:val="00EA207E"/>
    <w:rsid w:val="00EA24DB"/>
    <w:rsid w:val="00EA2D66"/>
    <w:rsid w:val="00EA7863"/>
    <w:rsid w:val="00EA7F82"/>
    <w:rsid w:val="00EB07FF"/>
    <w:rsid w:val="00EB13B4"/>
    <w:rsid w:val="00EB1D3D"/>
    <w:rsid w:val="00EB2594"/>
    <w:rsid w:val="00EB533D"/>
    <w:rsid w:val="00EB5B97"/>
    <w:rsid w:val="00EB65E4"/>
    <w:rsid w:val="00EB7977"/>
    <w:rsid w:val="00EC102D"/>
    <w:rsid w:val="00EC38E1"/>
    <w:rsid w:val="00EC6436"/>
    <w:rsid w:val="00EC648F"/>
    <w:rsid w:val="00EC7DE9"/>
    <w:rsid w:val="00ED31CE"/>
    <w:rsid w:val="00ED5420"/>
    <w:rsid w:val="00ED5CE8"/>
    <w:rsid w:val="00ED5FED"/>
    <w:rsid w:val="00ED64B0"/>
    <w:rsid w:val="00EE2863"/>
    <w:rsid w:val="00EE5E2E"/>
    <w:rsid w:val="00EE7658"/>
    <w:rsid w:val="00EF29F9"/>
    <w:rsid w:val="00EF2D69"/>
    <w:rsid w:val="00EF3CBE"/>
    <w:rsid w:val="00EF48A6"/>
    <w:rsid w:val="00EF4B00"/>
    <w:rsid w:val="00F04387"/>
    <w:rsid w:val="00F047F5"/>
    <w:rsid w:val="00F05B13"/>
    <w:rsid w:val="00F10C60"/>
    <w:rsid w:val="00F11014"/>
    <w:rsid w:val="00F1202E"/>
    <w:rsid w:val="00F14491"/>
    <w:rsid w:val="00F15054"/>
    <w:rsid w:val="00F15140"/>
    <w:rsid w:val="00F15ED5"/>
    <w:rsid w:val="00F161E7"/>
    <w:rsid w:val="00F16813"/>
    <w:rsid w:val="00F173DE"/>
    <w:rsid w:val="00F24316"/>
    <w:rsid w:val="00F275BA"/>
    <w:rsid w:val="00F27BCC"/>
    <w:rsid w:val="00F3328D"/>
    <w:rsid w:val="00F34FCD"/>
    <w:rsid w:val="00F35DE0"/>
    <w:rsid w:val="00F41A47"/>
    <w:rsid w:val="00F424AD"/>
    <w:rsid w:val="00F43D29"/>
    <w:rsid w:val="00F45605"/>
    <w:rsid w:val="00F51D3E"/>
    <w:rsid w:val="00F613F0"/>
    <w:rsid w:val="00F62F07"/>
    <w:rsid w:val="00F63CA2"/>
    <w:rsid w:val="00F65434"/>
    <w:rsid w:val="00F65813"/>
    <w:rsid w:val="00F66526"/>
    <w:rsid w:val="00F66EB5"/>
    <w:rsid w:val="00F6754A"/>
    <w:rsid w:val="00F70C22"/>
    <w:rsid w:val="00F72888"/>
    <w:rsid w:val="00F80263"/>
    <w:rsid w:val="00F80A1C"/>
    <w:rsid w:val="00F80AD6"/>
    <w:rsid w:val="00F83754"/>
    <w:rsid w:val="00F84215"/>
    <w:rsid w:val="00F86AD5"/>
    <w:rsid w:val="00F9049D"/>
    <w:rsid w:val="00FA0698"/>
    <w:rsid w:val="00FA170D"/>
    <w:rsid w:val="00FA1E9A"/>
    <w:rsid w:val="00FA27D1"/>
    <w:rsid w:val="00FA7FC1"/>
    <w:rsid w:val="00FB50C3"/>
    <w:rsid w:val="00FB6676"/>
    <w:rsid w:val="00FC0EFD"/>
    <w:rsid w:val="00FC11AF"/>
    <w:rsid w:val="00FC2169"/>
    <w:rsid w:val="00FC3195"/>
    <w:rsid w:val="00FC342A"/>
    <w:rsid w:val="00FC5129"/>
    <w:rsid w:val="00FC6017"/>
    <w:rsid w:val="00FC672C"/>
    <w:rsid w:val="00FD0181"/>
    <w:rsid w:val="00FD03DB"/>
    <w:rsid w:val="00FD259D"/>
    <w:rsid w:val="00FD382F"/>
    <w:rsid w:val="00FD5372"/>
    <w:rsid w:val="00FE43BA"/>
    <w:rsid w:val="00FF6190"/>
    <w:rsid w:val="00FF73F9"/>
    <w:rsid w:val="011679E5"/>
    <w:rsid w:val="012733B5"/>
    <w:rsid w:val="018225EE"/>
    <w:rsid w:val="01B05CF8"/>
    <w:rsid w:val="01C15517"/>
    <w:rsid w:val="01D06554"/>
    <w:rsid w:val="01EB2A58"/>
    <w:rsid w:val="02063675"/>
    <w:rsid w:val="0209790A"/>
    <w:rsid w:val="02B42A68"/>
    <w:rsid w:val="036D654E"/>
    <w:rsid w:val="03A66FEA"/>
    <w:rsid w:val="03CC793B"/>
    <w:rsid w:val="040A6E12"/>
    <w:rsid w:val="04400254"/>
    <w:rsid w:val="048A4AA1"/>
    <w:rsid w:val="04F92602"/>
    <w:rsid w:val="05645A2B"/>
    <w:rsid w:val="056B6151"/>
    <w:rsid w:val="0583627B"/>
    <w:rsid w:val="058D133E"/>
    <w:rsid w:val="05F229D7"/>
    <w:rsid w:val="06271258"/>
    <w:rsid w:val="0640493B"/>
    <w:rsid w:val="0658071C"/>
    <w:rsid w:val="06775CA4"/>
    <w:rsid w:val="06D37AAE"/>
    <w:rsid w:val="06F855D4"/>
    <w:rsid w:val="074C6278"/>
    <w:rsid w:val="076832B2"/>
    <w:rsid w:val="078011C6"/>
    <w:rsid w:val="0781221D"/>
    <w:rsid w:val="08232B98"/>
    <w:rsid w:val="08C36DC1"/>
    <w:rsid w:val="091B0586"/>
    <w:rsid w:val="09697743"/>
    <w:rsid w:val="09833535"/>
    <w:rsid w:val="09845364"/>
    <w:rsid w:val="09B5079B"/>
    <w:rsid w:val="09F81010"/>
    <w:rsid w:val="0A985B0F"/>
    <w:rsid w:val="0A9D3A17"/>
    <w:rsid w:val="0AA574FB"/>
    <w:rsid w:val="0AA7737C"/>
    <w:rsid w:val="0AF225CA"/>
    <w:rsid w:val="0B113E2B"/>
    <w:rsid w:val="0BAE3629"/>
    <w:rsid w:val="0BBA3C39"/>
    <w:rsid w:val="0BE171DD"/>
    <w:rsid w:val="0C0F5320"/>
    <w:rsid w:val="0C834AE0"/>
    <w:rsid w:val="0C982A2B"/>
    <w:rsid w:val="0D6761D5"/>
    <w:rsid w:val="0DD824EC"/>
    <w:rsid w:val="0DDE478A"/>
    <w:rsid w:val="0E18381C"/>
    <w:rsid w:val="0E3F61A3"/>
    <w:rsid w:val="0EA4022B"/>
    <w:rsid w:val="0EBA0E6E"/>
    <w:rsid w:val="0EBE4498"/>
    <w:rsid w:val="0F96119E"/>
    <w:rsid w:val="1012543B"/>
    <w:rsid w:val="10397A9D"/>
    <w:rsid w:val="108F4236"/>
    <w:rsid w:val="1092003A"/>
    <w:rsid w:val="113B2D5D"/>
    <w:rsid w:val="11EC153E"/>
    <w:rsid w:val="120818BD"/>
    <w:rsid w:val="125276E3"/>
    <w:rsid w:val="129D0734"/>
    <w:rsid w:val="12AC6C55"/>
    <w:rsid w:val="12F43329"/>
    <w:rsid w:val="12FD6BA9"/>
    <w:rsid w:val="132C1A36"/>
    <w:rsid w:val="133D307C"/>
    <w:rsid w:val="13CF38A0"/>
    <w:rsid w:val="14016F58"/>
    <w:rsid w:val="14067FD1"/>
    <w:rsid w:val="14283AF4"/>
    <w:rsid w:val="144B78C7"/>
    <w:rsid w:val="14B7484B"/>
    <w:rsid w:val="14BD3043"/>
    <w:rsid w:val="14C02CBA"/>
    <w:rsid w:val="14F103F8"/>
    <w:rsid w:val="151D0F9B"/>
    <w:rsid w:val="152545E7"/>
    <w:rsid w:val="158B7F4C"/>
    <w:rsid w:val="15ED770A"/>
    <w:rsid w:val="163A0515"/>
    <w:rsid w:val="167E07D0"/>
    <w:rsid w:val="171D1A58"/>
    <w:rsid w:val="172D6ED0"/>
    <w:rsid w:val="173F1ABA"/>
    <w:rsid w:val="17EC0BB1"/>
    <w:rsid w:val="1835691B"/>
    <w:rsid w:val="18FF71A9"/>
    <w:rsid w:val="19A770F3"/>
    <w:rsid w:val="1A07502F"/>
    <w:rsid w:val="1A7C70A6"/>
    <w:rsid w:val="1AB950F4"/>
    <w:rsid w:val="1B485492"/>
    <w:rsid w:val="1B615E9C"/>
    <w:rsid w:val="1B73738E"/>
    <w:rsid w:val="1B7F6B1B"/>
    <w:rsid w:val="1B7F6DD3"/>
    <w:rsid w:val="1BDB231C"/>
    <w:rsid w:val="1C011A1A"/>
    <w:rsid w:val="1C77683C"/>
    <w:rsid w:val="1D1672EB"/>
    <w:rsid w:val="1D2278ED"/>
    <w:rsid w:val="1D71740D"/>
    <w:rsid w:val="1D7F0F40"/>
    <w:rsid w:val="1D9D762A"/>
    <w:rsid w:val="1DD84D86"/>
    <w:rsid w:val="1E0B3F6B"/>
    <w:rsid w:val="1E9222E7"/>
    <w:rsid w:val="1EAA1D69"/>
    <w:rsid w:val="1EAD072D"/>
    <w:rsid w:val="1EF271BC"/>
    <w:rsid w:val="1F1E525D"/>
    <w:rsid w:val="1F1F230B"/>
    <w:rsid w:val="1F443AD3"/>
    <w:rsid w:val="1F824ACF"/>
    <w:rsid w:val="1FAD2999"/>
    <w:rsid w:val="1FB901CA"/>
    <w:rsid w:val="1FD751DA"/>
    <w:rsid w:val="1FDE7965"/>
    <w:rsid w:val="208E4576"/>
    <w:rsid w:val="20AC57AC"/>
    <w:rsid w:val="20B53177"/>
    <w:rsid w:val="213B6A9D"/>
    <w:rsid w:val="21885C8A"/>
    <w:rsid w:val="218B6C51"/>
    <w:rsid w:val="21FF0E68"/>
    <w:rsid w:val="225D6076"/>
    <w:rsid w:val="23154DD5"/>
    <w:rsid w:val="234F3FB3"/>
    <w:rsid w:val="248D00B7"/>
    <w:rsid w:val="24DC45A7"/>
    <w:rsid w:val="24E25A22"/>
    <w:rsid w:val="258A7F39"/>
    <w:rsid w:val="26192C61"/>
    <w:rsid w:val="26D53120"/>
    <w:rsid w:val="270B3295"/>
    <w:rsid w:val="278B1917"/>
    <w:rsid w:val="27D01D8D"/>
    <w:rsid w:val="27D95349"/>
    <w:rsid w:val="27DD682A"/>
    <w:rsid w:val="287E2E98"/>
    <w:rsid w:val="289E4E0F"/>
    <w:rsid w:val="28A306BC"/>
    <w:rsid w:val="29AA30D5"/>
    <w:rsid w:val="2A03439F"/>
    <w:rsid w:val="2A916270"/>
    <w:rsid w:val="2ACD6C11"/>
    <w:rsid w:val="2B067D6E"/>
    <w:rsid w:val="2B910F67"/>
    <w:rsid w:val="2B926AA2"/>
    <w:rsid w:val="2BFA261C"/>
    <w:rsid w:val="2C0D36D7"/>
    <w:rsid w:val="2C2A4BEE"/>
    <w:rsid w:val="2C4F084D"/>
    <w:rsid w:val="2D06180F"/>
    <w:rsid w:val="2D0C68C4"/>
    <w:rsid w:val="2D1F53CE"/>
    <w:rsid w:val="2D33447F"/>
    <w:rsid w:val="2D623EF9"/>
    <w:rsid w:val="2D796EBF"/>
    <w:rsid w:val="2DE07833"/>
    <w:rsid w:val="2E3B708D"/>
    <w:rsid w:val="2E8F264F"/>
    <w:rsid w:val="2F297596"/>
    <w:rsid w:val="2F617032"/>
    <w:rsid w:val="2F981400"/>
    <w:rsid w:val="2FCB7764"/>
    <w:rsid w:val="30250AE2"/>
    <w:rsid w:val="30D31F53"/>
    <w:rsid w:val="30E93E8F"/>
    <w:rsid w:val="31263B58"/>
    <w:rsid w:val="31292051"/>
    <w:rsid w:val="31381C51"/>
    <w:rsid w:val="315B61DD"/>
    <w:rsid w:val="31663BE0"/>
    <w:rsid w:val="317C0D93"/>
    <w:rsid w:val="319F6768"/>
    <w:rsid w:val="31B25088"/>
    <w:rsid w:val="31D42EA7"/>
    <w:rsid w:val="31D7283C"/>
    <w:rsid w:val="326568A2"/>
    <w:rsid w:val="32752BF9"/>
    <w:rsid w:val="32753534"/>
    <w:rsid w:val="328E2F0C"/>
    <w:rsid w:val="330E3715"/>
    <w:rsid w:val="335901FA"/>
    <w:rsid w:val="336E2A4D"/>
    <w:rsid w:val="34290F14"/>
    <w:rsid w:val="3456322F"/>
    <w:rsid w:val="34EF1431"/>
    <w:rsid w:val="35457105"/>
    <w:rsid w:val="359E1DD9"/>
    <w:rsid w:val="35BB46F4"/>
    <w:rsid w:val="35F67ADD"/>
    <w:rsid w:val="36D61486"/>
    <w:rsid w:val="36F66411"/>
    <w:rsid w:val="37234583"/>
    <w:rsid w:val="377F74AA"/>
    <w:rsid w:val="37896712"/>
    <w:rsid w:val="385F2138"/>
    <w:rsid w:val="387F3646"/>
    <w:rsid w:val="3900490B"/>
    <w:rsid w:val="391E7359"/>
    <w:rsid w:val="393B7C38"/>
    <w:rsid w:val="393F011F"/>
    <w:rsid w:val="39666FA4"/>
    <w:rsid w:val="396E7283"/>
    <w:rsid w:val="39710B17"/>
    <w:rsid w:val="399C42C7"/>
    <w:rsid w:val="39A92E24"/>
    <w:rsid w:val="3A143B37"/>
    <w:rsid w:val="3A4E0BE6"/>
    <w:rsid w:val="3AEB2992"/>
    <w:rsid w:val="3B281C77"/>
    <w:rsid w:val="3B5D2A67"/>
    <w:rsid w:val="3B7208DB"/>
    <w:rsid w:val="3B915603"/>
    <w:rsid w:val="3C59081A"/>
    <w:rsid w:val="3C6A7FB5"/>
    <w:rsid w:val="3C7E6B76"/>
    <w:rsid w:val="3CB60F20"/>
    <w:rsid w:val="3CB87DBC"/>
    <w:rsid w:val="3CFB5DBD"/>
    <w:rsid w:val="3D317946"/>
    <w:rsid w:val="3D6317FD"/>
    <w:rsid w:val="3D717BB1"/>
    <w:rsid w:val="3D7848E0"/>
    <w:rsid w:val="3DBA23D9"/>
    <w:rsid w:val="3E1D4CE7"/>
    <w:rsid w:val="3E792D40"/>
    <w:rsid w:val="3E9D2A4D"/>
    <w:rsid w:val="3EAC6A67"/>
    <w:rsid w:val="3F326757"/>
    <w:rsid w:val="3F5A5771"/>
    <w:rsid w:val="3F82116A"/>
    <w:rsid w:val="3F9012D2"/>
    <w:rsid w:val="405648C6"/>
    <w:rsid w:val="407B3321"/>
    <w:rsid w:val="40B74A78"/>
    <w:rsid w:val="41622DFC"/>
    <w:rsid w:val="416A48FB"/>
    <w:rsid w:val="416B4BCD"/>
    <w:rsid w:val="41900389"/>
    <w:rsid w:val="419075E0"/>
    <w:rsid w:val="419D75AA"/>
    <w:rsid w:val="41B23E78"/>
    <w:rsid w:val="41EB0701"/>
    <w:rsid w:val="431E3A6C"/>
    <w:rsid w:val="436B26EC"/>
    <w:rsid w:val="43F012C7"/>
    <w:rsid w:val="446B5900"/>
    <w:rsid w:val="448E231D"/>
    <w:rsid w:val="44C50538"/>
    <w:rsid w:val="45313420"/>
    <w:rsid w:val="454318F5"/>
    <w:rsid w:val="45A12677"/>
    <w:rsid w:val="45CE75F5"/>
    <w:rsid w:val="46521D14"/>
    <w:rsid w:val="468A5BE0"/>
    <w:rsid w:val="46AF0F9D"/>
    <w:rsid w:val="47200809"/>
    <w:rsid w:val="47910E23"/>
    <w:rsid w:val="479222F3"/>
    <w:rsid w:val="47DB1C41"/>
    <w:rsid w:val="487E1F31"/>
    <w:rsid w:val="48975739"/>
    <w:rsid w:val="48B01EDD"/>
    <w:rsid w:val="48F135F8"/>
    <w:rsid w:val="48F719E9"/>
    <w:rsid w:val="48FC3850"/>
    <w:rsid w:val="490C4066"/>
    <w:rsid w:val="49547D05"/>
    <w:rsid w:val="4979388C"/>
    <w:rsid w:val="49F02A1A"/>
    <w:rsid w:val="49F47E2B"/>
    <w:rsid w:val="4A22658D"/>
    <w:rsid w:val="4A865707"/>
    <w:rsid w:val="4AAE238C"/>
    <w:rsid w:val="4B3E2BF7"/>
    <w:rsid w:val="4B6F034A"/>
    <w:rsid w:val="4BF312D4"/>
    <w:rsid w:val="4CFF1E60"/>
    <w:rsid w:val="4D1D762E"/>
    <w:rsid w:val="4D2912FD"/>
    <w:rsid w:val="4D4C095A"/>
    <w:rsid w:val="4D731036"/>
    <w:rsid w:val="4DAD70C7"/>
    <w:rsid w:val="4DE40E2C"/>
    <w:rsid w:val="4E043A8F"/>
    <w:rsid w:val="4F0A1F79"/>
    <w:rsid w:val="4F4561BA"/>
    <w:rsid w:val="4F8774C2"/>
    <w:rsid w:val="4F92308C"/>
    <w:rsid w:val="4FC37C0E"/>
    <w:rsid w:val="4FE67FA2"/>
    <w:rsid w:val="4FEC1098"/>
    <w:rsid w:val="508A4D98"/>
    <w:rsid w:val="50FE71A5"/>
    <w:rsid w:val="51383482"/>
    <w:rsid w:val="5201722E"/>
    <w:rsid w:val="527120FC"/>
    <w:rsid w:val="5281338A"/>
    <w:rsid w:val="52AB5C85"/>
    <w:rsid w:val="53291E5E"/>
    <w:rsid w:val="5356761A"/>
    <w:rsid w:val="54027E34"/>
    <w:rsid w:val="540E1DD5"/>
    <w:rsid w:val="54187306"/>
    <w:rsid w:val="5420454E"/>
    <w:rsid w:val="543B50E3"/>
    <w:rsid w:val="54465E5A"/>
    <w:rsid w:val="54713E60"/>
    <w:rsid w:val="54A134F3"/>
    <w:rsid w:val="54AA5208"/>
    <w:rsid w:val="54BD5094"/>
    <w:rsid w:val="54D11F38"/>
    <w:rsid w:val="54D710EC"/>
    <w:rsid w:val="551F2996"/>
    <w:rsid w:val="557E31BE"/>
    <w:rsid w:val="55833D86"/>
    <w:rsid w:val="559B4A4F"/>
    <w:rsid w:val="564733CD"/>
    <w:rsid w:val="56774147"/>
    <w:rsid w:val="56777197"/>
    <w:rsid w:val="567B76A2"/>
    <w:rsid w:val="56F34C97"/>
    <w:rsid w:val="572E565D"/>
    <w:rsid w:val="576119E3"/>
    <w:rsid w:val="57733C2C"/>
    <w:rsid w:val="57983D88"/>
    <w:rsid w:val="57D603F0"/>
    <w:rsid w:val="58844725"/>
    <w:rsid w:val="58A15407"/>
    <w:rsid w:val="58A24620"/>
    <w:rsid w:val="58DB2E56"/>
    <w:rsid w:val="58DB7E42"/>
    <w:rsid w:val="59014AD2"/>
    <w:rsid w:val="59132021"/>
    <w:rsid w:val="596D0231"/>
    <w:rsid w:val="59C51F92"/>
    <w:rsid w:val="5A057C3F"/>
    <w:rsid w:val="5ABC2842"/>
    <w:rsid w:val="5ABF0920"/>
    <w:rsid w:val="5ACE3C6D"/>
    <w:rsid w:val="5AED3633"/>
    <w:rsid w:val="5B7C339C"/>
    <w:rsid w:val="5BA10B67"/>
    <w:rsid w:val="5BBC3067"/>
    <w:rsid w:val="5BD61330"/>
    <w:rsid w:val="5C3210B6"/>
    <w:rsid w:val="5C905778"/>
    <w:rsid w:val="5C922A9E"/>
    <w:rsid w:val="5D901332"/>
    <w:rsid w:val="5E2D1547"/>
    <w:rsid w:val="5E2F6878"/>
    <w:rsid w:val="5E7862F2"/>
    <w:rsid w:val="5F840D28"/>
    <w:rsid w:val="5F896AFA"/>
    <w:rsid w:val="5FA50664"/>
    <w:rsid w:val="60214C67"/>
    <w:rsid w:val="602C1141"/>
    <w:rsid w:val="605453D9"/>
    <w:rsid w:val="60DC514E"/>
    <w:rsid w:val="60F60B61"/>
    <w:rsid w:val="613820CB"/>
    <w:rsid w:val="61903C27"/>
    <w:rsid w:val="61E738F9"/>
    <w:rsid w:val="621B2366"/>
    <w:rsid w:val="62750ADC"/>
    <w:rsid w:val="62912E58"/>
    <w:rsid w:val="62B21D0A"/>
    <w:rsid w:val="62C2726E"/>
    <w:rsid w:val="62CA10AA"/>
    <w:rsid w:val="63040C38"/>
    <w:rsid w:val="631B2FBB"/>
    <w:rsid w:val="63547151"/>
    <w:rsid w:val="63A44047"/>
    <w:rsid w:val="63E53460"/>
    <w:rsid w:val="64240406"/>
    <w:rsid w:val="645452EA"/>
    <w:rsid w:val="648529F3"/>
    <w:rsid w:val="64DF3265"/>
    <w:rsid w:val="650B5D3C"/>
    <w:rsid w:val="65440A75"/>
    <w:rsid w:val="65AA3095"/>
    <w:rsid w:val="65C171A8"/>
    <w:rsid w:val="65D35169"/>
    <w:rsid w:val="65E73971"/>
    <w:rsid w:val="660E79F3"/>
    <w:rsid w:val="66162D25"/>
    <w:rsid w:val="662B4A31"/>
    <w:rsid w:val="66605CA5"/>
    <w:rsid w:val="66837A9E"/>
    <w:rsid w:val="67374A16"/>
    <w:rsid w:val="679551B2"/>
    <w:rsid w:val="679E60B0"/>
    <w:rsid w:val="67D911BD"/>
    <w:rsid w:val="67FE64F9"/>
    <w:rsid w:val="68396CDD"/>
    <w:rsid w:val="6879597A"/>
    <w:rsid w:val="6881461B"/>
    <w:rsid w:val="68EA3BA0"/>
    <w:rsid w:val="69156AB3"/>
    <w:rsid w:val="6921720B"/>
    <w:rsid w:val="696F27F1"/>
    <w:rsid w:val="697A09E1"/>
    <w:rsid w:val="69CF2B9C"/>
    <w:rsid w:val="69E0602D"/>
    <w:rsid w:val="69E62A7D"/>
    <w:rsid w:val="6A0C295A"/>
    <w:rsid w:val="6A0C42AD"/>
    <w:rsid w:val="6A3F7B54"/>
    <w:rsid w:val="6A7F2EB6"/>
    <w:rsid w:val="6A851B97"/>
    <w:rsid w:val="6A974AF4"/>
    <w:rsid w:val="6ACB2CC3"/>
    <w:rsid w:val="6ADB3854"/>
    <w:rsid w:val="6AE4094C"/>
    <w:rsid w:val="6B193A62"/>
    <w:rsid w:val="6B2972BA"/>
    <w:rsid w:val="6B456C65"/>
    <w:rsid w:val="6B5C15BE"/>
    <w:rsid w:val="6B9250D1"/>
    <w:rsid w:val="6BBE59DF"/>
    <w:rsid w:val="6BD8017F"/>
    <w:rsid w:val="6C596A26"/>
    <w:rsid w:val="6C811607"/>
    <w:rsid w:val="6C830B5A"/>
    <w:rsid w:val="6C85514F"/>
    <w:rsid w:val="6CBE2970"/>
    <w:rsid w:val="6CFD3A68"/>
    <w:rsid w:val="6D7313A2"/>
    <w:rsid w:val="6D884F69"/>
    <w:rsid w:val="6DBE4A2E"/>
    <w:rsid w:val="6DE529AB"/>
    <w:rsid w:val="6E0F0BE3"/>
    <w:rsid w:val="6E3B6F6A"/>
    <w:rsid w:val="6E767EE9"/>
    <w:rsid w:val="6EA71919"/>
    <w:rsid w:val="6F1E2E0F"/>
    <w:rsid w:val="6F352D4C"/>
    <w:rsid w:val="6FF50918"/>
    <w:rsid w:val="70494CA3"/>
    <w:rsid w:val="711D5149"/>
    <w:rsid w:val="714D737F"/>
    <w:rsid w:val="71842D15"/>
    <w:rsid w:val="71E6013B"/>
    <w:rsid w:val="7271171F"/>
    <w:rsid w:val="72A12FE1"/>
    <w:rsid w:val="72C02C39"/>
    <w:rsid w:val="72D80B96"/>
    <w:rsid w:val="73C455FF"/>
    <w:rsid w:val="741620FD"/>
    <w:rsid w:val="744C72D9"/>
    <w:rsid w:val="746A7F14"/>
    <w:rsid w:val="74A41226"/>
    <w:rsid w:val="74DF17DA"/>
    <w:rsid w:val="74F36FB6"/>
    <w:rsid w:val="74F50CE9"/>
    <w:rsid w:val="7570182C"/>
    <w:rsid w:val="758939CB"/>
    <w:rsid w:val="75C478C3"/>
    <w:rsid w:val="75D17A8A"/>
    <w:rsid w:val="76060978"/>
    <w:rsid w:val="761A4790"/>
    <w:rsid w:val="76465EB6"/>
    <w:rsid w:val="768B6C90"/>
    <w:rsid w:val="76A326AA"/>
    <w:rsid w:val="76B762CA"/>
    <w:rsid w:val="76BC4128"/>
    <w:rsid w:val="77143020"/>
    <w:rsid w:val="7717033F"/>
    <w:rsid w:val="77250BB9"/>
    <w:rsid w:val="772E46E3"/>
    <w:rsid w:val="77472C3D"/>
    <w:rsid w:val="78127C28"/>
    <w:rsid w:val="783E459E"/>
    <w:rsid w:val="78B324BA"/>
    <w:rsid w:val="790D2997"/>
    <w:rsid w:val="794F63C5"/>
    <w:rsid w:val="79924AF9"/>
    <w:rsid w:val="79B15763"/>
    <w:rsid w:val="79FD281D"/>
    <w:rsid w:val="7A5075DF"/>
    <w:rsid w:val="7A5E0E71"/>
    <w:rsid w:val="7AC84282"/>
    <w:rsid w:val="7AE766C9"/>
    <w:rsid w:val="7B1F4215"/>
    <w:rsid w:val="7B384256"/>
    <w:rsid w:val="7B44527D"/>
    <w:rsid w:val="7B4F5FCA"/>
    <w:rsid w:val="7BB163ED"/>
    <w:rsid w:val="7BE201E4"/>
    <w:rsid w:val="7C0E41EC"/>
    <w:rsid w:val="7C101637"/>
    <w:rsid w:val="7C307097"/>
    <w:rsid w:val="7CD20A06"/>
    <w:rsid w:val="7CF351A7"/>
    <w:rsid w:val="7CFB3DC3"/>
    <w:rsid w:val="7D34536D"/>
    <w:rsid w:val="7D4C652E"/>
    <w:rsid w:val="7E8A3FEA"/>
    <w:rsid w:val="7EAD5952"/>
    <w:rsid w:val="7EE077CA"/>
    <w:rsid w:val="7EFE753C"/>
    <w:rsid w:val="7F082D47"/>
    <w:rsid w:val="7F1D0053"/>
    <w:rsid w:val="7F2D70CD"/>
    <w:rsid w:val="7F327520"/>
    <w:rsid w:val="7F4516F4"/>
    <w:rsid w:val="7F4700BB"/>
    <w:rsid w:val="7F471464"/>
    <w:rsid w:val="7F7E3B3C"/>
    <w:rsid w:val="7FAA72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99"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99"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1"/>
    <w:link w:val="60"/>
    <w:qFormat/>
    <w:uiPriority w:val="99"/>
    <w:pPr>
      <w:keepNext/>
      <w:keepLines/>
      <w:spacing w:before="340" w:after="330" w:line="576" w:lineRule="auto"/>
      <w:outlineLvl w:val="0"/>
    </w:pPr>
    <w:rPr>
      <w:b/>
      <w:kern w:val="44"/>
      <w:sz w:val="44"/>
      <w:szCs w:val="20"/>
    </w:rPr>
  </w:style>
  <w:style w:type="paragraph" w:styleId="3">
    <w:name w:val="heading 2"/>
    <w:basedOn w:val="1"/>
    <w:next w:val="1"/>
    <w:link w:val="61"/>
    <w:qFormat/>
    <w:uiPriority w:val="0"/>
    <w:pPr>
      <w:keepNext/>
      <w:keepLines/>
      <w:spacing w:before="260" w:after="260" w:line="415" w:lineRule="auto"/>
      <w:outlineLvl w:val="1"/>
    </w:pPr>
    <w:rPr>
      <w:b/>
      <w:sz w:val="32"/>
      <w:szCs w:val="20"/>
    </w:rPr>
  </w:style>
  <w:style w:type="paragraph" w:styleId="4">
    <w:name w:val="heading 3"/>
    <w:basedOn w:val="1"/>
    <w:next w:val="1"/>
    <w:link w:val="62"/>
    <w:qFormat/>
    <w:uiPriority w:val="0"/>
    <w:pPr>
      <w:keepNext/>
      <w:keepLines/>
      <w:tabs>
        <w:tab w:val="left" w:pos="720"/>
      </w:tabs>
      <w:spacing w:before="260" w:after="260" w:line="416" w:lineRule="auto"/>
      <w:ind w:left="720" w:hanging="720"/>
      <w:outlineLvl w:val="2"/>
    </w:pPr>
    <w:rPr>
      <w:b/>
      <w:bCs/>
      <w:sz w:val="32"/>
      <w:szCs w:val="32"/>
    </w:rPr>
  </w:style>
  <w:style w:type="paragraph" w:styleId="5">
    <w:name w:val="heading 4"/>
    <w:basedOn w:val="4"/>
    <w:next w:val="1"/>
    <w:link w:val="63"/>
    <w:qFormat/>
    <w:uiPriority w:val="0"/>
    <w:pPr>
      <w:keepNext/>
      <w:keepLines/>
      <w:tabs>
        <w:tab w:val="left" w:pos="1080"/>
        <w:tab w:val="clear" w:pos="720"/>
      </w:tabs>
      <w:spacing w:before="280" w:after="290" w:line="376" w:lineRule="auto"/>
      <w:ind w:left="864" w:hanging="864"/>
      <w:outlineLvl w:val="3"/>
    </w:pPr>
    <w:rPr>
      <w:rFonts w:ascii="Arial" w:hAnsi="Arial" w:eastAsia="黑体"/>
      <w:sz w:val="28"/>
      <w:szCs w:val="28"/>
    </w:rPr>
  </w:style>
  <w:style w:type="paragraph" w:styleId="6">
    <w:name w:val="heading 5"/>
    <w:basedOn w:val="1"/>
    <w:next w:val="7"/>
    <w:link w:val="64"/>
    <w:qFormat/>
    <w:uiPriority w:val="0"/>
    <w:pPr>
      <w:keepNext/>
      <w:keepLines/>
      <w:tabs>
        <w:tab w:val="left" w:pos="1008"/>
      </w:tabs>
      <w:spacing w:before="280" w:after="290" w:line="360" w:lineRule="auto"/>
      <w:ind w:left="1008" w:hanging="1008"/>
      <w:jc w:val="left"/>
      <w:outlineLvl w:val="4"/>
    </w:pPr>
    <w:rPr>
      <w:rFonts w:eastAsia="黑体"/>
      <w:b/>
      <w:kern w:val="24"/>
      <w:sz w:val="24"/>
      <w:szCs w:val="20"/>
    </w:rPr>
  </w:style>
  <w:style w:type="paragraph" w:styleId="8">
    <w:name w:val="heading 6"/>
    <w:basedOn w:val="1"/>
    <w:next w:val="1"/>
    <w:link w:val="6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7"/>
    <w:link w:val="67"/>
    <w:qFormat/>
    <w:uiPriority w:val="0"/>
    <w:pPr>
      <w:keepNext/>
      <w:keepLines/>
      <w:tabs>
        <w:tab w:val="left" w:pos="1296"/>
      </w:tabs>
      <w:spacing w:before="240" w:after="64" w:line="360" w:lineRule="auto"/>
      <w:ind w:left="1296" w:hanging="1296"/>
      <w:jc w:val="left"/>
      <w:outlineLvl w:val="6"/>
    </w:pPr>
    <w:rPr>
      <w:rFonts w:eastAsia="黑体"/>
      <w:b/>
      <w:kern w:val="24"/>
      <w:sz w:val="24"/>
      <w:szCs w:val="20"/>
    </w:rPr>
  </w:style>
  <w:style w:type="paragraph" w:styleId="10">
    <w:name w:val="heading 8"/>
    <w:basedOn w:val="1"/>
    <w:next w:val="7"/>
    <w:link w:val="68"/>
    <w:qFormat/>
    <w:uiPriority w:val="0"/>
    <w:pPr>
      <w:keepNext/>
      <w:keepLines/>
      <w:tabs>
        <w:tab w:val="left" w:pos="1440"/>
      </w:tabs>
      <w:spacing w:before="240" w:after="64" w:line="360" w:lineRule="auto"/>
      <w:ind w:left="1440" w:hanging="1440"/>
      <w:jc w:val="left"/>
      <w:outlineLvl w:val="7"/>
    </w:pPr>
    <w:rPr>
      <w:rFonts w:eastAsia="黑体"/>
      <w:b/>
      <w:kern w:val="24"/>
      <w:sz w:val="24"/>
      <w:szCs w:val="20"/>
    </w:rPr>
  </w:style>
  <w:style w:type="paragraph" w:styleId="11">
    <w:name w:val="heading 9"/>
    <w:basedOn w:val="1"/>
    <w:next w:val="7"/>
    <w:link w:val="69"/>
    <w:qFormat/>
    <w:uiPriority w:val="0"/>
    <w:pPr>
      <w:keepNext/>
      <w:keepLines/>
      <w:tabs>
        <w:tab w:val="left" w:pos="1584"/>
      </w:tabs>
      <w:spacing w:before="240" w:after="64" w:line="360" w:lineRule="auto"/>
      <w:ind w:left="1584" w:hanging="1584"/>
      <w:jc w:val="left"/>
      <w:outlineLvl w:val="8"/>
    </w:pPr>
    <w:rPr>
      <w:rFonts w:eastAsia="黑体"/>
      <w:b/>
      <w:kern w:val="24"/>
      <w:sz w:val="24"/>
      <w:szCs w:val="20"/>
    </w:rPr>
  </w:style>
  <w:style w:type="character" w:default="1" w:styleId="49">
    <w:name w:val="Default Paragraph Font"/>
    <w:unhideWhenUsed/>
    <w:uiPriority w:val="1"/>
    <w:rPr>
      <w:szCs w:val="20"/>
    </w:rPr>
  </w:style>
  <w:style w:type="table" w:default="1" w:styleId="47">
    <w:name w:val="Normal Table"/>
    <w:unhideWhenUsed/>
    <w:uiPriority w:val="99"/>
    <w:tblPr>
      <w:tblStyle w:val="47"/>
      <w:tblCellMar>
        <w:top w:w="0" w:type="dxa"/>
        <w:left w:w="108" w:type="dxa"/>
        <w:bottom w:w="0" w:type="dxa"/>
        <w:right w:w="108" w:type="dxa"/>
      </w:tblCellMar>
    </w:tblPr>
  </w:style>
  <w:style w:type="paragraph" w:styleId="7">
    <w:name w:val="Normal Indent"/>
    <w:basedOn w:val="1"/>
    <w:link w:val="65"/>
    <w:qFormat/>
    <w:uiPriority w:val="0"/>
    <w:pPr>
      <w:ind w:firstLine="420"/>
    </w:pPr>
  </w:style>
  <w:style w:type="paragraph" w:styleId="12">
    <w:name w:val="toc 7"/>
    <w:basedOn w:val="1"/>
    <w:next w:val="1"/>
    <w:uiPriority w:val="39"/>
    <w:pPr>
      <w:ind w:left="2520" w:leftChars="1200"/>
    </w:pPr>
  </w:style>
  <w:style w:type="paragraph" w:styleId="13">
    <w:name w:val="List Number"/>
    <w:basedOn w:val="1"/>
    <w:uiPriority w:val="0"/>
    <w:pPr>
      <w:numPr>
        <w:ilvl w:val="0"/>
        <w:numId w:val="1"/>
      </w:numPr>
    </w:pPr>
  </w:style>
  <w:style w:type="paragraph" w:styleId="14">
    <w:name w:val="caption"/>
    <w:basedOn w:val="1"/>
    <w:next w:val="1"/>
    <w:link w:val="70"/>
    <w:qFormat/>
    <w:uiPriority w:val="0"/>
    <w:pPr>
      <w:spacing w:before="152" w:after="160"/>
    </w:pPr>
    <w:rPr>
      <w:rFonts w:ascii="Arial" w:hAnsi="Arial" w:eastAsia="黑体"/>
      <w:sz w:val="20"/>
      <w:szCs w:val="20"/>
    </w:rPr>
  </w:style>
  <w:style w:type="paragraph" w:styleId="15">
    <w:name w:val="Document Map"/>
    <w:basedOn w:val="1"/>
    <w:link w:val="71"/>
    <w:uiPriority w:val="0"/>
    <w:pPr>
      <w:shd w:val="clear" w:color="auto" w:fill="000080"/>
    </w:pPr>
  </w:style>
  <w:style w:type="paragraph" w:styleId="16">
    <w:name w:val="toa heading"/>
    <w:basedOn w:val="1"/>
    <w:next w:val="1"/>
    <w:uiPriority w:val="0"/>
    <w:pPr>
      <w:spacing w:before="120"/>
    </w:pPr>
    <w:rPr>
      <w:rFonts w:ascii="Arial" w:hAnsi="Arial"/>
      <w:b/>
      <w:bCs/>
    </w:rPr>
  </w:style>
  <w:style w:type="paragraph" w:styleId="17">
    <w:name w:val="annotation text"/>
    <w:basedOn w:val="1"/>
    <w:link w:val="72"/>
    <w:uiPriority w:val="0"/>
    <w:pPr>
      <w:jc w:val="left"/>
    </w:pPr>
  </w:style>
  <w:style w:type="paragraph" w:styleId="18">
    <w:name w:val="Body Text 3"/>
    <w:basedOn w:val="1"/>
    <w:uiPriority w:val="0"/>
    <w:pPr>
      <w:snapToGrid w:val="0"/>
      <w:spacing w:before="50" w:after="50"/>
    </w:pPr>
    <w:rPr>
      <w:rFonts w:hAnsi="宋体" w:eastAsia="仿宋_GB2312"/>
      <w:b/>
      <w:bCs/>
      <w:sz w:val="24"/>
    </w:rPr>
  </w:style>
  <w:style w:type="paragraph" w:styleId="19">
    <w:name w:val="Body Text"/>
    <w:basedOn w:val="1"/>
    <w:next w:val="20"/>
    <w:link w:val="73"/>
    <w:uiPriority w:val="99"/>
    <w:pPr>
      <w:spacing w:after="120"/>
    </w:pPr>
    <w:rPr>
      <w:sz w:val="28"/>
    </w:rPr>
  </w:style>
  <w:style w:type="paragraph" w:styleId="20">
    <w:name w:val="Body Text First Indent"/>
    <w:basedOn w:val="19"/>
    <w:link w:val="74"/>
    <w:uiPriority w:val="99"/>
    <w:pPr>
      <w:ind w:firstLine="420" w:firstLineChars="100"/>
    </w:pPr>
    <w:rPr>
      <w:rFonts w:ascii="Calibri" w:hAnsi="Calibri"/>
      <w:szCs w:val="22"/>
    </w:rPr>
  </w:style>
  <w:style w:type="paragraph" w:styleId="21">
    <w:name w:val="Body Text Indent"/>
    <w:basedOn w:val="1"/>
    <w:next w:val="1"/>
    <w:link w:val="75"/>
    <w:uiPriority w:val="99"/>
    <w:pPr>
      <w:spacing w:line="200" w:lineRule="exact"/>
      <w:ind w:firstLine="301"/>
    </w:pPr>
    <w:rPr>
      <w:rFonts w:ascii="宋体" w:hAnsi="Courier New"/>
      <w:spacing w:val="-4"/>
      <w:sz w:val="18"/>
    </w:rPr>
  </w:style>
  <w:style w:type="paragraph" w:styleId="22">
    <w:name w:val="List Number 3"/>
    <w:basedOn w:val="1"/>
    <w:uiPriority w:val="0"/>
    <w:pPr>
      <w:numPr>
        <w:ilvl w:val="0"/>
        <w:numId w:val="2"/>
      </w:numPr>
    </w:pPr>
  </w:style>
  <w:style w:type="paragraph" w:styleId="23">
    <w:name w:val="List 2"/>
    <w:basedOn w:val="1"/>
    <w:uiPriority w:val="0"/>
    <w:pPr>
      <w:ind w:left="100" w:leftChars="200" w:hanging="200" w:hangingChars="200"/>
    </w:pPr>
    <w:rPr>
      <w:sz w:val="28"/>
    </w:rPr>
  </w:style>
  <w:style w:type="paragraph" w:styleId="24">
    <w:name w:val="toc 5"/>
    <w:basedOn w:val="1"/>
    <w:next w:val="1"/>
    <w:uiPriority w:val="39"/>
    <w:pPr>
      <w:ind w:left="1680" w:leftChars="800"/>
    </w:pPr>
  </w:style>
  <w:style w:type="paragraph" w:styleId="25">
    <w:name w:val="toc 3"/>
    <w:basedOn w:val="1"/>
    <w:next w:val="1"/>
    <w:uiPriority w:val="39"/>
    <w:pPr>
      <w:ind w:left="840" w:leftChars="400"/>
    </w:pPr>
  </w:style>
  <w:style w:type="paragraph" w:styleId="26">
    <w:name w:val="Plain Text"/>
    <w:basedOn w:val="1"/>
    <w:next w:val="1"/>
    <w:link w:val="76"/>
    <w:uiPriority w:val="0"/>
    <w:pPr>
      <w:spacing w:before="156" w:beforeLines="50" w:after="156" w:afterLines="50" w:line="400" w:lineRule="exact"/>
    </w:pPr>
    <w:rPr>
      <w:rFonts w:ascii="宋体" w:hAnsi="Courier New"/>
      <w:sz w:val="24"/>
    </w:rPr>
  </w:style>
  <w:style w:type="paragraph" w:styleId="27">
    <w:name w:val="toc 8"/>
    <w:basedOn w:val="1"/>
    <w:next w:val="1"/>
    <w:uiPriority w:val="39"/>
    <w:pPr>
      <w:ind w:left="2940" w:leftChars="1400"/>
    </w:pPr>
  </w:style>
  <w:style w:type="paragraph" w:styleId="28">
    <w:name w:val="Date"/>
    <w:basedOn w:val="1"/>
    <w:next w:val="1"/>
    <w:link w:val="77"/>
    <w:uiPriority w:val="0"/>
    <w:pPr>
      <w:ind w:left="2500" w:leftChars="2500"/>
    </w:pPr>
    <w:rPr>
      <w:rFonts w:eastAsia="楷体_GB2312"/>
      <w:sz w:val="32"/>
    </w:rPr>
  </w:style>
  <w:style w:type="paragraph" w:styleId="29">
    <w:name w:val="Body Text Indent 2"/>
    <w:basedOn w:val="1"/>
    <w:link w:val="78"/>
    <w:uiPriority w:val="0"/>
    <w:pPr>
      <w:spacing w:after="120" w:line="480" w:lineRule="auto"/>
      <w:ind w:left="420" w:leftChars="200"/>
    </w:pPr>
  </w:style>
  <w:style w:type="paragraph" w:styleId="30">
    <w:name w:val="Balloon Text"/>
    <w:basedOn w:val="1"/>
    <w:link w:val="79"/>
    <w:semiHidden/>
    <w:uiPriority w:val="99"/>
    <w:rPr>
      <w:sz w:val="18"/>
      <w:szCs w:val="18"/>
    </w:rPr>
  </w:style>
  <w:style w:type="paragraph" w:styleId="31">
    <w:name w:val="footer"/>
    <w:basedOn w:val="1"/>
    <w:link w:val="80"/>
    <w:uiPriority w:val="99"/>
    <w:pPr>
      <w:tabs>
        <w:tab w:val="center" w:pos="4153"/>
        <w:tab w:val="right" w:pos="8306"/>
      </w:tabs>
      <w:snapToGrid w:val="0"/>
      <w:jc w:val="left"/>
    </w:pPr>
    <w:rPr>
      <w:sz w:val="18"/>
    </w:rPr>
  </w:style>
  <w:style w:type="paragraph" w:styleId="32">
    <w:name w:val="header"/>
    <w:basedOn w:val="1"/>
    <w:link w:val="8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3">
    <w:name w:val="toc 1"/>
    <w:basedOn w:val="1"/>
    <w:next w:val="1"/>
    <w:uiPriority w:val="39"/>
  </w:style>
  <w:style w:type="paragraph" w:styleId="34">
    <w:name w:val="toc 4"/>
    <w:basedOn w:val="1"/>
    <w:next w:val="1"/>
    <w:uiPriority w:val="39"/>
    <w:pPr>
      <w:ind w:left="1260" w:leftChars="600"/>
    </w:pPr>
  </w:style>
  <w:style w:type="paragraph" w:styleId="35">
    <w:name w:val="List"/>
    <w:basedOn w:val="1"/>
    <w:uiPriority w:val="0"/>
    <w:pPr>
      <w:ind w:left="200" w:hanging="200" w:hangingChars="200"/>
      <w:contextualSpacing/>
    </w:pPr>
  </w:style>
  <w:style w:type="paragraph" w:styleId="36">
    <w:name w:val="footnote text"/>
    <w:basedOn w:val="1"/>
    <w:qFormat/>
    <w:uiPriority w:val="0"/>
    <w:pPr>
      <w:snapToGrid w:val="0"/>
      <w:jc w:val="left"/>
    </w:pPr>
    <w:rPr>
      <w:sz w:val="18"/>
    </w:rPr>
  </w:style>
  <w:style w:type="paragraph" w:styleId="37">
    <w:name w:val="toc 6"/>
    <w:basedOn w:val="1"/>
    <w:next w:val="1"/>
    <w:uiPriority w:val="39"/>
    <w:pPr>
      <w:ind w:left="2100" w:leftChars="1000"/>
    </w:pPr>
  </w:style>
  <w:style w:type="paragraph" w:styleId="38">
    <w:name w:val="Body Text Indent 3"/>
    <w:basedOn w:val="1"/>
    <w:link w:val="82"/>
    <w:uiPriority w:val="0"/>
    <w:pPr>
      <w:snapToGrid w:val="0"/>
      <w:ind w:firstLine="480" w:firstLineChars="200"/>
      <w:jc w:val="left"/>
    </w:pPr>
    <w:rPr>
      <w:rFonts w:ascii="仿宋_GB2312" w:hAnsi="宋体" w:eastAsia="仿宋_GB2312"/>
      <w:color w:val="000000"/>
      <w:sz w:val="24"/>
    </w:rPr>
  </w:style>
  <w:style w:type="paragraph" w:styleId="39">
    <w:name w:val="toc 2"/>
    <w:basedOn w:val="1"/>
    <w:next w:val="1"/>
    <w:uiPriority w:val="39"/>
    <w:pPr>
      <w:ind w:left="420" w:leftChars="200"/>
    </w:pPr>
  </w:style>
  <w:style w:type="paragraph" w:styleId="40">
    <w:name w:val="toc 9"/>
    <w:basedOn w:val="1"/>
    <w:next w:val="1"/>
    <w:uiPriority w:val="39"/>
    <w:pPr>
      <w:ind w:left="3360" w:leftChars="1600"/>
    </w:pPr>
  </w:style>
  <w:style w:type="paragraph" w:styleId="41">
    <w:name w:val="Body Text 2"/>
    <w:basedOn w:val="1"/>
    <w:link w:val="83"/>
    <w:uiPriority w:val="0"/>
    <w:pPr>
      <w:widowControl/>
      <w:snapToGrid w:val="0"/>
      <w:spacing w:before="50" w:after="156" w:afterLines="50" w:line="400" w:lineRule="exact"/>
      <w:jc w:val="left"/>
    </w:pPr>
    <w:rPr>
      <w:rFonts w:ascii="宋体" w:hAnsi="宋体"/>
      <w:color w:val="000000"/>
      <w:sz w:val="24"/>
    </w:rPr>
  </w:style>
  <w:style w:type="paragraph" w:styleId="42">
    <w:name w:val="HTML Preformatted"/>
    <w:basedOn w:val="1"/>
    <w:link w:val="8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3">
    <w:name w:val="Normal (Web)"/>
    <w:basedOn w:val="1"/>
    <w:unhideWhenUsed/>
    <w:qFormat/>
    <w:uiPriority w:val="99"/>
    <w:pPr>
      <w:widowControl/>
      <w:jc w:val="left"/>
    </w:pPr>
    <w:rPr>
      <w:rFonts w:ascii="宋体" w:hAnsi="宋体" w:cs="宋体"/>
      <w:color w:val="333333"/>
      <w:kern w:val="0"/>
      <w:sz w:val="24"/>
    </w:rPr>
  </w:style>
  <w:style w:type="paragraph" w:styleId="44">
    <w:name w:val="Title"/>
    <w:basedOn w:val="1"/>
    <w:next w:val="1"/>
    <w:qFormat/>
    <w:uiPriority w:val="0"/>
    <w:pPr>
      <w:spacing w:before="240" w:after="60"/>
      <w:jc w:val="center"/>
      <w:outlineLvl w:val="0"/>
    </w:pPr>
    <w:rPr>
      <w:rFonts w:ascii="Cambria" w:hAnsi="Cambria"/>
      <w:b/>
      <w:bCs/>
      <w:sz w:val="32"/>
      <w:szCs w:val="32"/>
    </w:rPr>
  </w:style>
  <w:style w:type="paragraph" w:styleId="45">
    <w:name w:val="annotation subject"/>
    <w:basedOn w:val="17"/>
    <w:next w:val="17"/>
    <w:link w:val="85"/>
    <w:uiPriority w:val="0"/>
    <w:rPr>
      <w:b/>
      <w:bCs/>
    </w:rPr>
  </w:style>
  <w:style w:type="paragraph" w:styleId="46">
    <w:name w:val="Body Text First Indent 2"/>
    <w:basedOn w:val="21"/>
    <w:unhideWhenUsed/>
    <w:uiPriority w:val="99"/>
    <w:pPr>
      <w:spacing w:after="120" w:line="240" w:lineRule="auto"/>
      <w:ind w:left="420" w:leftChars="200" w:firstLine="420"/>
    </w:pPr>
    <w:rPr>
      <w:rFonts w:cs="宋体"/>
      <w:sz w:val="21"/>
      <w:szCs w:val="21"/>
    </w:rPr>
  </w:style>
  <w:style w:type="table" w:styleId="48">
    <w:name w:val="Table Grid"/>
    <w:basedOn w:val="47"/>
    <w:uiPriority w:val="39"/>
    <w:rPr>
      <w:rFonts w:ascii="Calibri" w:hAnsi="Calibri"/>
      <w:kern w:val="2"/>
      <w:sz w:val="21"/>
      <w:szCs w:val="22"/>
    </w:rPr>
    <w:tblPr>
      <w:tblStyle w:val="4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0">
    <w:name w:val="Strong"/>
    <w:basedOn w:val="49"/>
    <w:qFormat/>
    <w:uiPriority w:val="22"/>
    <w:rPr>
      <w:b/>
      <w:bCs/>
    </w:rPr>
  </w:style>
  <w:style w:type="character" w:styleId="51">
    <w:name w:val="page number"/>
    <w:basedOn w:val="49"/>
    <w:uiPriority w:val="0"/>
  </w:style>
  <w:style w:type="character" w:styleId="52">
    <w:name w:val="FollowedHyperlink"/>
    <w:basedOn w:val="49"/>
    <w:unhideWhenUsed/>
    <w:uiPriority w:val="99"/>
    <w:rPr>
      <w:color w:val="000000"/>
      <w:u w:val="none"/>
    </w:rPr>
  </w:style>
  <w:style w:type="character" w:styleId="53">
    <w:name w:val="Emphasis"/>
    <w:basedOn w:val="49"/>
    <w:qFormat/>
    <w:uiPriority w:val="0"/>
    <w:rPr>
      <w:i/>
    </w:rPr>
  </w:style>
  <w:style w:type="character" w:styleId="54">
    <w:name w:val="HTML Definition"/>
    <w:basedOn w:val="49"/>
    <w:uiPriority w:val="0"/>
    <w:rPr>
      <w:i/>
    </w:rPr>
  </w:style>
  <w:style w:type="character" w:styleId="55">
    <w:name w:val="Hyperlink"/>
    <w:basedOn w:val="49"/>
    <w:uiPriority w:val="99"/>
    <w:rPr>
      <w:color w:val="000000"/>
      <w:u w:val="none"/>
    </w:rPr>
  </w:style>
  <w:style w:type="character" w:styleId="56">
    <w:name w:val="HTML Code"/>
    <w:basedOn w:val="49"/>
    <w:uiPriority w:val="0"/>
    <w:rPr>
      <w:rFonts w:hint="default" w:ascii="-apple-system" w:hAnsi="-apple-system" w:eastAsia="-apple-system" w:cs="-apple-system"/>
      <w:sz w:val="21"/>
      <w:szCs w:val="21"/>
    </w:rPr>
  </w:style>
  <w:style w:type="character" w:styleId="57">
    <w:name w:val="annotation reference"/>
    <w:uiPriority w:val="0"/>
    <w:rPr>
      <w:sz w:val="21"/>
      <w:szCs w:val="21"/>
    </w:rPr>
  </w:style>
  <w:style w:type="character" w:styleId="58">
    <w:name w:val="HTML Keyboard"/>
    <w:basedOn w:val="49"/>
    <w:uiPriority w:val="0"/>
    <w:rPr>
      <w:rFonts w:ascii="-apple-system" w:hAnsi="-apple-system" w:eastAsia="-apple-system" w:cs="-apple-system"/>
      <w:sz w:val="21"/>
      <w:szCs w:val="21"/>
    </w:rPr>
  </w:style>
  <w:style w:type="character" w:styleId="59">
    <w:name w:val="HTML Sample"/>
    <w:basedOn w:val="49"/>
    <w:uiPriority w:val="0"/>
    <w:rPr>
      <w:rFonts w:hint="default" w:ascii="-apple-system" w:hAnsi="-apple-system" w:eastAsia="-apple-system" w:cs="-apple-system"/>
      <w:sz w:val="21"/>
      <w:szCs w:val="21"/>
    </w:rPr>
  </w:style>
  <w:style w:type="character" w:customStyle="1" w:styleId="60">
    <w:name w:val="标题 1 Char"/>
    <w:link w:val="2"/>
    <w:qFormat/>
    <w:locked/>
    <w:uiPriority w:val="99"/>
    <w:rPr>
      <w:b/>
      <w:kern w:val="44"/>
      <w:sz w:val="44"/>
    </w:rPr>
  </w:style>
  <w:style w:type="character" w:customStyle="1" w:styleId="61">
    <w:name w:val="标题 2 Char1"/>
    <w:link w:val="3"/>
    <w:uiPriority w:val="0"/>
    <w:rPr>
      <w:b/>
      <w:kern w:val="2"/>
      <w:sz w:val="32"/>
    </w:rPr>
  </w:style>
  <w:style w:type="character" w:customStyle="1" w:styleId="62">
    <w:name w:val="标题 3 Char"/>
    <w:link w:val="4"/>
    <w:uiPriority w:val="0"/>
    <w:rPr>
      <w:b/>
      <w:bCs/>
      <w:kern w:val="2"/>
      <w:sz w:val="32"/>
      <w:szCs w:val="32"/>
    </w:rPr>
  </w:style>
  <w:style w:type="character" w:customStyle="1" w:styleId="63">
    <w:name w:val="标题 4 Char"/>
    <w:link w:val="5"/>
    <w:uiPriority w:val="0"/>
    <w:rPr>
      <w:rFonts w:ascii="Arial" w:hAnsi="Arial" w:eastAsia="黑体"/>
      <w:b/>
      <w:bCs/>
      <w:kern w:val="2"/>
      <w:sz w:val="28"/>
      <w:szCs w:val="28"/>
    </w:rPr>
  </w:style>
  <w:style w:type="character" w:customStyle="1" w:styleId="64">
    <w:name w:val="标题 5 Char"/>
    <w:link w:val="6"/>
    <w:uiPriority w:val="0"/>
    <w:rPr>
      <w:rFonts w:eastAsia="黑体"/>
      <w:b/>
      <w:kern w:val="24"/>
      <w:sz w:val="24"/>
    </w:rPr>
  </w:style>
  <w:style w:type="character" w:customStyle="1" w:styleId="65">
    <w:name w:val="正文缩进 Char"/>
    <w:link w:val="7"/>
    <w:uiPriority w:val="0"/>
    <w:rPr>
      <w:kern w:val="2"/>
      <w:sz w:val="21"/>
      <w:szCs w:val="24"/>
    </w:rPr>
  </w:style>
  <w:style w:type="character" w:customStyle="1" w:styleId="66">
    <w:name w:val="标题 6 Char"/>
    <w:link w:val="8"/>
    <w:uiPriority w:val="0"/>
    <w:rPr>
      <w:rFonts w:ascii="Arial" w:hAnsi="Arial" w:eastAsia="黑体"/>
      <w:b/>
      <w:bCs/>
      <w:kern w:val="2"/>
      <w:sz w:val="24"/>
      <w:szCs w:val="24"/>
    </w:rPr>
  </w:style>
  <w:style w:type="character" w:customStyle="1" w:styleId="67">
    <w:name w:val="标题 7 Char"/>
    <w:link w:val="9"/>
    <w:uiPriority w:val="0"/>
    <w:rPr>
      <w:rFonts w:eastAsia="黑体"/>
      <w:b/>
      <w:kern w:val="24"/>
      <w:sz w:val="24"/>
    </w:rPr>
  </w:style>
  <w:style w:type="character" w:customStyle="1" w:styleId="68">
    <w:name w:val="标题 8 Char"/>
    <w:link w:val="10"/>
    <w:uiPriority w:val="0"/>
    <w:rPr>
      <w:rFonts w:eastAsia="黑体"/>
      <w:b/>
      <w:kern w:val="24"/>
      <w:sz w:val="24"/>
    </w:rPr>
  </w:style>
  <w:style w:type="character" w:customStyle="1" w:styleId="69">
    <w:name w:val="标题 9 Char"/>
    <w:link w:val="11"/>
    <w:uiPriority w:val="0"/>
    <w:rPr>
      <w:rFonts w:eastAsia="黑体"/>
      <w:b/>
      <w:kern w:val="24"/>
      <w:sz w:val="24"/>
    </w:rPr>
  </w:style>
  <w:style w:type="character" w:customStyle="1" w:styleId="70">
    <w:name w:val="题注 Char"/>
    <w:link w:val="14"/>
    <w:uiPriority w:val="0"/>
    <w:rPr>
      <w:rFonts w:ascii="Arial" w:hAnsi="Arial" w:eastAsia="黑体" w:cs="Arial"/>
      <w:kern w:val="2"/>
    </w:rPr>
  </w:style>
  <w:style w:type="character" w:customStyle="1" w:styleId="71">
    <w:name w:val="文档结构图 Char"/>
    <w:link w:val="15"/>
    <w:uiPriority w:val="0"/>
    <w:rPr>
      <w:kern w:val="2"/>
      <w:sz w:val="21"/>
      <w:szCs w:val="24"/>
      <w:shd w:val="clear" w:color="auto" w:fill="000080"/>
    </w:rPr>
  </w:style>
  <w:style w:type="character" w:customStyle="1" w:styleId="72">
    <w:name w:val="批注文字 Char"/>
    <w:link w:val="17"/>
    <w:uiPriority w:val="0"/>
    <w:rPr>
      <w:kern w:val="2"/>
      <w:sz w:val="21"/>
      <w:szCs w:val="24"/>
    </w:rPr>
  </w:style>
  <w:style w:type="character" w:customStyle="1" w:styleId="73">
    <w:name w:val="正文文本 Char"/>
    <w:link w:val="19"/>
    <w:uiPriority w:val="99"/>
    <w:rPr>
      <w:kern w:val="2"/>
      <w:sz w:val="28"/>
      <w:szCs w:val="24"/>
    </w:rPr>
  </w:style>
  <w:style w:type="character" w:customStyle="1" w:styleId="74">
    <w:name w:val="正文首行缩进 Char"/>
    <w:link w:val="20"/>
    <w:uiPriority w:val="99"/>
    <w:rPr>
      <w:rFonts w:ascii="Calibri" w:hAnsi="Calibri"/>
      <w:kern w:val="2"/>
      <w:sz w:val="21"/>
      <w:szCs w:val="22"/>
    </w:rPr>
  </w:style>
  <w:style w:type="character" w:customStyle="1" w:styleId="75">
    <w:name w:val="正文文本缩进 Char"/>
    <w:link w:val="21"/>
    <w:uiPriority w:val="99"/>
    <w:rPr>
      <w:rFonts w:ascii="宋体" w:hAnsi="Courier New"/>
      <w:spacing w:val="-4"/>
      <w:kern w:val="2"/>
      <w:sz w:val="18"/>
      <w:szCs w:val="24"/>
    </w:rPr>
  </w:style>
  <w:style w:type="character" w:customStyle="1" w:styleId="76">
    <w:name w:val="纯文本 Char"/>
    <w:link w:val="26"/>
    <w:uiPriority w:val="0"/>
    <w:rPr>
      <w:rFonts w:ascii="宋体" w:hAnsi="Courier New"/>
      <w:kern w:val="2"/>
      <w:sz w:val="24"/>
      <w:szCs w:val="24"/>
    </w:rPr>
  </w:style>
  <w:style w:type="character" w:customStyle="1" w:styleId="77">
    <w:name w:val="日期 Char"/>
    <w:link w:val="28"/>
    <w:uiPriority w:val="0"/>
    <w:rPr>
      <w:rFonts w:eastAsia="楷体_GB2312"/>
      <w:kern w:val="2"/>
      <w:sz w:val="32"/>
      <w:szCs w:val="24"/>
    </w:rPr>
  </w:style>
  <w:style w:type="character" w:customStyle="1" w:styleId="78">
    <w:name w:val="正文文本缩进 2 Char"/>
    <w:link w:val="29"/>
    <w:uiPriority w:val="0"/>
    <w:rPr>
      <w:kern w:val="2"/>
      <w:sz w:val="21"/>
      <w:szCs w:val="24"/>
    </w:rPr>
  </w:style>
  <w:style w:type="character" w:customStyle="1" w:styleId="79">
    <w:name w:val="批注框文本 Char"/>
    <w:link w:val="30"/>
    <w:semiHidden/>
    <w:uiPriority w:val="99"/>
    <w:rPr>
      <w:kern w:val="2"/>
      <w:sz w:val="18"/>
      <w:szCs w:val="18"/>
    </w:rPr>
  </w:style>
  <w:style w:type="character" w:customStyle="1" w:styleId="80">
    <w:name w:val="页脚 Char"/>
    <w:link w:val="31"/>
    <w:uiPriority w:val="99"/>
    <w:rPr>
      <w:kern w:val="2"/>
      <w:sz w:val="18"/>
      <w:szCs w:val="24"/>
    </w:rPr>
  </w:style>
  <w:style w:type="character" w:customStyle="1" w:styleId="81">
    <w:name w:val="页眉 Char"/>
    <w:link w:val="32"/>
    <w:uiPriority w:val="99"/>
    <w:rPr>
      <w:kern w:val="2"/>
      <w:sz w:val="18"/>
      <w:szCs w:val="24"/>
    </w:rPr>
  </w:style>
  <w:style w:type="character" w:customStyle="1" w:styleId="82">
    <w:name w:val="正文文本缩进 3 Char"/>
    <w:link w:val="38"/>
    <w:uiPriority w:val="0"/>
    <w:rPr>
      <w:rFonts w:ascii="仿宋_GB2312" w:hAnsi="宋体" w:eastAsia="仿宋_GB2312"/>
      <w:color w:val="000000"/>
      <w:kern w:val="2"/>
      <w:sz w:val="24"/>
      <w:szCs w:val="24"/>
    </w:rPr>
  </w:style>
  <w:style w:type="character" w:customStyle="1" w:styleId="83">
    <w:name w:val="正文文本 2 Char"/>
    <w:link w:val="41"/>
    <w:uiPriority w:val="0"/>
    <w:rPr>
      <w:rFonts w:ascii="宋体" w:hAnsi="宋体"/>
      <w:color w:val="000000"/>
      <w:kern w:val="2"/>
      <w:sz w:val="24"/>
      <w:szCs w:val="24"/>
    </w:rPr>
  </w:style>
  <w:style w:type="character" w:customStyle="1" w:styleId="84">
    <w:name w:val="HTML 预设格式 Char"/>
    <w:link w:val="42"/>
    <w:uiPriority w:val="99"/>
    <w:rPr>
      <w:rFonts w:ascii="宋体" w:hAnsi="宋体" w:cs="宋体"/>
      <w:sz w:val="24"/>
      <w:szCs w:val="24"/>
    </w:rPr>
  </w:style>
  <w:style w:type="character" w:customStyle="1" w:styleId="85">
    <w:name w:val="批注主题 Char"/>
    <w:link w:val="45"/>
    <w:uiPriority w:val="0"/>
    <w:rPr>
      <w:b/>
      <w:bCs/>
      <w:kern w:val="2"/>
      <w:sz w:val="21"/>
      <w:szCs w:val="24"/>
    </w:rPr>
  </w:style>
  <w:style w:type="character" w:customStyle="1" w:styleId="86">
    <w:name w:val="so-ask-best"/>
    <w:basedOn w:val="49"/>
    <w:qFormat/>
    <w:uiPriority w:val="0"/>
  </w:style>
  <w:style w:type="character" w:customStyle="1" w:styleId="87">
    <w:name w:val="标题 1 Char Char"/>
    <w:qFormat/>
    <w:uiPriority w:val="0"/>
    <w:rPr>
      <w:rFonts w:eastAsia="宋体"/>
      <w:b/>
      <w:spacing w:val="-2"/>
      <w:sz w:val="24"/>
      <w:lang w:val="en-US" w:eastAsia="zh-CN" w:bidi="ar-SA"/>
    </w:rPr>
  </w:style>
  <w:style w:type="character" w:customStyle="1" w:styleId="88">
    <w:name w:val="font51"/>
    <w:basedOn w:val="49"/>
    <w:uiPriority w:val="0"/>
    <w:rPr>
      <w:rFonts w:hint="eastAsia" w:ascii="微软雅黑" w:hAnsi="微软雅黑" w:eastAsia="微软雅黑" w:cs="微软雅黑"/>
      <w:color w:val="000000"/>
      <w:sz w:val="22"/>
      <w:szCs w:val="22"/>
      <w:u w:val="none"/>
    </w:rPr>
  </w:style>
  <w:style w:type="character" w:customStyle="1" w:styleId="89">
    <w:name w:val="r4"/>
    <w:basedOn w:val="49"/>
    <w:uiPriority w:val="0"/>
    <w:rPr>
      <w:color w:val="6E6E6E"/>
    </w:rPr>
  </w:style>
  <w:style w:type="character" w:customStyle="1" w:styleId="90">
    <w:name w:val="NormalCharacter"/>
    <w:uiPriority w:val="0"/>
  </w:style>
  <w:style w:type="character" w:customStyle="1" w:styleId="91">
    <w:name w:val="l1"/>
    <w:basedOn w:val="49"/>
    <w:uiPriority w:val="0"/>
    <w:rPr>
      <w:b/>
    </w:rPr>
  </w:style>
  <w:style w:type="character" w:customStyle="1" w:styleId="92">
    <w:name w:val="textfont1"/>
    <w:basedOn w:val="49"/>
    <w:qFormat/>
    <w:uiPriority w:val="0"/>
    <w:rPr>
      <w:rFonts w:ascii="Tahoma" w:hAnsi="Tahoma"/>
      <w:sz w:val="22"/>
      <w:szCs w:val="22"/>
    </w:rPr>
  </w:style>
  <w:style w:type="character" w:customStyle="1" w:styleId="93">
    <w:name w:val="新编正文 Char"/>
    <w:link w:val="94"/>
    <w:locked/>
    <w:uiPriority w:val="0"/>
    <w:rPr>
      <w:rFonts w:ascii="宋体" w:hAnsi="宋体"/>
      <w:sz w:val="24"/>
    </w:rPr>
  </w:style>
  <w:style w:type="paragraph" w:customStyle="1" w:styleId="94">
    <w:name w:val="新编正文"/>
    <w:basedOn w:val="1"/>
    <w:link w:val="93"/>
    <w:uiPriority w:val="0"/>
    <w:pPr>
      <w:spacing w:before="60" w:after="60" w:line="360" w:lineRule="auto"/>
      <w:ind w:firstLine="420"/>
    </w:pPr>
    <w:rPr>
      <w:rFonts w:ascii="宋体" w:hAnsi="宋体"/>
      <w:kern w:val="0"/>
      <w:sz w:val="24"/>
      <w:szCs w:val="20"/>
    </w:rPr>
  </w:style>
  <w:style w:type="character" w:customStyle="1" w:styleId="95">
    <w:name w:val="r1"/>
    <w:basedOn w:val="49"/>
    <w:uiPriority w:val="0"/>
  </w:style>
  <w:style w:type="character" w:customStyle="1" w:styleId="96">
    <w:name w:val="l4"/>
    <w:basedOn w:val="49"/>
    <w:uiPriority w:val="0"/>
  </w:style>
  <w:style w:type="character" w:customStyle="1" w:styleId="97">
    <w:name w:val="标题 3 Char Char"/>
    <w:uiPriority w:val="0"/>
    <w:rPr>
      <w:rFonts w:ascii="黑体" w:hAnsi="宋体" w:eastAsia="黑体"/>
      <w:b/>
      <w:bCs/>
      <w:color w:val="000000"/>
      <w:kern w:val="24"/>
      <w:sz w:val="30"/>
      <w:szCs w:val="24"/>
      <w:lang w:val="en-US" w:eastAsia="zh-CN" w:bidi="ar-SA"/>
    </w:rPr>
  </w:style>
  <w:style w:type="character" w:customStyle="1" w:styleId="98">
    <w:name w:val="font01"/>
    <w:uiPriority w:val="0"/>
    <w:rPr>
      <w:rFonts w:hint="eastAsia" w:ascii="仿宋_GB2312" w:eastAsia="仿宋_GB2312"/>
      <w:color w:val="000000"/>
      <w:sz w:val="24"/>
      <w:szCs w:val="24"/>
      <w:u w:val="none"/>
    </w:rPr>
  </w:style>
  <w:style w:type="character" w:customStyle="1" w:styleId="99">
    <w:name w:val="font21"/>
    <w:basedOn w:val="49"/>
    <w:uiPriority w:val="0"/>
    <w:rPr>
      <w:rFonts w:hint="eastAsia" w:ascii="华文中宋" w:hAnsi="华文中宋" w:eastAsia="华文中宋" w:cs="华文中宋"/>
      <w:color w:val="000000"/>
      <w:sz w:val="28"/>
      <w:szCs w:val="28"/>
      <w:u w:val="none"/>
    </w:rPr>
  </w:style>
  <w:style w:type="character" w:customStyle="1" w:styleId="100">
    <w:name w:val="16"/>
    <w:uiPriority w:val="0"/>
    <w:rPr>
      <w:rFonts w:hint="default" w:ascii="Calibri" w:hAnsi="Calibri"/>
      <w:color w:val="CC0033"/>
    </w:rPr>
  </w:style>
  <w:style w:type="character" w:customStyle="1" w:styleId="101">
    <w:name w:val="font41"/>
    <w:basedOn w:val="49"/>
    <w:uiPriority w:val="0"/>
    <w:rPr>
      <w:rFonts w:hint="default" w:ascii="Times New Roman" w:hAnsi="Times New Roman" w:cs="Times New Roman"/>
      <w:color w:val="000000"/>
      <w:sz w:val="20"/>
      <w:szCs w:val="20"/>
      <w:u w:val="none"/>
    </w:rPr>
  </w:style>
  <w:style w:type="character" w:customStyle="1" w:styleId="102">
    <w:name w:val="r"/>
    <w:basedOn w:val="49"/>
    <w:uiPriority w:val="0"/>
  </w:style>
  <w:style w:type="character" w:customStyle="1" w:styleId="103">
    <w:name w:val="r3"/>
    <w:basedOn w:val="49"/>
    <w:uiPriority w:val="0"/>
  </w:style>
  <w:style w:type="character" w:customStyle="1" w:styleId="104">
    <w:name w:val="large1"/>
    <w:qFormat/>
    <w:uiPriority w:val="0"/>
    <w:rPr>
      <w:rFonts w:hint="eastAsia" w:ascii="宋体" w:hAnsi="宋体" w:eastAsia="宋体"/>
      <w:sz w:val="21"/>
      <w:szCs w:val="21"/>
    </w:rPr>
  </w:style>
  <w:style w:type="character" w:customStyle="1" w:styleId="105">
    <w:name w:val="old"/>
    <w:basedOn w:val="49"/>
    <w:uiPriority w:val="0"/>
    <w:rPr>
      <w:color w:val="999999"/>
    </w:rPr>
  </w:style>
  <w:style w:type="character" w:customStyle="1" w:styleId="106">
    <w:name w:val="font11"/>
    <w:basedOn w:val="49"/>
    <w:uiPriority w:val="0"/>
    <w:rPr>
      <w:rFonts w:hint="eastAsia" w:ascii="仿宋" w:hAnsi="仿宋" w:eastAsia="仿宋"/>
      <w:color w:val="000000"/>
      <w:sz w:val="24"/>
      <w:szCs w:val="24"/>
      <w:u w:val="none"/>
    </w:rPr>
  </w:style>
  <w:style w:type="character" w:customStyle="1" w:styleId="107">
    <w:name w:val="l"/>
    <w:basedOn w:val="49"/>
    <w:uiPriority w:val="0"/>
    <w:rPr>
      <w:b/>
    </w:rPr>
  </w:style>
  <w:style w:type="character" w:customStyle="1" w:styleId="108">
    <w:name w:val="hour_am"/>
    <w:basedOn w:val="49"/>
    <w:uiPriority w:val="0"/>
  </w:style>
  <w:style w:type="character" w:customStyle="1" w:styleId="109">
    <w:name w:val="hour_pm"/>
    <w:basedOn w:val="49"/>
    <w:uiPriority w:val="0"/>
  </w:style>
  <w:style w:type="character" w:customStyle="1" w:styleId="110">
    <w:name w:val="l2"/>
    <w:basedOn w:val="49"/>
    <w:uiPriority w:val="0"/>
    <w:rPr>
      <w:b/>
    </w:rPr>
  </w:style>
  <w:style w:type="character" w:customStyle="1" w:styleId="111">
    <w:name w:val="r2"/>
    <w:basedOn w:val="49"/>
    <w:uiPriority w:val="0"/>
  </w:style>
  <w:style w:type="character" w:customStyle="1" w:styleId="112">
    <w:name w:val="on"/>
    <w:basedOn w:val="49"/>
    <w:uiPriority w:val="0"/>
    <w:rPr>
      <w:b/>
    </w:rPr>
  </w:style>
  <w:style w:type="character" w:customStyle="1" w:styleId="113">
    <w:name w:val="样式 标题 2节标题 1.1H2h22nd levelTitre2l22Header 2Head 2节标题... Char Char"/>
    <w:link w:val="114"/>
    <w:uiPriority w:val="0"/>
    <w:rPr>
      <w:rFonts w:ascii="Arial" w:hAnsi="Arial"/>
      <w:color w:val="000000"/>
      <w:sz w:val="21"/>
    </w:rPr>
  </w:style>
  <w:style w:type="paragraph" w:customStyle="1" w:styleId="114">
    <w:name w:val="样式 标题 2节标题 1.1H2h22nd levelTitre2l22Header 2Head 2节标题..."/>
    <w:basedOn w:val="3"/>
    <w:link w:val="113"/>
    <w:uiPriority w:val="0"/>
    <w:pPr>
      <w:keepLines w:val="0"/>
      <w:spacing w:before="0" w:after="0" w:line="240" w:lineRule="auto"/>
      <w:jc w:val="center"/>
      <w:outlineLvl w:val="3"/>
    </w:pPr>
    <w:rPr>
      <w:rFonts w:ascii="Arial" w:hAnsi="Arial"/>
      <w:b w:val="0"/>
      <w:color w:val="000000"/>
      <w:kern w:val="0"/>
      <w:sz w:val="21"/>
    </w:rPr>
  </w:style>
  <w:style w:type="character" w:customStyle="1" w:styleId="115">
    <w:name w:val="hover9"/>
    <w:basedOn w:val="49"/>
    <w:uiPriority w:val="0"/>
    <w:rPr>
      <w:shd w:val="clear" w:color="auto" w:fill="EEEEEE"/>
    </w:rPr>
  </w:style>
  <w:style w:type="character" w:customStyle="1" w:styleId="116">
    <w:name w:val="font31"/>
    <w:basedOn w:val="49"/>
    <w:uiPriority w:val="0"/>
    <w:rPr>
      <w:rFonts w:hint="eastAsia" w:ascii="仿宋" w:hAnsi="仿宋" w:eastAsia="仿宋"/>
      <w:color w:val="000000"/>
      <w:sz w:val="24"/>
      <w:szCs w:val="24"/>
      <w:u w:val="none"/>
    </w:rPr>
  </w:style>
  <w:style w:type="character" w:customStyle="1" w:styleId="117">
    <w:name w:val="方案正文 Char Char"/>
    <w:link w:val="118"/>
    <w:uiPriority w:val="0"/>
    <w:rPr>
      <w:rFonts w:ascii="宋体" w:hAnsi="宋体"/>
      <w:sz w:val="24"/>
    </w:rPr>
  </w:style>
  <w:style w:type="paragraph" w:customStyle="1" w:styleId="118">
    <w:name w:val="方案正文"/>
    <w:basedOn w:val="1"/>
    <w:link w:val="117"/>
    <w:qFormat/>
    <w:uiPriority w:val="0"/>
    <w:pPr>
      <w:spacing w:before="100" w:beforeAutospacing="1" w:after="100" w:afterAutospacing="1" w:line="360" w:lineRule="auto"/>
      <w:ind w:firstLine="480" w:firstLineChars="200"/>
    </w:pPr>
    <w:rPr>
      <w:rFonts w:ascii="宋体" w:hAnsi="宋体"/>
      <w:kern w:val="0"/>
      <w:sz w:val="24"/>
      <w:szCs w:val="20"/>
    </w:rPr>
  </w:style>
  <w:style w:type="character" w:customStyle="1" w:styleId="119">
    <w:name w:val="标题 1 Char Char"/>
    <w:aliases w:val="标题 1 Char1,标题 1(一号) Char Char,标题 1(一号) Char1,标题 1 1 Char,Section Head Char,h1 Char,1st level Char,l1 Char,1 Char,H1 Char,H11 Char,H12 Char,H13 Char,H14 Char,H15 Char,H16 Char,H17 Char,项目标题 Char,第*部分 Char,第A章 Char,H111 Char,H112 Char,R1 Char"/>
    <w:uiPriority w:val="0"/>
    <w:rPr>
      <w:rFonts w:eastAsia="宋体"/>
      <w:b/>
      <w:spacing w:val="-2"/>
      <w:sz w:val="24"/>
      <w:lang w:val="en-US" w:eastAsia="zh-CN" w:bidi="ar-SA"/>
    </w:rPr>
  </w:style>
  <w:style w:type="character" w:customStyle="1" w:styleId="120">
    <w:name w:val="标题 2 Char"/>
    <w:uiPriority w:val="0"/>
    <w:rPr>
      <w:rFonts w:ascii="Arial" w:hAnsi="Arial" w:eastAsia="黑体"/>
      <w:b/>
      <w:kern w:val="2"/>
      <w:sz w:val="32"/>
      <w:szCs w:val="24"/>
    </w:rPr>
  </w:style>
  <w:style w:type="character" w:customStyle="1" w:styleId="121">
    <w:name w:val="fontstyle01"/>
    <w:basedOn w:val="49"/>
    <w:uiPriority w:val="0"/>
    <w:rPr>
      <w:rFonts w:hint="eastAsia" w:ascii="仿宋_GB2312" w:eastAsia="仿宋_GB2312"/>
      <w:color w:val="000000"/>
      <w:sz w:val="24"/>
      <w:szCs w:val="24"/>
    </w:rPr>
  </w:style>
  <w:style w:type="character" w:customStyle="1" w:styleId="122">
    <w:name w:val="l3"/>
    <w:basedOn w:val="49"/>
    <w:uiPriority w:val="0"/>
    <w:rPr>
      <w:b/>
    </w:rPr>
  </w:style>
  <w:style w:type="character" w:customStyle="1" w:styleId="123">
    <w:name w:val="无"/>
    <w:qFormat/>
    <w:uiPriority w:val="99"/>
  </w:style>
  <w:style w:type="paragraph" w:customStyle="1" w:styleId="124">
    <w:name w:val="样式 (西文) Arial (中文) 仿宋_GB2312 四号 段前: 0.4 行 段后: 0.4 行 行距: 1.5..."/>
    <w:basedOn w:val="1"/>
    <w:uiPriority w:val="0"/>
    <w:pPr>
      <w:spacing w:beforeLines="40" w:afterLines="40" w:line="360" w:lineRule="auto"/>
      <w:ind w:firstLine="560" w:firstLineChars="200"/>
    </w:pPr>
    <w:rPr>
      <w:rFonts w:ascii="Arial" w:hAnsi="Arial" w:cs="宋体"/>
      <w:sz w:val="24"/>
    </w:rPr>
  </w:style>
  <w:style w:type="paragraph" w:customStyle="1" w:styleId="125">
    <w:name w:val="样式4"/>
    <w:basedOn w:val="3"/>
    <w:uiPriority w:val="0"/>
    <w:pPr>
      <w:ind w:firstLine="420"/>
    </w:pPr>
    <w:rPr>
      <w:sz w:val="24"/>
    </w:rPr>
  </w:style>
  <w:style w:type="paragraph" w:customStyle="1" w:styleId="126">
    <w:name w:val="xl94"/>
    <w:basedOn w:val="1"/>
    <w:uiPriority w:val="0"/>
    <w:pPr>
      <w:widowControl/>
      <w:pBdr>
        <w:top w:val="single" w:color="808080" w:sz="4" w:space="0"/>
        <w:left w:val="single" w:color="808080" w:sz="4" w:space="0"/>
        <w:bottom w:val="single" w:color="808080" w:sz="4" w:space="0"/>
        <w:right w:val="single" w:color="808080" w:sz="4" w:space="0"/>
      </w:pBdr>
      <w:shd w:val="clear" w:color="000000" w:fill="538DD5"/>
      <w:spacing w:before="100" w:beforeAutospacing="1" w:after="100" w:afterAutospacing="1"/>
      <w:jc w:val="left"/>
      <w:textAlignment w:val="center"/>
    </w:pPr>
    <w:rPr>
      <w:rFonts w:ascii="宋体" w:hAnsi="宋体" w:cs="宋体"/>
      <w:kern w:val="0"/>
      <w:sz w:val="12"/>
      <w:szCs w:val="12"/>
    </w:rPr>
  </w:style>
  <w:style w:type="paragraph" w:customStyle="1" w:styleId="127">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kern w:val="0"/>
      <w:sz w:val="12"/>
      <w:szCs w:val="12"/>
    </w:rPr>
  </w:style>
  <w:style w:type="paragraph" w:customStyle="1" w:styleId="128">
    <w:name w:val="正文_13"/>
    <w:qFormat/>
    <w:uiPriority w:val="0"/>
    <w:pPr>
      <w:widowControl w:val="0"/>
      <w:jc w:val="both"/>
    </w:pPr>
    <w:rPr>
      <w:kern w:val="2"/>
      <w:sz w:val="21"/>
      <w:szCs w:val="24"/>
      <w:lang w:val="en-US" w:eastAsia="zh-CN" w:bidi="ar-SA"/>
    </w:rPr>
  </w:style>
  <w:style w:type="paragraph" w:customStyle="1" w:styleId="129">
    <w:name w:val="样式 首行缩进:  0.85 厘米"/>
    <w:basedOn w:val="1"/>
    <w:qFormat/>
    <w:uiPriority w:val="0"/>
    <w:pPr>
      <w:spacing w:line="360" w:lineRule="auto"/>
      <w:ind w:firstLine="482"/>
    </w:pPr>
    <w:rPr>
      <w:rFonts w:ascii="宋体" w:hAnsi="Calibri" w:cs="宋体"/>
      <w:sz w:val="24"/>
    </w:rPr>
  </w:style>
  <w:style w:type="paragraph" w:customStyle="1" w:styleId="130">
    <w:name w:val="xl71"/>
    <w:basedOn w:val="1"/>
    <w:uiPriority w:val="0"/>
    <w:pPr>
      <w:widowControl/>
      <w:pBdr>
        <w:top w:val="single" w:color="808080" w:sz="4" w:space="0"/>
        <w:bottom w:val="single" w:color="808080" w:sz="4" w:space="0"/>
      </w:pBdr>
      <w:spacing w:before="100" w:beforeAutospacing="1" w:after="100" w:afterAutospacing="1"/>
      <w:jc w:val="center"/>
      <w:textAlignment w:val="center"/>
    </w:pPr>
    <w:rPr>
      <w:rFonts w:ascii="宋体" w:hAnsi="宋体" w:cs="宋体"/>
      <w:b/>
      <w:bCs/>
      <w:kern w:val="0"/>
      <w:sz w:val="12"/>
      <w:szCs w:val="12"/>
    </w:rPr>
  </w:style>
  <w:style w:type="paragraph" w:customStyle="1" w:styleId="131">
    <w:name w:val="Char1"/>
    <w:basedOn w:val="1"/>
    <w:uiPriority w:val="0"/>
    <w:rPr>
      <w:rFonts w:ascii="仿宋_GB2312" w:eastAsia="仿宋_GB2312"/>
      <w:b/>
      <w:sz w:val="32"/>
      <w:szCs w:val="32"/>
    </w:rPr>
  </w:style>
  <w:style w:type="paragraph" w:customStyle="1" w:styleId="132">
    <w:name w:val="xl10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133">
    <w:name w:val="xl86"/>
    <w:basedOn w:val="1"/>
    <w:uiPriority w:val="0"/>
    <w:pPr>
      <w:widowControl/>
      <w:pBdr>
        <w:top w:val="single" w:color="808080" w:sz="4" w:space="0"/>
        <w:left w:val="single" w:color="808080" w:sz="4" w:space="0"/>
        <w:bottom w:val="single" w:color="808080" w:sz="4" w:space="0"/>
        <w:right w:val="single" w:color="808080" w:sz="4" w:space="0"/>
      </w:pBdr>
      <w:shd w:val="clear" w:color="000000" w:fill="538DD5"/>
      <w:spacing w:before="100" w:beforeAutospacing="1" w:after="100" w:afterAutospacing="1"/>
      <w:textAlignment w:val="center"/>
    </w:pPr>
    <w:rPr>
      <w:rFonts w:ascii="宋体" w:hAnsi="宋体" w:cs="宋体"/>
      <w:kern w:val="0"/>
      <w:sz w:val="12"/>
      <w:szCs w:val="12"/>
    </w:rPr>
  </w:style>
  <w:style w:type="paragraph" w:customStyle="1" w:styleId="134">
    <w:name w:val="xl76"/>
    <w:basedOn w:val="1"/>
    <w:uiPriority w:val="0"/>
    <w:pPr>
      <w:widowControl/>
      <w:pBdr>
        <w:top w:val="single" w:color="808080" w:sz="4" w:space="0"/>
        <w:left w:val="single" w:color="808080" w:sz="4" w:space="0"/>
        <w:bottom w:val="single" w:color="808080" w:sz="4" w:space="0"/>
        <w:right w:val="single" w:color="808080" w:sz="4" w:space="0"/>
      </w:pBdr>
      <w:spacing w:before="100" w:beforeAutospacing="1" w:after="100" w:afterAutospacing="1"/>
      <w:jc w:val="center"/>
      <w:textAlignment w:val="center"/>
    </w:pPr>
    <w:rPr>
      <w:rFonts w:ascii="宋体" w:hAnsi="宋体" w:cs="宋体"/>
      <w:kern w:val="0"/>
      <w:sz w:val="12"/>
      <w:szCs w:val="12"/>
    </w:rPr>
  </w:style>
  <w:style w:type="paragraph" w:customStyle="1" w:styleId="135">
    <w:name w:val="公司标识"/>
    <w:basedOn w:val="1"/>
    <w:uiPriority w:val="0"/>
    <w:rPr>
      <w:szCs w:val="20"/>
    </w:rPr>
  </w:style>
  <w:style w:type="paragraph" w:customStyle="1" w:styleId="136">
    <w:name w:val="Char Char Char1 Char1"/>
    <w:basedOn w:val="1"/>
    <w:uiPriority w:val="0"/>
    <w:pPr>
      <w:widowControl/>
      <w:spacing w:after="160" w:line="240" w:lineRule="exact"/>
      <w:jc w:val="left"/>
    </w:pPr>
    <w:rPr>
      <w:rFonts w:ascii="Calibri" w:hAnsi="Calibri"/>
      <w:szCs w:val="22"/>
    </w:rPr>
  </w:style>
  <w:style w:type="paragraph" w:customStyle="1" w:styleId="137">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仿宋_GB2312" w:hAnsi="宋体" w:eastAsia="仿宋_GB2312" w:cs="宋体"/>
      <w:kern w:val="0"/>
      <w:sz w:val="20"/>
      <w:szCs w:val="20"/>
    </w:rPr>
  </w:style>
  <w:style w:type="paragraph" w:customStyle="1" w:styleId="138">
    <w:name w:val="正文01"/>
    <w:basedOn w:val="1"/>
    <w:qFormat/>
    <w:uiPriority w:val="0"/>
    <w:pPr>
      <w:autoSpaceDE w:val="0"/>
      <w:autoSpaceDN w:val="0"/>
      <w:adjustRightInd w:val="0"/>
      <w:spacing w:before="60" w:line="460" w:lineRule="exact"/>
      <w:ind w:firstLine="200" w:firstLineChars="200"/>
    </w:pPr>
    <w:rPr>
      <w:bCs/>
      <w:color w:val="000000"/>
      <w:kern w:val="0"/>
      <w:sz w:val="24"/>
    </w:rPr>
  </w:style>
  <w:style w:type="paragraph" w:customStyle="1" w:styleId="139">
    <w:name w:val="xl122"/>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right"/>
      <w:textAlignment w:val="center"/>
    </w:pPr>
    <w:rPr>
      <w:rFonts w:ascii="仿宋_GB2312" w:hAnsi="宋体" w:eastAsia="仿宋_GB2312" w:cs="宋体"/>
      <w:b/>
      <w:bCs/>
      <w:kern w:val="0"/>
      <w:sz w:val="20"/>
      <w:szCs w:val="20"/>
    </w:rPr>
  </w:style>
  <w:style w:type="paragraph" w:customStyle="1" w:styleId="140">
    <w:name w:val="xl66"/>
    <w:basedOn w:val="1"/>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41">
    <w:name w:val="xl82"/>
    <w:basedOn w:val="1"/>
    <w:uiPriority w:val="0"/>
    <w:pPr>
      <w:widowControl/>
      <w:pBdr>
        <w:left w:val="single" w:color="808080" w:sz="4" w:space="0"/>
        <w:bottom w:val="single" w:color="808080" w:sz="4" w:space="0"/>
        <w:right w:val="single" w:color="808080" w:sz="4" w:space="0"/>
      </w:pBdr>
      <w:spacing w:before="100" w:beforeAutospacing="1" w:after="100" w:afterAutospacing="1"/>
      <w:jc w:val="left"/>
      <w:textAlignment w:val="center"/>
    </w:pPr>
    <w:rPr>
      <w:rFonts w:ascii="宋体" w:hAnsi="宋体" w:cs="宋体"/>
      <w:kern w:val="0"/>
      <w:sz w:val="12"/>
      <w:szCs w:val="12"/>
    </w:rPr>
  </w:style>
  <w:style w:type="paragraph" w:customStyle="1" w:styleId="142">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left"/>
      <w:textAlignment w:val="center"/>
    </w:pPr>
    <w:rPr>
      <w:rFonts w:ascii="仿宋_GB2312" w:hAnsi="宋体" w:eastAsia="仿宋_GB2312" w:cs="宋体"/>
      <w:b/>
      <w:bCs/>
      <w:kern w:val="0"/>
      <w:sz w:val="20"/>
      <w:szCs w:val="20"/>
    </w:rPr>
  </w:style>
  <w:style w:type="paragraph" w:customStyle="1" w:styleId="143">
    <w:name w:val="+正文"/>
    <w:basedOn w:val="1"/>
    <w:uiPriority w:val="0"/>
    <w:pPr>
      <w:spacing w:line="360" w:lineRule="auto"/>
      <w:ind w:firstLine="200" w:firstLineChars="200"/>
    </w:pPr>
    <w:rPr>
      <w:sz w:val="24"/>
      <w:szCs w:val="20"/>
    </w:rPr>
  </w:style>
  <w:style w:type="paragraph" w:customStyle="1" w:styleId="144">
    <w:name w:val="xl121"/>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textAlignment w:val="center"/>
    </w:pPr>
    <w:rPr>
      <w:rFonts w:ascii="仿宋_GB2312" w:hAnsi="宋体" w:eastAsia="仿宋_GB2312" w:cs="宋体"/>
      <w:b/>
      <w:bCs/>
      <w:kern w:val="0"/>
      <w:sz w:val="20"/>
      <w:szCs w:val="20"/>
    </w:rPr>
  </w:style>
  <w:style w:type="paragraph" w:styleId="145">
    <w:name w:val="List Paragraph"/>
    <w:basedOn w:val="1"/>
    <w:qFormat/>
    <w:uiPriority w:val="0"/>
    <w:pPr>
      <w:ind w:firstLine="420" w:firstLineChars="200"/>
    </w:pPr>
    <w:rPr>
      <w:rFonts w:ascii="Calibri" w:hAnsi="Calibri"/>
      <w:szCs w:val="22"/>
    </w:rPr>
  </w:style>
  <w:style w:type="paragraph" w:customStyle="1" w:styleId="146">
    <w:name w:val="纯文本1"/>
    <w:uiPriority w:val="0"/>
    <w:pPr>
      <w:spacing w:before="156" w:beforeLines="50" w:after="156" w:afterLines="50" w:line="400" w:lineRule="exact"/>
    </w:pPr>
    <w:rPr>
      <w:rFonts w:ascii="宋体" w:hAnsi="Courier New"/>
      <w:sz w:val="24"/>
      <w:lang w:val="en-US" w:eastAsia="zh-CN" w:bidi="ar-SA"/>
    </w:rPr>
  </w:style>
  <w:style w:type="paragraph" w:customStyle="1" w:styleId="147">
    <w:name w:val="默认段落字体 Para Char Char Char Char Char Char Char"/>
    <w:basedOn w:val="1"/>
    <w:uiPriority w:val="0"/>
    <w:rPr>
      <w:rFonts w:ascii="Tahoma" w:hAnsi="Tahoma"/>
      <w:sz w:val="24"/>
      <w:szCs w:val="20"/>
    </w:rPr>
  </w:style>
  <w:style w:type="paragraph" w:customStyle="1" w:styleId="148">
    <w:name w:val="xl104"/>
    <w:basedOn w:val="1"/>
    <w:uiPriority w:val="0"/>
    <w:pPr>
      <w:widowControl/>
      <w:pBdr>
        <w:top w:val="single" w:color="808080" w:sz="4" w:space="0"/>
        <w:bottom w:val="single" w:color="808080" w:sz="4" w:space="0"/>
        <w:right w:val="single" w:color="808080" w:sz="4" w:space="0"/>
      </w:pBdr>
      <w:spacing w:before="100" w:beforeAutospacing="1" w:after="100" w:afterAutospacing="1"/>
      <w:jc w:val="center"/>
      <w:textAlignment w:val="center"/>
    </w:pPr>
    <w:rPr>
      <w:rFonts w:ascii="宋体" w:hAnsi="宋体" w:cs="宋体"/>
      <w:kern w:val="0"/>
      <w:sz w:val="12"/>
      <w:szCs w:val="12"/>
    </w:rPr>
  </w:style>
  <w:style w:type="paragraph" w:customStyle="1" w:styleId="149">
    <w:name w:val="Char Char Char3"/>
    <w:basedOn w:val="1"/>
    <w:uiPriority w:val="0"/>
    <w:rPr>
      <w:szCs w:val="20"/>
    </w:rPr>
  </w:style>
  <w:style w:type="paragraph" w:customStyle="1" w:styleId="150">
    <w:name w:val="xl95"/>
    <w:basedOn w:val="1"/>
    <w:uiPriority w:val="0"/>
    <w:pPr>
      <w:widowControl/>
      <w:pBdr>
        <w:top w:val="single" w:color="808080" w:sz="4" w:space="0"/>
        <w:left w:val="single" w:color="808080" w:sz="4" w:space="0"/>
        <w:bottom w:val="single" w:color="808080" w:sz="4" w:space="0"/>
        <w:right w:val="single" w:color="808080" w:sz="4" w:space="0"/>
      </w:pBdr>
      <w:shd w:val="clear" w:color="000000" w:fill="FFFFFF"/>
      <w:spacing w:before="100" w:beforeAutospacing="1" w:after="100" w:afterAutospacing="1"/>
      <w:jc w:val="left"/>
      <w:textAlignment w:val="center"/>
    </w:pPr>
    <w:rPr>
      <w:rFonts w:ascii="宋体" w:hAnsi="宋体" w:cs="宋体"/>
      <w:kern w:val="0"/>
      <w:sz w:val="12"/>
      <w:szCs w:val="12"/>
    </w:rPr>
  </w:style>
  <w:style w:type="paragraph" w:customStyle="1" w:styleId="151">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b/>
      <w:bCs/>
      <w:kern w:val="0"/>
      <w:sz w:val="18"/>
      <w:szCs w:val="18"/>
    </w:rPr>
  </w:style>
  <w:style w:type="paragraph" w:customStyle="1" w:styleId="152">
    <w:name w:val="标准正文"/>
    <w:basedOn w:val="21"/>
    <w:uiPriority w:val="0"/>
    <w:pPr>
      <w:spacing w:before="60" w:after="60" w:line="360" w:lineRule="auto"/>
      <w:ind w:firstLine="0"/>
    </w:pPr>
    <w:rPr>
      <w:rFonts w:ascii="黑体" w:hAnsi="Times New Roman" w:eastAsia="黑体"/>
      <w:color w:val="000000"/>
      <w:spacing w:val="0"/>
      <w:sz w:val="36"/>
      <w:szCs w:val="20"/>
    </w:rPr>
  </w:style>
  <w:style w:type="paragraph" w:customStyle="1" w:styleId="153">
    <w:name w:val="xl80"/>
    <w:basedOn w:val="1"/>
    <w:uiPriority w:val="0"/>
    <w:pPr>
      <w:widowControl/>
      <w:pBdr>
        <w:top w:val="single" w:color="808080" w:sz="4" w:space="0"/>
        <w:bottom w:val="single" w:color="808080" w:sz="4" w:space="0"/>
        <w:right w:val="single" w:color="808080" w:sz="4" w:space="0"/>
      </w:pBdr>
      <w:shd w:val="clear" w:color="000000" w:fill="538DD5"/>
      <w:spacing w:before="100" w:beforeAutospacing="1" w:after="100" w:afterAutospacing="1"/>
      <w:jc w:val="center"/>
      <w:textAlignment w:val="center"/>
    </w:pPr>
    <w:rPr>
      <w:rFonts w:ascii="宋体" w:hAnsi="宋体" w:cs="宋体"/>
      <w:kern w:val="0"/>
      <w:sz w:val="12"/>
      <w:szCs w:val="12"/>
    </w:rPr>
  </w:style>
  <w:style w:type="paragraph" w:customStyle="1" w:styleId="154">
    <w:name w:val="b13"/>
    <w:basedOn w:val="1"/>
    <w:uiPriority w:val="99"/>
    <w:pPr>
      <w:widowControl/>
      <w:autoSpaceDE w:val="0"/>
      <w:autoSpaceDN w:val="0"/>
      <w:adjustRightInd w:val="0"/>
      <w:spacing w:before="100" w:beforeAutospacing="1" w:after="120"/>
      <w:jc w:val="left"/>
      <w:textAlignment w:val="bottom"/>
    </w:pPr>
    <w:rPr>
      <w:rFonts w:eastAsia="華康粗圓體"/>
      <w:kern w:val="0"/>
      <w:sz w:val="26"/>
      <w:szCs w:val="26"/>
    </w:rPr>
  </w:style>
  <w:style w:type="paragraph" w:customStyle="1" w:styleId="155">
    <w:name w:val="xl70"/>
    <w:basedOn w:val="1"/>
    <w:uiPriority w:val="0"/>
    <w:pPr>
      <w:widowControl/>
      <w:pBdr>
        <w:top w:val="single" w:color="808080" w:sz="4" w:space="0"/>
        <w:bottom w:val="single" w:color="808080" w:sz="4" w:space="0"/>
      </w:pBdr>
      <w:spacing w:before="100" w:beforeAutospacing="1" w:after="100" w:afterAutospacing="1"/>
      <w:jc w:val="left"/>
      <w:textAlignment w:val="center"/>
    </w:pPr>
    <w:rPr>
      <w:rFonts w:ascii="宋体" w:hAnsi="宋体" w:cs="宋体"/>
      <w:kern w:val="0"/>
      <w:sz w:val="12"/>
      <w:szCs w:val="12"/>
    </w:rPr>
  </w:style>
  <w:style w:type="paragraph" w:customStyle="1" w:styleId="156">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157">
    <w:name w:val="p0"/>
    <w:basedOn w:val="1"/>
    <w:uiPriority w:val="0"/>
    <w:pPr>
      <w:widowControl/>
      <w:jc w:val="left"/>
    </w:pPr>
    <w:rPr>
      <w:rFonts w:ascii="仿宋_GB2312" w:hAnsi="宋体" w:eastAsia="仿宋_GB2312" w:cs="宋体"/>
      <w:kern w:val="0"/>
      <w:szCs w:val="21"/>
    </w:rPr>
  </w:style>
  <w:style w:type="paragraph" w:customStyle="1" w:styleId="158">
    <w:name w:val="List Paragraph"/>
    <w:basedOn w:val="1"/>
    <w:qFormat/>
    <w:uiPriority w:val="0"/>
    <w:pPr>
      <w:ind w:firstLine="420"/>
    </w:pPr>
    <w:rPr>
      <w:rFonts w:ascii="Calibri" w:hAnsi="Calibri"/>
    </w:rPr>
  </w:style>
  <w:style w:type="paragraph" w:customStyle="1" w:styleId="159">
    <w:name w:val="样式 列表编号 + 段后: 0.5 行"/>
    <w:basedOn w:val="13"/>
    <w:uiPriority w:val="0"/>
    <w:pPr>
      <w:widowControl/>
      <w:numPr>
        <w:ilvl w:val="0"/>
        <w:numId w:val="0"/>
      </w:numPr>
      <w:spacing w:after="120"/>
      <w:ind w:left="840" w:hanging="420"/>
      <w:jc w:val="left"/>
    </w:pPr>
    <w:rPr>
      <w:rFonts w:cs="宋体"/>
      <w:kern w:val="0"/>
      <w:sz w:val="24"/>
      <w:szCs w:val="20"/>
    </w:rPr>
  </w:style>
  <w:style w:type="paragraph" w:customStyle="1" w:styleId="160">
    <w:name w:val="标书正文"/>
    <w:uiPriority w:val="0"/>
    <w:pPr>
      <w:spacing w:before="50" w:beforeLines="50" w:after="50" w:afterLines="50" w:line="400" w:lineRule="exact"/>
      <w:ind w:firstLine="200" w:firstLineChars="200"/>
    </w:pPr>
    <w:rPr>
      <w:rFonts w:ascii="黑体"/>
      <w:sz w:val="24"/>
      <w:lang w:val="en-US" w:eastAsia="zh-CN" w:bidi="ar-SA"/>
    </w:rPr>
  </w:style>
  <w:style w:type="paragraph" w:customStyle="1" w:styleId="161">
    <w:name w:val="xl119"/>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仿宋_GB2312" w:hAnsi="宋体" w:eastAsia="仿宋_GB2312" w:cs="宋体"/>
      <w:b/>
      <w:bCs/>
      <w:kern w:val="0"/>
      <w:sz w:val="20"/>
      <w:szCs w:val="20"/>
    </w:rPr>
  </w:style>
  <w:style w:type="paragraph" w:customStyle="1" w:styleId="162">
    <w:name w:val="Defaul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63">
    <w:name w:val="xl68"/>
    <w:basedOn w:val="1"/>
    <w:uiPriority w:val="0"/>
    <w:pPr>
      <w:widowControl/>
      <w:pBdr>
        <w:top w:val="single" w:color="808080" w:sz="4" w:space="0"/>
        <w:right w:val="single" w:color="808080" w:sz="4" w:space="0"/>
      </w:pBdr>
      <w:spacing w:before="100" w:beforeAutospacing="1" w:after="100" w:afterAutospacing="1"/>
      <w:jc w:val="left"/>
      <w:textAlignment w:val="center"/>
    </w:pPr>
    <w:rPr>
      <w:rFonts w:ascii="宋体" w:hAnsi="宋体" w:cs="宋体"/>
      <w:kern w:val="0"/>
      <w:sz w:val="12"/>
      <w:szCs w:val="12"/>
    </w:rPr>
  </w:style>
  <w:style w:type="paragraph" w:customStyle="1" w:styleId="164">
    <w:name w:val="列出段落1"/>
    <w:basedOn w:val="1"/>
    <w:qFormat/>
    <w:uiPriority w:val="99"/>
    <w:pPr>
      <w:ind w:firstLine="420" w:firstLineChars="200"/>
    </w:pPr>
  </w:style>
  <w:style w:type="paragraph" w:customStyle="1" w:styleId="165">
    <w:name w:val="xl74"/>
    <w:basedOn w:val="1"/>
    <w:uiPriority w:val="0"/>
    <w:pPr>
      <w:widowControl/>
      <w:pBdr>
        <w:left w:val="single" w:color="808080" w:sz="4" w:space="0"/>
      </w:pBdr>
      <w:spacing w:before="100" w:beforeAutospacing="1" w:after="100" w:afterAutospacing="1"/>
      <w:jc w:val="left"/>
      <w:textAlignment w:val="center"/>
    </w:pPr>
    <w:rPr>
      <w:rFonts w:ascii="宋体" w:hAnsi="宋体" w:cs="宋体"/>
      <w:kern w:val="0"/>
      <w:sz w:val="12"/>
      <w:szCs w:val="12"/>
    </w:rPr>
  </w:style>
  <w:style w:type="paragraph" w:customStyle="1" w:styleId="166">
    <w:name w:val="正文表标题"/>
    <w:next w:val="1"/>
    <w:qFormat/>
    <w:uiPriority w:val="0"/>
    <w:pPr>
      <w:tabs>
        <w:tab w:val="left" w:pos="360"/>
        <w:tab w:val="left" w:pos="1620"/>
      </w:tabs>
      <w:spacing w:beforeLines="50" w:afterLines="50"/>
      <w:ind w:left="1620" w:hanging="1620"/>
      <w:jc w:val="center"/>
    </w:pPr>
    <w:rPr>
      <w:rFonts w:ascii="黑体" w:eastAsia="黑体"/>
      <w:sz w:val="21"/>
      <w:szCs w:val="22"/>
      <w:lang w:val="en-US" w:eastAsia="zh-CN" w:bidi="ar-SA"/>
    </w:rPr>
  </w:style>
  <w:style w:type="paragraph" w:customStyle="1" w:styleId="167">
    <w:name w:val="xl93"/>
    <w:basedOn w:val="1"/>
    <w:uiPriority w:val="0"/>
    <w:pPr>
      <w:widowControl/>
      <w:pBdr>
        <w:top w:val="single" w:color="808080" w:sz="4" w:space="0"/>
        <w:left w:val="single" w:color="808080" w:sz="4" w:space="0"/>
        <w:bottom w:val="single" w:color="808080" w:sz="4" w:space="0"/>
        <w:right w:val="single" w:color="808080" w:sz="4" w:space="0"/>
      </w:pBdr>
      <w:spacing w:before="100" w:beforeAutospacing="1" w:after="100" w:afterAutospacing="1"/>
      <w:textAlignment w:val="center"/>
    </w:pPr>
    <w:rPr>
      <w:rFonts w:ascii="宋体" w:hAnsi="宋体" w:cs="宋体"/>
      <w:kern w:val="0"/>
      <w:sz w:val="12"/>
      <w:szCs w:val="12"/>
    </w:rPr>
  </w:style>
  <w:style w:type="paragraph" w:customStyle="1" w:styleId="168">
    <w:name w:val="正文 + 宋体"/>
    <w:basedOn w:val="1"/>
    <w:uiPriority w:val="0"/>
    <w:pPr>
      <w:spacing w:before="31" w:beforeLines="10" w:line="400" w:lineRule="atLeast"/>
      <w:ind w:firstLine="420"/>
    </w:pPr>
    <w:rPr>
      <w:rFonts w:ascii="宋体" w:hAnsi="宋体"/>
      <w:szCs w:val="20"/>
    </w:rPr>
  </w:style>
  <w:style w:type="paragraph" w:customStyle="1" w:styleId="169">
    <w:name w:val="paragraph1"/>
    <w:basedOn w:val="1"/>
    <w:uiPriority w:val="0"/>
    <w:pPr>
      <w:spacing w:before="20" w:after="30" w:line="360" w:lineRule="auto"/>
      <w:ind w:firstLine="200" w:firstLineChars="200"/>
    </w:pPr>
    <w:rPr>
      <w:sz w:val="24"/>
      <w:szCs w:val="20"/>
    </w:rPr>
  </w:style>
  <w:style w:type="paragraph" w:customStyle="1" w:styleId="170">
    <w:name w:val="默认段落字体 Para Char Char Char Char Char Char Char Char Char1 Char Char Char Char"/>
    <w:basedOn w:val="1"/>
    <w:uiPriority w:val="0"/>
    <w:rPr>
      <w:rFonts w:ascii="Tahoma" w:hAnsi="Tahoma"/>
      <w:sz w:val="24"/>
      <w:szCs w:val="20"/>
    </w:rPr>
  </w:style>
  <w:style w:type="paragraph" w:customStyle="1" w:styleId="171">
    <w:name w:val="xl69"/>
    <w:basedOn w:val="1"/>
    <w:uiPriority w:val="0"/>
    <w:pPr>
      <w:widowControl/>
      <w:pBdr>
        <w:top w:val="single" w:color="808080" w:sz="4" w:space="0"/>
        <w:left w:val="single" w:color="808080" w:sz="4" w:space="0"/>
        <w:bottom w:val="single" w:color="808080" w:sz="4" w:space="0"/>
      </w:pBdr>
      <w:spacing w:before="100" w:beforeAutospacing="1" w:after="100" w:afterAutospacing="1"/>
      <w:jc w:val="center"/>
      <w:textAlignment w:val="center"/>
    </w:pPr>
    <w:rPr>
      <w:rFonts w:ascii="宋体" w:hAnsi="宋体" w:cs="宋体"/>
      <w:b/>
      <w:bCs/>
      <w:kern w:val="0"/>
      <w:sz w:val="12"/>
      <w:szCs w:val="12"/>
    </w:rPr>
  </w:style>
  <w:style w:type="paragraph" w:customStyle="1" w:styleId="172">
    <w:name w:val="Normal"/>
    <w:qFormat/>
    <w:uiPriority w:val="0"/>
    <w:pPr>
      <w:widowControl w:val="0"/>
      <w:jc w:val="both"/>
    </w:pPr>
    <w:rPr>
      <w:rFonts w:hint="eastAsia"/>
      <w:kern w:val="2"/>
      <w:sz w:val="21"/>
      <w:szCs w:val="22"/>
      <w:lang w:val="en-US" w:eastAsia="zh-CN" w:bidi="ar-SA"/>
    </w:rPr>
  </w:style>
  <w:style w:type="paragraph" w:customStyle="1" w:styleId="173">
    <w:name w:val="xl102"/>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2"/>
      <w:szCs w:val="12"/>
    </w:rPr>
  </w:style>
  <w:style w:type="paragraph" w:customStyle="1" w:styleId="174">
    <w:name w:val="封面标准文稿编辑信息"/>
    <w:qFormat/>
    <w:uiPriority w:val="0"/>
    <w:pPr>
      <w:spacing w:before="180" w:line="180" w:lineRule="exact"/>
      <w:jc w:val="center"/>
    </w:pPr>
    <w:rPr>
      <w:rFonts w:ascii="宋体"/>
      <w:sz w:val="21"/>
      <w:lang w:val="en-US" w:eastAsia="zh-CN" w:bidi="ar-SA"/>
    </w:rPr>
  </w:style>
  <w:style w:type="paragraph" w:customStyle="1" w:styleId="175">
    <w:name w:val="Char Char Char1 Char"/>
    <w:basedOn w:val="1"/>
    <w:uiPriority w:val="0"/>
    <w:pPr>
      <w:widowControl/>
      <w:spacing w:after="160" w:line="240" w:lineRule="exact"/>
      <w:jc w:val="left"/>
    </w:pPr>
  </w:style>
  <w:style w:type="paragraph" w:customStyle="1" w:styleId="176">
    <w:name w:val="xl103"/>
    <w:basedOn w:val="1"/>
    <w:uiPriority w:val="0"/>
    <w:pPr>
      <w:widowControl/>
      <w:pBdr>
        <w:top w:val="single" w:color="808080" w:sz="4" w:space="0"/>
        <w:bottom w:val="single" w:color="808080" w:sz="4" w:space="0"/>
        <w:right w:val="single" w:color="808080" w:sz="4" w:space="0"/>
      </w:pBdr>
      <w:spacing w:before="100" w:beforeAutospacing="1" w:after="100" w:afterAutospacing="1"/>
      <w:jc w:val="left"/>
      <w:textAlignment w:val="center"/>
    </w:pPr>
    <w:rPr>
      <w:rFonts w:ascii="宋体" w:hAnsi="宋体" w:cs="宋体"/>
      <w:kern w:val="0"/>
      <w:sz w:val="12"/>
      <w:szCs w:val="12"/>
    </w:rPr>
  </w:style>
  <w:style w:type="paragraph" w:customStyle="1" w:styleId="177">
    <w:name w:val="GP正文(无首行缩进)"/>
    <w:uiPriority w:val="0"/>
    <w:pPr>
      <w:widowControl w:val="0"/>
      <w:spacing w:line="360" w:lineRule="auto"/>
    </w:pPr>
    <w:rPr>
      <w:kern w:val="2"/>
      <w:sz w:val="24"/>
      <w:szCs w:val="21"/>
      <w:lang w:val="en-US" w:eastAsia="zh-CN" w:bidi="ar-SA"/>
    </w:rPr>
  </w:style>
  <w:style w:type="paragraph" w:customStyle="1" w:styleId="178">
    <w:name w:val="默认段落字体 Para Char"/>
    <w:basedOn w:val="1"/>
    <w:uiPriority w:val="0"/>
    <w:rPr>
      <w:rFonts w:ascii="Tahoma" w:hAnsi="Tahoma"/>
      <w:sz w:val="24"/>
      <w:szCs w:val="20"/>
    </w:rPr>
  </w:style>
  <w:style w:type="paragraph" w:customStyle="1" w:styleId="179">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80">
    <w:name w:val="xl117"/>
    <w:basedOn w:val="1"/>
    <w:uiPriority w:val="0"/>
    <w:pPr>
      <w:widowControl/>
      <w:pBdr>
        <w:top w:val="single" w:color="auto" w:sz="4" w:space="0"/>
        <w:left w:val="single" w:color="auto" w:sz="4" w:space="0"/>
        <w:bottom w:val="single" w:color="auto" w:sz="4" w:space="0"/>
        <w:right w:val="single" w:color="auto" w:sz="4" w:space="0"/>
      </w:pBdr>
      <w:shd w:val="clear" w:color="000000" w:fill="FF9900"/>
      <w:spacing w:before="100" w:beforeAutospacing="1" w:after="100" w:afterAutospacing="1"/>
      <w:jc w:val="center"/>
      <w:textAlignment w:val="center"/>
    </w:pPr>
    <w:rPr>
      <w:rFonts w:ascii="仿宋_GB2312" w:hAnsi="宋体" w:eastAsia="仿宋_GB2312" w:cs="宋体"/>
      <w:b/>
      <w:bCs/>
      <w:color w:val="000000"/>
      <w:kern w:val="0"/>
      <w:sz w:val="20"/>
      <w:szCs w:val="20"/>
    </w:rPr>
  </w:style>
  <w:style w:type="paragraph" w:customStyle="1" w:styleId="181">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2"/>
      <w:szCs w:val="12"/>
    </w:rPr>
  </w:style>
  <w:style w:type="paragraph" w:customStyle="1" w:styleId="182">
    <w:name w:val="xl87"/>
    <w:basedOn w:val="1"/>
    <w:uiPriority w:val="0"/>
    <w:pPr>
      <w:widowControl/>
      <w:pBdr>
        <w:top w:val="single" w:color="808080" w:sz="4" w:space="0"/>
        <w:left w:val="single" w:color="808080" w:sz="4" w:space="0"/>
        <w:bottom w:val="single" w:color="808080" w:sz="4" w:space="0"/>
        <w:right w:val="single" w:color="808080" w:sz="4" w:space="0"/>
      </w:pBdr>
      <w:shd w:val="clear" w:color="000000" w:fill="538DD5"/>
      <w:spacing w:before="100" w:beforeAutospacing="1" w:after="100" w:afterAutospacing="1"/>
      <w:jc w:val="left"/>
      <w:textAlignment w:val="center"/>
    </w:pPr>
    <w:rPr>
      <w:rFonts w:ascii="宋体" w:hAnsi="宋体" w:cs="宋体"/>
      <w:kern w:val="0"/>
      <w:sz w:val="12"/>
      <w:szCs w:val="12"/>
    </w:rPr>
  </w:style>
  <w:style w:type="paragraph" w:customStyle="1" w:styleId="183">
    <w:name w:val="xl90"/>
    <w:basedOn w:val="1"/>
    <w:uiPriority w:val="0"/>
    <w:pPr>
      <w:widowControl/>
      <w:pBdr>
        <w:top w:val="single" w:color="808080" w:sz="4" w:space="0"/>
        <w:left w:val="single" w:color="808080" w:sz="4" w:space="0"/>
        <w:bottom w:val="single" w:color="808080" w:sz="4" w:space="0"/>
        <w:right w:val="single" w:color="808080" w:sz="4" w:space="0"/>
      </w:pBdr>
      <w:spacing w:before="100" w:beforeAutospacing="1" w:after="100" w:afterAutospacing="1"/>
      <w:jc w:val="left"/>
      <w:textAlignment w:val="center"/>
    </w:pPr>
    <w:rPr>
      <w:rFonts w:ascii="宋体" w:hAnsi="宋体" w:cs="宋体"/>
      <w:kern w:val="0"/>
      <w:sz w:val="12"/>
      <w:szCs w:val="12"/>
    </w:rPr>
  </w:style>
  <w:style w:type="paragraph" w:customStyle="1" w:styleId="184">
    <w:name w:val="xl92"/>
    <w:basedOn w:val="1"/>
    <w:uiPriority w:val="0"/>
    <w:pPr>
      <w:widowControl/>
      <w:pBdr>
        <w:top w:val="single" w:color="808080" w:sz="4" w:space="0"/>
        <w:bottom w:val="single" w:color="808080" w:sz="4" w:space="0"/>
        <w:right w:val="single" w:color="808080" w:sz="4" w:space="0"/>
      </w:pBdr>
      <w:spacing w:before="100" w:beforeAutospacing="1" w:after="100" w:afterAutospacing="1"/>
      <w:textAlignment w:val="center"/>
    </w:pPr>
    <w:rPr>
      <w:rFonts w:ascii="宋体" w:hAnsi="宋体" w:cs="宋体"/>
      <w:kern w:val="0"/>
      <w:sz w:val="12"/>
      <w:szCs w:val="12"/>
    </w:rPr>
  </w:style>
  <w:style w:type="paragraph" w:customStyle="1" w:styleId="185">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2"/>
      <w:szCs w:val="12"/>
    </w:rPr>
  </w:style>
  <w:style w:type="paragraph" w:customStyle="1" w:styleId="186">
    <w:name w:val="xl75"/>
    <w:basedOn w:val="1"/>
    <w:uiPriority w:val="0"/>
    <w:pPr>
      <w:widowControl/>
      <w:pBdr>
        <w:right w:val="single" w:color="808080" w:sz="4" w:space="0"/>
      </w:pBdr>
      <w:spacing w:before="100" w:beforeAutospacing="1" w:after="100" w:afterAutospacing="1"/>
      <w:jc w:val="left"/>
      <w:textAlignment w:val="center"/>
    </w:pPr>
    <w:rPr>
      <w:rFonts w:ascii="宋体" w:hAnsi="宋体" w:cs="宋体"/>
      <w:kern w:val="0"/>
      <w:sz w:val="12"/>
      <w:szCs w:val="12"/>
    </w:rPr>
  </w:style>
  <w:style w:type="paragraph" w:customStyle="1" w:styleId="187">
    <w:name w:val="缺省文本"/>
    <w:basedOn w:val="1"/>
    <w:uiPriority w:val="0"/>
    <w:pPr>
      <w:autoSpaceDE w:val="0"/>
      <w:autoSpaceDN w:val="0"/>
      <w:adjustRightInd w:val="0"/>
      <w:jc w:val="left"/>
    </w:pPr>
    <w:rPr>
      <w:rFonts w:eastAsia="Times New Roman"/>
      <w:kern w:val="0"/>
      <w:sz w:val="24"/>
      <w:lang w:eastAsia="en-US"/>
    </w:rPr>
  </w:style>
  <w:style w:type="paragraph" w:customStyle="1" w:styleId="188">
    <w:name w:val="正文段"/>
    <w:basedOn w:val="1"/>
    <w:uiPriority w:val="0"/>
    <w:pPr>
      <w:widowControl/>
      <w:snapToGrid w:val="0"/>
      <w:spacing w:after="156" w:afterLines="50"/>
      <w:ind w:firstLine="200" w:firstLineChars="200"/>
    </w:pPr>
    <w:rPr>
      <w:kern w:val="0"/>
      <w:sz w:val="24"/>
      <w:szCs w:val="20"/>
    </w:rPr>
  </w:style>
  <w:style w:type="paragraph" w:styleId="189">
    <w:name w:val=""/>
    <w:semiHidden/>
    <w:uiPriority w:val="99"/>
    <w:rPr>
      <w:kern w:val="2"/>
      <w:sz w:val="21"/>
      <w:szCs w:val="24"/>
      <w:lang w:val="en-US" w:eastAsia="zh-CN" w:bidi="ar-SA"/>
    </w:rPr>
  </w:style>
  <w:style w:type="paragraph" w:customStyle="1" w:styleId="190">
    <w:name w:val="xl99"/>
    <w:basedOn w:val="1"/>
    <w:uiPriority w:val="0"/>
    <w:pPr>
      <w:widowControl/>
      <w:shd w:val="clear" w:color="000000" w:fill="92D050"/>
      <w:spacing w:before="100" w:beforeAutospacing="1" w:after="100" w:afterAutospacing="1"/>
      <w:jc w:val="left"/>
      <w:textAlignment w:val="center"/>
    </w:pPr>
    <w:rPr>
      <w:rFonts w:ascii="宋体" w:hAnsi="宋体" w:cs="宋体"/>
      <w:kern w:val="0"/>
      <w:sz w:val="12"/>
      <w:szCs w:val="12"/>
    </w:rPr>
  </w:style>
  <w:style w:type="paragraph" w:customStyle="1" w:styleId="191">
    <w:name w:val="Normal Indent"/>
    <w:basedOn w:val="1"/>
    <w:qFormat/>
    <w:uiPriority w:val="0"/>
    <w:pPr>
      <w:adjustRightInd w:val="0"/>
      <w:ind w:firstLine="420"/>
      <w:jc w:val="left"/>
    </w:pPr>
    <w:rPr>
      <w:rFonts w:eastAsia="楷体_GB2312"/>
    </w:rPr>
  </w:style>
  <w:style w:type="paragraph" w:customStyle="1" w:styleId="192">
    <w:name w:val="xl11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193">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2"/>
      <w:szCs w:val="12"/>
    </w:rPr>
  </w:style>
  <w:style w:type="paragraph" w:customStyle="1" w:styleId="194">
    <w:name w:val="xl72"/>
    <w:basedOn w:val="1"/>
    <w:uiPriority w:val="0"/>
    <w:pPr>
      <w:widowControl/>
      <w:pBdr>
        <w:top w:val="single" w:color="808080" w:sz="4" w:space="0"/>
        <w:bottom w:val="single" w:color="808080" w:sz="4" w:space="0"/>
        <w:right w:val="single" w:color="808080" w:sz="4" w:space="0"/>
      </w:pBdr>
      <w:spacing w:before="100" w:beforeAutospacing="1" w:after="100" w:afterAutospacing="1"/>
      <w:jc w:val="center"/>
      <w:textAlignment w:val="center"/>
    </w:pPr>
    <w:rPr>
      <w:rFonts w:ascii="宋体" w:hAnsi="宋体" w:cs="宋体"/>
      <w:b/>
      <w:bCs/>
      <w:kern w:val="0"/>
      <w:sz w:val="12"/>
      <w:szCs w:val="12"/>
    </w:rPr>
  </w:style>
  <w:style w:type="paragraph" w:customStyle="1" w:styleId="195">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96">
    <w:name w:val="Char Char Char Char Char Char2 Char Char Char Char"/>
    <w:basedOn w:val="1"/>
    <w:uiPriority w:val="0"/>
  </w:style>
  <w:style w:type="paragraph" w:customStyle="1" w:styleId="197">
    <w:name w:val="xl113"/>
    <w:basedOn w:val="1"/>
    <w:uiPriority w:val="0"/>
    <w:pPr>
      <w:widowControl/>
      <w:pBdr>
        <w:top w:val="single" w:color="auto" w:sz="4" w:space="0"/>
        <w:left w:val="single" w:color="auto" w:sz="8" w:space="0"/>
        <w:bottom w:val="single" w:color="auto" w:sz="4" w:space="0"/>
        <w:right w:val="single" w:color="auto" w:sz="4" w:space="0"/>
      </w:pBdr>
      <w:shd w:val="clear" w:color="000000" w:fill="F79646"/>
      <w:spacing w:before="100" w:beforeAutospacing="1" w:after="100" w:afterAutospacing="1"/>
      <w:jc w:val="left"/>
      <w:textAlignment w:val="center"/>
    </w:pPr>
    <w:rPr>
      <w:rFonts w:ascii="仿宋_GB2312" w:hAnsi="宋体" w:eastAsia="仿宋_GB2312" w:cs="宋体"/>
      <w:b/>
      <w:bCs/>
      <w:kern w:val="0"/>
      <w:sz w:val="20"/>
      <w:szCs w:val="20"/>
    </w:rPr>
  </w:style>
  <w:style w:type="paragraph" w:customStyle="1" w:styleId="198">
    <w:name w:val="_Style 2"/>
    <w:basedOn w:val="1"/>
    <w:qFormat/>
    <w:uiPriority w:val="34"/>
    <w:pPr>
      <w:widowControl w:val="0"/>
      <w:ind w:firstLine="420" w:firstLineChars="200"/>
      <w:jc w:val="both"/>
    </w:pPr>
    <w:rPr>
      <w:rFonts w:ascii="Calibri" w:hAnsi="Calibri"/>
      <w:kern w:val="2"/>
      <w:sz w:val="21"/>
      <w:szCs w:val="22"/>
    </w:rPr>
  </w:style>
  <w:style w:type="paragraph" w:customStyle="1" w:styleId="199">
    <w:name w:val="可研正文"/>
    <w:basedOn w:val="1"/>
    <w:uiPriority w:val="0"/>
    <w:pPr>
      <w:spacing w:after="120" w:line="400" w:lineRule="atLeast"/>
      <w:ind w:left="40" w:leftChars="40" w:firstLine="200" w:firstLineChars="200"/>
    </w:pPr>
    <w:rPr>
      <w:rFonts w:cs="宋体"/>
      <w:kern w:val="0"/>
      <w:sz w:val="24"/>
    </w:rPr>
  </w:style>
  <w:style w:type="paragraph" w:customStyle="1" w:styleId="200">
    <w:name w:val="Char Char Char1"/>
    <w:basedOn w:val="1"/>
    <w:uiPriority w:val="0"/>
    <w:rPr>
      <w:szCs w:val="20"/>
    </w:rPr>
  </w:style>
  <w:style w:type="paragraph" w:customStyle="1" w:styleId="201">
    <w:name w:val="xl120"/>
    <w:basedOn w:val="1"/>
    <w:uiPriority w:val="0"/>
    <w:pPr>
      <w:widowControl/>
      <w:pBdr>
        <w:top w:val="single" w:color="auto" w:sz="4" w:space="0"/>
        <w:left w:val="single" w:color="auto" w:sz="4" w:space="0"/>
        <w:bottom w:val="single" w:color="auto" w:sz="4" w:space="0"/>
        <w:right w:val="single" w:color="auto" w:sz="8" w:space="0"/>
      </w:pBdr>
      <w:shd w:val="clear" w:color="000000" w:fill="F79646"/>
      <w:spacing w:before="100" w:beforeAutospacing="1" w:after="100" w:afterAutospacing="1"/>
      <w:jc w:val="right"/>
    </w:pPr>
    <w:rPr>
      <w:rFonts w:ascii="仿宋_GB2312" w:hAnsi="宋体" w:eastAsia="仿宋_GB2312" w:cs="宋体"/>
      <w:kern w:val="0"/>
      <w:sz w:val="20"/>
      <w:szCs w:val="20"/>
    </w:rPr>
  </w:style>
  <w:style w:type="paragraph" w:customStyle="1" w:styleId="202">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0"/>
      <w:szCs w:val="20"/>
    </w:rPr>
  </w:style>
  <w:style w:type="paragraph" w:customStyle="1" w:styleId="203">
    <w:name w:val="表正文"/>
    <w:next w:val="19"/>
    <w:uiPriority w:val="0"/>
    <w:pPr>
      <w:snapToGrid w:val="0"/>
      <w:spacing w:line="600" w:lineRule="atLeast"/>
      <w:ind w:firstLine="641"/>
      <w:jc w:val="both"/>
    </w:pPr>
    <w:rPr>
      <w:rFonts w:eastAsia="仿宋_GB2312"/>
      <w:sz w:val="32"/>
      <w:szCs w:val="22"/>
      <w:lang w:val="en-US" w:eastAsia="zh-CN" w:bidi="ar-SA"/>
    </w:rPr>
  </w:style>
  <w:style w:type="paragraph" w:customStyle="1" w:styleId="204">
    <w:name w:val=" Char"/>
    <w:basedOn w:val="1"/>
    <w:qFormat/>
    <w:uiPriority w:val="0"/>
    <w:rPr>
      <w:szCs w:val="20"/>
    </w:rPr>
  </w:style>
  <w:style w:type="paragraph" w:customStyle="1" w:styleId="205">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2"/>
      <w:szCs w:val="12"/>
    </w:rPr>
  </w:style>
  <w:style w:type="paragraph" w:customStyle="1" w:styleId="206">
    <w:name w:val="Char Char Char"/>
    <w:basedOn w:val="1"/>
    <w:uiPriority w:val="0"/>
    <w:rPr>
      <w:rFonts w:ascii="Tahoma" w:hAnsi="Tahoma"/>
      <w:sz w:val="24"/>
      <w:szCs w:val="20"/>
    </w:rPr>
  </w:style>
  <w:style w:type="paragraph" w:customStyle="1" w:styleId="207">
    <w:name w:val="xl115"/>
    <w:basedOn w:val="1"/>
    <w:uiPriority w:val="0"/>
    <w:pPr>
      <w:widowControl/>
      <w:pBdr>
        <w:top w:val="single" w:color="auto" w:sz="4" w:space="0"/>
        <w:left w:val="single" w:color="auto" w:sz="4" w:space="0"/>
        <w:bottom w:val="single" w:color="auto" w:sz="4" w:space="0"/>
        <w:right w:val="single" w:color="auto" w:sz="8" w:space="0"/>
      </w:pBdr>
      <w:shd w:val="clear" w:color="000000" w:fill="F79646"/>
      <w:spacing w:before="100" w:beforeAutospacing="1" w:after="100" w:afterAutospacing="1"/>
      <w:jc w:val="left"/>
      <w:textAlignment w:val="center"/>
    </w:pPr>
    <w:rPr>
      <w:rFonts w:ascii="仿宋_GB2312" w:hAnsi="宋体" w:eastAsia="仿宋_GB2312" w:cs="宋体"/>
      <w:b/>
      <w:bCs/>
      <w:kern w:val="0"/>
      <w:sz w:val="20"/>
      <w:szCs w:val="20"/>
    </w:rPr>
  </w:style>
  <w:style w:type="paragraph" w:customStyle="1" w:styleId="208">
    <w:name w:val="文档正文"/>
    <w:basedOn w:val="1"/>
    <w:uiPriority w:val="0"/>
    <w:pPr>
      <w:adjustRightInd w:val="0"/>
      <w:spacing w:line="360" w:lineRule="auto"/>
      <w:ind w:firstLine="567"/>
    </w:pPr>
    <w:rPr>
      <w:rFonts w:hint="eastAsia" w:ascii="宋体" w:hAnsi="宋体" w:eastAsia="仿宋_GB2312"/>
      <w:color w:val="000000"/>
      <w:kern w:val="0"/>
      <w:sz w:val="24"/>
      <w:szCs w:val="20"/>
    </w:rPr>
  </w:style>
  <w:style w:type="paragraph" w:customStyle="1" w:styleId="209">
    <w:name w:val="段"/>
    <w:qFormat/>
    <w:uiPriority w:val="0"/>
    <w:pPr>
      <w:autoSpaceDE w:val="0"/>
      <w:autoSpaceDN w:val="0"/>
      <w:ind w:firstLine="200"/>
      <w:jc w:val="both"/>
    </w:pPr>
    <w:rPr>
      <w:rFonts w:ascii="宋体"/>
      <w:sz w:val="21"/>
      <w:lang w:val="en-US" w:eastAsia="zh-CN" w:bidi="ar-SA"/>
    </w:rPr>
  </w:style>
  <w:style w:type="paragraph" w:customStyle="1" w:styleId="210">
    <w:name w:val="样式3 (1)"/>
    <w:basedOn w:val="1"/>
    <w:qFormat/>
    <w:uiPriority w:val="0"/>
    <w:pPr>
      <w:widowControl/>
      <w:numPr>
        <w:ilvl w:val="0"/>
        <w:numId w:val="3"/>
      </w:numPr>
      <w:tabs>
        <w:tab w:val="left" w:pos="510"/>
        <w:tab w:val="left" w:pos="645"/>
      </w:tabs>
      <w:adjustRightInd w:val="0"/>
      <w:spacing w:line="360" w:lineRule="auto"/>
    </w:pPr>
    <w:rPr>
      <w:kern w:val="0"/>
      <w:sz w:val="24"/>
    </w:rPr>
  </w:style>
  <w:style w:type="paragraph" w:customStyle="1" w:styleId="211">
    <w:name w:val="a2"/>
    <w:basedOn w:val="1"/>
    <w:uiPriority w:val="0"/>
    <w:pPr>
      <w:widowControl/>
      <w:spacing w:before="100" w:beforeAutospacing="1" w:after="100" w:afterAutospacing="1"/>
      <w:jc w:val="left"/>
    </w:pPr>
    <w:rPr>
      <w:rFonts w:ascii="宋体" w:hAnsi="宋体" w:cs="宋体"/>
      <w:kern w:val="0"/>
      <w:sz w:val="24"/>
    </w:rPr>
  </w:style>
  <w:style w:type="paragraph" w:customStyle="1" w:styleId="212">
    <w:name w:val="xl73"/>
    <w:basedOn w:val="1"/>
    <w:uiPriority w:val="0"/>
    <w:pPr>
      <w:widowControl/>
      <w:spacing w:before="100" w:beforeAutospacing="1" w:after="100" w:afterAutospacing="1"/>
      <w:jc w:val="center"/>
      <w:textAlignment w:val="center"/>
    </w:pPr>
    <w:rPr>
      <w:rFonts w:ascii="宋体" w:hAnsi="宋体" w:cs="宋体"/>
      <w:kern w:val="0"/>
      <w:sz w:val="12"/>
      <w:szCs w:val="12"/>
    </w:rPr>
  </w:style>
  <w:style w:type="paragraph" w:customStyle="1" w:styleId="213">
    <w:name w:val="Char"/>
    <w:basedOn w:val="1"/>
    <w:uiPriority w:val="0"/>
    <w:pPr>
      <w:ind w:left="425" w:hanging="425"/>
    </w:pPr>
    <w:rPr>
      <w:sz w:val="24"/>
    </w:rPr>
  </w:style>
  <w:style w:type="paragraph" w:customStyle="1" w:styleId="214">
    <w:name w:val="xl88"/>
    <w:basedOn w:val="1"/>
    <w:uiPriority w:val="0"/>
    <w:pPr>
      <w:widowControl/>
      <w:pBdr>
        <w:top w:val="single" w:color="808080" w:sz="4" w:space="0"/>
        <w:left w:val="single" w:color="808080" w:sz="4" w:space="0"/>
        <w:bottom w:val="single" w:color="808080" w:sz="4" w:space="0"/>
        <w:right w:val="single" w:color="808080" w:sz="4" w:space="0"/>
      </w:pBdr>
      <w:shd w:val="clear" w:color="000000" w:fill="FFFFFF"/>
      <w:spacing w:before="100" w:beforeAutospacing="1" w:after="100" w:afterAutospacing="1"/>
      <w:jc w:val="left"/>
      <w:textAlignment w:val="center"/>
    </w:pPr>
    <w:rPr>
      <w:rFonts w:ascii="宋体" w:hAnsi="宋体" w:cs="宋体"/>
      <w:kern w:val="0"/>
      <w:sz w:val="12"/>
      <w:szCs w:val="12"/>
    </w:rPr>
  </w:style>
  <w:style w:type="paragraph" w:customStyle="1" w:styleId="215">
    <w:name w:val="ÕýÎÄÊ×ÐÐËõ½ø"/>
    <w:basedOn w:val="1"/>
    <w:uiPriority w:val="0"/>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216">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18"/>
      <w:szCs w:val="18"/>
    </w:rPr>
  </w:style>
  <w:style w:type="paragraph" w:customStyle="1" w:styleId="217">
    <w:name w:val="xl65"/>
    <w:basedOn w:val="1"/>
    <w:uiPriority w:val="0"/>
    <w:pPr>
      <w:widowControl/>
      <w:spacing w:before="100" w:beforeAutospacing="1" w:after="100" w:afterAutospacing="1"/>
      <w:jc w:val="left"/>
      <w:textAlignment w:val="center"/>
    </w:pPr>
    <w:rPr>
      <w:rFonts w:ascii="宋体" w:hAnsi="宋体" w:cs="宋体"/>
      <w:kern w:val="0"/>
      <w:sz w:val="24"/>
    </w:rPr>
  </w:style>
  <w:style w:type="paragraph" w:customStyle="1" w:styleId="218">
    <w:name w:val="xl101"/>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12"/>
      <w:szCs w:val="12"/>
    </w:rPr>
  </w:style>
  <w:style w:type="paragraph" w:customStyle="1" w:styleId="219">
    <w:name w:val="xl67"/>
    <w:basedOn w:val="1"/>
    <w:uiPriority w:val="0"/>
    <w:pPr>
      <w:widowControl/>
      <w:pBdr>
        <w:top w:val="single" w:color="808080" w:sz="4" w:space="0"/>
        <w:left w:val="single" w:color="808080" w:sz="4" w:space="0"/>
      </w:pBdr>
      <w:spacing w:before="100" w:beforeAutospacing="1" w:after="100" w:afterAutospacing="1"/>
      <w:jc w:val="left"/>
      <w:textAlignment w:val="center"/>
    </w:pPr>
    <w:rPr>
      <w:rFonts w:ascii="宋体" w:hAnsi="宋体" w:cs="宋体"/>
      <w:b/>
      <w:bCs/>
      <w:kern w:val="0"/>
      <w:sz w:val="12"/>
      <w:szCs w:val="12"/>
    </w:rPr>
  </w:style>
  <w:style w:type="paragraph" w:customStyle="1" w:styleId="220">
    <w:name w:val="xl108"/>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18"/>
      <w:szCs w:val="18"/>
    </w:rPr>
  </w:style>
  <w:style w:type="paragraph" w:customStyle="1" w:styleId="221">
    <w:name w:val="xl77"/>
    <w:basedOn w:val="1"/>
    <w:uiPriority w:val="0"/>
    <w:pPr>
      <w:widowControl/>
      <w:pBdr>
        <w:top w:val="single" w:color="808080" w:sz="4" w:space="0"/>
        <w:left w:val="single" w:color="808080" w:sz="4" w:space="0"/>
        <w:bottom w:val="single" w:color="808080" w:sz="4" w:space="0"/>
        <w:right w:val="single" w:color="808080" w:sz="4" w:space="0"/>
      </w:pBdr>
      <w:spacing w:before="100" w:beforeAutospacing="1" w:after="100" w:afterAutospacing="1"/>
      <w:jc w:val="left"/>
      <w:textAlignment w:val="center"/>
    </w:pPr>
    <w:rPr>
      <w:rFonts w:ascii="宋体" w:hAnsi="宋体" w:cs="宋体"/>
      <w:kern w:val="0"/>
      <w:sz w:val="12"/>
      <w:szCs w:val="12"/>
    </w:rPr>
  </w:style>
  <w:style w:type="paragraph" w:customStyle="1" w:styleId="222">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223">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b/>
      <w:bCs/>
      <w:kern w:val="0"/>
      <w:sz w:val="18"/>
      <w:szCs w:val="18"/>
    </w:rPr>
  </w:style>
  <w:style w:type="paragraph" w:customStyle="1" w:styleId="224">
    <w:name w:val="正文2"/>
    <w:basedOn w:val="1"/>
    <w:uiPriority w:val="0"/>
    <w:pPr>
      <w:spacing w:before="156" w:line="360" w:lineRule="auto"/>
      <w:ind w:firstLine="510" w:firstLineChars="200"/>
    </w:pPr>
    <w:rPr>
      <w:sz w:val="24"/>
    </w:rPr>
  </w:style>
  <w:style w:type="paragraph" w:customStyle="1" w:styleId="225">
    <w:name w:val="正文1"/>
    <w:next w:val="1"/>
    <w:qFormat/>
    <w:uiPriority w:val="0"/>
    <w:pPr>
      <w:widowControl w:val="0"/>
      <w:adjustRightInd w:val="0"/>
      <w:spacing w:line="240" w:lineRule="atLeast"/>
      <w:jc w:val="both"/>
    </w:pPr>
    <w:rPr>
      <w:rFonts w:ascii="宋体"/>
      <w:sz w:val="34"/>
      <w:lang w:val="en-US" w:eastAsia="zh-CN" w:bidi="ar-SA"/>
    </w:rPr>
  </w:style>
  <w:style w:type="paragraph" w:customStyle="1" w:styleId="226">
    <w:name w:val="xl78"/>
    <w:basedOn w:val="1"/>
    <w:uiPriority w:val="0"/>
    <w:pPr>
      <w:widowControl/>
      <w:spacing w:before="100" w:beforeAutospacing="1" w:after="100" w:afterAutospacing="1"/>
      <w:jc w:val="left"/>
      <w:textAlignment w:val="center"/>
    </w:pPr>
    <w:rPr>
      <w:rFonts w:ascii="宋体" w:hAnsi="宋体" w:cs="宋体"/>
      <w:kern w:val="0"/>
      <w:sz w:val="12"/>
      <w:szCs w:val="12"/>
    </w:rPr>
  </w:style>
  <w:style w:type="paragraph" w:customStyle="1" w:styleId="227">
    <w:name w:val="Plain Text"/>
    <w:basedOn w:val="172"/>
    <w:qFormat/>
    <w:uiPriority w:val="0"/>
    <w:pPr>
      <w:widowControl/>
      <w:jc w:val="left"/>
    </w:pPr>
    <w:rPr>
      <w:rFonts w:ascii="宋体" w:hAnsi="Courier New"/>
    </w:rPr>
  </w:style>
  <w:style w:type="paragraph" w:customStyle="1" w:styleId="228">
    <w:name w:val="正文缩进1"/>
    <w:basedOn w:val="1"/>
    <w:uiPriority w:val="0"/>
    <w:pPr>
      <w:ind w:firstLine="420" w:firstLineChars="200"/>
    </w:pPr>
  </w:style>
  <w:style w:type="paragraph" w:customStyle="1" w:styleId="229">
    <w:name w:val="xl97"/>
    <w:basedOn w:val="1"/>
    <w:uiPriority w:val="0"/>
    <w:pPr>
      <w:widowControl/>
      <w:pBdr>
        <w:top w:val="single" w:color="808080" w:sz="4" w:space="0"/>
        <w:left w:val="single" w:color="808080" w:sz="4" w:space="0"/>
        <w:bottom w:val="single" w:color="808080" w:sz="4" w:space="0"/>
        <w:right w:val="single" w:color="808080" w:sz="4" w:space="0"/>
      </w:pBdr>
      <w:shd w:val="clear" w:color="000000" w:fill="92D050"/>
      <w:spacing w:before="100" w:beforeAutospacing="1" w:after="100" w:afterAutospacing="1"/>
      <w:jc w:val="left"/>
      <w:textAlignment w:val="center"/>
    </w:pPr>
    <w:rPr>
      <w:rFonts w:ascii="宋体" w:hAnsi="宋体" w:cs="宋体"/>
      <w:kern w:val="0"/>
      <w:sz w:val="12"/>
      <w:szCs w:val="12"/>
    </w:rPr>
  </w:style>
  <w:style w:type="paragraph" w:customStyle="1" w:styleId="230">
    <w:name w:val="样式 宋体"/>
    <w:basedOn w:val="1"/>
    <w:next w:val="1"/>
    <w:uiPriority w:val="0"/>
    <w:pPr>
      <w:widowControl/>
      <w:spacing w:line="240" w:lineRule="auto"/>
      <w:ind w:firstLine="0" w:firstLineChars="0"/>
    </w:pPr>
    <w:rPr>
      <w:rFonts w:ascii="宋体" w:hAnsi="Times New Roman"/>
      <w:color w:val="000000"/>
      <w:sz w:val="24"/>
      <w:szCs w:val="20"/>
    </w:rPr>
  </w:style>
  <w:style w:type="paragraph" w:customStyle="1" w:styleId="231">
    <w:name w:val="样式 标题 1 + 段后: 0.5 行"/>
    <w:basedOn w:val="2"/>
    <w:uiPriority w:val="0"/>
    <w:pPr>
      <w:tabs>
        <w:tab w:val="left" w:pos="360"/>
      </w:tabs>
      <w:spacing w:before="120" w:after="156" w:afterLines="50" w:line="240" w:lineRule="auto"/>
      <w:jc w:val="left"/>
    </w:pPr>
    <w:rPr>
      <w:rFonts w:ascii="宋体"/>
      <w:bCs/>
      <w:snapToGrid/>
      <w:sz w:val="28"/>
      <w:szCs w:val="20"/>
    </w:rPr>
  </w:style>
  <w:style w:type="paragraph" w:customStyle="1" w:styleId="232">
    <w:name w:val="xl89"/>
    <w:basedOn w:val="1"/>
    <w:uiPriority w:val="0"/>
    <w:pPr>
      <w:widowControl/>
      <w:pBdr>
        <w:top w:val="single" w:color="808080" w:sz="4" w:space="0"/>
        <w:left w:val="single" w:color="808080" w:sz="4" w:space="0"/>
        <w:bottom w:val="single" w:color="808080" w:sz="4" w:space="0"/>
        <w:right w:val="single" w:color="808080" w:sz="4" w:space="0"/>
      </w:pBdr>
      <w:shd w:val="clear" w:color="000000" w:fill="FFFFFF"/>
      <w:spacing w:before="100" w:beforeAutospacing="1" w:after="100" w:afterAutospacing="1"/>
      <w:textAlignment w:val="center"/>
    </w:pPr>
    <w:rPr>
      <w:rFonts w:ascii="宋体" w:hAnsi="宋体" w:cs="宋体"/>
      <w:kern w:val="0"/>
      <w:sz w:val="12"/>
      <w:szCs w:val="12"/>
    </w:rPr>
  </w:style>
  <w:style w:type="paragraph" w:customStyle="1" w:styleId="233">
    <w:name w:val="标题6"/>
    <w:basedOn w:val="1"/>
    <w:next w:val="2"/>
    <w:uiPriority w:val="0"/>
    <w:pPr>
      <w:widowControl/>
      <w:snapToGrid w:val="0"/>
      <w:spacing w:before="50" w:beforeLines="50" w:after="50" w:afterLines="50" w:line="520" w:lineRule="atLeast"/>
      <w:ind w:firstLine="200" w:firstLineChars="200"/>
    </w:pPr>
    <w:rPr>
      <w:rFonts w:cs="Arial"/>
      <w:b/>
      <w:sz w:val="24"/>
    </w:rPr>
  </w:style>
  <w:style w:type="paragraph" w:customStyle="1" w:styleId="234">
    <w:name w:val="xl85"/>
    <w:basedOn w:val="1"/>
    <w:uiPriority w:val="0"/>
    <w:pPr>
      <w:widowControl/>
      <w:pBdr>
        <w:top w:val="single" w:color="808080" w:sz="4" w:space="0"/>
        <w:bottom w:val="single" w:color="808080" w:sz="4" w:space="0"/>
        <w:right w:val="single" w:color="808080" w:sz="4" w:space="0"/>
      </w:pBdr>
      <w:shd w:val="clear" w:color="000000" w:fill="538DD5"/>
      <w:spacing w:before="100" w:beforeAutospacing="1" w:after="100" w:afterAutospacing="1"/>
      <w:textAlignment w:val="center"/>
    </w:pPr>
    <w:rPr>
      <w:rFonts w:ascii="宋体" w:hAnsi="宋体" w:cs="宋体"/>
      <w:kern w:val="0"/>
      <w:sz w:val="12"/>
      <w:szCs w:val="12"/>
    </w:rPr>
  </w:style>
  <w:style w:type="paragraph" w:customStyle="1" w:styleId="235">
    <w:name w:val="xl116"/>
    <w:basedOn w:val="1"/>
    <w:uiPriority w:val="0"/>
    <w:pPr>
      <w:widowControl/>
      <w:pBdr>
        <w:top w:val="single" w:color="auto" w:sz="4" w:space="0"/>
        <w:left w:val="single" w:color="auto" w:sz="8" w:space="0"/>
        <w:bottom w:val="single" w:color="auto" w:sz="4" w:space="0"/>
        <w:right w:val="single" w:color="auto" w:sz="4" w:space="0"/>
      </w:pBdr>
      <w:shd w:val="clear" w:color="000000" w:fill="FF9900"/>
      <w:spacing w:before="100" w:beforeAutospacing="1" w:after="100" w:afterAutospacing="1"/>
      <w:jc w:val="center"/>
      <w:textAlignment w:val="center"/>
    </w:pPr>
    <w:rPr>
      <w:rFonts w:ascii="仿宋_GB2312" w:hAnsi="宋体" w:eastAsia="仿宋_GB2312" w:cs="宋体"/>
      <w:b/>
      <w:bCs/>
      <w:color w:val="000000"/>
      <w:kern w:val="0"/>
      <w:sz w:val="20"/>
      <w:szCs w:val="20"/>
    </w:rPr>
  </w:style>
  <w:style w:type="paragraph" w:customStyle="1" w:styleId="236">
    <w:name w:val="Proposals body"/>
    <w:basedOn w:val="1"/>
    <w:next w:val="1"/>
    <w:uiPriority w:val="0"/>
    <w:pPr>
      <w:widowControl/>
      <w:spacing w:line="360" w:lineRule="auto"/>
      <w:jc w:val="left"/>
    </w:pPr>
    <w:rPr>
      <w:rFonts w:ascii="宋体"/>
      <w:snapToGrid/>
      <w:color w:val="000000"/>
      <w:kern w:val="0"/>
      <w:sz w:val="24"/>
      <w:szCs w:val="20"/>
    </w:rPr>
  </w:style>
  <w:style w:type="paragraph" w:customStyle="1" w:styleId="237">
    <w:name w:val="xl96"/>
    <w:basedOn w:val="1"/>
    <w:uiPriority w:val="0"/>
    <w:pPr>
      <w:widowControl/>
      <w:pBdr>
        <w:top w:val="single" w:color="808080" w:sz="4" w:space="0"/>
        <w:left w:val="single" w:color="808080" w:sz="4" w:space="0"/>
        <w:bottom w:val="single" w:color="808080" w:sz="4" w:space="0"/>
        <w:right w:val="single" w:color="808080" w:sz="4" w:space="0"/>
      </w:pBdr>
      <w:shd w:val="clear" w:color="000000" w:fill="92D050"/>
      <w:spacing w:before="100" w:beforeAutospacing="1" w:after="100" w:afterAutospacing="1"/>
      <w:textAlignment w:val="center"/>
    </w:pPr>
    <w:rPr>
      <w:rFonts w:ascii="宋体" w:hAnsi="宋体" w:cs="宋体"/>
      <w:kern w:val="0"/>
      <w:sz w:val="12"/>
      <w:szCs w:val="12"/>
    </w:rPr>
  </w:style>
  <w:style w:type="paragraph" w:customStyle="1" w:styleId="238">
    <w:name w:val="font7"/>
    <w:basedOn w:val="1"/>
    <w:uiPriority w:val="0"/>
    <w:pPr>
      <w:widowControl/>
      <w:spacing w:before="100" w:beforeAutospacing="1" w:after="100" w:afterAutospacing="1"/>
      <w:jc w:val="left"/>
    </w:pPr>
    <w:rPr>
      <w:rFonts w:ascii="仿宋_GB2312" w:hAnsi="宋体" w:eastAsia="仿宋_GB2312" w:cs="宋体"/>
      <w:kern w:val="0"/>
      <w:sz w:val="20"/>
      <w:szCs w:val="20"/>
    </w:rPr>
  </w:style>
  <w:style w:type="paragraph" w:customStyle="1" w:styleId="239">
    <w:name w:val="Char Char Char2"/>
    <w:basedOn w:val="1"/>
    <w:uiPriority w:val="0"/>
    <w:rPr>
      <w:szCs w:val="20"/>
    </w:rPr>
  </w:style>
  <w:style w:type="paragraph" w:customStyle="1" w:styleId="240">
    <w:name w:val="xl100"/>
    <w:basedOn w:val="1"/>
    <w:uiPriority w:val="0"/>
    <w:pPr>
      <w:widowControl/>
      <w:pBdr>
        <w:top w:val="single" w:color="808080" w:sz="4" w:space="0"/>
        <w:left w:val="single" w:color="808080" w:sz="4" w:space="0"/>
        <w:bottom w:val="single" w:color="808080" w:sz="4" w:space="0"/>
        <w:right w:val="single" w:color="808080" w:sz="4" w:space="0"/>
      </w:pBdr>
      <w:shd w:val="clear" w:color="000000" w:fill="92D050"/>
      <w:spacing w:before="100" w:beforeAutospacing="1" w:after="100" w:afterAutospacing="1"/>
      <w:jc w:val="left"/>
      <w:textAlignment w:val="center"/>
    </w:pPr>
    <w:rPr>
      <w:rFonts w:ascii="宋体" w:hAnsi="宋体" w:cs="宋体"/>
      <w:kern w:val="0"/>
      <w:sz w:val="12"/>
      <w:szCs w:val="12"/>
    </w:rPr>
  </w:style>
  <w:style w:type="paragraph" w:customStyle="1" w:styleId="241">
    <w:name w:val="xl81"/>
    <w:basedOn w:val="1"/>
    <w:uiPriority w:val="0"/>
    <w:pPr>
      <w:widowControl/>
      <w:pBdr>
        <w:top w:val="single" w:color="808080" w:sz="4" w:space="0"/>
        <w:left w:val="single" w:color="808080" w:sz="4" w:space="0"/>
        <w:bottom w:val="single" w:color="808080" w:sz="4" w:space="0"/>
        <w:right w:val="single" w:color="808080" w:sz="4" w:space="0"/>
      </w:pBdr>
      <w:shd w:val="clear" w:color="000000" w:fill="538DD5"/>
      <w:spacing w:before="100" w:beforeAutospacing="1" w:after="100" w:afterAutospacing="1"/>
      <w:jc w:val="center"/>
      <w:textAlignment w:val="center"/>
    </w:pPr>
    <w:rPr>
      <w:rFonts w:ascii="宋体" w:hAnsi="宋体" w:cs="宋体"/>
      <w:kern w:val="0"/>
      <w:sz w:val="12"/>
      <w:szCs w:val="1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header3.xml" Type="http://schemas.openxmlformats.org/officeDocument/2006/relationships/header"/><Relationship Id="rId7" Target="footer2.xml" Type="http://schemas.openxmlformats.org/officeDocument/2006/relationships/footer"/><Relationship Id="rId8" Target="theme/theme1.xml" Type="http://schemas.openxmlformats.org/officeDocument/2006/relationships/theme"/><Relationship Id="rId9" Target="../customXml/item1.xml" Type="http://schemas.openxmlformats.org/officeDocument/2006/relationships/customXml"/></Relationships>
</file>

<file path=word/_rels/settings.xml.rels><?xml version="1.0" encoding="UTF-8" standalone="yes"?><Relationships xmlns="http://schemas.openxmlformats.org/package/2006/relationships"><Relationship Id="rId1" Target="file:///D:/Desktop/&#25918;&#23556;&#26426;&#25151;&#36752;&#23556;&#38450;&#25252;&#35774;&#26045;&#25307;&#26631;&#25991;&#20214;.dot" TargetMode="External" Type="http://schemas.openxmlformats.org/officeDocument/2006/relationships/attachedTemplat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放射机房辐射防护设施招标文件</Template>
  <Company>zjtjyj</Company>
  <Pages>51</Pages>
  <Words>4928</Words>
  <Characters>28096</Characters>
  <Lines>234</Lines>
  <Paragraphs>65</Paragraphs>
  <TotalTime>23</TotalTime>
  <ScaleCrop>false</ScaleCrop>
  <LinksUpToDate>false</LinksUpToDate>
  <CharactersWithSpaces>32959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2020-08-06T08:12:00Z</dcterms:created>
  <dc:creator>chobit</dc:creator>
  <cp:lastModifiedBy>WPS_1701756769</cp:lastModifiedBy>
  <cp:lastPrinted>2020-11-26T04:53:40Z</cp:lastPrinted>
  <dcterms:modified xsi:type="dcterms:W3CDTF">2024-02-22T09:18:04Z</dcterms:modified>
  <cp:revision>11</cp:revision>
  <dc:title>第一章  投标邀请公告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61C03BC4B22E48B196124640FBBFC22C_13</vt:lpwstr>
  </property>
</Properties>
</file>