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仿宋" w:hAnsi="仿宋" w:eastAsia="仿宋" w:cs="仿宋"/>
          <w:b/>
          <w:color w:val="auto"/>
          <w:sz w:val="52"/>
          <w:szCs w:val="52"/>
          <w:highlight w:val="none"/>
        </w:rPr>
      </w:pPr>
      <w:r>
        <w:rPr>
          <w:rFonts w:hint="eastAsia" w:ascii="仿宋" w:hAnsi="仿宋" w:eastAsia="仿宋" w:cs="仿宋"/>
          <w:b/>
          <w:color w:val="auto"/>
          <w:sz w:val="52"/>
          <w:szCs w:val="52"/>
          <w:highlight w:val="none"/>
          <w:lang w:val="en-US" w:eastAsia="zh-CN"/>
        </w:rPr>
        <w:t>嵊州市中医院中药饮片及相关伴随服务采购项目</w:t>
      </w:r>
    </w:p>
    <w:p>
      <w:pPr>
        <w:jc w:val="center"/>
        <w:rPr>
          <w:rFonts w:hint="eastAsia" w:ascii="仿宋" w:hAnsi="仿宋" w:eastAsia="仿宋" w:cs="仿宋"/>
          <w:b/>
          <w:color w:val="auto"/>
          <w:sz w:val="28"/>
          <w:szCs w:val="28"/>
          <w:highlight w:val="none"/>
        </w:rPr>
      </w:pPr>
    </w:p>
    <w:p>
      <w:pPr>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招标编号:SXWH2023-8-1</w:t>
      </w: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pPr>
        <w:pStyle w:val="2"/>
        <w:rPr>
          <w:rFonts w:hint="eastAsia"/>
          <w:color w:val="auto"/>
          <w:highlight w:val="none"/>
        </w:rPr>
      </w:pPr>
    </w:p>
    <w:tbl>
      <w:tblPr>
        <w:tblStyle w:val="64"/>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43" w:hRule="atLeast"/>
          <w:jc w:val="center"/>
        </w:trPr>
        <w:tc>
          <w:tcPr>
            <w:tcW w:w="2356" w:type="dxa"/>
          </w:tcPr>
          <w:p>
            <w:pPr>
              <w:spacing w:after="100" w:afterAutospacing="1" w:line="44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pacing w:val="93"/>
                <w:kern w:val="0"/>
                <w:sz w:val="28"/>
                <w:szCs w:val="28"/>
                <w:highlight w:val="none"/>
              </w:rPr>
              <w:t>采购单</w:t>
            </w:r>
            <w:r>
              <w:rPr>
                <w:rFonts w:hint="eastAsia" w:ascii="仿宋" w:hAnsi="仿宋" w:eastAsia="仿宋" w:cs="仿宋"/>
                <w:b/>
                <w:bCs/>
                <w:color w:val="auto"/>
                <w:spacing w:val="1"/>
                <w:kern w:val="0"/>
                <w:sz w:val="28"/>
                <w:szCs w:val="28"/>
                <w:highlight w:val="none"/>
              </w:rPr>
              <w:t>位</w:t>
            </w:r>
            <w:r>
              <w:rPr>
                <w:rFonts w:hint="eastAsia" w:ascii="仿宋" w:hAnsi="仿宋" w:eastAsia="仿宋" w:cs="仿宋"/>
                <w:b/>
                <w:bCs/>
                <w:color w:val="auto"/>
                <w:sz w:val="28"/>
                <w:szCs w:val="28"/>
                <w:highlight w:val="none"/>
              </w:rPr>
              <w:t>：</w:t>
            </w:r>
          </w:p>
        </w:tc>
        <w:tc>
          <w:tcPr>
            <w:tcW w:w="5445" w:type="dxa"/>
            <w:vAlign w:val="center"/>
          </w:tcPr>
          <w:p>
            <w:pPr>
              <w:spacing w:line="320" w:lineRule="exact"/>
              <w:outlineLvl w:val="0"/>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嵊州市中医院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pacing w:val="0"/>
                <w:w w:val="100"/>
                <w:kern w:val="0"/>
                <w:sz w:val="28"/>
                <w:szCs w:val="28"/>
                <w:highlight w:val="none"/>
                <w:fitText w:val="1680" w:id="190345957"/>
              </w:rPr>
              <w:t>采购代理机构</w:t>
            </w:r>
            <w:r>
              <w:rPr>
                <w:rFonts w:hint="eastAsia" w:ascii="仿宋" w:hAnsi="仿宋" w:eastAsia="仿宋" w:cs="仿宋"/>
                <w:b/>
                <w:bCs/>
                <w:color w:val="auto"/>
                <w:sz w:val="28"/>
                <w:szCs w:val="28"/>
                <w:highlight w:val="none"/>
              </w:rPr>
              <w:t>：</w:t>
            </w:r>
          </w:p>
        </w:tc>
        <w:tc>
          <w:tcPr>
            <w:tcW w:w="5445" w:type="dxa"/>
          </w:tcPr>
          <w:p>
            <w:pPr>
              <w:spacing w:after="100" w:afterAutospacing="1" w:line="440" w:lineRule="exact"/>
              <w:rPr>
                <w:rFonts w:hint="default"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lang w:val="en-US" w:eastAsia="zh-CN"/>
              </w:rPr>
              <w:t>绍兴市文汇项目管理有限公司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pacing w:val="93"/>
                <w:kern w:val="0"/>
                <w:sz w:val="28"/>
                <w:szCs w:val="28"/>
                <w:highlight w:val="none"/>
                <w:fitText w:val="1680" w:id="1"/>
              </w:rPr>
              <w:t>监督单</w:t>
            </w:r>
            <w:r>
              <w:rPr>
                <w:rFonts w:hint="eastAsia" w:ascii="仿宋" w:hAnsi="仿宋" w:eastAsia="仿宋" w:cs="仿宋"/>
                <w:b/>
                <w:bCs/>
                <w:color w:val="auto"/>
                <w:spacing w:val="1"/>
                <w:kern w:val="0"/>
                <w:sz w:val="28"/>
                <w:szCs w:val="28"/>
                <w:highlight w:val="none"/>
                <w:fitText w:val="1680" w:id="1"/>
              </w:rPr>
              <w:t>位</w:t>
            </w:r>
            <w:r>
              <w:rPr>
                <w:rFonts w:hint="eastAsia" w:ascii="仿宋" w:hAnsi="仿宋" w:eastAsia="仿宋" w:cs="仿宋"/>
                <w:b/>
                <w:bCs/>
                <w:color w:val="auto"/>
                <w:sz w:val="28"/>
                <w:szCs w:val="28"/>
                <w:highlight w:val="none"/>
              </w:rPr>
              <w:t>：</w:t>
            </w:r>
          </w:p>
        </w:tc>
        <w:tc>
          <w:tcPr>
            <w:tcW w:w="5445" w:type="dxa"/>
          </w:tcPr>
          <w:p>
            <w:pPr>
              <w:spacing w:after="100" w:afterAutospacing="1" w:line="440" w:lineRule="exact"/>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val="en-US" w:eastAsia="zh-CN"/>
              </w:rPr>
              <w:t>嵊州市采购监管</w:t>
            </w:r>
          </w:p>
        </w:tc>
      </w:tr>
      <w:tr>
        <w:tblPrEx>
          <w:tblCellMar>
            <w:top w:w="0" w:type="dxa"/>
            <w:left w:w="108" w:type="dxa"/>
            <w:bottom w:w="0" w:type="dxa"/>
            <w:right w:w="108" w:type="dxa"/>
          </w:tblCellMar>
        </w:tblPrEx>
        <w:trPr>
          <w:trHeight w:val="333" w:hRule="atLeast"/>
          <w:jc w:val="center"/>
        </w:trPr>
        <w:tc>
          <w:tcPr>
            <w:tcW w:w="7801" w:type="dxa"/>
            <w:gridSpan w:val="2"/>
          </w:tcPr>
          <w:p>
            <w:pPr>
              <w:spacing w:after="100" w:afterAutospacing="1" w:line="440" w:lineRule="exact"/>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二○二</w:t>
            </w:r>
            <w:r>
              <w:rPr>
                <w:rFonts w:hint="eastAsia" w:ascii="仿宋" w:hAnsi="仿宋" w:eastAsia="仿宋" w:cs="仿宋"/>
                <w:b/>
                <w:bCs/>
                <w:color w:val="auto"/>
                <w:sz w:val="28"/>
                <w:szCs w:val="28"/>
                <w:highlight w:val="none"/>
                <w:lang w:val="en-US" w:eastAsia="zh-CN"/>
              </w:rPr>
              <w:t>三</w:t>
            </w:r>
            <w:r>
              <w:rPr>
                <w:rFonts w:hint="eastAsia" w:ascii="仿宋" w:hAnsi="仿宋" w:eastAsia="仿宋" w:cs="仿宋"/>
                <w:b/>
                <w:bCs/>
                <w:color w:val="auto"/>
                <w:sz w:val="28"/>
                <w:szCs w:val="28"/>
                <w:highlight w:val="none"/>
              </w:rPr>
              <w:t>年</w:t>
            </w:r>
            <w:r>
              <w:rPr>
                <w:rFonts w:hint="eastAsia" w:ascii="仿宋" w:hAnsi="仿宋" w:eastAsia="仿宋" w:cs="仿宋"/>
                <w:b/>
                <w:bCs/>
                <w:color w:val="auto"/>
                <w:sz w:val="28"/>
                <w:szCs w:val="28"/>
                <w:highlight w:val="none"/>
                <w:lang w:val="en-US" w:eastAsia="zh-CN"/>
              </w:rPr>
              <w:t>八</w:t>
            </w:r>
            <w:r>
              <w:rPr>
                <w:rFonts w:hint="eastAsia" w:ascii="仿宋" w:hAnsi="仿宋" w:eastAsia="仿宋" w:cs="仿宋"/>
                <w:b/>
                <w:bCs/>
                <w:color w:val="auto"/>
                <w:sz w:val="28"/>
                <w:szCs w:val="28"/>
                <w:highlight w:val="none"/>
              </w:rPr>
              <w:t>月</w:t>
            </w:r>
          </w:p>
        </w:tc>
      </w:tr>
    </w:tbl>
    <w:p>
      <w:pPr>
        <w:pStyle w:val="636"/>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pPr>
        <w:pStyle w:val="636"/>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ind w:firstLine="549" w:firstLineChars="229"/>
        <w:rPr>
          <w:rFonts w:hint="eastAsia" w:ascii="仿宋" w:hAnsi="仿宋" w:eastAsia="仿宋" w:cs="仿宋"/>
          <w:color w:val="auto"/>
          <w:sz w:val="24"/>
          <w:highlight w:val="none"/>
        </w:rPr>
      </w:pPr>
    </w:p>
    <w:p>
      <w:pPr>
        <w:spacing w:line="360" w:lineRule="auto"/>
        <w:rPr>
          <w:rFonts w:hint="eastAsia" w:ascii="仿宋" w:hAnsi="仿宋" w:eastAsia="仿宋" w:cs="仿宋"/>
          <w:color w:val="auto"/>
          <w:sz w:val="24"/>
          <w:highlight w:val="none"/>
        </w:rPr>
      </w:pPr>
    </w:p>
    <w:bookmarkEnd w:id="1"/>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pPr>
        <w:keepNext w:val="0"/>
        <w:keepLines w:val="0"/>
        <w:pageBreakBefore w:val="0"/>
        <w:widowControl w:val="0"/>
        <w:kinsoku/>
        <w:wordWrap/>
        <w:overflowPunct/>
        <w:topLinePunct w:val="0"/>
        <w:autoSpaceDE/>
        <w:autoSpaceDN/>
        <w:bidi w:val="0"/>
        <w:adjustRightInd/>
        <w:snapToGrid/>
        <w:spacing w:line="360" w:lineRule="auto"/>
        <w:jc w:val="both"/>
        <w:textAlignment w:val="auto"/>
        <w:outlineLvl w:val="0"/>
        <w:rPr>
          <w:rFonts w:hint="eastAsia" w:ascii="仿宋" w:hAnsi="仿宋" w:eastAsia="仿宋" w:cs="仿宋"/>
          <w:b/>
          <w:color w:val="auto"/>
          <w:sz w:val="36"/>
          <w:szCs w:val="20"/>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嵊州市中医院中药饮片及相关伴随服务采购项目</w:t>
      </w:r>
      <w:r>
        <w:rPr>
          <w:rFonts w:hint="eastAsia" w:ascii="仿宋" w:hAnsi="仿宋" w:eastAsia="仿宋" w:cs="仿宋"/>
          <w:color w:val="auto"/>
          <w:sz w:val="24"/>
          <w:highlight w:val="none"/>
        </w:rPr>
        <w:t>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8"/>
          <w:rFonts w:hint="eastAsia" w:ascii="仿宋" w:hAnsi="仿宋" w:eastAsia="仿宋" w:cs="仿宋"/>
          <w:snapToGrid/>
          <w:color w:val="auto"/>
          <w:kern w:val="2"/>
          <w:sz w:val="24"/>
          <w:szCs w:val="24"/>
          <w:highlight w:val="none"/>
        </w:rPr>
        <w:t>https://www.zcygov.cn/）获取（下载）招标文件，并于202</w:t>
      </w:r>
      <w:r>
        <w:rPr>
          <w:rStyle w:val="78"/>
          <w:rFonts w:hint="eastAsia" w:ascii="仿宋" w:hAnsi="仿宋" w:eastAsia="仿宋" w:cs="仿宋"/>
          <w:snapToGrid/>
          <w:color w:val="auto"/>
          <w:kern w:val="2"/>
          <w:sz w:val="24"/>
          <w:szCs w:val="24"/>
          <w:highlight w:val="none"/>
          <w:lang w:val="en-US" w:eastAsia="zh-CN"/>
        </w:rPr>
        <w:t>3</w:t>
      </w:r>
      <w:r>
        <w:rPr>
          <w:rStyle w:val="78"/>
          <w:rFonts w:hint="eastAsia" w:ascii="仿宋" w:hAnsi="仿宋" w:eastAsia="仿宋" w:cs="仿宋"/>
          <w:snapToGrid/>
          <w:color w:val="auto"/>
          <w:kern w:val="2"/>
          <w:sz w:val="24"/>
          <w:szCs w:val="24"/>
          <w:highlight w:val="none"/>
        </w:rPr>
        <w:t>年</w:t>
      </w:r>
      <w:r>
        <w:rPr>
          <w:rStyle w:val="78"/>
          <w:rFonts w:hint="eastAsia" w:ascii="仿宋" w:hAnsi="仿宋" w:eastAsia="仿宋" w:cs="仿宋"/>
          <w:snapToGrid/>
          <w:color w:val="auto"/>
          <w:kern w:val="2"/>
          <w:sz w:val="24"/>
          <w:szCs w:val="24"/>
          <w:highlight w:val="none"/>
          <w:lang w:val="en-US" w:eastAsia="zh-CN"/>
        </w:rPr>
        <w:t>10</w:t>
      </w:r>
      <w:r>
        <w:rPr>
          <w:rStyle w:val="78"/>
          <w:rFonts w:hint="eastAsia" w:ascii="仿宋" w:hAnsi="仿宋" w:eastAsia="仿宋" w:cs="仿宋"/>
          <w:snapToGrid/>
          <w:color w:val="auto"/>
          <w:kern w:val="2"/>
          <w:sz w:val="24"/>
          <w:szCs w:val="24"/>
          <w:highlight w:val="none"/>
        </w:rPr>
        <w:t>月</w:t>
      </w:r>
      <w:r>
        <w:rPr>
          <w:rStyle w:val="78"/>
          <w:rFonts w:hint="eastAsia" w:ascii="仿宋" w:hAnsi="仿宋" w:eastAsia="仿宋" w:cs="仿宋"/>
          <w:snapToGrid/>
          <w:color w:val="auto"/>
          <w:kern w:val="2"/>
          <w:sz w:val="24"/>
          <w:szCs w:val="24"/>
          <w:highlight w:val="none"/>
          <w:lang w:val="en-US" w:eastAsia="zh-CN"/>
        </w:rPr>
        <w:t>19</w:t>
      </w:r>
      <w:r>
        <w:rPr>
          <w:rStyle w:val="78"/>
          <w:rFonts w:hint="eastAsia" w:ascii="仿宋" w:hAnsi="仿宋" w:eastAsia="仿宋" w:cs="仿宋"/>
          <w:snapToGrid/>
          <w:color w:val="auto"/>
          <w:kern w:val="2"/>
          <w:sz w:val="24"/>
          <w:szCs w:val="24"/>
          <w:highlight w:val="none"/>
        </w:rPr>
        <w:t>日</w:t>
      </w:r>
      <w:r>
        <w:rPr>
          <w:rStyle w:val="78"/>
          <w:rFonts w:hint="eastAsia" w:ascii="仿宋" w:hAnsi="仿宋" w:eastAsia="仿宋" w:cs="仿宋"/>
          <w:snapToGrid/>
          <w:color w:val="auto"/>
          <w:kern w:val="2"/>
          <w:sz w:val="24"/>
          <w:szCs w:val="24"/>
          <w:highlight w:val="none"/>
          <w:lang w:val="en-US" w:eastAsia="zh-CN"/>
        </w:rPr>
        <w:t>09</w:t>
      </w:r>
      <w:r>
        <w:rPr>
          <w:rStyle w:val="78"/>
          <w:rFonts w:hint="eastAsia" w:ascii="仿宋" w:hAnsi="仿宋" w:eastAsia="仿宋" w:cs="仿宋"/>
          <w:snapToGrid/>
          <w:color w:val="auto"/>
          <w:kern w:val="2"/>
          <w:sz w:val="24"/>
          <w:szCs w:val="24"/>
          <w:highlight w:val="none"/>
        </w:rPr>
        <w:t>点</w:t>
      </w:r>
      <w:r>
        <w:rPr>
          <w:rStyle w:val="78"/>
          <w:rFonts w:hint="eastAsia" w:ascii="仿宋" w:hAnsi="仿宋" w:eastAsia="仿宋" w:cs="仿宋"/>
          <w:snapToGrid/>
          <w:color w:val="auto"/>
          <w:kern w:val="2"/>
          <w:sz w:val="24"/>
          <w:szCs w:val="24"/>
          <w:highlight w:val="none"/>
          <w:lang w:val="en-US" w:eastAsia="zh-CN"/>
        </w:rPr>
        <w:t>00</w:t>
      </w:r>
      <w:r>
        <w:rPr>
          <w:rStyle w:val="78"/>
          <w:rFonts w:hint="eastAsia" w:ascii="仿宋" w:hAnsi="仿宋" w:eastAsia="仿宋" w:cs="仿宋"/>
          <w:snapToGrid/>
          <w:color w:val="auto"/>
          <w:kern w:val="2"/>
          <w:sz w:val="24"/>
          <w:szCs w:val="24"/>
          <w:highlight w:val="none"/>
        </w:rPr>
        <w:t>分</w:t>
      </w:r>
      <w:r>
        <w:rPr>
          <w:rStyle w:val="78"/>
          <w:rFonts w:hint="eastAsia" w:ascii="仿宋" w:hAnsi="仿宋" w:eastAsia="仿宋" w:cs="仿宋"/>
          <w:bCs/>
          <w:snapToGrid/>
          <w:color w:val="auto"/>
          <w:kern w:val="2"/>
          <w:sz w:val="24"/>
          <w:szCs w:val="24"/>
          <w:highlight w:val="none"/>
        </w:rPr>
        <w:t>00秒</w:t>
      </w:r>
      <w:r>
        <w:rPr>
          <w:rStyle w:val="78"/>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项目编号：</w:t>
      </w:r>
      <w:r>
        <w:rPr>
          <w:rFonts w:hint="eastAsia" w:ascii="仿宋" w:hAnsi="仿宋" w:eastAsia="仿宋" w:cs="仿宋"/>
          <w:b w:val="0"/>
          <w:bCs/>
          <w:color w:val="auto"/>
          <w:sz w:val="24"/>
          <w:highlight w:val="none"/>
        </w:rPr>
        <w:t>SXWH2023-8-1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val="0"/>
          <w:bCs/>
          <w:color w:val="auto"/>
          <w:sz w:val="24"/>
          <w:highlight w:val="none"/>
          <w:lang w:eastAsia="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项目名称：</w:t>
      </w:r>
      <w:r>
        <w:rPr>
          <w:rFonts w:hint="eastAsia" w:ascii="仿宋" w:hAnsi="仿宋" w:eastAsia="仿宋" w:cs="仿宋"/>
          <w:b w:val="0"/>
          <w:bCs/>
          <w:color w:val="auto"/>
          <w:sz w:val="24"/>
          <w:highlight w:val="none"/>
          <w:lang w:eastAsia="zh-CN"/>
        </w:rPr>
        <w:t>嵊州市中医院中药饮片及相关伴随服务采购项目</w:t>
      </w:r>
      <w:r>
        <w:rPr>
          <w:rFonts w:hint="eastAsia" w:ascii="仿宋" w:hAnsi="仿宋" w:eastAsia="仿宋" w:cs="仿宋"/>
          <w:b w:val="0"/>
          <w:bCs/>
          <w:color w:val="auto"/>
          <w:sz w:val="24"/>
          <w:highlight w:val="none"/>
          <w:lang w:val="en-US" w:eastAsia="zh-CN"/>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预算金额：</w:t>
      </w:r>
      <w:r>
        <w:rPr>
          <w:rFonts w:hint="eastAsia" w:ascii="仿宋" w:hAnsi="仿宋" w:eastAsia="仿宋" w:cs="仿宋"/>
          <w:b w:val="0"/>
          <w:bCs/>
          <w:color w:val="auto"/>
          <w:sz w:val="24"/>
          <w:highlight w:val="none"/>
          <w:lang w:val="en-US" w:eastAsia="zh-CN"/>
        </w:rPr>
        <w:t>6000万元</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最高限价：</w:t>
      </w:r>
      <w:r>
        <w:rPr>
          <w:rFonts w:hint="eastAsia" w:ascii="仿宋" w:hAnsi="仿宋" w:eastAsia="仿宋" w:cs="仿宋"/>
          <w:b w:val="0"/>
          <w:bCs/>
          <w:color w:val="auto"/>
          <w:sz w:val="24"/>
          <w:highlight w:val="none"/>
          <w:lang w:val="en-US" w:eastAsia="zh-CN"/>
        </w:rPr>
        <w:t>绍兴市医疗保障协会等联委</w:t>
      </w:r>
      <w:r>
        <w:rPr>
          <w:rFonts w:hint="eastAsia" w:ascii="仿宋" w:hAnsi="仿宋" w:eastAsia="仿宋" w:cs="仿宋"/>
          <w:b w:val="0"/>
          <w:bCs/>
          <w:color w:val="auto"/>
          <w:sz w:val="24"/>
          <w:highlight w:val="none"/>
        </w:rPr>
        <w:t xml:space="preserve">公布的中药饮片价格最新信息价为取费基数 </w:t>
      </w:r>
    </w:p>
    <w:p>
      <w:pPr>
        <w:pageBreakBefore w:val="0"/>
        <w:widowControl w:val="0"/>
        <w:kinsoku/>
        <w:wordWrap/>
        <w:overflowPunct/>
        <w:topLinePunct w:val="0"/>
        <w:autoSpaceDE/>
        <w:autoSpaceDN/>
        <w:bidi w:val="0"/>
        <w:spacing w:line="360" w:lineRule="auto"/>
        <w:ind w:left="0" w:firstLine="482"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采购需求：</w:t>
      </w:r>
      <w:r>
        <w:rPr>
          <w:rFonts w:hint="eastAsia" w:ascii="仿宋" w:hAnsi="仿宋" w:eastAsia="仿宋" w:cs="仿宋"/>
          <w:b w:val="0"/>
          <w:bCs/>
          <w:color w:val="auto"/>
          <w:sz w:val="24"/>
          <w:highlight w:val="none"/>
          <w:lang w:val="en-US" w:eastAsia="zh-CN"/>
        </w:rPr>
        <w:t>详见第三部分招标项目范围及要求</w:t>
      </w:r>
    </w:p>
    <w:tbl>
      <w:tblPr>
        <w:tblStyle w:val="64"/>
        <w:tblW w:w="8980"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2"/>
        <w:gridCol w:w="4215"/>
        <w:gridCol w:w="810"/>
        <w:gridCol w:w="1662"/>
        <w:gridCol w:w="15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trPr>
        <w:tc>
          <w:tcPr>
            <w:tcW w:w="752"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标项</w:t>
            </w:r>
          </w:p>
        </w:tc>
        <w:tc>
          <w:tcPr>
            <w:tcW w:w="4215" w:type="dxa"/>
            <w:noWrap w:val="0"/>
            <w:vAlign w:val="center"/>
          </w:tcPr>
          <w:p>
            <w:pPr>
              <w:pStyle w:val="6"/>
              <w:spacing w:line="36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810" w:type="dxa"/>
            <w:noWrap w:val="0"/>
            <w:vAlign w:val="center"/>
          </w:tcPr>
          <w:p>
            <w:pPr>
              <w:pStyle w:val="6"/>
              <w:spacing w:line="360" w:lineRule="auto"/>
              <w:ind w:firstLine="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服务期限</w:t>
            </w:r>
          </w:p>
        </w:tc>
        <w:tc>
          <w:tcPr>
            <w:tcW w:w="1662"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w:t>
            </w:r>
          </w:p>
        </w:tc>
        <w:tc>
          <w:tcPr>
            <w:tcW w:w="1541"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752" w:type="dxa"/>
            <w:noWrap w:val="0"/>
            <w:vAlign w:val="center"/>
          </w:tcPr>
          <w:p>
            <w:pPr>
              <w:pStyle w:val="6"/>
              <w:spacing w:line="36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4215"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1</w:t>
            </w:r>
          </w:p>
        </w:tc>
        <w:tc>
          <w:tcPr>
            <w:tcW w:w="810"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2年</w:t>
            </w:r>
          </w:p>
        </w:tc>
        <w:tc>
          <w:tcPr>
            <w:tcW w:w="1662"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2400万元</w:t>
            </w:r>
          </w:p>
        </w:tc>
        <w:tc>
          <w:tcPr>
            <w:tcW w:w="1541" w:type="dxa"/>
            <w:vMerge w:val="restart"/>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本项目预算金额为暂定预算，实际金额按采购金额为准。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752"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4215" w:type="dxa"/>
            <w:noWrap w:val="0"/>
            <w:vAlign w:val="center"/>
          </w:tcPr>
          <w:p>
            <w:pPr>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2</w:t>
            </w:r>
          </w:p>
        </w:tc>
        <w:tc>
          <w:tcPr>
            <w:tcW w:w="810" w:type="dxa"/>
            <w:noWrap w:val="0"/>
            <w:vAlign w:val="center"/>
          </w:tcPr>
          <w:p>
            <w:pPr>
              <w:spacing w:line="360" w:lineRule="auto"/>
              <w:ind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662"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1800万元</w:t>
            </w:r>
          </w:p>
        </w:tc>
        <w:tc>
          <w:tcPr>
            <w:tcW w:w="1541" w:type="dxa"/>
            <w:vMerge w:val="continue"/>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752"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4215" w:type="dxa"/>
            <w:noWrap w:val="0"/>
            <w:vAlign w:val="center"/>
          </w:tcPr>
          <w:p>
            <w:pPr>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3</w:t>
            </w:r>
          </w:p>
        </w:tc>
        <w:tc>
          <w:tcPr>
            <w:tcW w:w="810" w:type="dxa"/>
            <w:noWrap w:val="0"/>
            <w:vAlign w:val="center"/>
          </w:tcPr>
          <w:p>
            <w:pPr>
              <w:spacing w:line="360" w:lineRule="auto"/>
              <w:ind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662"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1800万元</w:t>
            </w:r>
          </w:p>
        </w:tc>
        <w:tc>
          <w:tcPr>
            <w:tcW w:w="1541" w:type="dxa"/>
            <w:vMerge w:val="continue"/>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8980" w:type="dxa"/>
            <w:gridSpan w:val="5"/>
            <w:noWrap w:val="0"/>
            <w:vAlign w:val="center"/>
          </w:tcPr>
          <w:p>
            <w:pPr>
              <w:pStyle w:val="24"/>
              <w:keepNext w:val="0"/>
              <w:keepLines w:val="0"/>
              <w:pageBreakBefore w:val="0"/>
              <w:kinsoku/>
              <w:wordWrap/>
              <w:overflowPunct/>
              <w:topLinePunct w:val="0"/>
              <w:bidi w:val="0"/>
              <w:spacing w:after="0"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注：采购方使用的所有中药饮片（详见药品目录，高档饮片</w:t>
            </w:r>
            <w:r>
              <w:rPr>
                <w:rFonts w:hint="eastAsia" w:ascii="仿宋" w:hAnsi="仿宋" w:eastAsia="仿宋" w:cs="仿宋"/>
                <w:color w:val="auto"/>
                <w:sz w:val="24"/>
                <w:szCs w:val="24"/>
                <w:highlight w:val="none"/>
                <w:lang w:val="en-US" w:eastAsia="zh-CN"/>
              </w:rPr>
              <w:t>及特级饮片</w:t>
            </w:r>
            <w:r>
              <w:rPr>
                <w:rFonts w:hint="eastAsia" w:ascii="仿宋" w:hAnsi="仿宋" w:eastAsia="仿宋" w:cs="仿宋"/>
                <w:color w:val="auto"/>
                <w:sz w:val="24"/>
                <w:szCs w:val="24"/>
                <w:highlight w:val="none"/>
              </w:rPr>
              <w:t>除外）。</w:t>
            </w:r>
          </w:p>
        </w:tc>
      </w:tr>
    </w:tbl>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rPr>
        <w:t>注：</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1</w:t>
      </w:r>
      <w:r>
        <w:rPr>
          <w:rFonts w:hint="eastAsia" w:ascii="仿宋" w:hAnsi="仿宋" w:eastAsia="仿宋" w:cs="仿宋"/>
          <w:b w:val="0"/>
          <w:bCs/>
          <w:color w:val="auto"/>
          <w:sz w:val="24"/>
          <w:highlight w:val="none"/>
          <w:lang w:eastAsia="zh-CN"/>
        </w:rPr>
        <w:t>）</w:t>
      </w:r>
      <w:r>
        <w:rPr>
          <w:rFonts w:hint="eastAsia" w:ascii="仿宋" w:hAnsi="仿宋" w:eastAsia="仿宋" w:cs="仿宋"/>
          <w:b w:val="0"/>
          <w:bCs/>
          <w:color w:val="auto"/>
          <w:sz w:val="24"/>
          <w:highlight w:val="none"/>
          <w:lang w:val="en-US" w:eastAsia="zh-CN"/>
        </w:rPr>
        <w:t>中标规则：</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1）按照标项一、二、三依次开标，根据落实政府采购政策需满足的资格要求，投标人可选择符合要求的标项投标，但每个投标人只能中一个标项。</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2）各标项按照综合评分法评分，经评审后综合得分排名第一的为中标供应商。投标人如已中一个标项，则不再参与下一标项的评审。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 w:val="0"/>
          <w:bCs/>
          <w:color w:val="auto"/>
          <w:sz w:val="24"/>
          <w:highlight w:val="none"/>
          <w:lang w:val="en-US" w:eastAsia="zh-CN"/>
        </w:rPr>
      </w:pPr>
      <w:r>
        <w:rPr>
          <w:rFonts w:hint="eastAsia" w:ascii="仿宋" w:hAnsi="仿宋" w:eastAsia="仿宋" w:cs="仿宋"/>
          <w:b w:val="0"/>
          <w:bCs/>
          <w:color w:val="auto"/>
          <w:sz w:val="24"/>
          <w:highlight w:val="none"/>
          <w:lang w:val="en-US" w:eastAsia="zh-CN"/>
        </w:rPr>
        <w:t>3）本项目统一按绍兴市医疗保障协会等联委</w:t>
      </w:r>
      <w:r>
        <w:rPr>
          <w:rFonts w:hint="eastAsia" w:ascii="仿宋" w:hAnsi="仿宋" w:eastAsia="仿宋" w:cs="仿宋"/>
          <w:b w:val="0"/>
          <w:bCs/>
          <w:color w:val="auto"/>
          <w:sz w:val="24"/>
          <w:highlight w:val="none"/>
        </w:rPr>
        <w:t>公布的中药饮片价格最新信息价</w:t>
      </w:r>
      <w:r>
        <w:rPr>
          <w:rFonts w:hint="eastAsia" w:ascii="仿宋" w:hAnsi="仿宋" w:eastAsia="仿宋" w:cs="仿宋"/>
          <w:b w:val="0"/>
          <w:bCs/>
          <w:color w:val="auto"/>
          <w:sz w:val="24"/>
          <w:highlight w:val="none"/>
          <w:lang w:val="en-US" w:eastAsia="zh-CN"/>
        </w:rPr>
        <w:t>结算，结算时按实结算。除政策性文件规定以外，最终合同价格优惠在合同实施期间不因市场变化因素而变动。</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合同签订之日起</w:t>
      </w:r>
      <w:r>
        <w:rPr>
          <w:rFonts w:hint="eastAsia" w:ascii="仿宋" w:hAnsi="仿宋" w:eastAsia="仿宋" w:cs="仿宋"/>
          <w:color w:val="auto"/>
          <w:sz w:val="24"/>
          <w:highlight w:val="none"/>
          <w:lang w:val="en-US" w:eastAsia="zh-CN"/>
        </w:rPr>
        <w:t>2年。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bCs/>
          <w:color w:val="auto"/>
          <w:kern w:val="0"/>
          <w:sz w:val="24"/>
          <w:highlight w:val="none"/>
          <w:lang w:eastAsia="zh-CN"/>
        </w:rPr>
        <w:t>☑</w:t>
      </w:r>
      <w:r>
        <w:rPr>
          <w:rFonts w:hint="eastAsia" w:ascii="仿宋" w:hAnsi="仿宋" w:eastAsia="仿宋" w:cs="仿宋"/>
          <w:b/>
          <w:color w:val="auto"/>
          <w:sz w:val="24"/>
          <w:highlight w:val="none"/>
        </w:rPr>
        <w:t>否。</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lang w:val="en-US" w:eastAsia="zh-CN"/>
        </w:rPr>
        <w:t>标项一：专门面向中小企业；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lang w:val="en-US" w:eastAsia="zh-CN"/>
        </w:rPr>
        <w:t>标项二：专门面向中小企业；</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snapToGrid w:val="0"/>
          <w:color w:val="auto"/>
          <w:kern w:val="28"/>
          <w:sz w:val="24"/>
          <w:szCs w:val="20"/>
          <w:highlight w:val="none"/>
          <w:lang w:val="en-US" w:eastAsia="zh-CN"/>
        </w:rPr>
      </w:pPr>
      <w:r>
        <w:rPr>
          <w:rFonts w:hint="eastAsia" w:ascii="仿宋" w:hAnsi="仿宋" w:eastAsia="仿宋" w:cs="仿宋"/>
          <w:snapToGrid w:val="0"/>
          <w:color w:val="auto"/>
          <w:kern w:val="28"/>
          <w:sz w:val="24"/>
          <w:szCs w:val="20"/>
          <w:highlight w:val="none"/>
          <w:lang w:val="en-US" w:eastAsia="zh-CN"/>
        </w:rPr>
        <w:t>标项三：无。</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4.本项目的特定资格要求：</w:t>
      </w:r>
      <w:r>
        <w:rPr>
          <w:rFonts w:hint="eastAsia" w:ascii="仿宋" w:hAnsi="仿宋" w:eastAsia="仿宋" w:cs="仿宋"/>
          <w:b/>
          <w:bCs/>
          <w:color w:val="auto"/>
          <w:sz w:val="24"/>
          <w:highlight w:val="none"/>
          <w:lang w:val="en-US" w:eastAsia="zh-CN"/>
        </w:rPr>
        <w:t>投标人</w:t>
      </w:r>
      <w:r>
        <w:rPr>
          <w:rFonts w:hint="eastAsia" w:ascii="仿宋" w:hAnsi="仿宋" w:eastAsia="仿宋" w:cs="仿宋"/>
          <w:b/>
          <w:bCs/>
          <w:color w:val="auto"/>
          <w:sz w:val="24"/>
          <w:highlight w:val="none"/>
          <w:lang w:eastAsia="zh-CN"/>
        </w:rPr>
        <w:t>已在浙江省食品药品监督管理局备案的中药饮片生产企业或经营企业。投标人为生产企业的必须依法取得《药品生产许可证》，并具有相应生产认证范围；投标人为经营企业必须取得《药品经营许可证》，并具有相应经营范围</w:t>
      </w:r>
      <w:r>
        <w:rPr>
          <w:rFonts w:hint="eastAsia" w:ascii="仿宋" w:hAnsi="仿宋" w:eastAsia="仿宋" w:cs="仿宋"/>
          <w:b/>
          <w:bCs/>
          <w:color w:val="auto"/>
          <w:sz w:val="24"/>
          <w:highlight w:val="none"/>
        </w:rPr>
        <w:t>；</w:t>
      </w:r>
    </w:p>
    <w:p>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方式：</w:t>
      </w:r>
      <w:r>
        <w:rPr>
          <w:rFonts w:hint="eastAsia" w:ascii="仿宋" w:hAnsi="仿宋" w:eastAsia="仿宋" w:cs="仿宋"/>
          <w:b w:val="0"/>
          <w:bCs/>
          <w:color w:val="auto"/>
          <w:sz w:val="24"/>
          <w:highlight w:val="none"/>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提交投标文件截止时间：</w:t>
      </w:r>
      <w:r>
        <w:rPr>
          <w:rFonts w:hint="eastAsia" w:ascii="仿宋" w:hAnsi="仿宋" w:eastAsia="仿宋" w:cs="仿宋"/>
          <w:color w:val="auto"/>
          <w:sz w:val="24"/>
          <w:highlight w:val="none"/>
          <w:u w:val="single"/>
        </w:rPr>
        <w:t xml:space="preserve"> 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开标时间：</w:t>
      </w:r>
      <w:r>
        <w:rPr>
          <w:rFonts w:hint="eastAsia" w:ascii="仿宋" w:hAnsi="仿宋" w:eastAsia="仿宋" w:cs="仿宋"/>
          <w:color w:val="auto"/>
          <w:sz w:val="24"/>
          <w:highlight w:val="none"/>
          <w:u w:val="single"/>
        </w:rPr>
        <w:t>202</w:t>
      </w:r>
      <w:r>
        <w:rPr>
          <w:rFonts w:hint="eastAsia" w:ascii="仿宋" w:hAnsi="仿宋" w:eastAsia="仿宋" w:cs="仿宋"/>
          <w:color w:val="auto"/>
          <w:sz w:val="24"/>
          <w:highlight w:val="none"/>
          <w:u w:val="single"/>
          <w:lang w:val="en-US" w:eastAsia="zh-CN"/>
        </w:rPr>
        <w:t>3</w:t>
      </w:r>
      <w:r>
        <w:rPr>
          <w:rFonts w:hint="eastAsia" w:ascii="仿宋" w:hAnsi="仿宋" w:eastAsia="仿宋" w:cs="仿宋"/>
          <w:color w:val="auto"/>
          <w:sz w:val="24"/>
          <w:highlight w:val="none"/>
          <w:u w:val="single"/>
        </w:rPr>
        <w:t>年</w:t>
      </w:r>
      <w:r>
        <w:rPr>
          <w:rFonts w:hint="eastAsia" w:ascii="仿宋" w:hAnsi="仿宋" w:eastAsia="仿宋" w:cs="仿宋"/>
          <w:color w:val="auto"/>
          <w:sz w:val="24"/>
          <w:highlight w:val="none"/>
          <w:u w:val="single"/>
          <w:lang w:val="en-US" w:eastAsia="zh-CN"/>
        </w:rPr>
        <w:t>10</w:t>
      </w:r>
      <w:r>
        <w:rPr>
          <w:rFonts w:hint="eastAsia" w:ascii="仿宋" w:hAnsi="仿宋" w:eastAsia="仿宋" w:cs="仿宋"/>
          <w:color w:val="auto"/>
          <w:sz w:val="24"/>
          <w:highlight w:val="none"/>
          <w:u w:val="single"/>
        </w:rPr>
        <w:t>月</w:t>
      </w:r>
      <w:r>
        <w:rPr>
          <w:rFonts w:hint="eastAsia" w:ascii="仿宋" w:hAnsi="仿宋" w:eastAsia="仿宋" w:cs="仿宋"/>
          <w:color w:val="auto"/>
          <w:sz w:val="24"/>
          <w:highlight w:val="none"/>
          <w:u w:val="single"/>
          <w:lang w:val="en-US" w:eastAsia="zh-CN"/>
        </w:rPr>
        <w:t>19</w:t>
      </w:r>
      <w:r>
        <w:rPr>
          <w:rFonts w:hint="eastAsia" w:ascii="仿宋" w:hAnsi="仿宋" w:eastAsia="仿宋" w:cs="仿宋"/>
          <w:color w:val="auto"/>
          <w:sz w:val="24"/>
          <w:highlight w:val="none"/>
          <w:u w:val="single"/>
        </w:rPr>
        <w:t>日</w:t>
      </w:r>
      <w:r>
        <w:rPr>
          <w:rFonts w:hint="eastAsia" w:ascii="仿宋" w:hAnsi="仿宋" w:eastAsia="仿宋" w:cs="仿宋"/>
          <w:color w:val="auto"/>
          <w:sz w:val="24"/>
          <w:highlight w:val="none"/>
          <w:u w:val="single"/>
          <w:lang w:val="en-US" w:eastAsia="zh-CN"/>
        </w:rPr>
        <w:t>09</w:t>
      </w:r>
      <w:r>
        <w:rPr>
          <w:rFonts w:hint="eastAsia" w:ascii="仿宋" w:hAnsi="仿宋" w:eastAsia="仿宋" w:cs="仿宋"/>
          <w:color w:val="auto"/>
          <w:sz w:val="24"/>
          <w:highlight w:val="none"/>
          <w:u w:val="single"/>
        </w:rPr>
        <w:t>点</w:t>
      </w:r>
      <w:r>
        <w:rPr>
          <w:rFonts w:hint="eastAsia" w:ascii="仿宋" w:hAnsi="仿宋" w:eastAsia="仿宋" w:cs="仿宋"/>
          <w:color w:val="auto"/>
          <w:sz w:val="24"/>
          <w:highlight w:val="none"/>
          <w:u w:val="single"/>
          <w:lang w:val="en-US" w:eastAsia="zh-CN"/>
        </w:rPr>
        <w:t>00</w:t>
      </w:r>
      <w:r>
        <w:rPr>
          <w:rFonts w:hint="eastAsia" w:ascii="仿宋" w:hAnsi="仿宋" w:eastAsia="仿宋" w:cs="仿宋"/>
          <w:color w:val="auto"/>
          <w:sz w:val="24"/>
          <w:highlight w:val="none"/>
          <w:u w:val="single"/>
        </w:rPr>
        <w:t>分00秒</w:t>
      </w:r>
      <w:r>
        <w:rPr>
          <w:rFonts w:hint="eastAsia" w:ascii="仿宋" w:hAnsi="仿宋" w:eastAsia="仿宋" w:cs="仿宋"/>
          <w:bCs/>
          <w:color w:val="auto"/>
          <w:sz w:val="24"/>
          <w:highlight w:val="none"/>
          <w:u w:val="single"/>
        </w:rPr>
        <w:t xml:space="preserve">  </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1.为支持和促进中小企业发展，进一步发挥政府采购政策功能，鼓励供应商使用保险/保函替代保证金及进行预付款</w:t>
      </w:r>
      <w:r>
        <w:rPr>
          <w:rFonts w:hint="eastAsia" w:ascii="仿宋" w:hAnsi="仿宋" w:eastAsia="仿宋" w:cs="仿宋"/>
          <w:color w:val="auto"/>
          <w:sz w:val="24"/>
          <w:highlight w:val="none"/>
          <w:lang w:val="zh-CN"/>
        </w:rPr>
        <w:t>增信.</w:t>
      </w:r>
      <w:r>
        <w:rPr>
          <w:rFonts w:hint="eastAsia" w:ascii="仿宋" w:hAnsi="仿宋" w:eastAsia="仿宋" w:cs="仿宋"/>
          <w:color w:val="auto"/>
          <w:sz w:val="24"/>
          <w:highlight w:val="none"/>
        </w:rPr>
        <w:t>支持供应商基于中标项目进行应收账款融资。中标供应商若想了解或使用相关服务, 可拨打政采云金融热线进行咨询400-903-9583，或登陆政采云平台查看相应政策文件及各相关服务方案：</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HYPERLINK "https://jinrong.zcygov.en/finance-service/%23/home"</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https://jinrong.zcygov.en/finance-service/#/home</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w:t>
      </w:r>
    </w:p>
    <w:p>
      <w:pPr>
        <w:spacing w:line="440" w:lineRule="exact"/>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仿宋" w:hAnsi="仿宋" w:eastAsia="仿宋" w:cs="仿宋"/>
          <w:color w:val="auto"/>
          <w:sz w:val="24"/>
          <w:highlight w:val="none"/>
          <w:lang w:eastAsia="zh-CN"/>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pageBreakBefore w:val="0"/>
        <w:widowControl w:val="0"/>
        <w:kinsoku/>
        <w:wordWrap/>
        <w:overflowPunct/>
        <w:topLinePunct w:val="0"/>
        <w:autoSpaceDE/>
        <w:autoSpaceDN/>
        <w:bidi w:val="0"/>
        <w:spacing w:line="360" w:lineRule="auto"/>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szCs w:val="24"/>
          <w:highlight w:val="none"/>
        </w:rPr>
      </w:pPr>
      <w:bookmarkStart w:id="5" w:name="_Toc28359019"/>
      <w:bookmarkStart w:id="6" w:name="_Toc28359096"/>
      <w:bookmarkStart w:id="7" w:name="_Toc35393806"/>
      <w:bookmarkStart w:id="8" w:name="_Toc35393637"/>
      <w:r>
        <w:rPr>
          <w:rFonts w:hint="eastAsia" w:ascii="仿宋" w:hAnsi="仿宋" w:eastAsia="仿宋" w:cs="仿宋"/>
          <w:color w:val="auto"/>
          <w:sz w:val="24"/>
          <w:szCs w:val="24"/>
          <w:highlight w:val="none"/>
        </w:rPr>
        <w:t>1.采购人信息</w:t>
      </w:r>
      <w:bookmarkEnd w:id="5"/>
      <w:bookmarkEnd w:id="6"/>
      <w:bookmarkEnd w:id="7"/>
      <w:bookmarkEnd w:id="8"/>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嵊州市中医院</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嵊州市医院路208号</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俞老师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0575-83015922</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黄老师</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w:t>
      </w:r>
      <w:r>
        <w:rPr>
          <w:rFonts w:hint="eastAsia" w:ascii="仿宋" w:hAnsi="仿宋" w:eastAsia="仿宋" w:cs="仿宋"/>
          <w:color w:val="auto"/>
          <w:sz w:val="24"/>
          <w:highlight w:val="none"/>
          <w:lang w:val="en-US" w:eastAsia="zh-CN"/>
        </w:rPr>
        <w:t>0575-83015922</w:t>
      </w:r>
    </w:p>
    <w:p>
      <w:pPr>
        <w:pStyle w:val="4"/>
        <w:pageBreakBefore w:val="0"/>
        <w:widowControl w:val="0"/>
        <w:numPr>
          <w:ilvl w:val="0"/>
          <w:numId w:val="0"/>
        </w:numPr>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bookmarkStart w:id="9" w:name="_Toc28359020"/>
      <w:bookmarkStart w:id="10" w:name="_Toc35393638"/>
      <w:bookmarkStart w:id="11" w:name="_Toc35393807"/>
      <w:bookmarkStart w:id="12" w:name="_Toc28359097"/>
      <w:r>
        <w:rPr>
          <w:rFonts w:hint="eastAsia" w:ascii="仿宋" w:hAnsi="仿宋" w:eastAsia="仿宋" w:cs="仿宋"/>
          <w:color w:val="auto"/>
          <w:sz w:val="24"/>
          <w:szCs w:val="24"/>
          <w:highlight w:val="none"/>
        </w:rPr>
        <w:t>2.采购代理机构信息</w:t>
      </w:r>
      <w:bookmarkEnd w:id="9"/>
      <w:bookmarkEnd w:id="10"/>
      <w:bookmarkEnd w:id="11"/>
      <w:bookmarkEnd w:id="12"/>
      <w:r>
        <w:rPr>
          <w:rFonts w:hint="eastAsia" w:ascii="仿宋" w:hAnsi="仿宋" w:eastAsia="仿宋" w:cs="仿宋"/>
          <w:color w:val="auto"/>
          <w:sz w:val="24"/>
          <w:szCs w:val="24"/>
          <w:highlight w:val="none"/>
        </w:rPr>
        <w:t>：</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绍兴市文汇项目管理有限公司</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    址：嵊州市官河南路339号量子芯座11楼1105室            </w:t>
      </w:r>
    </w:p>
    <w:p>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裘老师、章老师</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项目联系方式（询问）：0575-8327556</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sz w:val="24"/>
          <w:highlight w:val="none"/>
          <w:lang w:val="en-US" w:eastAsia="zh-CN"/>
        </w:rPr>
        <w:t>裘文燕</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质疑联系方式：0575-8327556</w:t>
      </w:r>
      <w:r>
        <w:rPr>
          <w:rFonts w:hint="eastAsia" w:ascii="仿宋" w:hAnsi="仿宋" w:eastAsia="仿宋" w:cs="仿宋"/>
          <w:color w:val="auto"/>
          <w:sz w:val="24"/>
          <w:highlight w:val="none"/>
          <w:lang w:val="en-US" w:eastAsia="zh-CN"/>
        </w:rPr>
        <w:t>1</w:t>
      </w:r>
    </w:p>
    <w:p>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13" w:name="_Toc28359021"/>
      <w:bookmarkStart w:id="14" w:name="_Toc28359098"/>
      <w:bookmarkStart w:id="15" w:name="_Toc35393808"/>
      <w:bookmarkStart w:id="16" w:name="_Toc35393639"/>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13"/>
    <w:bookmarkEnd w:id="14"/>
    <w:bookmarkEnd w:id="15"/>
    <w:bookmarkEnd w:id="16"/>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嵊州市采购监管</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val="en-US" w:eastAsia="zh-CN"/>
        </w:rPr>
        <w:t xml:space="preserve">浙江省绍兴市嵊州市三江街道国资综合大楼1004室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val="en-US" w:eastAsia="zh-CN"/>
        </w:rPr>
        <w:t xml:space="preserve">郑老师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0575-83032507 </w:t>
      </w:r>
      <w:r>
        <w:rPr>
          <w:rFonts w:hint="eastAsia" w:ascii="仿宋" w:hAnsi="仿宋" w:eastAsia="仿宋" w:cs="仿宋"/>
          <w:color w:val="auto"/>
          <w:sz w:val="24"/>
          <w:highlight w:val="none"/>
        </w:rPr>
        <w:t xml:space="preserve">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pPr>
        <w:widowControl/>
        <w:adjustRightInd/>
        <w:jc w:val="left"/>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4"/>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 xml:space="preserve"> </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详见招标项目范围及要求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详见招标项目范围及要求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lang w:eastAsia="zh-CN"/>
              </w:rPr>
              <w:t>投标截止时间前</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lang w:eastAsia="zh-CN"/>
              </w:rPr>
              <w:t>嵊州市</w:t>
            </w:r>
            <w:r>
              <w:rPr>
                <w:rFonts w:hint="eastAsia" w:ascii="仿宋" w:hAnsi="仿宋" w:eastAsia="仿宋" w:cs="仿宋"/>
                <w:color w:val="auto"/>
                <w:sz w:val="24"/>
                <w:highlight w:val="none"/>
                <w:u w:val="single"/>
                <w:lang w:val="en-US" w:eastAsia="zh-CN"/>
              </w:rPr>
              <w:t>官河南路339号量子芯座11楼1105室</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lang w:val="en-US" w:eastAsia="zh-CN"/>
              </w:rPr>
              <w:t>裘女士</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kern w:val="28"/>
                <w:sz w:val="24"/>
                <w:highlight w:val="none"/>
                <w:u w:val="single"/>
                <w:lang w:val="en-US" w:eastAsia="zh-CN"/>
              </w:rPr>
              <w:t>0575-83275561</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采购活动结束后，所有投标人样品均不退还。</w:t>
            </w:r>
          </w:p>
          <w:p>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zh-CN"/>
              </w:rPr>
              <w:t>分钟，讲解次序以投标文件解密时间先后次序为准。讲解演示结束后按要求解答评标委员会提问。</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w:t>
            </w:r>
            <w:r>
              <w:rPr>
                <w:rFonts w:hint="eastAsia" w:ascii="仿宋" w:hAnsi="仿宋" w:eastAsia="仿宋" w:cs="仿宋"/>
                <w:color w:val="auto"/>
                <w:kern w:val="0"/>
                <w:sz w:val="24"/>
                <w:highlight w:val="none"/>
                <w:lang w:val="zh-CN"/>
              </w:rPr>
              <w:t>讲解演示人员不超过</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lang w:val="zh-CN"/>
              </w:rPr>
              <w:t>人。</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□可以就</w:t>
            </w:r>
            <w:r>
              <w:rPr>
                <w:rFonts w:hint="eastAsia" w:ascii="仿宋" w:hAnsi="仿宋" w:eastAsia="仿宋" w:cs="仿宋"/>
                <w:color w:val="auto"/>
                <w:kern w:val="0"/>
                <w:sz w:val="24"/>
                <w:highlight w:val="none"/>
                <w:u w:val="single"/>
                <w:lang w:eastAsia="zh-CN"/>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lang w:eastAsia="zh-CN"/>
              </w:rPr>
              <w:t xml:space="preserve"> </w:t>
            </w:r>
            <w:r>
              <w:rPr>
                <w:rFonts w:hint="eastAsia" w:ascii="仿宋" w:hAnsi="仿宋" w:eastAsia="仿宋" w:cs="仿宋"/>
                <w:color w:val="auto"/>
                <w:kern w:val="0"/>
                <w:sz w:val="24"/>
                <w:highlight w:val="none"/>
                <w:lang w:eastAsia="zh-CN"/>
              </w:rPr>
              <w:t>采购进口产品。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85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根据《工业和信息化部、国家统计局、国家发展和改革委员会、财政部关于印发中小企业划型标准规定的通知》（工信部联企业[2011]300号）规定</w:t>
            </w:r>
            <w:r>
              <w:rPr>
                <w:rFonts w:hint="eastAsia" w:ascii="仿宋" w:hAnsi="仿宋" w:eastAsia="仿宋" w:cs="仿宋"/>
                <w:color w:val="auto"/>
                <w:sz w:val="24"/>
                <w:szCs w:val="24"/>
                <w:highlight w:val="none"/>
                <w:lang w:eastAsia="zh-CN"/>
              </w:rPr>
              <w:t>（有最新</w:t>
            </w:r>
            <w:r>
              <w:rPr>
                <w:rFonts w:hint="eastAsia" w:ascii="仿宋" w:hAnsi="仿宋" w:eastAsia="仿宋" w:cs="仿宋"/>
                <w:color w:val="auto"/>
                <w:sz w:val="24"/>
                <w:szCs w:val="24"/>
                <w:highlight w:val="none"/>
              </w:rPr>
              <w:t>中小企业划型标准</w:t>
            </w:r>
            <w:r>
              <w:rPr>
                <w:rFonts w:hint="eastAsia" w:ascii="仿宋" w:hAnsi="仿宋" w:eastAsia="仿宋" w:cs="仿宋"/>
                <w:color w:val="auto"/>
                <w:sz w:val="24"/>
                <w:szCs w:val="24"/>
                <w:highlight w:val="none"/>
                <w:lang w:eastAsia="zh-CN"/>
              </w:rPr>
              <w:t>的以更新后的为准）：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嵊州市中医院中药饮片及相关伴随服务采购项目</w:t>
            </w:r>
            <w:r>
              <w:rPr>
                <w:rFonts w:hint="eastAsia" w:ascii="仿宋" w:hAnsi="仿宋" w:eastAsia="仿宋" w:cs="仿宋"/>
                <w:color w:val="auto"/>
                <w:sz w:val="24"/>
                <w:szCs w:val="24"/>
                <w:highlight w:val="none"/>
                <w:u w:val="single"/>
                <w:lang w:val="en-US" w:eastAsia="zh-CN"/>
              </w:rPr>
              <w:t>1</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其他未列明行业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嵊州市中医院中药饮片及相关伴随服务采购项目</w:t>
            </w:r>
            <w:r>
              <w:rPr>
                <w:rFonts w:hint="eastAsia" w:ascii="仿宋" w:hAnsi="仿宋" w:eastAsia="仿宋" w:cs="仿宋"/>
                <w:color w:val="auto"/>
                <w:sz w:val="24"/>
                <w:szCs w:val="24"/>
                <w:highlight w:val="none"/>
                <w:u w:val="single"/>
                <w:lang w:val="en-US" w:eastAsia="zh-CN"/>
              </w:rPr>
              <w:t>2</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其他未列明行业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）标的：</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eastAsia="zh-CN"/>
              </w:rPr>
              <w:t>嵊州市中医院中药饮片及相关伴随服务采购项目</w:t>
            </w:r>
            <w:r>
              <w:rPr>
                <w:rFonts w:hint="eastAsia" w:ascii="仿宋" w:hAnsi="仿宋" w:eastAsia="仿宋" w:cs="仿宋"/>
                <w:color w:val="auto"/>
                <w:sz w:val="24"/>
                <w:szCs w:val="24"/>
                <w:highlight w:val="none"/>
                <w:u w:val="single"/>
                <w:lang w:val="en-US" w:eastAsia="zh-CN"/>
              </w:rPr>
              <w:t>3</w:t>
            </w:r>
            <w:r>
              <w:rPr>
                <w:rFonts w:hint="eastAsia" w:ascii="仿宋" w:hAnsi="仿宋" w:eastAsia="仿宋" w:cs="仿宋"/>
                <w:color w:val="auto"/>
                <w:sz w:val="24"/>
                <w:szCs w:val="24"/>
                <w:highlight w:val="none"/>
              </w:rPr>
              <w:t>，属于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其他未列明行业 </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sz w:val="24"/>
                <w:szCs w:val="24"/>
                <w:highlight w:val="none"/>
                <w:lang w:val="en-US" w:eastAsia="zh-CN"/>
              </w:rPr>
              <w:t>说明：声明函中所列行业与采购文件所明确的行业不一致但不改变划型结果情形的，不影响声明有效性，也不作为虚假资料情形认定。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855" w:type="dxa"/>
            <w:vMerge w:val="restart"/>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16</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17                                                                                                                                                                                                                                                                                                                                                                                                                                                                                                                                                                                                                                                                                                                                                                                                                                                                                                                                                                                                                                                                                                                                                                                                                                                                                                                                        </w:t>
            </w:r>
          </w:p>
        </w:tc>
        <w:tc>
          <w:tcPr>
            <w:tcW w:w="8370" w:type="dxa"/>
            <w:gridSpan w:val="2"/>
            <w:vAlign w:val="center"/>
          </w:tcPr>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pPr>
              <w:snapToGrid w:val="0"/>
              <w:spacing w:line="336" w:lineRule="auto"/>
              <w:jc w:val="center"/>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highlight w:val="none"/>
                <w:lang w:val="en-US" w:eastAsia="zh-CN"/>
              </w:rPr>
              <w:t>19</w:t>
            </w:r>
          </w:p>
        </w:tc>
        <w:tc>
          <w:tcPr>
            <w:tcW w:w="8370" w:type="dxa"/>
            <w:gridSpan w:val="2"/>
            <w:vAlign w:val="center"/>
          </w:tcPr>
          <w:p>
            <w:pPr>
              <w:spacing w:line="336"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中标供应商须向招标代理机构按如下标准和规定交纳中标服务费，请在投标报价中自行考虑：</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①参照《国家计委关于印发&lt;招标代理服务费管理暂行办法&gt;的通知》（计价格〔2002〕1980号）、〔2011〕534号的规定执行；</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②中标服务费的交纳方式：</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用银行支票、汇票、电汇、现金等付款方式直接交纳中标服务费。</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公司名称：绍兴市文汇项目管理有限公司</w:t>
            </w:r>
          </w:p>
          <w:p>
            <w:pPr>
              <w:spacing w:line="336" w:lineRule="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开户行：工商银行嵊州支行</w:t>
            </w:r>
          </w:p>
          <w:p>
            <w:pPr>
              <w:spacing w:line="336" w:lineRule="auto"/>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账  号：1211026009200820957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r>
              <w:rPr>
                <w:rFonts w:hint="eastAsia" w:ascii="仿宋" w:hAnsi="仿宋" w:eastAsia="仿宋" w:cs="仿宋"/>
                <w:color w:val="auto"/>
                <w:sz w:val="24"/>
                <w:highlight w:val="none"/>
                <w:lang w:val="en-US" w:eastAsia="zh-CN"/>
              </w:rPr>
              <w:t>及招标代理机构</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注：预中标候选人放弃中标资格或因质疑、投诉被取消预中标资格或不能履行合同的，</w:t>
            </w:r>
            <w:r>
              <w:rPr>
                <w:rFonts w:hint="eastAsia" w:ascii="仿宋" w:hAnsi="仿宋" w:eastAsia="仿宋" w:cs="仿宋"/>
                <w:b/>
                <w:color w:val="auto"/>
                <w:sz w:val="24"/>
                <w:highlight w:val="none"/>
                <w:lang w:eastAsia="zh-CN"/>
              </w:rPr>
              <w:t>采购人</w:t>
            </w:r>
            <w:r>
              <w:rPr>
                <w:rFonts w:hint="eastAsia" w:ascii="仿宋" w:hAnsi="仿宋" w:eastAsia="仿宋" w:cs="仿宋"/>
                <w:b/>
                <w:color w:val="auto"/>
                <w:sz w:val="24"/>
                <w:highlight w:val="none"/>
              </w:rPr>
              <w:t>可以按照评标委员会提出的中标候选人名单排序依次确定其他中标候选人为</w:t>
            </w:r>
            <w:r>
              <w:rPr>
                <w:rFonts w:hint="eastAsia" w:ascii="仿宋" w:hAnsi="仿宋" w:eastAsia="仿宋" w:cs="仿宋"/>
                <w:b/>
                <w:color w:val="auto"/>
                <w:sz w:val="24"/>
                <w:highlight w:val="none"/>
                <w:lang w:eastAsia="zh-CN"/>
              </w:rPr>
              <w:t>中标供应商</w:t>
            </w:r>
            <w:r>
              <w:rPr>
                <w:rFonts w:hint="eastAsia" w:ascii="仿宋" w:hAnsi="仿宋" w:eastAsia="仿宋" w:cs="仿宋"/>
                <w:b/>
                <w:color w:val="auto"/>
                <w:sz w:val="24"/>
                <w:highlight w:val="none"/>
              </w:rPr>
              <w:t>,也可以重新招标。</w:t>
            </w:r>
          </w:p>
        </w:tc>
      </w:tr>
      <w:bookmarkEnd w:id="4"/>
    </w:tbl>
    <w:p>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17" w:name="_Toc164416483"/>
      <w:bookmarkStart w:id="18" w:name="第三部分"/>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pPr>
        <w:keepNext w:val="0"/>
        <w:keepLines w:val="0"/>
        <w:pageBreakBefore w:val="0"/>
        <w:kinsoku/>
        <w:wordWrap/>
        <w:overflowPunct/>
        <w:topLinePunct w:val="0"/>
        <w:autoSpaceDE/>
        <w:autoSpaceDN/>
        <w:bidi w:val="0"/>
        <w:snapToGrid w:val="0"/>
        <w:spacing w:beforeAutospacing="0" w:line="440" w:lineRule="exact"/>
        <w:ind w:left="0" w:leftChars="0" w:firstLine="0" w:firstLineChars="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pPr>
        <w:keepNext w:val="0"/>
        <w:keepLines w:val="0"/>
        <w:pageBreakBefore w:val="0"/>
        <w:kinsoku/>
        <w:wordWrap/>
        <w:overflowPunct/>
        <w:topLinePunct w:val="0"/>
        <w:autoSpaceDE/>
        <w:autoSpaceDN/>
        <w:bidi w:val="0"/>
        <w:adjustRightInd/>
        <w:spacing w:beforeAutospacing="0" w:line="440" w:lineRule="exact"/>
        <w:ind w:left="0" w:leftChars="0" w:firstLine="0" w:firstLineChars="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pPr>
        <w:spacing w:line="440" w:lineRule="exact"/>
        <w:rPr>
          <w:rFonts w:ascii="仿宋_GB2312" w:hAnsi="仿宋" w:eastAsia="仿宋_GB2312"/>
          <w:b/>
          <w:color w:val="auto"/>
          <w:sz w:val="24"/>
          <w:highlight w:val="none"/>
        </w:rPr>
      </w:pPr>
      <w:r>
        <w:rPr>
          <w:rFonts w:hint="eastAsia" w:ascii="仿宋_GB2312" w:hAnsi="仿宋" w:eastAsia="仿宋_GB2312"/>
          <w:b/>
          <w:color w:val="auto"/>
          <w:sz w:val="24"/>
          <w:highlight w:val="none"/>
        </w:rPr>
        <w:t>3.采购项目需要落实的政府采购政策</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 xml:space="preserve">3.2 </w:t>
      </w:r>
      <w:r>
        <w:rPr>
          <w:rFonts w:hint="eastAsia" w:ascii="仿宋_GB2312" w:hAnsi="仿宋" w:eastAsia="仿宋_GB2312"/>
          <w:color w:val="auto"/>
          <w:sz w:val="24"/>
          <w:highlight w:val="none"/>
        </w:rPr>
        <w:t>支持绿色发展</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color w:val="auto"/>
          <w:sz w:val="24"/>
          <w:highlight w:val="none"/>
        </w:rPr>
      </w:pPr>
      <w:r>
        <w:rPr>
          <w:rFonts w:hint="eastAsia" w:ascii="仿宋_GB2312" w:hAnsi="仿宋" w:eastAsia="仿宋_GB2312"/>
          <w:color w:val="auto"/>
          <w:sz w:val="24"/>
          <w:highlight w:val="none"/>
        </w:rPr>
        <w:t>★3.2.2</w:t>
      </w:r>
      <w:r>
        <w:rPr>
          <w:rFonts w:hint="eastAsia" w:ascii="仿宋_GB2312" w:hAnsi="仿宋" w:eastAsia="仿宋_GB2312"/>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3</w:t>
      </w:r>
      <w:r>
        <w:rPr>
          <w:rFonts w:ascii="仿宋_GB2312" w:hAnsi="仿宋" w:eastAsia="仿宋_GB2312"/>
          <w:color w:val="auto"/>
          <w:sz w:val="24"/>
          <w:highlight w:val="none"/>
        </w:rPr>
        <w:t xml:space="preserve"> </w:t>
      </w:r>
      <w:r>
        <w:rPr>
          <w:rFonts w:hint="eastAsia" w:ascii="仿宋_GB2312" w:hAnsi="仿宋" w:eastAsia="仿宋_GB2312"/>
          <w:color w:val="auto"/>
          <w:sz w:val="24"/>
          <w:highlight w:val="none"/>
        </w:rPr>
        <w:t>纳入政府采购管理的修缮、装修类项目采购建材的，采购单位</w:t>
      </w:r>
      <w:r>
        <w:rPr>
          <w:rFonts w:hint="eastAsia" w:ascii="仿宋_GB2312" w:hAnsi="仿宋" w:eastAsia="仿宋_GB2312"/>
          <w:color w:val="auto"/>
          <w:sz w:val="24"/>
          <w:highlight w:val="none"/>
          <w:lang w:eastAsia="zh-CN"/>
        </w:rPr>
        <w:t>应</w:t>
      </w:r>
      <w:r>
        <w:rPr>
          <w:rFonts w:hint="eastAsia" w:ascii="仿宋_GB2312" w:hAnsi="仿宋" w:eastAsia="仿宋_GB2312"/>
          <w:color w:val="auto"/>
          <w:sz w:val="24"/>
          <w:highlight w:val="none"/>
        </w:rPr>
        <w:t>将绿色建材性能、指标等作为实质性条件纳入采购文件和合同，具体性能指标要求</w:t>
      </w:r>
      <w:r>
        <w:rPr>
          <w:rFonts w:hint="eastAsia" w:ascii="仿宋_GB2312" w:hAnsi="仿宋" w:eastAsia="仿宋_GB2312"/>
          <w:color w:val="auto"/>
          <w:sz w:val="24"/>
          <w:highlight w:val="none"/>
          <w:lang w:eastAsia="zh-CN"/>
        </w:rPr>
        <w:t>按照</w:t>
      </w:r>
      <w:r>
        <w:rPr>
          <w:rFonts w:hint="eastAsia" w:ascii="仿宋_GB2312" w:hAnsi="仿宋" w:eastAsia="仿宋_GB2312"/>
          <w:color w:val="auto"/>
          <w:sz w:val="24"/>
          <w:highlight w:val="none"/>
        </w:rPr>
        <w:t>相关绿色建材政府采购需求标准</w:t>
      </w:r>
      <w:r>
        <w:rPr>
          <w:rFonts w:hint="eastAsia" w:ascii="仿宋_GB2312" w:hAnsi="仿宋" w:eastAsia="仿宋_GB2312"/>
          <w:color w:val="auto"/>
          <w:sz w:val="24"/>
          <w:highlight w:val="none"/>
          <w:lang w:eastAsia="zh-CN"/>
        </w:rPr>
        <w:t>执行</w:t>
      </w:r>
      <w:r>
        <w:rPr>
          <w:rFonts w:hint="eastAsia" w:ascii="仿宋_GB2312" w:hAnsi="仿宋" w:eastAsia="仿宋_GB2312"/>
          <w:color w:val="auto"/>
          <w:sz w:val="24"/>
          <w:highlight w:val="none"/>
        </w:rPr>
        <w:t>。</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3.2.</w:t>
      </w:r>
      <w:r>
        <w:rPr>
          <w:rFonts w:hint="eastAsia" w:ascii="仿宋_GB2312" w:hAnsi="仿宋" w:eastAsia="仿宋_GB2312"/>
          <w:color w:val="auto"/>
          <w:sz w:val="24"/>
          <w:highlight w:val="none"/>
        </w:rPr>
        <w:t>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w:t>
      </w:r>
      <w:r>
        <w:rPr>
          <w:rFonts w:hint="eastAsia" w:ascii="仿宋_GB2312" w:hAnsi="仿宋" w:eastAsia="仿宋_GB2312"/>
          <w:bCs/>
          <w:color w:val="auto"/>
          <w:sz w:val="24"/>
          <w:highlight w:val="none"/>
        </w:rPr>
        <w:t>小微</w:t>
      </w:r>
      <w:r>
        <w:rPr>
          <w:rFonts w:hint="eastAsia" w:ascii="仿宋_GB2312" w:hAnsi="仿宋" w:eastAsia="仿宋_GB2312"/>
          <w:color w:val="auto"/>
          <w:sz w:val="24"/>
          <w:highlight w:val="none"/>
        </w:rPr>
        <w:t>企业价格扣除</w:t>
      </w:r>
    </w:p>
    <w:p>
      <w:pPr>
        <w:spacing w:line="440" w:lineRule="exact"/>
        <w:rPr>
          <w:rFonts w:ascii="仿宋_GB2312" w:hAnsi="仿宋" w:eastAsia="仿宋_GB2312"/>
          <w:bCs/>
          <w:color w:val="auto"/>
          <w:sz w:val="24"/>
          <w:highlight w:val="none"/>
        </w:rPr>
      </w:pPr>
      <w:r>
        <w:rPr>
          <w:rFonts w:hint="eastAsia" w:ascii="仿宋_GB2312" w:hAnsi="仿宋" w:eastAsia="仿宋_GB2312"/>
          <w:color w:val="auto"/>
          <w:sz w:val="24"/>
          <w:highlight w:val="none"/>
        </w:rPr>
        <w:t>3.3.1小微企业是指</w:t>
      </w:r>
      <w:r>
        <w:rPr>
          <w:rFonts w:hint="eastAsia" w:ascii="仿宋_GB2312" w:hAnsi="仿宋" w:eastAsia="仿宋_GB2312"/>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color w:val="auto"/>
          <w:sz w:val="24"/>
          <w:highlight w:val="none"/>
        </w:rPr>
      </w:pPr>
      <w:r>
        <w:rPr>
          <w:rFonts w:hint="eastAsia" w:ascii="仿宋_GB2312" w:hAnsi="仿宋" w:eastAsia="仿宋_GB2312"/>
          <w:bCs/>
          <w:color w:val="auto"/>
          <w:sz w:val="24"/>
          <w:highlight w:val="none"/>
        </w:rPr>
        <w:t>符合中小企业划分标准的个体工商户，在政府采购活动中视同中小企业。</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3.3.2在货物采购项目中，货物由小微企业制造，即货物由小微企业生产且使用该小微企业商号或者注册商标。</w:t>
      </w:r>
      <w:r>
        <w:rPr>
          <w:rFonts w:hint="eastAsia" w:ascii="仿宋_GB2312" w:hAnsi="仿宋" w:eastAsia="仿宋_GB2312"/>
          <w:b/>
          <w:bCs/>
          <w:color w:val="auto"/>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color w:val="auto"/>
          <w:sz w:val="24"/>
          <w:highlight w:val="none"/>
        </w:rPr>
      </w:pPr>
      <w:r>
        <w:rPr>
          <w:rFonts w:hint="eastAsia" w:ascii="仿宋_GB2312" w:hAnsi="仿宋" w:eastAsia="仿宋_GB2312"/>
          <w:bCs/>
          <w:color w:val="auto"/>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3.3.4小微企业应按照招标文件格式要求提供《中小企业声明函》。</w:t>
      </w:r>
    </w:p>
    <w:p>
      <w:pPr>
        <w:spacing w:line="440" w:lineRule="exact"/>
        <w:rPr>
          <w:rFonts w:hint="eastAsia" w:ascii="仿宋_GB2312" w:hAnsi="仿宋" w:eastAsia="仿宋_GB2312"/>
          <w:color w:val="auto"/>
          <w:sz w:val="24"/>
          <w:highlight w:val="none"/>
        </w:rPr>
      </w:pPr>
      <w:r>
        <w:rPr>
          <w:rFonts w:hint="eastAsia" w:ascii="仿宋_GB2312" w:hAnsi="仿宋" w:eastAsia="仿宋_GB2312"/>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w:t>
      </w:r>
    </w:p>
    <w:p>
      <w:pPr>
        <w:spacing w:line="440" w:lineRule="exact"/>
        <w:ind w:firstLine="482" w:firstLineChars="200"/>
        <w:rPr>
          <w:rFonts w:ascii="仿宋_GB2312" w:hAnsi="仿宋" w:eastAsia="仿宋_GB2312"/>
          <w:b/>
          <w:bCs/>
          <w:color w:val="auto"/>
          <w:sz w:val="24"/>
          <w:highlight w:val="none"/>
        </w:rPr>
      </w:pPr>
      <w:r>
        <w:rPr>
          <w:rFonts w:hint="eastAsia" w:ascii="仿宋_GB2312" w:hAnsi="仿宋" w:eastAsia="仿宋_GB2312"/>
          <w:b/>
          <w:bCs/>
          <w:color w:val="auto"/>
          <w:sz w:val="24"/>
          <w:highlight w:val="none"/>
        </w:rPr>
        <w:t>对于专门面向中小企业的项目，对小型或微型企业的投标报价不给予价格的扣除。</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color w:val="auto"/>
          <w:sz w:val="24"/>
          <w:highlight w:val="none"/>
          <w:lang w:val="en-US" w:eastAsia="zh-CN"/>
        </w:rPr>
        <w:t>%</w:t>
      </w:r>
      <w:r>
        <w:rPr>
          <w:rFonts w:hint="eastAsia" w:ascii="仿宋_GB2312" w:hAnsi="仿宋" w:eastAsia="仿宋_GB2312"/>
          <w:color w:val="auto"/>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color w:val="auto"/>
          <w:sz w:val="24"/>
          <w:highlight w:val="none"/>
        </w:rPr>
      </w:pPr>
      <w:r>
        <w:rPr>
          <w:rFonts w:hint="eastAsia" w:ascii="仿宋_GB2312" w:hAnsi="仿宋" w:eastAsia="仿宋_GB2312"/>
          <w:b/>
          <w:color w:val="auto"/>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color w:val="auto"/>
          <w:sz w:val="24"/>
          <w:highlight w:val="none"/>
        </w:rPr>
      </w:pPr>
      <w:r>
        <w:rPr>
          <w:rFonts w:ascii="仿宋_GB2312" w:hAnsi="仿宋" w:eastAsia="仿宋_GB2312"/>
          <w:color w:val="auto"/>
          <w:sz w:val="24"/>
          <w:highlight w:val="none"/>
        </w:rPr>
        <w:t>3.4</w:t>
      </w:r>
      <w:r>
        <w:rPr>
          <w:rFonts w:hint="eastAsia" w:ascii="仿宋_GB2312" w:eastAsia="仿宋_GB2312"/>
          <w:bCs/>
          <w:color w:val="auto"/>
          <w:sz w:val="24"/>
          <w:highlight w:val="none"/>
        </w:rPr>
        <w:t>支持科技创新创新发展</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olor w:val="auto"/>
          <w:sz w:val="24"/>
          <w:highlight w:val="none"/>
        </w:rPr>
        <w:t>对</w:t>
      </w:r>
      <w:r>
        <w:rPr>
          <w:rFonts w:hint="eastAsia" w:ascii="仿宋_GB2312" w:hAnsi="仿宋" w:eastAsia="仿宋_GB2312" w:cs="Times New Roman"/>
          <w:color w:val="auto"/>
          <w:sz w:val="24"/>
          <w:highlight w:val="none"/>
        </w:rPr>
        <w:t>省级以上主管部门认定的首台套产品，自纳入《省推广应用指导目录》起三年内参加政府采购活动，视同已具备相应销售业绩，业绩分为满分。</w:t>
      </w:r>
    </w:p>
    <w:p>
      <w:pPr>
        <w:spacing w:line="440" w:lineRule="exact"/>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3.5平等对待内外资企业和符合条件的破产重整企业</w:t>
      </w:r>
    </w:p>
    <w:p>
      <w:pPr>
        <w:spacing w:line="440" w:lineRule="exact"/>
        <w:ind w:firstLine="480" w:firstLineChars="200"/>
        <w:rPr>
          <w:rFonts w:hint="eastAsia" w:ascii="仿宋_GB2312" w:hAnsi="仿宋" w:eastAsia="仿宋_GB2312" w:cs="Times New Roman"/>
          <w:color w:val="auto"/>
          <w:sz w:val="24"/>
          <w:highlight w:val="none"/>
        </w:rPr>
      </w:pPr>
      <w:r>
        <w:rPr>
          <w:rFonts w:hint="eastAsia" w:ascii="仿宋_GB2312" w:hAnsi="仿宋" w:eastAsia="仿宋_GB2312" w:cs="Times New Roman"/>
          <w:color w:val="auto"/>
          <w:sz w:val="24"/>
          <w:highlight w:val="none"/>
        </w:rPr>
        <w:t>平等对待内外资企业和符合条件的破产重整企业，切实保障企业公平竞争，平等维护企业的合法利益。</w:t>
      </w:r>
    </w:p>
    <w:p>
      <w:pPr>
        <w:spacing w:line="440" w:lineRule="exact"/>
        <w:rPr>
          <w:rFonts w:ascii="仿宋_GB2312" w:hAnsi="仿宋" w:eastAsia="仿宋_GB2312"/>
          <w:color w:val="auto"/>
          <w:sz w:val="24"/>
          <w:highlight w:val="none"/>
        </w:rPr>
      </w:pPr>
      <w:r>
        <w:rPr>
          <w:rFonts w:hint="eastAsia" w:ascii="仿宋_GB2312" w:hAnsi="宋体" w:eastAsia="仿宋_GB2312"/>
          <w:color w:val="auto"/>
          <w:sz w:val="24"/>
          <w:highlight w:val="none"/>
        </w:rPr>
        <w:t>★</w:t>
      </w:r>
      <w:r>
        <w:rPr>
          <w:rFonts w:hint="eastAsia" w:ascii="仿宋_GB2312" w:hAnsi="仿宋" w:eastAsia="仿宋_GB2312"/>
          <w:color w:val="auto"/>
          <w:sz w:val="24"/>
          <w:highlight w:val="none"/>
        </w:rPr>
        <w:t>4.特别说明：</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color w:val="auto"/>
          <w:sz w:val="24"/>
          <w:highlight w:val="none"/>
        </w:rPr>
      </w:pPr>
      <w:r>
        <w:rPr>
          <w:rFonts w:hint="eastAsia" w:ascii="仿宋_GB2312" w:hAnsi="仿宋" w:eastAsia="仿宋_GB2312"/>
          <w:color w:val="auto"/>
          <w:sz w:val="24"/>
          <w:highlight w:val="none"/>
        </w:rPr>
        <w:t>4.2供应商应仔细阅读招标文件的所有内容，按照招标文件的要求提交投标文件，并对所提供的全部资料的真实性承担法律责任。</w:t>
      </w:r>
    </w:p>
    <w:p>
      <w:pPr>
        <w:spacing w:line="440" w:lineRule="exact"/>
        <w:rPr>
          <w:rFonts w:hint="eastAsia"/>
          <w:color w:val="auto"/>
          <w:highlight w:val="none"/>
        </w:rPr>
      </w:pPr>
      <w:r>
        <w:rPr>
          <w:rFonts w:hint="eastAsia" w:ascii="仿宋_GB2312" w:hAnsi="仿宋" w:eastAsia="仿宋_GB2312"/>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pPr>
        <w:pStyle w:val="26"/>
        <w:keepNext w:val="0"/>
        <w:keepLines w:val="0"/>
        <w:pageBreakBefore w:val="0"/>
        <w:kinsoku/>
        <w:wordWrap/>
        <w:overflowPunct/>
        <w:topLinePunct w:val="0"/>
        <w:autoSpaceDE/>
        <w:autoSpaceDN/>
        <w:bidi w:val="0"/>
        <w:snapToGrid w:val="0"/>
        <w:spacing w:line="440" w:lineRule="exact"/>
        <w:ind w:left="0" w:leftChars="0"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投标人应自行承担编制投标文件及参加本次投标所涉及的一切费用。不管投标结果如何，招标人对上述费用不负任何责任。</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keepNext w:val="0"/>
        <w:keepLines w:val="0"/>
        <w:pageBreakBefore w:val="0"/>
        <w:kinsoku/>
        <w:wordWrap/>
        <w:overflowPunct/>
        <w:topLinePunct w:val="0"/>
        <w:autoSpaceDE/>
        <w:autoSpaceDN/>
        <w:bidi w:val="0"/>
        <w:snapToGri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pStyle w:val="24"/>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0" w:firstLineChars="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723" w:firstLineChars="3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pPr>
        <w:pStyle w:val="34"/>
        <w:keepNext w:val="0"/>
        <w:keepLines w:val="0"/>
        <w:pageBreakBefore w:val="0"/>
        <w:widowControl w:val="0"/>
        <w:kinsoku/>
        <w:wordWrap/>
        <w:overflowPunct/>
        <w:topLinePunct w:val="0"/>
        <w:autoSpaceDE/>
        <w:autoSpaceDN/>
        <w:bidi w:val="0"/>
        <w:adjustRightInd w:val="0"/>
        <w:spacing w:beforeAutospacing="0"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 投标文件的组成</w:t>
      </w:r>
    </w:p>
    <w:p>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“资格文件”、“商务技术（资信）文件资料”、</w:t>
      </w:r>
      <w:r>
        <w:rPr>
          <w:rFonts w:hint="eastAsia" w:ascii="仿宋" w:hAnsi="仿宋" w:eastAsia="仿宋" w:cs="仿宋"/>
          <w:color w:val="auto"/>
          <w:sz w:val="24"/>
          <w:highlight w:val="none"/>
        </w:rPr>
        <w:t>“报价文件资料”</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.2.1</w:t>
      </w:r>
      <w:r>
        <w:rPr>
          <w:rFonts w:hint="eastAsia" w:ascii="仿宋" w:hAnsi="仿宋" w:eastAsia="仿宋" w:cs="仿宋"/>
          <w:color w:val="auto"/>
          <w:sz w:val="24"/>
          <w:highlight w:val="none"/>
          <w:lang w:val="en-US" w:eastAsia="zh-CN"/>
        </w:rPr>
        <w:t>评分索引表；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2.2.2</w:t>
      </w:r>
      <w:r>
        <w:rPr>
          <w:rFonts w:hint="eastAsia" w:ascii="仿宋" w:hAnsi="仿宋" w:eastAsia="仿宋" w:cs="仿宋"/>
          <w:color w:val="auto"/>
          <w:sz w:val="24"/>
          <w:highlight w:val="none"/>
        </w:rPr>
        <w:t>投标函；</w:t>
      </w:r>
      <w:r>
        <w:rPr>
          <w:rFonts w:hint="eastAsia" w:ascii="仿宋" w:hAnsi="仿宋" w:eastAsia="仿宋" w:cs="仿宋"/>
          <w:color w:val="auto"/>
          <w:sz w:val="24"/>
          <w:highlight w:val="none"/>
          <w:lang w:val="zh-CN"/>
        </w:rPr>
        <w:t xml:space="preserve"> </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法定代表人授权委托书；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授权代表社保证明；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法定代表人身份证明书；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2.2.6商务资信响应表、技术偏离表；</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2.2.7主要业绩证明；</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2.2.8项目小组人员名单；</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2.2.9所投标项评标标准相应的商务技术资料；</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2.2.10廉政承诺书；</w:t>
      </w:r>
    </w:p>
    <w:p>
      <w:pPr>
        <w:keepNext w:val="0"/>
        <w:keepLines w:val="0"/>
        <w:pageBreakBefore w:val="0"/>
        <w:widowControl w:val="0"/>
        <w:kinsoku/>
        <w:wordWrap/>
        <w:overflowPunct/>
        <w:topLinePunct w:val="0"/>
        <w:autoSpaceDE/>
        <w:autoSpaceDN/>
        <w:bidi w:val="0"/>
        <w:adjustRightInd w:val="0"/>
        <w:snapToGrid w:val="0"/>
        <w:spacing w:line="440" w:lineRule="exact"/>
        <w:ind w:firstLine="720" w:firstLineChars="300"/>
        <w:textAlignment w:val="auto"/>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11</w:t>
      </w:r>
      <w:r>
        <w:rPr>
          <w:rFonts w:hint="eastAsia" w:ascii="仿宋" w:hAnsi="仿宋" w:eastAsia="仿宋" w:cs="仿宋"/>
          <w:color w:val="auto"/>
          <w:sz w:val="24"/>
          <w:highlight w:val="none"/>
        </w:rPr>
        <w:t>投标人需要说明的其他文件和说明（格式自拟）。</w:t>
      </w:r>
    </w:p>
    <w:p>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2.3.2中小企业声明函（如果有）；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2.3.3 残疾人福利性单位声明函（如果有）。</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3.1供应商应按招标文件中《开标一览表》等附表要求填写。</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含产品价、相关伴随服务费、包装费、库运费、保险费、检验费、煎药服务费、仓储费、场地使用费、配送费、人工费、差旅费、管理费、利润、税金、采购代理服务费、政策性文件规定及合同包含的所有风险及责任等各项应有费用。</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0" w:firstLineChars="3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pPr>
        <w:pStyle w:val="25"/>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723" w:firstLineChars="30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kern w:val="0"/>
          <w:szCs w:val="24"/>
          <w:highlight w:val="none"/>
          <w:lang w:val="zh-CN"/>
        </w:rPr>
        <w:t xml:space="preserve"> </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pPr>
        <w:pStyle w:val="131"/>
        <w:spacing w:before="0" w:line="440" w:lineRule="exact"/>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 xml:space="preserve"> 投标文件的提交、补充、修改、撤回</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pPr>
        <w:adjustRightInd w:val="0"/>
        <w:spacing w:line="440" w:lineRule="exact"/>
        <w:ind w:left="0" w:leftChars="0" w:firstLine="0" w:firstLineChars="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pPr>
        <w:pStyle w:val="131"/>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19" w:name="_Toc91899903"/>
      <w:r>
        <w:rPr>
          <w:rFonts w:hint="eastAsia" w:ascii="仿宋" w:hAnsi="仿宋" w:eastAsia="仿宋" w:cs="仿宋"/>
          <w:b/>
          <w:color w:val="auto"/>
          <w:sz w:val="32"/>
          <w:szCs w:val="32"/>
          <w:highlight w:val="none"/>
        </w:rPr>
        <w:t>四、开标和评标</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1.3评标委员会对资格和商务技术响应文件进行评审。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1.4主持人宣布商务技术得分及无效（废）投标情形（如有），公布经商务技术（资信）评审符合招标文件要求的投标人名单及其商务技术得分。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1.5启封报价文件资料，主持人宣读投标人名称、投标价格和投标文件的其他内容。未宣读的投标报价和招标文件未允许提供的备选投标方案等实质性内容，评标时不予承认。</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1.6评标委员会对投标文件报价文件资料进行评审，核准投标报价及计算价格分，汇总商务技术分、价格分，根据得分排序确定中标候选人。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1.7主持人公布评标结果。</w:t>
      </w:r>
    </w:p>
    <w:p>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3.3评标委员会负责对投标人资格的最终审定。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3.4评标委员会可以要求投标人对其投标文件中含义不明确的内容作必要的澄清或者说明，但澄清或者说明不得超过投标文件的范围或者改变投标文件的实质性内容。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3.6评标委员会对投标文件的判定，只依据投标文件和招标文件内容本身，不依据任何外来证明。</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3.7评标委员会不向落标方解释落标的原因。</w:t>
      </w:r>
    </w:p>
    <w:p>
      <w:pPr>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4.1.1依据法律、法规和招标文件规定，采购人或采购人代表或采购代理机构对投标人进行资格审查，以确定投标人是否具备投标资格。</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5.3单价金额小数点或者百分比有明显错位的，以开标一览表的总价为准，并修改单价；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pPr>
        <w:keepNext w:val="0"/>
        <w:keepLines w:val="0"/>
        <w:pageBreakBefore w:val="0"/>
        <w:kinsoku/>
        <w:wordWrap/>
        <w:overflowPunct/>
        <w:topLinePunct w:val="0"/>
        <w:autoSpaceDE/>
        <w:autoSpaceDN/>
        <w:bidi w:val="0"/>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6.6汇总（商务技术得分情况）。评标委员会各成员应当独立对每个投标人的商务技术（资信）文件进行评价，并汇总商务技术得分情况。</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报价审核。对符合采购需求且通过商务技术（资信）评审的投标人的报价的合理性、准确性等进行审查核实。</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pPr>
        <w:pStyle w:val="16"/>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34"/>
        <w:keepNext w:val="0"/>
        <w:keepLines w:val="0"/>
        <w:pageBreakBefore w:val="0"/>
        <w:kinsoku/>
        <w:wordWrap/>
        <w:overflowPunct/>
        <w:topLinePunct w:val="0"/>
        <w:autoSpaceDE/>
        <w:autoSpaceDN/>
        <w:bidi w:val="0"/>
        <w:snapToGrid w:val="0"/>
        <w:spacing w:line="440" w:lineRule="exact"/>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8.12《技术偏离表》不真实填写或弄虚作假的；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8.13不响应采购文件标注“★”条款要求的</w:t>
      </w:r>
      <w:r>
        <w:rPr>
          <w:rFonts w:hint="eastAsia" w:ascii="仿宋" w:hAnsi="仿宋" w:eastAsia="仿宋" w:cs="仿宋"/>
          <w:b/>
          <w:color w:val="auto"/>
          <w:sz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8.14</w:t>
      </w:r>
      <w:r>
        <w:rPr>
          <w:rFonts w:hint="eastAsia" w:ascii="仿宋" w:hAnsi="仿宋" w:eastAsia="仿宋" w:cs="仿宋"/>
          <w:b/>
          <w:color w:val="auto"/>
          <w:sz w:val="24"/>
          <w:highlight w:val="none"/>
        </w:rPr>
        <w:t>投标文件含有采购人不能接受的附加条件；</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评标委员会认为投标人的报价明显低于其他通过符合性审查投标人的报价，有可能影响产品质量或者不能诚信履约的，未能按要求提供书面说明或者提交相关证明材料证明其报价合理性的;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报价超过招标文件中规定的预算金额或最高限价的；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投标文件“商务技术（资信）文件资料”部分中出现《开标一览表》相关内容的；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w:t>
      </w:r>
      <w:r>
        <w:rPr>
          <w:rFonts w:hint="eastAsia" w:ascii="仿宋" w:hAnsi="仿宋" w:eastAsia="仿宋" w:cs="仿宋"/>
          <w:b/>
          <w:color w:val="auto"/>
          <w:sz w:val="24"/>
          <w:highlight w:val="none"/>
          <w:lang w:val="en-US" w:eastAsia="zh-CN"/>
        </w:rPr>
        <w:t>9</w:t>
      </w:r>
      <w:r>
        <w:rPr>
          <w:rFonts w:hint="eastAsia" w:ascii="仿宋" w:hAnsi="仿宋" w:eastAsia="仿宋" w:cs="仿宋"/>
          <w:b/>
          <w:color w:val="auto"/>
          <w:sz w:val="24"/>
          <w:highlight w:val="none"/>
        </w:rPr>
        <w:t>《开标一览表》填写不完整或字迹不能辨认或有漏项的，经评标委员会认定属于重大偏差的；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投标人对根据修正原则修正后的报价不确认的；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1</w:t>
      </w:r>
      <w:r>
        <w:rPr>
          <w:rFonts w:hint="eastAsia" w:ascii="仿宋" w:hAnsi="仿宋" w:eastAsia="仿宋" w:cs="仿宋"/>
          <w:b/>
          <w:color w:val="auto"/>
          <w:sz w:val="24"/>
          <w:highlight w:val="none"/>
        </w:rPr>
        <w:t>投标人提供虚假材料投标的（包括但不限于以下情节）；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.1使用伪造、变造的许可证件；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.2提供虚假的财务状况或者业绩；</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.3提供虚假的项目负责人或者主要技术人员简历、劳动关系证明；</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.4提供虚假的信用状况；</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.5其他弄虚作假的行为。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rPr>
        <w:t>下列情形之一的，视为投标人串通投标，其投标无效：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.1不同投标人的投标文件由同一单位或者个人编制；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.2不同投标人委托同一单位或者个人办理投标事宜；</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.3不同投标人的投标文件载明的项目管理成员或者联系人员为同一人；</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.4不同投标人的投标文件异常一致或者投标报价呈规律性差异；</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.5不同投标人的投标文件相互混装；</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.6有二份及二份以上投标文件的相互之间有特别相同或相似之处，且经询标澄清投标人无令人信服的理由和可靠证据证明其合理性的，经评标委员会半数以上成员确认有串通投标嫌疑的；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3</w:t>
      </w:r>
      <w:r>
        <w:rPr>
          <w:rFonts w:hint="eastAsia" w:ascii="仿宋" w:hAnsi="仿宋" w:eastAsia="仿宋" w:cs="仿宋"/>
          <w:b/>
          <w:color w:val="auto"/>
          <w:sz w:val="24"/>
          <w:highlight w:val="none"/>
        </w:rPr>
        <w:t>有下列情形之一的，属于恶意串通，其投标无效：</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.1供应商直接或者间接从采购人或者采购机构处获得其他供应商的相关情况并修改其投标文件或者响应文件；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.2供应商按照采购人或者采购机构的授意撤换、修改投标文件或者响应文件；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.3供应商之间协商报价、技术方案等投标文件或者响应文件的实质性内容；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.4属于同一集团、协会、商会等组织成员的供应商按照该组织要求协同参加政府采购活动；</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.5供应商之间事先约定由某一特定供应商中标、成交；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.6供应商之间商定部分供应商放弃参加政府采购活动或者放弃中标、成交；</w:t>
      </w:r>
    </w:p>
    <w:p>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720" w:firstLineChars="3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.7供应商与采购人或者采购机构之间、供应商相互之间，为谋求特定供应商中标、成交或者排斥其他供应商的其他串通行为。</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评标委员会认定有重大偏差或实质性不响应招标文件要求的；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投标文件出现不是唯一的、有选择性投标报价的；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default"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8.26投标人已中标一个标项的；</w:t>
      </w:r>
    </w:p>
    <w:p>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其他违反法律、法规的情形。</w:t>
      </w:r>
    </w:p>
    <w:p>
      <w:pPr>
        <w:keepNext w:val="0"/>
        <w:keepLines w:val="0"/>
        <w:pageBreakBefore w:val="0"/>
        <w:kinsoku/>
        <w:wordWrap/>
        <w:overflowPunct/>
        <w:topLinePunct w:val="0"/>
        <w:autoSpaceDE/>
        <w:autoSpaceDN/>
        <w:bidi w:val="0"/>
        <w:snapToGrid w:val="0"/>
        <w:spacing w:line="440" w:lineRule="exact"/>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 评标过程保密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19"/>
    <w:p>
      <w:pPr>
        <w:pStyle w:val="34"/>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0" w:name="_Hlt68072998"/>
      <w:bookmarkEnd w:id="20"/>
      <w:bookmarkStart w:id="21" w:name="_Hlt74730295"/>
      <w:bookmarkEnd w:id="21"/>
      <w:bookmarkStart w:id="22" w:name="_Hlt68403820"/>
      <w:bookmarkEnd w:id="22"/>
      <w:bookmarkStart w:id="23" w:name="_Hlt68057669"/>
      <w:bookmarkEnd w:id="23"/>
      <w:bookmarkStart w:id="24" w:name="_Hlt74714665"/>
      <w:bookmarkEnd w:id="24"/>
      <w:bookmarkStart w:id="25" w:name="_Hlt75236011"/>
      <w:bookmarkEnd w:id="25"/>
      <w:bookmarkStart w:id="26" w:name="_Hlt74707468"/>
      <w:bookmarkEnd w:id="26"/>
      <w:bookmarkStart w:id="27" w:name="_Hlt75236290"/>
      <w:bookmarkEnd w:id="27"/>
      <w:bookmarkStart w:id="28" w:name="_Hlt68072990"/>
      <w:bookmarkEnd w:id="28"/>
      <w:bookmarkStart w:id="29" w:name="_Hlt75236101"/>
      <w:bookmarkEnd w:id="29"/>
      <w:bookmarkStart w:id="30" w:name="_Hlt74729768"/>
      <w:bookmarkEnd w:id="30"/>
      <w:bookmarkStart w:id="31" w:name="_Hlt68073093"/>
      <w:bookmarkEnd w:id="31"/>
      <w:bookmarkStart w:id="32" w:name="_Toc84325929"/>
      <w:bookmarkStart w:id="33" w:name="_Toc81372776"/>
      <w:bookmarkStart w:id="34" w:name="_Toc81372953"/>
      <w:r>
        <w:rPr>
          <w:rFonts w:hint="eastAsia" w:ascii="仿宋" w:hAnsi="仿宋" w:eastAsia="仿宋" w:cs="仿宋"/>
          <w:b/>
          <w:color w:val="auto"/>
          <w:sz w:val="32"/>
          <w:szCs w:val="32"/>
          <w:highlight w:val="none"/>
        </w:rPr>
        <w:t>五、授予合同</w:t>
      </w:r>
    </w:p>
    <w:bookmarkEnd w:id="32"/>
    <w:bookmarkEnd w:id="33"/>
    <w:bookmarkEnd w:id="34"/>
    <w:p>
      <w:pPr>
        <w:pStyle w:val="16"/>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pPr>
        <w:keepNext w:val="0"/>
        <w:keepLines w:val="0"/>
        <w:pageBreakBefore w:val="0"/>
        <w:kinsoku/>
        <w:wordWrap/>
        <w:overflowPunct/>
        <w:topLinePunct w:val="0"/>
        <w:autoSpaceDE/>
        <w:autoSpaceDN/>
        <w:bidi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lang w:val="en-US" w:eastAsia="zh-CN"/>
        </w:rPr>
        <w:t>嵊州市</w:t>
      </w:r>
      <w:r>
        <w:rPr>
          <w:rFonts w:hint="eastAsia" w:ascii="仿宋" w:hAnsi="仿宋" w:eastAsia="仿宋" w:cs="仿宋"/>
          <w:color w:val="auto"/>
          <w:sz w:val="24"/>
          <w:highlight w:val="none"/>
        </w:rPr>
        <w:t>公共资源交易网）发布中标公告，中标公告期限为1个工作日。</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4.2项目验收结束后，采购人应及时退还履约保证金。</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4.3供应商以银行、保险公司出具保函形式提交履约保证金的，采购人不得拒收。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4.4政府采购货物和服务项目不得收取质量保证金。</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．合同签订及备案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5.1中标人应当在中标通知书发出之日起30天内与采购人签订合同，自采购合同签订之日起</w:t>
      </w:r>
      <w:r>
        <w:rPr>
          <w:rFonts w:hint="eastAsia" w:ascii="仿宋" w:hAnsi="仿宋" w:eastAsia="仿宋" w:cs="仿宋"/>
          <w:b/>
          <w:bCs/>
          <w:color w:val="auto"/>
          <w:sz w:val="24"/>
          <w:highlight w:val="none"/>
          <w:lang w:val="en-US" w:eastAsia="zh-CN"/>
        </w:rPr>
        <w:t>3个工作日内</w:t>
      </w:r>
      <w:r>
        <w:rPr>
          <w:rFonts w:hint="eastAsia" w:ascii="仿宋" w:hAnsi="仿宋" w:eastAsia="仿宋" w:cs="仿宋"/>
          <w:color w:val="auto"/>
          <w:sz w:val="24"/>
          <w:highlight w:val="none"/>
          <w:lang w:val="en-US" w:eastAsia="zh-CN"/>
        </w:rPr>
        <w:t>，通过电子交易平台进行备案。</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5.2如中标人为联合体的，由联合体成员各方法定代表人或其授权代表与采购人代表签订合同。</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.验收</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6.2采购人可以邀请参加本项目的其他投标人或者第三方机构参与验收。参与验收的投标人或者第三方机构的意见作为验收书的参考资料一并存档。</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 采购人负责加强对中标人的履约管理，并按照采购合同约定，及时向中标人支付采购资金。对于中标人违反采购合同约定的行为，采购人应当及时处理，依法追究其违约责任。</w:t>
      </w:r>
    </w:p>
    <w:p>
      <w:pPr>
        <w:keepNext w:val="0"/>
        <w:keepLines w:val="0"/>
        <w:pageBreakBefore w:val="0"/>
        <w:kinsoku/>
        <w:wordWrap/>
        <w:overflowPunct/>
        <w:topLinePunct w:val="0"/>
        <w:autoSpaceDE/>
        <w:autoSpaceDN/>
        <w:bidi w:val="0"/>
        <w:adjustRightInd w:val="0"/>
        <w:spacing w:line="440" w:lineRule="exact"/>
        <w:ind w:firstLine="0" w:firstLineChars="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.售后服务考核</w:t>
      </w:r>
    </w:p>
    <w:p>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pPr>
        <w:adjustRightInd w:val="0"/>
        <w:spacing w:line="336" w:lineRule="auto"/>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pPr>
        <w:pStyle w:val="24"/>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6" w:type="default"/>
          <w:pgSz w:w="11906" w:h="16838"/>
          <w:pgMar w:top="1474" w:right="1814" w:bottom="1474" w:left="1814" w:header="851" w:footer="992" w:gutter="0"/>
          <w:pgNumType w:start="1"/>
          <w:cols w:space="720" w:num="1"/>
          <w:docGrid w:linePitch="312" w:charSpace="0"/>
        </w:sectPr>
      </w:pPr>
    </w:p>
    <w:bookmarkEnd w:id="17"/>
    <w:bookmarkEnd w:id="18"/>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35" w:name="第四部分"/>
      <w:r>
        <w:rPr>
          <w:rFonts w:hint="eastAsia" w:ascii="仿宋" w:hAnsi="仿宋" w:eastAsia="仿宋" w:cs="仿宋"/>
          <w:b/>
          <w:color w:val="auto"/>
          <w:sz w:val="36"/>
          <w:szCs w:val="36"/>
          <w:highlight w:val="none"/>
        </w:rPr>
        <w:t>第三部分   招标项目范围及要求</w:t>
      </w:r>
    </w:p>
    <w:bookmarkEnd w:id="35"/>
    <w:p>
      <w:pPr>
        <w:pStyle w:val="34"/>
        <w:pageBreakBefore w:val="0"/>
        <w:kinsoku/>
        <w:wordWrap/>
        <w:overflowPunct/>
        <w:topLinePunct w:val="0"/>
        <w:bidi w:val="0"/>
        <w:adjustRightInd w:val="0"/>
        <w:spacing w:line="360" w:lineRule="auto"/>
        <w:rPr>
          <w:rFonts w:hint="eastAsia" w:ascii="仿宋" w:hAnsi="仿宋" w:eastAsia="仿宋" w:cs="仿宋"/>
          <w:b/>
          <w:bCs/>
          <w:color w:val="auto"/>
          <w:sz w:val="24"/>
          <w:szCs w:val="24"/>
          <w:highlight w:val="none"/>
        </w:rPr>
      </w:pPr>
      <w:bookmarkStart w:id="36" w:name="第五部分"/>
      <w:bookmarkStart w:id="37" w:name="_Toc86217003"/>
      <w:r>
        <w:rPr>
          <w:rFonts w:hint="eastAsia" w:ascii="仿宋" w:hAnsi="仿宋" w:eastAsia="仿宋" w:cs="仿宋"/>
          <w:b/>
          <w:bCs/>
          <w:color w:val="auto"/>
          <w:sz w:val="24"/>
          <w:szCs w:val="24"/>
          <w:highlight w:val="none"/>
        </w:rPr>
        <w:t>一、项目概况</w:t>
      </w:r>
    </w:p>
    <w:tbl>
      <w:tblPr>
        <w:tblStyle w:val="64"/>
        <w:tblW w:w="8715"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825"/>
        <w:gridCol w:w="759"/>
        <w:gridCol w:w="150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exact"/>
        </w:trPr>
        <w:tc>
          <w:tcPr>
            <w:tcW w:w="846"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标项</w:t>
            </w:r>
          </w:p>
        </w:tc>
        <w:tc>
          <w:tcPr>
            <w:tcW w:w="3825" w:type="dxa"/>
            <w:noWrap w:val="0"/>
            <w:vAlign w:val="center"/>
          </w:tcPr>
          <w:p>
            <w:pPr>
              <w:pStyle w:val="6"/>
              <w:spacing w:line="36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采购内容</w:t>
            </w:r>
          </w:p>
        </w:tc>
        <w:tc>
          <w:tcPr>
            <w:tcW w:w="759" w:type="dxa"/>
            <w:noWrap w:val="0"/>
            <w:vAlign w:val="center"/>
          </w:tcPr>
          <w:p>
            <w:pPr>
              <w:pStyle w:val="6"/>
              <w:spacing w:line="360" w:lineRule="auto"/>
              <w:ind w:firstLine="0"/>
              <w:jc w:val="center"/>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服务期限</w:t>
            </w:r>
          </w:p>
        </w:tc>
        <w:tc>
          <w:tcPr>
            <w:tcW w:w="1500"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预算金额</w:t>
            </w:r>
          </w:p>
        </w:tc>
        <w:tc>
          <w:tcPr>
            <w:tcW w:w="1785"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846" w:type="dxa"/>
            <w:noWrap w:val="0"/>
            <w:vAlign w:val="center"/>
          </w:tcPr>
          <w:p>
            <w:pPr>
              <w:pStyle w:val="6"/>
              <w:spacing w:line="360" w:lineRule="auto"/>
              <w:ind w:firstLine="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3825"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1</w:t>
            </w:r>
          </w:p>
        </w:tc>
        <w:tc>
          <w:tcPr>
            <w:tcW w:w="759"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2年</w:t>
            </w:r>
          </w:p>
        </w:tc>
        <w:tc>
          <w:tcPr>
            <w:tcW w:w="1500"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2400万元</w:t>
            </w:r>
          </w:p>
        </w:tc>
        <w:tc>
          <w:tcPr>
            <w:tcW w:w="1785" w:type="dxa"/>
            <w:vMerge w:val="restart"/>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本项目预算金额为暂定预算，实际金额按采购金额为准。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exact"/>
        </w:trPr>
        <w:tc>
          <w:tcPr>
            <w:tcW w:w="846"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3825" w:type="dxa"/>
            <w:noWrap w:val="0"/>
            <w:vAlign w:val="center"/>
          </w:tcPr>
          <w:p>
            <w:pPr>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2</w:t>
            </w:r>
          </w:p>
        </w:tc>
        <w:tc>
          <w:tcPr>
            <w:tcW w:w="759" w:type="dxa"/>
            <w:noWrap w:val="0"/>
            <w:vAlign w:val="center"/>
          </w:tcPr>
          <w:p>
            <w:pPr>
              <w:spacing w:line="360" w:lineRule="auto"/>
              <w:ind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500"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1800万元</w:t>
            </w:r>
          </w:p>
        </w:tc>
        <w:tc>
          <w:tcPr>
            <w:tcW w:w="1785" w:type="dxa"/>
            <w:vMerge w:val="continue"/>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exact"/>
        </w:trPr>
        <w:tc>
          <w:tcPr>
            <w:tcW w:w="846" w:type="dxa"/>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3825" w:type="dxa"/>
            <w:noWrap w:val="0"/>
            <w:vAlign w:val="center"/>
          </w:tcPr>
          <w:p>
            <w:pPr>
              <w:spacing w:line="360" w:lineRule="auto"/>
              <w:ind w:firstLine="0"/>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嵊州市中医院中药饮片及相关伴随服务采购项目</w:t>
            </w:r>
            <w:r>
              <w:rPr>
                <w:rFonts w:hint="eastAsia" w:ascii="仿宋" w:hAnsi="仿宋" w:eastAsia="仿宋" w:cs="仿宋"/>
                <w:color w:val="auto"/>
                <w:sz w:val="24"/>
                <w:szCs w:val="24"/>
                <w:highlight w:val="none"/>
                <w:lang w:val="en-US" w:eastAsia="zh-CN"/>
              </w:rPr>
              <w:t>3</w:t>
            </w:r>
          </w:p>
        </w:tc>
        <w:tc>
          <w:tcPr>
            <w:tcW w:w="759" w:type="dxa"/>
            <w:noWrap w:val="0"/>
            <w:vAlign w:val="center"/>
          </w:tcPr>
          <w:p>
            <w:pPr>
              <w:spacing w:line="360" w:lineRule="auto"/>
              <w:ind w:firstLine="0"/>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2年</w:t>
            </w:r>
          </w:p>
        </w:tc>
        <w:tc>
          <w:tcPr>
            <w:tcW w:w="1500" w:type="dxa"/>
            <w:noWrap w:val="0"/>
            <w:vAlign w:val="center"/>
          </w:tcPr>
          <w:p>
            <w:pPr>
              <w:pStyle w:val="6"/>
              <w:spacing w:line="360" w:lineRule="auto"/>
              <w:ind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1800万元</w:t>
            </w:r>
          </w:p>
        </w:tc>
        <w:tc>
          <w:tcPr>
            <w:tcW w:w="1785" w:type="dxa"/>
            <w:vMerge w:val="continue"/>
            <w:noWrap w:val="0"/>
            <w:vAlign w:val="center"/>
          </w:tcPr>
          <w:p>
            <w:pPr>
              <w:pStyle w:val="6"/>
              <w:spacing w:line="360" w:lineRule="auto"/>
              <w:ind w:firstLine="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exact"/>
        </w:trPr>
        <w:tc>
          <w:tcPr>
            <w:tcW w:w="8715" w:type="dxa"/>
            <w:gridSpan w:val="5"/>
            <w:noWrap w:val="0"/>
            <w:vAlign w:val="center"/>
          </w:tcPr>
          <w:p>
            <w:pPr>
              <w:pStyle w:val="24"/>
              <w:keepNext w:val="0"/>
              <w:keepLines w:val="0"/>
              <w:pageBreakBefore w:val="0"/>
              <w:kinsoku/>
              <w:wordWrap/>
              <w:overflowPunct/>
              <w:topLinePunct w:val="0"/>
              <w:bidi w:val="0"/>
              <w:spacing w:after="0" w:line="360" w:lineRule="auto"/>
              <w:jc w:val="left"/>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注：采购方使用的所有中药饮片（详见药品目录，高档饮片</w:t>
            </w:r>
            <w:r>
              <w:rPr>
                <w:rFonts w:hint="eastAsia" w:ascii="仿宋" w:hAnsi="仿宋" w:eastAsia="仿宋" w:cs="仿宋"/>
                <w:color w:val="auto"/>
                <w:sz w:val="24"/>
                <w:szCs w:val="24"/>
                <w:highlight w:val="none"/>
                <w:lang w:val="en-US" w:eastAsia="zh-CN"/>
              </w:rPr>
              <w:t>及特级饮片</w:t>
            </w:r>
            <w:r>
              <w:rPr>
                <w:rFonts w:hint="eastAsia" w:ascii="仿宋" w:hAnsi="仿宋" w:eastAsia="仿宋" w:cs="仿宋"/>
                <w:color w:val="auto"/>
                <w:sz w:val="24"/>
                <w:szCs w:val="24"/>
                <w:highlight w:val="none"/>
              </w:rPr>
              <w:t>除外）。</w:t>
            </w:r>
          </w:p>
        </w:tc>
      </w:tr>
    </w:tbl>
    <w:p>
      <w:pPr>
        <w:pageBreakBefore w:val="0"/>
        <w:kinsoku/>
        <w:wordWrap/>
        <w:overflowPunct/>
        <w:topLinePunct w:val="0"/>
        <w:bidi w:val="0"/>
        <w:adjustRightIn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二、项目质量和服务要求</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1、提供经营的中药饮片基本目录，并保证此目录内的饮片在采购周期内可以持续供货</w:t>
      </w:r>
      <w:r>
        <w:rPr>
          <w:rFonts w:hint="eastAsia" w:ascii="仿宋" w:hAnsi="仿宋" w:eastAsia="仿宋" w:cs="仿宋"/>
          <w:color w:val="auto"/>
          <w:sz w:val="24"/>
          <w:szCs w:val="24"/>
          <w:highlight w:val="none"/>
          <w:lang w:eastAsia="zh-CN"/>
        </w:rPr>
        <w:t>，供货率</w:t>
      </w:r>
      <w:r>
        <w:rPr>
          <w:rFonts w:hint="eastAsia" w:ascii="仿宋" w:hAnsi="仿宋" w:eastAsia="仿宋" w:cs="仿宋"/>
          <w:color w:val="auto"/>
          <w:sz w:val="24"/>
          <w:szCs w:val="24"/>
          <w:highlight w:val="none"/>
          <w:lang w:val="en-US" w:eastAsia="zh-CN"/>
        </w:rPr>
        <w:t>100%</w:t>
      </w:r>
      <w:r>
        <w:rPr>
          <w:rFonts w:hint="eastAsia" w:ascii="仿宋" w:hAnsi="仿宋" w:eastAsia="仿宋" w:cs="仿宋"/>
          <w:color w:val="auto"/>
          <w:sz w:val="24"/>
          <w:szCs w:val="24"/>
          <w:highlight w:val="none"/>
        </w:rPr>
        <w:t>；</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2、经营品种齐全，具备较强的配送服务能力，能严格按照现行《中国药典》、《浙江省中药炮制规范》的质量要求和《中华人民共和国药品管理法》的有关规定；</w:t>
      </w:r>
    </w:p>
    <w:p>
      <w:pPr>
        <w:pageBreakBefore w:val="0"/>
        <w:kinsoku/>
        <w:wordWrap/>
        <w:overflowPunct/>
        <w:topLinePunct w:val="0"/>
        <w:bidi w:val="0"/>
        <w:adjustRightIn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3、供应商具有满足医院临床用药需求的配送能力：当天</w:t>
      </w:r>
      <w:r>
        <w:rPr>
          <w:rFonts w:hint="eastAsia" w:ascii="仿宋" w:hAnsi="仿宋" w:eastAsia="仿宋" w:cs="仿宋"/>
          <w:b/>
          <w:bCs/>
          <w:color w:val="auto"/>
          <w:sz w:val="24"/>
          <w:szCs w:val="24"/>
          <w:highlight w:val="none"/>
          <w:lang w:val="en-US" w:eastAsia="zh-CN"/>
        </w:rPr>
        <w:t>09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0之前下达的采购单，下午</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:00前送达；当天</w:t>
      </w:r>
      <w:r>
        <w:rPr>
          <w:rFonts w:hint="eastAsia" w:ascii="仿宋" w:hAnsi="仿宋" w:eastAsia="仿宋" w:cs="仿宋"/>
          <w:b/>
          <w:bCs/>
          <w:color w:val="auto"/>
          <w:sz w:val="24"/>
          <w:szCs w:val="24"/>
          <w:highlight w:val="none"/>
          <w:lang w:val="en-US" w:eastAsia="zh-CN"/>
        </w:rPr>
        <w:t>09</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0之后下达的采购定单，次日上午</w:t>
      </w:r>
      <w:r>
        <w:rPr>
          <w:rFonts w:hint="eastAsia" w:ascii="仿宋" w:hAnsi="仿宋" w:eastAsia="仿宋" w:cs="仿宋"/>
          <w:b/>
          <w:bCs/>
          <w:color w:val="auto"/>
          <w:sz w:val="24"/>
          <w:szCs w:val="24"/>
          <w:highlight w:val="none"/>
          <w:lang w:val="en-US" w:eastAsia="zh-CN"/>
        </w:rPr>
        <w:t>9</w:t>
      </w:r>
      <w:r>
        <w:rPr>
          <w:rFonts w:hint="eastAsia" w:ascii="仿宋" w:hAnsi="仿宋" w:eastAsia="仿宋" w:cs="仿宋"/>
          <w:b/>
          <w:bCs/>
          <w:color w:val="auto"/>
          <w:sz w:val="24"/>
          <w:szCs w:val="24"/>
          <w:highlight w:val="none"/>
        </w:rPr>
        <w:t>:00前送达；急送饮片要求2小时内到货；</w:t>
      </w:r>
      <w:r>
        <w:rPr>
          <w:rFonts w:hint="eastAsia" w:ascii="仿宋" w:hAnsi="仿宋" w:eastAsia="仿宋" w:cs="仿宋"/>
          <w:b/>
          <w:bCs/>
          <w:color w:val="auto"/>
          <w:sz w:val="24"/>
          <w:szCs w:val="24"/>
          <w:highlight w:val="none"/>
          <w:lang w:val="zh-CN"/>
        </w:rPr>
        <w:t>节假日照常配送。</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4、供应商需委派工作人员驻点从事饮片配</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送</w:t>
      </w:r>
      <w:r>
        <w:rPr>
          <w:rFonts w:hint="eastAsia" w:ascii="仿宋" w:hAnsi="仿宋" w:eastAsia="仿宋" w:cs="仿宋"/>
          <w:color w:val="auto"/>
          <w:sz w:val="24"/>
          <w:szCs w:val="24"/>
          <w:highlight w:val="none"/>
          <w:lang w:eastAsia="zh-CN"/>
        </w:rPr>
        <w:t>、煎药、</w:t>
      </w:r>
      <w:r>
        <w:rPr>
          <w:rFonts w:hint="eastAsia" w:ascii="仿宋" w:hAnsi="仿宋" w:eastAsia="仿宋" w:cs="仿宋"/>
          <w:color w:val="auto"/>
          <w:sz w:val="24"/>
          <w:szCs w:val="24"/>
          <w:highlight w:val="none"/>
        </w:rPr>
        <w:t>物流信息登记</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工作。要求</w:t>
      </w:r>
      <w:r>
        <w:rPr>
          <w:rFonts w:hint="eastAsia" w:ascii="仿宋" w:hAnsi="仿宋" w:eastAsia="仿宋" w:cs="仿宋"/>
          <w:color w:val="auto"/>
          <w:sz w:val="24"/>
          <w:szCs w:val="24"/>
          <w:highlight w:val="none"/>
          <w:lang w:eastAsia="zh-CN"/>
        </w:rPr>
        <w:t>符合从药人员资格</w:t>
      </w:r>
      <w:r>
        <w:rPr>
          <w:rFonts w:hint="eastAsia" w:ascii="仿宋" w:hAnsi="仿宋" w:eastAsia="仿宋" w:cs="仿宋"/>
          <w:color w:val="auto"/>
          <w:sz w:val="24"/>
          <w:szCs w:val="24"/>
          <w:highlight w:val="none"/>
        </w:rPr>
        <w:t>；思维清晰，工作积极主动，具备基本的操作技能；在院工作期间，严格遵守医院的各项规章制度，工作日不得无故请假。具体工作由医院与供应商相关人员进行管理。</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5、本项目有关的代送服务的时间点在合同约定的服务期内应随医院工作作息时间可调，供应商应予以配合，供应商不能因此追加服务费，且不因降低服务标准。</w:t>
      </w:r>
    </w:p>
    <w:p>
      <w:pPr>
        <w:pageBreakBefore w:val="0"/>
        <w:kinsoku/>
        <w:wordWrap/>
        <w:overflowPunct/>
        <w:topLinePunct w:val="0"/>
        <w:bidi w:val="0"/>
        <w:adjustRightIn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三、投标价和合同执行</w:t>
      </w:r>
    </w:p>
    <w:p>
      <w:pPr>
        <w:pStyle w:val="34"/>
        <w:pageBreakBefore w:val="0"/>
        <w:kinsoku/>
        <w:wordWrap/>
        <w:overflowPunct/>
        <w:topLinePunct w:val="0"/>
        <w:bidi w:val="0"/>
        <w:adjustRightInd w:val="0"/>
        <w:spacing w:line="360" w:lineRule="auto"/>
        <w:ind w:firstLine="480" w:firstLineChars="200"/>
        <w:rPr>
          <w:rFonts w:hint="eastAsia" w:ascii="仿宋" w:hAnsi="仿宋" w:eastAsia="仿宋" w:cs="仿宋"/>
          <w:snapToGrid w:val="0"/>
          <w:color w:val="auto"/>
          <w:sz w:val="24"/>
          <w:szCs w:val="24"/>
          <w:highlight w:val="none"/>
        </w:rPr>
      </w:pPr>
      <w:r>
        <w:rPr>
          <w:rFonts w:hint="eastAsia" w:ascii="宋体" w:hAnsi="宋体" w:eastAsia="宋体" w:cs="宋体"/>
          <w:snapToGrid w:val="0"/>
          <w:color w:val="auto"/>
          <w:sz w:val="24"/>
          <w:szCs w:val="24"/>
          <w:highlight w:val="none"/>
        </w:rPr>
        <w:t>★</w:t>
      </w:r>
      <w:r>
        <w:rPr>
          <w:rFonts w:hint="eastAsia" w:ascii="仿宋" w:hAnsi="仿宋" w:eastAsia="仿宋" w:cs="仿宋"/>
          <w:snapToGrid w:val="0"/>
          <w:color w:val="auto"/>
          <w:sz w:val="24"/>
          <w:szCs w:val="24"/>
          <w:highlight w:val="none"/>
        </w:rPr>
        <w:t>1、</w:t>
      </w:r>
      <w:r>
        <w:rPr>
          <w:rFonts w:hint="eastAsia" w:ascii="仿宋" w:hAnsi="仿宋" w:eastAsia="仿宋" w:cs="仿宋"/>
          <w:snapToGrid w:val="0"/>
          <w:color w:val="auto"/>
          <w:sz w:val="24"/>
          <w:szCs w:val="24"/>
          <w:highlight w:val="none"/>
          <w:u w:val="single"/>
        </w:rPr>
        <w:t>投标单位应在招标文件中相关附表格式中明确本次投标报价，投标文件只允许有一个报价，任何有选择或有条件的报价将不予接受</w:t>
      </w:r>
      <w:r>
        <w:rPr>
          <w:rFonts w:hint="eastAsia" w:ascii="仿宋" w:hAnsi="仿宋" w:eastAsia="仿宋" w:cs="仿宋"/>
          <w:snapToGrid w:val="0"/>
          <w:color w:val="auto"/>
          <w:sz w:val="24"/>
          <w:szCs w:val="24"/>
          <w:highlight w:val="none"/>
        </w:rPr>
        <w:t>。</w:t>
      </w:r>
    </w:p>
    <w:p>
      <w:pPr>
        <w:pStyle w:val="2"/>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宋体" w:hAnsi="宋体" w:eastAsia="宋体" w:cs="宋体"/>
          <w:snapToGrid w:val="0"/>
          <w:color w:val="auto"/>
          <w:sz w:val="24"/>
          <w:szCs w:val="24"/>
          <w:highlight w:val="none"/>
        </w:rPr>
        <w:t>★</w:t>
      </w:r>
      <w:r>
        <w:rPr>
          <w:rFonts w:hint="eastAsia" w:ascii="仿宋" w:hAnsi="仿宋" w:eastAsia="仿宋" w:cs="仿宋"/>
          <w:snapToGrid w:val="0"/>
          <w:color w:val="auto"/>
          <w:sz w:val="24"/>
          <w:szCs w:val="24"/>
          <w:highlight w:val="none"/>
        </w:rPr>
        <w:t>2、投标报价是履行合同的价格优惠，即投标人的报价是投标人响应本项目要求的各项采购内容及对应</w:t>
      </w:r>
      <w:r>
        <w:rPr>
          <w:rFonts w:hint="eastAsia" w:ascii="仿宋" w:hAnsi="仿宋" w:eastAsia="仿宋" w:cs="仿宋"/>
          <w:color w:val="auto"/>
          <w:sz w:val="24"/>
          <w:szCs w:val="24"/>
          <w:highlight w:val="none"/>
          <w:lang w:eastAsia="zh-CN"/>
        </w:rPr>
        <w:t>投标人</w:t>
      </w:r>
      <w:r>
        <w:rPr>
          <w:rFonts w:hint="eastAsia" w:ascii="仿宋" w:hAnsi="仿宋" w:eastAsia="仿宋" w:cs="仿宋"/>
          <w:b/>
          <w:bCs/>
          <w:color w:val="auto"/>
          <w:sz w:val="24"/>
          <w:szCs w:val="24"/>
          <w:highlight w:val="none"/>
          <w:lang w:val="en-US" w:eastAsia="zh-CN"/>
        </w:rPr>
        <w:t>绍兴市医疗保障协会等联委公布的</w:t>
      </w:r>
      <w:r>
        <w:rPr>
          <w:rFonts w:hint="eastAsia" w:ascii="仿宋" w:hAnsi="仿宋" w:eastAsia="仿宋" w:cs="仿宋"/>
          <w:b/>
          <w:bCs/>
          <w:color w:val="auto"/>
          <w:sz w:val="24"/>
          <w:szCs w:val="24"/>
          <w:highlight w:val="none"/>
        </w:rPr>
        <w:t>最新信息价</w:t>
      </w:r>
      <w:r>
        <w:rPr>
          <w:rFonts w:hint="eastAsia" w:ascii="仿宋" w:hAnsi="仿宋" w:eastAsia="仿宋" w:cs="仿宋"/>
          <w:b w:val="0"/>
          <w:bCs w:val="0"/>
          <w:snapToGrid w:val="0"/>
          <w:color w:val="auto"/>
          <w:kern w:val="2"/>
          <w:sz w:val="24"/>
          <w:szCs w:val="24"/>
          <w:highlight w:val="none"/>
          <w:lang w:val="en-US" w:eastAsia="zh-CN" w:bidi="ar-SA"/>
        </w:rPr>
        <w:t>（个别品种不在目录中的，以采购人现有的批发价或采购人市场询价结果为准），</w:t>
      </w:r>
      <w:r>
        <w:rPr>
          <w:rFonts w:hint="eastAsia" w:ascii="仿宋" w:hAnsi="仿宋" w:eastAsia="仿宋" w:cs="仿宋"/>
          <w:snapToGrid w:val="0"/>
          <w:color w:val="auto"/>
          <w:sz w:val="24"/>
          <w:szCs w:val="24"/>
          <w:highlight w:val="none"/>
        </w:rPr>
        <w:t>包括但不限于产品价款、相关伴随服务费、包装费、库运费、保险费、检验费、煎药服务费、仓储费、场地使用费、配送费、人工费、差旅费、管理费、利润、税金、采购代理服务费、政策性文件规定及合同包含的所有风险及责任等各项应有费用，投标人应参照国家的相应标准，结合自身综合实力、市场行情、本项目具体特点和技术服务要求进行报价。除政策性文件规定以外，最终合同价格优惠在合同实施期间不因市场变化因素而变动。</w:t>
      </w:r>
    </w:p>
    <w:p>
      <w:pPr>
        <w:pStyle w:val="34"/>
        <w:pageBreakBefore w:val="0"/>
        <w:kinsoku/>
        <w:wordWrap/>
        <w:overflowPunct/>
        <w:topLinePunct w:val="0"/>
        <w:bidi w:val="0"/>
        <w:adjustRightInd w:val="0"/>
        <w:spacing w:line="360" w:lineRule="auto"/>
        <w:ind w:firstLine="480" w:firstLineChars="200"/>
        <w:rPr>
          <w:rFonts w:hint="eastAsia" w:ascii="仿宋" w:hAnsi="仿宋" w:eastAsia="仿宋" w:cs="仿宋"/>
          <w:snapToGrid w:val="0"/>
          <w:color w:val="auto"/>
          <w:sz w:val="24"/>
          <w:szCs w:val="24"/>
          <w:highlight w:val="none"/>
        </w:rPr>
      </w:pPr>
      <w:r>
        <w:rPr>
          <w:rFonts w:hint="eastAsia" w:ascii="宋体" w:hAnsi="宋体" w:eastAsia="宋体" w:cs="宋体"/>
          <w:snapToGrid w:val="0"/>
          <w:color w:val="auto"/>
          <w:sz w:val="24"/>
          <w:szCs w:val="24"/>
          <w:highlight w:val="none"/>
        </w:rPr>
        <w:t>★</w:t>
      </w:r>
      <w:r>
        <w:rPr>
          <w:rFonts w:hint="eastAsia" w:ascii="仿宋" w:hAnsi="仿宋" w:eastAsia="仿宋" w:cs="仿宋"/>
          <w:b/>
          <w:bCs/>
          <w:snapToGrid w:val="0"/>
          <w:color w:val="auto"/>
          <w:sz w:val="24"/>
          <w:szCs w:val="24"/>
          <w:highlight w:val="none"/>
        </w:rPr>
        <w:t>3、</w:t>
      </w:r>
      <w:r>
        <w:rPr>
          <w:rFonts w:hint="eastAsia" w:ascii="仿宋" w:hAnsi="仿宋" w:eastAsia="仿宋" w:cs="仿宋"/>
          <w:b/>
          <w:bCs/>
          <w:color w:val="auto"/>
          <w:sz w:val="24"/>
          <w:szCs w:val="24"/>
          <w:highlight w:val="none"/>
        </w:rPr>
        <w:t>本项目报价，</w:t>
      </w:r>
      <w:r>
        <w:rPr>
          <w:rFonts w:hint="eastAsia" w:ascii="仿宋" w:hAnsi="仿宋" w:eastAsia="仿宋" w:cs="仿宋"/>
          <w:b/>
          <w:bCs/>
          <w:color w:val="auto"/>
          <w:sz w:val="24"/>
          <w:szCs w:val="24"/>
          <w:highlight w:val="none"/>
          <w:lang w:val="en-US" w:eastAsia="zh-CN"/>
        </w:rPr>
        <w:t>以服务期内绍兴市医疗保障协会等联委公布的</w:t>
      </w:r>
      <w:r>
        <w:rPr>
          <w:rFonts w:hint="eastAsia" w:ascii="仿宋" w:hAnsi="仿宋" w:eastAsia="仿宋" w:cs="仿宋"/>
          <w:b/>
          <w:bCs/>
          <w:color w:val="auto"/>
          <w:sz w:val="24"/>
          <w:szCs w:val="24"/>
          <w:highlight w:val="none"/>
        </w:rPr>
        <w:t>最新信息价为取费基数（个别品种不在目录中的，以采购人现有的批发价或采购人市场询价结果为准），</w:t>
      </w:r>
      <w:r>
        <w:rPr>
          <w:rFonts w:hint="eastAsia" w:ascii="仿宋" w:hAnsi="仿宋" w:eastAsia="仿宋" w:cs="仿宋"/>
          <w:b/>
          <w:bCs/>
          <w:color w:val="auto"/>
          <w:sz w:val="24"/>
          <w:szCs w:val="24"/>
          <w:highlight w:val="none"/>
          <w:lang w:val="zh-CN"/>
        </w:rPr>
        <w:t>如遇</w:t>
      </w:r>
      <w:r>
        <w:rPr>
          <w:rFonts w:hint="eastAsia" w:ascii="仿宋" w:hAnsi="仿宋" w:eastAsia="仿宋" w:cs="仿宋"/>
          <w:b/>
          <w:bCs/>
          <w:color w:val="auto"/>
          <w:sz w:val="24"/>
          <w:szCs w:val="24"/>
          <w:highlight w:val="none"/>
          <w:lang w:eastAsia="zh-CN"/>
        </w:rPr>
        <w:t>浙江省</w:t>
      </w:r>
      <w:r>
        <w:rPr>
          <w:rFonts w:hint="eastAsia" w:ascii="仿宋" w:hAnsi="仿宋" w:eastAsia="仿宋" w:cs="仿宋"/>
          <w:b/>
          <w:bCs/>
          <w:color w:val="auto"/>
          <w:sz w:val="24"/>
          <w:szCs w:val="24"/>
          <w:highlight w:val="none"/>
          <w:lang w:val="en-US" w:eastAsia="zh-CN"/>
        </w:rPr>
        <w:t>“智慧医保” 招采子系统阳光采购，所有供应商的挂网价不得超过绍兴市各三级中医院的招采价格的平均价，且各家投标人的挂网价，需要在中标后主动调整成统一的对招标人的挂网价，以利于形成统一零售价。</w:t>
      </w:r>
      <w:r>
        <w:rPr>
          <w:rFonts w:hint="eastAsia" w:ascii="仿宋" w:hAnsi="仿宋" w:eastAsia="仿宋" w:cs="仿宋"/>
          <w:color w:val="auto"/>
          <w:sz w:val="24"/>
          <w:szCs w:val="24"/>
          <w:highlight w:val="none"/>
        </w:rPr>
        <w:t>投标单位应在招标文件中相关附表格式中明确本次投标报价，投标文件只允许有一个报价，任何有选择或有条件的报价将不予接受。</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4、合同期内，医院如需采购现使用目录外的中药饮片，供应商应按本次招标最终执行价格供货。</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价格调整：购销合同签订后，如遇中药饮片</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调整，如遇</w:t>
      </w:r>
      <w:r>
        <w:rPr>
          <w:rFonts w:hint="eastAsia" w:ascii="仿宋" w:hAnsi="仿宋" w:eastAsia="仿宋" w:cs="仿宋"/>
          <w:color w:val="auto"/>
          <w:sz w:val="24"/>
          <w:szCs w:val="24"/>
          <w:highlight w:val="none"/>
          <w:lang w:eastAsia="zh-CN"/>
        </w:rPr>
        <w:t>各级</w:t>
      </w:r>
      <w:r>
        <w:rPr>
          <w:rFonts w:hint="eastAsia" w:ascii="仿宋" w:hAnsi="仿宋" w:eastAsia="仿宋" w:cs="仿宋"/>
          <w:color w:val="auto"/>
          <w:sz w:val="24"/>
          <w:szCs w:val="24"/>
          <w:highlight w:val="none"/>
        </w:rPr>
        <w:t>政策变动（如</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医保局出台中药饮片价格</w:t>
      </w:r>
      <w:r>
        <w:rPr>
          <w:rFonts w:hint="eastAsia" w:ascii="仿宋" w:hAnsi="仿宋" w:eastAsia="仿宋" w:cs="仿宋"/>
          <w:color w:val="auto"/>
          <w:sz w:val="24"/>
          <w:szCs w:val="24"/>
          <w:highlight w:val="none"/>
          <w:lang w:eastAsia="zh-CN"/>
        </w:rPr>
        <w:t>挂网采购政策或</w:t>
      </w:r>
      <w:r>
        <w:rPr>
          <w:rFonts w:hint="eastAsia" w:ascii="仿宋" w:hAnsi="仿宋" w:eastAsia="仿宋" w:cs="仿宋"/>
          <w:color w:val="auto"/>
          <w:sz w:val="24"/>
          <w:szCs w:val="24"/>
          <w:highlight w:val="none"/>
        </w:rPr>
        <w:t>最新信息价，优先执行</w:t>
      </w:r>
      <w:r>
        <w:rPr>
          <w:rFonts w:hint="eastAsia" w:ascii="仿宋" w:hAnsi="仿宋" w:eastAsia="仿宋" w:cs="仿宋"/>
          <w:color w:val="auto"/>
          <w:sz w:val="24"/>
          <w:szCs w:val="24"/>
          <w:highlight w:val="none"/>
          <w:lang w:eastAsia="zh-CN"/>
        </w:rPr>
        <w:t>绍兴</w:t>
      </w:r>
      <w:r>
        <w:rPr>
          <w:rFonts w:hint="eastAsia" w:ascii="仿宋" w:hAnsi="仿宋" w:eastAsia="仿宋" w:cs="仿宋"/>
          <w:color w:val="auto"/>
          <w:sz w:val="24"/>
          <w:szCs w:val="24"/>
          <w:highlight w:val="none"/>
        </w:rPr>
        <w:t>地区</w:t>
      </w:r>
      <w:r>
        <w:rPr>
          <w:rFonts w:hint="eastAsia" w:ascii="仿宋" w:hAnsi="仿宋" w:eastAsia="仿宋" w:cs="仿宋"/>
          <w:color w:val="auto"/>
          <w:sz w:val="24"/>
          <w:szCs w:val="24"/>
          <w:highlight w:val="none"/>
          <w:lang w:eastAsia="zh-CN"/>
        </w:rPr>
        <w:t>挂网采购政策或</w:t>
      </w:r>
      <w:r>
        <w:rPr>
          <w:rFonts w:hint="eastAsia" w:ascii="仿宋" w:hAnsi="仿宋" w:eastAsia="仿宋" w:cs="仿宋"/>
          <w:color w:val="auto"/>
          <w:sz w:val="24"/>
          <w:szCs w:val="24"/>
          <w:highlight w:val="none"/>
        </w:rPr>
        <w:t>中药饮片价格最新信息价），</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政策</w:t>
      </w:r>
      <w:r>
        <w:rPr>
          <w:rFonts w:hint="eastAsia" w:ascii="仿宋" w:hAnsi="仿宋" w:eastAsia="仿宋" w:cs="仿宋"/>
          <w:color w:val="auto"/>
          <w:sz w:val="24"/>
          <w:szCs w:val="24"/>
          <w:highlight w:val="none"/>
          <w:lang w:val="en-US" w:eastAsia="zh-CN"/>
        </w:rPr>
        <w:t>调整执行</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投标人在浙江省</w:t>
      </w:r>
      <w:r>
        <w:rPr>
          <w:rFonts w:hint="eastAsia" w:ascii="仿宋" w:hAnsi="仿宋" w:eastAsia="仿宋" w:cs="仿宋"/>
          <w:color w:val="auto"/>
          <w:sz w:val="24"/>
          <w:szCs w:val="24"/>
          <w:highlight w:val="none"/>
          <w:lang w:val="en-US" w:eastAsia="zh-CN"/>
        </w:rPr>
        <w:t>“智慧医保” 招采子系统对招标人的的挂网价不得随意调整，需要中标人统一以文字形式报采购人药事会讨论通过。</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本次招标项目的服务期（供货期限）</w:t>
      </w:r>
      <w:r>
        <w:rPr>
          <w:rFonts w:hint="eastAsia" w:ascii="仿宋" w:hAnsi="仿宋" w:eastAsia="仿宋" w:cs="仿宋"/>
          <w:color w:val="auto"/>
          <w:sz w:val="24"/>
          <w:szCs w:val="24"/>
          <w:highlight w:val="none"/>
          <w:lang w:val="en-US" w:eastAsia="zh-CN"/>
        </w:rPr>
        <w:t>二</w:t>
      </w:r>
      <w:r>
        <w:rPr>
          <w:rFonts w:hint="eastAsia" w:ascii="仿宋" w:hAnsi="仿宋" w:eastAsia="仿宋" w:cs="仿宋"/>
          <w:color w:val="auto"/>
          <w:sz w:val="24"/>
          <w:szCs w:val="24"/>
          <w:highlight w:val="none"/>
        </w:rPr>
        <w:t>年（合同采取一年一签的方式），服务期内，医院可按照定期和不定期的产品质量和服务质量评价、反馈结果提出合同是否存续的决定，如供应商在合同期间出现中药饮片质量问题、配送服务不及时、物价告知不实等方面的问题和不良行为，不能达到招标要求及合同约定的标准，已影响到医院正常的医疗秩序和医疗卫生服务标准的，则医院有权单方终止合同。</w:t>
      </w:r>
    </w:p>
    <w:p>
      <w:pPr>
        <w:pageBreakBefore w:val="0"/>
        <w:kinsoku/>
        <w:wordWrap/>
        <w:overflowPunct/>
        <w:topLinePunct w:val="0"/>
        <w:bidi w:val="0"/>
        <w:adjustRightInd w:val="0"/>
        <w:spacing w:line="360" w:lineRule="auto"/>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四、中标人确定</w:t>
      </w:r>
    </w:p>
    <w:p>
      <w:pPr>
        <w:pageBreakBefore w:val="0"/>
        <w:kinsoku/>
        <w:wordWrap/>
        <w:overflowPunct/>
        <w:topLinePunct w:val="0"/>
        <w:bidi w:val="0"/>
        <w:adjustRightInd w:val="0"/>
        <w:spacing w:line="360" w:lineRule="auto"/>
        <w:ind w:firstLine="480" w:firstLineChars="200"/>
        <w:rPr>
          <w:rFonts w:hint="eastAsia" w:ascii="仿宋" w:hAnsi="仿宋" w:eastAsia="仿宋" w:cs="仿宋"/>
          <w:b w:val="0"/>
          <w:bCs/>
          <w:color w:val="auto"/>
          <w:sz w:val="24"/>
          <w:szCs w:val="24"/>
          <w:highlight w:val="none"/>
          <w:lang w:val="en-US" w:eastAsia="zh-CN"/>
        </w:rPr>
      </w:pPr>
      <w:bookmarkStart w:id="38" w:name="_Toc152042344"/>
      <w:bookmarkStart w:id="39" w:name="_Toc229646750"/>
      <w:bookmarkStart w:id="40" w:name="_Toc152045568"/>
      <w:bookmarkStart w:id="41" w:name="_Toc144974536"/>
      <w:r>
        <w:rPr>
          <w:rFonts w:hint="eastAsia" w:ascii="仿宋" w:hAnsi="仿宋" w:eastAsia="仿宋" w:cs="仿宋"/>
          <w:b w:val="0"/>
          <w:bCs/>
          <w:color w:val="auto"/>
          <w:sz w:val="24"/>
          <w:szCs w:val="24"/>
          <w:highlight w:val="none"/>
          <w:lang w:val="en-US" w:eastAsia="zh-CN"/>
        </w:rPr>
        <w:t>1.按照标项一、二、三依次开标，投标人可选择所有标项投标，但每个投标人只能中一个标项。</w:t>
      </w:r>
    </w:p>
    <w:p>
      <w:pPr>
        <w:pageBreakBefore w:val="0"/>
        <w:kinsoku/>
        <w:wordWrap/>
        <w:overflowPunct/>
        <w:topLinePunct w:val="0"/>
        <w:bidi w:val="0"/>
        <w:adjustRightInd w:val="0"/>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2.</w:t>
      </w:r>
      <w:r>
        <w:rPr>
          <w:rFonts w:hint="eastAsia" w:ascii="仿宋" w:hAnsi="仿宋" w:eastAsia="仿宋" w:cs="仿宋"/>
          <w:b w:val="0"/>
          <w:bCs/>
          <w:color w:val="auto"/>
          <w:sz w:val="24"/>
          <w:highlight w:val="none"/>
          <w:lang w:val="en-US" w:eastAsia="zh-CN"/>
        </w:rPr>
        <w:t>各标项按照综合评分法评分，经评审后综合得分排名第一的为中标供应商。投标人如已中一个标项，则不再参与下一标项的评审。</w:t>
      </w:r>
    </w:p>
    <w:p>
      <w:pPr>
        <w:pageBreakBefore w:val="0"/>
        <w:kinsoku/>
        <w:wordWrap/>
        <w:overflowPunct/>
        <w:topLinePunct w:val="0"/>
        <w:bidi w:val="0"/>
        <w:adjustRightInd w:val="0"/>
        <w:spacing w:line="360" w:lineRule="auto"/>
        <w:ind w:firstLine="480" w:firstLineChars="200"/>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szCs w:val="24"/>
          <w:highlight w:val="none"/>
          <w:lang w:val="en-US" w:eastAsia="zh-CN"/>
        </w:rPr>
        <w:t>3.医院有权根据各供应商的饮片及煎药质量、服务响应情况和医院实际情况，调整对各供应商的采购数量。</w:t>
      </w:r>
    </w:p>
    <w:p>
      <w:pPr>
        <w:pageBreakBefore w:val="0"/>
        <w:kinsoku/>
        <w:wordWrap/>
        <w:overflowPunct/>
        <w:topLinePunct w:val="0"/>
        <w:bidi w:val="0"/>
        <w:adjustRightInd w:val="0"/>
        <w:spacing w:line="360"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4.</w:t>
      </w:r>
      <w:r>
        <w:rPr>
          <w:rFonts w:hint="eastAsia" w:ascii="仿宋" w:hAnsi="仿宋" w:eastAsia="仿宋" w:cs="仿宋"/>
          <w:b w:val="0"/>
          <w:bCs/>
          <w:color w:val="auto"/>
          <w:sz w:val="24"/>
          <w:szCs w:val="24"/>
          <w:highlight w:val="none"/>
          <w:lang w:eastAsia="zh-CN"/>
        </w:rPr>
        <w:t>业务</w:t>
      </w:r>
      <w:r>
        <w:rPr>
          <w:rFonts w:hint="eastAsia" w:ascii="仿宋" w:hAnsi="仿宋" w:eastAsia="仿宋" w:cs="仿宋"/>
          <w:b w:val="0"/>
          <w:bCs/>
          <w:color w:val="auto"/>
          <w:sz w:val="24"/>
          <w:szCs w:val="24"/>
          <w:highlight w:val="none"/>
        </w:rPr>
        <w:t>的确定与分配：按照评分得分情况确定，</w:t>
      </w:r>
      <w:r>
        <w:rPr>
          <w:rFonts w:hint="eastAsia" w:ascii="仿宋" w:hAnsi="仿宋" w:eastAsia="仿宋" w:cs="仿宋"/>
          <w:b w:val="0"/>
          <w:bCs/>
          <w:color w:val="auto"/>
          <w:sz w:val="24"/>
          <w:szCs w:val="24"/>
          <w:highlight w:val="none"/>
          <w:lang w:eastAsia="zh-CN"/>
        </w:rPr>
        <w:t>标项一</w:t>
      </w:r>
      <w:r>
        <w:rPr>
          <w:rFonts w:hint="eastAsia" w:ascii="仿宋" w:hAnsi="仿宋" w:eastAsia="仿宋" w:cs="仿宋"/>
          <w:b w:val="0"/>
          <w:bCs/>
          <w:color w:val="auto"/>
          <w:sz w:val="24"/>
          <w:szCs w:val="24"/>
          <w:highlight w:val="none"/>
        </w:rPr>
        <w:t>承担</w:t>
      </w:r>
      <w:r>
        <w:rPr>
          <w:rFonts w:hint="eastAsia" w:ascii="仿宋" w:hAnsi="仿宋" w:eastAsia="仿宋" w:cs="仿宋"/>
          <w:b w:val="0"/>
          <w:bCs/>
          <w:color w:val="auto"/>
          <w:sz w:val="24"/>
          <w:szCs w:val="24"/>
          <w:highlight w:val="none"/>
          <w:lang w:eastAsia="zh-CN"/>
        </w:rPr>
        <w:t>院内</w:t>
      </w:r>
      <w:r>
        <w:rPr>
          <w:rFonts w:hint="eastAsia" w:ascii="仿宋" w:hAnsi="仿宋" w:eastAsia="仿宋" w:cs="仿宋"/>
          <w:b w:val="0"/>
          <w:bCs/>
          <w:color w:val="auto"/>
          <w:sz w:val="24"/>
          <w:szCs w:val="24"/>
          <w:highlight w:val="none"/>
          <w:lang w:val="en-US" w:eastAsia="zh-CN"/>
        </w:rPr>
        <w:t>代煎相关伴随服务1和配方用饮片供应；标项二</w:t>
      </w:r>
      <w:r>
        <w:rPr>
          <w:rFonts w:hint="eastAsia" w:ascii="仿宋" w:hAnsi="仿宋" w:eastAsia="仿宋" w:cs="仿宋"/>
          <w:b w:val="0"/>
          <w:bCs/>
          <w:color w:val="auto"/>
          <w:sz w:val="24"/>
          <w:szCs w:val="24"/>
          <w:highlight w:val="none"/>
        </w:rPr>
        <w:t>承担</w:t>
      </w:r>
      <w:r>
        <w:rPr>
          <w:rFonts w:hint="eastAsia" w:ascii="仿宋" w:hAnsi="仿宋" w:eastAsia="仿宋" w:cs="仿宋"/>
          <w:b w:val="0"/>
          <w:bCs/>
          <w:color w:val="auto"/>
          <w:sz w:val="24"/>
          <w:szCs w:val="24"/>
          <w:highlight w:val="none"/>
          <w:lang w:eastAsia="zh-CN"/>
        </w:rPr>
        <w:t>院内</w:t>
      </w:r>
      <w:r>
        <w:rPr>
          <w:rFonts w:hint="eastAsia" w:ascii="仿宋" w:hAnsi="仿宋" w:eastAsia="仿宋" w:cs="仿宋"/>
          <w:b w:val="0"/>
          <w:bCs/>
          <w:color w:val="auto"/>
          <w:sz w:val="24"/>
          <w:szCs w:val="24"/>
          <w:highlight w:val="none"/>
          <w:lang w:val="en-US" w:eastAsia="zh-CN"/>
        </w:rPr>
        <w:t>代煎相关伴随服务2和配方用饮片供应；标项三</w:t>
      </w:r>
      <w:r>
        <w:rPr>
          <w:rFonts w:hint="eastAsia" w:ascii="仿宋" w:hAnsi="仿宋" w:eastAsia="仿宋" w:cs="仿宋"/>
          <w:b w:val="0"/>
          <w:bCs/>
          <w:color w:val="auto"/>
          <w:sz w:val="24"/>
          <w:szCs w:val="24"/>
          <w:highlight w:val="none"/>
        </w:rPr>
        <w:t>承担</w:t>
      </w:r>
      <w:r>
        <w:rPr>
          <w:rFonts w:hint="eastAsia" w:ascii="仿宋" w:hAnsi="仿宋" w:eastAsia="仿宋" w:cs="仿宋"/>
          <w:b w:val="0"/>
          <w:bCs/>
          <w:color w:val="auto"/>
          <w:sz w:val="24"/>
          <w:szCs w:val="24"/>
          <w:highlight w:val="none"/>
          <w:lang w:eastAsia="zh-CN"/>
        </w:rPr>
        <w:t>院内</w:t>
      </w:r>
      <w:r>
        <w:rPr>
          <w:rFonts w:hint="eastAsia" w:ascii="仿宋" w:hAnsi="仿宋" w:eastAsia="仿宋" w:cs="仿宋"/>
          <w:b w:val="0"/>
          <w:bCs/>
          <w:color w:val="auto"/>
          <w:sz w:val="24"/>
          <w:szCs w:val="24"/>
          <w:highlight w:val="none"/>
          <w:lang w:val="en-US" w:eastAsia="zh-CN"/>
        </w:rPr>
        <w:t>代煎相关伴随服务3和配方用饮片供应。采购人</w:t>
      </w:r>
      <w:r>
        <w:rPr>
          <w:rFonts w:hint="eastAsia" w:ascii="仿宋" w:hAnsi="仿宋" w:eastAsia="仿宋" w:cs="仿宋"/>
          <w:b w:val="0"/>
          <w:bCs/>
          <w:color w:val="auto"/>
          <w:sz w:val="24"/>
          <w:szCs w:val="24"/>
          <w:highlight w:val="none"/>
          <w:lang w:eastAsia="zh-CN"/>
        </w:rPr>
        <w:t>有权</w:t>
      </w:r>
      <w:r>
        <w:rPr>
          <w:rFonts w:hint="eastAsia" w:ascii="仿宋" w:hAnsi="仿宋" w:eastAsia="仿宋" w:cs="仿宋"/>
          <w:b w:val="0"/>
          <w:bCs/>
          <w:color w:val="auto"/>
          <w:sz w:val="24"/>
          <w:szCs w:val="24"/>
          <w:highlight w:val="none"/>
          <w:lang w:val="en-US" w:eastAsia="zh-CN"/>
        </w:rPr>
        <w:t>根据各供应商饮片质量、供货情况、临方加工服务及份额完成情况进行调整采购数量</w:t>
      </w:r>
      <w:r>
        <w:rPr>
          <w:rFonts w:hint="eastAsia" w:ascii="仿宋" w:hAnsi="仿宋" w:eastAsia="仿宋" w:cs="仿宋"/>
          <w:b w:val="0"/>
          <w:bCs/>
          <w:color w:val="auto"/>
          <w:sz w:val="24"/>
          <w:szCs w:val="24"/>
          <w:highlight w:val="none"/>
        </w:rPr>
        <w:t>。</w:t>
      </w:r>
    </w:p>
    <w:p>
      <w:pPr>
        <w:pageBreakBefore w:val="0"/>
        <w:kinsoku/>
        <w:wordWrap/>
        <w:overflowPunct/>
        <w:topLinePunct w:val="0"/>
        <w:bidi w:val="0"/>
        <w:adjustRightInd w:val="0"/>
        <w:spacing w:line="360" w:lineRule="auto"/>
        <w:ind w:firstLine="480" w:firstLineChars="200"/>
        <w:rPr>
          <w:rFonts w:hint="eastAsia" w:ascii="仿宋" w:hAnsi="仿宋" w:eastAsia="仿宋" w:cs="仿宋"/>
          <w:b w:val="0"/>
          <w:bCs/>
          <w:color w:val="auto"/>
          <w:sz w:val="24"/>
          <w:szCs w:val="24"/>
          <w:highlight w:val="none"/>
          <w:lang w:eastAsia="zh-CN"/>
        </w:rPr>
      </w:pPr>
      <w:r>
        <w:rPr>
          <w:rFonts w:hint="eastAsia" w:ascii="仿宋" w:hAnsi="仿宋" w:eastAsia="仿宋" w:cs="仿宋"/>
          <w:b w:val="0"/>
          <w:bCs/>
          <w:color w:val="auto"/>
          <w:sz w:val="24"/>
          <w:szCs w:val="24"/>
          <w:highlight w:val="none"/>
          <w:lang w:val="en-US" w:eastAsia="zh-CN"/>
        </w:rPr>
        <w:t>5.</w:t>
      </w:r>
      <w:r>
        <w:rPr>
          <w:rFonts w:hint="eastAsia" w:ascii="仿宋" w:hAnsi="仿宋" w:eastAsia="仿宋" w:cs="仿宋"/>
          <w:b w:val="0"/>
          <w:bCs/>
          <w:color w:val="auto"/>
          <w:sz w:val="24"/>
          <w:szCs w:val="24"/>
          <w:highlight w:val="none"/>
        </w:rPr>
        <w:t>中标候选人有放弃中标、因不可抗力不能履行合同、不按照招标文件要求提交履约保证金，或者被查实存在影响中标结果的违法行为等情形，不符合中标条件的，取消中标资格，排名</w:t>
      </w:r>
      <w:r>
        <w:rPr>
          <w:rFonts w:hint="eastAsia" w:ascii="仿宋" w:hAnsi="仿宋" w:eastAsia="仿宋" w:cs="仿宋"/>
          <w:b w:val="0"/>
          <w:bCs/>
          <w:color w:val="auto"/>
          <w:sz w:val="24"/>
          <w:szCs w:val="24"/>
          <w:highlight w:val="none"/>
          <w:lang w:val="en-US" w:eastAsia="zh-CN"/>
        </w:rPr>
        <w:t>之后</w:t>
      </w:r>
      <w:r>
        <w:rPr>
          <w:rFonts w:hint="eastAsia" w:ascii="仿宋" w:hAnsi="仿宋" w:eastAsia="仿宋" w:cs="仿宋"/>
          <w:b w:val="0"/>
          <w:bCs/>
          <w:color w:val="auto"/>
          <w:sz w:val="24"/>
          <w:szCs w:val="24"/>
          <w:highlight w:val="none"/>
        </w:rPr>
        <w:t>的投标人不作为替补入围候选人，</w:t>
      </w:r>
      <w:r>
        <w:rPr>
          <w:rFonts w:hint="eastAsia" w:ascii="仿宋" w:hAnsi="仿宋" w:eastAsia="仿宋" w:cs="仿宋"/>
          <w:b w:val="0"/>
          <w:bCs/>
          <w:color w:val="auto"/>
          <w:sz w:val="24"/>
          <w:szCs w:val="24"/>
          <w:highlight w:val="none"/>
          <w:lang w:val="en-US" w:eastAsia="zh-CN"/>
        </w:rPr>
        <w:t>多余</w:t>
      </w:r>
      <w:r>
        <w:rPr>
          <w:rFonts w:hint="eastAsia" w:ascii="仿宋" w:hAnsi="仿宋" w:eastAsia="仿宋" w:cs="仿宋"/>
          <w:b w:val="0"/>
          <w:bCs/>
          <w:color w:val="auto"/>
          <w:sz w:val="24"/>
          <w:szCs w:val="24"/>
          <w:highlight w:val="none"/>
        </w:rPr>
        <w:t>的份额在剩下的名额中重新分配。</w:t>
      </w:r>
      <w:bookmarkEnd w:id="38"/>
      <w:bookmarkEnd w:id="39"/>
      <w:bookmarkEnd w:id="40"/>
      <w:bookmarkEnd w:id="41"/>
    </w:p>
    <w:p>
      <w:pPr>
        <w:pageBreakBefore w:val="0"/>
        <w:kinsoku/>
        <w:wordWrap/>
        <w:overflowPunct/>
        <w:topLinePunct w:val="0"/>
        <w:bidi w:val="0"/>
        <w:adjustRightInd w:val="0"/>
        <w:spacing w:line="360" w:lineRule="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五</w:t>
      </w:r>
      <w:r>
        <w:rPr>
          <w:rFonts w:hint="eastAsia" w:ascii="仿宋" w:hAnsi="仿宋" w:eastAsia="仿宋" w:cs="仿宋"/>
          <w:b/>
          <w:color w:val="auto"/>
          <w:sz w:val="24"/>
          <w:szCs w:val="24"/>
          <w:highlight w:val="none"/>
        </w:rPr>
        <w:t>、样品的提交</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投标人递交投标文件时，同时递交下表</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种品</w:t>
      </w:r>
      <w:r>
        <w:rPr>
          <w:rFonts w:hint="eastAsia" w:ascii="仿宋" w:hAnsi="仿宋" w:eastAsia="仿宋" w:cs="仿宋"/>
          <w:color w:val="auto"/>
          <w:sz w:val="24"/>
          <w:szCs w:val="24"/>
          <w:highlight w:val="none"/>
          <w:lang w:eastAsia="zh-CN"/>
        </w:rPr>
        <w:t>种</w:t>
      </w:r>
      <w:r>
        <w:rPr>
          <w:rFonts w:hint="eastAsia" w:ascii="仿宋" w:hAnsi="仿宋" w:eastAsia="仿宋" w:cs="仿宋"/>
          <w:color w:val="auto"/>
          <w:sz w:val="24"/>
          <w:szCs w:val="24"/>
          <w:highlight w:val="none"/>
        </w:rPr>
        <w:t>的样品；</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每种样品提交规格：1个</w:t>
      </w:r>
      <w:r>
        <w:rPr>
          <w:rFonts w:hint="eastAsia" w:ascii="仿宋" w:hAnsi="仿宋" w:eastAsia="仿宋" w:cs="仿宋"/>
          <w:color w:val="auto"/>
          <w:sz w:val="24"/>
          <w:szCs w:val="24"/>
          <w:highlight w:val="none"/>
          <w:lang w:val="en-US" w:eastAsia="zh-CN"/>
        </w:rPr>
        <w:t>全新</w:t>
      </w:r>
      <w:r>
        <w:rPr>
          <w:rFonts w:hint="eastAsia" w:ascii="仿宋" w:hAnsi="仿宋" w:eastAsia="仿宋" w:cs="仿宋"/>
          <w:color w:val="auto"/>
          <w:sz w:val="24"/>
          <w:szCs w:val="24"/>
          <w:highlight w:val="none"/>
          <w:lang w:eastAsia="zh-CN"/>
        </w:rPr>
        <w:t>最小</w:t>
      </w:r>
      <w:r>
        <w:rPr>
          <w:rFonts w:hint="eastAsia" w:ascii="仿宋" w:hAnsi="仿宋" w:eastAsia="仿宋" w:cs="仿宋"/>
          <w:color w:val="auto"/>
          <w:sz w:val="24"/>
          <w:szCs w:val="24"/>
          <w:highlight w:val="none"/>
          <w:lang w:val="en-US" w:eastAsia="zh-CN"/>
        </w:rPr>
        <w:t>规格</w:t>
      </w:r>
      <w:r>
        <w:rPr>
          <w:rFonts w:hint="eastAsia" w:ascii="仿宋" w:hAnsi="仿宋" w:eastAsia="仿宋" w:cs="仿宋"/>
          <w:color w:val="auto"/>
          <w:sz w:val="24"/>
          <w:szCs w:val="24"/>
          <w:highlight w:val="none"/>
        </w:rPr>
        <w:t>包装，包装袋注明药名、产地</w:t>
      </w:r>
      <w:r>
        <w:rPr>
          <w:rFonts w:hint="eastAsia" w:ascii="仿宋" w:hAnsi="仿宋" w:eastAsia="仿宋" w:cs="仿宋"/>
          <w:color w:val="auto"/>
          <w:sz w:val="24"/>
          <w:szCs w:val="24"/>
          <w:highlight w:val="none"/>
          <w:lang w:eastAsia="zh-CN"/>
        </w:rPr>
        <w:t>，</w:t>
      </w:r>
      <w:r>
        <w:rPr>
          <w:rFonts w:hint="eastAsia" w:ascii="仿宋" w:hAnsi="仿宋" w:eastAsia="仿宋" w:cs="仿宋"/>
          <w:b/>
          <w:bCs/>
          <w:color w:val="auto"/>
          <w:sz w:val="24"/>
          <w:szCs w:val="24"/>
          <w:highlight w:val="none"/>
          <w:lang w:val="en-US" w:eastAsia="zh-CN"/>
        </w:rPr>
        <w:t>不得出现</w:t>
      </w:r>
      <w:r>
        <w:rPr>
          <w:rFonts w:hint="eastAsia" w:ascii="仿宋" w:hAnsi="仿宋" w:eastAsia="仿宋" w:cs="仿宋"/>
          <w:b/>
          <w:bCs/>
          <w:color w:val="auto"/>
          <w:sz w:val="24"/>
          <w:szCs w:val="24"/>
          <w:highlight w:val="none"/>
          <w:lang w:eastAsia="zh-CN"/>
        </w:rPr>
        <w:t>与投标人相关信息</w:t>
      </w:r>
      <w:r>
        <w:rPr>
          <w:rFonts w:hint="eastAsia" w:ascii="仿宋" w:hAnsi="仿宋" w:eastAsia="仿宋" w:cs="仿宋"/>
          <w:b/>
          <w:bCs/>
          <w:color w:val="auto"/>
          <w:sz w:val="24"/>
          <w:szCs w:val="24"/>
          <w:highlight w:val="none"/>
        </w:rPr>
        <w:t>。</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对</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种样品包装再用一个大包装密封，大包装注明投标单位（加盖公章）。</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中标人的样品将由</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留存，中标人所提供的各类产品不得低于样品的档次，且在合同约定的期限内，可结合各类样品的质保期要求中标人提供同等的样品进行更新。</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所有投标人样品均不退还。</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lang w:eastAsia="zh-CN"/>
        </w:rPr>
        <w:t>各投标供应商于投标截止时间前（以邮寄或现场提交形式提交样品；提交样品地址：嵊州市</w:t>
      </w:r>
      <w:r>
        <w:rPr>
          <w:rFonts w:hint="eastAsia" w:ascii="仿宋" w:hAnsi="仿宋" w:eastAsia="仿宋" w:cs="仿宋"/>
          <w:color w:val="auto"/>
          <w:sz w:val="24"/>
          <w:szCs w:val="24"/>
          <w:highlight w:val="none"/>
          <w:lang w:val="en-US" w:eastAsia="zh-CN"/>
        </w:rPr>
        <w:t>官河南路339号量子芯座11楼1105室；联系人：裘女士；联系方式：0575-83275561</w:t>
      </w:r>
      <w:r>
        <w:rPr>
          <w:rFonts w:hint="eastAsia" w:ascii="仿宋" w:hAnsi="仿宋" w:eastAsia="仿宋" w:cs="仿宋"/>
          <w:color w:val="auto"/>
          <w:sz w:val="24"/>
          <w:szCs w:val="24"/>
          <w:highlight w:val="none"/>
          <w:lang w:eastAsia="zh-CN"/>
        </w:rPr>
        <w:t>）提供样品的内容需涵盖清单内容，如缺项，样品分作零分处理。在样品上标明名称，样品上不得出现与投标人相关信息，否则作废标处理，如为邮寄，外表面需做好投标单位标识，以便代理机构收到样品时第一时间做好标记。</w:t>
      </w:r>
    </w:p>
    <w:p>
      <w:pPr>
        <w:pageBreakBefore w:val="0"/>
        <w:kinsoku/>
        <w:wordWrap/>
        <w:overflowPunct/>
        <w:topLinePunct w:val="0"/>
        <w:bidi w:val="0"/>
        <w:adjustRightInd w:val="0"/>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附：20种中药饮片样品目录：</w:t>
      </w:r>
    </w:p>
    <w:tbl>
      <w:tblPr>
        <w:tblStyle w:val="64"/>
        <w:tblW w:w="8685" w:type="dxa"/>
        <w:tblInd w:w="141"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282"/>
        <w:gridCol w:w="2978"/>
        <w:gridCol w:w="1200"/>
        <w:gridCol w:w="3225"/>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样品编号</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样品名称</w:t>
            </w:r>
          </w:p>
        </w:tc>
        <w:tc>
          <w:tcPr>
            <w:tcW w:w="1200"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样品编号</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样品名称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lang w:eastAsia="zh-CN"/>
              </w:rPr>
            </w:pPr>
            <w:r>
              <w:rPr>
                <w:rFonts w:hint="eastAsia" w:ascii="仿宋" w:hAnsi="仿宋" w:eastAsia="仿宋" w:cs="仿宋"/>
                <w:caps/>
                <w:color w:val="auto"/>
                <w:sz w:val="24"/>
                <w:szCs w:val="24"/>
                <w:highlight w:val="none"/>
                <w:shd w:val="clear"/>
                <w:lang w:eastAsia="zh-CN"/>
              </w:rPr>
              <w:t>茯苓</w:t>
            </w:r>
          </w:p>
        </w:tc>
        <w:tc>
          <w:tcPr>
            <w:tcW w:w="1200"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11</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金银花</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北柴胡</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12</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lang w:eastAsia="zh-CN"/>
              </w:rPr>
            </w:pPr>
            <w:r>
              <w:rPr>
                <w:rFonts w:hint="eastAsia" w:ascii="仿宋" w:hAnsi="仿宋" w:eastAsia="仿宋" w:cs="仿宋"/>
                <w:caps/>
                <w:color w:val="auto"/>
                <w:sz w:val="24"/>
                <w:szCs w:val="24"/>
                <w:highlight w:val="none"/>
                <w:lang w:eastAsia="zh-CN"/>
              </w:rPr>
              <w:t>姜半夏</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连翘</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13</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柏子仁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党参</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14</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default" w:ascii="仿宋" w:hAnsi="仿宋" w:eastAsia="仿宋" w:cs="仿宋"/>
                <w:caps/>
                <w:color w:val="auto"/>
                <w:sz w:val="24"/>
                <w:szCs w:val="24"/>
                <w:highlight w:val="none"/>
                <w:lang w:val="en-US" w:eastAsia="zh-CN"/>
              </w:rPr>
            </w:pPr>
            <w:r>
              <w:rPr>
                <w:rFonts w:hint="eastAsia" w:ascii="仿宋" w:hAnsi="仿宋" w:eastAsia="仿宋" w:cs="仿宋"/>
                <w:caps/>
                <w:color w:val="auto"/>
                <w:sz w:val="24"/>
                <w:szCs w:val="24"/>
                <w:highlight w:val="none"/>
                <w:lang w:val="en-US" w:eastAsia="zh-CN"/>
              </w:rPr>
              <w:t>麸炒白芍</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钩藤</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15</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lang w:eastAsia="zh-CN"/>
              </w:rPr>
            </w:pPr>
            <w:r>
              <w:rPr>
                <w:rFonts w:hint="eastAsia" w:ascii="仿宋" w:hAnsi="仿宋" w:eastAsia="仿宋" w:cs="仿宋"/>
                <w:caps/>
                <w:color w:val="auto"/>
                <w:sz w:val="24"/>
                <w:szCs w:val="24"/>
                <w:highlight w:val="none"/>
                <w:lang w:eastAsia="zh-CN"/>
              </w:rPr>
              <w:t>蜈蚣</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黄芪</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16</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苦杏仁</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lang w:eastAsia="zh-CN"/>
              </w:rPr>
            </w:pPr>
            <w:r>
              <w:rPr>
                <w:rFonts w:hint="eastAsia" w:ascii="仿宋" w:hAnsi="仿宋" w:eastAsia="仿宋" w:cs="仿宋"/>
                <w:caps/>
                <w:color w:val="auto"/>
                <w:sz w:val="24"/>
                <w:szCs w:val="24"/>
                <w:highlight w:val="none"/>
                <w:lang w:eastAsia="zh-CN"/>
              </w:rPr>
              <w:t>全蝎</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17</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制远志</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黄连</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18</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龙骨</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麸炒白术</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19</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醋鳖甲</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rPr>
        <w:tc>
          <w:tcPr>
            <w:tcW w:w="1282" w:type="dxa"/>
            <w:noWrap w:val="0"/>
            <w:vAlign w:val="center"/>
          </w:tcPr>
          <w:p>
            <w:pPr>
              <w:pageBreakBefore w:val="0"/>
              <w:kinsoku/>
              <w:wordWrap/>
              <w:overflowPunct/>
              <w:topLinePunct w:val="0"/>
              <w:autoSpaceDE w:val="0"/>
              <w:autoSpaceDN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2978"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lang w:eastAsia="zh-CN"/>
              </w:rPr>
            </w:pPr>
            <w:r>
              <w:rPr>
                <w:rFonts w:hint="eastAsia" w:ascii="仿宋" w:hAnsi="仿宋" w:eastAsia="仿宋" w:cs="仿宋"/>
                <w:caps/>
                <w:color w:val="auto"/>
                <w:sz w:val="24"/>
                <w:szCs w:val="24"/>
                <w:highlight w:val="none"/>
                <w:lang w:eastAsia="zh-CN"/>
              </w:rPr>
              <w:t>米仁</w:t>
            </w:r>
          </w:p>
        </w:tc>
        <w:tc>
          <w:tcPr>
            <w:tcW w:w="1200" w:type="dxa"/>
            <w:noWrap w:val="0"/>
            <w:vAlign w:val="center"/>
          </w:tcPr>
          <w:p>
            <w:pPr>
              <w:pageBreakBefore w:val="0"/>
              <w:widowControl/>
              <w:kinsoku/>
              <w:wordWrap/>
              <w:overflowPunct/>
              <w:topLinePunct w:val="0"/>
              <w:autoSpaceDE w:val="0"/>
              <w:autoSpaceDN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20</w:t>
            </w:r>
          </w:p>
        </w:tc>
        <w:tc>
          <w:tcPr>
            <w:tcW w:w="3225" w:type="dxa"/>
            <w:noWrap w:val="0"/>
            <w:vAlign w:val="center"/>
          </w:tcPr>
          <w:p>
            <w:pPr>
              <w:pageBreakBefore w:val="0"/>
              <w:widowControl/>
              <w:kinsoku/>
              <w:wordWrap/>
              <w:overflowPunct/>
              <w:topLinePunct w:val="0"/>
              <w:bidi w:val="0"/>
              <w:adjustRightInd w:val="0"/>
              <w:spacing w:line="360" w:lineRule="auto"/>
              <w:jc w:val="center"/>
              <w:rPr>
                <w:rFonts w:hint="eastAsia" w:ascii="仿宋" w:hAnsi="仿宋" w:eastAsia="仿宋" w:cs="仿宋"/>
                <w:caps/>
                <w:color w:val="auto"/>
                <w:sz w:val="24"/>
                <w:szCs w:val="24"/>
                <w:highlight w:val="none"/>
              </w:rPr>
            </w:pPr>
            <w:r>
              <w:rPr>
                <w:rFonts w:hint="eastAsia" w:ascii="仿宋" w:hAnsi="仿宋" w:eastAsia="仿宋" w:cs="仿宋"/>
                <w:caps/>
                <w:color w:val="auto"/>
                <w:sz w:val="24"/>
                <w:szCs w:val="24"/>
                <w:highlight w:val="none"/>
              </w:rPr>
              <w:t>菊花</w:t>
            </w:r>
          </w:p>
        </w:tc>
      </w:tr>
    </w:tbl>
    <w:p>
      <w:pPr>
        <w:pageBreakBefore w:val="0"/>
        <w:kinsoku/>
        <w:wordWrap/>
        <w:overflowPunct/>
        <w:topLinePunct w:val="0"/>
        <w:bidi w:val="0"/>
        <w:adjustRightInd w:val="0"/>
        <w:spacing w:line="360" w:lineRule="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六</w:t>
      </w:r>
      <w:r>
        <w:rPr>
          <w:rFonts w:hint="eastAsia" w:ascii="仿宋" w:hAnsi="仿宋" w:eastAsia="仿宋" w:cs="仿宋"/>
          <w:b/>
          <w:bCs/>
          <w:color w:val="auto"/>
          <w:sz w:val="24"/>
          <w:szCs w:val="24"/>
          <w:highlight w:val="none"/>
        </w:rPr>
        <w:t>、其他服务和商务要求</w:t>
      </w:r>
    </w:p>
    <w:p>
      <w:pPr>
        <w:pageBreakBefore w:val="0"/>
        <w:kinsoku/>
        <w:wordWrap/>
        <w:overflowPunct/>
        <w:topLinePunct w:val="0"/>
        <w:bidi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宋体" w:hAnsi="宋体" w:eastAsia="宋体" w:cs="宋体"/>
          <w:b/>
          <w:bCs/>
          <w:color w:val="auto"/>
          <w:sz w:val="24"/>
          <w:szCs w:val="24"/>
          <w:highlight w:val="none"/>
        </w:rPr>
        <w:t>★</w:t>
      </w:r>
      <w:r>
        <w:rPr>
          <w:rFonts w:hint="eastAsia" w:ascii="仿宋" w:hAnsi="仿宋" w:eastAsia="仿宋" w:cs="仿宋"/>
          <w:b/>
          <w:bCs/>
          <w:color w:val="auto"/>
          <w:sz w:val="24"/>
          <w:szCs w:val="24"/>
          <w:highlight w:val="none"/>
        </w:rPr>
        <w:t>1、为提升中药饮片的药品质量水平和服务质量水平的各个方面，确保中药饮片成品及煎药质量，根据医院要求，完成中药数字化质控；根据建设浙江中药服务在线，实现“最多跑一次”，签订合同之日起</w:t>
      </w:r>
      <w:r>
        <w:rPr>
          <w:rFonts w:hint="eastAsia" w:ascii="仿宋" w:hAnsi="仿宋" w:eastAsia="仿宋" w:cs="仿宋"/>
          <w:b/>
          <w:bCs/>
          <w:color w:val="auto"/>
          <w:sz w:val="24"/>
          <w:szCs w:val="24"/>
          <w:highlight w:val="none"/>
          <w:lang w:val="en-US" w:eastAsia="zh-CN"/>
        </w:rPr>
        <w:t>90天</w:t>
      </w:r>
      <w:r>
        <w:rPr>
          <w:rFonts w:hint="eastAsia" w:ascii="仿宋" w:hAnsi="仿宋" w:eastAsia="仿宋" w:cs="仿宋"/>
          <w:b/>
          <w:bCs/>
          <w:color w:val="auto"/>
          <w:sz w:val="24"/>
          <w:szCs w:val="24"/>
          <w:highlight w:val="none"/>
        </w:rPr>
        <w:t>内完成从处方到到患者拿到药物的每一个环节的溯源（投标文件中提供承诺函）</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中标后如未按约定履行的，采购人有权</w:t>
      </w:r>
      <w:r>
        <w:rPr>
          <w:rFonts w:hint="eastAsia" w:ascii="仿宋" w:hAnsi="仿宋" w:eastAsia="仿宋" w:cs="仿宋"/>
          <w:b/>
          <w:bCs/>
          <w:color w:val="auto"/>
          <w:sz w:val="24"/>
          <w:szCs w:val="24"/>
          <w:highlight w:val="none"/>
          <w:lang w:val="en-US" w:eastAsia="zh-CN"/>
        </w:rPr>
        <w:t>单方面终止合同</w:t>
      </w:r>
      <w:r>
        <w:rPr>
          <w:rFonts w:hint="eastAsia" w:ascii="仿宋" w:hAnsi="仿宋" w:eastAsia="仿宋" w:cs="仿宋"/>
          <w:b/>
          <w:bCs/>
          <w:color w:val="auto"/>
          <w:sz w:val="24"/>
          <w:szCs w:val="24"/>
          <w:highlight w:val="none"/>
        </w:rPr>
        <w:t>，并没收全部履约保证金，并将其列入黑名单）。</w:t>
      </w:r>
    </w:p>
    <w:p>
      <w:pPr>
        <w:pageBreakBefore w:val="0"/>
        <w:kinsoku/>
        <w:wordWrap/>
        <w:overflowPunct/>
        <w:topLinePunct w:val="0"/>
        <w:bidi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2、服务期：</w:t>
      </w:r>
      <w:r>
        <w:rPr>
          <w:rFonts w:hint="eastAsia" w:ascii="仿宋" w:hAnsi="仿宋" w:eastAsia="仿宋" w:cs="仿宋"/>
          <w:b w:val="0"/>
          <w:bCs w:val="0"/>
          <w:color w:val="auto"/>
          <w:sz w:val="24"/>
          <w:szCs w:val="24"/>
          <w:highlight w:val="none"/>
        </w:rPr>
        <w:t>自合同签订之日起</w:t>
      </w: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rPr>
        <w:t>年，合同采取一年一签的方式，第一年服务期满，经采购单位</w:t>
      </w:r>
      <w:r>
        <w:rPr>
          <w:rFonts w:hint="eastAsia" w:ascii="仿宋" w:hAnsi="仿宋" w:eastAsia="仿宋" w:cs="仿宋"/>
          <w:b w:val="0"/>
          <w:bCs w:val="0"/>
          <w:color w:val="auto"/>
          <w:sz w:val="24"/>
          <w:szCs w:val="24"/>
          <w:highlight w:val="none"/>
          <w:lang w:eastAsia="zh-CN"/>
        </w:rPr>
        <w:t>药事会讨论</w:t>
      </w:r>
      <w:r>
        <w:rPr>
          <w:rFonts w:hint="eastAsia" w:ascii="仿宋" w:hAnsi="仿宋" w:eastAsia="仿宋" w:cs="仿宋"/>
          <w:b w:val="0"/>
          <w:bCs w:val="0"/>
          <w:color w:val="auto"/>
          <w:sz w:val="24"/>
          <w:szCs w:val="24"/>
          <w:highlight w:val="none"/>
        </w:rPr>
        <w:t>通过后，在政策</w:t>
      </w:r>
      <w:r>
        <w:rPr>
          <w:rFonts w:hint="eastAsia" w:ascii="仿宋" w:hAnsi="仿宋" w:eastAsia="仿宋" w:cs="仿宋"/>
          <w:b w:val="0"/>
          <w:bCs w:val="0"/>
          <w:color w:val="auto"/>
          <w:sz w:val="24"/>
          <w:szCs w:val="24"/>
          <w:highlight w:val="none"/>
          <w:lang w:eastAsia="zh-CN"/>
        </w:rPr>
        <w:t>、</w:t>
      </w:r>
      <w:r>
        <w:rPr>
          <w:rFonts w:hint="eastAsia" w:ascii="仿宋" w:hAnsi="仿宋" w:eastAsia="仿宋" w:cs="仿宋"/>
          <w:b w:val="0"/>
          <w:bCs w:val="0"/>
          <w:color w:val="auto"/>
          <w:sz w:val="24"/>
          <w:szCs w:val="24"/>
          <w:highlight w:val="none"/>
        </w:rPr>
        <w:t>服务价格、</w:t>
      </w:r>
      <w:r>
        <w:rPr>
          <w:rFonts w:hint="eastAsia" w:ascii="仿宋" w:hAnsi="仿宋" w:eastAsia="仿宋" w:cs="仿宋"/>
          <w:b w:val="0"/>
          <w:bCs w:val="0"/>
          <w:color w:val="auto"/>
          <w:sz w:val="24"/>
          <w:szCs w:val="24"/>
          <w:highlight w:val="none"/>
          <w:lang w:eastAsia="zh-CN"/>
        </w:rPr>
        <w:t>质量</w:t>
      </w:r>
      <w:r>
        <w:rPr>
          <w:rFonts w:hint="eastAsia" w:ascii="仿宋" w:hAnsi="仿宋" w:eastAsia="仿宋" w:cs="仿宋"/>
          <w:b w:val="0"/>
          <w:bCs w:val="0"/>
          <w:color w:val="auto"/>
          <w:sz w:val="24"/>
          <w:szCs w:val="24"/>
          <w:highlight w:val="none"/>
        </w:rPr>
        <w:t>不变的前提下，签订第二年合同，如考核结果不达标或政策出现变动的，采购人有权单方面终止合同。</w:t>
      </w:r>
    </w:p>
    <w:p>
      <w:pPr>
        <w:pageBreakBefore w:val="0"/>
        <w:kinsoku/>
        <w:wordWrap/>
        <w:overflowPunct/>
        <w:topLinePunct w:val="0"/>
        <w:bidi w:val="0"/>
        <w:adjustRightIn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质量要求：</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lang w:val="zh-CN"/>
        </w:rPr>
        <w:t>承诺出售给</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lang w:val="zh-CN"/>
        </w:rPr>
        <w:t>的饮片质量符合《中国药典》2020版、《浙江省中药炮制规范》2015版等法律法规的要求。</w:t>
      </w:r>
      <w:r>
        <w:rPr>
          <w:rFonts w:hint="eastAsia" w:ascii="仿宋" w:hAnsi="仿宋" w:eastAsia="仿宋" w:cs="仿宋"/>
          <w:color w:val="auto"/>
          <w:sz w:val="24"/>
          <w:szCs w:val="24"/>
          <w:highlight w:val="none"/>
        </w:rPr>
        <w:t>无伪品，虫蛀、走油、变质、霉变及非药用部位掺杂等情况的发生。</w:t>
      </w:r>
      <w:r>
        <w:rPr>
          <w:rFonts w:hint="eastAsia" w:ascii="仿宋" w:hAnsi="仿宋" w:eastAsia="仿宋" w:cs="仿宋"/>
          <w:color w:val="auto"/>
          <w:sz w:val="24"/>
          <w:szCs w:val="24"/>
          <w:highlight w:val="none"/>
          <w:lang w:val="zh-CN"/>
        </w:rPr>
        <w:t>所提供的饮片质量不得低于本次招标提供的样品</w:t>
      </w:r>
      <w:r>
        <w:rPr>
          <w:rFonts w:hint="eastAsia" w:ascii="仿宋" w:hAnsi="仿宋" w:eastAsia="仿宋" w:cs="仿宋"/>
          <w:color w:val="auto"/>
          <w:sz w:val="24"/>
          <w:szCs w:val="24"/>
          <w:highlight w:val="none"/>
        </w:rPr>
        <w:t>，提供给</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的中药饮片须标明品名、规格、批号、产地、分装日期、生产企业、执行标准。且每个批次的饮片都需提供检验报告单，且报告单上的批号需与实物完全对应。实行批准文号管理的中药材和中药饮片的品种还需标明批准文号。</w:t>
      </w:r>
    </w:p>
    <w:p>
      <w:pPr>
        <w:pageBreakBefore w:val="0"/>
        <w:kinsoku/>
        <w:wordWrap/>
        <w:overflowPunct/>
        <w:topLinePunct w:val="0"/>
        <w:bidi w:val="0"/>
        <w:adjustRightIn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4</w:t>
      </w:r>
      <w:r>
        <w:rPr>
          <w:rFonts w:hint="eastAsia" w:ascii="仿宋" w:hAnsi="仿宋" w:eastAsia="仿宋" w:cs="仿宋"/>
          <w:b/>
          <w:bCs/>
          <w:color w:val="auto"/>
          <w:sz w:val="24"/>
          <w:szCs w:val="24"/>
          <w:highlight w:val="none"/>
        </w:rPr>
        <w:t>、特殊中药饮片的管理要求：</w:t>
      </w:r>
      <w:r>
        <w:rPr>
          <w:rFonts w:hint="eastAsia" w:ascii="仿宋" w:hAnsi="仿宋" w:eastAsia="仿宋" w:cs="仿宋"/>
          <w:color w:val="auto"/>
          <w:sz w:val="24"/>
          <w:szCs w:val="24"/>
          <w:highlight w:val="none"/>
        </w:rPr>
        <w:t>按照麻醉药品管理的中药饮片和毒性中药饮片必须符合《麻醉药品和精神药品管理条例》、《医疗用毒性药品管理办法》和《处方管理办法》等有关规定。经营陆生野生动物品种的必须提供相关部门核发的核准证。</w:t>
      </w:r>
    </w:p>
    <w:p>
      <w:pPr>
        <w:pageBreakBefore w:val="0"/>
        <w:kinsoku/>
        <w:wordWrap/>
        <w:overflowPunct/>
        <w:topLinePunct w:val="0"/>
        <w:bidi w:val="0"/>
        <w:adjustRightIn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、供货要求：</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必须保证</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所需的中药饮片的品种、规格、数量的正常供应。如果</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不能正常供货，必须向</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说明理由并提供解决方案。</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供应的中药饮片批号，按</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临床用量情况，</w:t>
      </w:r>
      <w:r>
        <w:rPr>
          <w:rFonts w:hint="eastAsia" w:ascii="仿宋" w:hAnsi="仿宋" w:eastAsia="仿宋" w:cs="仿宋"/>
          <w:color w:val="auto"/>
          <w:sz w:val="24"/>
          <w:szCs w:val="24"/>
          <w:highlight w:val="none"/>
          <w:u w:val="single"/>
        </w:rPr>
        <w:t>常用品种批号应半年以内，不常用品种批号应一年以内。</w:t>
      </w:r>
      <w:r>
        <w:rPr>
          <w:rFonts w:hint="eastAsia" w:ascii="仿宋" w:hAnsi="仿宋" w:eastAsia="仿宋" w:cs="仿宋"/>
          <w:color w:val="auto"/>
          <w:sz w:val="24"/>
          <w:szCs w:val="24"/>
          <w:highlight w:val="none"/>
        </w:rPr>
        <w:t>若批号不符要求的，</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承诺给予退换货。考虑到饮片损耗的问题，</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在供应的量上必须考虑1:1.02的比例进行供货。</w:t>
      </w:r>
    </w:p>
    <w:p>
      <w:pPr>
        <w:pageBreakBefore w:val="0"/>
        <w:kinsoku/>
        <w:wordWrap/>
        <w:overflowPunct/>
        <w:topLinePunct w:val="0"/>
        <w:bidi w:val="0"/>
        <w:adjustRightInd w:val="0"/>
        <w:spacing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w:t>
      </w:r>
      <w:r>
        <w:rPr>
          <w:rFonts w:hint="eastAsia" w:ascii="仿宋" w:hAnsi="仿宋" w:eastAsia="仿宋" w:cs="仿宋"/>
          <w:b/>
          <w:bCs/>
          <w:color w:val="auto"/>
          <w:sz w:val="24"/>
          <w:szCs w:val="24"/>
          <w:highlight w:val="none"/>
          <w:lang w:val="zh-CN"/>
        </w:rPr>
        <w:t>验收的标准、方法和时间：</w:t>
      </w:r>
      <w:r>
        <w:rPr>
          <w:rFonts w:hint="eastAsia" w:ascii="仿宋" w:hAnsi="仿宋" w:eastAsia="仿宋" w:cs="仿宋"/>
          <w:b w:val="0"/>
          <w:bCs w:val="0"/>
          <w:color w:val="auto"/>
          <w:sz w:val="24"/>
          <w:szCs w:val="24"/>
          <w:highlight w:val="none"/>
          <w:lang w:val="en-US" w:eastAsia="zh-CN"/>
        </w:rPr>
        <w:t>采购人</w:t>
      </w:r>
      <w:r>
        <w:rPr>
          <w:rFonts w:hint="eastAsia" w:ascii="仿宋" w:hAnsi="仿宋" w:eastAsia="仿宋" w:cs="仿宋"/>
          <w:b w:val="0"/>
          <w:bCs w:val="0"/>
          <w:color w:val="auto"/>
          <w:sz w:val="24"/>
          <w:szCs w:val="24"/>
          <w:highlight w:val="none"/>
          <w:lang w:val="zh-CN"/>
        </w:rPr>
        <w:t>按照《药品管理法》、相关的验收制度和药品发票（国家税务）、随货单在药库予以验收，验收中发现不符合要求的，如饮片质量</w:t>
      </w:r>
      <w:r>
        <w:rPr>
          <w:rFonts w:hint="eastAsia" w:ascii="仿宋" w:hAnsi="仿宋" w:eastAsia="仿宋" w:cs="仿宋"/>
          <w:b w:val="0"/>
          <w:bCs w:val="0"/>
          <w:color w:val="auto"/>
          <w:sz w:val="24"/>
          <w:szCs w:val="24"/>
          <w:highlight w:val="none"/>
          <w:lang w:val="zh-CN" w:eastAsia="zh-CN"/>
        </w:rPr>
        <w:t>不符合嵊州市中医院中药饮片验收标准或</w:t>
      </w:r>
      <w:r>
        <w:rPr>
          <w:rFonts w:hint="eastAsia" w:ascii="仿宋" w:hAnsi="仿宋" w:eastAsia="仿宋" w:cs="仿宋"/>
          <w:b w:val="0"/>
          <w:bCs w:val="0"/>
          <w:color w:val="auto"/>
          <w:sz w:val="24"/>
          <w:szCs w:val="24"/>
          <w:highlight w:val="none"/>
          <w:lang w:val="zh-CN"/>
        </w:rPr>
        <w:t>《药典》2020版或《浙江省炮制规范》2015版规定</w:t>
      </w:r>
      <w:r>
        <w:rPr>
          <w:rFonts w:hint="eastAsia" w:ascii="仿宋" w:hAnsi="仿宋" w:eastAsia="仿宋" w:cs="仿宋"/>
          <w:b w:val="0"/>
          <w:bCs w:val="0"/>
          <w:color w:val="auto"/>
          <w:sz w:val="24"/>
          <w:szCs w:val="24"/>
          <w:highlight w:val="none"/>
          <w:lang w:val="zh-CN" w:eastAsia="zh-CN"/>
        </w:rPr>
        <w:t>（采购期内</w:t>
      </w:r>
      <w:r>
        <w:rPr>
          <w:rFonts w:hint="eastAsia" w:ascii="仿宋" w:hAnsi="仿宋" w:eastAsia="仿宋" w:cs="仿宋"/>
          <w:b w:val="0"/>
          <w:bCs w:val="0"/>
          <w:color w:val="auto"/>
          <w:sz w:val="24"/>
          <w:szCs w:val="24"/>
          <w:highlight w:val="none"/>
          <w:lang w:val="zh-CN"/>
        </w:rPr>
        <w:t>《药典》或《浙江省炮制规范》</w:t>
      </w:r>
      <w:r>
        <w:rPr>
          <w:rFonts w:hint="eastAsia" w:ascii="仿宋" w:hAnsi="仿宋" w:eastAsia="仿宋" w:cs="仿宋"/>
          <w:b w:val="0"/>
          <w:bCs w:val="0"/>
          <w:color w:val="auto"/>
          <w:sz w:val="24"/>
          <w:szCs w:val="24"/>
          <w:highlight w:val="none"/>
          <w:lang w:val="zh-CN" w:eastAsia="zh-CN"/>
        </w:rPr>
        <w:t>有更新的，按照最新的执行）</w:t>
      </w:r>
      <w:r>
        <w:rPr>
          <w:rFonts w:hint="eastAsia" w:ascii="仿宋" w:hAnsi="仿宋" w:eastAsia="仿宋" w:cs="仿宋"/>
          <w:b w:val="0"/>
          <w:bCs w:val="0"/>
          <w:color w:val="auto"/>
          <w:sz w:val="24"/>
          <w:szCs w:val="24"/>
          <w:highlight w:val="none"/>
          <w:lang w:val="zh-CN"/>
        </w:rPr>
        <w:t>；随货单上饮片品种、数量、产地、炮制要求、包装标签标识与采购计划单不符</w:t>
      </w:r>
      <w:r>
        <w:rPr>
          <w:rFonts w:hint="eastAsia" w:ascii="仿宋" w:hAnsi="仿宋" w:eastAsia="仿宋" w:cs="仿宋"/>
          <w:b w:val="0"/>
          <w:bCs w:val="0"/>
          <w:color w:val="auto"/>
          <w:sz w:val="24"/>
          <w:szCs w:val="24"/>
          <w:highlight w:val="none"/>
          <w:lang w:val="zh-CN" w:eastAsia="zh-CN"/>
        </w:rPr>
        <w:t>及同一批采购单不得有不同批号的同一种中药饮片</w:t>
      </w:r>
      <w:r>
        <w:rPr>
          <w:rFonts w:hint="eastAsia" w:ascii="仿宋" w:hAnsi="仿宋" w:eastAsia="仿宋" w:cs="仿宋"/>
          <w:b w:val="0"/>
          <w:bCs w:val="0"/>
          <w:color w:val="auto"/>
          <w:sz w:val="24"/>
          <w:szCs w:val="24"/>
          <w:highlight w:val="none"/>
          <w:lang w:val="zh-CN"/>
        </w:rPr>
        <w:t>；包装质量（空包、连包、破损、装量差异≥</w:t>
      </w:r>
      <m:oMath>
        <m:r>
          <m:rPr>
            <m:sty m:val="p"/>
          </m:rPr>
          <w:rPr>
            <w:rFonts w:ascii="Cambria Math" w:hAnsi="Cambria Math" w:eastAsia="宋体"/>
            <w:color w:val="auto"/>
            <w:sz w:val="24"/>
            <w:highlight w:val="none"/>
          </w:rPr>
          <m:t>±</m:t>
        </m:r>
        <m:r>
          <m:rPr>
            <m:sty m:val="p"/>
          </m:rPr>
          <w:rPr>
            <w:rFonts w:hint="eastAsia" w:ascii="Cambria Math" w:hAnsi="Cambria Math" w:eastAsia="宋体"/>
            <w:color w:val="auto"/>
            <w:sz w:val="24"/>
            <w:highlight w:val="none"/>
          </w:rPr>
          <m:t>5</m:t>
        </m:r>
        <m:r>
          <m:rPr>
            <m:sty m:val="p"/>
          </m:rPr>
          <w:rPr>
            <w:rFonts w:ascii="Cambria Math" w:hAnsi="Cambria Math" w:eastAsia="宋体"/>
            <w:color w:val="auto"/>
            <w:sz w:val="24"/>
            <w:highlight w:val="none"/>
          </w:rPr>
          <m:t>%</m:t>
        </m:r>
      </m:oMath>
      <w:r>
        <w:rPr>
          <w:rFonts w:hint="eastAsia" w:ascii="仿宋" w:hAnsi="仿宋" w:eastAsia="仿宋" w:cs="仿宋"/>
          <w:b w:val="0"/>
          <w:bCs w:val="0"/>
          <w:color w:val="auto"/>
          <w:sz w:val="24"/>
          <w:szCs w:val="24"/>
          <w:highlight w:val="none"/>
          <w:lang w:val="zh-CN"/>
        </w:rPr>
        <w:fldChar w:fldCharType="begin"/>
      </w:r>
      <w:r>
        <w:rPr>
          <w:rFonts w:hint="eastAsia" w:ascii="仿宋" w:hAnsi="仿宋" w:eastAsia="仿宋" w:cs="仿宋"/>
          <w:b w:val="0"/>
          <w:bCs w:val="0"/>
          <w:color w:val="auto"/>
          <w:sz w:val="24"/>
          <w:szCs w:val="24"/>
          <w:highlight w:val="none"/>
          <w:lang w:val="zh-CN"/>
        </w:rPr>
        <w:instrText xml:space="preserve"> QUOTE </w:instrText>
      </w:r>
      <w:r>
        <w:rPr>
          <w:rFonts w:hint="eastAsia" w:ascii="仿宋" w:hAnsi="仿宋" w:eastAsia="仿宋" w:cs="仿宋"/>
          <w:b w:val="0"/>
          <w:bCs w:val="0"/>
          <w:color w:val="auto"/>
          <w:sz w:val="24"/>
          <w:szCs w:val="24"/>
          <w:highlight w:val="none"/>
          <w:lang w:val="zh-CN"/>
        </w:rPr>
        <w:pict>
          <v:shape id="_x0000_i1025" o:spt="75" type="#_x0000_t75" style="height:15.75pt;width:26.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7301&quot;/&gt;&lt;wsp:rsid wsp:val=&quot;00007879&quot;/&gt;&lt;wsp:rsid wsp:val=&quot;00032A5E&quot;/&gt;&lt;wsp:rsid wsp:val=&quot;0006406A&quot;/&gt;&lt;wsp:rsid wsp:val=&quot;0006644A&quot;/&gt;&lt;wsp:rsid wsp:val=&quot;000B6BCF&quot;/&gt;&lt;wsp:rsid wsp:val=&quot;000B70B4&quot;/&gt;&lt;wsp:rsid wsp:val=&quot;00134CD6&quot;/&gt;&lt;wsp:rsid wsp:val=&quot;0017638F&quot;/&gt;&lt;wsp:rsid wsp:val=&quot;0019081A&quot;/&gt;&lt;wsp:rsid wsp:val=&quot;001D6B74&quot;/&gt;&lt;wsp:rsid wsp:val=&quot;001E2D36&quot;/&gt;&lt;wsp:rsid wsp:val=&quot;001F0703&quot;/&gt;&lt;wsp:rsid wsp:val=&quot;001F2473&quot;/&gt;&lt;wsp:rsid wsp:val=&quot;00213396&quot;/&gt;&lt;wsp:rsid wsp:val=&quot;0022070B&quot;/&gt;&lt;wsp:rsid wsp:val=&quot;00221C6F&quot;/&gt;&lt;wsp:rsid wsp:val=&quot;002610B0&quot;/&gt;&lt;wsp:rsid wsp:val=&quot;00275858&quot;/&gt;&lt;wsp:rsid wsp:val=&quot;00303959&quot;/&gt;&lt;wsp:rsid wsp:val=&quot;003166A5&quot;/&gt;&lt;wsp:rsid wsp:val=&quot;00325DB5&quot;/&gt;&lt;wsp:rsid wsp:val=&quot;003360B1&quot;/&gt;&lt;wsp:rsid wsp:val=&quot;00352B80&quot;/&gt;&lt;wsp:rsid wsp:val=&quot;003B608C&quot;/&gt;&lt;wsp:rsid wsp:val=&quot;003B690B&quot;/&gt;&lt;wsp:rsid wsp:val=&quot;003D687A&quot;/&gt;&lt;wsp:rsid wsp:val=&quot;0041269C&quot;/&gt;&lt;wsp:rsid wsp:val=&quot;0041789F&quot;/&gt;&lt;wsp:rsid wsp:val=&quot;00477274&quot;/&gt;&lt;wsp:rsid wsp:val=&quot;004902F1&quot;/&gt;&lt;wsp:rsid wsp:val=&quot;00555E35&quot;/&gt;&lt;wsp:rsid wsp:val=&quot;00567EDE&quot;/&gt;&lt;wsp:rsid wsp:val=&quot;005E2A39&quot;/&gt;&lt;wsp:rsid wsp:val=&quot;006216CC&quot;/&gt;&lt;wsp:rsid wsp:val=&quot;00650C70&quot;/&gt;&lt;wsp:rsid wsp:val=&quot;00656DF7&quot;/&gt;&lt;wsp:rsid wsp:val=&quot;006775C9&quot;/&gt;&lt;wsp:rsid wsp:val=&quot;006D4D18&quot;/&gt;&lt;wsp:rsid wsp:val=&quot;006F41B4&quot;/&gt;&lt;wsp:rsid wsp:val=&quot;00707C8E&quot;/&gt;&lt;wsp:rsid wsp:val=&quot;00765D08&quot;/&gt;&lt;wsp:rsid wsp:val=&quot;00765FCD&quot;/&gt;&lt;wsp:rsid wsp:val=&quot;007B2B25&quot;/&gt;&lt;wsp:rsid wsp:val=&quot;007C0D69&quot;/&gt;&lt;wsp:rsid wsp:val=&quot;007E4935&quot;/&gt;&lt;wsp:rsid wsp:val=&quot;007E7CF1&quot;/&gt;&lt;wsp:rsid wsp:val=&quot;007F291C&quot;/&gt;&lt;wsp:rsid wsp:val=&quot;008139FC&quot;/&gt;&lt;wsp:rsid wsp:val=&quot;0082226E&quot;/&gt;&lt;wsp:rsid wsp:val=&quot;008A14E5&quot;/&gt;&lt;wsp:rsid wsp:val=&quot;008D17E1&quot;/&gt;&lt;wsp:rsid wsp:val=&quot;008E575E&quot;/&gt;&lt;wsp:rsid wsp:val=&quot;008F73D2&quot;/&gt;&lt;wsp:rsid wsp:val=&quot;009135E4&quot;/&gt;&lt;wsp:rsid wsp:val=&quot;0092405C&quot;/&gt;&lt;wsp:rsid wsp:val=&quot;009447FE&quot;/&gt;&lt;wsp:rsid wsp:val=&quot;00945403&quot;/&gt;&lt;wsp:rsid wsp:val=&quot;009A5E18&quot;/&gt;&lt;wsp:rsid wsp:val=&quot;009F3084&quot;/&gt;&lt;wsp:rsid wsp:val=&quot;00A40F25&quot;/&gt;&lt;wsp:rsid wsp:val=&quot;00A42CF0&quot;/&gt;&lt;wsp:rsid wsp:val=&quot;00A51609&quot;/&gt;&lt;wsp:rsid wsp:val=&quot;00AA39FD&quot;/&gt;&lt;wsp:rsid wsp:val=&quot;00AC7E0D&quot;/&gt;&lt;wsp:rsid wsp:val=&quot;00AD2301&quot;/&gt;&lt;wsp:rsid wsp:val=&quot;00B47D83&quot;/&gt;&lt;wsp:rsid wsp:val=&quot;00C37B6E&quot;/&gt;&lt;wsp:rsid wsp:val=&quot;00C532B2&quot;/&gt;&lt;wsp:rsid wsp:val=&quot;00C6280D&quot;/&gt;&lt;wsp:rsid wsp:val=&quot;00CA6EC9&quot;/&gt;&lt;wsp:rsid wsp:val=&quot;00CE5AFC&quot;/&gt;&lt;wsp:rsid wsp:val=&quot;00D11FFD&quot;/&gt;&lt;wsp:rsid wsp:val=&quot;00D159C1&quot;/&gt;&lt;wsp:rsid wsp:val=&quot;00D22058&quot;/&gt;&lt;wsp:rsid wsp:val=&quot;00D242C5&quot;/&gt;&lt;wsp:rsid wsp:val=&quot;00D26402&quot;/&gt;&lt;wsp:rsid wsp:val=&quot;00D9772A&quot;/&gt;&lt;wsp:rsid wsp:val=&quot;00DB592F&quot;/&gt;&lt;wsp:rsid wsp:val=&quot;00E30D30&quot;/&gt;&lt;wsp:rsid wsp:val=&quot;00E4082E&quot;/&gt;&lt;wsp:rsid wsp:val=&quot;00E66E59&quot;/&gt;&lt;wsp:rsid wsp:val=&quot;00E8072E&quot;/&gt;&lt;wsp:rsid wsp:val=&quot;00EA60EB&quot;/&gt;&lt;wsp:rsid wsp:val=&quot;00F0693C&quot;/&gt;&lt;wsp:rsid wsp:val=&quot;00F32403&quot;/&gt;&lt;wsp:rsid wsp:val=&quot;00F33C9B&quot;/&gt;&lt;wsp:rsid wsp:val=&quot;00F4500E&quot;/&gt;&lt;wsp:rsid wsp:val=&quot;00F65613&quot;/&gt;&lt;wsp:rsid wsp:val=&quot;00F77669&quot;/&gt;&lt;wsp:rsid wsp:val=&quot;00F97A43&quot;/&gt;&lt;wsp:rsid wsp:val=&quot;00FA1204&quot;/&gt;&lt;wsp:rsid wsp:val=&quot;00FA7009&quot;/&gt;&lt;wsp:rsid wsp:val=&quot;00FB5555&quot;/&gt;&lt;wsp:rsid wsp:val=&quot;00FD448E&quot;/&gt;&lt;wsp:rsid wsp:val=&quot;019A362C&quot;/&gt;&lt;wsp:rsid wsp:val=&quot;019A6EAF&quot;/&gt;&lt;wsp:rsid wsp:val=&quot;01FB5C4F&quot;/&gt;&lt;wsp:rsid wsp:val=&quot;023C66B8&quot;/&gt;&lt;wsp:rsid wsp:val=&quot;024702CC&quot;/&gt;&lt;wsp:rsid wsp:val=&quot;02522DDA&quot;/&gt;&lt;wsp:rsid wsp:val=&quot;02672D80&quot;/&gt;&lt;wsp:rsid wsp:val=&quot;027E54AD&quot;/&gt;&lt;wsp:rsid wsp:val=&quot;02CA179F&quot;/&gt;&lt;wsp:rsid wsp:val=&quot;0314419D&quot;/&gt;&lt;wsp:rsid wsp:val=&quot;03C4523A&quot;/&gt;&lt;wsp:rsid wsp:val=&quot;03CE35CB&quot;/&gt;&lt;wsp:rsid wsp:val=&quot;04716658&quot;/&gt;&lt;wsp:rsid wsp:val=&quot;04832654&quot;/&gt;&lt;wsp:rsid wsp:val=&quot;04A610B0&quot;/&gt;&lt;wsp:rsid wsp:val=&quot;04BD5452&quot;/&gt;&lt;wsp:rsid wsp:val=&quot;04E81A9D&quot;/&gt;&lt;wsp:rsid wsp:val=&quot;05097AD0&quot;/&gt;&lt;wsp:rsid wsp:val=&quot;05B5126E&quot;/&gt;&lt;wsp:rsid wsp:val=&quot;05C1727E&quot;/&gt;&lt;wsp:rsid wsp:val=&quot;05D639A0&quot;/&gt;&lt;wsp:rsid wsp:val=&quot;0623601E&quot;/&gt;&lt;wsp:rsid wsp:val=&quot;06443FD4&quot;/&gt;&lt;wsp:rsid wsp:val=&quot;06C510AB&quot;/&gt;&lt;wsp:rsid wsp:val=&quot;07071B14&quot;/&gt;&lt;wsp:rsid wsp:val=&quot;07886BEA&quot;/&gt;&lt;wsp:rsid wsp:val=&quot;07BB53C7&quot;/&gt;&lt;wsp:rsid wsp:val=&quot;07CA2ED7&quot;/&gt;&lt;wsp:rsid wsp:val=&quot;07DF75F9&quot;/&gt;&lt;wsp:rsid wsp:val=&quot;07E02C7B&quot;/&gt;&lt;wsp:rsid wsp:val=&quot;07E07279&quot;/&gt;&lt;wsp:rsid wsp:val=&quot;07EB560A&quot;/&gt;&lt;wsp:rsid wsp:val=&quot;07F6399B&quot;/&gt;&lt;wsp:rsid wsp:val=&quot;08377C87&quot;/&gt;&lt;wsp:rsid wsp:val=&quot;08442237&quot;/&gt;&lt;wsp:rsid wsp:val=&quot;08575FBE&quot;/&gt;&lt;wsp:rsid wsp:val=&quot;088E0696&quot;/&gt;&lt;wsp:rsid wsp:val=&quot;08986A27&quot;/&gt;&lt;wsp:rsid wsp:val=&quot;08AE3149&quot;/&gt;&lt;wsp:rsid wsp:val=&quot;08B84D5E&quot;/&gt;&lt;wsp:rsid wsp:val=&quot;08C330EF&quot;/&gt;&lt;wsp:rsid wsp:val=&quot;08C52D6F&quot;/&gt;&lt;wsp:rsid wsp:val=&quot;08EF7436&quot;/&gt;&lt;wsp:rsid wsp:val=&quot;091B377D&quot;/&gt;&lt;wsp:rsid wsp:val=&quot;09261B0E&quot;/&gt;&lt;wsp:rsid wsp:val=&quot;095B7DEA&quot;/&gt;&lt;wsp:rsid wsp:val=&quot;0972418C&quot;/&gt;&lt;wsp:rsid wsp:val=&quot;099D0853&quot;/&gt;&lt;wsp:rsid wsp:val=&quot;0A765FB8&quot;/&gt;&lt;wsp:rsid wsp:val=&quot;0A8C26DA&quot;/&gt;&lt;wsp:rsid wsp:val=&quot;0B0808B8&quot;/&gt;&lt;wsp:rsid wsp:val=&quot;0B0D77B0&quot;/&gt;&lt;wsp:rsid wsp:val=&quot;0B0E7430&quot;/&gt;&lt;wsp:rsid wsp:val=&quot;0B243B52&quot;/&gt;&lt;wsp:rsid wsp:val=&quot;0B2E5767&quot;/&gt;&lt;wsp:rsid wsp:val=&quot;0B441E89&quot;/&gt;&lt;wsp:rsid wsp:val=&quot;0B7B7DE4&quot;/&gt;&lt;wsp:rsid wsp:val=&quot;0BBA0BCE&quot;/&gt;&lt;wsp:rsid wsp:val=&quot;0BC76BDF&quot;/&gt;&lt;wsp:rsid wsp:val=&quot;0BF132A6&quot;/&gt;&lt;wsp:rsid wsp:val=&quot;0C337593&quot;/&gt;&lt;wsp:rsid wsp:val=&quot;0C9F46C4&quot;/&gt;&lt;wsp:rsid wsp:val=&quot;0CC0267A&quot;/&gt;&lt;wsp:rsid wsp:val=&quot;0CF74D52&quot;/&gt;&lt;wsp:rsid wsp:val=&quot;0D0C1474&quot;/&gt;&lt;wsp:rsid wsp:val=&quot;0D2C77AB&quot;/&gt;&lt;wsp:rsid wsp:val=&quot;0E1B4EB5&quot;/&gt;&lt;wsp:rsid wsp:val=&quot;0E290A20&quot;/&gt;&lt;wsp:rsid wsp:val=&quot;0E3015D7&quot;/&gt;&lt;wsp:rsid wsp:val=&quot;0E3C75E8&quot;/&gt;&lt;wsp:rsid wsp:val=&quot;0E5C209B&quot;/&gt;&lt;wsp:rsid wsp:val=&quot;0EE80D86&quot;/&gt;&lt;wsp:rsid wsp:val=&quot;0F0A34B9&quot;/&gt;&lt;wsp:rsid wsp:val=&quot;0F5613B9&quot;/&gt;&lt;wsp:rsid wsp:val=&quot;0F8D020F&quot;/&gt;&lt;wsp:rsid wsp:val=&quot;0FEE6FAE&quot;/&gt;&lt;wsp:rsid wsp:val=&quot;0FF90BC3&quot;/&gt;&lt;wsp:rsid wsp:val=&quot;1023528A&quot;/&gt;&lt;wsp:rsid wsp:val=&quot;107838CD&quot;/&gt;&lt;wsp:rsid wsp:val=&quot;10FD29EF&quot;/&gt;&lt;wsp:rsid wsp:val=&quot;11080D80&quot;/&gt;&lt;wsp:rsid wsp:val=&quot;11127111&quot;/&gt;&lt;wsp:rsid wsp:val=&quot;118A2253&quot;/&gt;&lt;wsp:rsid wsp:val=&quot;11990174&quot;/&gt;&lt;wsp:rsid wsp:val=&quot;11EC4876&quot;/&gt;&lt;wsp:rsid wsp:val=&quot;12180BBD&quot;/&gt;&lt;wsp:rsid wsp:val=&quot;123C05BC&quot;/&gt;&lt;wsp:rsid wsp:val=&quot;12591626&quot;/&gt;&lt;wsp:rsid wsp:val=&quot;128E407F&quot;/&gt;&lt;wsp:rsid wsp:val=&quot;12C61FDA&quot;/&gt;&lt;wsp:rsid wsp:val=&quot;12DB66FD&quot;/&gt;&lt;wsp:rsid wsp:val=&quot;13515442&quot;/&gt;&lt;wsp:rsid wsp:val=&quot;13A85E50&quot;/&gt;&lt;wsp:rsid wsp:val=&quot;13AA5AD0&quot;/&gt;&lt;wsp:rsid wsp:val=&quot;14162C01&quot;/&gt;&lt;wsp:rsid wsp:val=&quot;142B2BA6&quot;/&gt;&lt;wsp:rsid wsp:val=&quot;14576EEE&quot;/&gt;&lt;wsp:rsid wsp:val=&quot;146851DB&quot;/&gt;&lt;wsp:rsid wsp:val=&quot;14997957&quot;/&gt;&lt;wsp:rsid wsp:val=&quot;14B95C8D&quot;/&gt;&lt;wsp:rsid wsp:val=&quot;14CE23B0&quot;/&gt;&lt;wsp:rsid wsp:val=&quot;1538524A&quot;/&gt;&lt;wsp:rsid wsp:val=&quot;154410F5&quot;/&gt;&lt;wsp:rsid wsp:val=&quot;15457605&quot;/&gt;&lt;wsp:rsid wsp:val=&quot;15460D75&quot;/&gt;&lt;wsp:rsid wsp:val=&quot;157D344D&quot;/&gt;&lt;wsp:rsid wsp:val=&quot;15BD7ABA&quot;/&gt;&lt;wsp:rsid wsp:val=&quot;15D43E5C&quot;/&gt;&lt;wsp:rsid wsp:val=&quot;161E6859&quot;/&gt;&lt;wsp:rsid wsp:val=&quot;16550F32&quot;/&gt;&lt;wsp:rsid wsp:val=&quot;16757268&quot;/&gt;&lt;wsp:rsid wsp:val=&quot;168C360A&quot;/&gt;&lt;wsp:rsid wsp:val=&quot;16C16063&quot;/&gt;&lt;wsp:rsid wsp:val=&quot;16D85C88&quot;/&gt;&lt;wsp:rsid wsp:val=&quot;16F83FBE&quot;/&gt;&lt;wsp:rsid wsp:val=&quot;1727028C&quot;/&gt;&lt;wsp:rsid wsp:val=&quot;172F6697&quot;/&gt;&lt;wsp:rsid wsp:val=&quot;17441023&quot;/&gt;&lt;wsp:rsid wsp:val=&quot;174F49CD&quot;/&gt;&lt;wsp:rsid wsp:val=&quot;179A37C7&quot;/&gt;&lt;wsp:rsid wsp:val=&quot;17D15EA0&quot;/&gt;&lt;wsp:rsid wsp:val=&quot;181C089E&quot;/&gt;&lt;wsp:rsid wsp:val=&quot;181D7502&quot;/&gt;&lt;wsp:rsid wsp:val=&quot;182868AE&quot;/&gt;&lt;wsp:rsid wsp:val=&quot;18484BE5&quot;/&gt;&lt;wsp:rsid wsp:val=&quot;186C59CF&quot;/&gt;&lt;wsp:rsid wsp:val=&quot;18786643&quot;/&gt;&lt;wsp:rsid wsp:val=&quot;19004393&quot;/&gt;&lt;wsp:rsid wsp:val=&quot;19024013&quot;/&gt;&lt;wsp:rsid wsp:val=&quot;19216AC6&quot;/&gt;&lt;wsp:rsid wsp:val=&quot;1922234A&quot;/&gt;&lt;wsp:rsid wsp:val=&quot;19584A22&quot;/&gt;&lt;wsp:rsid wsp:val=&quot;1998580B&quot;/&gt;&lt;wsp:rsid wsp:val=&quot;19CF7EE4&quot;/&gt;&lt;wsp:rsid wsp:val=&quot;1A323AF5&quot;/&gt;&lt;wsp:rsid wsp:val=&quot;1A5D684E&quot;/&gt;&lt;wsp:rsid wsp:val=&quot;1ABE55EE&quot;/&gt;&lt;wsp:rsid wsp:val=&quot;1AF57CC6&quot;/&gt;&lt;wsp:rsid wsp:val=&quot;1B0700AB&quot;/&gt;&lt;wsp:rsid wsp:val=&quot;1B4B06D5&quot;/&gt;&lt;wsp:rsid wsp:val=&quot;1B5252BE&quot;/&gt;&lt;wsp:rsid wsp:val=&quot;1B80312D&quot;/&gt;&lt;wsp:rsid wsp:val=&quot;1BB75806&quot;/&gt;&lt;wsp:rsid wsp:val=&quot;1BD04330&quot;/&gt;&lt;wsp:rsid wsp:val=&quot;1C0E1A98&quot;/&gt;&lt;wsp:rsid wsp:val=&quot;1C1945A6&quot;/&gt;&lt;wsp:rsid wsp:val=&quot;1C2361BA&quot;/&gt;&lt;wsp:rsid wsp:val=&quot;1C4508ED&quot;/&gt;&lt;wsp:rsid wsp:val=&quot;1C4F6C7E&quot;/&gt;&lt;wsp:rsid wsp:val=&quot;1CFD009B&quot;/&gt;&lt;wsp:rsid wsp:val=&quot;1D492719&quot;/&gt;&lt;wsp:rsid wsp:val=&quot;1D562F59&quot;/&gt;&lt;wsp:rsid wsp:val=&quot;1D746DE1&quot;/&gt;&lt;wsp:rsid wsp:val=&quot;1DF9774B&quot;/&gt;&lt;wsp:rsid wsp:val=&quot;1E161E6D&quot;/&gt;&lt;wsp:rsid wsp:val=&quot;1E3845A0&quot;/&gt;&lt;wsp:rsid wsp:val=&quot;1E422931&quot;/&gt;&lt;wsp:rsid wsp:val=&quot;1E4D4545&quot;/&gt;&lt;wsp:rsid wsp:val=&quot;1E79088D&quot;/&gt;&lt;wsp:rsid wsp:val=&quot;1E993340&quot;/&gt;&lt;wsp:rsid wsp:val=&quot;1EA44F54&quot;/&gt;&lt;wsp:rsid wsp:val=&quot;1EB02F65&quot;/&gt;&lt;wsp:rsid wsp:val=&quot;1EE61241&quot;/&gt;&lt;wsp:rsid wsp:val=&quot;1EFB5963&quot;/&gt;&lt;wsp:rsid wsp:val=&quot;1F053CF4&quot;/&gt;&lt;wsp:rsid wsp:val=&quot;1F111D05&quot;/&gt;&lt;wsp:rsid wsp:val=&quot;1F47475D&quot;/&gt;&lt;wsp:rsid wsp:val=&quot;1F7D6E36&quot;/&gt;&lt;wsp:rsid wsp:val=&quot;202B3AD6&quot;/&gt;&lt;wsp:rsid wsp:val=&quot;207728D1&quot;/&gt;&lt;wsp:rsid wsp:val=&quot;20970C07&quot;/&gt;&lt;wsp:rsid wsp:val=&quot;20EE1616&quot;/&gt;&lt;wsp:rsid wsp:val=&quot;210459B8&quot;/&gt;&lt;wsp:rsid wsp:val=&quot;210F75CC&quot;/&gt;&lt;wsp:rsid wsp:val=&quot;212F207F&quot;/&gt;&lt;wsp:rsid wsp:val=&quot;21862A8E&quot;/&gt;&lt;wsp:rsid wsp:val=&quot;219A6D4B&quot;/&gt;&lt;wsp:rsid wsp:val=&quot;21A70A44&quot;/&gt;&lt;wsp:rsid wsp:val=&quot;21FE1453&quot;/&gt;&lt;wsp:rsid wsp:val=&quot;220977E4&quot;/&gt;&lt;wsp:rsid wsp:val=&quot;221E7789&quot;/&gt;&lt;wsp:rsid wsp:val=&quot;22295B1A&quot;/&gt;&lt;wsp:rsid wsp:val=&quot;22754915&quot;/&gt;&lt;wsp:rsid wsp:val=&quot;227F6529&quot;/&gt;&lt;wsp:rsid wsp:val=&quot;228C453A&quot;/&gt;&lt;wsp:rsid wsp:val=&quot;22B60C01&quot;/&gt;&lt;wsp:rsid wsp:val=&quot;22CB5324&quot;/&gt;&lt;wsp:rsid wsp:val=&quot;22F8166B&quot;/&gt;&lt;wsp:rsid wsp:val=&quot;23443CE8&quot;/&gt;&lt;wsp:rsid wsp:val=&quot;2359040B&quot;/&gt;&lt;wsp:rsid wsp:val=&quot;237A63C1&quot;/&gt;&lt;wsp:rsid wsp:val=&quot;23DC5161&quot;/&gt;&lt;wsp:rsid wsp:val=&quot;242877DE&quot;/&gt;&lt;wsp:rsid wsp:val=&quot;24533EA6&quot;/&gt;&lt;wsp:rsid wsp:val=&quot;2494490F&quot;/&gt;&lt;wsp:rsid wsp:val=&quot;24D50BFC&quot;/&gt;&lt;wsp:rsid wsp:val=&quot;250B3654&quot;/&gt;&lt;wsp:rsid wsp:val=&quot;25415D2D&quot;/&gt;&lt;wsp:rsid wsp:val=&quot;25614063&quot;/&gt;&lt;wsp:rsid wsp:val=&quot;25633CE3&quot;/&gt;&lt;wsp:rsid wsp:val=&quot;256E2074&quot;/&gt;&lt;wsp:rsid wsp:val=&quot;258162A8&quot;/&gt;&lt;wsp:rsid wsp:val=&quot;25A30350&quot;/&gt;&lt;wsp:rsid wsp:val=&quot;25AE66E1&quot;/&gt;&lt;wsp:rsid wsp:val=&quot;26303437&quot;/&gt;&lt;wsp:rsid wsp:val=&quot;264F4FDA&quot;/&gt;&lt;wsp:rsid wsp:val=&quot;26723EA0&quot;/&gt;&lt;wsp:rsid wsp:val=&quot;26873E45&quot;/&gt;&lt;wsp:rsid wsp:val=&quot;26BE651E&quot;/&gt;&lt;wsp:rsid wsp:val=&quot;27156F2D&quot;/&gt;&lt;wsp:rsid wsp:val=&quot;276B40B8&quot;/&gt;&lt;wsp:rsid wsp:val=&quot;27C2034A&quot;/&gt;&lt;wsp:rsid wsp:val=&quot;27EC5A7D&quot;/&gt;&lt;wsp:rsid wsp:val=&quot;281954D5&quot;/&gt;&lt;wsp:rsid wsp:val=&quot;28233866&quot;/&gt;&lt;wsp:rsid wsp:val=&quot;286F5EE4&quot;/&gt;&lt;wsp:rsid wsp:val=&quot;28701767&quot;/&gt;&lt;wsp:rsid wsp:val=&quot;288F421B&quot;/&gt;&lt;wsp:rsid wsp:val=&quot;28BC0562&quot;/&gt;&lt;wsp:rsid wsp:val=&quot;28D14C84&quot;/&gt;&lt;wsp:rsid wsp:val=&quot;28E848A9&quot;/&gt;&lt;wsp:rsid wsp:val=&quot;28FD0FCB&quot;/&gt;&lt;wsp:rsid wsp:val=&quot;29120F71&quot;/&gt;&lt;wsp:rsid wsp:val=&quot;295419DA&quot;/&gt;&lt;wsp:rsid wsp:val=&quot;295E7D6B&quot;/&gt;&lt;wsp:rsid wsp:val=&quot;29E14AC1&quot;/&gt;&lt;wsp:rsid wsp:val=&quot;2A0C1188&quot;/&gt;&lt;wsp:rsid wsp:val=&quot;2A827ECE&quot;/&gt;&lt;wsp:rsid wsp:val=&quot;2AD30362&quot;/&gt;&lt;wsp:rsid wsp:val=&quot;2AFB6893&quot;/&gt;&lt;wsp:rsid wsp:val=&quot;2B47568D&quot;/&gt;&lt;wsp:rsid wsp:val=&quot;2B513A1E&quot;/&gt;&lt;wsp:rsid wsp:val=&quot;2B683643&quot;/&gt;&lt;wsp:rsid wsp:val=&quot;2BA87CB0&quot;/&gt;&lt;wsp:rsid wsp:val=&quot;2BBF4052&quot;/&gt;&lt;wsp:rsid wsp:val=&quot;2BCA23E3&quot;/&gt;&lt;wsp:rsid wsp:val=&quot;2BFF06BF&quot;/&gt;&lt;wsp:rsid wsp:val=&quot;2C357514&quot;/&gt;&lt;wsp:rsid wsp:val=&quot;2C401128&quot;/&gt;&lt;wsp:rsid wsp:val=&quot;2C6B57F0&quot;/&gt;&lt;wsp:rsid wsp:val=&quot;2C971B37&quot;/&gt;&lt;wsp:rsid wsp:val=&quot;2CE132A0&quot;/&gt;&lt;wsp:rsid wsp:val=&quot;2D0568E8&quot;/&gt;&lt;wsp:rsid wsp:val=&quot;2D3A1340&quot;/&gt;&lt;wsp:rsid wsp:val=&quot;2D5B72F6&quot;/&gt;&lt;wsp:rsid wsp:val=&quot;2D7E66F1&quot;/&gt;&lt;wsp:rsid wsp:val=&quot;2DE7275E&quot;/&gt;&lt;wsp:rsid wsp:val=&quot;2E402DEC&quot;/&gt;&lt;wsp:rsid wsp:val=&quot;2E600E98&quot;/&gt;&lt;wsp:rsid wsp:val=&quot;2E8A57EA&quot;/&gt;&lt;wsp:rsid wsp:val=&quot;2EB61B31&quot;/&gt;&lt;wsp:rsid wsp:val=&quot;2ED645E4&quot;/&gt;&lt;wsp:rsid wsp:val=&quot;2F00698B&quot;/&gt;&lt;wsp:rsid wsp:val=&quot;2F1808D1&quot;/&gt;&lt;wsp:rsid wsp:val=&quot;2FB01D49&quot;/&gt;&lt;wsp:rsid wsp:val=&quot;2FF16036&quot;/&gt;&lt;wsp:rsid wsp:val=&quot;30336A9F&quot;/&gt;&lt;wsp:rsid wsp:val=&quot;30486A45&quot;/&gt;&lt;wsp:rsid wsp:val=&quot;305957F6&quot;/&gt;&lt;wsp:rsid wsp:val=&quot;306166A8&quot;/&gt;&lt;wsp:rsid wsp:val=&quot;30A91F61&quot;/&gt;&lt;wsp:rsid wsp:val=&quot;30C93B1B&quot;/&gt;&lt;wsp:rsid wsp:val=&quot;314C4FED&quot;/&gt;&lt;wsp:rsid wsp:val=&quot;3157337F&quot;/&gt;&lt;wsp:rsid wsp:val=&quot;316E496E&quot;/&gt;&lt;wsp:rsid wsp:val=&quot;318E12DA&quot;/&gt;&lt;wsp:rsid wsp:val=&quot;31D900D5&quot;/&gt;&lt;wsp:rsid wsp:val=&quot;31FA1C8E&quot;/&gt;&lt;wsp:rsid wsp:val=&quot;320F63B0&quot;/&gt;&lt;wsp:rsid wsp:val=&quot;328714F2&quot;/&gt;&lt;wsp:rsid wsp:val=&quot;32C75B5F&quot;/&gt;&lt;wsp:rsid wsp:val=&quot;32C957DF&quot;/&gt;&lt;wsp:rsid wsp:val=&quot;32FE0237&quot;/&gt;&lt;wsp:rsid wsp:val=&quot;330865C8&quot;/&gt;&lt;wsp:rsid wsp:val=&quot;33616C57&quot;/&gt;&lt;wsp:rsid wsp:val=&quot;33766BFC&quot;/&gt;&lt;wsp:rsid wsp:val=&quot;33B679E6&quot;/&gt;&lt;wsp:rsid wsp:val=&quot;33D72119&quot;/&gt;&lt;wsp:rsid wsp:val=&quot;33E23D2D&quot;/&gt;&lt;wsp:rsid wsp:val=&quot;34DC77C8&quot;/&gt;&lt;wsp:rsid wsp:val=&quot;351D0231&quot;/&gt;&lt;wsp:rsid wsp:val=&quot;35494579&quot;/&gt;&lt;wsp:rsid wsp:val=&quot;35740C40&quot;/&gt;&lt;wsp:rsid wsp:val=&quot;357E6FD1&quot;/&gt;&lt;wsp:rsid wsp:val=&quot;359E5308&quot;/&gt;&lt;wsp:rsid wsp:val=&quot;35C032BE&quot;/&gt;&lt;wsp:rsid wsp:val=&quot;35D96FC4&quot;/&gt;&lt;wsp:rsid wsp:val=&quot;360C20B8&quot;/&gt;&lt;wsp:rsid wsp:val=&quot;36173CCD&quot;/&gt;&lt;wsp:rsid wsp:val=&quot;363F7524&quot;/&gt;&lt;wsp:rsid wsp:val=&quot;366D0E58&quot;/&gt;&lt;wsp:rsid wsp:val=&quot;36820DFD&quot;/&gt;&lt;wsp:rsid wsp:val=&quot;36AF5145&quot;/&gt;&lt;wsp:rsid wsp:val=&quot;36B934D6&quot;/&gt;&lt;wsp:rsid wsp:val=&quot;37103EE5&quot;/&gt;&lt;wsp:rsid wsp:val=&quot;3751494E&quot;/&gt;&lt;wsp:rsid wsp:val=&quot;375201D1&quot;/&gt;&lt;wsp:rsid wsp:val=&quot;37910FBB&quot;/&gt;&lt;wsp:rsid wsp:val=&quot;37A25F5C&quot;/&gt;&lt;wsp:rsid wsp:val=&quot;37B36F71&quot;/&gt;&lt;wsp:rsid wsp:val=&quot;3860038E&quot;/&gt;&lt;wsp:rsid wsp:val=&quot;38764AB1&quot;/&gt;&lt;wsp:rsid wsp:val=&quot;38972A67&quot;/&gt;&lt;wsp:rsid wsp:val=&quot;39902C7F&quot;/&gt;&lt;wsp:rsid wsp:val=&quot;399B4893&quot;/&gt;&lt;wsp:rsid wsp:val=&quot;39A62C24&quot;/&gt;&lt;wsp:rsid wsp:val=&quot;39BE292C&quot;/&gt;&lt;wsp:rsid wsp:val=&quot;3A1E5D66&quot;/&gt;&lt;wsp:rsid wsp:val=&quot;3A2940F7&quot;/&gt;&lt;wsp:rsid wsp:val=&quot;3A49242D&quot;/&gt;&lt;wsp:rsid wsp:val=&quot;3A756774&quot;/&gt;&lt;wsp:rsid wsp:val=&quot;3A9F2E3C&quot;/&gt;&lt;wsp:rsid wsp:val=&quot;3AE138A5&quot;/&gt;&lt;wsp:rsid wsp:val=&quot;3B59226A&quot;/&gt;&lt;wsp:rsid wsp:val=&quot;3B6E698C&quot;/&gt;&lt;wsp:rsid wsp:val=&quot;3B8E4CC3&quot;/&gt;&lt;wsp:rsid wsp:val=&quot;3BDA7340&quot;/&gt;&lt;wsp:rsid wsp:val=&quot;3C1C7DAA&quot;/&gt;&lt;wsp:rsid wsp:val=&quot;3C94676F&quot;/&gt;&lt;wsp:rsid wsp:val=&quot;3CA96714&quot;/&gt;&lt;wsp:rsid wsp:val=&quot;3CDF116D&quot;/&gt;&lt;wsp:rsid wsp:val=&quot;3D0A7413&quot;/&gt;&lt;wsp:rsid wsp:val=&quot;3D97091B&quot;/&gt;&lt;wsp:rsid wsp:val=&quot;3DB8304E&quot;/&gt;&lt;wsp:rsid wsp:val=&quot;3E234742&quot;/&gt;&lt;wsp:rsid wsp:val=&quot;3E5B60DB&quot;/&gt;&lt;wsp:rsid wsp:val=&quot;3EBC06FE&quot;/&gt;&lt;wsp:rsid wsp:val=&quot;3F135889&quot;/&gt;&lt;wsp:rsid wsp:val=&quot;3F2A54AE&quot;/&gt;&lt;wsp:rsid wsp:val=&quot;3FE24C5D&quot;/&gt;&lt;wsp:rsid wsp:val=&quot;405939A2&quot;/&gt;&lt;wsp:rsid wsp:val=&quot;405A612A&quot;/&gt;&lt;wsp:rsid wsp:val=&quot;40631D33&quot;/&gt;&lt;wsp:rsid wsp:val=&quot;40667BAC&quot;/&gt;&lt;wsp:rsid wsp:val=&quot;407A60D5&quot;/&gt;&lt;wsp:rsid wsp:val=&quot;408F607A&quot;/&gt;&lt;wsp:rsid wsp:val=&quot;409A440B&quot;/&gt;&lt;wsp:rsid wsp:val=&quot;40C50AD3&quot;/&gt;&lt;wsp:rsid wsp:val=&quot;40CA12BF&quot;/&gt;&lt;wsp:rsid wsp:val=&quot;40DB4E75&quot;/&gt;&lt;wsp:rsid wsp:val=&quot;40E63206&quot;/&gt;&lt;wsp:rsid wsp:val=&quot;40FB31AB&quot;/&gt;&lt;wsp:rsid wsp:val=&quot;413D3C14&quot;/&gt;&lt;wsp:rsid wsp:val=&quot;415E1BCB&quot;/&gt;&lt;wsp:rsid wsp:val=&quot;41741B70&quot;/&gt;&lt;wsp:rsid wsp:val=&quot;41947EA6&quot;/&gt;&lt;wsp:rsid wsp:val=&quot;41CA6CFC&quot;/&gt;&lt;wsp:rsid wsp:val=&quot;42212F8E&quot;/&gt;&lt;wsp:rsid wsp:val=&quot;4221770A&quot;/&gt;&lt;wsp:rsid wsp:val=&quot;42CE0B28&quot;/&gt;&lt;wsp:rsid wsp:val=&quot;4330314B&quot;/&gt;&lt;wsp:rsid wsp:val=&quot;4345786D&quot;/&gt;&lt;wsp:rsid wsp:val=&quot;43713BB4&quot;/&gt;&lt;wsp:rsid wsp:val=&quot;439E7EFB&quot;/&gt;&lt;wsp:rsid wsp:val=&quot;43A53A1F&quot;/&gt;&lt;wsp:rsid wsp:val=&quot;43BE6232&quot;/&gt;&lt;wsp:rsid wsp:val=&quot;43D32954&quot;/&gt;&lt;wsp:rsid wsp:val=&quot;43F4090A&quot;/&gt;&lt;wsp:rsid wsp:val=&quot;44803D71&quot;/&gt;&lt;wsp:rsid wsp:val=&quot;44A21D28&quot;/&gt;&lt;wsp:rsid wsp:val=&quot;45A63B54&quot;/&gt;&lt;wsp:rsid wsp:val=&quot;45C75919&quot;/&gt;&lt;wsp:rsid wsp:val=&quot;45DD622C&quot;/&gt;&lt;wsp:rsid wsp:val=&quot;45E745BD&quot;/&gt;&lt;wsp:rsid wsp:val=&quot;463E4FCC&quot;/&gt;&lt;wsp:rsid wsp:val=&quot;465316EE&quot;/&gt;&lt;wsp:rsid wsp:val=&quot;46534F71&quot;/&gt;&lt;wsp:rsid wsp:val=&quot;46691693&quot;/&gt;&lt;wsp:rsid wsp:val=&quot;46737A24&quot;/&gt;&lt;wsp:rsid wsp:val=&quot;468A764A&quot;/&gt;&lt;wsp:rsid wsp:val=&quot;469559DB&quot;/&gt;&lt;wsp:rsid wsp:val=&quot;46D66444&quot;/&gt;&lt;wsp:rsid wsp:val=&quot;47423575&quot;/&gt;&lt;wsp:rsid wsp:val=&quot;4757351A&quot;/&gt;&lt;wsp:rsid wsp:val=&quot;47EF4992&quot;/&gt;&lt;wsp:rsid wsp:val=&quot;47FA65A7&quot;/&gt;&lt;wsp:rsid wsp:val=&quot;480745B8&quot;/&gt;&lt;wsp:rsid wsp:val=&quot;4826706B&quot;/&gt;&lt;wsp:rsid wsp:val=&quot;48310C7F&quot;/&gt;&lt;wsp:rsid wsp:val=&quot;485C5346&quot;/&gt;&lt;wsp:rsid wsp:val=&quot;487E491C&quot;/&gt;&lt;wsp:rsid wsp:val=&quot;48BE3EB0&quot;/&gt;&lt;wsp:rsid wsp:val=&quot;48DF209C&quot;/&gt;&lt;wsp:rsid wsp:val=&quot;48F5643E&quot;/&gt;&lt;wsp:rsid wsp:val=&quot;49154775&quot;/&gt;&lt;wsp:rsid wsp:val=&quot;493266EE&quot;/&gt;&lt;wsp:rsid wsp:val=&quot;494A71CD&quot;/&gt;&lt;wsp:rsid wsp:val=&quot;49CD3F23&quot;/&gt;&lt;wsp:rsid wsp:val=&quot;49ED225A&quot;/&gt;&lt;wsp:rsid wsp:val=&quot;4A70372C&quot;/&gt;&lt;wsp:rsid wsp:val=&quot;4A706FB0&quot;/&gt;&lt;wsp:rsid wsp:val=&quot;4A7B5341&quot;/&gt;&lt;wsp:rsid wsp:val=&quot;4A873352&quot;/&gt;&lt;wsp:rsid wsp:val=&quot;4AD0171C&quot;/&gt;&lt;wsp:rsid wsp:val=&quot;4B1E03CD&quot;/&gt;&lt;wsp:rsid wsp:val=&quot;4B28675E&quot;/&gt;&lt;wsp:rsid wsp:val=&quot;4B457FAC&quot;/&gt;&lt;wsp:rsid wsp:val=&quot;4B547222&quot;/&gt;&lt;wsp:rsid wsp:val=&quot;4B5F0E37&quot;/&gt;&lt;wsp:rsid wsp:val=&quot;4B645709&quot;/&gt;&lt;wsp:rsid wsp:val=&quot;4B96350F&quot;/&gt;&lt;wsp:rsid wsp:val=&quot;4BA018A0&quot;/&gt;&lt;wsp:rsid wsp:val=&quot;4BAB34B4&quot;/&gt;&lt;wsp:rsid wsp:val=&quot;4BCB5F67&quot;/&gt;&lt;wsp:rsid wsp:val=&quot;4C43492C&quot;/&gt;&lt;wsp:rsid wsp:val=&quot;4C4D0A27&quot;/&gt;&lt;wsp:rsid wsp:val=&quot;4C4E2CBD&quot;/&gt;&lt;wsp:rsid wsp:val=&quot;4C632C63&quot;/&gt;&lt;wsp:rsid wsp:val=&quot;4C9A533B&quot;/&gt;&lt;wsp:rsid wsp:val=&quot;4CF15D4A&quot;/&gt;&lt;wsp:rsid wsp:val=&quot;4CFB40DB&quot;/&gt;&lt;wsp:rsid wsp:val=&quot;4D940DD6&quot;/&gt;&lt;wsp:rsid wsp:val=&quot;4D9E7167&quot;/&gt;&lt;wsp:rsid wsp:val=&quot;4DC0189A&quot;/&gt;&lt;wsp:rsid wsp:val=&quot;4DEA5F62&quot;/&gt;&lt;wsp:rsid wsp:val=&quot;4E1622A9&quot;/&gt;&lt;wsp:rsid wsp:val=&quot;4E2C224E&quot;/&gt;&lt;wsp:rsid wsp:val=&quot;4E614CA7&quot;/&gt;&lt;wsp:rsid wsp:val=&quot;4E832C5D&quot;/&gt;&lt;wsp:rsid wsp:val=&quot;4EE17CDB&quot;/&gt;&lt;wsp:rsid wsp:val=&quot;4F105D44&quot;/&gt;&lt;wsp:rsid wsp:val=&quot;4F676753&quot;/&gt;&lt;wsp:rsid wsp:val=&quot;4FA871BC&quot;/&gt;&lt;wsp:rsid wsp:val=&quot;4FBD38DE&quot;/&gt;&lt;wsp:rsid wsp:val=&quot;50342624&quot;/&gt;&lt;wsp:rsid wsp:val=&quot;504925C9&quot;/&gt;&lt;wsp:rsid wsp:val=&quot;50804CA1&quot;/&gt;&lt;wsp:rsid wsp:val=&quot;508C2CB2&quot;/&gt;&lt;wsp:rsid wsp:val=&quot;50CC731F&quot;/&gt;&lt;wsp:rsid wsp:val=&quot;51914ADE&quot;/&gt;&lt;wsp:rsid wsp:val=&quot;525E4232&quot;/&gt;&lt;wsp:rsid wsp:val=&quot;529F4C9C&quot;/&gt;&lt;wsp:rsid wsp:val=&quot;52B513BE&quot;/&gt;&lt;wsp:rsid wsp:val=&quot;52D576F4&quot;/&gt;&lt;wsp:rsid wsp:val=&quot;52EC7319&quot;/&gt;&lt;wsp:rsid wsp:val=&quot;53013A3B&quot;/&gt;&lt;wsp:rsid wsp:val=&quot;534244A5&quot;/&gt;&lt;wsp:rsid wsp:val=&quot;538E6B22&quot;/&gt;&lt;wsp:rsid wsp:val=&quot;53B931EA&quot;/&gt;&lt;wsp:rsid wsp:val=&quot;54693677&quot;/&gt;&lt;wsp:rsid wsp:val=&quot;547D09A9&quot;/&gt;&lt;wsp:rsid wsp:val=&quot;54866F2F&quot;/&gt;&lt;wsp:rsid wsp:val=&quot;54886D3A&quot;/&gt;&lt;wsp:rsid wsp:val=&quot;54DE7749&quot;/&gt;&lt;wsp:rsid wsp:val=&quot;55401D6C&quot;/&gt;&lt;wsp:rsid wsp:val=&quot;55474FEC&quot;/&gt;&lt;wsp:rsid wsp:val=&quot;5557610E&quot;/&gt;&lt;wsp:rsid wsp:val=&quot;558C0B67&quot;/&gt;&lt;wsp:rsid wsp:val=&quot;55F8151B&quot;/&gt;&lt;wsp:rsid wsp:val=&quot;562F3BF3&quot;/&gt;&lt;wsp:rsid wsp:val=&quot;56707BDA&quot;/&gt;&lt;wsp:rsid wsp:val=&quot;56707EE0&quot;/&gt;&lt;wsp:rsid wsp:val=&quot;567B29ED&quot;/&gt;&lt;wsp:rsid wsp:val=&quot;56B00CC9&quot;/&gt;&lt;wsp:rsid wsp:val=&quot;56B20949&quot;/&gt;&lt;wsp:rsid wsp:val=&quot;57081358&quot;/&gt;&lt;wsp:rsid wsp:val=&quot;577F481A&quot;/&gt;&lt;wsp:rsid wsp:val=&quot;579447BF&quot;/&gt;&lt;wsp:rsid wsp:val=&quot;57C00B06&quot;/&gt;&lt;wsp:rsid wsp:val=&quot;57D13A15&quot;/&gt;&lt;wsp:rsid wsp:val=&quot;58591F7E&quot;/&gt;&lt;wsp:rsid wsp:val=&quot;58633B93&quot;/&gt;&lt;wsp:rsid wsp:val=&quot;586E1F24&quot;/&gt;&lt;wsp:rsid wsp:val=&quot;588562C6&quot;/&gt;&lt;wsp:rsid wsp:val=&quot;58FB500B&quot;/&gt;&lt;wsp:rsid wsp:val=&quot;592616D2&quot;/&gt;&lt;wsp:rsid wsp:val=&quot;594B184B&quot;/&gt;&lt;wsp:rsid wsp:val=&quot;59E00B01&quot;/&gt;&lt;wsp:rsid wsp:val=&quot;59F50AA6&quot;/&gt;&lt;wsp:rsid wsp:val=&quot;5A0A51C8&quot;/&gt;&lt;wsp:rsid wsp:val=&quot;5A563FC2&quot;/&gt;&lt;wsp:rsid wsp:val=&quot;5A9970A6&quot;/&gt;&lt;wsp:rsid wsp:val=&quot;5AD90D18&quot;/&gt;&lt;wsp:rsid wsp:val=&quot;5AD9663A&quot;/&gt;&lt;wsp:rsid wsp:val=&quot;5AED4C1B&quot;/&gt;&lt;wsp:rsid wsp:val=&quot;5B195385&quot;/&gt;&lt;wsp:rsid wsp:val=&quot;5B5A5DEF&quot;/&gt;&lt;wsp:rsid wsp:val=&quot;5BB167FD&quot;/&gt;&lt;wsp:rsid wsp:val=&quot;5BC86423&quot;/&gt;&lt;wsp:rsid wsp:val=&quot;5BD347B4&quot;/&gt;&lt;wsp:rsid wsp:val=&quot;5C08720C&quot;/&gt;&lt;wsp:rsid wsp:val=&quot;5C6D2B35&quot;/&gt;&lt;wsp:rsid wsp:val=&quot;5C9522F3&quot;/&gt;&lt;wsp:rsid wsp:val=&quot;5CEC2D02&quot;/&gt;&lt;wsp:rsid wsp:val=&quot;5D433711&quot;/&gt;&lt;wsp:rsid wsp:val=&quot;5D7A5DE9&quot;/&gt;&lt;wsp:rsid wsp:val=&quot;5D9A411F&quot;/&gt;&lt;wsp:rsid wsp:val=&quot;5DB004C1&quot;/&gt;&lt;wsp:rsid wsp:val=&quot;5DDB040C&quot;/&gt;&lt;wsp:rsid wsp:val=&quot;5DE6679D&quot;/&gt;&lt;wsp:rsid wsp:val=&quot;5DFD2B3F&quot;/&gt;&lt;wsp:rsid wsp:val=&quot;5E070ED0&quot;/&gt;&lt;wsp:rsid wsp:val=&quot;5E731884&quot;/&gt;&lt;wsp:rsid wsp:val=&quot;5ECA2293&quot;/&gt;&lt;wsp:rsid wsp:val=&quot;5F2B1033&quot;/&gt;&lt;wsp:rsid wsp:val=&quot;5F4253D5&quot;/&gt;&lt;wsp:rsid wsp:val=&quot;5FE50461&quot;/&gt;&lt;wsp:rsid wsp:val=&quot;601C2B39&quot;/&gt;&lt;wsp:rsid wsp:val=&quot;605B3923&quot;/&gt;&lt;wsp:rsid wsp:val=&quot;609D7C10&quot;/&gt;&lt;wsp:rsid wsp:val=&quot;60A85FA1&quot;/&gt;&lt;wsp:rsid wsp:val=&quot;60B24332&quot;/&gt;&lt;wsp:rsid wsp:val=&quot;60F3411E&quot;/&gt;&lt;wsp:rsid wsp:val=&quot;61146955&quot;/&gt;&lt;wsp:rsid wsp:val=&quot;61402C9C&quot;/&gt;&lt;wsp:rsid wsp:val=&quot;614B102D&quot;/&gt;&lt;wsp:rsid wsp:val=&quot;616B7363&quot;/&gt;&lt;wsp:rsid wsp:val=&quot;61B6615E&quot;/&gt;&lt;wsp:rsid wsp:val=&quot;622F4B23&quot;/&gt;&lt;wsp:rsid wsp:val=&quot;62B01BF9&quot;/&gt;&lt;wsp:rsid wsp:val=&quot;62D1432C&quot;/&gt;&lt;wsp:rsid wsp:val=&quot;62DC26BD&quot;/&gt;&lt;wsp:rsid wsp:val=&quot;63072608&quot;/&gt;&lt;wsp:rsid wsp:val=&quot;63284D3B&quot;/&gt;&lt;wsp:rsid wsp:val=&quot;637F0FCD&quot;/&gt;&lt;wsp:rsid wsp:val=&quot;638504B3&quot;/&gt;&lt;wsp:rsid wsp:val=&quot;63CB7DC7&quot;/&gt;&lt;wsp:rsid wsp:val=&quot;63D619DB&quot;/&gt;&lt;wsp:rsid wsp:val=&quot;63D66158&quot;/&gt;&lt;wsp:rsid wsp:val=&quot;63EB60FE&quot;/&gt;&lt;wsp:rsid wsp:val=&quot;645B6D3E&quot;/&gt;&lt;wsp:rsid wsp:val=&quot;6463123F&quot;/&gt;&lt;wsp:rsid wsp:val=&quot;64837576&quot;/&gt;&lt;wsp:rsid wsp:val=&quot;648E5907&quot;/&gt;&lt;wsp:rsid wsp:val=&quot;64A358AC&quot;/&gt;&lt;wsp:rsid wsp:val=&quot;65927733&quot;/&gt;&lt;wsp:rsid wsp:val=&quot;65A93AD5&quot;/&gt;&lt;wsp:rsid wsp:val=&quot;65B456E9&quot;/&gt;&lt;wsp:rsid wsp:val=&quot;65C91E0B&quot;/&gt;&lt;wsp:rsid wsp:val=&quot;660A2875&quot;/&gt;&lt;wsp:rsid wsp:val=&quot;661F281A&quot;/&gt;&lt;wsp:rsid wsp:val=&quot;66395563&quot;/&gt;&lt;wsp:rsid wsp:val=&quot;66613283&quot;/&gt;&lt;wsp:rsid wsp:val=&quot;666C4E98&quot;/&gt;&lt;wsp:rsid wsp:val=&quot;66CD3C37&quot;/&gt;&lt;wsp:rsid wsp:val=&quot;66CF38B7&quot;/&gt;&lt;wsp:rsid wsp:val=&quot;671962B5&quot;/&gt;&lt;wsp:rsid wsp:val=&quot;67BC5ABE&quot;/&gt;&lt;wsp:rsid wsp:val=&quot;680A383B&quot;/&gt;&lt;wsp:rsid wsp:val=&quot;681364CD&quot;/&gt;&lt;wsp:rsid wsp:val=&quot;68490BA5&quot;/&gt;&lt;wsp:rsid wsp:val=&quot;687A5CD7&quot;/&gt;&lt;wsp:rsid wsp:val=&quot;68806B01&quot;/&gt;&lt;wsp:rsid wsp:val=&quot;68E1201D&quot;/&gt;&lt;wsp:rsid wsp:val=&quot;68EC3C32&quot;/&gt;&lt;wsp:rsid wsp:val=&quot;698F343B&quot;/&gt;&lt;wsp:rsid wsp:val=&quot;69A04062&quot;/&gt;&lt;wsp:rsid wsp:val=&quot;69B013F1&quot;/&gt;&lt;wsp:rsid wsp:val=&quot;69E676CD&quot;/&gt;&lt;wsp:rsid wsp:val=&quot;6A270136&quot;/&gt;&lt;wsp:rsid wsp:val=&quot;6A321D4B&quot;/&gt;&lt;wsp:rsid wsp:val=&quot;6A47646D&quot;/&gt;&lt;wsp:rsid wsp:val=&quot;6A5247FE&quot;/&gt;&lt;wsp:rsid wsp:val=&quot;6A53447E&quot;/&gt;&lt;wsp:rsid wsp:val=&quot;6A7327B4&quot;/&gt;&lt;wsp:rsid wsp:val=&quot;6ABF15AE&quot;/&gt;&lt;wsp:rsid wsp:val=&quot;6AD16ECB&quot;/&gt;&lt;wsp:rsid wsp:val=&quot;6AE412FC&quot;/&gt;&lt;wsp:rsid wsp:val=&quot;6AEA5C76&quot;/&gt;&lt;wsp:rsid wsp:val=&quot;6B213BD1&quot;/&gt;&lt;wsp:rsid wsp:val=&quot;6B5862AA&quot;/&gt;&lt;wsp:rsid wsp:val=&quot;6BBA1B4A&quot;/&gt;&lt;wsp:rsid wsp:val=&quot;6BC333DB&quot;/&gt;&lt;wsp:rsid wsp:val=&quot;6BD93380&quot;/&gt;&lt;wsp:rsid wsp:val=&quot;6C053E44&quot;/&gt;&lt;wsp:rsid wsp:val=&quot;6C105A58&quot;/&gt;&lt;wsp:rsid wsp:val=&quot;6C303D8F&quot;/&gt;&lt;wsp:rsid wsp:val=&quot;6C5164C2&quot;/&gt;&lt;wsp:rsid wsp:val=&quot;6C666467&quot;/&gt;&lt;wsp:rsid wsp:val=&quot;6D2B3C26&quot;/&gt;&lt;wsp:rsid wsp:val=&quot;6D6B0293&quot;/&gt;&lt;wsp:rsid wsp:val=&quot;6D970D57&quot;/&gt;&lt;wsp:rsid wsp:val=&quot;6DE41D8A&quot;/&gt;&lt;wsp:rsid wsp:val=&quot;6DF87AF7&quot;/&gt;&lt;wsp:rsid wsp:val=&quot;6E2D7665&quot;/&gt;&lt;wsp:rsid wsp:val=&quot;6E393DE4&quot;/&gt;&lt;wsp:rsid wsp:val=&quot;6E442175&quot;/&gt;&lt;wsp:rsid wsp:val=&quot;6EBB0EBA&quot;/&gt;&lt;wsp:rsid wsp:val=&quot;6EC76ECB&quot;/&gt;&lt;wsp:rsid wsp:val=&quot;6EE75201&quot;/&gt;&lt;wsp:rsid wsp:val=&quot;6F285C6B&quot;/&gt;&lt;wsp:rsid wsp:val=&quot;6F532332&quot;/&gt;&lt;wsp:rsid wsp:val=&quot;6FEB702D&quot;/&gt;&lt;wsp:rsid wsp:val=&quot;7000374F&quot;/&gt;&lt;wsp:rsid wsp:val=&quot;700233CF&quot;/&gt;&lt;wsp:rsid wsp:val=&quot;70221706&quot;/&gt;&lt;wsp:rsid wsp:val=&quot;70427A3C&quot;/&gt;&lt;wsp:rsid wsp:val=&quot;7057415E&quot;/&gt;&lt;wsp:rsid wsp:val=&quot;708E390E&quot;/&gt;&lt;wsp:rsid wsp:val=&quot;7099044B&quot;/&gt;&lt;wsp:rsid wsp:val=&quot;70AE4B6D&quot;/&gt;&lt;wsp:rsid wsp:val=&quot;70B43760&quot;/&gt;&lt;wsp:rsid wsp:val=&quot;70DA0EB4&quot;/&gt;&lt;wsp:rsid wsp:val=&quot;70EF55D6&quot;/&gt;&lt;wsp:rsid wsp:val=&quot;71D4494F&quot;/&gt;&lt;wsp:rsid wsp:val=&quot;71E91071&quot;/&gt;&lt;wsp:rsid wsp:val=&quot;71F37403&quot;/&gt;&lt;wsp:rsid wsp:val=&quot;720A7028&quot;/&gt;&lt;wsp:rsid wsp:val=&quot;7220374A&quot;/&gt;&lt;wsp:rsid wsp:val=&quot;72313EC3&quot;/&gt;&lt;wsp:rsid wsp:val=&quot;72565E22&quot;/&gt;&lt;wsp:rsid wsp:val=&quot;726141B3&quot;/&gt;&lt;wsp:rsid wsp:val=&quot;72764159&quot;/&gt;&lt;wsp:rsid wsp:val=&quot;72AD6831&quot;/&gt;&lt;wsp:rsid wsp:val=&quot;72C83F3E&quot;/&gt;&lt;wsp:rsid wsp:val=&quot;72CD4B67&quot;/&gt;&lt;wsp:rsid wsp:val=&quot;72F53ED4&quot;/&gt;&lt;wsp:rsid wsp:val=&quot;73047240&quot;/&gt;&lt;wsp:rsid wsp:val=&quot;73193962&quot;/&gt;&lt;wsp:rsid wsp:val=&quot;732E3907&quot;/&gt;&lt;wsp:rsid wsp:val=&quot;73707BF4&quot;/&gt;&lt;wsp:rsid wsp:val=&quot;73912327&quot;/&gt;&lt;wsp:rsid wsp:val=&quot;73A66A49&quot;/&gt;&lt;wsp:rsid wsp:val=&quot;73A722CC&quot;/&gt;&lt;wsp:rsid wsp:val=&quot;73FD7457&quot;/&gt;&lt;wsp:rsid wsp:val=&quot;74003961&quot;/&gt;&lt;wsp:rsid wsp:val=&quot;7408106C&quot;/&gt;&lt;wsp:rsid wsp:val=&quot;741D578E&quot;/&gt;&lt;wsp:rsid wsp:val=&quot;74335733&quot;/&gt;&lt;wsp:rsid wsp:val=&quot;743F3744&quot;/&gt;&lt;wsp:rsid wsp:val=&quot;74547E66&quot;/&gt;&lt;wsp:rsid wsp:val=&quot;74697E0C&quot;/&gt;&lt;wsp:rsid wsp:val=&quot;74CC682B&quot;/&gt;&lt;wsp:rsid wsp:val=&quot;74D74BBC&quot;/&gt;&lt;wsp:rsid wsp:val=&quot;75171229&quot;/&gt;&lt;wsp:rsid wsp:val=&quot;758F7BEE&quot;/&gt;&lt;wsp:rsid wsp:val=&quot;75AF26A1&quot;/&gt;&lt;wsp:rsid wsp:val=&quot;75DB69E8&quot;/&gt;&lt;wsp:rsid wsp:val=&quot;763273F7&quot;/&gt;&lt;wsp:rsid wsp:val=&quot;769E7DAB&quot;/&gt;&lt;wsp:rsid wsp:val=&quot;76B344CD&quot;/&gt;&lt;wsp:rsid wsp:val=&quot;76EA6BA6&quot;/&gt;&lt;wsp:rsid wsp:val=&quot;77150AD0&quot;/&gt;&lt;wsp:rsid wsp:val=&quot;7721127E&quot;/&gt;&lt;wsp:rsid wsp:val=&quot;774B5945&quot;/&gt;&lt;wsp:rsid wsp:val=&quot;778238A1&quot;/&gt;&lt;wsp:rsid wsp:val=&quot;77CE269B&quot;/&gt;&lt;wsp:rsid wsp:val=&quot;77D942B0&quot;/&gt;&lt;wsp:rsid wsp:val=&quot;77EE09D2&quot;/&gt;&lt;wsp:rsid wsp:val=&quot;77F96D63&quot;/&gt;&lt;wsp:rsid wsp:val=&quot;78106988&quot;/&gt;&lt;wsp:rsid wsp:val=&quot;785C5783&quot;/&gt;&lt;wsp:rsid wsp:val=&quot;789C1DEF&quot;/&gt;&lt;wsp:rsid wsp:val=&quot;78A60180&quot;/&gt;&lt;wsp:rsid wsp:val=&quot;791E32C2&quot;/&gt;&lt;wsp:rsid wsp:val=&quot;79753CD1&quot;/&gt;&lt;wsp:rsid wsp:val=&quot;79A75C38&quot;/&gt;&lt;wsp:rsid wsp:val=&quot;7A013357&quot;/&gt;&lt;wsp:rsid wsp:val=&quot;7A03263B&quot;/&gt;&lt;wsp:rsid wsp:val=&quot;7A0D09CC&quot;/&gt;&lt;wsp:rsid wsp:val=&quot;7A186D5D&quot;/&gt;&lt;wsp:rsid wsp:val=&quot;7A3A4D14&quot;/&gt;&lt;wsp:rsid wsp:val=&quot;7AC5017B&quot;/&gt;&lt;wsp:rsid wsp:val=&quot;7AD2618C&quot;/&gt;&lt;wsp:rsid wsp:val=&quot;7B070BE4&quot;/&gt;&lt;wsp:rsid wsp:val=&quot;7B5E4E76&quot;/&gt;&lt;wsp:rsid wsp:val=&quot;7B9F58E0&quot;/&gt;&lt;wsp:rsid wsp:val=&quot;7C00467F&quot;/&gt;&lt;wsp:rsid wsp:val=&quot;7C070929&quot;/&gt;&lt;wsp:rsid wsp:val=&quot;7C0B2A10&quot;/&gt;&lt;wsp:rsid wsp:val=&quot;7C580710&quot;/&gt;&lt;wsp:rsid wsp:val=&quot;7CA33E88&quot;/&gt;&lt;wsp:rsid wsp:val=&quot;7CAE5A9D&quot;/&gt;&lt;wsp:rsid wsp:val=&quot;7CC51E3F&quot;/&gt;&lt;wsp:rsid wsp:val=&quot;7CCF01D0&quot;/&gt;&lt;wsp:rsid wsp:val=&quot;7D66524B&quot;/&gt;&lt;wsp:rsid wsp:val=&quot;7D72325C&quot;/&gt;&lt;wsp:rsid wsp:val=&quot;7D7D15ED&quot;/&gt;&lt;wsp:rsid wsp:val=&quot;7D921593&quot;/&gt;&lt;wsp:rsid wsp:val=&quot;7E20467A&quot;/&gt;&lt;wsp:rsid wsp:val=&quot;7E350D9C&quot;/&gt;&lt;wsp:rsid wsp:val=&quot;7E552DFD&quot;/&gt;&lt;wsp:rsid wsp:val=&quot;7ECD2214&quot;/&gt;&lt;wsp:rsid wsp:val=&quot;7EED3DCE&quot;/&gt;&lt;wsp:rsid wsp:val=&quot;7F04016F&quot;/&gt;&lt;wsp:rsid wsp:val=&quot;7F0E6500&quot;/&gt;&lt;wsp:rsid wsp:val=&quot;7F242C23&quot;/&gt;&lt;wsp:rsid wsp:val=&quot;7F590EFE&quot;/&gt;&lt;wsp:rsid wsp:val=&quot;7F5B0B7E&quot;/&gt;&lt;wsp:rsid wsp:val=&quot;7F873D31&quot;/&gt;&lt;wsp:rsid wsp:val=&quot;7F9C15E8&quot;/&gt;&lt;wsp:rsid wsp:val=&quot;7FB1158D&quot;/&gt;&lt;wsp:rsid wsp:val=&quot;7FD178C3&quot;/&gt;&lt;wsp:rsid wsp:val=&quot;7FFD0387&quot;/&gt;&lt;/wsp:rsids&gt;&lt;/w:docPr&gt;&lt;w:body&gt;&lt;w:p wsp:rsidR=&quot;00000000&quot; wsp:rsidRDefault=&quot;008E575E&quot;&gt;&lt;m:oMathPara&gt;&lt;m:oMath&gt;&lt;m:r&gt;&lt;m:rPr&gt;&lt;m:sty m:val=&quot;p&quot;/&gt;&lt;/m:rPr&gt;&lt;w:rPr&gt;&lt;w:rFonts w:ascii=&quot;Cambria Math&quot; w:fareast=&quot;宋体&quot; w:h-ansi=&quot;Cambria Math&quot;/&gt;&lt;wx:font wx:val=&quot;Cambria Math&quot;/&gt;&lt;w:sz w:val=&quot;24&quot;/&gt;&lt;/w:rPr&gt;&lt;m:t&gt;±&lt;/m:t&gt;&lt;/m:r&gt;&lt;m:r&gt;&lt;m:rPr&gt;&lt;m:sty m:val=&quot;p&quot;/&gt;&lt;/m:rPr&gt;&lt;w:rPr&gt;&lt;w:rFonts w:ascii=&quot;Cambria Math&quot; w:fareast=&quot;宋体&quot; w:h-ansi=&quot;Cambria Math&quot; w:hint=&quot;fareast&quot;/&gt;&lt;wx:font wx:val=&quot;Cambria Math&quot;/&gt;&lt;w:sz w:val=&quot;24&quot;/&gt;&lt;/w:rPr&gt;&lt;m:t&gt;5&lt;/m:t&gt;&lt;/m:r&gt;&lt;m:r&gt;&lt;m:rPr&gt;&lt;m:sty m:val=&quot;p&quot;/&gt;&lt;/m:rPr&gt;&lt;w:rPr&gt;&lt;w:rFonts w:ascii=&quot;Cambria Math&quot; w:fareast=&quot;宋体&quot; w:h-ansi=&quot;Cambria Math&quot;/&gt;&lt;wx:font wx:val=&quot;Cambria Math&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path/>
            <v:fill on="f" focussize="0,0"/>
            <v:stroke on="f"/>
            <v:imagedata r:id="rId21" chromakey="#FFFFFF" o:title=""/>
            <o:lock v:ext="edit" aspectratio="t"/>
            <w10:wrap type="none"/>
            <w10:anchorlock/>
          </v:shape>
        </w:pict>
      </w:r>
      <w:r>
        <w:rPr>
          <w:rFonts w:hint="eastAsia" w:ascii="仿宋" w:hAnsi="仿宋" w:eastAsia="仿宋" w:cs="仿宋"/>
          <w:b w:val="0"/>
          <w:bCs w:val="0"/>
          <w:color w:val="auto"/>
          <w:sz w:val="24"/>
          <w:szCs w:val="24"/>
          <w:highlight w:val="none"/>
          <w:lang w:val="zh-CN"/>
        </w:rPr>
        <w:instrText xml:space="preserve">  \* MERGEFORMAT </w:instrText>
      </w:r>
      <w:r>
        <w:rPr>
          <w:rFonts w:hint="eastAsia" w:ascii="仿宋" w:hAnsi="仿宋" w:eastAsia="仿宋" w:cs="仿宋"/>
          <w:b w:val="0"/>
          <w:bCs w:val="0"/>
          <w:color w:val="auto"/>
          <w:sz w:val="24"/>
          <w:szCs w:val="24"/>
          <w:highlight w:val="none"/>
          <w:lang w:val="zh-CN"/>
        </w:rPr>
        <w:fldChar w:fldCharType="separate"/>
      </w:r>
      <w:r>
        <w:rPr>
          <w:rFonts w:hint="eastAsia" w:ascii="仿宋" w:hAnsi="仿宋" w:eastAsia="仿宋" w:cs="仿宋"/>
          <w:b w:val="0"/>
          <w:bCs w:val="0"/>
          <w:color w:val="auto"/>
          <w:sz w:val="24"/>
          <w:szCs w:val="24"/>
          <w:highlight w:val="none"/>
          <w:lang w:val="zh-CN"/>
        </w:rPr>
        <w:fldChar w:fldCharType="end"/>
      </w:r>
      <w:r>
        <w:rPr>
          <w:rFonts w:hint="eastAsia" w:ascii="仿宋" w:hAnsi="仿宋" w:eastAsia="仿宋" w:cs="仿宋"/>
          <w:b w:val="0"/>
          <w:bCs w:val="0"/>
          <w:color w:val="auto"/>
          <w:sz w:val="24"/>
          <w:szCs w:val="24"/>
          <w:highlight w:val="none"/>
          <w:lang w:val="zh-CN"/>
        </w:rPr>
        <w:t>）不符合国家中医药管理局规定的，</w:t>
      </w:r>
      <w:r>
        <w:rPr>
          <w:rFonts w:hint="eastAsia" w:ascii="仿宋" w:hAnsi="仿宋" w:eastAsia="仿宋" w:cs="仿宋"/>
          <w:b w:val="0"/>
          <w:bCs w:val="0"/>
          <w:color w:val="auto"/>
          <w:sz w:val="24"/>
          <w:szCs w:val="24"/>
          <w:highlight w:val="none"/>
          <w:lang w:val="en-US" w:eastAsia="zh-CN"/>
        </w:rPr>
        <w:t>采购人</w:t>
      </w:r>
      <w:r>
        <w:rPr>
          <w:rFonts w:hint="eastAsia" w:ascii="仿宋" w:hAnsi="仿宋" w:eastAsia="仿宋" w:cs="仿宋"/>
          <w:b w:val="0"/>
          <w:bCs w:val="0"/>
          <w:color w:val="auto"/>
          <w:sz w:val="24"/>
          <w:szCs w:val="24"/>
          <w:highlight w:val="none"/>
          <w:lang w:val="zh-CN"/>
        </w:rPr>
        <w:t>应在工作日48小时内通知</w:t>
      </w:r>
      <w:r>
        <w:rPr>
          <w:rFonts w:hint="eastAsia" w:ascii="仿宋" w:hAnsi="仿宋" w:eastAsia="仿宋" w:cs="仿宋"/>
          <w:b w:val="0"/>
          <w:bCs w:val="0"/>
          <w:color w:val="auto"/>
          <w:sz w:val="24"/>
          <w:szCs w:val="24"/>
          <w:highlight w:val="none"/>
          <w:lang w:val="en-US" w:eastAsia="zh-CN"/>
        </w:rPr>
        <w:t>供应商</w:t>
      </w:r>
      <w:r>
        <w:rPr>
          <w:rFonts w:hint="eastAsia" w:ascii="仿宋" w:hAnsi="仿宋" w:eastAsia="仿宋" w:cs="仿宋"/>
          <w:b w:val="0"/>
          <w:bCs w:val="0"/>
          <w:color w:val="auto"/>
          <w:sz w:val="24"/>
          <w:szCs w:val="24"/>
          <w:highlight w:val="none"/>
          <w:lang w:val="zh-CN"/>
        </w:rPr>
        <w:t>，</w:t>
      </w:r>
      <w:r>
        <w:rPr>
          <w:rFonts w:hint="eastAsia" w:ascii="仿宋" w:hAnsi="仿宋" w:eastAsia="仿宋" w:cs="仿宋"/>
          <w:b w:val="0"/>
          <w:bCs w:val="0"/>
          <w:color w:val="auto"/>
          <w:sz w:val="24"/>
          <w:szCs w:val="24"/>
          <w:highlight w:val="none"/>
          <w:lang w:val="en-US" w:eastAsia="zh-CN"/>
        </w:rPr>
        <w:t>供应商</w:t>
      </w:r>
      <w:r>
        <w:rPr>
          <w:rFonts w:hint="eastAsia" w:ascii="仿宋" w:hAnsi="仿宋" w:eastAsia="仿宋" w:cs="仿宋"/>
          <w:b w:val="0"/>
          <w:bCs w:val="0"/>
          <w:color w:val="auto"/>
          <w:sz w:val="24"/>
          <w:szCs w:val="24"/>
          <w:highlight w:val="none"/>
          <w:lang w:val="zh-CN"/>
        </w:rPr>
        <w:t>应予以接受并及时处理。</w:t>
      </w:r>
    </w:p>
    <w:p>
      <w:pPr>
        <w:pageBreakBefore w:val="0"/>
        <w:kinsoku/>
        <w:wordWrap/>
        <w:overflowPunct/>
        <w:topLinePunct w:val="0"/>
        <w:bidi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7</w:t>
      </w:r>
      <w:r>
        <w:rPr>
          <w:rFonts w:hint="eastAsia" w:ascii="仿宋" w:hAnsi="仿宋" w:eastAsia="仿宋" w:cs="仿宋"/>
          <w:b/>
          <w:bCs/>
          <w:color w:val="auto"/>
          <w:sz w:val="24"/>
          <w:szCs w:val="24"/>
          <w:highlight w:val="none"/>
        </w:rPr>
        <w:t>、付款方式、时间：</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（1）采取先供货后结算的方式进行合作，采购人与中标人每90天进行一次结算，合同签订后，采购人按3个月实际使用量结算货款，由中标人提供合法税务发票，无质量问题后次月支付给中标人。</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（2）合同执行期间，如遇中药饮片</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调整</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特殊情况或政策变动（如</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医保局出台中药饮片价格最新信息价，优先执行</w:t>
      </w:r>
      <w:r>
        <w:rPr>
          <w:rFonts w:hint="eastAsia" w:ascii="仿宋" w:hAnsi="仿宋" w:eastAsia="仿宋" w:cs="仿宋"/>
          <w:color w:val="auto"/>
          <w:sz w:val="24"/>
          <w:szCs w:val="24"/>
          <w:highlight w:val="none"/>
          <w:lang w:eastAsia="zh-CN"/>
        </w:rPr>
        <w:t>绍兴</w:t>
      </w:r>
      <w:r>
        <w:rPr>
          <w:rFonts w:hint="eastAsia" w:ascii="仿宋" w:hAnsi="仿宋" w:eastAsia="仿宋" w:cs="仿宋"/>
          <w:color w:val="auto"/>
          <w:sz w:val="24"/>
          <w:szCs w:val="24"/>
          <w:highlight w:val="none"/>
        </w:rPr>
        <w:t>地区中药饮片价格最新信息价），以政策通知为准，双方可签署补充协议或者提前终止合同。</w:t>
      </w:r>
    </w:p>
    <w:p>
      <w:pPr>
        <w:pageBreakBefore w:val="0"/>
        <w:kinsoku/>
        <w:wordWrap/>
        <w:overflowPunct/>
        <w:topLinePunct w:val="0"/>
        <w:bidi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宋体" w:hAnsi="宋体" w:eastAsia="宋体" w:cs="宋体"/>
          <w:b/>
          <w:bCs/>
          <w:color w:val="auto"/>
          <w:sz w:val="24"/>
          <w:szCs w:val="24"/>
          <w:highlight w:val="none"/>
        </w:rPr>
        <w:t>★</w:t>
      </w:r>
      <w:r>
        <w:rPr>
          <w:rFonts w:hint="eastAsia" w:ascii="仿宋" w:hAnsi="仿宋" w:eastAsia="仿宋" w:cs="仿宋"/>
          <w:b/>
          <w:bCs/>
          <w:color w:val="auto"/>
          <w:sz w:val="24"/>
          <w:szCs w:val="24"/>
          <w:highlight w:val="none"/>
        </w:rPr>
        <w:t>（4）</w:t>
      </w:r>
      <w:r>
        <w:rPr>
          <w:rFonts w:hint="eastAsia" w:ascii="仿宋" w:hAnsi="仿宋" w:eastAsia="仿宋" w:cs="仿宋"/>
          <w:b/>
          <w:bCs/>
          <w:color w:val="auto"/>
          <w:sz w:val="24"/>
          <w:szCs w:val="24"/>
          <w:highlight w:val="none"/>
          <w:lang w:val="en-US" w:eastAsia="zh-CN"/>
        </w:rPr>
        <w:t>服务期内以绍兴市医疗保障协会等联委公布的</w:t>
      </w:r>
      <w:r>
        <w:rPr>
          <w:rFonts w:hint="eastAsia" w:ascii="仿宋" w:hAnsi="仿宋" w:eastAsia="仿宋" w:cs="仿宋"/>
          <w:b/>
          <w:bCs/>
          <w:color w:val="auto"/>
          <w:sz w:val="24"/>
          <w:szCs w:val="24"/>
          <w:highlight w:val="none"/>
        </w:rPr>
        <w:t>最新信息价为取费基数（个别品种不在目录中的，以采购人现有的批发价或采购人市场询价结果为准），</w:t>
      </w:r>
      <w:r>
        <w:rPr>
          <w:rFonts w:hint="eastAsia" w:ascii="仿宋" w:hAnsi="仿宋" w:eastAsia="仿宋" w:cs="仿宋"/>
          <w:b/>
          <w:bCs/>
          <w:color w:val="auto"/>
          <w:sz w:val="24"/>
          <w:szCs w:val="24"/>
          <w:highlight w:val="none"/>
          <w:lang w:val="zh-CN"/>
        </w:rPr>
        <w:t>如遇</w:t>
      </w:r>
      <w:r>
        <w:rPr>
          <w:rFonts w:hint="eastAsia" w:ascii="仿宋" w:hAnsi="仿宋" w:eastAsia="仿宋" w:cs="仿宋"/>
          <w:b/>
          <w:bCs/>
          <w:color w:val="auto"/>
          <w:sz w:val="24"/>
          <w:szCs w:val="24"/>
          <w:highlight w:val="none"/>
          <w:lang w:eastAsia="zh-CN"/>
        </w:rPr>
        <w:t>浙江省</w:t>
      </w:r>
      <w:r>
        <w:rPr>
          <w:rFonts w:hint="eastAsia" w:ascii="仿宋" w:hAnsi="仿宋" w:eastAsia="仿宋" w:cs="仿宋"/>
          <w:b/>
          <w:bCs/>
          <w:color w:val="auto"/>
          <w:sz w:val="24"/>
          <w:szCs w:val="24"/>
          <w:highlight w:val="none"/>
          <w:lang w:val="en-US" w:eastAsia="zh-CN"/>
        </w:rPr>
        <w:t>“智慧医保” 招采子系统阳光采购，所有供应商的挂网价不得超过绍兴市各三级中医院的招采价格的平均价，且各家投标人的挂网价，需要在中标后主动调整成统一的对招标人的挂网价，以利于形成统一零售价。</w:t>
      </w:r>
    </w:p>
    <w:p>
      <w:pPr>
        <w:pageBreakBefore w:val="0"/>
        <w:kinsoku/>
        <w:wordWrap/>
        <w:overflowPunct/>
        <w:topLinePunct w:val="0"/>
        <w:bidi w:val="0"/>
        <w:adjustRightInd w:val="0"/>
        <w:spacing w:line="360" w:lineRule="auto"/>
        <w:ind w:firstLine="482" w:firstLineChars="200"/>
        <w:rPr>
          <w:rFonts w:hint="default"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8、履约保证金：</w:t>
      </w:r>
      <w:r>
        <w:rPr>
          <w:rFonts w:hint="eastAsia" w:ascii="仿宋" w:hAnsi="仿宋" w:eastAsia="仿宋" w:cs="仿宋"/>
          <w:b w:val="0"/>
          <w:bCs w:val="0"/>
          <w:color w:val="auto"/>
          <w:sz w:val="24"/>
          <w:szCs w:val="24"/>
          <w:highlight w:val="none"/>
          <w:lang w:val="en-US" w:eastAsia="zh-CN"/>
        </w:rPr>
        <w:t>各标项中标供应商需按所投标项预算价的1%作为履约保证金。履约保证金在承包期满后，并经采购人考评合格且中标供应商办理完移交给采购人手续后一个月内无息退还。</w:t>
      </w:r>
    </w:p>
    <w:p>
      <w:pPr>
        <w:pageBreakBefore w:val="0"/>
        <w:kinsoku/>
        <w:wordWrap/>
        <w:overflowPunct/>
        <w:topLinePunct w:val="0"/>
        <w:bidi w:val="0"/>
        <w:adjustRightInd w:val="0"/>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val="en-US" w:eastAsia="zh-CN"/>
        </w:rPr>
        <w:t>9</w:t>
      </w:r>
      <w:r>
        <w:rPr>
          <w:rFonts w:hint="eastAsia" w:ascii="仿宋" w:hAnsi="仿宋" w:eastAsia="仿宋" w:cs="仿宋"/>
          <w:b/>
          <w:bCs/>
          <w:color w:val="auto"/>
          <w:sz w:val="24"/>
          <w:szCs w:val="24"/>
          <w:highlight w:val="none"/>
        </w:rPr>
        <w:t>、质量问题的处理：</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（1）因</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提供的饮片存在质量（包括包装质量）问题而造成</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的一切损失，由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负责。如双方对饮片质量产生争议，以法定检验部门的检验报告为准。送检产生的费用由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负责。</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（2）采购人</w:t>
      </w:r>
      <w:r>
        <w:rPr>
          <w:rFonts w:hint="eastAsia" w:ascii="仿宋" w:hAnsi="仿宋" w:eastAsia="仿宋" w:cs="仿宋"/>
          <w:color w:val="auto"/>
          <w:sz w:val="24"/>
          <w:szCs w:val="24"/>
          <w:highlight w:val="none"/>
        </w:rPr>
        <w:t>在经营</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提供的饮片时，若发生质量问题，应及时通知</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并提供详细、确定的质量信息。配合</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做好调查取证和善后处理工作。在</w:t>
      </w:r>
      <w:r>
        <w:rPr>
          <w:rFonts w:hint="eastAsia" w:ascii="仿宋" w:hAnsi="仿宋" w:eastAsia="仿宋" w:cs="仿宋"/>
          <w:color w:val="auto"/>
          <w:sz w:val="24"/>
          <w:szCs w:val="24"/>
          <w:highlight w:val="none"/>
          <w:lang w:val="en-US" w:eastAsia="zh-CN"/>
        </w:rPr>
        <w:t>使用</w:t>
      </w:r>
      <w:r>
        <w:rPr>
          <w:rFonts w:hint="eastAsia" w:ascii="仿宋" w:hAnsi="仿宋" w:eastAsia="仿宋" w:cs="仿宋"/>
          <w:color w:val="auto"/>
          <w:sz w:val="24"/>
          <w:szCs w:val="24"/>
          <w:highlight w:val="none"/>
        </w:rPr>
        <w:t>过程中，因</w:t>
      </w:r>
      <w:r>
        <w:rPr>
          <w:rFonts w:hint="eastAsia" w:ascii="仿宋" w:hAnsi="仿宋" w:eastAsia="仿宋" w:cs="仿宋"/>
          <w:color w:val="auto"/>
          <w:sz w:val="24"/>
          <w:szCs w:val="24"/>
          <w:highlight w:val="none"/>
          <w:lang w:val="en-US" w:eastAsia="zh-CN"/>
        </w:rPr>
        <w:t>特殊</w:t>
      </w:r>
      <w:r>
        <w:rPr>
          <w:rFonts w:hint="eastAsia" w:ascii="仿宋" w:hAnsi="仿宋" w:eastAsia="仿宋" w:cs="仿宋"/>
          <w:color w:val="auto"/>
          <w:sz w:val="24"/>
          <w:szCs w:val="24"/>
          <w:highlight w:val="none"/>
        </w:rPr>
        <w:t>原因造成饮片</w:t>
      </w:r>
      <w:r>
        <w:rPr>
          <w:rFonts w:hint="eastAsia" w:ascii="仿宋" w:hAnsi="仿宋" w:eastAsia="仿宋" w:cs="仿宋"/>
          <w:color w:val="auto"/>
          <w:sz w:val="24"/>
          <w:szCs w:val="24"/>
          <w:highlight w:val="none"/>
          <w:lang w:val="en-US" w:eastAsia="zh-CN"/>
        </w:rPr>
        <w:t>积压</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承诺给予退换货。</w:t>
      </w:r>
    </w:p>
    <w:p>
      <w:pPr>
        <w:pageBreakBefore w:val="0"/>
        <w:kinsoku/>
        <w:wordWrap/>
        <w:overflowPunct/>
        <w:topLinePunct w:val="0"/>
        <w:bidi w:val="0"/>
        <w:adjustRightInd w:val="0"/>
        <w:spacing w:line="360" w:lineRule="auto"/>
        <w:ind w:firstLine="480" w:firstLineChars="200"/>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在招标时提供的样品</w:t>
      </w:r>
      <w:r>
        <w:rPr>
          <w:rFonts w:hint="eastAsia" w:ascii="仿宋" w:hAnsi="仿宋" w:eastAsia="仿宋" w:cs="仿宋"/>
          <w:color w:val="auto"/>
          <w:sz w:val="24"/>
          <w:szCs w:val="24"/>
          <w:highlight w:val="none"/>
          <w:lang w:eastAsia="zh-CN"/>
        </w:rPr>
        <w:t>及嵊州市中医院</w:t>
      </w:r>
      <w:r>
        <w:rPr>
          <w:rFonts w:hint="eastAsia" w:ascii="仿宋" w:hAnsi="仿宋" w:eastAsia="仿宋" w:cs="仿宋"/>
          <w:color w:val="auto"/>
          <w:sz w:val="24"/>
          <w:szCs w:val="24"/>
          <w:highlight w:val="none"/>
          <w:lang w:val="en-US" w:eastAsia="zh-CN"/>
        </w:rPr>
        <w:t>中药饮片验收标准</w:t>
      </w:r>
      <w:r>
        <w:rPr>
          <w:rFonts w:hint="eastAsia" w:ascii="仿宋" w:hAnsi="仿宋" w:eastAsia="仿宋" w:cs="仿宋"/>
          <w:color w:val="auto"/>
          <w:sz w:val="24"/>
          <w:szCs w:val="24"/>
          <w:highlight w:val="none"/>
        </w:rPr>
        <w:t>将作为入库验收的依据，在购销过程中，如连续发生</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起供应的饮片质量明显低于所提供的样品质量事件，招标人将暂停其购销业务3个月，经整改评估后，方可恢复其购销业务，若整改后仍发生供应的饮片质量明显低于所提供的样品质量事件，招标人将有权单方面终止合同。</w:t>
      </w:r>
    </w:p>
    <w:p>
      <w:pPr>
        <w:pageBreakBefore w:val="0"/>
        <w:kinsoku/>
        <w:wordWrap/>
        <w:overflowPunct/>
        <w:topLinePunct w:val="0"/>
        <w:bidi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）经药监部门检查抽检，如质量不符合国家、部颁、地方标准而给予的罚款由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支付。如因饮片质量而引起的医患纠纷，由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负责。若情节严重可直接暂停</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供货，后续评估后再行处理；若事故对</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造成重大名誉或经济损失，由此造成的损失全权由</w:t>
      </w:r>
      <w:r>
        <w:rPr>
          <w:rFonts w:hint="eastAsia" w:ascii="仿宋" w:hAnsi="仿宋" w:eastAsia="仿宋" w:cs="仿宋"/>
          <w:color w:val="auto"/>
          <w:sz w:val="24"/>
          <w:szCs w:val="24"/>
          <w:highlight w:val="none"/>
          <w:lang w:val="en-US" w:eastAsia="zh-CN"/>
        </w:rPr>
        <w:t>供应商</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有权单方面立即终止合同。</w:t>
      </w:r>
    </w:p>
    <w:p>
      <w:pPr>
        <w:bidi w:val="0"/>
        <w:rPr>
          <w:rFonts w:hint="eastAsia"/>
          <w:color w:val="auto"/>
          <w:highlight w:val="none"/>
        </w:rPr>
      </w:pPr>
    </w:p>
    <w:p>
      <w:pPr>
        <w:pStyle w:val="6"/>
        <w:rPr>
          <w:rFonts w:hint="eastAsia"/>
          <w:color w:val="auto"/>
          <w:highlight w:val="none"/>
        </w:rPr>
      </w:pPr>
    </w:p>
    <w:p>
      <w:pPr>
        <w:pStyle w:val="3"/>
        <w:pageBreakBefore w:val="0"/>
        <w:kinsoku/>
        <w:wordWrap/>
        <w:overflowPunct/>
        <w:topLinePunct w:val="0"/>
        <w:bidi w:val="0"/>
        <w:adjustRightInd w:val="0"/>
        <w:snapToGrid w:val="0"/>
        <w:spacing w:before="156" w:beforeLines="50" w:after="0" w:line="360" w:lineRule="auto"/>
        <w:ind w:left="0" w:leftChars="0" w:firstLine="0" w:firstLineChars="0"/>
        <w:rPr>
          <w:rFonts w:hint="eastAsia" w:ascii="仿宋" w:hAnsi="仿宋" w:eastAsia="仿宋" w:cs="仿宋"/>
          <w:color w:val="auto"/>
          <w:sz w:val="24"/>
          <w:szCs w:val="24"/>
          <w:highlight w:val="none"/>
        </w:rPr>
      </w:pPr>
    </w:p>
    <w:p>
      <w:pPr>
        <w:rPr>
          <w:rFonts w:hint="eastAsia" w:ascii="仿宋" w:hAnsi="仿宋" w:eastAsia="仿宋" w:cs="仿宋"/>
          <w:color w:val="auto"/>
          <w:sz w:val="24"/>
          <w:szCs w:val="24"/>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rPr>
          <w:rFonts w:hint="eastAsia"/>
          <w:color w:val="auto"/>
          <w:highlight w:val="none"/>
        </w:rPr>
      </w:pPr>
    </w:p>
    <w:p>
      <w:pPr>
        <w:pStyle w:val="2"/>
        <w:rPr>
          <w:rFonts w:hint="eastAsia"/>
          <w:color w:val="auto"/>
          <w:highlight w:val="none"/>
        </w:rPr>
      </w:pPr>
    </w:p>
    <w:p>
      <w:pPr>
        <w:pStyle w:val="3"/>
        <w:pageBreakBefore w:val="0"/>
        <w:kinsoku/>
        <w:wordWrap/>
        <w:overflowPunct/>
        <w:topLinePunct w:val="0"/>
        <w:bidi w:val="0"/>
        <w:adjustRightInd w:val="0"/>
        <w:snapToGrid w:val="0"/>
        <w:spacing w:before="156" w:beforeLines="50" w:after="0" w:line="360" w:lineRule="auto"/>
        <w:ind w:left="0" w:leftChars="0"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附件</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嵊州市中</w:t>
      </w:r>
      <w:r>
        <w:rPr>
          <w:rFonts w:hint="eastAsia" w:ascii="仿宋" w:hAnsi="仿宋" w:eastAsia="仿宋" w:cs="仿宋"/>
          <w:color w:val="auto"/>
          <w:sz w:val="24"/>
          <w:szCs w:val="24"/>
          <w:highlight w:val="none"/>
        </w:rPr>
        <w:t>医院现使用的中药饮片目录</w:t>
      </w:r>
    </w:p>
    <w:tbl>
      <w:tblPr>
        <w:tblStyle w:val="64"/>
        <w:tblW w:w="8778" w:type="dxa"/>
        <w:tblInd w:w="91" w:type="dxa"/>
        <w:tblLayout w:type="fixed"/>
        <w:tblCellMar>
          <w:top w:w="0" w:type="dxa"/>
          <w:left w:w="108" w:type="dxa"/>
          <w:bottom w:w="0" w:type="dxa"/>
          <w:right w:w="108" w:type="dxa"/>
        </w:tblCellMar>
      </w:tblPr>
      <w:tblGrid>
        <w:gridCol w:w="1160"/>
        <w:gridCol w:w="1753"/>
        <w:gridCol w:w="1127"/>
        <w:gridCol w:w="1783"/>
        <w:gridCol w:w="1142"/>
        <w:gridCol w:w="1813"/>
      </w:tblGrid>
      <w:tr>
        <w:tblPrEx>
          <w:tblCellMar>
            <w:top w:w="0" w:type="dxa"/>
            <w:left w:w="108" w:type="dxa"/>
            <w:bottom w:w="0" w:type="dxa"/>
            <w:right w:w="108" w:type="dxa"/>
          </w:tblCellMar>
        </w:tblPrEx>
        <w:trPr>
          <w:trHeight w:val="454" w:hRule="atLeast"/>
          <w:tblHeader/>
        </w:trPr>
        <w:tc>
          <w:tcPr>
            <w:tcW w:w="1160" w:type="dxa"/>
            <w:tcBorders>
              <w:top w:val="doub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753" w:type="dxa"/>
            <w:tcBorders>
              <w:top w:val="doub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药品名称</w:t>
            </w:r>
          </w:p>
        </w:tc>
        <w:tc>
          <w:tcPr>
            <w:tcW w:w="1127" w:type="dxa"/>
            <w:tcBorders>
              <w:top w:val="doub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783" w:type="dxa"/>
            <w:tcBorders>
              <w:top w:val="doub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药品名称</w:t>
            </w:r>
          </w:p>
        </w:tc>
        <w:tc>
          <w:tcPr>
            <w:tcW w:w="1142" w:type="dxa"/>
            <w:tcBorders>
              <w:top w:val="double" w:color="000000" w:sz="4" w:space="0"/>
              <w:left w:val="sing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序号</w:t>
            </w:r>
          </w:p>
        </w:tc>
        <w:tc>
          <w:tcPr>
            <w:tcW w:w="1813" w:type="dxa"/>
            <w:tcBorders>
              <w:top w:val="double" w:color="000000" w:sz="4" w:space="0"/>
              <w:left w:val="single" w:color="000000" w:sz="4" w:space="0"/>
              <w:bottom w:val="single" w:color="000000" w:sz="4" w:space="0"/>
              <w:right w:val="doub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药品名称</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阿胶(东阿)250克</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179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海金沙10g1包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玉米须</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阿胶250克</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海金沙5g/1包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沙苑子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矮地茶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海螵蛸</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砂仁粉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lang w:eastAsia="zh-CN"/>
              </w:rPr>
            </w:pPr>
            <w:r>
              <w:rPr>
                <w:rFonts w:hint="eastAsia" w:ascii="仿宋" w:hAnsi="仿宋" w:eastAsia="仿宋" w:cs="仿宋"/>
                <w:i w:val="0"/>
                <w:iCs w:val="0"/>
                <w:color w:val="auto"/>
                <w:kern w:val="0"/>
                <w:sz w:val="24"/>
                <w:szCs w:val="24"/>
                <w:highlight w:val="none"/>
                <w:u w:val="none"/>
                <w:lang w:val="en-US" w:eastAsia="zh-CN" w:bidi="ar"/>
              </w:rPr>
              <w:t>艾叶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海桐皮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山慈菇</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巴戟肉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海藻</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山豆根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白扁豆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寒水石</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山柰</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白花蛇舌草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诃子肉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蛇床子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白及</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合欢花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蛇六谷</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白毛藤</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合欢皮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射干</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白茅根</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荷包草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伸筋草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189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黑大豆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升麻</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白头翁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黑豆黄卷</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生白芍</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红花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369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生白术</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白鲜皮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红景天</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生侧柏叶</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白芷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红木香</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生大黄</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百部</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红曲6克</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生地黄</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百合</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厚朴花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生地榆</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柏子仁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胡黄连</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生何首乌</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败酱草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槲寄生</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生槐花</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板蓝根</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虎杖</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生鸡内金</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半边莲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199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琥珀</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生姜皮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半枝莲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花椒</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生麦芽</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北沙参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花蕊石</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379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生山楂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荜茇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滑石10g/1包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失笑粉10克*1包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荜澄茄</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化橘红</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石菖蒲</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薜荔果</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淮小麦</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石膏</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萹蓄</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黄精</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石斛</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瘪桃干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黄连</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石见穿</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槟榔</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黄毛耳草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石决明</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冰片</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黄芪</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石楠叶</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薄荷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209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黄芩</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石韦</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参叶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黄药子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柿蒂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蚕砂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火麻仁</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389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首乌藤</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苍耳子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鸡骨草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秫米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草豆蔻</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鸡血藤</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熟大黄</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草果仁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积雪草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熟地黄</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侧柏叶炭</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急性子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水红花子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柴胡</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蒺藜</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水牛角</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蝉蜕</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姜半夏</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水蛭粉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葛花</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姜厚朴</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丝瓜络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燀苦杏仁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219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姜竹茹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四季菜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燀桃仁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降香</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苏木</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朝鲜参(阳德)</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焦六神曲</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399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娑罗果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炒扁豆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焦山栀</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锁阳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炒赤芍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绞股蓝</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太子参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炒椿皮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金蝉花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檀香</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炒党参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金果榄</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烫水蛭</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炒稻芽</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金钱草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藤梨根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炒防风</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金荞麦</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天冬</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炒槐花</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金雀根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天花粉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炒黄柏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229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金银花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天葵子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炒黄芪</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金樱子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天龙1条</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炒鸡内金</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荆芥</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409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天麻</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炒芥子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荆芥炭</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天名精</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炒九香虫</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酒当归</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天竹子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炒决明子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酒地龙</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甜叶菊</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炒莱菔子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酒黄芩</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铁苋菜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炒麦芽</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桑叶</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葶苈子10g/1包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炒蒲黄10g*1包</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桑枝</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葶苈子5g/1包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炒桑螵蛸</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酒女贞子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通草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炒山楂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239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酒乌梢蛇</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透骨草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炒酸枣仁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酒萸肉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土茯苓</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炒土鳖虫</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桔梗</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419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土荆皮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炒王不留行</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菊花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菟丝子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炒乌梅</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橘核</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望江南子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炒薏苡仁</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瞿麦</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威灵仙</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炒紫苏子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卷柏</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温山药</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车前草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壳砂仁(阳春砂)</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乌梅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沉香粉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苦参</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乌药</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沉香曲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苦丁茶</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无花果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辰茯苓</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249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昆布</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蜈蚣</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辰麦冬</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老鹳草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蜈蚣1支</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陈皮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雷丸</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429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蜈蚣粉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赤芍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荔枝核</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五倍子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赤石脂10g/1包</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连钱草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五加皮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赤石脂30G/1包</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连翘</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五灵脂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赤小豆</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莲须</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淫羊藿</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茺蔚子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莲子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溪黄草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冬瓜皮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灵芝</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豨莶草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冬瓜子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凌霄花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细辛</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川楝子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259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刘寄奴</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夏枯草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川牛膝</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六一粉10g/1包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仙鹤草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川芎</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六月雪</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439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仙灵脾</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穿破石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龙齿</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仙茅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穿山甲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龙胆</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鲜铁皮石斛</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穿山龙</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龙骨</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香茶菜</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垂盆草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龙葵</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香加皮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磁石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漏芦</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香薷</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刺猬皮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芦根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香橼</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醋鳖甲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鹿角胶100克</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小茴香</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醋柴胡</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269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鹿角胶250克</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小蓟</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醋龟甲</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鹿角片</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小蓟炭</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醋香附</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鹿角霜</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449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小青草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醋延胡索</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鹿茸草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薤白</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大腹皮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鹿衔草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辛夷</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大黄粉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路路通</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徐长卿</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大蓟</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穞豆衣</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续断</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大蓟炭</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葎草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玄参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大青叶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罗汉果1只</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玄明粉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大血藤</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络石藤</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旋覆花10g/1包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大枣</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279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麻黄</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鹿角片10g</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代代花</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韭菜子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鸭跖草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黛蛤粉10克/1包</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麻黄根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459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盐补骨脂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丹参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马鞭草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盐车前子10克/1包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胆南星</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马齿苋</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盐车前子5g/1包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淡豆豉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麦冬</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盐杜仲</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淡竹叶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蔓荆子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盐续断</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当归</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猫人参</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羊乳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109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党参</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猫爪草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阳起石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灯心草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玫瑰花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野菊花</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滴水珠</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289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梅花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一枝黄花</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地耳草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密蒙花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益母草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地枫皮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蜜百部</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469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益元散10g*1包</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地肤子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蜜蜂房</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益智</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地骨皮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蜜麸僵蚕</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薏苡仁</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地锦草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蜜麸青皮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茵陈</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地榆炭</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蜜麸肉豆蔻</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鱼脑石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丁香</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蜜甘草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鱼腥草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冬凌草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蜜黄芪</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玉竹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豆蔻</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蜜款冬花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郁金</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银柴胡</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299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蜜麻黄</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郁李仁</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余甘子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蜜紫菀</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预知子片</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豆蔻粉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绵萆薢</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479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皂角刺</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独活</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墨旱莲</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泽兰</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煅龙骨</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牡丹皮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泽泻</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煅牡蛎</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牡蛎</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赭石</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煅瓦楞子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木瓜</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浙贝母</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煅珍珠母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木蝴蝶</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蒸五味子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煅自然铜</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木槿花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知母</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莪术</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木通</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栀子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鹅不食草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309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木香</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枳椇子</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鹅管石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木贼</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制草乌</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番泻叶</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墓头回</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489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制川乌</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防风</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南方红豆杉3克*1袋</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制狗脊</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防己</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南沙参</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制关白附</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肺形草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南烛子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制何首乌</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凤尾草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牛蒡子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制没药</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佛耳草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牛膝</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制南星</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佛手</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糯稻根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制乳香</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麸白芍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藕节炭</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制吴茱萸</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麸苍术</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319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胖大海</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制玉竹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麸炒白术</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炮姜</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制远志</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麸衢枳壳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佩兰</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499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重楼</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麸枳壳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枇杷叶</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朱砂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麸枳实</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片姜黄</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猪苓</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茯苓</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蒲公英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竹茹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茯苓皮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蒲黄10g/1包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苎麻根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茯神</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蒲黄20g*1包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紫贝齿</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149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浮海石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蒲黄5g/1包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浮萍</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蕲蛇</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紫金皮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浮小麦</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329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荠菜花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紫石英</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附子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千里光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紫花地丁</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覆盆子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千年健</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509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紫苏梗</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干蟾</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前胡</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紫苏叶</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干姜</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芡实</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紫菀</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甘草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茜草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紫珠叶</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甘松</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茜草炭</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石榴皮</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高良姜</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羌活</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芦荟</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159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藁本</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蜣螂虫</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明矾</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葛根</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秦艽</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生酸枣仁</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蛤壳</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339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秦皮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杏香兔儿风</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钩藤</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青黛</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干石斛（特二）</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狗鞭粉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青风藤</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519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石斛（特二）6g</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枸骨子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青蒿</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石斛（特二）10g</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枸杞子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青葙子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全蝎3g</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谷精草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苘麻子</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水蛭3g</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骨碎补</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全蝎</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艾绒</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瓜蒌皮</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全蝎粉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艾条</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169</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瓜蒌子</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347</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人参片</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525</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粉葛根</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170</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关黄柏</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348</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忍冬藤</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526</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炒甘草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171</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贯众</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349</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肉苁蓉</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527</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pageBreakBefore w:val="0"/>
              <w:kinsoku/>
              <w:wordWrap/>
              <w:overflowPunct/>
              <w:topLinePunct w:val="0"/>
              <w:bidi w:val="0"/>
              <w:adjustRightInd w:val="0"/>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生半夏</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172</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广藿香</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350</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肉桂</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528</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红参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173</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广金钱草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351</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三棱</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529</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西洋参</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174</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龟甲胶252克</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352</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三七粉3g/1包</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530</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川贝</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175</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鬼箭羽</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353</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三叶青</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531</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川贝粉</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176</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鬼针草</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354</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桑白皮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532</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蛤蚧</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177</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桂枝</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355</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桑椹</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533</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血竭</w:t>
            </w:r>
          </w:p>
        </w:tc>
      </w:tr>
      <w:tr>
        <w:tblPrEx>
          <w:tblCellMar>
            <w:top w:w="0" w:type="dxa"/>
            <w:left w:w="108" w:type="dxa"/>
            <w:bottom w:w="0" w:type="dxa"/>
            <w:right w:w="108" w:type="dxa"/>
          </w:tblCellMar>
        </w:tblPrEx>
        <w:trPr>
          <w:trHeight w:val="454" w:hRule="atLeast"/>
        </w:trPr>
        <w:tc>
          <w:tcPr>
            <w:tcW w:w="1160" w:type="dxa"/>
            <w:tcBorders>
              <w:top w:val="single" w:color="000000" w:sz="4" w:space="0"/>
              <w:left w:val="double" w:color="000000" w:sz="4" w:space="0"/>
              <w:bottom w:val="single" w:color="000000" w:sz="4" w:space="0"/>
              <w:right w:val="single" w:color="000000" w:sz="4" w:space="0"/>
            </w:tcBorders>
            <w:noWrap w:val="0"/>
            <w:vAlign w:val="center"/>
          </w:tcPr>
          <w:p>
            <w:pPr>
              <w:pageBreakBefore w:val="0"/>
              <w:widowControl/>
              <w:kinsoku/>
              <w:wordWrap/>
              <w:overflowPunct/>
              <w:topLinePunct w:val="0"/>
              <w:bidi w:val="0"/>
              <w:adjustRightInd w:val="0"/>
              <w:spacing w:line="360" w:lineRule="auto"/>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178</w:t>
            </w:r>
          </w:p>
        </w:tc>
        <w:tc>
          <w:tcPr>
            <w:tcW w:w="17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海风藤</w:t>
            </w:r>
          </w:p>
        </w:tc>
        <w:tc>
          <w:tcPr>
            <w:tcW w:w="112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356</w:t>
            </w:r>
          </w:p>
        </w:tc>
        <w:tc>
          <w:tcPr>
            <w:tcW w:w="1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top"/>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禹余粮</w:t>
            </w:r>
          </w:p>
        </w:tc>
        <w:tc>
          <w:tcPr>
            <w:tcW w:w="114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bottom"/>
              <w:rPr>
                <w:rFonts w:hint="eastAsia" w:ascii="仿宋" w:hAnsi="仿宋" w:eastAsia="仿宋" w:cs="仿宋"/>
                <w:color w:val="auto"/>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534</w:t>
            </w:r>
          </w:p>
        </w:tc>
        <w:tc>
          <w:tcPr>
            <w:tcW w:w="1813" w:type="dxa"/>
            <w:tcBorders>
              <w:top w:val="single" w:color="000000" w:sz="4" w:space="0"/>
              <w:left w:val="single" w:color="000000" w:sz="4" w:space="0"/>
              <w:bottom w:val="single" w:color="000000" w:sz="4" w:space="0"/>
              <w:right w:val="double" w:color="000000" w:sz="4" w:space="0"/>
            </w:tcBorders>
            <w:noWrap w:val="0"/>
            <w:vAlign w:val="center"/>
          </w:tcPr>
          <w:p>
            <w:pPr>
              <w:keepNext w:val="0"/>
              <w:keepLines w:val="0"/>
              <w:widowControl/>
              <w:suppressLineNumbers w:val="0"/>
              <w:jc w:val="center"/>
              <w:textAlignment w:val="top"/>
              <w:rPr>
                <w:rFonts w:hint="eastAsia" w:ascii="仿宋" w:hAnsi="仿宋" w:eastAsia="仿宋" w:cs="仿宋"/>
                <w:i w:val="0"/>
                <w:iCs w:val="0"/>
                <w:color w:val="auto"/>
                <w:kern w:val="2"/>
                <w:sz w:val="24"/>
                <w:szCs w:val="24"/>
                <w:highlight w:val="none"/>
                <w:u w:val="none"/>
                <w:lang w:val="en-US" w:eastAsia="zh-CN" w:bidi="ar-SA"/>
              </w:rPr>
            </w:pPr>
            <w:r>
              <w:rPr>
                <w:rFonts w:hint="eastAsia" w:ascii="仿宋" w:hAnsi="仿宋" w:eastAsia="仿宋" w:cs="仿宋"/>
                <w:i w:val="0"/>
                <w:iCs w:val="0"/>
                <w:color w:val="auto"/>
                <w:kern w:val="0"/>
                <w:sz w:val="24"/>
                <w:szCs w:val="24"/>
                <w:highlight w:val="none"/>
                <w:u w:val="none"/>
                <w:lang w:val="en-US" w:eastAsia="zh-CN" w:bidi="ar"/>
              </w:rPr>
              <w:t>朝鲜红参</w:t>
            </w:r>
          </w:p>
        </w:tc>
      </w:tr>
    </w:tbl>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24"/>
          <w:szCs w:val="24"/>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附件2：</w:t>
      </w:r>
      <w:r>
        <w:rPr>
          <w:rFonts w:hint="eastAsia" w:ascii="仿宋" w:hAnsi="仿宋" w:eastAsia="仿宋" w:cs="仿宋"/>
          <w:b/>
          <w:color w:val="auto"/>
          <w:sz w:val="24"/>
          <w:szCs w:val="24"/>
          <w:highlight w:val="none"/>
        </w:rPr>
        <w:t>嵊州市中医院中药饮片验收标准</w:t>
      </w:r>
    </w:p>
    <w:tbl>
      <w:tblPr>
        <w:tblStyle w:val="64"/>
        <w:tblW w:w="9678"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5031"/>
        <w:gridCol w:w="1110"/>
        <w:gridCol w:w="2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blHeader/>
        </w:trPr>
        <w:tc>
          <w:tcPr>
            <w:tcW w:w="1314" w:type="dxa"/>
            <w:vAlign w:val="center"/>
          </w:tcPr>
          <w:p>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药品名称</w:t>
            </w:r>
          </w:p>
        </w:tc>
        <w:tc>
          <w:tcPr>
            <w:tcW w:w="5031" w:type="dxa"/>
            <w:vAlign w:val="center"/>
          </w:tcPr>
          <w:p>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外观性状要求</w:t>
            </w:r>
          </w:p>
        </w:tc>
        <w:tc>
          <w:tcPr>
            <w:tcW w:w="1110" w:type="dxa"/>
            <w:vAlign w:val="center"/>
          </w:tcPr>
          <w:p>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产地</w:t>
            </w:r>
          </w:p>
        </w:tc>
        <w:tc>
          <w:tcPr>
            <w:tcW w:w="2223" w:type="dxa"/>
            <w:vAlign w:val="center"/>
          </w:tcPr>
          <w:p>
            <w:pPr>
              <w:spacing w:line="400" w:lineRule="exact"/>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trPr>
        <w:tc>
          <w:tcPr>
            <w:tcW w:w="1314" w:type="dxa"/>
            <w:vAlign w:val="center"/>
          </w:tcPr>
          <w:p>
            <w:pPr>
              <w:spacing w:line="400" w:lineRule="exact"/>
              <w:ind w:firstLine="360" w:firstLineChars="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黄芪</w:t>
            </w:r>
          </w:p>
        </w:tc>
        <w:tc>
          <w:tcPr>
            <w:tcW w:w="5031" w:type="dxa"/>
            <w:vAlign w:val="center"/>
          </w:tcPr>
          <w:p>
            <w:pPr>
              <w:spacing w:after="24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片大，断面色黄白、味甜、有粉性；为类圆形厚片，直径大于1.0cm，无空裂片或空洞片，切面皮部黄白色，木部淡黄色，豆腥气浓。</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内蒙、甘肃</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过1cm筛，直径1.3cm以上的不少于50%，豆腥味强。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6"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姜半夏</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药典  姜半夏 呈片状、不规则颗粒状或类球形，表面棕色至棕褐色。质硬脆，断面淡黄棕色，常具角质样光泽。气微香，味淡、微有麻舌感，嚼之略粘牙。</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炮规    姜半夏（浙） 为类圆形的厚片，直径0.8-1.5cm。表面白色至灰白色。断面白色，粉性。气微，味淡、微有麻舌感，嚼之不粘牙。</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姜半夏 直径0.8-1.2cm,直径1.0以上者占比≥80%，角质样光泽明显，透心。</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姜半夏（浙）粉性明显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炒酸枣仁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粒大、饱满、完整、有光泽、种皮红棕色、种仁黄白色；为扁圆形或扁椭圆形，长5-9mm，宽5-7mm，厚约3mm，厚薄大小均匀；表面鼓起，微具焦斑，焦斑率占50%以上。</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无油耗味，过3号筛，果核杂质不得过2%。空壳、瘪子比列不超过2%。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太子参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条粗、色黄白、无须根；呈长纺锤形，长4-10cm，直径0.3-0.6cm；大小均匀，较光洁饱满；无须根，表面黄白色，质硬而脆，断面平坦，淡黄白色或类白色。</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220头以上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浙贝母</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鳞叶肥厚、质坚实、粉性足、断面色白；为厚片，中心片占25%以上，厚度均匀；粉性，切片微鼓起，淡棕色，无霉斑。味苦。</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过6号筛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茯苓</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白色细腻、黏牙力强；为0.6－1.2cm小方块（骰方），色泽均匀，大小均等，破碎者不得过5%；表面白色或类白色，无赤苓。</w:t>
            </w:r>
          </w:p>
        </w:tc>
        <w:tc>
          <w:tcPr>
            <w:tcW w:w="1110"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云南、湖北</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安徽</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过6号筛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党参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直径大，质柔润；为类圆形的厚片或短段，厚片占85%以上，直径0.8—1.5cm，大小均匀，无须根；切面平坦，皮部淡黄白色至淡棕色，形成层环明显，木部黄色；香气特异，味微甜；嚼之无渣。</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过8号，去芦。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当归</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片大油润、外皮色黄棕、肉质饱满、断面色黄白、气浓香；为纵切薄片，表面黄棕色，切面皮部厚，淡黄棕色，有裂隙及多数点状分泌腔，木部色稍浅，具放射状纹理。</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甘肃</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归头片不得少于30%，小于6mm的归尾片不得过10%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附子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为纵切片，上宽下窄，长1.7-5cm，宽0.9-3cm，厚0.2-0.5cm。外皮黑褐色，切面暗黄色，油润具光泽，半透明状，并有纵向导管束。质硬而脆，断面角质样。气微，味淡。</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黑顺片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柴胡</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条粗、无须根；为三年生以上类圆形厚片，直径0.</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-0.8cm,无地上茎或茎片，表面浅棕色或黑褐色，切面皮部薄易剥落，木部黄白色致密，具放射状纹理，质硬，气微香，味微苦；根头片不得过5%。</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北柴胡，杂质（残留茎秆等）不得过2%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蜈蚣</w:t>
            </w:r>
          </w:p>
        </w:tc>
        <w:tc>
          <w:tcPr>
            <w:tcW w:w="5031"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体长大于1</w:t>
            </w:r>
            <w:r>
              <w:rPr>
                <w:rFonts w:hint="eastAsia" w:ascii="仿宋" w:hAnsi="仿宋" w:eastAsia="仿宋" w:cs="仿宋"/>
                <w:color w:val="auto"/>
                <w:kern w:val="0"/>
                <w:sz w:val="24"/>
                <w:szCs w:val="24"/>
                <w:highlight w:val="none"/>
                <w:lang w:val="en-US" w:eastAsia="zh-CN"/>
              </w:rPr>
              <w:t>4</w:t>
            </w:r>
            <w:r>
              <w:rPr>
                <w:rFonts w:hint="eastAsia" w:ascii="仿宋" w:hAnsi="仿宋" w:eastAsia="仿宋" w:cs="仿宋"/>
                <w:color w:val="auto"/>
                <w:kern w:val="0"/>
                <w:sz w:val="24"/>
                <w:szCs w:val="24"/>
                <w:highlight w:val="none"/>
              </w:rPr>
              <w:t>厘米，完整。</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干燥，无拼接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生晒参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类圆形薄片，切面淡黄白色或类白色，显粉性，形成层环纹棕黄色，皮部有黄棕色的点状树脂道及放射性裂隙。体轻，质脆。香气特异，味微苦，甘。</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炒党参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参照党参，炒至表面深黄色，微具焦斑。</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无走油现象。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麦冬</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个大、饱满、皮细、糖性足、木心细、内外淡黄白色；表面黄白色或淡黄色，大小均匀，无须根；直径大于0.4cm。</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四川</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无黑子泛油现象，压扁均匀。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枸杞子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粒丰满、肉厚、籽少、色暗红、质柔韧、味微甜；大小均匀，无果梗、叶、未成熟果实，每50克小于</w:t>
            </w:r>
            <w:r>
              <w:rPr>
                <w:rFonts w:hint="eastAsia" w:ascii="仿宋" w:hAnsi="仿宋" w:eastAsia="仿宋" w:cs="仿宋"/>
                <w:color w:val="auto"/>
                <w:sz w:val="24"/>
                <w:szCs w:val="24"/>
                <w:highlight w:val="none"/>
                <w:lang w:val="en-US" w:eastAsia="zh-CN"/>
              </w:rPr>
              <w:t>260</w:t>
            </w:r>
            <w:r>
              <w:rPr>
                <w:rFonts w:hint="eastAsia" w:ascii="仿宋" w:hAnsi="仿宋" w:eastAsia="仿宋" w:cs="仿宋"/>
                <w:color w:val="auto"/>
                <w:sz w:val="24"/>
                <w:szCs w:val="24"/>
                <w:highlight w:val="none"/>
              </w:rPr>
              <w:t>粒。</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宁夏</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无黑点。松散，干燥，无粘结成块现象。</w:t>
            </w:r>
          </w:p>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全蝎</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干燥，长约6厘米，背面绿褐色，覆有梯形背甲，末节有锐钩状毒刺，外表偶见白霜，气微腥，味微咸。</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淡全虫，肚瘪，不得有盐粒析出。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醋延胡索</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为不规则扁球形，直径大于0.5cm，断面黄褐色，质较硬，光泽不明显，微具醋味。 </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制透，厚片，过4号，不染色。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赤芍</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切面粉白色，粉性大者为优；为类圆形厚片，直径0.6-2cm，大小均匀，表面棕褐色，切面粉白色或粉红色，小于0.6cm大于2cm不得过3%。</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无白芍片充入。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麸炒白术</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呈不规则的厚片。表面黄棕色，偶见焦斑。略有焦香气。</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直径2-5cm。表面平整，有裂隙。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黄连</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条粗壮，质坚实，断面红黄色，无残茎毛须，为薄片，切面木部鲜黄色至橙黄色，具裂隙，味极苦；直径大于0.4cm,无地上茎。</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四川</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不染色。</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过3号筛。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白及</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不规则扁圆状，多有2-3个爪状分枝，长1.5-5cm，厚0.5-1.5cm。表面灰白色或黄白色，有数圈同心环节和棕色点状根痕，上面有突起的茎痕，下面有连接另一块茎的痕迹。质坚硬，不易折断，断面类白色，角质样。气微，味苦，嚼之有黏性。</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薄片过6号，无白心。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山药</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片大、质坚实、粉性足、色洁白；为厚片，直径1.6-3cm,大小均匀，表面黄白或淡黄色，浅棕色外皮残留极少，片型整齐无破片，切面白色，质坚脆，粉性，气微，味淡、微酸。</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河南</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刮去外皮，无黑片。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五味子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直径6-8mm，果皮紫红，果肉厚、柔润，种子表面有光泽；无果梗和杂质；醋蒸后色乌黑油润有光泽。</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辽宁</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防风</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粗壮、质松软、断面皮部色浅棕、木部色浅黄、“菊花心”明显；为类圆形厚片，厚2-4mm，超过或不足部分小于10%，直径0.5-1.2cm，大小均匀，根头片、碎片小于3%。</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切面皮部黄棕色，具裂隙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麸枳壳</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外皮色棕褐、果肉厚、质坚实、香气浓，为不规则弧状条形薄片，直径3-5cm，中果皮厚0.6-1.2cm，表面有颗粒状突起，呈深黄色，偶有焦斑。</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江西、湖南</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山慈菇</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表面黄棕或黄褐色，无变色甚至变黑，直径0.6-1.5cm,超过或不足部分小于5%，大小均匀，饱满，无碎屑。</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蝉衣</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体形完整、黄亮色；</w:t>
            </w:r>
            <w:r>
              <w:rPr>
                <w:rFonts w:hint="eastAsia" w:ascii="仿宋" w:hAnsi="仿宋" w:eastAsia="仿宋" w:cs="仿宋"/>
                <w:color w:val="auto"/>
                <w:sz w:val="24"/>
                <w:szCs w:val="24"/>
                <w:highlight w:val="none"/>
                <w:shd w:val="clear" w:color="auto" w:fill="FFFFFF"/>
              </w:rPr>
              <w:t>无泥屑等杂质，断脚、翅膀等小于2%。</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不能有小蝉蜕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川贝母</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呈类圆锥形或近球形，直径0.3-0.9cm，类白色，鳞叶2瓣，怀中抱月，质硬而脆，富粉性。气微，味微苦。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大小均匀，过4号，无泥杂附着。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生白术</w:t>
            </w:r>
          </w:p>
        </w:tc>
        <w:tc>
          <w:tcPr>
            <w:tcW w:w="5031"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本品呈不规则的厚片。外表皮灰黄色或灰棕色。切面黄白色至淡棕色，散生棕黄色的点状油室，木部具放射状纹理；烘干者切面角质样，色较深或有裂隙。气清香，味甘、微辛，嚼之略带黏性。</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直径2-5cm。表面平整，有裂隙。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天麻</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呈不规则薄片。外表淡黄色至黄棕色，有时点状排成横环纹。切面黄白色至淡棕色。角质样，半透明。气微，味甘。</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金银花</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为棒状花蕾，上粗下细，略弯曲；色淡、质柔软、气清香；开放花朵，黄条、苞片不得过1%，无叶片、黑头、黑条。</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杂质不超过2%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砂仁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长约1.5-2cm，直径1-1.5cm，密生刺状突起，将种子分成3瓣，每瓣有种子5-26粒。种子呈不规则多面体，外被淡棕色膜质假种皮，胚乳灰白色。气芳香而浓烈，味辛凉、微苦。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阳春砂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丹参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条粗壮、色紫红；圆厚片，直径0.</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-1.2cm，大小均匀，表面红色，切面皮部红色，木部黄白色，不空枯。</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过4号，不空枯，残茎不超过3%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生薏苡仁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长6-8mm，宽4-6mm，饱满，色白，完整体质似糯米，大小均匀；无核壳等杂质。</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贵州（小）</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过3号筛，，无油耗味。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重楼</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为薄片，直径1.2-3.5cm，大小均匀，质坚实，断面色白、粉性足。</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2cm以上片子不得少于50%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9"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远志</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条粗、皮厚；为圆柱形的段，直径0.3-0.8cm。长短、粗细均匀，不得带地上茎；表面黄棕色，切面中空，味微甜。</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山东</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炮制程度恰当，未去木心者不得过3%。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三叶青</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为厚片，直径0.6-4cm，片型大小均匀，表面棕红色至棕褐色，切面类白色或粉红色；过直径为5mm的筛无粉末等药屑。 </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覆盆子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聚合果，小核果，呈圆锥形，高0.6-1.3cm，直径0.5-1.2cm。表面黄绿色或淡棕色，顶端钝圆，基部中心凹入，每个小果呈半月形，背面密被灰白色茸毛，两侧有明显的网纹，腹部有突起的棱线。体轻，质硬。气微，味微酸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干燥近成熟果实，去净果柄，过8号筛。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肉苁蓉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呈不规则形的厚片。表面棕褐色或灰棕色，有的可见肉质鳞叶。</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肉苁蓉片有淡棕色或棕黄色点状维管束，排列成波状环纹。气微，味甜，微苦。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不得为管花肉苁蓉。</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厚片过8号，直径2cm以上不得少于70%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麸白芍</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切面黄色，微具焦斑，折断面略显黄色，略有焦香气，焦斑率占50%以上；直径1-2.5cm，大小均匀，小于1.2cm以下及大于1.8cm以上不得大于3%；空裂片和破片少于3%。</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安徽</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川芎</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片大饱满、质坚实、断面色黄白、油性大、香气浓；为圆厚片，直径2.5-7cm，2.5cm以上不低于80%；切面黄白色，具波状环纹或不规则多角形纹理。</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四川</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猫爪草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数个至数十个纺锤形的块状簇生，形似猫爪，长3-10mm，直径2-3mm，顶端有黄褐色残茎或茎痕，表面黄褐色或灰黄色，微有纵皱纹，并有点状须根痕和残留须根。质坚实，断面类白色或黄白色，空心或实心，粉性。气微，味微甘。</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郁金</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为椭圆形或长条形薄片，直径1.0-1.8cm，质坚实。</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蜜麸僵蚕</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略呈圆柱形，长3.5-5cm，直径0.5-0.7cm，表面黄棕色，被有白色粉霜状的气生菌丝和分生孢子。可见焦斑，闻之麦麸样气味，无麦麸等杂质。</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无霉烂及蚕丝，断面角质样有胶口镜面比列90%以上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菟丝子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灰黄，颗粒饱满；类球形，直径1.2-1.5mm，表面灰棕色或黄棕色；质坚硬，不易被指甲压碎。</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干燥成熟种子，水洗货。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猪苓</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呈类圆形或不规则的厚片。外表皮黑色或棕黑色，皱缩。切面类白色或黄白色，略至颗粒状。气微，味淡。</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过8号，体轻，直径2cm以上大片不少于50%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芡实</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多为半圆球形破粒，完整者直径5-8mm。表面有棕红色或红褐色内种皮，一端黄白色，约占全体1/3,有凹点状的种脐痕，除去内种皮显白色。质较硬，断面白色，粉性。气微，味淡。</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过3号筛，半圆球形粒不得少于90%。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龙骨</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为不规则的碎粒或粉末。表面类白色、灰白色或土黄色，有的具纹理与裂隙，或具蓝灰色或棕色花纹和斑点。质硬，断面不平坦，有时可见蜂窝状小孔，具吸湿性。气微、味淡。</w:t>
            </w:r>
          </w:p>
        </w:tc>
        <w:tc>
          <w:tcPr>
            <w:tcW w:w="1110" w:type="dxa"/>
            <w:vAlign w:val="center"/>
          </w:tcPr>
          <w:p>
            <w:pPr>
              <w:spacing w:line="400" w:lineRule="exact"/>
              <w:jc w:val="center"/>
              <w:rPr>
                <w:rFonts w:hint="eastAsia" w:ascii="仿宋" w:hAnsi="仿宋" w:eastAsia="仿宋" w:cs="仿宋"/>
                <w:b/>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PH试纸或试液检测显中性。</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伴随龙骨采挖的泥沙或其它矿石不得过3%。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山茱萸</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片大、肉厚、柔软、色紫红；无果核、果梗；长1.2-1.5cm，宽0.6-1cm。</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梅花</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呈类球形，直径3-6mm，有短梗。苞片数层，鳞片状，棕褐色，花萼5，灰绿色或棕红色，花瓣5或多数，黄白色或棕红色。过筛。气清香，味微苦，涩。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净颗粒，初开放的花比列不超过15%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焦六神曲</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为均匀的小方块，表面焦褐色，断面棕褐色，气焦香。过筛。</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佛手</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广佛手片以片大而薄、黄皮白肉、气味香甜者为佳；切丝，长6-10cm，厚0.2-0.4cm</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炙甘草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不粘手；直径1.0-2.0cm，大小均匀，外皮红棕色或灰棕色，微有光泽，切面黄至深黄色。具焦香气，味甜。</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甘肃、内蒙</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黄芩</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以内外鲜黄的子芩为佳，无中心枯朽状或中空的枯芩；质坚实，直径1.0-2cm，外表黄棕或棕褐色，切面黄棕或黄绿色，味苦。</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小于1.0cm大于2cm不得过3%。</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厚片，表面不得呈绿色或部分绿色。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炮穿山甲</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全体膨胀成卷曲状，黄色，质酥脆，易碎。</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广西</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6"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柏子仁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成长卵形或长椭圆形，长4-7mm，直径1.5-3mm。表面黄白色或淡黄棕色，外包膜质内种皮，顶端略尖，有深褐色的小点，基部钝圆。质软，富油性。气微香，味淡。</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无油耗味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天龙</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长于6cm。</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百合</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瓣均肉厚、质硬、筋少、色白、味微苦；呈长椭圆形，长2－5cm，宽1－2cm，中部直径1.3－4mm，表面黄白色或淡棕黄色，无黑瓣。</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过3号，去黑片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北沙参</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呈段状，直径0.6-1.2cm，0.7cm占比80％以上，大小均匀，质坚，根茎残基不超过1%。残存黄棕色外皮者不超过5%。</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表面淡黄色，切面黄白色，去残茎，去芦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生白芍</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切面类白色或微带棕红色，形成成环明显，大小均匀，小于1.2cm以下及大于1.8cm以上不得大于3%；空裂片和破片少于3%。气微，味微苦，酸。</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首乌藤</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shd w:val="clear" w:color="auto" w:fill="FFFFFF"/>
              </w:rPr>
              <w:t>呈圆柱形的段，直径4～7mm；外表面紫红色或紫褐色；切面皮部紫红色，木部黄白色或淡棕色，导管孔明显，髓部疏松，类白色。气微，味微苦涩。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白花蛇舌草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成2—4cm段状，花小，单生或成对生于叶腋。茎叶完整、色灰绿、具果实，无泥沙等杂质。小于2cm的段状不得大于3%。</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江西</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炒薏苡仁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长6-8mm，宽4-6mm，微鼓起，表面微黄色，具麦麸样香味，饱满，大小均匀；无焦糊粒、夹生粒。</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贵州(小)</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无油耗味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甘草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外皮细紧、红棕色、质坚实、体重、断面黄白色、粉性足、味甜；为圆厚片，直径0.8-1.2cm，大小均匀，无根茎片及破片；表皮红棕色，切面黄白色，形成层环明显，味甜特异。</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内蒙、甘肃</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牛膝</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为长圆柱形的段，直径0.</w:t>
            </w:r>
            <w:r>
              <w:rPr>
                <w:rFonts w:hint="eastAsia" w:ascii="仿宋" w:hAnsi="仿宋" w:eastAsia="仿宋" w:cs="仿宋"/>
                <w:color w:val="auto"/>
                <w:sz w:val="24"/>
                <w:szCs w:val="24"/>
                <w:highlight w:val="none"/>
                <w:lang w:val="en-US" w:eastAsia="zh-CN"/>
              </w:rPr>
              <w:t>6</w:t>
            </w:r>
            <w:r>
              <w:rPr>
                <w:rFonts w:hint="eastAsia" w:ascii="仿宋" w:hAnsi="仿宋" w:eastAsia="仿宋" w:cs="仿宋"/>
                <w:color w:val="auto"/>
                <w:sz w:val="24"/>
                <w:szCs w:val="24"/>
                <w:highlight w:val="none"/>
              </w:rPr>
              <w:t>-1cm，肉肥、皮细、黄白色，断面略呈角质样而油润，味微甜而稍苦涩。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去芦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续断</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为类圆形或椭圆形的厚片，直径0.5-2cm，外表灰褐色至黄褐色，有纵皱，质较软，切面墨绿色或棕色，1.0cm以上占比60％。</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桔梗</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片大、色白、味微甘而后苦；为马蹄形厚片，传统加工，厚2-4mm，超过或不足部分少于10%，直径0.8-1.8cm，大小均匀，碎片小于2%。</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连翘</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色绿、不开裂；长1.5-2.5cm，直径0.6-1.3cm。表面绿褐色，无突起的灰白色小斑；质硬；种子黄绿色。气微香，味苦。连翘心、柄等不得过1%。</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去果柄</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青翘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蒲公英</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叶绿褐色、带花序、干燥，无泥沙等杂质；</w:t>
            </w:r>
            <w:r>
              <w:rPr>
                <w:rFonts w:hint="eastAsia" w:ascii="仿宋" w:hAnsi="仿宋" w:eastAsia="仿宋" w:cs="仿宋"/>
                <w:color w:val="auto"/>
                <w:sz w:val="24"/>
                <w:szCs w:val="24"/>
                <w:highlight w:val="none"/>
                <w:shd w:val="clear" w:color="auto" w:fill="FFFFFF"/>
              </w:rPr>
              <w:t>气微，味微苦。碎末（脱落花）</w:t>
            </w:r>
            <w:r>
              <w:rPr>
                <w:rFonts w:hint="eastAsia" w:ascii="仿宋" w:hAnsi="仿宋" w:eastAsia="仿宋" w:cs="仿宋"/>
                <w:color w:val="auto"/>
                <w:sz w:val="24"/>
                <w:szCs w:val="24"/>
                <w:highlight w:val="none"/>
                <w:u w:val="wave"/>
                <w:shd w:val="clear" w:color="auto" w:fill="FFFFFF"/>
              </w:rPr>
              <w:t>过筛</w:t>
            </w:r>
            <w:r>
              <w:rPr>
                <w:rFonts w:hint="eastAsia" w:ascii="仿宋" w:hAnsi="仿宋" w:eastAsia="仿宋" w:cs="仿宋"/>
                <w:color w:val="auto"/>
                <w:sz w:val="24"/>
                <w:szCs w:val="24"/>
                <w:highlight w:val="none"/>
                <w:shd w:val="clear" w:color="auto" w:fill="FFFFFF"/>
              </w:rPr>
              <w:t>。</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水洗净货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皂角刺</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无枝梗、色紫棕、切面髓部疏松淡红棕色；为圆柱形的段，段占85%以上；表面光滑、色紫，有光泽；主刺直径0.4-0.8cm，大小均匀；枯枝少于1%，无其它杂质。</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益智仁</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种子集结成团，中有隔膜将种子团分成3瓣，每瓣有种子6-11粒。种子呈不规则的扁圆形，略有钝棱，直径约3mm，表面灰褐色或灰黄色，外被淡棕色膜质的假种皮。质硬，胚乳白色。有特异香气，味辛，微苦。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巴戟天</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圆柱形，直径为0.5-2cm，质韧，断面皮部厚，紫色或淡紫色，气微，味甘而微涩。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生地黄</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块大、体重、断面乌黑油润、味甘；厚片，直径2.0—4cm，2.8cm以上不少于50%，切面棕褐色或棕灰色，微有光泽，具黏性，没有沙粒感。</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河南</w:t>
            </w: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桑寄生</w:t>
            </w:r>
          </w:p>
        </w:tc>
        <w:tc>
          <w:tcPr>
            <w:tcW w:w="5031" w:type="dxa"/>
            <w:vAlign w:val="center"/>
          </w:tcPr>
          <w:p>
            <w:pPr>
              <w:pStyle w:val="59"/>
              <w:shd w:val="clear" w:color="auto" w:fill="FFFFFF"/>
              <w:spacing w:before="150" w:after="150" w:line="420" w:lineRule="atLeas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rPr>
              <w:t>为厚片或不规则短段。茎枝直径0.2-1cm，</w:t>
            </w:r>
            <w:r>
              <w:rPr>
                <w:rFonts w:hint="eastAsia" w:ascii="仿宋" w:hAnsi="仿宋" w:eastAsia="仿宋" w:cs="仿宋"/>
                <w:color w:val="auto"/>
                <w:kern w:val="0"/>
                <w:sz w:val="24"/>
                <w:szCs w:val="24"/>
                <w:highlight w:val="none"/>
              </w:rPr>
              <w:t>表面红褐色或灰褐色。叶多卷曲，具短柄；叶片展平后呈卵形或椭圆形，表面黄褐色，幼叶被细茸毛，先端钝圆，基部圆形或宽楔形，全缘；革质。气微，味涩。</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酒地龙</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长条状薄片，弯曲，长3～5cm，宽1～2cm，无泥屑等杂质，具酒香味，偶见焦斑，质轻，略呈革质，不易折断。</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广地龙，全开片。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制黄精</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为厚片，直径0.6-1.5cm，大小均匀，表面棕褐色至黑色</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鸡头黄精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天冬</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条粗壮，色黄白，半透明；无茎基、须根、光木心（中柱）等杂质；直径0.6-1.5cm，表面黄白色至淡黄棕色，半透明，质硬或柔润，有粘性，断面角质样，气微，味甜、微苦。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易松散，不粘结成硬块。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前胡</w:t>
            </w:r>
          </w:p>
        </w:tc>
        <w:tc>
          <w:tcPr>
            <w:tcW w:w="5031" w:type="dxa"/>
            <w:vAlign w:val="center"/>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本品呈类圆形或不规则形的薄片。外表皮黑褐色或灰黄色，有时可见残留的纤维状叶鞘残基。切面黄白色至淡黄色，皮部散有多数棕黄色油点，可见一棕色环纹及放射状纹理。气芳香，味微苦、辛。</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前胡直径0.5-1.5cm,其中直径0.8以上的片占比≥60%，香气浓郁。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夏枯草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穗长、色棕红、摇之作响；</w:t>
            </w:r>
            <w:r>
              <w:rPr>
                <w:rFonts w:hint="eastAsia" w:ascii="仿宋" w:hAnsi="仿宋" w:eastAsia="仿宋" w:cs="仿宋"/>
                <w:color w:val="auto"/>
                <w:sz w:val="24"/>
                <w:szCs w:val="24"/>
                <w:highlight w:val="none"/>
                <w:shd w:val="clear" w:color="auto" w:fill="FFFFFF"/>
              </w:rPr>
              <w:t>呈圆柱形，略扁，长大于4cm，直径0.8～1.5cm；体轻；气微，味淡。</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穗、梗长≤0.5cm，无叶片、无杂质。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牡丹皮</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直径0.5cm-1.2cm,厚0.2-0.4cm，切面淡粉红色，粉性。</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条粗、皮厚、无木心、断面粉白色、粉性足、亮银星多、香气浓；</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含杂率≤1%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炒车前子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长约2mm，宽约1mm，粒大、色黑、籽粒饱满、微有光泽；无杂质。</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含杂率≤1%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天花粉</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根肥大、色白、质坚实、粉性足、横断面筋脉点少；为2.5-5.5cm类圆形或类方块厚片，小于3.0cm的少于5%，厚0.2-0.4cm,无外皮，切面粉白色或淡黄色，略粗糙，质坚实，气微，味微苦。</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浙江</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枯片占比≤10%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蕲蛇</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翘鼻头，方胜纹，连珠斑。</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红花</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花冠长、色泽均匀、鲜艳、质柔软、气香；为不带子房的管状花，长1-2cm，红黄色或红色。</w:t>
            </w:r>
          </w:p>
        </w:tc>
        <w:tc>
          <w:tcPr>
            <w:tcW w:w="1110"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云南、新疆</w:t>
            </w: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色泽均一，无种子、枝叶。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余甘子</w:t>
            </w:r>
          </w:p>
        </w:tc>
        <w:tc>
          <w:tcPr>
            <w:tcW w:w="5031"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呈球形或扁球形，直径1.5-2cm，干燥、饱满，无果柄,味酸涩、回甜；过筛。</w:t>
            </w:r>
          </w:p>
        </w:tc>
        <w:tc>
          <w:tcPr>
            <w:tcW w:w="1110" w:type="dxa"/>
            <w:vAlign w:val="center"/>
          </w:tcPr>
          <w:p>
            <w:pPr>
              <w:spacing w:line="400" w:lineRule="exact"/>
              <w:jc w:val="cente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黄柏</w:t>
            </w:r>
          </w:p>
        </w:tc>
        <w:tc>
          <w:tcPr>
            <w:tcW w:w="5031" w:type="dxa"/>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片状或浅槽状，厚1-6mm。外表面黄褐色或黄棕色，平坦或具纵沟纹，有的可见皮孔痕及残存的灰褐色粗皮；内表面暗黄色或淡棕色，具细密的纵棱纹。断面纤维性，呈裂片状分层，深黄色，气微，味极苦，嚼之有黏性。</w:t>
            </w:r>
          </w:p>
        </w:tc>
        <w:tc>
          <w:tcPr>
            <w:tcW w:w="1110"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四川</w:t>
            </w: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去皮净。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桂枝</w:t>
            </w:r>
          </w:p>
        </w:tc>
        <w:tc>
          <w:tcPr>
            <w:tcW w:w="5031" w:type="dxa"/>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长圆柱形，多分枝，长30-75cm，粗端直径0.3-0.6cm。表面红棕色至棕色，有纵棱线、细皱纹及小疙瘩状的叶痕、枝痕和芽痕，皮孔点状。切片厚2-4mm，切面皮部红棕色，木部黄白色至浅黄棕色，髓部略呈方形。有特异香气，味甜、微辛，皮部味较浓。</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无剖片</w:t>
            </w:r>
          </w:p>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破碎率≤15%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制乳香</w:t>
            </w:r>
          </w:p>
        </w:tc>
        <w:tc>
          <w:tcPr>
            <w:tcW w:w="5031" w:type="dxa"/>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呈不规则小块状，表面黑褐色，有光泽。质坚硬或软而韧。</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光泽明显。含杂率≤1%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1314" w:type="dxa"/>
            <w:vAlign w:val="center"/>
          </w:tcPr>
          <w:p>
            <w:pPr>
              <w:jc w:val="center"/>
              <w:rPr>
                <w:rFonts w:hint="eastAsia" w:ascii="仿宋" w:hAnsi="仿宋" w:eastAsia="仿宋" w:cs="仿宋"/>
                <w:color w:val="auto"/>
                <w:sz w:val="24"/>
                <w:szCs w:val="24"/>
                <w:highlight w:val="none"/>
              </w:rPr>
            </w:pPr>
          </w:p>
          <w:p>
            <w:pPr>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制没药</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呈不规则块状和颗粒，多黏结成大小不等的团块，表面棕褐色或焦黑色，不透明，有光泽，不透明，有光泽，质较疏松，有特异香气，味苦而微辛。</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颗粒状，质疏松，香气浓郁。含杂率≤2%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徐长卿</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根茎直径2～4mm。根直径1～1.5mm。表面淡黄白色至淡棕黄色或棕色，具微细的纵皱纹，并有纤细的须根。质脆，易折断，断面粉性，皮部类白色或黄白色，形成层环淡棕色，木部细小。气香，味微辛凉。</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根茎占比≤20%，气象浓郁，味辛凉，含杂率≤1%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麸炒苍术</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茅苍术直径1～2cm。表面灰棕色，质坚实，断面黄白色或灰白色，散有多数橙黄色或棕红色油室，暴露稍久，可析出白色细针状结晶。气香特异，味微甘、辛、苦。</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北苍术直径1～4cm。表面黑棕色，质较疏松，断面散有黄棕色油室。香气较淡，味辛、苦。</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“朱砂点”明显，质地疏松。无残留茎基和碎屑，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地骨皮</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呈筒状或槽状，长3-10cm,宽0.5-1.5cm,厚0.1-0.3cm。外表面灰黄色至棕黄色，粗糙，有不规则纵裂纹，易成鳞片状剥落。内表面黄白色至灰黄色，较平坦，有细纵纹。体轻，质脆，易折断，断面不平坦，外层黄棕色，内层灰白色。气微，味微甘而后苦。</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无杂质（木心），0.5cm以下的碎块占比≤10%。过5号。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独活</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呈类圆形薄片。质较硬，受潮则变软，断面皮部灰白色，有多数散在的棕色油室，木部灰黄色至黄棕色，形成层环棕色。有特异香气，味苦、辛、微麻舌。</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尾部占比≤¼，质油润，无焦枯片。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葛根</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长方形厚片或小方块，厚0.5～1cm。切面黄白色至淡黄棕色，有的纹理明显。质韧，纤维性强。气微，味微甜</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0.8-1.0cm小方块。黑丁占比≤10%。边片占比≤10%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罗汉果</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本品呈卵形、椭圆形或球形，长5～8.5cm，直径4～6cm。表面褐色、黄褐色或绿褐色，有深色斑块和黄色柔毛，有的具6～11条纵纹。体轻，质脆，果皮薄，易破。味甜。</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果壳完整，无碎裂。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刺猬皮</w:t>
            </w:r>
          </w:p>
        </w:tc>
        <w:tc>
          <w:tcPr>
            <w:tcW w:w="5031" w:type="dxa"/>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炮规  呈类方形的块状，向内卷曲。外表面密生硬刺，刺长1.5~2cm，错综交叉，刺尖已枯焦、弯曲，棕黄色至棕褐色；内表面粗糙，黑褐色。质松而韧。气微腥，味微苦</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炮制程度恰当，炒至全部鼓起，筛尽沙石。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8"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土鳖虫</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地鳖　呈扁平卵形，长1.3～3cm，宽1.2～ 2.4cm。前端较窄，后端较宽，背部紫褐色，具光泽，无翅。腹面红棕色，头部较小，有丝状触角1对，常脱落，胸部有足3 对，具细毛和刺。腹部有横环节。质松脆，易碎。气腥臭，味微咸。</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虫体完整，大小均一，质轻。灰屑率≤1%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燀桃仁</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呈扁长卵形，长1.2～1.8cm，宽0.8～1.2cm，厚0.2～0.4cm。表面浅黄白色，一端尖，中部膨大，另端钝圆稍偏斜，边缘较薄。子叶2，富油性。气微香，味微苦。</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种仁饱满，大小均一。破粒率≤10%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大枣</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本品长2～3.5cm，直径 1.5～2cm。表面暗红色，略带光泽，有不规则皱纹。外果皮薄，中果皮棕黄色或淡褐色，肉质，柔软，富糖性而油润。果核纺锤形，两端锐尖，质坚硬。气微香，味甜。</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大小均一，肉质肥厚，味甜。无破皮。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烫水蛭</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为扁圆形的段或碎块。表面微鼓起，焦黄色至焦褐色，或被有白色粉霜。体表有细密横向环纹，头、尾各有吸盘一个。质松脆，断面灰白色或焦黄色。气腥臭，味微咸。</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表面白色粉霜不易掉落，质松脆。未鼓起者占比≤30%。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炮姜</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本品呈不规则膨胀的块状，具指状分枝。表面棕黑色或棕褐色。质轻泡，断面边缘处显棕黑色，中心棕黄色，细颗粒性，维管束散在。气香、特异，味微辛、辣。</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炮制程度恰当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丝瓜络</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left"/>
              <w:rPr>
                <w:rFonts w:hint="eastAsia" w:ascii="仿宋" w:hAnsi="仿宋" w:eastAsia="仿宋" w:cs="仿宋"/>
                <w:bCs/>
                <w:color w:val="auto"/>
                <w:kern w:val="0"/>
                <w:sz w:val="24"/>
                <w:szCs w:val="24"/>
                <w:highlight w:val="none"/>
              </w:rPr>
            </w:pPr>
            <w:r>
              <w:rPr>
                <w:rFonts w:hint="eastAsia" w:ascii="仿宋" w:hAnsi="仿宋" w:eastAsia="仿宋" w:cs="仿宋"/>
                <w:bCs/>
                <w:color w:val="auto"/>
                <w:kern w:val="0"/>
                <w:sz w:val="24"/>
                <w:szCs w:val="24"/>
                <w:highlight w:val="none"/>
              </w:rPr>
              <w:t>药典</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kern w:val="0"/>
                <w:sz w:val="24"/>
                <w:szCs w:val="24"/>
                <w:highlight w:val="none"/>
              </w:rPr>
              <w:t>【性状】</w:t>
            </w:r>
            <w:r>
              <w:rPr>
                <w:rFonts w:hint="eastAsia" w:ascii="仿宋" w:hAnsi="仿宋" w:eastAsia="仿宋" w:cs="仿宋"/>
                <w:color w:val="auto"/>
                <w:kern w:val="0"/>
                <w:sz w:val="24"/>
                <w:szCs w:val="24"/>
                <w:highlight w:val="none"/>
              </w:rPr>
              <w:t xml:space="preserve">表面黄白色。体轻，质韧，有弹性，不能折断。横切面可见子房3室，呈空洞状。气微，味淡。 </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jc w:val="left"/>
              <w:rPr>
                <w:rFonts w:hint="eastAsia" w:ascii="仿宋" w:hAnsi="仿宋" w:eastAsia="仿宋" w:cs="仿宋"/>
                <w:color w:val="auto"/>
                <w:kern w:val="0"/>
                <w:sz w:val="24"/>
                <w:szCs w:val="24"/>
                <w:highlight w:val="none"/>
              </w:rPr>
            </w:pPr>
            <w:r>
              <w:rPr>
                <w:rFonts w:hint="eastAsia" w:ascii="仿宋" w:hAnsi="仿宋" w:eastAsia="仿宋" w:cs="仿宋"/>
                <w:bCs/>
                <w:color w:val="auto"/>
                <w:kern w:val="0"/>
                <w:sz w:val="24"/>
                <w:szCs w:val="24"/>
                <w:highlight w:val="none"/>
              </w:rPr>
              <w:t>【炮制】</w:t>
            </w:r>
            <w:r>
              <w:rPr>
                <w:rFonts w:hint="eastAsia" w:ascii="仿宋" w:hAnsi="仿宋" w:eastAsia="仿宋" w:cs="仿宋"/>
                <w:color w:val="auto"/>
                <w:kern w:val="0"/>
                <w:sz w:val="24"/>
                <w:szCs w:val="24"/>
                <w:highlight w:val="none"/>
              </w:rPr>
              <w:t>除去残留种子及外皮，切段。</w:t>
            </w:r>
          </w:p>
          <w:p>
            <w:pPr>
              <w:pStyle w:val="3"/>
              <w:spacing w:line="240" w:lineRule="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炮规</w:t>
            </w:r>
          </w:p>
          <w:p>
            <w:pPr>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【性状】为长1~5cm的段块，全体黄白色，维管束交织呈网状。切面3室，呈洞状。质韧，弹性。气微，味淡</w:t>
            </w:r>
          </w:p>
          <w:p>
            <w:pPr>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rPr>
              <w:t>【炮制】取原药，除去杂质，压扁，横切长1~5cm的块。或以棉线扎成定量小把。</w:t>
            </w:r>
          </w:p>
        </w:tc>
        <w:tc>
          <w:tcPr>
            <w:tcW w:w="1110" w:type="dxa"/>
          </w:tcPr>
          <w:p>
            <w:pPr>
              <w:spacing w:line="360" w:lineRule="auto"/>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色泽均一。段形，利于调剂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3"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土茯苓</w:t>
            </w:r>
          </w:p>
        </w:tc>
        <w:tc>
          <w:tcPr>
            <w:tcW w:w="5031" w:type="dxa"/>
          </w:tcPr>
          <w:p>
            <w:pPr>
              <w:pStyle w:val="59"/>
              <w:shd w:val="clear" w:color="auto" w:fill="FFFFFF"/>
              <w:spacing w:before="150" w:after="150" w:line="420" w:lineRule="atLeas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药典   土茯苓   本品呈长圆形或不规则的薄片，边缘不整齐。 切面黄白色或红棕色，粉性，可见点状维管束及多数小亮点； 以水湿润后有黏滑感。气微，味微甘、涩</w:t>
            </w:r>
          </w:p>
          <w:p>
            <w:pPr>
              <w:pStyle w:val="3"/>
              <w:keepNext/>
              <w:keepLines/>
              <w:pageBreakBefore w:val="0"/>
              <w:widowControl w:val="0"/>
              <w:kinsoku/>
              <w:wordWrap/>
              <w:overflowPunct/>
              <w:topLinePunct w:val="0"/>
              <w:autoSpaceDE/>
              <w:autoSpaceDN/>
              <w:bidi w:val="0"/>
              <w:adjustRightInd w:val="0"/>
              <w:snapToGrid/>
              <w:spacing w:after="0" w:line="360" w:lineRule="auto"/>
              <w:ind w:left="431" w:hanging="431"/>
              <w:textAlignment w:val="auto"/>
              <w:rPr>
                <w:rFonts w:hint="eastAsia" w:ascii="仿宋" w:hAnsi="仿宋" w:eastAsia="仿宋" w:cs="仿宋"/>
                <w:b w:val="0"/>
                <w:color w:val="auto"/>
                <w:sz w:val="24"/>
                <w:szCs w:val="24"/>
                <w:highlight w:val="none"/>
              </w:rPr>
            </w:pPr>
            <w:r>
              <w:rPr>
                <w:rFonts w:hint="eastAsia" w:ascii="仿宋" w:hAnsi="仿宋" w:eastAsia="仿宋" w:cs="仿宋"/>
                <w:b w:val="0"/>
                <w:color w:val="auto"/>
                <w:sz w:val="24"/>
                <w:szCs w:val="24"/>
                <w:highlight w:val="none"/>
              </w:rPr>
              <w:t>炮规  土茯苓（浙）  为长圆形、类圆形或不规则的薄片或厚片，直径2~5cm。表面黄棕色或灰褐色。切面类白色，有时略显淡红棕色，粉性，散生筋脉点状维管束，具多数小亮点。质略韧，折断时有粉尘飞扬。以水略煎煮后有黏滑感。气微，味微甘、涩。</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水湿润后有明显黏滑感，粉性足。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shd w:val="clear" w:color="auto" w:fill="FFFFFF"/>
              </w:rPr>
              <w:t>郁李仁</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小李仁  呈卵形，长5～8mm，直径3～5mm。表面黄白色或浅棕色，一端尖，另端钝圆。尖端一侧有线形种脐，圆端中央有深色合点，自合点处向上具多条纵向维管束脉纹。种皮薄，子叶2，乳白色，富油性。气微，味微苦。</w:t>
            </w:r>
          </w:p>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大李仁  长6～10mm，直径5～7mm。表面黄棕色。</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种仁饱满，长5-8mm，直径3-5mm,大小均一。破粒率≤3%，无油籽。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 w:hRule="atLeast"/>
        </w:trPr>
        <w:tc>
          <w:tcPr>
            <w:tcW w:w="1314" w:type="dxa"/>
            <w:vAlign w:val="center"/>
          </w:tcPr>
          <w:p>
            <w:pPr>
              <w:jc w:val="center"/>
              <w:rPr>
                <w:rFonts w:hint="eastAsia" w:ascii="仿宋" w:hAnsi="仿宋" w:eastAsia="仿宋" w:cs="仿宋"/>
                <w:bCs/>
                <w:color w:val="auto"/>
                <w:sz w:val="24"/>
                <w:szCs w:val="24"/>
                <w:highlight w:val="none"/>
                <w:shd w:val="clear" w:color="auto" w:fill="FFFFFF"/>
              </w:rPr>
            </w:pPr>
            <w:r>
              <w:rPr>
                <w:rFonts w:hint="eastAsia" w:ascii="仿宋" w:hAnsi="仿宋" w:eastAsia="仿宋" w:cs="仿宋"/>
                <w:bCs/>
                <w:color w:val="auto"/>
                <w:sz w:val="24"/>
                <w:szCs w:val="24"/>
                <w:highlight w:val="none"/>
                <w:shd w:val="clear" w:color="auto" w:fill="FFFFFF"/>
              </w:rPr>
              <w:t>钩藤</w:t>
            </w:r>
          </w:p>
        </w:tc>
        <w:tc>
          <w:tcPr>
            <w:tcW w:w="5031" w:type="dxa"/>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420" w:lineRule="atLeast"/>
              <w:jc w:val="left"/>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为圆柱形的段。表面红棕色至紫红色，具细纵纹。部分枝节具对生或单生下弯的钩；钩略扁，先端渐尖，基部宽。切面髓部黄白色或中空。质坚韧。气微，味微涩。</w:t>
            </w:r>
          </w:p>
        </w:tc>
        <w:tc>
          <w:tcPr>
            <w:tcW w:w="1110" w:type="dxa"/>
          </w:tcPr>
          <w:p>
            <w:pPr>
              <w:rPr>
                <w:rFonts w:hint="eastAsia" w:ascii="仿宋" w:hAnsi="仿宋" w:eastAsia="仿宋" w:cs="仿宋"/>
                <w:color w:val="auto"/>
                <w:sz w:val="24"/>
                <w:szCs w:val="24"/>
                <w:highlight w:val="none"/>
              </w:rPr>
            </w:pPr>
          </w:p>
        </w:tc>
        <w:tc>
          <w:tcPr>
            <w:tcW w:w="2223" w:type="dxa"/>
            <w:vAlign w:val="center"/>
          </w:tcPr>
          <w:p>
            <w:pPr>
              <w:spacing w:line="40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带钩茎枝占比≥75%</w:t>
            </w:r>
          </w:p>
        </w:tc>
      </w:tr>
    </w:tbl>
    <w:p>
      <w:pPr>
        <w:pStyle w:val="6"/>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6"/>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p>
    <w:p>
      <w:pPr>
        <w:pStyle w:val="6"/>
        <w:rPr>
          <w:rFonts w:hint="eastAsia"/>
          <w:color w:val="auto"/>
          <w:highlight w:val="none"/>
        </w:rPr>
      </w:pP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pPr>
        <w:spacing w:line="480" w:lineRule="auto"/>
        <w:jc w:val="center"/>
        <w:rPr>
          <w:rFonts w:hint="eastAsia" w:ascii="仿宋" w:hAnsi="仿宋" w:eastAsia="仿宋" w:cs="仿宋"/>
          <w:b/>
          <w:color w:val="auto"/>
          <w:sz w:val="28"/>
          <w:szCs w:val="28"/>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24"/>
          <w:highlight w:val="none"/>
        </w:rPr>
      </w:pPr>
    </w:p>
    <w:p>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pPr>
        <w:spacing w:before="120" w:line="22" w:lineRule="atLeast"/>
        <w:rPr>
          <w:rFonts w:hint="eastAsia" w:ascii="仿宋" w:hAnsi="仿宋" w:eastAsia="仿宋" w:cs="仿宋"/>
          <w:color w:val="auto"/>
          <w:sz w:val="24"/>
          <w:highlight w:val="none"/>
        </w:rPr>
      </w:pPr>
    </w:p>
    <w:p>
      <w:pPr>
        <w:pStyle w:val="3"/>
        <w:rPr>
          <w:rFonts w:hint="eastAsia"/>
          <w:color w:val="auto"/>
          <w:highlight w:val="none"/>
        </w:rPr>
      </w:pPr>
    </w:p>
    <w:p>
      <w:pPr>
        <w:pStyle w:val="4"/>
        <w:rPr>
          <w:rFonts w:hint="eastAsia" w:ascii="仿宋" w:hAnsi="仿宋" w:eastAsia="仿宋" w:cs="仿宋"/>
          <w:color w:val="auto"/>
          <w:highlight w:val="none"/>
        </w:rPr>
      </w:pPr>
    </w:p>
    <w:p>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pPr>
        <w:pStyle w:val="598"/>
        <w:spacing w:before="120" w:line="22" w:lineRule="atLeast"/>
        <w:rPr>
          <w:rFonts w:hint="eastAsia" w:ascii="仿宋" w:hAnsi="仿宋" w:eastAsia="仿宋" w:cs="仿宋"/>
          <w:color w:val="auto"/>
          <w:szCs w:val="24"/>
          <w:highlight w:val="none"/>
        </w:rPr>
      </w:pPr>
    </w:p>
    <w:p>
      <w:pPr>
        <w:pStyle w:val="598"/>
        <w:spacing w:before="120" w:line="22" w:lineRule="atLeast"/>
        <w:rPr>
          <w:rFonts w:hint="eastAsia" w:ascii="仿宋" w:hAnsi="仿宋" w:eastAsia="仿宋" w:cs="仿宋"/>
          <w:color w:val="auto"/>
          <w:szCs w:val="24"/>
          <w:highlight w:val="none"/>
        </w:rPr>
      </w:pPr>
    </w:p>
    <w:p>
      <w:pPr>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pPr>
        <w:spacing w:before="120" w:line="22" w:lineRule="atLeast"/>
        <w:rPr>
          <w:rFonts w:hint="eastAsia" w:ascii="仿宋" w:hAnsi="仿宋" w:eastAsia="仿宋" w:cs="仿宋"/>
          <w:color w:val="auto"/>
          <w:sz w:val="24"/>
          <w:highlight w:val="none"/>
        </w:rPr>
      </w:pPr>
    </w:p>
    <w:p>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pPr>
        <w:pStyle w:val="34"/>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甲方（采购人）：</w:t>
      </w:r>
      <w:r>
        <w:rPr>
          <w:rFonts w:hint="eastAsia" w:ascii="仿宋" w:hAnsi="仿宋" w:eastAsia="仿宋" w:cs="仿宋"/>
          <w:color w:val="auto"/>
          <w:sz w:val="24"/>
          <w:szCs w:val="24"/>
          <w:highlight w:val="none"/>
          <w:lang w:eastAsia="zh-CN"/>
        </w:rPr>
        <w:t>嵊州市中医院</w:t>
      </w:r>
    </w:p>
    <w:p>
      <w:pPr>
        <w:pStyle w:val="34"/>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乙方（中标人）：</w:t>
      </w:r>
    </w:p>
    <w:p>
      <w:pPr>
        <w:pStyle w:val="34"/>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甲方以公开招标的方式确定乙方为</w:t>
      </w:r>
      <w:r>
        <w:rPr>
          <w:rFonts w:hint="eastAsia" w:ascii="仿宋" w:hAnsi="仿宋" w:eastAsia="仿宋" w:cs="仿宋"/>
          <w:color w:val="auto"/>
          <w:sz w:val="24"/>
          <w:szCs w:val="24"/>
          <w:highlight w:val="none"/>
          <w:u w:val="single"/>
          <w:lang w:eastAsia="zh-CN"/>
        </w:rPr>
        <w:t>嵊州市中医院中药饮片及相关伴随服务采购项目</w:t>
      </w:r>
      <w:r>
        <w:rPr>
          <w:rFonts w:hint="eastAsia" w:ascii="仿宋" w:hAnsi="仿宋" w:eastAsia="仿宋" w:cs="仿宋"/>
          <w:color w:val="auto"/>
          <w:sz w:val="24"/>
          <w:szCs w:val="24"/>
          <w:highlight w:val="none"/>
        </w:rPr>
        <w:t>的中标供应商之一，根据招标文件、投标文件，依据《中华人民共和国民法典》及《药品管理法》、</w:t>
      </w:r>
      <w:r>
        <w:rPr>
          <w:rFonts w:hint="eastAsia" w:ascii="仿宋" w:hAnsi="仿宋" w:eastAsia="仿宋" w:cs="仿宋"/>
          <w:color w:val="auto"/>
          <w:sz w:val="24"/>
          <w:szCs w:val="24"/>
          <w:highlight w:val="none"/>
          <w:lang w:val="zh-CN"/>
        </w:rPr>
        <w:t>《中国药典》2020版及《浙江省中药炮制规范》2015版等</w:t>
      </w:r>
      <w:r>
        <w:rPr>
          <w:rFonts w:hint="eastAsia" w:ascii="仿宋" w:hAnsi="仿宋" w:eastAsia="仿宋" w:cs="仿宋"/>
          <w:color w:val="auto"/>
          <w:sz w:val="24"/>
          <w:szCs w:val="24"/>
          <w:highlight w:val="none"/>
        </w:rPr>
        <w:t>的要求，结合项目实际，经双方协商，签订本合同。</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 xml:space="preserve">第一条  </w:t>
      </w:r>
      <w:r>
        <w:rPr>
          <w:rFonts w:hint="eastAsia" w:ascii="仿宋" w:hAnsi="仿宋" w:eastAsia="仿宋" w:cs="仿宋"/>
          <w:b/>
          <w:color w:val="auto"/>
          <w:sz w:val="24"/>
          <w:szCs w:val="24"/>
          <w:highlight w:val="none"/>
        </w:rPr>
        <w:t>药品的名称、规格和供应价格</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本合同所指的中药饮片名称详细见招标</w:t>
      </w:r>
      <w:r>
        <w:rPr>
          <w:rFonts w:hint="eastAsia" w:ascii="仿宋" w:hAnsi="仿宋" w:eastAsia="仿宋" w:cs="仿宋"/>
          <w:color w:val="auto"/>
          <w:sz w:val="24"/>
          <w:szCs w:val="24"/>
          <w:highlight w:val="none"/>
          <w:lang w:val="en-US" w:eastAsia="zh-CN"/>
        </w:rPr>
        <w:t>文件</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合同履行的具体饮片品种、规格及数量以合同周期内实际发生的订单内容为准，日常采购的各类订单内容是合同的有效组成部分。</w:t>
      </w:r>
    </w:p>
    <w:p>
      <w:pPr>
        <w:pStyle w:val="2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u w:val="none"/>
        </w:rPr>
      </w:pPr>
      <w:r>
        <w:rPr>
          <w:rFonts w:hint="eastAsia" w:ascii="仿宋" w:hAnsi="仿宋" w:eastAsia="仿宋" w:cs="仿宋"/>
          <w:color w:val="auto"/>
          <w:sz w:val="24"/>
          <w:szCs w:val="24"/>
          <w:highlight w:val="none"/>
        </w:rPr>
        <w:t>招标的中药饮片乙方按照</w:t>
      </w:r>
      <w:r>
        <w:rPr>
          <w:rFonts w:hint="eastAsia" w:ascii="仿宋" w:hAnsi="仿宋" w:eastAsia="仿宋" w:cs="仿宋"/>
          <w:bCs/>
          <w:color w:val="auto"/>
          <w:sz w:val="24"/>
          <w:szCs w:val="24"/>
          <w:highlight w:val="none"/>
          <w:u w:val="none"/>
          <w:lang w:val="en-US" w:eastAsia="zh-CN"/>
        </w:rPr>
        <w:t>绍兴市医疗保障协会等联委</w:t>
      </w:r>
      <w:r>
        <w:rPr>
          <w:rFonts w:hint="eastAsia" w:ascii="仿宋" w:hAnsi="仿宋" w:eastAsia="仿宋" w:cs="仿宋"/>
          <w:bCs/>
          <w:color w:val="auto"/>
          <w:sz w:val="24"/>
          <w:szCs w:val="24"/>
          <w:highlight w:val="none"/>
          <w:u w:val="none"/>
          <w:lang w:val="zh-CN"/>
        </w:rPr>
        <w:t>公布的中药饮片价格最新信息价</w:t>
      </w:r>
      <w:r>
        <w:rPr>
          <w:rFonts w:hint="eastAsia" w:ascii="仿宋" w:hAnsi="仿宋" w:eastAsia="仿宋" w:cs="仿宋"/>
          <w:color w:val="auto"/>
          <w:sz w:val="24"/>
          <w:szCs w:val="24"/>
          <w:highlight w:val="none"/>
          <w:u w:val="none"/>
        </w:rPr>
        <w:t>出</w:t>
      </w:r>
      <w:r>
        <w:rPr>
          <w:rFonts w:hint="eastAsia" w:ascii="仿宋" w:hAnsi="仿宋" w:eastAsia="仿宋" w:cs="仿宋"/>
          <w:color w:val="auto"/>
          <w:sz w:val="24"/>
          <w:szCs w:val="24"/>
          <w:highlight w:val="none"/>
          <w:u w:val="none"/>
          <w:lang w:eastAsia="zh-CN"/>
        </w:rPr>
        <w:t>售</w:t>
      </w:r>
      <w:r>
        <w:rPr>
          <w:rFonts w:hint="eastAsia" w:ascii="仿宋" w:hAnsi="仿宋" w:eastAsia="仿宋" w:cs="仿宋"/>
          <w:color w:val="auto"/>
          <w:sz w:val="24"/>
          <w:szCs w:val="24"/>
          <w:highlight w:val="none"/>
          <w:u w:val="none"/>
        </w:rPr>
        <w:t>给甲方。同时乙方承诺</w:t>
      </w:r>
      <w:r>
        <w:rPr>
          <w:rFonts w:hint="eastAsia" w:ascii="仿宋" w:hAnsi="仿宋" w:eastAsia="仿宋" w:cs="仿宋"/>
          <w:bCs/>
          <w:color w:val="auto"/>
          <w:sz w:val="24"/>
          <w:szCs w:val="24"/>
          <w:highlight w:val="none"/>
          <w:u w:val="none"/>
          <w:lang w:val="zh-CN"/>
        </w:rPr>
        <w:t>在招标周期内，无论发生任何情况引起的中药饮片市场价格波动，均应按照中标执行且优先配送。所有乙方供应甲方的价格必须统一。如遇</w:t>
      </w:r>
      <w:r>
        <w:rPr>
          <w:rFonts w:hint="eastAsia" w:ascii="仿宋" w:hAnsi="仿宋" w:eastAsia="仿宋" w:cs="仿宋"/>
          <w:color w:val="auto"/>
          <w:sz w:val="24"/>
          <w:szCs w:val="24"/>
          <w:highlight w:val="none"/>
          <w:lang w:eastAsia="zh-CN"/>
        </w:rPr>
        <w:t>浙江省</w:t>
      </w:r>
      <w:r>
        <w:rPr>
          <w:rFonts w:hint="eastAsia" w:ascii="仿宋" w:hAnsi="仿宋" w:eastAsia="仿宋" w:cs="仿宋"/>
          <w:bCs/>
          <w:color w:val="auto"/>
          <w:sz w:val="24"/>
          <w:szCs w:val="24"/>
          <w:highlight w:val="none"/>
          <w:lang w:val="en-US" w:eastAsia="zh-CN"/>
        </w:rPr>
        <w:t>“智慧医保” 招采子系统阳光采购，乙方的挂网价不得超过绍兴市各三级中医院的招采价格的平均价，且各家投标人的挂网价，需要在中标后主动调整成统一的对甲方的挂网价，以利于形成统一零售价。</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第二条  相关资质证明</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乙方向</w:t>
      </w:r>
      <w:r>
        <w:rPr>
          <w:rFonts w:hint="eastAsia" w:ascii="仿宋" w:hAnsi="仿宋" w:eastAsia="仿宋" w:cs="仿宋"/>
          <w:color w:val="auto"/>
          <w:sz w:val="24"/>
          <w:szCs w:val="24"/>
          <w:highlight w:val="none"/>
          <w:lang w:val="zh-CN"/>
        </w:rPr>
        <w:t>甲方提供</w:t>
      </w:r>
      <w:r>
        <w:rPr>
          <w:rFonts w:hint="eastAsia" w:ascii="仿宋" w:hAnsi="仿宋" w:eastAsia="仿宋" w:cs="仿宋"/>
          <w:color w:val="auto"/>
          <w:sz w:val="24"/>
          <w:szCs w:val="24"/>
          <w:highlight w:val="none"/>
        </w:rPr>
        <w:t>合法有效的《药品经营许可证》、《企业法人营业执照》、《GSP证书》、《GMP证书》和销售人员的授权委托书、资格证明、身份证、质量保证协议书，以上材料复印件均加盖公章。甲方向乙方提供《医疗机构的执业许可证》并加盖红章。如上述资料有变更，均应及时通知对方，并提供相应的书面文件。</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第三条  质量要求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zh-CN"/>
        </w:rPr>
        <w:t>乙方承诺出卖给甲方的饮片质量符合《中国药典》2020版、《浙江省中药炮制规范》2015版等法律法规的要求。</w:t>
      </w:r>
      <w:r>
        <w:rPr>
          <w:rFonts w:hint="eastAsia" w:ascii="仿宋" w:hAnsi="仿宋" w:eastAsia="仿宋" w:cs="仿宋"/>
          <w:color w:val="auto"/>
          <w:sz w:val="24"/>
          <w:szCs w:val="24"/>
          <w:highlight w:val="none"/>
        </w:rPr>
        <w:t>无伪品，虫蛀、走油、变质、霉变及非药用部位掺杂等情况的发生。</w:t>
      </w:r>
      <w:r>
        <w:rPr>
          <w:rFonts w:hint="eastAsia" w:ascii="仿宋" w:hAnsi="仿宋" w:eastAsia="仿宋" w:cs="仿宋"/>
          <w:color w:val="auto"/>
          <w:sz w:val="24"/>
          <w:szCs w:val="24"/>
          <w:highlight w:val="none"/>
          <w:lang w:val="zh-CN"/>
        </w:rPr>
        <w:t>所提供的饮片质量不得低于本次招标提供的样品及</w:t>
      </w:r>
      <w:r>
        <w:rPr>
          <w:rFonts w:hint="eastAsia" w:ascii="仿宋" w:hAnsi="仿宋" w:eastAsia="仿宋" w:cs="仿宋"/>
          <w:b w:val="0"/>
          <w:bCs w:val="0"/>
          <w:color w:val="auto"/>
          <w:kern w:val="2"/>
          <w:sz w:val="24"/>
          <w:szCs w:val="24"/>
          <w:highlight w:val="none"/>
          <w:lang w:val="en-US" w:eastAsia="zh-CN" w:bidi="ar-SA"/>
        </w:rPr>
        <w:t>中药饮片发货标准</w:t>
      </w:r>
      <w:r>
        <w:rPr>
          <w:rFonts w:hint="eastAsia" w:ascii="仿宋" w:hAnsi="仿宋" w:eastAsia="仿宋" w:cs="仿宋"/>
          <w:color w:val="auto"/>
          <w:sz w:val="24"/>
          <w:szCs w:val="24"/>
          <w:highlight w:val="none"/>
        </w:rPr>
        <w:t>，提供给甲方的中药饮片须标明品名、规格、批号、产地、分装日期、生产企业、执行标准。且每个批次的饮片都需提供检验报告单，且报告单上的批号需与实物完全对应。实行批准文号管理的中药材和中药饮片的品种还需标明批准文号。</w:t>
      </w:r>
    </w:p>
    <w:p>
      <w:pPr>
        <w:keepNext w:val="0"/>
        <w:keepLines w:val="0"/>
        <w:pageBreakBefore w:val="0"/>
        <w:widowControl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第四条  特殊中药饮片的管理要求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bCs/>
          <w:color w:val="auto"/>
          <w:sz w:val="24"/>
          <w:szCs w:val="24"/>
          <w:highlight w:val="none"/>
        </w:rPr>
        <w:t>按照麻醉药品管理的中药饮片和毒性中药饮片必须符合《麻醉药品和精神药品管理条例》、《医疗用毒性药品管理办法》和《处方管理办法》等有关规定。经营陆生野生动物品种的必须提供相关部门核发的核准证。</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Cs/>
          <w:color w:val="auto"/>
          <w:sz w:val="24"/>
          <w:szCs w:val="24"/>
          <w:highlight w:val="none"/>
        </w:rPr>
      </w:pPr>
      <w:r>
        <w:rPr>
          <w:rFonts w:hint="eastAsia" w:ascii="仿宋" w:hAnsi="仿宋" w:eastAsia="仿宋" w:cs="仿宋"/>
          <w:b/>
          <w:color w:val="auto"/>
          <w:sz w:val="24"/>
          <w:szCs w:val="24"/>
          <w:highlight w:val="none"/>
        </w:rPr>
        <w:t xml:space="preserve">第五条  </w:t>
      </w:r>
      <w:r>
        <w:rPr>
          <w:rFonts w:hint="eastAsia" w:ascii="仿宋" w:hAnsi="仿宋" w:eastAsia="仿宋" w:cs="仿宋"/>
          <w:b/>
          <w:bCs/>
          <w:color w:val="auto"/>
          <w:sz w:val="24"/>
          <w:szCs w:val="24"/>
          <w:highlight w:val="none"/>
        </w:rPr>
        <w:t>供货要求</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乙方必须保证甲方所需的中药饮片的品种、规格、数量的正常供应。如果乙方不能正常供货，</w:t>
      </w:r>
      <w:r>
        <w:rPr>
          <w:rFonts w:hint="eastAsia" w:ascii="仿宋" w:hAnsi="仿宋" w:eastAsia="仿宋" w:cs="仿宋"/>
          <w:bCs/>
          <w:color w:val="auto"/>
          <w:sz w:val="24"/>
          <w:szCs w:val="24"/>
          <w:highlight w:val="none"/>
          <w:u w:val="none"/>
          <w:lang w:eastAsia="zh-CN"/>
        </w:rPr>
        <w:t>甲方有权适当调整采购份额</w:t>
      </w:r>
      <w:r>
        <w:rPr>
          <w:rFonts w:hint="eastAsia" w:ascii="仿宋" w:hAnsi="仿宋" w:eastAsia="仿宋" w:cs="仿宋"/>
          <w:bCs/>
          <w:color w:val="auto"/>
          <w:sz w:val="24"/>
          <w:szCs w:val="24"/>
          <w:highlight w:val="none"/>
          <w:u w:val="none"/>
        </w:rPr>
        <w:t>。</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乙方供应的中药饮片批号，按甲方临床用量情况，常用品种批号应半年以内，不常用品种批号应一年以内。若批号不符要求的，乙方承诺给予退换货。</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考虑到饮片损耗的问题，乙方在供应的量上必须考虑1:1.02的比例进行供货。</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第六条  配送要求</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bCs/>
          <w:color w:val="auto"/>
          <w:sz w:val="24"/>
          <w:szCs w:val="24"/>
          <w:highlight w:val="none"/>
          <w:lang w:val="zh-CN"/>
        </w:rPr>
      </w:pPr>
      <w:r>
        <w:rPr>
          <w:rFonts w:hint="eastAsia" w:ascii="仿宋" w:hAnsi="仿宋" w:eastAsia="仿宋" w:cs="仿宋"/>
          <w:bCs/>
          <w:color w:val="auto"/>
          <w:sz w:val="24"/>
          <w:szCs w:val="24"/>
          <w:highlight w:val="none"/>
          <w:lang w:val="zh-CN"/>
        </w:rPr>
        <w:t>当天</w:t>
      </w:r>
      <w:r>
        <w:rPr>
          <w:rFonts w:hint="eastAsia" w:ascii="仿宋" w:hAnsi="仿宋" w:eastAsia="仿宋" w:cs="仿宋"/>
          <w:bCs/>
          <w:color w:val="auto"/>
          <w:sz w:val="24"/>
          <w:szCs w:val="24"/>
          <w:highlight w:val="none"/>
          <w:lang w:val="zh-CN" w:eastAsia="zh-CN"/>
        </w:rPr>
        <w:t>09</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zh-CN" w:eastAsia="zh-CN"/>
        </w:rPr>
        <w:t>3</w:t>
      </w:r>
      <w:r>
        <w:rPr>
          <w:rFonts w:hint="eastAsia" w:ascii="仿宋" w:hAnsi="仿宋" w:eastAsia="仿宋" w:cs="仿宋"/>
          <w:bCs/>
          <w:color w:val="auto"/>
          <w:sz w:val="24"/>
          <w:szCs w:val="24"/>
          <w:highlight w:val="none"/>
          <w:lang w:val="zh-CN"/>
        </w:rPr>
        <w:t>0之前下达的采购单，下午</w:t>
      </w:r>
      <w:r>
        <w:rPr>
          <w:rFonts w:hint="eastAsia" w:ascii="仿宋" w:hAnsi="仿宋" w:eastAsia="仿宋" w:cs="仿宋"/>
          <w:bCs/>
          <w:color w:val="auto"/>
          <w:sz w:val="24"/>
          <w:szCs w:val="24"/>
          <w:highlight w:val="none"/>
          <w:lang w:val="zh-CN" w:eastAsia="zh-CN"/>
        </w:rPr>
        <w:t>3</w:t>
      </w:r>
      <w:r>
        <w:rPr>
          <w:rFonts w:hint="eastAsia" w:ascii="仿宋" w:hAnsi="仿宋" w:eastAsia="仿宋" w:cs="仿宋"/>
          <w:bCs/>
          <w:color w:val="auto"/>
          <w:sz w:val="24"/>
          <w:szCs w:val="24"/>
          <w:highlight w:val="none"/>
          <w:lang w:val="zh-CN"/>
        </w:rPr>
        <w:t>:00前送达；当天</w:t>
      </w:r>
      <w:r>
        <w:rPr>
          <w:rFonts w:hint="eastAsia" w:ascii="仿宋" w:hAnsi="仿宋" w:eastAsia="仿宋" w:cs="仿宋"/>
          <w:bCs/>
          <w:color w:val="auto"/>
          <w:sz w:val="24"/>
          <w:szCs w:val="24"/>
          <w:highlight w:val="none"/>
          <w:lang w:val="zh-CN" w:eastAsia="zh-CN"/>
        </w:rPr>
        <w:t>09</w:t>
      </w:r>
      <w:r>
        <w:rPr>
          <w:rFonts w:hint="eastAsia" w:ascii="仿宋" w:hAnsi="仿宋" w:eastAsia="仿宋" w:cs="仿宋"/>
          <w:bCs/>
          <w:color w:val="auto"/>
          <w:sz w:val="24"/>
          <w:szCs w:val="24"/>
          <w:highlight w:val="none"/>
          <w:lang w:val="zh-CN"/>
        </w:rPr>
        <w:t>：</w:t>
      </w:r>
      <w:r>
        <w:rPr>
          <w:rFonts w:hint="eastAsia" w:ascii="仿宋" w:hAnsi="仿宋" w:eastAsia="仿宋" w:cs="仿宋"/>
          <w:bCs/>
          <w:color w:val="auto"/>
          <w:sz w:val="24"/>
          <w:szCs w:val="24"/>
          <w:highlight w:val="none"/>
          <w:lang w:val="zh-CN" w:eastAsia="zh-CN"/>
        </w:rPr>
        <w:t>3</w:t>
      </w:r>
      <w:r>
        <w:rPr>
          <w:rFonts w:hint="eastAsia" w:ascii="仿宋" w:hAnsi="仿宋" w:eastAsia="仿宋" w:cs="仿宋"/>
          <w:bCs/>
          <w:color w:val="auto"/>
          <w:sz w:val="24"/>
          <w:szCs w:val="24"/>
          <w:highlight w:val="none"/>
          <w:lang w:val="zh-CN"/>
        </w:rPr>
        <w:t>0之后下达的采购定单，次日上午</w:t>
      </w:r>
      <w:r>
        <w:rPr>
          <w:rFonts w:hint="eastAsia" w:ascii="仿宋" w:hAnsi="仿宋" w:eastAsia="仿宋" w:cs="仿宋"/>
          <w:bCs/>
          <w:color w:val="auto"/>
          <w:sz w:val="24"/>
          <w:szCs w:val="24"/>
          <w:highlight w:val="none"/>
          <w:lang w:val="en-US" w:eastAsia="zh-CN"/>
        </w:rPr>
        <w:t>9</w:t>
      </w:r>
      <w:r>
        <w:rPr>
          <w:rFonts w:hint="eastAsia" w:ascii="仿宋" w:hAnsi="仿宋" w:eastAsia="仿宋" w:cs="仿宋"/>
          <w:bCs/>
          <w:color w:val="auto"/>
          <w:sz w:val="24"/>
          <w:szCs w:val="24"/>
          <w:highlight w:val="none"/>
          <w:lang w:val="zh-CN"/>
        </w:rPr>
        <w:t>:00前送达；急送饮片要求2小时内到货；节假日照常配送。</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lang w:val="zh-CN"/>
        </w:rPr>
      </w:pPr>
      <w:r>
        <w:rPr>
          <w:rFonts w:hint="eastAsia" w:ascii="仿宋" w:hAnsi="仿宋" w:eastAsia="仿宋" w:cs="仿宋"/>
          <w:b/>
          <w:color w:val="auto"/>
          <w:sz w:val="24"/>
          <w:szCs w:val="24"/>
          <w:highlight w:val="none"/>
          <w:lang w:val="zh-CN"/>
        </w:rPr>
        <w:t>第七条  验收的标准、方法和时间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甲方按照《药品管理法》、相关的验收制度和药品发票（国家税务）、随货单在药库予以验收，验收中发现不符合要求的，如饮片质量</w:t>
      </w:r>
      <w:r>
        <w:rPr>
          <w:rFonts w:hint="eastAsia" w:ascii="仿宋" w:hAnsi="仿宋" w:eastAsia="仿宋" w:cs="仿宋"/>
          <w:color w:val="auto"/>
          <w:sz w:val="24"/>
          <w:szCs w:val="24"/>
          <w:highlight w:val="none"/>
          <w:lang w:eastAsia="zh-CN"/>
        </w:rPr>
        <w:t>不符合</w:t>
      </w:r>
      <w:r>
        <w:rPr>
          <w:rFonts w:hint="eastAsia" w:ascii="仿宋" w:hAnsi="仿宋" w:eastAsia="仿宋" w:cs="仿宋"/>
          <w:color w:val="auto"/>
          <w:sz w:val="24"/>
          <w:szCs w:val="24"/>
          <w:highlight w:val="none"/>
          <w:lang w:val="en-US" w:eastAsia="zh-CN"/>
        </w:rPr>
        <w:t>嵊州市中医院</w:t>
      </w:r>
      <w:r>
        <w:rPr>
          <w:rFonts w:hint="eastAsia" w:ascii="仿宋" w:hAnsi="仿宋" w:eastAsia="仿宋" w:cs="仿宋"/>
          <w:b w:val="0"/>
          <w:bCs w:val="0"/>
          <w:color w:val="auto"/>
          <w:kern w:val="2"/>
          <w:sz w:val="24"/>
          <w:szCs w:val="24"/>
          <w:highlight w:val="none"/>
          <w:lang w:val="en-US" w:eastAsia="zh-CN" w:bidi="ar-SA"/>
        </w:rPr>
        <w:t>中药饮片验收标准</w:t>
      </w:r>
      <w:r>
        <w:rPr>
          <w:rFonts w:hint="eastAsia" w:ascii="仿宋" w:hAnsi="仿宋" w:eastAsia="仿宋" w:cs="仿宋"/>
          <w:color w:val="auto"/>
          <w:sz w:val="24"/>
          <w:szCs w:val="24"/>
          <w:highlight w:val="none"/>
          <w:lang w:eastAsia="zh-CN"/>
        </w:rPr>
        <w:t>或</w:t>
      </w:r>
      <w:r>
        <w:rPr>
          <w:rFonts w:hint="eastAsia" w:ascii="仿宋" w:hAnsi="仿宋" w:eastAsia="仿宋" w:cs="仿宋"/>
          <w:color w:val="auto"/>
          <w:sz w:val="24"/>
          <w:szCs w:val="24"/>
          <w:highlight w:val="none"/>
        </w:rPr>
        <w:t>《药典》2020版或《浙江省炮制规范》2015版规定</w:t>
      </w:r>
      <w:r>
        <w:rPr>
          <w:rFonts w:hint="eastAsia" w:ascii="仿宋" w:hAnsi="仿宋" w:eastAsia="仿宋" w:cs="仿宋"/>
          <w:color w:val="auto"/>
          <w:sz w:val="24"/>
          <w:szCs w:val="24"/>
          <w:highlight w:val="none"/>
          <w:lang w:eastAsia="zh-CN"/>
        </w:rPr>
        <w:t>（采购期内</w:t>
      </w:r>
      <w:r>
        <w:rPr>
          <w:rFonts w:hint="eastAsia" w:ascii="仿宋" w:hAnsi="仿宋" w:eastAsia="仿宋" w:cs="仿宋"/>
          <w:color w:val="auto"/>
          <w:sz w:val="24"/>
          <w:szCs w:val="24"/>
          <w:highlight w:val="none"/>
        </w:rPr>
        <w:t>《药典》或《浙江省炮制规范》</w:t>
      </w:r>
      <w:r>
        <w:rPr>
          <w:rFonts w:hint="eastAsia" w:ascii="仿宋" w:hAnsi="仿宋" w:eastAsia="仿宋" w:cs="仿宋"/>
          <w:color w:val="auto"/>
          <w:sz w:val="24"/>
          <w:szCs w:val="24"/>
          <w:highlight w:val="none"/>
          <w:lang w:eastAsia="zh-CN"/>
        </w:rPr>
        <w:t>有更新的，按照最新的执行）</w:t>
      </w:r>
      <w:r>
        <w:rPr>
          <w:rFonts w:hint="eastAsia" w:ascii="仿宋" w:hAnsi="仿宋" w:eastAsia="仿宋" w:cs="仿宋"/>
          <w:color w:val="auto"/>
          <w:sz w:val="24"/>
          <w:szCs w:val="24"/>
          <w:highlight w:val="none"/>
        </w:rPr>
        <w:t>；随货单上饮片品种、数量、产地、炮制要求、包装标签标识与采购计划单不符</w:t>
      </w:r>
      <w:r>
        <w:rPr>
          <w:rFonts w:hint="eastAsia" w:ascii="仿宋" w:hAnsi="仿宋" w:eastAsia="仿宋" w:cs="仿宋"/>
          <w:color w:val="auto"/>
          <w:sz w:val="24"/>
          <w:szCs w:val="24"/>
          <w:highlight w:val="none"/>
          <w:lang w:eastAsia="zh-CN"/>
        </w:rPr>
        <w:t>及同一批采购单不得有不同批号的同一种中药饮片</w:t>
      </w:r>
      <w:r>
        <w:rPr>
          <w:rFonts w:hint="eastAsia" w:ascii="仿宋" w:hAnsi="仿宋" w:eastAsia="仿宋" w:cs="仿宋"/>
          <w:color w:val="auto"/>
          <w:sz w:val="24"/>
          <w:szCs w:val="24"/>
          <w:highlight w:val="none"/>
        </w:rPr>
        <w:t>；包装质量（空包、连包、破损、装量差异≥</w:t>
      </w:r>
      <w:r>
        <w:rPr>
          <w:rFonts w:hint="eastAsia" w:ascii="仿宋" w:hAnsi="仿宋" w:eastAsia="仿宋" w:cs="仿宋"/>
          <w:color w:val="auto"/>
          <w:sz w:val="24"/>
          <w:szCs w:val="24"/>
          <w:highlight w:val="none"/>
        </w:rPr>
        <w:fldChar w:fldCharType="begin"/>
      </w:r>
      <w:r>
        <w:rPr>
          <w:rFonts w:hint="eastAsia" w:ascii="仿宋" w:hAnsi="仿宋" w:eastAsia="仿宋" w:cs="仿宋"/>
          <w:color w:val="auto"/>
          <w:sz w:val="24"/>
          <w:szCs w:val="24"/>
          <w:highlight w:val="none"/>
        </w:rPr>
        <w:instrText xml:space="preserve"> QUOTE </w:instrText>
      </w:r>
      <w:r>
        <w:rPr>
          <w:rFonts w:hint="eastAsia" w:ascii="仿宋" w:hAnsi="仿宋" w:eastAsia="仿宋" w:cs="仿宋"/>
          <w:color w:val="auto"/>
          <w:position w:val="-6"/>
          <w:sz w:val="24"/>
          <w:szCs w:val="24"/>
          <w:highlight w:val="none"/>
        </w:rPr>
        <w:pict>
          <v:shape id="_x0000_i1026" o:spt="75" type="#_x0000_t75" style="height:15.75pt;width:26.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7301&quot;/&gt;&lt;wsp:rsid wsp:val=&quot;00007879&quot;/&gt;&lt;wsp:rsid wsp:val=&quot;00032A5E&quot;/&gt;&lt;wsp:rsid wsp:val=&quot;0006406A&quot;/&gt;&lt;wsp:rsid wsp:val=&quot;0006644A&quot;/&gt;&lt;wsp:rsid wsp:val=&quot;000B6BCF&quot;/&gt;&lt;wsp:rsid wsp:val=&quot;000B70B4&quot;/&gt;&lt;wsp:rsid wsp:val=&quot;00134CD6&quot;/&gt;&lt;wsp:rsid wsp:val=&quot;0017638F&quot;/&gt;&lt;wsp:rsid wsp:val=&quot;0019081A&quot;/&gt;&lt;wsp:rsid wsp:val=&quot;001D6B74&quot;/&gt;&lt;wsp:rsid wsp:val=&quot;001E2D36&quot;/&gt;&lt;wsp:rsid wsp:val=&quot;001F0703&quot;/&gt;&lt;wsp:rsid wsp:val=&quot;001F2473&quot;/&gt;&lt;wsp:rsid wsp:val=&quot;00213396&quot;/&gt;&lt;wsp:rsid wsp:val=&quot;0022070B&quot;/&gt;&lt;wsp:rsid wsp:val=&quot;00221C6F&quot;/&gt;&lt;wsp:rsid wsp:val=&quot;002610B0&quot;/&gt;&lt;wsp:rsid wsp:val=&quot;00275858&quot;/&gt;&lt;wsp:rsid wsp:val=&quot;00303959&quot;/&gt;&lt;wsp:rsid wsp:val=&quot;003166A5&quot;/&gt;&lt;wsp:rsid wsp:val=&quot;00325DB5&quot;/&gt;&lt;wsp:rsid wsp:val=&quot;003360B1&quot;/&gt;&lt;wsp:rsid wsp:val=&quot;00352B80&quot;/&gt;&lt;wsp:rsid wsp:val=&quot;003B608C&quot;/&gt;&lt;wsp:rsid wsp:val=&quot;003B690B&quot;/&gt;&lt;wsp:rsid wsp:val=&quot;003D687A&quot;/&gt;&lt;wsp:rsid wsp:val=&quot;0041269C&quot;/&gt;&lt;wsp:rsid wsp:val=&quot;0041789F&quot;/&gt;&lt;wsp:rsid wsp:val=&quot;00477274&quot;/&gt;&lt;wsp:rsid wsp:val=&quot;004902F1&quot;/&gt;&lt;wsp:rsid wsp:val=&quot;00555E35&quot;/&gt;&lt;wsp:rsid wsp:val=&quot;00567EDE&quot;/&gt;&lt;wsp:rsid wsp:val=&quot;005E2A39&quot;/&gt;&lt;wsp:rsid wsp:val=&quot;006216CC&quot;/&gt;&lt;wsp:rsid wsp:val=&quot;00650C70&quot;/&gt;&lt;wsp:rsid wsp:val=&quot;00656DF7&quot;/&gt;&lt;wsp:rsid wsp:val=&quot;006775C9&quot;/&gt;&lt;wsp:rsid wsp:val=&quot;006D4D18&quot;/&gt;&lt;wsp:rsid wsp:val=&quot;006F41B4&quot;/&gt;&lt;wsp:rsid wsp:val=&quot;00707C8E&quot;/&gt;&lt;wsp:rsid wsp:val=&quot;00765D08&quot;/&gt;&lt;wsp:rsid wsp:val=&quot;00765FCD&quot;/&gt;&lt;wsp:rsid wsp:val=&quot;007B2B25&quot;/&gt;&lt;wsp:rsid wsp:val=&quot;007C0D69&quot;/&gt;&lt;wsp:rsid wsp:val=&quot;007E4935&quot;/&gt;&lt;wsp:rsid wsp:val=&quot;007E7CF1&quot;/&gt;&lt;wsp:rsid wsp:val=&quot;007F291C&quot;/&gt;&lt;wsp:rsid wsp:val=&quot;008139FC&quot;/&gt;&lt;wsp:rsid wsp:val=&quot;0082226E&quot;/&gt;&lt;wsp:rsid wsp:val=&quot;008A14E5&quot;/&gt;&lt;wsp:rsid wsp:val=&quot;008D17E1&quot;/&gt;&lt;wsp:rsid wsp:val=&quot;008E575E&quot;/&gt;&lt;wsp:rsid wsp:val=&quot;008F73D2&quot;/&gt;&lt;wsp:rsid wsp:val=&quot;009135E4&quot;/&gt;&lt;wsp:rsid wsp:val=&quot;0092405C&quot;/&gt;&lt;wsp:rsid wsp:val=&quot;009447FE&quot;/&gt;&lt;wsp:rsid wsp:val=&quot;00945403&quot;/&gt;&lt;wsp:rsid wsp:val=&quot;009A5E18&quot;/&gt;&lt;wsp:rsid wsp:val=&quot;009F3084&quot;/&gt;&lt;wsp:rsid wsp:val=&quot;00A40F25&quot;/&gt;&lt;wsp:rsid wsp:val=&quot;00A42CF0&quot;/&gt;&lt;wsp:rsid wsp:val=&quot;00A51609&quot;/&gt;&lt;wsp:rsid wsp:val=&quot;00AA39FD&quot;/&gt;&lt;wsp:rsid wsp:val=&quot;00AC7E0D&quot;/&gt;&lt;wsp:rsid wsp:val=&quot;00AD2301&quot;/&gt;&lt;wsp:rsid wsp:val=&quot;00B47D83&quot;/&gt;&lt;wsp:rsid wsp:val=&quot;00C37B6E&quot;/&gt;&lt;wsp:rsid wsp:val=&quot;00C532B2&quot;/&gt;&lt;wsp:rsid wsp:val=&quot;00C6280D&quot;/&gt;&lt;wsp:rsid wsp:val=&quot;00CA6EC9&quot;/&gt;&lt;wsp:rsid wsp:val=&quot;00CE5AFC&quot;/&gt;&lt;wsp:rsid wsp:val=&quot;00D11FFD&quot;/&gt;&lt;wsp:rsid wsp:val=&quot;00D159C1&quot;/&gt;&lt;wsp:rsid wsp:val=&quot;00D22058&quot;/&gt;&lt;wsp:rsid wsp:val=&quot;00D242C5&quot;/&gt;&lt;wsp:rsid wsp:val=&quot;00D26402&quot;/&gt;&lt;wsp:rsid wsp:val=&quot;00D9772A&quot;/&gt;&lt;wsp:rsid wsp:val=&quot;00DB592F&quot;/&gt;&lt;wsp:rsid wsp:val=&quot;00E30D30&quot;/&gt;&lt;wsp:rsid wsp:val=&quot;00E4082E&quot;/&gt;&lt;wsp:rsid wsp:val=&quot;00E66E59&quot;/&gt;&lt;wsp:rsid wsp:val=&quot;00E8072E&quot;/&gt;&lt;wsp:rsid wsp:val=&quot;00EA60EB&quot;/&gt;&lt;wsp:rsid wsp:val=&quot;00F0693C&quot;/&gt;&lt;wsp:rsid wsp:val=&quot;00F32403&quot;/&gt;&lt;wsp:rsid wsp:val=&quot;00F33C9B&quot;/&gt;&lt;wsp:rsid wsp:val=&quot;00F4500E&quot;/&gt;&lt;wsp:rsid wsp:val=&quot;00F65613&quot;/&gt;&lt;wsp:rsid wsp:val=&quot;00F77669&quot;/&gt;&lt;wsp:rsid wsp:val=&quot;00F97A43&quot;/&gt;&lt;wsp:rsid wsp:val=&quot;00FA1204&quot;/&gt;&lt;wsp:rsid wsp:val=&quot;00FA7009&quot;/&gt;&lt;wsp:rsid wsp:val=&quot;00FB5555&quot;/&gt;&lt;wsp:rsid wsp:val=&quot;00FD448E&quot;/&gt;&lt;wsp:rsid wsp:val=&quot;019A362C&quot;/&gt;&lt;wsp:rsid wsp:val=&quot;019A6EAF&quot;/&gt;&lt;wsp:rsid wsp:val=&quot;01FB5C4F&quot;/&gt;&lt;wsp:rsid wsp:val=&quot;023C66B8&quot;/&gt;&lt;wsp:rsid wsp:val=&quot;024702CC&quot;/&gt;&lt;wsp:rsid wsp:val=&quot;02522DDA&quot;/&gt;&lt;wsp:rsid wsp:val=&quot;02672D80&quot;/&gt;&lt;wsp:rsid wsp:val=&quot;027E54AD&quot;/&gt;&lt;wsp:rsid wsp:val=&quot;02CA179F&quot;/&gt;&lt;wsp:rsid wsp:val=&quot;0314419D&quot;/&gt;&lt;wsp:rsid wsp:val=&quot;03C4523A&quot;/&gt;&lt;wsp:rsid wsp:val=&quot;03CE35CB&quot;/&gt;&lt;wsp:rsid wsp:val=&quot;04716658&quot;/&gt;&lt;wsp:rsid wsp:val=&quot;04832654&quot;/&gt;&lt;wsp:rsid wsp:val=&quot;04A610B0&quot;/&gt;&lt;wsp:rsid wsp:val=&quot;04BD5452&quot;/&gt;&lt;wsp:rsid wsp:val=&quot;04E81A9D&quot;/&gt;&lt;wsp:rsid wsp:val=&quot;05097AD0&quot;/&gt;&lt;wsp:rsid wsp:val=&quot;05B5126E&quot;/&gt;&lt;wsp:rsid wsp:val=&quot;05C1727E&quot;/&gt;&lt;wsp:rsid wsp:val=&quot;05D639A0&quot;/&gt;&lt;wsp:rsid wsp:val=&quot;0623601E&quot;/&gt;&lt;wsp:rsid wsp:val=&quot;06443FD4&quot;/&gt;&lt;wsp:rsid wsp:val=&quot;06C510AB&quot;/&gt;&lt;wsp:rsid wsp:val=&quot;07071B14&quot;/&gt;&lt;wsp:rsid wsp:val=&quot;07886BEA&quot;/&gt;&lt;wsp:rsid wsp:val=&quot;07BB53C7&quot;/&gt;&lt;wsp:rsid wsp:val=&quot;07CA2ED7&quot;/&gt;&lt;wsp:rsid wsp:val=&quot;07DF75F9&quot;/&gt;&lt;wsp:rsid wsp:val=&quot;07E02C7B&quot;/&gt;&lt;wsp:rsid wsp:val=&quot;07E07279&quot;/&gt;&lt;wsp:rsid wsp:val=&quot;07EB560A&quot;/&gt;&lt;wsp:rsid wsp:val=&quot;07F6399B&quot;/&gt;&lt;wsp:rsid wsp:val=&quot;08377C87&quot;/&gt;&lt;wsp:rsid wsp:val=&quot;08442237&quot;/&gt;&lt;wsp:rsid wsp:val=&quot;08575FBE&quot;/&gt;&lt;wsp:rsid wsp:val=&quot;088E0696&quot;/&gt;&lt;wsp:rsid wsp:val=&quot;08986A27&quot;/&gt;&lt;wsp:rsid wsp:val=&quot;08AE3149&quot;/&gt;&lt;wsp:rsid wsp:val=&quot;08B84D5E&quot;/&gt;&lt;wsp:rsid wsp:val=&quot;08C330EF&quot;/&gt;&lt;wsp:rsid wsp:val=&quot;08C52D6F&quot;/&gt;&lt;wsp:rsid wsp:val=&quot;08EF7436&quot;/&gt;&lt;wsp:rsid wsp:val=&quot;091B377D&quot;/&gt;&lt;wsp:rsid wsp:val=&quot;09261B0E&quot;/&gt;&lt;wsp:rsid wsp:val=&quot;095B7DEA&quot;/&gt;&lt;wsp:rsid wsp:val=&quot;0972418C&quot;/&gt;&lt;wsp:rsid wsp:val=&quot;099D0853&quot;/&gt;&lt;wsp:rsid wsp:val=&quot;0A765FB8&quot;/&gt;&lt;wsp:rsid wsp:val=&quot;0A8C26DA&quot;/&gt;&lt;wsp:rsid wsp:val=&quot;0B0808B8&quot;/&gt;&lt;wsp:rsid wsp:val=&quot;0B0D77B0&quot;/&gt;&lt;wsp:rsid wsp:val=&quot;0B0E7430&quot;/&gt;&lt;wsp:rsid wsp:val=&quot;0B243B52&quot;/&gt;&lt;wsp:rsid wsp:val=&quot;0B2E5767&quot;/&gt;&lt;wsp:rsid wsp:val=&quot;0B441E89&quot;/&gt;&lt;wsp:rsid wsp:val=&quot;0B7B7DE4&quot;/&gt;&lt;wsp:rsid wsp:val=&quot;0BBA0BCE&quot;/&gt;&lt;wsp:rsid wsp:val=&quot;0BC76BDF&quot;/&gt;&lt;wsp:rsid wsp:val=&quot;0BF132A6&quot;/&gt;&lt;wsp:rsid wsp:val=&quot;0C337593&quot;/&gt;&lt;wsp:rsid wsp:val=&quot;0C9F46C4&quot;/&gt;&lt;wsp:rsid wsp:val=&quot;0CC0267A&quot;/&gt;&lt;wsp:rsid wsp:val=&quot;0CF74D52&quot;/&gt;&lt;wsp:rsid wsp:val=&quot;0D0C1474&quot;/&gt;&lt;wsp:rsid wsp:val=&quot;0D2C77AB&quot;/&gt;&lt;wsp:rsid wsp:val=&quot;0E1B4EB5&quot;/&gt;&lt;wsp:rsid wsp:val=&quot;0E290A20&quot;/&gt;&lt;wsp:rsid wsp:val=&quot;0E3015D7&quot;/&gt;&lt;wsp:rsid wsp:val=&quot;0E3C75E8&quot;/&gt;&lt;wsp:rsid wsp:val=&quot;0E5C209B&quot;/&gt;&lt;wsp:rsid wsp:val=&quot;0EE80D86&quot;/&gt;&lt;wsp:rsid wsp:val=&quot;0F0A34B9&quot;/&gt;&lt;wsp:rsid wsp:val=&quot;0F5613B9&quot;/&gt;&lt;wsp:rsid wsp:val=&quot;0F8D020F&quot;/&gt;&lt;wsp:rsid wsp:val=&quot;0FEE6FAE&quot;/&gt;&lt;wsp:rsid wsp:val=&quot;0FF90BC3&quot;/&gt;&lt;wsp:rsid wsp:val=&quot;1023528A&quot;/&gt;&lt;wsp:rsid wsp:val=&quot;107838CD&quot;/&gt;&lt;wsp:rsid wsp:val=&quot;10FD29EF&quot;/&gt;&lt;wsp:rsid wsp:val=&quot;11080D80&quot;/&gt;&lt;wsp:rsid wsp:val=&quot;11127111&quot;/&gt;&lt;wsp:rsid wsp:val=&quot;118A2253&quot;/&gt;&lt;wsp:rsid wsp:val=&quot;11990174&quot;/&gt;&lt;wsp:rsid wsp:val=&quot;11EC4876&quot;/&gt;&lt;wsp:rsid wsp:val=&quot;12180BBD&quot;/&gt;&lt;wsp:rsid wsp:val=&quot;123C05BC&quot;/&gt;&lt;wsp:rsid wsp:val=&quot;12591626&quot;/&gt;&lt;wsp:rsid wsp:val=&quot;128E407F&quot;/&gt;&lt;wsp:rsid wsp:val=&quot;12C61FDA&quot;/&gt;&lt;wsp:rsid wsp:val=&quot;12DB66FD&quot;/&gt;&lt;wsp:rsid wsp:val=&quot;13515442&quot;/&gt;&lt;wsp:rsid wsp:val=&quot;13A85E50&quot;/&gt;&lt;wsp:rsid wsp:val=&quot;13AA5AD0&quot;/&gt;&lt;wsp:rsid wsp:val=&quot;14162C01&quot;/&gt;&lt;wsp:rsid wsp:val=&quot;142B2BA6&quot;/&gt;&lt;wsp:rsid wsp:val=&quot;14576EEE&quot;/&gt;&lt;wsp:rsid wsp:val=&quot;146851DB&quot;/&gt;&lt;wsp:rsid wsp:val=&quot;14997957&quot;/&gt;&lt;wsp:rsid wsp:val=&quot;14B95C8D&quot;/&gt;&lt;wsp:rsid wsp:val=&quot;14CE23B0&quot;/&gt;&lt;wsp:rsid wsp:val=&quot;1538524A&quot;/&gt;&lt;wsp:rsid wsp:val=&quot;154410F5&quot;/&gt;&lt;wsp:rsid wsp:val=&quot;15457605&quot;/&gt;&lt;wsp:rsid wsp:val=&quot;15460D75&quot;/&gt;&lt;wsp:rsid wsp:val=&quot;157D344D&quot;/&gt;&lt;wsp:rsid wsp:val=&quot;15BD7ABA&quot;/&gt;&lt;wsp:rsid wsp:val=&quot;15D43E5C&quot;/&gt;&lt;wsp:rsid wsp:val=&quot;161E6859&quot;/&gt;&lt;wsp:rsid wsp:val=&quot;16550F32&quot;/&gt;&lt;wsp:rsid wsp:val=&quot;16757268&quot;/&gt;&lt;wsp:rsid wsp:val=&quot;168C360A&quot;/&gt;&lt;wsp:rsid wsp:val=&quot;16C16063&quot;/&gt;&lt;wsp:rsid wsp:val=&quot;16D85C88&quot;/&gt;&lt;wsp:rsid wsp:val=&quot;16F83FBE&quot;/&gt;&lt;wsp:rsid wsp:val=&quot;1727028C&quot;/&gt;&lt;wsp:rsid wsp:val=&quot;172F6697&quot;/&gt;&lt;wsp:rsid wsp:val=&quot;17441023&quot;/&gt;&lt;wsp:rsid wsp:val=&quot;174F49CD&quot;/&gt;&lt;wsp:rsid wsp:val=&quot;179A37C7&quot;/&gt;&lt;wsp:rsid wsp:val=&quot;17D15EA0&quot;/&gt;&lt;wsp:rsid wsp:val=&quot;181C089E&quot;/&gt;&lt;wsp:rsid wsp:val=&quot;181D7502&quot;/&gt;&lt;wsp:rsid wsp:val=&quot;182868AE&quot;/&gt;&lt;wsp:rsid wsp:val=&quot;18484BE5&quot;/&gt;&lt;wsp:rsid wsp:val=&quot;186C59CF&quot;/&gt;&lt;wsp:rsid wsp:val=&quot;18786643&quot;/&gt;&lt;wsp:rsid wsp:val=&quot;19004393&quot;/&gt;&lt;wsp:rsid wsp:val=&quot;19024013&quot;/&gt;&lt;wsp:rsid wsp:val=&quot;19216AC6&quot;/&gt;&lt;wsp:rsid wsp:val=&quot;1922234A&quot;/&gt;&lt;wsp:rsid wsp:val=&quot;19584A22&quot;/&gt;&lt;wsp:rsid wsp:val=&quot;1998580B&quot;/&gt;&lt;wsp:rsid wsp:val=&quot;19CF7EE4&quot;/&gt;&lt;wsp:rsid wsp:val=&quot;1A323AF5&quot;/&gt;&lt;wsp:rsid wsp:val=&quot;1A5D684E&quot;/&gt;&lt;wsp:rsid wsp:val=&quot;1ABE55EE&quot;/&gt;&lt;wsp:rsid wsp:val=&quot;1AF57CC6&quot;/&gt;&lt;wsp:rsid wsp:val=&quot;1B0700AB&quot;/&gt;&lt;wsp:rsid wsp:val=&quot;1B4B06D5&quot;/&gt;&lt;wsp:rsid wsp:val=&quot;1B5252BE&quot;/&gt;&lt;wsp:rsid wsp:val=&quot;1B80312D&quot;/&gt;&lt;wsp:rsid wsp:val=&quot;1BB75806&quot;/&gt;&lt;wsp:rsid wsp:val=&quot;1BD04330&quot;/&gt;&lt;wsp:rsid wsp:val=&quot;1C0E1A98&quot;/&gt;&lt;wsp:rsid wsp:val=&quot;1C1945A6&quot;/&gt;&lt;wsp:rsid wsp:val=&quot;1C2361BA&quot;/&gt;&lt;wsp:rsid wsp:val=&quot;1C4508ED&quot;/&gt;&lt;wsp:rsid wsp:val=&quot;1C4F6C7E&quot;/&gt;&lt;wsp:rsid wsp:val=&quot;1CFD009B&quot;/&gt;&lt;wsp:rsid wsp:val=&quot;1D492719&quot;/&gt;&lt;wsp:rsid wsp:val=&quot;1D562F59&quot;/&gt;&lt;wsp:rsid wsp:val=&quot;1D746DE1&quot;/&gt;&lt;wsp:rsid wsp:val=&quot;1DF9774B&quot;/&gt;&lt;wsp:rsid wsp:val=&quot;1E161E6D&quot;/&gt;&lt;wsp:rsid wsp:val=&quot;1E3845A0&quot;/&gt;&lt;wsp:rsid wsp:val=&quot;1E422931&quot;/&gt;&lt;wsp:rsid wsp:val=&quot;1E4D4545&quot;/&gt;&lt;wsp:rsid wsp:val=&quot;1E79088D&quot;/&gt;&lt;wsp:rsid wsp:val=&quot;1E993340&quot;/&gt;&lt;wsp:rsid wsp:val=&quot;1EA44F54&quot;/&gt;&lt;wsp:rsid wsp:val=&quot;1EB02F65&quot;/&gt;&lt;wsp:rsid wsp:val=&quot;1EE61241&quot;/&gt;&lt;wsp:rsid wsp:val=&quot;1EFB5963&quot;/&gt;&lt;wsp:rsid wsp:val=&quot;1F053CF4&quot;/&gt;&lt;wsp:rsid wsp:val=&quot;1F111D05&quot;/&gt;&lt;wsp:rsid wsp:val=&quot;1F47475D&quot;/&gt;&lt;wsp:rsid wsp:val=&quot;1F7D6E36&quot;/&gt;&lt;wsp:rsid wsp:val=&quot;202B3AD6&quot;/&gt;&lt;wsp:rsid wsp:val=&quot;207728D1&quot;/&gt;&lt;wsp:rsid wsp:val=&quot;20970C07&quot;/&gt;&lt;wsp:rsid wsp:val=&quot;20EE1616&quot;/&gt;&lt;wsp:rsid wsp:val=&quot;210459B8&quot;/&gt;&lt;wsp:rsid wsp:val=&quot;210F75CC&quot;/&gt;&lt;wsp:rsid wsp:val=&quot;212F207F&quot;/&gt;&lt;wsp:rsid wsp:val=&quot;21862A8E&quot;/&gt;&lt;wsp:rsid wsp:val=&quot;219A6D4B&quot;/&gt;&lt;wsp:rsid wsp:val=&quot;21A70A44&quot;/&gt;&lt;wsp:rsid wsp:val=&quot;21FE1453&quot;/&gt;&lt;wsp:rsid wsp:val=&quot;220977E4&quot;/&gt;&lt;wsp:rsid wsp:val=&quot;221E7789&quot;/&gt;&lt;wsp:rsid wsp:val=&quot;22295B1A&quot;/&gt;&lt;wsp:rsid wsp:val=&quot;22754915&quot;/&gt;&lt;wsp:rsid wsp:val=&quot;227F6529&quot;/&gt;&lt;wsp:rsid wsp:val=&quot;228C453A&quot;/&gt;&lt;wsp:rsid wsp:val=&quot;22B60C01&quot;/&gt;&lt;wsp:rsid wsp:val=&quot;22CB5324&quot;/&gt;&lt;wsp:rsid wsp:val=&quot;22F8166B&quot;/&gt;&lt;wsp:rsid wsp:val=&quot;23443CE8&quot;/&gt;&lt;wsp:rsid wsp:val=&quot;2359040B&quot;/&gt;&lt;wsp:rsid wsp:val=&quot;237A63C1&quot;/&gt;&lt;wsp:rsid wsp:val=&quot;23DC5161&quot;/&gt;&lt;wsp:rsid wsp:val=&quot;242877DE&quot;/&gt;&lt;wsp:rsid wsp:val=&quot;24533EA6&quot;/&gt;&lt;wsp:rsid wsp:val=&quot;2494490F&quot;/&gt;&lt;wsp:rsid wsp:val=&quot;24D50BFC&quot;/&gt;&lt;wsp:rsid wsp:val=&quot;250B3654&quot;/&gt;&lt;wsp:rsid wsp:val=&quot;25415D2D&quot;/&gt;&lt;wsp:rsid wsp:val=&quot;25614063&quot;/&gt;&lt;wsp:rsid wsp:val=&quot;25633CE3&quot;/&gt;&lt;wsp:rsid wsp:val=&quot;256E2074&quot;/&gt;&lt;wsp:rsid wsp:val=&quot;258162A8&quot;/&gt;&lt;wsp:rsid wsp:val=&quot;25A30350&quot;/&gt;&lt;wsp:rsid wsp:val=&quot;25AE66E1&quot;/&gt;&lt;wsp:rsid wsp:val=&quot;26303437&quot;/&gt;&lt;wsp:rsid wsp:val=&quot;264F4FDA&quot;/&gt;&lt;wsp:rsid wsp:val=&quot;26723EA0&quot;/&gt;&lt;wsp:rsid wsp:val=&quot;26873E45&quot;/&gt;&lt;wsp:rsid wsp:val=&quot;26BE651E&quot;/&gt;&lt;wsp:rsid wsp:val=&quot;27156F2D&quot;/&gt;&lt;wsp:rsid wsp:val=&quot;276B40B8&quot;/&gt;&lt;wsp:rsid wsp:val=&quot;27C2034A&quot;/&gt;&lt;wsp:rsid wsp:val=&quot;27EC5A7D&quot;/&gt;&lt;wsp:rsid wsp:val=&quot;281954D5&quot;/&gt;&lt;wsp:rsid wsp:val=&quot;28233866&quot;/&gt;&lt;wsp:rsid wsp:val=&quot;286F5EE4&quot;/&gt;&lt;wsp:rsid wsp:val=&quot;28701767&quot;/&gt;&lt;wsp:rsid wsp:val=&quot;288F421B&quot;/&gt;&lt;wsp:rsid wsp:val=&quot;28BC0562&quot;/&gt;&lt;wsp:rsid wsp:val=&quot;28D14C84&quot;/&gt;&lt;wsp:rsid wsp:val=&quot;28E848A9&quot;/&gt;&lt;wsp:rsid wsp:val=&quot;28FD0FCB&quot;/&gt;&lt;wsp:rsid wsp:val=&quot;29120F71&quot;/&gt;&lt;wsp:rsid wsp:val=&quot;295419DA&quot;/&gt;&lt;wsp:rsid wsp:val=&quot;295E7D6B&quot;/&gt;&lt;wsp:rsid wsp:val=&quot;29E14AC1&quot;/&gt;&lt;wsp:rsid wsp:val=&quot;2A0C1188&quot;/&gt;&lt;wsp:rsid wsp:val=&quot;2A827ECE&quot;/&gt;&lt;wsp:rsid wsp:val=&quot;2AD30362&quot;/&gt;&lt;wsp:rsid wsp:val=&quot;2AFB6893&quot;/&gt;&lt;wsp:rsid wsp:val=&quot;2B47568D&quot;/&gt;&lt;wsp:rsid wsp:val=&quot;2B513A1E&quot;/&gt;&lt;wsp:rsid wsp:val=&quot;2B683643&quot;/&gt;&lt;wsp:rsid wsp:val=&quot;2BA87CB0&quot;/&gt;&lt;wsp:rsid wsp:val=&quot;2BBF4052&quot;/&gt;&lt;wsp:rsid wsp:val=&quot;2BCA23E3&quot;/&gt;&lt;wsp:rsid wsp:val=&quot;2BFF06BF&quot;/&gt;&lt;wsp:rsid wsp:val=&quot;2C357514&quot;/&gt;&lt;wsp:rsid wsp:val=&quot;2C401128&quot;/&gt;&lt;wsp:rsid wsp:val=&quot;2C6B57F0&quot;/&gt;&lt;wsp:rsid wsp:val=&quot;2C971B37&quot;/&gt;&lt;wsp:rsid wsp:val=&quot;2CE132A0&quot;/&gt;&lt;wsp:rsid wsp:val=&quot;2D0568E8&quot;/&gt;&lt;wsp:rsid wsp:val=&quot;2D3A1340&quot;/&gt;&lt;wsp:rsid wsp:val=&quot;2D5B72F6&quot;/&gt;&lt;wsp:rsid wsp:val=&quot;2D7E66F1&quot;/&gt;&lt;wsp:rsid wsp:val=&quot;2DE7275E&quot;/&gt;&lt;wsp:rsid wsp:val=&quot;2E402DEC&quot;/&gt;&lt;wsp:rsid wsp:val=&quot;2E600E98&quot;/&gt;&lt;wsp:rsid wsp:val=&quot;2E8A57EA&quot;/&gt;&lt;wsp:rsid wsp:val=&quot;2EB61B31&quot;/&gt;&lt;wsp:rsid wsp:val=&quot;2ED645E4&quot;/&gt;&lt;wsp:rsid wsp:val=&quot;2F00698B&quot;/&gt;&lt;wsp:rsid wsp:val=&quot;2F1808D1&quot;/&gt;&lt;wsp:rsid wsp:val=&quot;2FB01D49&quot;/&gt;&lt;wsp:rsid wsp:val=&quot;2FF16036&quot;/&gt;&lt;wsp:rsid wsp:val=&quot;30336A9F&quot;/&gt;&lt;wsp:rsid wsp:val=&quot;30486A45&quot;/&gt;&lt;wsp:rsid wsp:val=&quot;305957F6&quot;/&gt;&lt;wsp:rsid wsp:val=&quot;306166A8&quot;/&gt;&lt;wsp:rsid wsp:val=&quot;30A91F61&quot;/&gt;&lt;wsp:rsid wsp:val=&quot;30C93B1B&quot;/&gt;&lt;wsp:rsid wsp:val=&quot;314C4FED&quot;/&gt;&lt;wsp:rsid wsp:val=&quot;3157337F&quot;/&gt;&lt;wsp:rsid wsp:val=&quot;316E496E&quot;/&gt;&lt;wsp:rsid wsp:val=&quot;318E12DA&quot;/&gt;&lt;wsp:rsid wsp:val=&quot;31D900D5&quot;/&gt;&lt;wsp:rsid wsp:val=&quot;31FA1C8E&quot;/&gt;&lt;wsp:rsid wsp:val=&quot;320F63B0&quot;/&gt;&lt;wsp:rsid wsp:val=&quot;328714F2&quot;/&gt;&lt;wsp:rsid wsp:val=&quot;32C75B5F&quot;/&gt;&lt;wsp:rsid wsp:val=&quot;32C957DF&quot;/&gt;&lt;wsp:rsid wsp:val=&quot;32FE0237&quot;/&gt;&lt;wsp:rsid wsp:val=&quot;330865C8&quot;/&gt;&lt;wsp:rsid wsp:val=&quot;33616C57&quot;/&gt;&lt;wsp:rsid wsp:val=&quot;33766BFC&quot;/&gt;&lt;wsp:rsid wsp:val=&quot;33B679E6&quot;/&gt;&lt;wsp:rsid wsp:val=&quot;33D72119&quot;/&gt;&lt;wsp:rsid wsp:val=&quot;33E23D2D&quot;/&gt;&lt;wsp:rsid wsp:val=&quot;34DC77C8&quot;/&gt;&lt;wsp:rsid wsp:val=&quot;351D0231&quot;/&gt;&lt;wsp:rsid wsp:val=&quot;35494579&quot;/&gt;&lt;wsp:rsid wsp:val=&quot;35740C40&quot;/&gt;&lt;wsp:rsid wsp:val=&quot;357E6FD1&quot;/&gt;&lt;wsp:rsid wsp:val=&quot;359E5308&quot;/&gt;&lt;wsp:rsid wsp:val=&quot;35C032BE&quot;/&gt;&lt;wsp:rsid wsp:val=&quot;35D96FC4&quot;/&gt;&lt;wsp:rsid wsp:val=&quot;360C20B8&quot;/&gt;&lt;wsp:rsid wsp:val=&quot;36173CCD&quot;/&gt;&lt;wsp:rsid wsp:val=&quot;363F7524&quot;/&gt;&lt;wsp:rsid wsp:val=&quot;366D0E58&quot;/&gt;&lt;wsp:rsid wsp:val=&quot;36820DFD&quot;/&gt;&lt;wsp:rsid wsp:val=&quot;36AF5145&quot;/&gt;&lt;wsp:rsid wsp:val=&quot;36B934D6&quot;/&gt;&lt;wsp:rsid wsp:val=&quot;37103EE5&quot;/&gt;&lt;wsp:rsid wsp:val=&quot;3751494E&quot;/&gt;&lt;wsp:rsid wsp:val=&quot;375201D1&quot;/&gt;&lt;wsp:rsid wsp:val=&quot;37910FBB&quot;/&gt;&lt;wsp:rsid wsp:val=&quot;37A25F5C&quot;/&gt;&lt;wsp:rsid wsp:val=&quot;37B36F71&quot;/&gt;&lt;wsp:rsid wsp:val=&quot;3860038E&quot;/&gt;&lt;wsp:rsid wsp:val=&quot;38764AB1&quot;/&gt;&lt;wsp:rsid wsp:val=&quot;38972A67&quot;/&gt;&lt;wsp:rsid wsp:val=&quot;39902C7F&quot;/&gt;&lt;wsp:rsid wsp:val=&quot;399B4893&quot;/&gt;&lt;wsp:rsid wsp:val=&quot;39A62C24&quot;/&gt;&lt;wsp:rsid wsp:val=&quot;39BE292C&quot;/&gt;&lt;wsp:rsid wsp:val=&quot;3A1E5D66&quot;/&gt;&lt;wsp:rsid wsp:val=&quot;3A2940F7&quot;/&gt;&lt;wsp:rsid wsp:val=&quot;3A49242D&quot;/&gt;&lt;wsp:rsid wsp:val=&quot;3A756774&quot;/&gt;&lt;wsp:rsid wsp:val=&quot;3A9F2E3C&quot;/&gt;&lt;wsp:rsid wsp:val=&quot;3AE138A5&quot;/&gt;&lt;wsp:rsid wsp:val=&quot;3B59226A&quot;/&gt;&lt;wsp:rsid wsp:val=&quot;3B6E698C&quot;/&gt;&lt;wsp:rsid wsp:val=&quot;3B8E4CC3&quot;/&gt;&lt;wsp:rsid wsp:val=&quot;3BDA7340&quot;/&gt;&lt;wsp:rsid wsp:val=&quot;3C1C7DAA&quot;/&gt;&lt;wsp:rsid wsp:val=&quot;3C94676F&quot;/&gt;&lt;wsp:rsid wsp:val=&quot;3CA96714&quot;/&gt;&lt;wsp:rsid wsp:val=&quot;3CDF116D&quot;/&gt;&lt;wsp:rsid wsp:val=&quot;3D0A7413&quot;/&gt;&lt;wsp:rsid wsp:val=&quot;3D97091B&quot;/&gt;&lt;wsp:rsid wsp:val=&quot;3DB8304E&quot;/&gt;&lt;wsp:rsid wsp:val=&quot;3E234742&quot;/&gt;&lt;wsp:rsid wsp:val=&quot;3E5B60DB&quot;/&gt;&lt;wsp:rsid wsp:val=&quot;3EBC06FE&quot;/&gt;&lt;wsp:rsid wsp:val=&quot;3F135889&quot;/&gt;&lt;wsp:rsid wsp:val=&quot;3F2A54AE&quot;/&gt;&lt;wsp:rsid wsp:val=&quot;3FE24C5D&quot;/&gt;&lt;wsp:rsid wsp:val=&quot;405939A2&quot;/&gt;&lt;wsp:rsid wsp:val=&quot;405A612A&quot;/&gt;&lt;wsp:rsid wsp:val=&quot;40631D33&quot;/&gt;&lt;wsp:rsid wsp:val=&quot;40667BAC&quot;/&gt;&lt;wsp:rsid wsp:val=&quot;407A60D5&quot;/&gt;&lt;wsp:rsid wsp:val=&quot;408F607A&quot;/&gt;&lt;wsp:rsid wsp:val=&quot;409A440B&quot;/&gt;&lt;wsp:rsid wsp:val=&quot;40C50AD3&quot;/&gt;&lt;wsp:rsid wsp:val=&quot;40CA12BF&quot;/&gt;&lt;wsp:rsid wsp:val=&quot;40DB4E75&quot;/&gt;&lt;wsp:rsid wsp:val=&quot;40E63206&quot;/&gt;&lt;wsp:rsid wsp:val=&quot;40FB31AB&quot;/&gt;&lt;wsp:rsid wsp:val=&quot;413D3C14&quot;/&gt;&lt;wsp:rsid wsp:val=&quot;415E1BCB&quot;/&gt;&lt;wsp:rsid wsp:val=&quot;41741B70&quot;/&gt;&lt;wsp:rsid wsp:val=&quot;41947EA6&quot;/&gt;&lt;wsp:rsid wsp:val=&quot;41CA6CFC&quot;/&gt;&lt;wsp:rsid wsp:val=&quot;42212F8E&quot;/&gt;&lt;wsp:rsid wsp:val=&quot;4221770A&quot;/&gt;&lt;wsp:rsid wsp:val=&quot;42CE0B28&quot;/&gt;&lt;wsp:rsid wsp:val=&quot;4330314B&quot;/&gt;&lt;wsp:rsid wsp:val=&quot;4345786D&quot;/&gt;&lt;wsp:rsid wsp:val=&quot;43713BB4&quot;/&gt;&lt;wsp:rsid wsp:val=&quot;439E7EFB&quot;/&gt;&lt;wsp:rsid wsp:val=&quot;43A53A1F&quot;/&gt;&lt;wsp:rsid wsp:val=&quot;43BE6232&quot;/&gt;&lt;wsp:rsid wsp:val=&quot;43D32954&quot;/&gt;&lt;wsp:rsid wsp:val=&quot;43F4090A&quot;/&gt;&lt;wsp:rsid wsp:val=&quot;44803D71&quot;/&gt;&lt;wsp:rsid wsp:val=&quot;44A21D28&quot;/&gt;&lt;wsp:rsid wsp:val=&quot;45A63B54&quot;/&gt;&lt;wsp:rsid wsp:val=&quot;45C75919&quot;/&gt;&lt;wsp:rsid wsp:val=&quot;45DD622C&quot;/&gt;&lt;wsp:rsid wsp:val=&quot;45E745BD&quot;/&gt;&lt;wsp:rsid wsp:val=&quot;463E4FCC&quot;/&gt;&lt;wsp:rsid wsp:val=&quot;465316EE&quot;/&gt;&lt;wsp:rsid wsp:val=&quot;46534F71&quot;/&gt;&lt;wsp:rsid wsp:val=&quot;46691693&quot;/&gt;&lt;wsp:rsid wsp:val=&quot;46737A24&quot;/&gt;&lt;wsp:rsid wsp:val=&quot;468A764A&quot;/&gt;&lt;wsp:rsid wsp:val=&quot;469559DB&quot;/&gt;&lt;wsp:rsid wsp:val=&quot;46D66444&quot;/&gt;&lt;wsp:rsid wsp:val=&quot;47423575&quot;/&gt;&lt;wsp:rsid wsp:val=&quot;4757351A&quot;/&gt;&lt;wsp:rsid wsp:val=&quot;47EF4992&quot;/&gt;&lt;wsp:rsid wsp:val=&quot;47FA65A7&quot;/&gt;&lt;wsp:rsid wsp:val=&quot;480745B8&quot;/&gt;&lt;wsp:rsid wsp:val=&quot;4826706B&quot;/&gt;&lt;wsp:rsid wsp:val=&quot;48310C7F&quot;/&gt;&lt;wsp:rsid wsp:val=&quot;485C5346&quot;/&gt;&lt;wsp:rsid wsp:val=&quot;487E491C&quot;/&gt;&lt;wsp:rsid wsp:val=&quot;48BE3EB0&quot;/&gt;&lt;wsp:rsid wsp:val=&quot;48DF209C&quot;/&gt;&lt;wsp:rsid wsp:val=&quot;48F5643E&quot;/&gt;&lt;wsp:rsid wsp:val=&quot;49154775&quot;/&gt;&lt;wsp:rsid wsp:val=&quot;493266EE&quot;/&gt;&lt;wsp:rsid wsp:val=&quot;494A71CD&quot;/&gt;&lt;wsp:rsid wsp:val=&quot;49CD3F23&quot;/&gt;&lt;wsp:rsid wsp:val=&quot;49ED225A&quot;/&gt;&lt;wsp:rsid wsp:val=&quot;4A70372C&quot;/&gt;&lt;wsp:rsid wsp:val=&quot;4A706FB0&quot;/&gt;&lt;wsp:rsid wsp:val=&quot;4A7B5341&quot;/&gt;&lt;wsp:rsid wsp:val=&quot;4A873352&quot;/&gt;&lt;wsp:rsid wsp:val=&quot;4AD0171C&quot;/&gt;&lt;wsp:rsid wsp:val=&quot;4B1E03CD&quot;/&gt;&lt;wsp:rsid wsp:val=&quot;4B28675E&quot;/&gt;&lt;wsp:rsid wsp:val=&quot;4B457FAC&quot;/&gt;&lt;wsp:rsid wsp:val=&quot;4B547222&quot;/&gt;&lt;wsp:rsid wsp:val=&quot;4B5F0E37&quot;/&gt;&lt;wsp:rsid wsp:val=&quot;4B645709&quot;/&gt;&lt;wsp:rsid wsp:val=&quot;4B96350F&quot;/&gt;&lt;wsp:rsid wsp:val=&quot;4BA018A0&quot;/&gt;&lt;wsp:rsid wsp:val=&quot;4BAB34B4&quot;/&gt;&lt;wsp:rsid wsp:val=&quot;4BCB5F67&quot;/&gt;&lt;wsp:rsid wsp:val=&quot;4C43492C&quot;/&gt;&lt;wsp:rsid wsp:val=&quot;4C4D0A27&quot;/&gt;&lt;wsp:rsid wsp:val=&quot;4C4E2CBD&quot;/&gt;&lt;wsp:rsid wsp:val=&quot;4C632C63&quot;/&gt;&lt;wsp:rsid wsp:val=&quot;4C9A533B&quot;/&gt;&lt;wsp:rsid wsp:val=&quot;4CF15D4A&quot;/&gt;&lt;wsp:rsid wsp:val=&quot;4CFB40DB&quot;/&gt;&lt;wsp:rsid wsp:val=&quot;4D940DD6&quot;/&gt;&lt;wsp:rsid wsp:val=&quot;4D9E7167&quot;/&gt;&lt;wsp:rsid wsp:val=&quot;4DC0189A&quot;/&gt;&lt;wsp:rsid wsp:val=&quot;4DEA5F62&quot;/&gt;&lt;wsp:rsid wsp:val=&quot;4E1622A9&quot;/&gt;&lt;wsp:rsid wsp:val=&quot;4E2C224E&quot;/&gt;&lt;wsp:rsid wsp:val=&quot;4E614CA7&quot;/&gt;&lt;wsp:rsid wsp:val=&quot;4E832C5D&quot;/&gt;&lt;wsp:rsid wsp:val=&quot;4EE17CDB&quot;/&gt;&lt;wsp:rsid wsp:val=&quot;4F105D44&quot;/&gt;&lt;wsp:rsid wsp:val=&quot;4F676753&quot;/&gt;&lt;wsp:rsid wsp:val=&quot;4FA871BC&quot;/&gt;&lt;wsp:rsid wsp:val=&quot;4FBD38DE&quot;/&gt;&lt;wsp:rsid wsp:val=&quot;50342624&quot;/&gt;&lt;wsp:rsid wsp:val=&quot;504925C9&quot;/&gt;&lt;wsp:rsid wsp:val=&quot;50804CA1&quot;/&gt;&lt;wsp:rsid wsp:val=&quot;508C2CB2&quot;/&gt;&lt;wsp:rsid wsp:val=&quot;50CC731F&quot;/&gt;&lt;wsp:rsid wsp:val=&quot;51914ADE&quot;/&gt;&lt;wsp:rsid wsp:val=&quot;525E4232&quot;/&gt;&lt;wsp:rsid wsp:val=&quot;529F4C9C&quot;/&gt;&lt;wsp:rsid wsp:val=&quot;52B513BE&quot;/&gt;&lt;wsp:rsid wsp:val=&quot;52D576F4&quot;/&gt;&lt;wsp:rsid wsp:val=&quot;52EC7319&quot;/&gt;&lt;wsp:rsid wsp:val=&quot;53013A3B&quot;/&gt;&lt;wsp:rsid wsp:val=&quot;534244A5&quot;/&gt;&lt;wsp:rsid wsp:val=&quot;538E6B22&quot;/&gt;&lt;wsp:rsid wsp:val=&quot;53B931EA&quot;/&gt;&lt;wsp:rsid wsp:val=&quot;54693677&quot;/&gt;&lt;wsp:rsid wsp:val=&quot;547D09A9&quot;/&gt;&lt;wsp:rsid wsp:val=&quot;54866F2F&quot;/&gt;&lt;wsp:rsid wsp:val=&quot;54886D3A&quot;/&gt;&lt;wsp:rsid wsp:val=&quot;54DE7749&quot;/&gt;&lt;wsp:rsid wsp:val=&quot;55401D6C&quot;/&gt;&lt;wsp:rsid wsp:val=&quot;55474FEC&quot;/&gt;&lt;wsp:rsid wsp:val=&quot;5557610E&quot;/&gt;&lt;wsp:rsid wsp:val=&quot;558C0B67&quot;/&gt;&lt;wsp:rsid wsp:val=&quot;55F8151B&quot;/&gt;&lt;wsp:rsid wsp:val=&quot;562F3BF3&quot;/&gt;&lt;wsp:rsid wsp:val=&quot;56707BDA&quot;/&gt;&lt;wsp:rsid wsp:val=&quot;56707EE0&quot;/&gt;&lt;wsp:rsid wsp:val=&quot;567B29ED&quot;/&gt;&lt;wsp:rsid wsp:val=&quot;56B00CC9&quot;/&gt;&lt;wsp:rsid wsp:val=&quot;56B20949&quot;/&gt;&lt;wsp:rsid wsp:val=&quot;57081358&quot;/&gt;&lt;wsp:rsid wsp:val=&quot;577F481A&quot;/&gt;&lt;wsp:rsid wsp:val=&quot;579447BF&quot;/&gt;&lt;wsp:rsid wsp:val=&quot;57C00B06&quot;/&gt;&lt;wsp:rsid wsp:val=&quot;57D13A15&quot;/&gt;&lt;wsp:rsid wsp:val=&quot;58591F7E&quot;/&gt;&lt;wsp:rsid wsp:val=&quot;58633B93&quot;/&gt;&lt;wsp:rsid wsp:val=&quot;586E1F24&quot;/&gt;&lt;wsp:rsid wsp:val=&quot;588562C6&quot;/&gt;&lt;wsp:rsid wsp:val=&quot;58FB500B&quot;/&gt;&lt;wsp:rsid wsp:val=&quot;592616D2&quot;/&gt;&lt;wsp:rsid wsp:val=&quot;594B184B&quot;/&gt;&lt;wsp:rsid wsp:val=&quot;59E00B01&quot;/&gt;&lt;wsp:rsid wsp:val=&quot;59F50AA6&quot;/&gt;&lt;wsp:rsid wsp:val=&quot;5A0A51C8&quot;/&gt;&lt;wsp:rsid wsp:val=&quot;5A563FC2&quot;/&gt;&lt;wsp:rsid wsp:val=&quot;5A9970A6&quot;/&gt;&lt;wsp:rsid wsp:val=&quot;5AD90D18&quot;/&gt;&lt;wsp:rsid wsp:val=&quot;5AD9663A&quot;/&gt;&lt;wsp:rsid wsp:val=&quot;5AED4C1B&quot;/&gt;&lt;wsp:rsid wsp:val=&quot;5B195385&quot;/&gt;&lt;wsp:rsid wsp:val=&quot;5B5A5DEF&quot;/&gt;&lt;wsp:rsid wsp:val=&quot;5BB167FD&quot;/&gt;&lt;wsp:rsid wsp:val=&quot;5BC86423&quot;/&gt;&lt;wsp:rsid wsp:val=&quot;5BD347B4&quot;/&gt;&lt;wsp:rsid wsp:val=&quot;5C08720C&quot;/&gt;&lt;wsp:rsid wsp:val=&quot;5C6D2B35&quot;/&gt;&lt;wsp:rsid wsp:val=&quot;5C9522F3&quot;/&gt;&lt;wsp:rsid wsp:val=&quot;5CEC2D02&quot;/&gt;&lt;wsp:rsid wsp:val=&quot;5D433711&quot;/&gt;&lt;wsp:rsid wsp:val=&quot;5D7A5DE9&quot;/&gt;&lt;wsp:rsid wsp:val=&quot;5D9A411F&quot;/&gt;&lt;wsp:rsid wsp:val=&quot;5DB004C1&quot;/&gt;&lt;wsp:rsid wsp:val=&quot;5DDB040C&quot;/&gt;&lt;wsp:rsid wsp:val=&quot;5DE6679D&quot;/&gt;&lt;wsp:rsid wsp:val=&quot;5DFD2B3F&quot;/&gt;&lt;wsp:rsid wsp:val=&quot;5E070ED0&quot;/&gt;&lt;wsp:rsid wsp:val=&quot;5E731884&quot;/&gt;&lt;wsp:rsid wsp:val=&quot;5ECA2293&quot;/&gt;&lt;wsp:rsid wsp:val=&quot;5F2B1033&quot;/&gt;&lt;wsp:rsid wsp:val=&quot;5F4253D5&quot;/&gt;&lt;wsp:rsid wsp:val=&quot;5FE50461&quot;/&gt;&lt;wsp:rsid wsp:val=&quot;601C2B39&quot;/&gt;&lt;wsp:rsid wsp:val=&quot;605B3923&quot;/&gt;&lt;wsp:rsid wsp:val=&quot;609D7C10&quot;/&gt;&lt;wsp:rsid wsp:val=&quot;60A85FA1&quot;/&gt;&lt;wsp:rsid wsp:val=&quot;60B24332&quot;/&gt;&lt;wsp:rsid wsp:val=&quot;60F3411E&quot;/&gt;&lt;wsp:rsid wsp:val=&quot;61146955&quot;/&gt;&lt;wsp:rsid wsp:val=&quot;61402C9C&quot;/&gt;&lt;wsp:rsid wsp:val=&quot;614B102D&quot;/&gt;&lt;wsp:rsid wsp:val=&quot;616B7363&quot;/&gt;&lt;wsp:rsid wsp:val=&quot;61B6615E&quot;/&gt;&lt;wsp:rsid wsp:val=&quot;622F4B23&quot;/&gt;&lt;wsp:rsid wsp:val=&quot;62B01BF9&quot;/&gt;&lt;wsp:rsid wsp:val=&quot;62D1432C&quot;/&gt;&lt;wsp:rsid wsp:val=&quot;62DC26BD&quot;/&gt;&lt;wsp:rsid wsp:val=&quot;63072608&quot;/&gt;&lt;wsp:rsid wsp:val=&quot;63284D3B&quot;/&gt;&lt;wsp:rsid wsp:val=&quot;637F0FCD&quot;/&gt;&lt;wsp:rsid wsp:val=&quot;638504B3&quot;/&gt;&lt;wsp:rsid wsp:val=&quot;63CB7DC7&quot;/&gt;&lt;wsp:rsid wsp:val=&quot;63D619DB&quot;/&gt;&lt;wsp:rsid wsp:val=&quot;63D66158&quot;/&gt;&lt;wsp:rsid wsp:val=&quot;63EB60FE&quot;/&gt;&lt;wsp:rsid wsp:val=&quot;645B6D3E&quot;/&gt;&lt;wsp:rsid wsp:val=&quot;6463123F&quot;/&gt;&lt;wsp:rsid wsp:val=&quot;64837576&quot;/&gt;&lt;wsp:rsid wsp:val=&quot;648E5907&quot;/&gt;&lt;wsp:rsid wsp:val=&quot;64A358AC&quot;/&gt;&lt;wsp:rsid wsp:val=&quot;65927733&quot;/&gt;&lt;wsp:rsid wsp:val=&quot;65A93AD5&quot;/&gt;&lt;wsp:rsid wsp:val=&quot;65B456E9&quot;/&gt;&lt;wsp:rsid wsp:val=&quot;65C91E0B&quot;/&gt;&lt;wsp:rsid wsp:val=&quot;660A2875&quot;/&gt;&lt;wsp:rsid wsp:val=&quot;661F281A&quot;/&gt;&lt;wsp:rsid wsp:val=&quot;66395563&quot;/&gt;&lt;wsp:rsid wsp:val=&quot;66613283&quot;/&gt;&lt;wsp:rsid wsp:val=&quot;666C4E98&quot;/&gt;&lt;wsp:rsid wsp:val=&quot;66CD3C37&quot;/&gt;&lt;wsp:rsid wsp:val=&quot;66CF38B7&quot;/&gt;&lt;wsp:rsid wsp:val=&quot;671962B5&quot;/&gt;&lt;wsp:rsid wsp:val=&quot;67BC5ABE&quot;/&gt;&lt;wsp:rsid wsp:val=&quot;680A383B&quot;/&gt;&lt;wsp:rsid wsp:val=&quot;681364CD&quot;/&gt;&lt;wsp:rsid wsp:val=&quot;68490BA5&quot;/&gt;&lt;wsp:rsid wsp:val=&quot;687A5CD7&quot;/&gt;&lt;wsp:rsid wsp:val=&quot;68806B01&quot;/&gt;&lt;wsp:rsid wsp:val=&quot;68E1201D&quot;/&gt;&lt;wsp:rsid wsp:val=&quot;68EC3C32&quot;/&gt;&lt;wsp:rsid wsp:val=&quot;698F343B&quot;/&gt;&lt;wsp:rsid wsp:val=&quot;69A04062&quot;/&gt;&lt;wsp:rsid wsp:val=&quot;69B013F1&quot;/&gt;&lt;wsp:rsid wsp:val=&quot;69E676CD&quot;/&gt;&lt;wsp:rsid wsp:val=&quot;6A270136&quot;/&gt;&lt;wsp:rsid wsp:val=&quot;6A321D4B&quot;/&gt;&lt;wsp:rsid wsp:val=&quot;6A47646D&quot;/&gt;&lt;wsp:rsid wsp:val=&quot;6A5247FE&quot;/&gt;&lt;wsp:rsid wsp:val=&quot;6A53447E&quot;/&gt;&lt;wsp:rsid wsp:val=&quot;6A7327B4&quot;/&gt;&lt;wsp:rsid wsp:val=&quot;6ABF15AE&quot;/&gt;&lt;wsp:rsid wsp:val=&quot;6AD16ECB&quot;/&gt;&lt;wsp:rsid wsp:val=&quot;6AE412FC&quot;/&gt;&lt;wsp:rsid wsp:val=&quot;6AEA5C76&quot;/&gt;&lt;wsp:rsid wsp:val=&quot;6B213BD1&quot;/&gt;&lt;wsp:rsid wsp:val=&quot;6B5862AA&quot;/&gt;&lt;wsp:rsid wsp:val=&quot;6BBA1B4A&quot;/&gt;&lt;wsp:rsid wsp:val=&quot;6BC333DB&quot;/&gt;&lt;wsp:rsid wsp:val=&quot;6BD93380&quot;/&gt;&lt;wsp:rsid wsp:val=&quot;6C053E44&quot;/&gt;&lt;wsp:rsid wsp:val=&quot;6C105A58&quot;/&gt;&lt;wsp:rsid wsp:val=&quot;6C303D8F&quot;/&gt;&lt;wsp:rsid wsp:val=&quot;6C5164C2&quot;/&gt;&lt;wsp:rsid wsp:val=&quot;6C666467&quot;/&gt;&lt;wsp:rsid wsp:val=&quot;6D2B3C26&quot;/&gt;&lt;wsp:rsid wsp:val=&quot;6D6B0293&quot;/&gt;&lt;wsp:rsid wsp:val=&quot;6D970D57&quot;/&gt;&lt;wsp:rsid wsp:val=&quot;6DE41D8A&quot;/&gt;&lt;wsp:rsid wsp:val=&quot;6DF87AF7&quot;/&gt;&lt;wsp:rsid wsp:val=&quot;6E2D7665&quot;/&gt;&lt;wsp:rsid wsp:val=&quot;6E393DE4&quot;/&gt;&lt;wsp:rsid wsp:val=&quot;6E442175&quot;/&gt;&lt;wsp:rsid wsp:val=&quot;6EBB0EBA&quot;/&gt;&lt;wsp:rsid wsp:val=&quot;6EC76ECB&quot;/&gt;&lt;wsp:rsid wsp:val=&quot;6EE75201&quot;/&gt;&lt;wsp:rsid wsp:val=&quot;6F285C6B&quot;/&gt;&lt;wsp:rsid wsp:val=&quot;6F532332&quot;/&gt;&lt;wsp:rsid wsp:val=&quot;6FEB702D&quot;/&gt;&lt;wsp:rsid wsp:val=&quot;7000374F&quot;/&gt;&lt;wsp:rsid wsp:val=&quot;700233CF&quot;/&gt;&lt;wsp:rsid wsp:val=&quot;70221706&quot;/&gt;&lt;wsp:rsid wsp:val=&quot;70427A3C&quot;/&gt;&lt;wsp:rsid wsp:val=&quot;7057415E&quot;/&gt;&lt;wsp:rsid wsp:val=&quot;708E390E&quot;/&gt;&lt;wsp:rsid wsp:val=&quot;7099044B&quot;/&gt;&lt;wsp:rsid wsp:val=&quot;70AE4B6D&quot;/&gt;&lt;wsp:rsid wsp:val=&quot;70B43760&quot;/&gt;&lt;wsp:rsid wsp:val=&quot;70DA0EB4&quot;/&gt;&lt;wsp:rsid wsp:val=&quot;70EF55D6&quot;/&gt;&lt;wsp:rsid wsp:val=&quot;71D4494F&quot;/&gt;&lt;wsp:rsid wsp:val=&quot;71E91071&quot;/&gt;&lt;wsp:rsid wsp:val=&quot;71F37403&quot;/&gt;&lt;wsp:rsid wsp:val=&quot;720A7028&quot;/&gt;&lt;wsp:rsid wsp:val=&quot;7220374A&quot;/&gt;&lt;wsp:rsid wsp:val=&quot;72313EC3&quot;/&gt;&lt;wsp:rsid wsp:val=&quot;72565E22&quot;/&gt;&lt;wsp:rsid wsp:val=&quot;726141B3&quot;/&gt;&lt;wsp:rsid wsp:val=&quot;72764159&quot;/&gt;&lt;wsp:rsid wsp:val=&quot;72AD6831&quot;/&gt;&lt;wsp:rsid wsp:val=&quot;72C83F3E&quot;/&gt;&lt;wsp:rsid wsp:val=&quot;72CD4B67&quot;/&gt;&lt;wsp:rsid wsp:val=&quot;72F53ED4&quot;/&gt;&lt;wsp:rsid wsp:val=&quot;73047240&quot;/&gt;&lt;wsp:rsid wsp:val=&quot;73193962&quot;/&gt;&lt;wsp:rsid wsp:val=&quot;732E3907&quot;/&gt;&lt;wsp:rsid wsp:val=&quot;73707BF4&quot;/&gt;&lt;wsp:rsid wsp:val=&quot;73912327&quot;/&gt;&lt;wsp:rsid wsp:val=&quot;73A66A49&quot;/&gt;&lt;wsp:rsid wsp:val=&quot;73A722CC&quot;/&gt;&lt;wsp:rsid wsp:val=&quot;73FD7457&quot;/&gt;&lt;wsp:rsid wsp:val=&quot;74003961&quot;/&gt;&lt;wsp:rsid wsp:val=&quot;7408106C&quot;/&gt;&lt;wsp:rsid wsp:val=&quot;741D578E&quot;/&gt;&lt;wsp:rsid wsp:val=&quot;74335733&quot;/&gt;&lt;wsp:rsid wsp:val=&quot;743F3744&quot;/&gt;&lt;wsp:rsid wsp:val=&quot;74547E66&quot;/&gt;&lt;wsp:rsid wsp:val=&quot;74697E0C&quot;/&gt;&lt;wsp:rsid wsp:val=&quot;74CC682B&quot;/&gt;&lt;wsp:rsid wsp:val=&quot;74D74BBC&quot;/&gt;&lt;wsp:rsid wsp:val=&quot;75171229&quot;/&gt;&lt;wsp:rsid wsp:val=&quot;758F7BEE&quot;/&gt;&lt;wsp:rsid wsp:val=&quot;75AF26A1&quot;/&gt;&lt;wsp:rsid wsp:val=&quot;75DB69E8&quot;/&gt;&lt;wsp:rsid wsp:val=&quot;763273F7&quot;/&gt;&lt;wsp:rsid wsp:val=&quot;769E7DAB&quot;/&gt;&lt;wsp:rsid wsp:val=&quot;76B344CD&quot;/&gt;&lt;wsp:rsid wsp:val=&quot;76EA6BA6&quot;/&gt;&lt;wsp:rsid wsp:val=&quot;77150AD0&quot;/&gt;&lt;wsp:rsid wsp:val=&quot;7721127E&quot;/&gt;&lt;wsp:rsid wsp:val=&quot;774B5945&quot;/&gt;&lt;wsp:rsid wsp:val=&quot;778238A1&quot;/&gt;&lt;wsp:rsid wsp:val=&quot;77CE269B&quot;/&gt;&lt;wsp:rsid wsp:val=&quot;77D942B0&quot;/&gt;&lt;wsp:rsid wsp:val=&quot;77EE09D2&quot;/&gt;&lt;wsp:rsid wsp:val=&quot;77F96D63&quot;/&gt;&lt;wsp:rsid wsp:val=&quot;78106988&quot;/&gt;&lt;wsp:rsid wsp:val=&quot;785C5783&quot;/&gt;&lt;wsp:rsid wsp:val=&quot;789C1DEF&quot;/&gt;&lt;wsp:rsid wsp:val=&quot;78A60180&quot;/&gt;&lt;wsp:rsid wsp:val=&quot;791E32C2&quot;/&gt;&lt;wsp:rsid wsp:val=&quot;79753CD1&quot;/&gt;&lt;wsp:rsid wsp:val=&quot;79A75C38&quot;/&gt;&lt;wsp:rsid wsp:val=&quot;7A013357&quot;/&gt;&lt;wsp:rsid wsp:val=&quot;7A03263B&quot;/&gt;&lt;wsp:rsid wsp:val=&quot;7A0D09CC&quot;/&gt;&lt;wsp:rsid wsp:val=&quot;7A186D5D&quot;/&gt;&lt;wsp:rsid wsp:val=&quot;7A3A4D14&quot;/&gt;&lt;wsp:rsid wsp:val=&quot;7AC5017B&quot;/&gt;&lt;wsp:rsid wsp:val=&quot;7AD2618C&quot;/&gt;&lt;wsp:rsid wsp:val=&quot;7B070BE4&quot;/&gt;&lt;wsp:rsid wsp:val=&quot;7B5E4E76&quot;/&gt;&lt;wsp:rsid wsp:val=&quot;7B9F58E0&quot;/&gt;&lt;wsp:rsid wsp:val=&quot;7C00467F&quot;/&gt;&lt;wsp:rsid wsp:val=&quot;7C070929&quot;/&gt;&lt;wsp:rsid wsp:val=&quot;7C0B2A10&quot;/&gt;&lt;wsp:rsid wsp:val=&quot;7C580710&quot;/&gt;&lt;wsp:rsid wsp:val=&quot;7CA33E88&quot;/&gt;&lt;wsp:rsid wsp:val=&quot;7CAE5A9D&quot;/&gt;&lt;wsp:rsid wsp:val=&quot;7CC51E3F&quot;/&gt;&lt;wsp:rsid wsp:val=&quot;7CCF01D0&quot;/&gt;&lt;wsp:rsid wsp:val=&quot;7D66524B&quot;/&gt;&lt;wsp:rsid wsp:val=&quot;7D72325C&quot;/&gt;&lt;wsp:rsid wsp:val=&quot;7D7D15ED&quot;/&gt;&lt;wsp:rsid wsp:val=&quot;7D921593&quot;/&gt;&lt;wsp:rsid wsp:val=&quot;7E20467A&quot;/&gt;&lt;wsp:rsid wsp:val=&quot;7E350D9C&quot;/&gt;&lt;wsp:rsid wsp:val=&quot;7E552DFD&quot;/&gt;&lt;wsp:rsid wsp:val=&quot;7ECD2214&quot;/&gt;&lt;wsp:rsid wsp:val=&quot;7EED3DCE&quot;/&gt;&lt;wsp:rsid wsp:val=&quot;7F04016F&quot;/&gt;&lt;wsp:rsid wsp:val=&quot;7F0E6500&quot;/&gt;&lt;wsp:rsid wsp:val=&quot;7F242C23&quot;/&gt;&lt;wsp:rsid wsp:val=&quot;7F590EFE&quot;/&gt;&lt;wsp:rsid wsp:val=&quot;7F5B0B7E&quot;/&gt;&lt;wsp:rsid wsp:val=&quot;7F873D31&quot;/&gt;&lt;wsp:rsid wsp:val=&quot;7F9C15E8&quot;/&gt;&lt;wsp:rsid wsp:val=&quot;7FB1158D&quot;/&gt;&lt;wsp:rsid wsp:val=&quot;7FD178C3&quot;/&gt;&lt;wsp:rsid wsp:val=&quot;7FFD0387&quot;/&gt;&lt;/wsp:rsids&gt;&lt;/w:docPr&gt;&lt;w:body&gt;&lt;w:p wsp:rsidR=&quot;00000000&quot; wsp:rsidRDefault=&quot;008E575E&quot;&gt;&lt;m:oMathPara&gt;&lt;m:oMath&gt;&lt;m:r&gt;&lt;m:rPr&gt;&lt;m:sty m:val=&quot;p&quot;/&gt;&lt;/m:rPr&gt;&lt;w:rPr&gt;&lt;w:rFonts w:ascii=&quot;Cambria Math&quot; w:fareast=&quot;宋体&quot; w:h-ansi=&quot;Cambria Math&quot;/&gt;&lt;wx:font wx:val=&quot;Cambria Math&quot;/&gt;&lt;w:sz w:val=&quot;24&quot;/&gt;&lt;/w:rPr&gt;&lt;m:t&gt;±&lt;/m:t&gt;&lt;/m:r&gt;&lt;m:r&gt;&lt;m:rPr&gt;&lt;m:sty m:val=&quot;p&quot;/&gt;&lt;/m:rPr&gt;&lt;w:rPr&gt;&lt;w:rFonts w:ascii=&quot;Cambria Math&quot; w:fareast=&quot;宋体&quot; w:h-ansi=&quot;Cambria Math&quot; w:hint=&quot;fareast&quot;/&gt;&lt;wx:font wx:val=&quot;Cambria Math&quot;/&gt;&lt;w:sz w:val=&quot;24&quot;/&gt;&lt;/w:rPr&gt;&lt;m:t&gt;5&lt;/m:t&gt;&lt;/m:r&gt;&lt;m:r&gt;&lt;m:rPr&gt;&lt;m:sty m:val=&quot;p&quot;/&gt;&lt;/m:rPr&gt;&lt;w:rPr&gt;&lt;w:rFonts w:ascii=&quot;Cambria Math&quot; w:fareast=&quot;宋体&quot; w:h-ansi=&quot;Cambria Math&quot;/&gt;&lt;wx:font wx:val=&quot;Cambria Math&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path/>
            <v:fill on="f" focussize="0,0"/>
            <v:stroke on="f"/>
            <v:imagedata r:id="rId21" chromakey="#FFFFFF" o:title=""/>
            <o:lock v:ext="edit" aspectratio="t"/>
            <w10:wrap type="none"/>
            <w10:anchorlock/>
          </v:shape>
        </w:pict>
      </w:r>
      <w:r>
        <w:rPr>
          <w:rFonts w:hint="eastAsia" w:ascii="仿宋" w:hAnsi="仿宋" w:eastAsia="仿宋" w:cs="仿宋"/>
          <w:color w:val="auto"/>
          <w:sz w:val="24"/>
          <w:szCs w:val="24"/>
          <w:highlight w:val="none"/>
        </w:rPr>
        <w:instrText xml:space="preserve">  \* MERGEFORMAT </w:instrText>
      </w:r>
      <w:r>
        <w:rPr>
          <w:rFonts w:hint="eastAsia" w:ascii="仿宋" w:hAnsi="仿宋" w:eastAsia="仿宋" w:cs="仿宋"/>
          <w:color w:val="auto"/>
          <w:sz w:val="24"/>
          <w:szCs w:val="24"/>
          <w:highlight w:val="none"/>
        </w:rPr>
        <w:fldChar w:fldCharType="separate"/>
      </w:r>
      <w:r>
        <w:rPr>
          <w:rFonts w:hint="eastAsia" w:ascii="仿宋" w:hAnsi="仿宋" w:eastAsia="仿宋" w:cs="仿宋"/>
          <w:color w:val="auto"/>
          <w:position w:val="-6"/>
          <w:sz w:val="24"/>
          <w:szCs w:val="24"/>
          <w:highlight w:val="none"/>
        </w:rPr>
        <w:pict>
          <v:shape id="_x0000_i1027" o:spt="75" type="#_x0000_t75" style="height:15.75pt;width:26.25pt;" filled="f" stroked="f" coordsize="21600,21600" equationxml="&lt;?xml version=&quot;1.0&quot; encoding=&quot;UTF-8&quot; standalone=&quot;yes&quot;?&gt;&#13;&#10;&lt;?mso-application progid=&quot;Word.Document&quot;?&gt;&#13;&#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stylePaneFormatFilter w:val=&quot;3F01&quot;/&gt;&lt;w:defaultTabStop w:val=&quot;420&quot;/&gt;&lt;w:drawingGridHorizontalSpacing w:val=&quot;0&quot;/&gt;&lt;w:drawingGridVerticalSpacing w:val=&quot;156&quot;/&gt;&lt;w:characterSpacingControl w:val=&quot;CompressPunctuation&quot;/&gt;&lt;w:webPageEncoding w:val=&quot;x-cp20936&quot;/&gt;&lt;w:optimizeForBrowser/&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snapToGridInCell/&gt;&lt;w:dontGrowAutofit/&gt;&lt;w:useFELayout/&gt;&lt;/w:compat&gt;&lt;wsp:rsids&gt;&lt;wsp:rsidRoot wsp:val=&quot;00172A27&quot;/&gt;&lt;wsp:rsid wsp:val=&quot;00007301&quot;/&gt;&lt;wsp:rsid wsp:val=&quot;00007879&quot;/&gt;&lt;wsp:rsid wsp:val=&quot;00032A5E&quot;/&gt;&lt;wsp:rsid wsp:val=&quot;0006406A&quot;/&gt;&lt;wsp:rsid wsp:val=&quot;0006644A&quot;/&gt;&lt;wsp:rsid wsp:val=&quot;000B6BCF&quot;/&gt;&lt;wsp:rsid wsp:val=&quot;000B70B4&quot;/&gt;&lt;wsp:rsid wsp:val=&quot;00134CD6&quot;/&gt;&lt;wsp:rsid wsp:val=&quot;0017638F&quot;/&gt;&lt;wsp:rsid wsp:val=&quot;0019081A&quot;/&gt;&lt;wsp:rsid wsp:val=&quot;001D6B74&quot;/&gt;&lt;wsp:rsid wsp:val=&quot;001E2D36&quot;/&gt;&lt;wsp:rsid wsp:val=&quot;001F0703&quot;/&gt;&lt;wsp:rsid wsp:val=&quot;001F2473&quot;/&gt;&lt;wsp:rsid wsp:val=&quot;00213396&quot;/&gt;&lt;wsp:rsid wsp:val=&quot;0022070B&quot;/&gt;&lt;wsp:rsid wsp:val=&quot;00221C6F&quot;/&gt;&lt;wsp:rsid wsp:val=&quot;002610B0&quot;/&gt;&lt;wsp:rsid wsp:val=&quot;00275858&quot;/&gt;&lt;wsp:rsid wsp:val=&quot;00303959&quot;/&gt;&lt;wsp:rsid wsp:val=&quot;003166A5&quot;/&gt;&lt;wsp:rsid wsp:val=&quot;00325DB5&quot;/&gt;&lt;wsp:rsid wsp:val=&quot;003360B1&quot;/&gt;&lt;wsp:rsid wsp:val=&quot;00352B80&quot;/&gt;&lt;wsp:rsid wsp:val=&quot;003B608C&quot;/&gt;&lt;wsp:rsid wsp:val=&quot;003B690B&quot;/&gt;&lt;wsp:rsid wsp:val=&quot;003D687A&quot;/&gt;&lt;wsp:rsid wsp:val=&quot;0041269C&quot;/&gt;&lt;wsp:rsid wsp:val=&quot;0041789F&quot;/&gt;&lt;wsp:rsid wsp:val=&quot;00477274&quot;/&gt;&lt;wsp:rsid wsp:val=&quot;004902F1&quot;/&gt;&lt;wsp:rsid wsp:val=&quot;00555E35&quot;/&gt;&lt;wsp:rsid wsp:val=&quot;00567EDE&quot;/&gt;&lt;wsp:rsid wsp:val=&quot;005E2A39&quot;/&gt;&lt;wsp:rsid wsp:val=&quot;006216CC&quot;/&gt;&lt;wsp:rsid wsp:val=&quot;00650C70&quot;/&gt;&lt;wsp:rsid wsp:val=&quot;00656DF7&quot;/&gt;&lt;wsp:rsid wsp:val=&quot;006775C9&quot;/&gt;&lt;wsp:rsid wsp:val=&quot;006D4D18&quot;/&gt;&lt;wsp:rsid wsp:val=&quot;006F41B4&quot;/&gt;&lt;wsp:rsid wsp:val=&quot;00707C8E&quot;/&gt;&lt;wsp:rsid wsp:val=&quot;00765D08&quot;/&gt;&lt;wsp:rsid wsp:val=&quot;00765FCD&quot;/&gt;&lt;wsp:rsid wsp:val=&quot;007B2B25&quot;/&gt;&lt;wsp:rsid wsp:val=&quot;007C0D69&quot;/&gt;&lt;wsp:rsid wsp:val=&quot;007E4935&quot;/&gt;&lt;wsp:rsid wsp:val=&quot;007E7CF1&quot;/&gt;&lt;wsp:rsid wsp:val=&quot;007F291C&quot;/&gt;&lt;wsp:rsid wsp:val=&quot;008139FC&quot;/&gt;&lt;wsp:rsid wsp:val=&quot;0082226E&quot;/&gt;&lt;wsp:rsid wsp:val=&quot;008A14E5&quot;/&gt;&lt;wsp:rsid wsp:val=&quot;008D17E1&quot;/&gt;&lt;wsp:rsid wsp:val=&quot;008E575E&quot;/&gt;&lt;wsp:rsid wsp:val=&quot;008F73D2&quot;/&gt;&lt;wsp:rsid wsp:val=&quot;009135E4&quot;/&gt;&lt;wsp:rsid wsp:val=&quot;0092405C&quot;/&gt;&lt;wsp:rsid wsp:val=&quot;009447FE&quot;/&gt;&lt;wsp:rsid wsp:val=&quot;00945403&quot;/&gt;&lt;wsp:rsid wsp:val=&quot;009A5E18&quot;/&gt;&lt;wsp:rsid wsp:val=&quot;009F3084&quot;/&gt;&lt;wsp:rsid wsp:val=&quot;00A40F25&quot;/&gt;&lt;wsp:rsid wsp:val=&quot;00A42CF0&quot;/&gt;&lt;wsp:rsid wsp:val=&quot;00A51609&quot;/&gt;&lt;wsp:rsid wsp:val=&quot;00AA39FD&quot;/&gt;&lt;wsp:rsid wsp:val=&quot;00AC7E0D&quot;/&gt;&lt;wsp:rsid wsp:val=&quot;00AD2301&quot;/&gt;&lt;wsp:rsid wsp:val=&quot;00B47D83&quot;/&gt;&lt;wsp:rsid wsp:val=&quot;00C37B6E&quot;/&gt;&lt;wsp:rsid wsp:val=&quot;00C532B2&quot;/&gt;&lt;wsp:rsid wsp:val=&quot;00C6280D&quot;/&gt;&lt;wsp:rsid wsp:val=&quot;00CA6EC9&quot;/&gt;&lt;wsp:rsid wsp:val=&quot;00CE5AFC&quot;/&gt;&lt;wsp:rsid wsp:val=&quot;00D11FFD&quot;/&gt;&lt;wsp:rsid wsp:val=&quot;00D159C1&quot;/&gt;&lt;wsp:rsid wsp:val=&quot;00D22058&quot;/&gt;&lt;wsp:rsid wsp:val=&quot;00D242C5&quot;/&gt;&lt;wsp:rsid wsp:val=&quot;00D26402&quot;/&gt;&lt;wsp:rsid wsp:val=&quot;00D9772A&quot;/&gt;&lt;wsp:rsid wsp:val=&quot;00DB592F&quot;/&gt;&lt;wsp:rsid wsp:val=&quot;00E30D30&quot;/&gt;&lt;wsp:rsid wsp:val=&quot;00E4082E&quot;/&gt;&lt;wsp:rsid wsp:val=&quot;00E66E59&quot;/&gt;&lt;wsp:rsid wsp:val=&quot;00E8072E&quot;/&gt;&lt;wsp:rsid wsp:val=&quot;00EA60EB&quot;/&gt;&lt;wsp:rsid wsp:val=&quot;00F0693C&quot;/&gt;&lt;wsp:rsid wsp:val=&quot;00F32403&quot;/&gt;&lt;wsp:rsid wsp:val=&quot;00F33C9B&quot;/&gt;&lt;wsp:rsid wsp:val=&quot;00F4500E&quot;/&gt;&lt;wsp:rsid wsp:val=&quot;00F65613&quot;/&gt;&lt;wsp:rsid wsp:val=&quot;00F77669&quot;/&gt;&lt;wsp:rsid wsp:val=&quot;00F97A43&quot;/&gt;&lt;wsp:rsid wsp:val=&quot;00FA1204&quot;/&gt;&lt;wsp:rsid wsp:val=&quot;00FA7009&quot;/&gt;&lt;wsp:rsid wsp:val=&quot;00FB5555&quot;/&gt;&lt;wsp:rsid wsp:val=&quot;00FD448E&quot;/&gt;&lt;wsp:rsid wsp:val=&quot;019A362C&quot;/&gt;&lt;wsp:rsid wsp:val=&quot;019A6EAF&quot;/&gt;&lt;wsp:rsid wsp:val=&quot;01FB5C4F&quot;/&gt;&lt;wsp:rsid wsp:val=&quot;023C66B8&quot;/&gt;&lt;wsp:rsid wsp:val=&quot;024702CC&quot;/&gt;&lt;wsp:rsid wsp:val=&quot;02522DDA&quot;/&gt;&lt;wsp:rsid wsp:val=&quot;02672D80&quot;/&gt;&lt;wsp:rsid wsp:val=&quot;027E54AD&quot;/&gt;&lt;wsp:rsid wsp:val=&quot;02CA179F&quot;/&gt;&lt;wsp:rsid wsp:val=&quot;0314419D&quot;/&gt;&lt;wsp:rsid wsp:val=&quot;03C4523A&quot;/&gt;&lt;wsp:rsid wsp:val=&quot;03CE35CB&quot;/&gt;&lt;wsp:rsid wsp:val=&quot;04716658&quot;/&gt;&lt;wsp:rsid wsp:val=&quot;04832654&quot;/&gt;&lt;wsp:rsid wsp:val=&quot;04A610B0&quot;/&gt;&lt;wsp:rsid wsp:val=&quot;04BD5452&quot;/&gt;&lt;wsp:rsid wsp:val=&quot;04E81A9D&quot;/&gt;&lt;wsp:rsid wsp:val=&quot;05097AD0&quot;/&gt;&lt;wsp:rsid wsp:val=&quot;05B5126E&quot;/&gt;&lt;wsp:rsid wsp:val=&quot;05C1727E&quot;/&gt;&lt;wsp:rsid wsp:val=&quot;05D639A0&quot;/&gt;&lt;wsp:rsid wsp:val=&quot;0623601E&quot;/&gt;&lt;wsp:rsid wsp:val=&quot;06443FD4&quot;/&gt;&lt;wsp:rsid wsp:val=&quot;06C510AB&quot;/&gt;&lt;wsp:rsid wsp:val=&quot;07071B14&quot;/&gt;&lt;wsp:rsid wsp:val=&quot;07886BEA&quot;/&gt;&lt;wsp:rsid wsp:val=&quot;07BB53C7&quot;/&gt;&lt;wsp:rsid wsp:val=&quot;07CA2ED7&quot;/&gt;&lt;wsp:rsid wsp:val=&quot;07DF75F9&quot;/&gt;&lt;wsp:rsid wsp:val=&quot;07E02C7B&quot;/&gt;&lt;wsp:rsid wsp:val=&quot;07E07279&quot;/&gt;&lt;wsp:rsid wsp:val=&quot;07EB560A&quot;/&gt;&lt;wsp:rsid wsp:val=&quot;07F6399B&quot;/&gt;&lt;wsp:rsid wsp:val=&quot;08377C87&quot;/&gt;&lt;wsp:rsid wsp:val=&quot;08442237&quot;/&gt;&lt;wsp:rsid wsp:val=&quot;08575FBE&quot;/&gt;&lt;wsp:rsid wsp:val=&quot;088E0696&quot;/&gt;&lt;wsp:rsid wsp:val=&quot;08986A27&quot;/&gt;&lt;wsp:rsid wsp:val=&quot;08AE3149&quot;/&gt;&lt;wsp:rsid wsp:val=&quot;08B84D5E&quot;/&gt;&lt;wsp:rsid wsp:val=&quot;08C330EF&quot;/&gt;&lt;wsp:rsid wsp:val=&quot;08C52D6F&quot;/&gt;&lt;wsp:rsid wsp:val=&quot;08EF7436&quot;/&gt;&lt;wsp:rsid wsp:val=&quot;091B377D&quot;/&gt;&lt;wsp:rsid wsp:val=&quot;09261B0E&quot;/&gt;&lt;wsp:rsid wsp:val=&quot;095B7DEA&quot;/&gt;&lt;wsp:rsid wsp:val=&quot;0972418C&quot;/&gt;&lt;wsp:rsid wsp:val=&quot;099D0853&quot;/&gt;&lt;wsp:rsid wsp:val=&quot;0A765FB8&quot;/&gt;&lt;wsp:rsid wsp:val=&quot;0A8C26DA&quot;/&gt;&lt;wsp:rsid wsp:val=&quot;0B0808B8&quot;/&gt;&lt;wsp:rsid wsp:val=&quot;0B0D77B0&quot;/&gt;&lt;wsp:rsid wsp:val=&quot;0B0E7430&quot;/&gt;&lt;wsp:rsid wsp:val=&quot;0B243B52&quot;/&gt;&lt;wsp:rsid wsp:val=&quot;0B2E5767&quot;/&gt;&lt;wsp:rsid wsp:val=&quot;0B441E89&quot;/&gt;&lt;wsp:rsid wsp:val=&quot;0B7B7DE4&quot;/&gt;&lt;wsp:rsid wsp:val=&quot;0BBA0BCE&quot;/&gt;&lt;wsp:rsid wsp:val=&quot;0BC76BDF&quot;/&gt;&lt;wsp:rsid wsp:val=&quot;0BF132A6&quot;/&gt;&lt;wsp:rsid wsp:val=&quot;0C337593&quot;/&gt;&lt;wsp:rsid wsp:val=&quot;0C9F46C4&quot;/&gt;&lt;wsp:rsid wsp:val=&quot;0CC0267A&quot;/&gt;&lt;wsp:rsid wsp:val=&quot;0CF74D52&quot;/&gt;&lt;wsp:rsid wsp:val=&quot;0D0C1474&quot;/&gt;&lt;wsp:rsid wsp:val=&quot;0D2C77AB&quot;/&gt;&lt;wsp:rsid wsp:val=&quot;0E1B4EB5&quot;/&gt;&lt;wsp:rsid wsp:val=&quot;0E290A20&quot;/&gt;&lt;wsp:rsid wsp:val=&quot;0E3015D7&quot;/&gt;&lt;wsp:rsid wsp:val=&quot;0E3C75E8&quot;/&gt;&lt;wsp:rsid wsp:val=&quot;0E5C209B&quot;/&gt;&lt;wsp:rsid wsp:val=&quot;0EE80D86&quot;/&gt;&lt;wsp:rsid wsp:val=&quot;0F0A34B9&quot;/&gt;&lt;wsp:rsid wsp:val=&quot;0F5613B9&quot;/&gt;&lt;wsp:rsid wsp:val=&quot;0F8D020F&quot;/&gt;&lt;wsp:rsid wsp:val=&quot;0FEE6FAE&quot;/&gt;&lt;wsp:rsid wsp:val=&quot;0FF90BC3&quot;/&gt;&lt;wsp:rsid wsp:val=&quot;1023528A&quot;/&gt;&lt;wsp:rsid wsp:val=&quot;107838CD&quot;/&gt;&lt;wsp:rsid wsp:val=&quot;10FD29EF&quot;/&gt;&lt;wsp:rsid wsp:val=&quot;11080D80&quot;/&gt;&lt;wsp:rsid wsp:val=&quot;11127111&quot;/&gt;&lt;wsp:rsid wsp:val=&quot;118A2253&quot;/&gt;&lt;wsp:rsid wsp:val=&quot;11990174&quot;/&gt;&lt;wsp:rsid wsp:val=&quot;11EC4876&quot;/&gt;&lt;wsp:rsid wsp:val=&quot;12180BBD&quot;/&gt;&lt;wsp:rsid wsp:val=&quot;123C05BC&quot;/&gt;&lt;wsp:rsid wsp:val=&quot;12591626&quot;/&gt;&lt;wsp:rsid wsp:val=&quot;128E407F&quot;/&gt;&lt;wsp:rsid wsp:val=&quot;12C61FDA&quot;/&gt;&lt;wsp:rsid wsp:val=&quot;12DB66FD&quot;/&gt;&lt;wsp:rsid wsp:val=&quot;13515442&quot;/&gt;&lt;wsp:rsid wsp:val=&quot;13A85E50&quot;/&gt;&lt;wsp:rsid wsp:val=&quot;13AA5AD0&quot;/&gt;&lt;wsp:rsid wsp:val=&quot;14162C01&quot;/&gt;&lt;wsp:rsid wsp:val=&quot;142B2BA6&quot;/&gt;&lt;wsp:rsid wsp:val=&quot;14576EEE&quot;/&gt;&lt;wsp:rsid wsp:val=&quot;146851DB&quot;/&gt;&lt;wsp:rsid wsp:val=&quot;14997957&quot;/&gt;&lt;wsp:rsid wsp:val=&quot;14B95C8D&quot;/&gt;&lt;wsp:rsid wsp:val=&quot;14CE23B0&quot;/&gt;&lt;wsp:rsid wsp:val=&quot;1538524A&quot;/&gt;&lt;wsp:rsid wsp:val=&quot;154410F5&quot;/&gt;&lt;wsp:rsid wsp:val=&quot;15457605&quot;/&gt;&lt;wsp:rsid wsp:val=&quot;15460D75&quot;/&gt;&lt;wsp:rsid wsp:val=&quot;157D344D&quot;/&gt;&lt;wsp:rsid wsp:val=&quot;15BD7ABA&quot;/&gt;&lt;wsp:rsid wsp:val=&quot;15D43E5C&quot;/&gt;&lt;wsp:rsid wsp:val=&quot;161E6859&quot;/&gt;&lt;wsp:rsid wsp:val=&quot;16550F32&quot;/&gt;&lt;wsp:rsid wsp:val=&quot;16757268&quot;/&gt;&lt;wsp:rsid wsp:val=&quot;168C360A&quot;/&gt;&lt;wsp:rsid wsp:val=&quot;16C16063&quot;/&gt;&lt;wsp:rsid wsp:val=&quot;16D85C88&quot;/&gt;&lt;wsp:rsid wsp:val=&quot;16F83FBE&quot;/&gt;&lt;wsp:rsid wsp:val=&quot;1727028C&quot;/&gt;&lt;wsp:rsid wsp:val=&quot;172F6697&quot;/&gt;&lt;wsp:rsid wsp:val=&quot;17441023&quot;/&gt;&lt;wsp:rsid wsp:val=&quot;174F49CD&quot;/&gt;&lt;wsp:rsid wsp:val=&quot;179A37C7&quot;/&gt;&lt;wsp:rsid wsp:val=&quot;17D15EA0&quot;/&gt;&lt;wsp:rsid wsp:val=&quot;181C089E&quot;/&gt;&lt;wsp:rsid wsp:val=&quot;181D7502&quot;/&gt;&lt;wsp:rsid wsp:val=&quot;182868AE&quot;/&gt;&lt;wsp:rsid wsp:val=&quot;18484BE5&quot;/&gt;&lt;wsp:rsid wsp:val=&quot;186C59CF&quot;/&gt;&lt;wsp:rsid wsp:val=&quot;18786643&quot;/&gt;&lt;wsp:rsid wsp:val=&quot;19004393&quot;/&gt;&lt;wsp:rsid wsp:val=&quot;19024013&quot;/&gt;&lt;wsp:rsid wsp:val=&quot;19216AC6&quot;/&gt;&lt;wsp:rsid wsp:val=&quot;1922234A&quot;/&gt;&lt;wsp:rsid wsp:val=&quot;19584A22&quot;/&gt;&lt;wsp:rsid wsp:val=&quot;1998580B&quot;/&gt;&lt;wsp:rsid wsp:val=&quot;19CF7EE4&quot;/&gt;&lt;wsp:rsid wsp:val=&quot;1A323AF5&quot;/&gt;&lt;wsp:rsid wsp:val=&quot;1A5D684E&quot;/&gt;&lt;wsp:rsid wsp:val=&quot;1ABE55EE&quot;/&gt;&lt;wsp:rsid wsp:val=&quot;1AF57CC6&quot;/&gt;&lt;wsp:rsid wsp:val=&quot;1B0700AB&quot;/&gt;&lt;wsp:rsid wsp:val=&quot;1B4B06D5&quot;/&gt;&lt;wsp:rsid wsp:val=&quot;1B5252BE&quot;/&gt;&lt;wsp:rsid wsp:val=&quot;1B80312D&quot;/&gt;&lt;wsp:rsid wsp:val=&quot;1BB75806&quot;/&gt;&lt;wsp:rsid wsp:val=&quot;1BD04330&quot;/&gt;&lt;wsp:rsid wsp:val=&quot;1C0E1A98&quot;/&gt;&lt;wsp:rsid wsp:val=&quot;1C1945A6&quot;/&gt;&lt;wsp:rsid wsp:val=&quot;1C2361BA&quot;/&gt;&lt;wsp:rsid wsp:val=&quot;1C4508ED&quot;/&gt;&lt;wsp:rsid wsp:val=&quot;1C4F6C7E&quot;/&gt;&lt;wsp:rsid wsp:val=&quot;1CFD009B&quot;/&gt;&lt;wsp:rsid wsp:val=&quot;1D492719&quot;/&gt;&lt;wsp:rsid wsp:val=&quot;1D562F59&quot;/&gt;&lt;wsp:rsid wsp:val=&quot;1D746DE1&quot;/&gt;&lt;wsp:rsid wsp:val=&quot;1DF9774B&quot;/&gt;&lt;wsp:rsid wsp:val=&quot;1E161E6D&quot;/&gt;&lt;wsp:rsid wsp:val=&quot;1E3845A0&quot;/&gt;&lt;wsp:rsid wsp:val=&quot;1E422931&quot;/&gt;&lt;wsp:rsid wsp:val=&quot;1E4D4545&quot;/&gt;&lt;wsp:rsid wsp:val=&quot;1E79088D&quot;/&gt;&lt;wsp:rsid wsp:val=&quot;1E993340&quot;/&gt;&lt;wsp:rsid wsp:val=&quot;1EA44F54&quot;/&gt;&lt;wsp:rsid wsp:val=&quot;1EB02F65&quot;/&gt;&lt;wsp:rsid wsp:val=&quot;1EE61241&quot;/&gt;&lt;wsp:rsid wsp:val=&quot;1EFB5963&quot;/&gt;&lt;wsp:rsid wsp:val=&quot;1F053CF4&quot;/&gt;&lt;wsp:rsid wsp:val=&quot;1F111D05&quot;/&gt;&lt;wsp:rsid wsp:val=&quot;1F47475D&quot;/&gt;&lt;wsp:rsid wsp:val=&quot;1F7D6E36&quot;/&gt;&lt;wsp:rsid wsp:val=&quot;202B3AD6&quot;/&gt;&lt;wsp:rsid wsp:val=&quot;207728D1&quot;/&gt;&lt;wsp:rsid wsp:val=&quot;20970C07&quot;/&gt;&lt;wsp:rsid wsp:val=&quot;20EE1616&quot;/&gt;&lt;wsp:rsid wsp:val=&quot;210459B8&quot;/&gt;&lt;wsp:rsid wsp:val=&quot;210F75CC&quot;/&gt;&lt;wsp:rsid wsp:val=&quot;212F207F&quot;/&gt;&lt;wsp:rsid wsp:val=&quot;21862A8E&quot;/&gt;&lt;wsp:rsid wsp:val=&quot;219A6D4B&quot;/&gt;&lt;wsp:rsid wsp:val=&quot;21A70A44&quot;/&gt;&lt;wsp:rsid wsp:val=&quot;21FE1453&quot;/&gt;&lt;wsp:rsid wsp:val=&quot;220977E4&quot;/&gt;&lt;wsp:rsid wsp:val=&quot;221E7789&quot;/&gt;&lt;wsp:rsid wsp:val=&quot;22295B1A&quot;/&gt;&lt;wsp:rsid wsp:val=&quot;22754915&quot;/&gt;&lt;wsp:rsid wsp:val=&quot;227F6529&quot;/&gt;&lt;wsp:rsid wsp:val=&quot;228C453A&quot;/&gt;&lt;wsp:rsid wsp:val=&quot;22B60C01&quot;/&gt;&lt;wsp:rsid wsp:val=&quot;22CB5324&quot;/&gt;&lt;wsp:rsid wsp:val=&quot;22F8166B&quot;/&gt;&lt;wsp:rsid wsp:val=&quot;23443CE8&quot;/&gt;&lt;wsp:rsid wsp:val=&quot;2359040B&quot;/&gt;&lt;wsp:rsid wsp:val=&quot;237A63C1&quot;/&gt;&lt;wsp:rsid wsp:val=&quot;23DC5161&quot;/&gt;&lt;wsp:rsid wsp:val=&quot;242877DE&quot;/&gt;&lt;wsp:rsid wsp:val=&quot;24533EA6&quot;/&gt;&lt;wsp:rsid wsp:val=&quot;2494490F&quot;/&gt;&lt;wsp:rsid wsp:val=&quot;24D50BFC&quot;/&gt;&lt;wsp:rsid wsp:val=&quot;250B3654&quot;/&gt;&lt;wsp:rsid wsp:val=&quot;25415D2D&quot;/&gt;&lt;wsp:rsid wsp:val=&quot;25614063&quot;/&gt;&lt;wsp:rsid wsp:val=&quot;25633CE3&quot;/&gt;&lt;wsp:rsid wsp:val=&quot;256E2074&quot;/&gt;&lt;wsp:rsid wsp:val=&quot;258162A8&quot;/&gt;&lt;wsp:rsid wsp:val=&quot;25A30350&quot;/&gt;&lt;wsp:rsid wsp:val=&quot;25AE66E1&quot;/&gt;&lt;wsp:rsid wsp:val=&quot;26303437&quot;/&gt;&lt;wsp:rsid wsp:val=&quot;264F4FDA&quot;/&gt;&lt;wsp:rsid wsp:val=&quot;26723EA0&quot;/&gt;&lt;wsp:rsid wsp:val=&quot;26873E45&quot;/&gt;&lt;wsp:rsid wsp:val=&quot;26BE651E&quot;/&gt;&lt;wsp:rsid wsp:val=&quot;27156F2D&quot;/&gt;&lt;wsp:rsid wsp:val=&quot;276B40B8&quot;/&gt;&lt;wsp:rsid wsp:val=&quot;27C2034A&quot;/&gt;&lt;wsp:rsid wsp:val=&quot;27EC5A7D&quot;/&gt;&lt;wsp:rsid wsp:val=&quot;281954D5&quot;/&gt;&lt;wsp:rsid wsp:val=&quot;28233866&quot;/&gt;&lt;wsp:rsid wsp:val=&quot;286F5EE4&quot;/&gt;&lt;wsp:rsid wsp:val=&quot;28701767&quot;/&gt;&lt;wsp:rsid wsp:val=&quot;288F421B&quot;/&gt;&lt;wsp:rsid wsp:val=&quot;28BC0562&quot;/&gt;&lt;wsp:rsid wsp:val=&quot;28D14C84&quot;/&gt;&lt;wsp:rsid wsp:val=&quot;28E848A9&quot;/&gt;&lt;wsp:rsid wsp:val=&quot;28FD0FCB&quot;/&gt;&lt;wsp:rsid wsp:val=&quot;29120F71&quot;/&gt;&lt;wsp:rsid wsp:val=&quot;295419DA&quot;/&gt;&lt;wsp:rsid wsp:val=&quot;295E7D6B&quot;/&gt;&lt;wsp:rsid wsp:val=&quot;29E14AC1&quot;/&gt;&lt;wsp:rsid wsp:val=&quot;2A0C1188&quot;/&gt;&lt;wsp:rsid wsp:val=&quot;2A827ECE&quot;/&gt;&lt;wsp:rsid wsp:val=&quot;2AD30362&quot;/&gt;&lt;wsp:rsid wsp:val=&quot;2AFB6893&quot;/&gt;&lt;wsp:rsid wsp:val=&quot;2B47568D&quot;/&gt;&lt;wsp:rsid wsp:val=&quot;2B513A1E&quot;/&gt;&lt;wsp:rsid wsp:val=&quot;2B683643&quot;/&gt;&lt;wsp:rsid wsp:val=&quot;2BA87CB0&quot;/&gt;&lt;wsp:rsid wsp:val=&quot;2BBF4052&quot;/&gt;&lt;wsp:rsid wsp:val=&quot;2BCA23E3&quot;/&gt;&lt;wsp:rsid wsp:val=&quot;2BFF06BF&quot;/&gt;&lt;wsp:rsid wsp:val=&quot;2C357514&quot;/&gt;&lt;wsp:rsid wsp:val=&quot;2C401128&quot;/&gt;&lt;wsp:rsid wsp:val=&quot;2C6B57F0&quot;/&gt;&lt;wsp:rsid wsp:val=&quot;2C971B37&quot;/&gt;&lt;wsp:rsid wsp:val=&quot;2CE132A0&quot;/&gt;&lt;wsp:rsid wsp:val=&quot;2D0568E8&quot;/&gt;&lt;wsp:rsid wsp:val=&quot;2D3A1340&quot;/&gt;&lt;wsp:rsid wsp:val=&quot;2D5B72F6&quot;/&gt;&lt;wsp:rsid wsp:val=&quot;2D7E66F1&quot;/&gt;&lt;wsp:rsid wsp:val=&quot;2DE7275E&quot;/&gt;&lt;wsp:rsid wsp:val=&quot;2E402DEC&quot;/&gt;&lt;wsp:rsid wsp:val=&quot;2E600E98&quot;/&gt;&lt;wsp:rsid wsp:val=&quot;2E8A57EA&quot;/&gt;&lt;wsp:rsid wsp:val=&quot;2EB61B31&quot;/&gt;&lt;wsp:rsid wsp:val=&quot;2ED645E4&quot;/&gt;&lt;wsp:rsid wsp:val=&quot;2F00698B&quot;/&gt;&lt;wsp:rsid wsp:val=&quot;2F1808D1&quot;/&gt;&lt;wsp:rsid wsp:val=&quot;2FB01D49&quot;/&gt;&lt;wsp:rsid wsp:val=&quot;2FF16036&quot;/&gt;&lt;wsp:rsid wsp:val=&quot;30336A9F&quot;/&gt;&lt;wsp:rsid wsp:val=&quot;30486A45&quot;/&gt;&lt;wsp:rsid wsp:val=&quot;305957F6&quot;/&gt;&lt;wsp:rsid wsp:val=&quot;306166A8&quot;/&gt;&lt;wsp:rsid wsp:val=&quot;30A91F61&quot;/&gt;&lt;wsp:rsid wsp:val=&quot;30C93B1B&quot;/&gt;&lt;wsp:rsid wsp:val=&quot;314C4FED&quot;/&gt;&lt;wsp:rsid wsp:val=&quot;3157337F&quot;/&gt;&lt;wsp:rsid wsp:val=&quot;316E496E&quot;/&gt;&lt;wsp:rsid wsp:val=&quot;318E12DA&quot;/&gt;&lt;wsp:rsid wsp:val=&quot;31D900D5&quot;/&gt;&lt;wsp:rsid wsp:val=&quot;31FA1C8E&quot;/&gt;&lt;wsp:rsid wsp:val=&quot;320F63B0&quot;/&gt;&lt;wsp:rsid wsp:val=&quot;328714F2&quot;/&gt;&lt;wsp:rsid wsp:val=&quot;32C75B5F&quot;/&gt;&lt;wsp:rsid wsp:val=&quot;32C957DF&quot;/&gt;&lt;wsp:rsid wsp:val=&quot;32FE0237&quot;/&gt;&lt;wsp:rsid wsp:val=&quot;330865C8&quot;/&gt;&lt;wsp:rsid wsp:val=&quot;33616C57&quot;/&gt;&lt;wsp:rsid wsp:val=&quot;33766BFC&quot;/&gt;&lt;wsp:rsid wsp:val=&quot;33B679E6&quot;/&gt;&lt;wsp:rsid wsp:val=&quot;33D72119&quot;/&gt;&lt;wsp:rsid wsp:val=&quot;33E23D2D&quot;/&gt;&lt;wsp:rsid wsp:val=&quot;34DC77C8&quot;/&gt;&lt;wsp:rsid wsp:val=&quot;351D0231&quot;/&gt;&lt;wsp:rsid wsp:val=&quot;35494579&quot;/&gt;&lt;wsp:rsid wsp:val=&quot;35740C40&quot;/&gt;&lt;wsp:rsid wsp:val=&quot;357E6FD1&quot;/&gt;&lt;wsp:rsid wsp:val=&quot;359E5308&quot;/&gt;&lt;wsp:rsid wsp:val=&quot;35C032BE&quot;/&gt;&lt;wsp:rsid wsp:val=&quot;35D96FC4&quot;/&gt;&lt;wsp:rsid wsp:val=&quot;360C20B8&quot;/&gt;&lt;wsp:rsid wsp:val=&quot;36173CCD&quot;/&gt;&lt;wsp:rsid wsp:val=&quot;363F7524&quot;/&gt;&lt;wsp:rsid wsp:val=&quot;366D0E58&quot;/&gt;&lt;wsp:rsid wsp:val=&quot;36820DFD&quot;/&gt;&lt;wsp:rsid wsp:val=&quot;36AF5145&quot;/&gt;&lt;wsp:rsid wsp:val=&quot;36B934D6&quot;/&gt;&lt;wsp:rsid wsp:val=&quot;37103EE5&quot;/&gt;&lt;wsp:rsid wsp:val=&quot;3751494E&quot;/&gt;&lt;wsp:rsid wsp:val=&quot;375201D1&quot;/&gt;&lt;wsp:rsid wsp:val=&quot;37910FBB&quot;/&gt;&lt;wsp:rsid wsp:val=&quot;37A25F5C&quot;/&gt;&lt;wsp:rsid wsp:val=&quot;37B36F71&quot;/&gt;&lt;wsp:rsid wsp:val=&quot;3860038E&quot;/&gt;&lt;wsp:rsid wsp:val=&quot;38764AB1&quot;/&gt;&lt;wsp:rsid wsp:val=&quot;38972A67&quot;/&gt;&lt;wsp:rsid wsp:val=&quot;39902C7F&quot;/&gt;&lt;wsp:rsid wsp:val=&quot;399B4893&quot;/&gt;&lt;wsp:rsid wsp:val=&quot;39A62C24&quot;/&gt;&lt;wsp:rsid wsp:val=&quot;39BE292C&quot;/&gt;&lt;wsp:rsid wsp:val=&quot;3A1E5D66&quot;/&gt;&lt;wsp:rsid wsp:val=&quot;3A2940F7&quot;/&gt;&lt;wsp:rsid wsp:val=&quot;3A49242D&quot;/&gt;&lt;wsp:rsid wsp:val=&quot;3A756774&quot;/&gt;&lt;wsp:rsid wsp:val=&quot;3A9F2E3C&quot;/&gt;&lt;wsp:rsid wsp:val=&quot;3AE138A5&quot;/&gt;&lt;wsp:rsid wsp:val=&quot;3B59226A&quot;/&gt;&lt;wsp:rsid wsp:val=&quot;3B6E698C&quot;/&gt;&lt;wsp:rsid wsp:val=&quot;3B8E4CC3&quot;/&gt;&lt;wsp:rsid wsp:val=&quot;3BDA7340&quot;/&gt;&lt;wsp:rsid wsp:val=&quot;3C1C7DAA&quot;/&gt;&lt;wsp:rsid wsp:val=&quot;3C94676F&quot;/&gt;&lt;wsp:rsid wsp:val=&quot;3CA96714&quot;/&gt;&lt;wsp:rsid wsp:val=&quot;3CDF116D&quot;/&gt;&lt;wsp:rsid wsp:val=&quot;3D0A7413&quot;/&gt;&lt;wsp:rsid wsp:val=&quot;3D97091B&quot;/&gt;&lt;wsp:rsid wsp:val=&quot;3DB8304E&quot;/&gt;&lt;wsp:rsid wsp:val=&quot;3E234742&quot;/&gt;&lt;wsp:rsid wsp:val=&quot;3E5B60DB&quot;/&gt;&lt;wsp:rsid wsp:val=&quot;3EBC06FE&quot;/&gt;&lt;wsp:rsid wsp:val=&quot;3F135889&quot;/&gt;&lt;wsp:rsid wsp:val=&quot;3F2A54AE&quot;/&gt;&lt;wsp:rsid wsp:val=&quot;3FE24C5D&quot;/&gt;&lt;wsp:rsid wsp:val=&quot;405939A2&quot;/&gt;&lt;wsp:rsid wsp:val=&quot;405A612A&quot;/&gt;&lt;wsp:rsid wsp:val=&quot;40631D33&quot;/&gt;&lt;wsp:rsid wsp:val=&quot;40667BAC&quot;/&gt;&lt;wsp:rsid wsp:val=&quot;407A60D5&quot;/&gt;&lt;wsp:rsid wsp:val=&quot;408F607A&quot;/&gt;&lt;wsp:rsid wsp:val=&quot;409A440B&quot;/&gt;&lt;wsp:rsid wsp:val=&quot;40C50AD3&quot;/&gt;&lt;wsp:rsid wsp:val=&quot;40CA12BF&quot;/&gt;&lt;wsp:rsid wsp:val=&quot;40DB4E75&quot;/&gt;&lt;wsp:rsid wsp:val=&quot;40E63206&quot;/&gt;&lt;wsp:rsid wsp:val=&quot;40FB31AB&quot;/&gt;&lt;wsp:rsid wsp:val=&quot;413D3C14&quot;/&gt;&lt;wsp:rsid wsp:val=&quot;415E1BCB&quot;/&gt;&lt;wsp:rsid wsp:val=&quot;41741B70&quot;/&gt;&lt;wsp:rsid wsp:val=&quot;41947EA6&quot;/&gt;&lt;wsp:rsid wsp:val=&quot;41CA6CFC&quot;/&gt;&lt;wsp:rsid wsp:val=&quot;42212F8E&quot;/&gt;&lt;wsp:rsid wsp:val=&quot;4221770A&quot;/&gt;&lt;wsp:rsid wsp:val=&quot;42CE0B28&quot;/&gt;&lt;wsp:rsid wsp:val=&quot;4330314B&quot;/&gt;&lt;wsp:rsid wsp:val=&quot;4345786D&quot;/&gt;&lt;wsp:rsid wsp:val=&quot;43713BB4&quot;/&gt;&lt;wsp:rsid wsp:val=&quot;439E7EFB&quot;/&gt;&lt;wsp:rsid wsp:val=&quot;43A53A1F&quot;/&gt;&lt;wsp:rsid wsp:val=&quot;43BE6232&quot;/&gt;&lt;wsp:rsid wsp:val=&quot;43D32954&quot;/&gt;&lt;wsp:rsid wsp:val=&quot;43F4090A&quot;/&gt;&lt;wsp:rsid wsp:val=&quot;44803D71&quot;/&gt;&lt;wsp:rsid wsp:val=&quot;44A21D28&quot;/&gt;&lt;wsp:rsid wsp:val=&quot;45A63B54&quot;/&gt;&lt;wsp:rsid wsp:val=&quot;45C75919&quot;/&gt;&lt;wsp:rsid wsp:val=&quot;45DD622C&quot;/&gt;&lt;wsp:rsid wsp:val=&quot;45E745BD&quot;/&gt;&lt;wsp:rsid wsp:val=&quot;463E4FCC&quot;/&gt;&lt;wsp:rsid wsp:val=&quot;465316EE&quot;/&gt;&lt;wsp:rsid wsp:val=&quot;46534F71&quot;/&gt;&lt;wsp:rsid wsp:val=&quot;46691693&quot;/&gt;&lt;wsp:rsid wsp:val=&quot;46737A24&quot;/&gt;&lt;wsp:rsid wsp:val=&quot;468A764A&quot;/&gt;&lt;wsp:rsid wsp:val=&quot;469559DB&quot;/&gt;&lt;wsp:rsid wsp:val=&quot;46D66444&quot;/&gt;&lt;wsp:rsid wsp:val=&quot;47423575&quot;/&gt;&lt;wsp:rsid wsp:val=&quot;4757351A&quot;/&gt;&lt;wsp:rsid wsp:val=&quot;47EF4992&quot;/&gt;&lt;wsp:rsid wsp:val=&quot;47FA65A7&quot;/&gt;&lt;wsp:rsid wsp:val=&quot;480745B8&quot;/&gt;&lt;wsp:rsid wsp:val=&quot;4826706B&quot;/&gt;&lt;wsp:rsid wsp:val=&quot;48310C7F&quot;/&gt;&lt;wsp:rsid wsp:val=&quot;485C5346&quot;/&gt;&lt;wsp:rsid wsp:val=&quot;487E491C&quot;/&gt;&lt;wsp:rsid wsp:val=&quot;48BE3EB0&quot;/&gt;&lt;wsp:rsid wsp:val=&quot;48DF209C&quot;/&gt;&lt;wsp:rsid wsp:val=&quot;48F5643E&quot;/&gt;&lt;wsp:rsid wsp:val=&quot;49154775&quot;/&gt;&lt;wsp:rsid wsp:val=&quot;493266EE&quot;/&gt;&lt;wsp:rsid wsp:val=&quot;494A71CD&quot;/&gt;&lt;wsp:rsid wsp:val=&quot;49CD3F23&quot;/&gt;&lt;wsp:rsid wsp:val=&quot;49ED225A&quot;/&gt;&lt;wsp:rsid wsp:val=&quot;4A70372C&quot;/&gt;&lt;wsp:rsid wsp:val=&quot;4A706FB0&quot;/&gt;&lt;wsp:rsid wsp:val=&quot;4A7B5341&quot;/&gt;&lt;wsp:rsid wsp:val=&quot;4A873352&quot;/&gt;&lt;wsp:rsid wsp:val=&quot;4AD0171C&quot;/&gt;&lt;wsp:rsid wsp:val=&quot;4B1E03CD&quot;/&gt;&lt;wsp:rsid wsp:val=&quot;4B28675E&quot;/&gt;&lt;wsp:rsid wsp:val=&quot;4B457FAC&quot;/&gt;&lt;wsp:rsid wsp:val=&quot;4B547222&quot;/&gt;&lt;wsp:rsid wsp:val=&quot;4B5F0E37&quot;/&gt;&lt;wsp:rsid wsp:val=&quot;4B645709&quot;/&gt;&lt;wsp:rsid wsp:val=&quot;4B96350F&quot;/&gt;&lt;wsp:rsid wsp:val=&quot;4BA018A0&quot;/&gt;&lt;wsp:rsid wsp:val=&quot;4BAB34B4&quot;/&gt;&lt;wsp:rsid wsp:val=&quot;4BCB5F67&quot;/&gt;&lt;wsp:rsid wsp:val=&quot;4C43492C&quot;/&gt;&lt;wsp:rsid wsp:val=&quot;4C4D0A27&quot;/&gt;&lt;wsp:rsid wsp:val=&quot;4C4E2CBD&quot;/&gt;&lt;wsp:rsid wsp:val=&quot;4C632C63&quot;/&gt;&lt;wsp:rsid wsp:val=&quot;4C9A533B&quot;/&gt;&lt;wsp:rsid wsp:val=&quot;4CF15D4A&quot;/&gt;&lt;wsp:rsid wsp:val=&quot;4CFB40DB&quot;/&gt;&lt;wsp:rsid wsp:val=&quot;4D940DD6&quot;/&gt;&lt;wsp:rsid wsp:val=&quot;4D9E7167&quot;/&gt;&lt;wsp:rsid wsp:val=&quot;4DC0189A&quot;/&gt;&lt;wsp:rsid wsp:val=&quot;4DEA5F62&quot;/&gt;&lt;wsp:rsid wsp:val=&quot;4E1622A9&quot;/&gt;&lt;wsp:rsid wsp:val=&quot;4E2C224E&quot;/&gt;&lt;wsp:rsid wsp:val=&quot;4E614CA7&quot;/&gt;&lt;wsp:rsid wsp:val=&quot;4E832C5D&quot;/&gt;&lt;wsp:rsid wsp:val=&quot;4EE17CDB&quot;/&gt;&lt;wsp:rsid wsp:val=&quot;4F105D44&quot;/&gt;&lt;wsp:rsid wsp:val=&quot;4F676753&quot;/&gt;&lt;wsp:rsid wsp:val=&quot;4FA871BC&quot;/&gt;&lt;wsp:rsid wsp:val=&quot;4FBD38DE&quot;/&gt;&lt;wsp:rsid wsp:val=&quot;50342624&quot;/&gt;&lt;wsp:rsid wsp:val=&quot;504925C9&quot;/&gt;&lt;wsp:rsid wsp:val=&quot;50804CA1&quot;/&gt;&lt;wsp:rsid wsp:val=&quot;508C2CB2&quot;/&gt;&lt;wsp:rsid wsp:val=&quot;50CC731F&quot;/&gt;&lt;wsp:rsid wsp:val=&quot;51914ADE&quot;/&gt;&lt;wsp:rsid wsp:val=&quot;525E4232&quot;/&gt;&lt;wsp:rsid wsp:val=&quot;529F4C9C&quot;/&gt;&lt;wsp:rsid wsp:val=&quot;52B513BE&quot;/&gt;&lt;wsp:rsid wsp:val=&quot;52D576F4&quot;/&gt;&lt;wsp:rsid wsp:val=&quot;52EC7319&quot;/&gt;&lt;wsp:rsid wsp:val=&quot;53013A3B&quot;/&gt;&lt;wsp:rsid wsp:val=&quot;534244A5&quot;/&gt;&lt;wsp:rsid wsp:val=&quot;538E6B22&quot;/&gt;&lt;wsp:rsid wsp:val=&quot;53B931EA&quot;/&gt;&lt;wsp:rsid wsp:val=&quot;54693677&quot;/&gt;&lt;wsp:rsid wsp:val=&quot;547D09A9&quot;/&gt;&lt;wsp:rsid wsp:val=&quot;54866F2F&quot;/&gt;&lt;wsp:rsid wsp:val=&quot;54886D3A&quot;/&gt;&lt;wsp:rsid wsp:val=&quot;54DE7749&quot;/&gt;&lt;wsp:rsid wsp:val=&quot;55401D6C&quot;/&gt;&lt;wsp:rsid wsp:val=&quot;55474FEC&quot;/&gt;&lt;wsp:rsid wsp:val=&quot;5557610E&quot;/&gt;&lt;wsp:rsid wsp:val=&quot;558C0B67&quot;/&gt;&lt;wsp:rsid wsp:val=&quot;55F8151B&quot;/&gt;&lt;wsp:rsid wsp:val=&quot;562F3BF3&quot;/&gt;&lt;wsp:rsid wsp:val=&quot;56707BDA&quot;/&gt;&lt;wsp:rsid wsp:val=&quot;56707EE0&quot;/&gt;&lt;wsp:rsid wsp:val=&quot;567B29ED&quot;/&gt;&lt;wsp:rsid wsp:val=&quot;56B00CC9&quot;/&gt;&lt;wsp:rsid wsp:val=&quot;56B20949&quot;/&gt;&lt;wsp:rsid wsp:val=&quot;57081358&quot;/&gt;&lt;wsp:rsid wsp:val=&quot;577F481A&quot;/&gt;&lt;wsp:rsid wsp:val=&quot;579447BF&quot;/&gt;&lt;wsp:rsid wsp:val=&quot;57C00B06&quot;/&gt;&lt;wsp:rsid wsp:val=&quot;57D13A15&quot;/&gt;&lt;wsp:rsid wsp:val=&quot;58591F7E&quot;/&gt;&lt;wsp:rsid wsp:val=&quot;58633B93&quot;/&gt;&lt;wsp:rsid wsp:val=&quot;586E1F24&quot;/&gt;&lt;wsp:rsid wsp:val=&quot;588562C6&quot;/&gt;&lt;wsp:rsid wsp:val=&quot;58FB500B&quot;/&gt;&lt;wsp:rsid wsp:val=&quot;592616D2&quot;/&gt;&lt;wsp:rsid wsp:val=&quot;594B184B&quot;/&gt;&lt;wsp:rsid wsp:val=&quot;59E00B01&quot;/&gt;&lt;wsp:rsid wsp:val=&quot;59F50AA6&quot;/&gt;&lt;wsp:rsid wsp:val=&quot;5A0A51C8&quot;/&gt;&lt;wsp:rsid wsp:val=&quot;5A563FC2&quot;/&gt;&lt;wsp:rsid wsp:val=&quot;5A9970A6&quot;/&gt;&lt;wsp:rsid wsp:val=&quot;5AD90D18&quot;/&gt;&lt;wsp:rsid wsp:val=&quot;5AD9663A&quot;/&gt;&lt;wsp:rsid wsp:val=&quot;5AED4C1B&quot;/&gt;&lt;wsp:rsid wsp:val=&quot;5B195385&quot;/&gt;&lt;wsp:rsid wsp:val=&quot;5B5A5DEF&quot;/&gt;&lt;wsp:rsid wsp:val=&quot;5BB167FD&quot;/&gt;&lt;wsp:rsid wsp:val=&quot;5BC86423&quot;/&gt;&lt;wsp:rsid wsp:val=&quot;5BD347B4&quot;/&gt;&lt;wsp:rsid wsp:val=&quot;5C08720C&quot;/&gt;&lt;wsp:rsid wsp:val=&quot;5C6D2B35&quot;/&gt;&lt;wsp:rsid wsp:val=&quot;5C9522F3&quot;/&gt;&lt;wsp:rsid wsp:val=&quot;5CEC2D02&quot;/&gt;&lt;wsp:rsid wsp:val=&quot;5D433711&quot;/&gt;&lt;wsp:rsid wsp:val=&quot;5D7A5DE9&quot;/&gt;&lt;wsp:rsid wsp:val=&quot;5D9A411F&quot;/&gt;&lt;wsp:rsid wsp:val=&quot;5DB004C1&quot;/&gt;&lt;wsp:rsid wsp:val=&quot;5DDB040C&quot;/&gt;&lt;wsp:rsid wsp:val=&quot;5DE6679D&quot;/&gt;&lt;wsp:rsid wsp:val=&quot;5DFD2B3F&quot;/&gt;&lt;wsp:rsid wsp:val=&quot;5E070ED0&quot;/&gt;&lt;wsp:rsid wsp:val=&quot;5E731884&quot;/&gt;&lt;wsp:rsid wsp:val=&quot;5ECA2293&quot;/&gt;&lt;wsp:rsid wsp:val=&quot;5F2B1033&quot;/&gt;&lt;wsp:rsid wsp:val=&quot;5F4253D5&quot;/&gt;&lt;wsp:rsid wsp:val=&quot;5FE50461&quot;/&gt;&lt;wsp:rsid wsp:val=&quot;601C2B39&quot;/&gt;&lt;wsp:rsid wsp:val=&quot;605B3923&quot;/&gt;&lt;wsp:rsid wsp:val=&quot;609D7C10&quot;/&gt;&lt;wsp:rsid wsp:val=&quot;60A85FA1&quot;/&gt;&lt;wsp:rsid wsp:val=&quot;60B24332&quot;/&gt;&lt;wsp:rsid wsp:val=&quot;60F3411E&quot;/&gt;&lt;wsp:rsid wsp:val=&quot;61146955&quot;/&gt;&lt;wsp:rsid wsp:val=&quot;61402C9C&quot;/&gt;&lt;wsp:rsid wsp:val=&quot;614B102D&quot;/&gt;&lt;wsp:rsid wsp:val=&quot;616B7363&quot;/&gt;&lt;wsp:rsid wsp:val=&quot;61B6615E&quot;/&gt;&lt;wsp:rsid wsp:val=&quot;622F4B23&quot;/&gt;&lt;wsp:rsid wsp:val=&quot;62B01BF9&quot;/&gt;&lt;wsp:rsid wsp:val=&quot;62D1432C&quot;/&gt;&lt;wsp:rsid wsp:val=&quot;62DC26BD&quot;/&gt;&lt;wsp:rsid wsp:val=&quot;63072608&quot;/&gt;&lt;wsp:rsid wsp:val=&quot;63284D3B&quot;/&gt;&lt;wsp:rsid wsp:val=&quot;637F0FCD&quot;/&gt;&lt;wsp:rsid wsp:val=&quot;638504B3&quot;/&gt;&lt;wsp:rsid wsp:val=&quot;63CB7DC7&quot;/&gt;&lt;wsp:rsid wsp:val=&quot;63D619DB&quot;/&gt;&lt;wsp:rsid wsp:val=&quot;63D66158&quot;/&gt;&lt;wsp:rsid wsp:val=&quot;63EB60FE&quot;/&gt;&lt;wsp:rsid wsp:val=&quot;645B6D3E&quot;/&gt;&lt;wsp:rsid wsp:val=&quot;6463123F&quot;/&gt;&lt;wsp:rsid wsp:val=&quot;64837576&quot;/&gt;&lt;wsp:rsid wsp:val=&quot;648E5907&quot;/&gt;&lt;wsp:rsid wsp:val=&quot;64A358AC&quot;/&gt;&lt;wsp:rsid wsp:val=&quot;65927733&quot;/&gt;&lt;wsp:rsid wsp:val=&quot;65A93AD5&quot;/&gt;&lt;wsp:rsid wsp:val=&quot;65B456E9&quot;/&gt;&lt;wsp:rsid wsp:val=&quot;65C91E0B&quot;/&gt;&lt;wsp:rsid wsp:val=&quot;660A2875&quot;/&gt;&lt;wsp:rsid wsp:val=&quot;661F281A&quot;/&gt;&lt;wsp:rsid wsp:val=&quot;66395563&quot;/&gt;&lt;wsp:rsid wsp:val=&quot;66613283&quot;/&gt;&lt;wsp:rsid wsp:val=&quot;666C4E98&quot;/&gt;&lt;wsp:rsid wsp:val=&quot;66CD3C37&quot;/&gt;&lt;wsp:rsid wsp:val=&quot;66CF38B7&quot;/&gt;&lt;wsp:rsid wsp:val=&quot;671962B5&quot;/&gt;&lt;wsp:rsid wsp:val=&quot;67BC5ABE&quot;/&gt;&lt;wsp:rsid wsp:val=&quot;680A383B&quot;/&gt;&lt;wsp:rsid wsp:val=&quot;681364CD&quot;/&gt;&lt;wsp:rsid wsp:val=&quot;68490BA5&quot;/&gt;&lt;wsp:rsid wsp:val=&quot;687A5CD7&quot;/&gt;&lt;wsp:rsid wsp:val=&quot;68806B01&quot;/&gt;&lt;wsp:rsid wsp:val=&quot;68E1201D&quot;/&gt;&lt;wsp:rsid wsp:val=&quot;68EC3C32&quot;/&gt;&lt;wsp:rsid wsp:val=&quot;698F343B&quot;/&gt;&lt;wsp:rsid wsp:val=&quot;69A04062&quot;/&gt;&lt;wsp:rsid wsp:val=&quot;69B013F1&quot;/&gt;&lt;wsp:rsid wsp:val=&quot;69E676CD&quot;/&gt;&lt;wsp:rsid wsp:val=&quot;6A270136&quot;/&gt;&lt;wsp:rsid wsp:val=&quot;6A321D4B&quot;/&gt;&lt;wsp:rsid wsp:val=&quot;6A47646D&quot;/&gt;&lt;wsp:rsid wsp:val=&quot;6A5247FE&quot;/&gt;&lt;wsp:rsid wsp:val=&quot;6A53447E&quot;/&gt;&lt;wsp:rsid wsp:val=&quot;6A7327B4&quot;/&gt;&lt;wsp:rsid wsp:val=&quot;6ABF15AE&quot;/&gt;&lt;wsp:rsid wsp:val=&quot;6AD16ECB&quot;/&gt;&lt;wsp:rsid wsp:val=&quot;6AE412FC&quot;/&gt;&lt;wsp:rsid wsp:val=&quot;6AEA5C76&quot;/&gt;&lt;wsp:rsid wsp:val=&quot;6B213BD1&quot;/&gt;&lt;wsp:rsid wsp:val=&quot;6B5862AA&quot;/&gt;&lt;wsp:rsid wsp:val=&quot;6BBA1B4A&quot;/&gt;&lt;wsp:rsid wsp:val=&quot;6BC333DB&quot;/&gt;&lt;wsp:rsid wsp:val=&quot;6BD93380&quot;/&gt;&lt;wsp:rsid wsp:val=&quot;6C053E44&quot;/&gt;&lt;wsp:rsid wsp:val=&quot;6C105A58&quot;/&gt;&lt;wsp:rsid wsp:val=&quot;6C303D8F&quot;/&gt;&lt;wsp:rsid wsp:val=&quot;6C5164C2&quot;/&gt;&lt;wsp:rsid wsp:val=&quot;6C666467&quot;/&gt;&lt;wsp:rsid wsp:val=&quot;6D2B3C26&quot;/&gt;&lt;wsp:rsid wsp:val=&quot;6D6B0293&quot;/&gt;&lt;wsp:rsid wsp:val=&quot;6D970D57&quot;/&gt;&lt;wsp:rsid wsp:val=&quot;6DE41D8A&quot;/&gt;&lt;wsp:rsid wsp:val=&quot;6DF87AF7&quot;/&gt;&lt;wsp:rsid wsp:val=&quot;6E2D7665&quot;/&gt;&lt;wsp:rsid wsp:val=&quot;6E393DE4&quot;/&gt;&lt;wsp:rsid wsp:val=&quot;6E442175&quot;/&gt;&lt;wsp:rsid wsp:val=&quot;6EBB0EBA&quot;/&gt;&lt;wsp:rsid wsp:val=&quot;6EC76ECB&quot;/&gt;&lt;wsp:rsid wsp:val=&quot;6EE75201&quot;/&gt;&lt;wsp:rsid wsp:val=&quot;6F285C6B&quot;/&gt;&lt;wsp:rsid wsp:val=&quot;6F532332&quot;/&gt;&lt;wsp:rsid wsp:val=&quot;6FEB702D&quot;/&gt;&lt;wsp:rsid wsp:val=&quot;7000374F&quot;/&gt;&lt;wsp:rsid wsp:val=&quot;700233CF&quot;/&gt;&lt;wsp:rsid wsp:val=&quot;70221706&quot;/&gt;&lt;wsp:rsid wsp:val=&quot;70427A3C&quot;/&gt;&lt;wsp:rsid wsp:val=&quot;7057415E&quot;/&gt;&lt;wsp:rsid wsp:val=&quot;708E390E&quot;/&gt;&lt;wsp:rsid wsp:val=&quot;7099044B&quot;/&gt;&lt;wsp:rsid wsp:val=&quot;70AE4B6D&quot;/&gt;&lt;wsp:rsid wsp:val=&quot;70B43760&quot;/&gt;&lt;wsp:rsid wsp:val=&quot;70DA0EB4&quot;/&gt;&lt;wsp:rsid wsp:val=&quot;70EF55D6&quot;/&gt;&lt;wsp:rsid wsp:val=&quot;71D4494F&quot;/&gt;&lt;wsp:rsid wsp:val=&quot;71E91071&quot;/&gt;&lt;wsp:rsid wsp:val=&quot;71F37403&quot;/&gt;&lt;wsp:rsid wsp:val=&quot;720A7028&quot;/&gt;&lt;wsp:rsid wsp:val=&quot;7220374A&quot;/&gt;&lt;wsp:rsid wsp:val=&quot;72313EC3&quot;/&gt;&lt;wsp:rsid wsp:val=&quot;72565E22&quot;/&gt;&lt;wsp:rsid wsp:val=&quot;726141B3&quot;/&gt;&lt;wsp:rsid wsp:val=&quot;72764159&quot;/&gt;&lt;wsp:rsid wsp:val=&quot;72AD6831&quot;/&gt;&lt;wsp:rsid wsp:val=&quot;72C83F3E&quot;/&gt;&lt;wsp:rsid wsp:val=&quot;72CD4B67&quot;/&gt;&lt;wsp:rsid wsp:val=&quot;72F53ED4&quot;/&gt;&lt;wsp:rsid wsp:val=&quot;73047240&quot;/&gt;&lt;wsp:rsid wsp:val=&quot;73193962&quot;/&gt;&lt;wsp:rsid wsp:val=&quot;732E3907&quot;/&gt;&lt;wsp:rsid wsp:val=&quot;73707BF4&quot;/&gt;&lt;wsp:rsid wsp:val=&quot;73912327&quot;/&gt;&lt;wsp:rsid wsp:val=&quot;73A66A49&quot;/&gt;&lt;wsp:rsid wsp:val=&quot;73A722CC&quot;/&gt;&lt;wsp:rsid wsp:val=&quot;73FD7457&quot;/&gt;&lt;wsp:rsid wsp:val=&quot;74003961&quot;/&gt;&lt;wsp:rsid wsp:val=&quot;7408106C&quot;/&gt;&lt;wsp:rsid wsp:val=&quot;741D578E&quot;/&gt;&lt;wsp:rsid wsp:val=&quot;74335733&quot;/&gt;&lt;wsp:rsid wsp:val=&quot;743F3744&quot;/&gt;&lt;wsp:rsid wsp:val=&quot;74547E66&quot;/&gt;&lt;wsp:rsid wsp:val=&quot;74697E0C&quot;/&gt;&lt;wsp:rsid wsp:val=&quot;74CC682B&quot;/&gt;&lt;wsp:rsid wsp:val=&quot;74D74BBC&quot;/&gt;&lt;wsp:rsid wsp:val=&quot;75171229&quot;/&gt;&lt;wsp:rsid wsp:val=&quot;758F7BEE&quot;/&gt;&lt;wsp:rsid wsp:val=&quot;75AF26A1&quot;/&gt;&lt;wsp:rsid wsp:val=&quot;75DB69E8&quot;/&gt;&lt;wsp:rsid wsp:val=&quot;763273F7&quot;/&gt;&lt;wsp:rsid wsp:val=&quot;769E7DAB&quot;/&gt;&lt;wsp:rsid wsp:val=&quot;76B344CD&quot;/&gt;&lt;wsp:rsid wsp:val=&quot;76EA6BA6&quot;/&gt;&lt;wsp:rsid wsp:val=&quot;77150AD0&quot;/&gt;&lt;wsp:rsid wsp:val=&quot;7721127E&quot;/&gt;&lt;wsp:rsid wsp:val=&quot;774B5945&quot;/&gt;&lt;wsp:rsid wsp:val=&quot;778238A1&quot;/&gt;&lt;wsp:rsid wsp:val=&quot;77CE269B&quot;/&gt;&lt;wsp:rsid wsp:val=&quot;77D942B0&quot;/&gt;&lt;wsp:rsid wsp:val=&quot;77EE09D2&quot;/&gt;&lt;wsp:rsid wsp:val=&quot;77F96D63&quot;/&gt;&lt;wsp:rsid wsp:val=&quot;78106988&quot;/&gt;&lt;wsp:rsid wsp:val=&quot;785C5783&quot;/&gt;&lt;wsp:rsid wsp:val=&quot;789C1DEF&quot;/&gt;&lt;wsp:rsid wsp:val=&quot;78A60180&quot;/&gt;&lt;wsp:rsid wsp:val=&quot;791E32C2&quot;/&gt;&lt;wsp:rsid wsp:val=&quot;79753CD1&quot;/&gt;&lt;wsp:rsid wsp:val=&quot;79A75C38&quot;/&gt;&lt;wsp:rsid wsp:val=&quot;7A013357&quot;/&gt;&lt;wsp:rsid wsp:val=&quot;7A03263B&quot;/&gt;&lt;wsp:rsid wsp:val=&quot;7A0D09CC&quot;/&gt;&lt;wsp:rsid wsp:val=&quot;7A186D5D&quot;/&gt;&lt;wsp:rsid wsp:val=&quot;7A3A4D14&quot;/&gt;&lt;wsp:rsid wsp:val=&quot;7AC5017B&quot;/&gt;&lt;wsp:rsid wsp:val=&quot;7AD2618C&quot;/&gt;&lt;wsp:rsid wsp:val=&quot;7B070BE4&quot;/&gt;&lt;wsp:rsid wsp:val=&quot;7B5E4E76&quot;/&gt;&lt;wsp:rsid wsp:val=&quot;7B9F58E0&quot;/&gt;&lt;wsp:rsid wsp:val=&quot;7C00467F&quot;/&gt;&lt;wsp:rsid wsp:val=&quot;7C070929&quot;/&gt;&lt;wsp:rsid wsp:val=&quot;7C0B2A10&quot;/&gt;&lt;wsp:rsid wsp:val=&quot;7C580710&quot;/&gt;&lt;wsp:rsid wsp:val=&quot;7CA33E88&quot;/&gt;&lt;wsp:rsid wsp:val=&quot;7CAE5A9D&quot;/&gt;&lt;wsp:rsid wsp:val=&quot;7CC51E3F&quot;/&gt;&lt;wsp:rsid wsp:val=&quot;7CCF01D0&quot;/&gt;&lt;wsp:rsid wsp:val=&quot;7D66524B&quot;/&gt;&lt;wsp:rsid wsp:val=&quot;7D72325C&quot;/&gt;&lt;wsp:rsid wsp:val=&quot;7D7D15ED&quot;/&gt;&lt;wsp:rsid wsp:val=&quot;7D921593&quot;/&gt;&lt;wsp:rsid wsp:val=&quot;7E20467A&quot;/&gt;&lt;wsp:rsid wsp:val=&quot;7E350D9C&quot;/&gt;&lt;wsp:rsid wsp:val=&quot;7E552DFD&quot;/&gt;&lt;wsp:rsid wsp:val=&quot;7ECD2214&quot;/&gt;&lt;wsp:rsid wsp:val=&quot;7EED3DCE&quot;/&gt;&lt;wsp:rsid wsp:val=&quot;7F04016F&quot;/&gt;&lt;wsp:rsid wsp:val=&quot;7F0E6500&quot;/&gt;&lt;wsp:rsid wsp:val=&quot;7F242C23&quot;/&gt;&lt;wsp:rsid wsp:val=&quot;7F590EFE&quot;/&gt;&lt;wsp:rsid wsp:val=&quot;7F5B0B7E&quot;/&gt;&lt;wsp:rsid wsp:val=&quot;7F873D31&quot;/&gt;&lt;wsp:rsid wsp:val=&quot;7F9C15E8&quot;/&gt;&lt;wsp:rsid wsp:val=&quot;7FB1158D&quot;/&gt;&lt;wsp:rsid wsp:val=&quot;7FD178C3&quot;/&gt;&lt;wsp:rsid wsp:val=&quot;7FFD0387&quot;/&gt;&lt;/wsp:rsids&gt;&lt;/w:docPr&gt;&lt;w:body&gt;&lt;w:p wsp:rsidR=&quot;00000000&quot; wsp:rsidRDefault=&quot;008E575E&quot;&gt;&lt;m:oMathPara&gt;&lt;m:oMath&gt;&lt;m:r&gt;&lt;m:rPr&gt;&lt;m:sty m:val=&quot;p&quot;/&gt;&lt;/m:rPr&gt;&lt;w:rPr&gt;&lt;w:rFonts w:ascii=&quot;Cambria Math&quot; w:fareast=&quot;宋体&quot; w:h-ansi=&quot;Cambria Math&quot;/&gt;&lt;wx:font wx:val=&quot;Cambria Math&quot;/&gt;&lt;w:sz w:val=&quot;24&quot;/&gt;&lt;/w:rPr&gt;&lt;m:t&gt;±&lt;/m:t&gt;&lt;/m:r&gt;&lt;m:r&gt;&lt;m:rPr&gt;&lt;m:sty m:val=&quot;p&quot;/&gt;&lt;/m:rPr&gt;&lt;w:rPr&gt;&lt;w:rFonts w:ascii=&quot;Cambria Math&quot; w:fareast=&quot;宋体&quot; w:h-ansi=&quot;Cambria Math&quot; w:hint=&quot;fareast&quot;/&gt;&lt;wx:font wx:val=&quot;Cambria Math&quot;/&gt;&lt;w:sz w:val=&quot;24&quot;/&gt;&lt;/w:rPr&gt;&lt;m:t&gt;5&lt;/m:t&gt;&lt;/m:r&gt;&lt;m:r&gt;&lt;m:rPr&gt;&lt;m:sty m:val=&quot;p&quot;/&gt;&lt;/m:rPr&gt;&lt;w:rPr&gt;&lt;w:rFonts w:ascii=&quot;Cambria Math&quot; w:fareast=&quot;宋体&quot; w:h-ansi=&quot;Cambria Math&quot;/&gt;&lt;wx:font wx:val=&quot;Cambria Math&quot;/&gt;&lt;w:sz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
            <v:path/>
            <v:fill on="f" focussize="0,0"/>
            <v:stroke on="f"/>
            <v:imagedata r:id="rId21" chromakey="#FFFFFF" o:title=""/>
            <o:lock v:ext="edit" aspectratio="t"/>
            <w10:wrap type="none"/>
            <w10:anchorlock/>
          </v:shape>
        </w:pict>
      </w:r>
      <w:r>
        <w:rPr>
          <w:rFonts w:hint="eastAsia" w:ascii="仿宋" w:hAnsi="仿宋" w:eastAsia="仿宋" w:cs="仿宋"/>
          <w:color w:val="auto"/>
          <w:sz w:val="24"/>
          <w:szCs w:val="24"/>
          <w:highlight w:val="none"/>
        </w:rPr>
        <w:fldChar w:fldCharType="end"/>
      </w:r>
      <w:r>
        <w:rPr>
          <w:rFonts w:hint="eastAsia" w:ascii="仿宋" w:hAnsi="仿宋" w:eastAsia="仿宋" w:cs="仿宋"/>
          <w:color w:val="auto"/>
          <w:sz w:val="24"/>
          <w:szCs w:val="24"/>
          <w:highlight w:val="none"/>
        </w:rPr>
        <w:t>）不符合国家中医药管理局规定的，甲方应在工作日</w:t>
      </w:r>
      <w:r>
        <w:rPr>
          <w:rFonts w:hint="eastAsia" w:ascii="仿宋" w:hAnsi="仿宋" w:eastAsia="仿宋" w:cs="仿宋"/>
          <w:bCs/>
          <w:color w:val="auto"/>
          <w:sz w:val="24"/>
          <w:szCs w:val="24"/>
          <w:highlight w:val="none"/>
        </w:rPr>
        <w:t>48小时</w:t>
      </w:r>
      <w:r>
        <w:rPr>
          <w:rFonts w:hint="eastAsia" w:ascii="仿宋" w:hAnsi="仿宋" w:eastAsia="仿宋" w:cs="仿宋"/>
          <w:color w:val="auto"/>
          <w:sz w:val="24"/>
          <w:szCs w:val="24"/>
          <w:highlight w:val="none"/>
        </w:rPr>
        <w:t>内通知乙方，乙方应予以接受并及时处理。</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第八条  </w:t>
      </w:r>
      <w:r>
        <w:rPr>
          <w:rFonts w:hint="eastAsia" w:ascii="仿宋" w:hAnsi="仿宋" w:eastAsia="仿宋" w:cs="仿宋"/>
          <w:b/>
          <w:color w:val="auto"/>
          <w:sz w:val="24"/>
          <w:szCs w:val="24"/>
          <w:highlight w:val="none"/>
          <w:lang w:val="en-US" w:eastAsia="zh-CN"/>
        </w:rPr>
        <w:t>结算方式、</w:t>
      </w:r>
      <w:r>
        <w:rPr>
          <w:rFonts w:hint="eastAsia" w:ascii="仿宋" w:hAnsi="仿宋" w:eastAsia="仿宋" w:cs="仿宋"/>
          <w:b/>
          <w:color w:val="auto"/>
          <w:sz w:val="24"/>
          <w:szCs w:val="24"/>
          <w:highlight w:val="none"/>
        </w:rPr>
        <w:t>付款方式</w:t>
      </w:r>
      <w:r>
        <w:rPr>
          <w:rFonts w:hint="eastAsia" w:ascii="仿宋" w:hAnsi="仿宋" w:eastAsia="仿宋" w:cs="仿宋"/>
          <w:b/>
          <w:color w:val="auto"/>
          <w:sz w:val="24"/>
          <w:szCs w:val="24"/>
          <w:highlight w:val="none"/>
          <w:lang w:val="en-US" w:eastAsia="zh-CN"/>
        </w:rPr>
        <w:t>和</w:t>
      </w:r>
      <w:r>
        <w:rPr>
          <w:rFonts w:hint="eastAsia" w:ascii="仿宋" w:hAnsi="仿宋" w:eastAsia="仿宋" w:cs="仿宋"/>
          <w:b/>
          <w:color w:val="auto"/>
          <w:sz w:val="24"/>
          <w:szCs w:val="24"/>
          <w:highlight w:val="none"/>
        </w:rPr>
        <w:t>时间</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结算方式：</w:t>
      </w:r>
      <w:r>
        <w:rPr>
          <w:rFonts w:hint="eastAsia" w:ascii="仿宋" w:hAnsi="仿宋" w:eastAsia="仿宋" w:cs="仿宋"/>
          <w:bCs/>
          <w:color w:val="auto"/>
          <w:sz w:val="24"/>
          <w:szCs w:val="24"/>
          <w:highlight w:val="none"/>
          <w:u w:val="none"/>
          <w:lang w:val="en-US" w:eastAsia="zh-CN"/>
        </w:rPr>
        <w:t>绍兴市医疗保障协会等联委</w:t>
      </w:r>
      <w:r>
        <w:rPr>
          <w:rFonts w:hint="eastAsia" w:ascii="仿宋" w:hAnsi="仿宋" w:eastAsia="仿宋" w:cs="仿宋"/>
          <w:bCs/>
          <w:color w:val="auto"/>
          <w:sz w:val="24"/>
          <w:szCs w:val="24"/>
          <w:highlight w:val="none"/>
          <w:u w:val="none"/>
          <w:lang w:val="zh-CN"/>
        </w:rPr>
        <w:t>公布的中药饮片价格最新信息价</w:t>
      </w:r>
      <w:r>
        <w:rPr>
          <w:rFonts w:hint="eastAsia" w:ascii="仿宋" w:hAnsi="仿宋" w:eastAsia="仿宋" w:cs="仿宋"/>
          <w:bCs/>
          <w:color w:val="auto"/>
          <w:sz w:val="24"/>
          <w:szCs w:val="24"/>
          <w:highlight w:val="none"/>
          <w:u w:val="none"/>
          <w:lang w:val="en-US" w:eastAsia="zh-CN"/>
        </w:rPr>
        <w:t>*实际使用数量。</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付款方式：</w:t>
      </w:r>
      <w:r>
        <w:rPr>
          <w:rFonts w:hint="eastAsia" w:ascii="仿宋" w:hAnsi="仿宋" w:eastAsia="仿宋" w:cs="仿宋"/>
          <w:color w:val="auto"/>
          <w:sz w:val="24"/>
          <w:szCs w:val="24"/>
          <w:highlight w:val="none"/>
        </w:rPr>
        <w:t>按采取先供货后结算的方式进行合作，</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每90天进行一次结算，合同签订后，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按3个月实际使用量结算货款，由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提供合法税务发票，无质量问题后次月支付给</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bCs/>
          <w:color w:val="auto"/>
          <w:sz w:val="24"/>
          <w:szCs w:val="24"/>
          <w:highlight w:val="none"/>
        </w:rPr>
      </w:pPr>
      <w:r>
        <w:rPr>
          <w:rFonts w:hint="eastAsia" w:ascii="仿宋" w:hAnsi="仿宋" w:eastAsia="仿宋" w:cs="仿宋"/>
          <w:b/>
          <w:color w:val="auto"/>
          <w:sz w:val="24"/>
          <w:szCs w:val="24"/>
          <w:highlight w:val="none"/>
        </w:rPr>
        <w:t xml:space="preserve">第九条  </w:t>
      </w:r>
      <w:r>
        <w:rPr>
          <w:rFonts w:hint="eastAsia" w:ascii="仿宋" w:hAnsi="仿宋" w:eastAsia="仿宋" w:cs="仿宋"/>
          <w:b/>
          <w:bCs/>
          <w:color w:val="auto"/>
          <w:sz w:val="24"/>
          <w:szCs w:val="24"/>
          <w:highlight w:val="none"/>
        </w:rPr>
        <w:t>质量问题的处理</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因乙方提供的饮片存在质量（包括包装质量）问题而造成甲方的一切损失，由乙方负责。如双方对饮片质量产生争议，以法定检验部门的检验报告为准。送检产生的费用由乙方负责。</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甲方在经营乙方提供的饮片时，若发生质量问题，应及时通知乙方并提供详细、确定的质量信息。配合乙方做好调查取证和善后处理工作。在</w:t>
      </w:r>
      <w:r>
        <w:rPr>
          <w:rFonts w:hint="eastAsia" w:ascii="仿宋" w:hAnsi="仿宋" w:eastAsia="仿宋" w:cs="仿宋"/>
          <w:color w:val="auto"/>
          <w:sz w:val="24"/>
          <w:szCs w:val="24"/>
          <w:highlight w:val="none"/>
          <w:lang w:val="en-US" w:eastAsia="zh-CN"/>
        </w:rPr>
        <w:t>使用</w:t>
      </w:r>
      <w:r>
        <w:rPr>
          <w:rFonts w:hint="eastAsia" w:ascii="仿宋" w:hAnsi="仿宋" w:eastAsia="仿宋" w:cs="仿宋"/>
          <w:color w:val="auto"/>
          <w:sz w:val="24"/>
          <w:szCs w:val="24"/>
          <w:highlight w:val="none"/>
        </w:rPr>
        <w:t>过程中，因</w:t>
      </w:r>
      <w:r>
        <w:rPr>
          <w:rFonts w:hint="eastAsia" w:ascii="仿宋" w:hAnsi="仿宋" w:eastAsia="仿宋" w:cs="仿宋"/>
          <w:color w:val="auto"/>
          <w:sz w:val="24"/>
          <w:szCs w:val="24"/>
          <w:highlight w:val="none"/>
          <w:lang w:val="en-US" w:eastAsia="zh-CN"/>
        </w:rPr>
        <w:t>特殊</w:t>
      </w:r>
      <w:r>
        <w:rPr>
          <w:rFonts w:hint="eastAsia" w:ascii="仿宋" w:hAnsi="仿宋" w:eastAsia="仿宋" w:cs="仿宋"/>
          <w:color w:val="auto"/>
          <w:sz w:val="24"/>
          <w:szCs w:val="24"/>
          <w:highlight w:val="none"/>
        </w:rPr>
        <w:t>原因造成饮片</w:t>
      </w:r>
      <w:r>
        <w:rPr>
          <w:rFonts w:hint="eastAsia" w:ascii="仿宋" w:hAnsi="仿宋" w:eastAsia="仿宋" w:cs="仿宋"/>
          <w:color w:val="auto"/>
          <w:sz w:val="24"/>
          <w:szCs w:val="24"/>
          <w:highlight w:val="none"/>
          <w:lang w:val="en-US" w:eastAsia="zh-CN"/>
        </w:rPr>
        <w:t>积压</w:t>
      </w:r>
      <w:r>
        <w:rPr>
          <w:rFonts w:hint="eastAsia" w:ascii="仿宋" w:hAnsi="仿宋" w:eastAsia="仿宋" w:cs="仿宋"/>
          <w:color w:val="auto"/>
          <w:sz w:val="24"/>
          <w:szCs w:val="24"/>
          <w:highlight w:val="none"/>
        </w:rPr>
        <w:t>，乙方承诺给予退换货。</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乙方在招标时提供的样品</w:t>
      </w:r>
      <w:r>
        <w:rPr>
          <w:rFonts w:hint="eastAsia" w:ascii="仿宋" w:hAnsi="仿宋" w:eastAsia="仿宋" w:cs="仿宋"/>
          <w:color w:val="auto"/>
          <w:sz w:val="24"/>
          <w:szCs w:val="24"/>
          <w:highlight w:val="none"/>
          <w:lang w:eastAsia="zh-CN"/>
        </w:rPr>
        <w:t>及</w:t>
      </w:r>
      <w:r>
        <w:rPr>
          <w:rFonts w:hint="eastAsia" w:ascii="仿宋" w:hAnsi="仿宋" w:eastAsia="仿宋" w:cs="仿宋"/>
          <w:b w:val="0"/>
          <w:bCs w:val="0"/>
          <w:color w:val="auto"/>
          <w:kern w:val="2"/>
          <w:sz w:val="24"/>
          <w:szCs w:val="24"/>
          <w:highlight w:val="none"/>
          <w:lang w:val="en-US" w:eastAsia="zh-CN" w:bidi="ar-SA"/>
        </w:rPr>
        <w:t>中药饮片发货标准</w:t>
      </w:r>
      <w:r>
        <w:rPr>
          <w:rFonts w:hint="eastAsia" w:ascii="仿宋" w:hAnsi="仿宋" w:eastAsia="仿宋" w:cs="仿宋"/>
          <w:color w:val="auto"/>
          <w:sz w:val="24"/>
          <w:szCs w:val="24"/>
          <w:highlight w:val="none"/>
        </w:rPr>
        <w:t>将作为入库验收的依据，在购销过程中，如连续发生</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起供应的饮片质量明显低于所提供的样品质量事件，招标人将暂停其购销业务3个月，经整改评估后，方可恢复其购销业务，若整改后仍发生供应的饮片质量明显低于所提供的样品质量事件，招标人将有权单方面终止合同。</w:t>
      </w:r>
    </w:p>
    <w:p>
      <w:pPr>
        <w:keepNext w:val="0"/>
        <w:keepLines w:val="0"/>
        <w:pageBreakBefore w:val="0"/>
        <w:widowControl w:val="0"/>
        <w:kinsoku/>
        <w:wordWrap/>
        <w:overflowPunct/>
        <w:topLinePunct w:val="0"/>
        <w:autoSpaceDE/>
        <w:autoSpaceDN/>
        <w:bidi w:val="0"/>
        <w:adjustRightInd w:val="0"/>
        <w:snapToGrid/>
        <w:spacing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经药监部门检查抽检，如质量不符合国家、部颁、地方标准而给予的罚款由乙方支付。如因饮片质量而引起的医患纠纷，由乙方负责。若情节严重可直接暂停乙方供货，后续评估后再行处理；若事故对甲方造成重大名誉或经济损失，由此造成的损失全权由乙方负责，甲方有权单方面立即终止合同。</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 xml:space="preserve">第十条  </w:t>
      </w:r>
      <w:r>
        <w:rPr>
          <w:rFonts w:hint="eastAsia" w:ascii="仿宋" w:hAnsi="仿宋" w:eastAsia="仿宋" w:cs="仿宋"/>
          <w:b/>
          <w:color w:val="auto"/>
          <w:sz w:val="24"/>
          <w:szCs w:val="24"/>
          <w:highlight w:val="none"/>
          <w:lang w:eastAsia="zh-CN"/>
        </w:rPr>
        <w:t>政策、</w:t>
      </w:r>
      <w:r>
        <w:rPr>
          <w:rFonts w:hint="eastAsia" w:ascii="仿宋" w:hAnsi="仿宋" w:eastAsia="仿宋" w:cs="仿宋"/>
          <w:b/>
          <w:color w:val="auto"/>
          <w:sz w:val="24"/>
          <w:szCs w:val="24"/>
          <w:highlight w:val="none"/>
        </w:rPr>
        <w:t>价格调整</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合同执行期间，如遇中药饮片</w:t>
      </w:r>
      <w:r>
        <w:rPr>
          <w:rFonts w:hint="eastAsia" w:ascii="仿宋" w:hAnsi="仿宋" w:eastAsia="仿宋" w:cs="仿宋"/>
          <w:color w:val="auto"/>
          <w:sz w:val="24"/>
          <w:szCs w:val="24"/>
          <w:highlight w:val="none"/>
          <w:lang w:eastAsia="zh-CN"/>
        </w:rPr>
        <w:t>价格</w:t>
      </w:r>
      <w:r>
        <w:rPr>
          <w:rFonts w:hint="eastAsia" w:ascii="仿宋" w:hAnsi="仿宋" w:eastAsia="仿宋" w:cs="仿宋"/>
          <w:color w:val="auto"/>
          <w:sz w:val="24"/>
          <w:szCs w:val="24"/>
          <w:highlight w:val="none"/>
        </w:rPr>
        <w:t>调整，</w:t>
      </w:r>
      <w:r>
        <w:rPr>
          <w:rFonts w:hint="eastAsia" w:ascii="仿宋" w:hAnsi="仿宋" w:eastAsia="仿宋" w:cs="仿宋"/>
          <w:color w:val="auto"/>
          <w:sz w:val="24"/>
          <w:szCs w:val="24"/>
          <w:highlight w:val="none"/>
          <w:lang w:eastAsia="zh-CN"/>
        </w:rPr>
        <w:t>参照绍兴市医疗保障协会等联委公布</w:t>
      </w:r>
      <w:r>
        <w:rPr>
          <w:rFonts w:hint="eastAsia" w:ascii="仿宋" w:hAnsi="仿宋" w:eastAsia="仿宋" w:cs="仿宋"/>
          <w:color w:val="auto"/>
          <w:sz w:val="24"/>
          <w:szCs w:val="24"/>
          <w:highlight w:val="none"/>
        </w:rPr>
        <w:t>价格调整。如遇特殊情况或</w:t>
      </w:r>
      <w:r>
        <w:rPr>
          <w:rFonts w:hint="eastAsia" w:ascii="仿宋" w:hAnsi="仿宋" w:eastAsia="仿宋" w:cs="仿宋"/>
          <w:color w:val="auto"/>
          <w:sz w:val="24"/>
          <w:szCs w:val="24"/>
          <w:highlight w:val="none"/>
          <w:lang w:eastAsia="zh-CN"/>
        </w:rPr>
        <w:t>各级政府部门出台的</w:t>
      </w:r>
      <w:r>
        <w:rPr>
          <w:rFonts w:hint="eastAsia" w:ascii="仿宋" w:hAnsi="仿宋" w:eastAsia="仿宋" w:cs="仿宋"/>
          <w:color w:val="auto"/>
          <w:sz w:val="24"/>
          <w:szCs w:val="24"/>
          <w:highlight w:val="none"/>
        </w:rPr>
        <w:t>政策变动（如</w:t>
      </w:r>
      <w:r>
        <w:rPr>
          <w:rFonts w:hint="eastAsia" w:ascii="仿宋" w:hAnsi="仿宋" w:eastAsia="仿宋" w:cs="仿宋"/>
          <w:color w:val="auto"/>
          <w:sz w:val="24"/>
          <w:szCs w:val="24"/>
          <w:highlight w:val="none"/>
          <w:lang w:eastAsia="zh-CN"/>
        </w:rPr>
        <w:t>绍兴市</w:t>
      </w:r>
      <w:r>
        <w:rPr>
          <w:rFonts w:hint="eastAsia" w:ascii="仿宋" w:hAnsi="仿宋" w:eastAsia="仿宋" w:cs="仿宋"/>
          <w:color w:val="auto"/>
          <w:sz w:val="24"/>
          <w:szCs w:val="24"/>
          <w:highlight w:val="none"/>
        </w:rPr>
        <w:t>医保局出台中药饮片价格最新信息价</w:t>
      </w:r>
      <w:r>
        <w:rPr>
          <w:rFonts w:hint="eastAsia" w:ascii="仿宋" w:hAnsi="仿宋" w:eastAsia="仿宋" w:cs="仿宋"/>
          <w:color w:val="auto"/>
          <w:sz w:val="24"/>
          <w:szCs w:val="24"/>
          <w:highlight w:val="none"/>
          <w:lang w:eastAsia="zh-CN"/>
        </w:rPr>
        <w:t>或挂网采购等等相关政策</w:t>
      </w:r>
      <w:r>
        <w:rPr>
          <w:rFonts w:hint="eastAsia" w:ascii="仿宋" w:hAnsi="仿宋" w:eastAsia="仿宋" w:cs="仿宋"/>
          <w:color w:val="auto"/>
          <w:sz w:val="24"/>
          <w:szCs w:val="24"/>
          <w:highlight w:val="none"/>
        </w:rPr>
        <w:t>，优先执行</w:t>
      </w:r>
      <w:r>
        <w:rPr>
          <w:rFonts w:hint="eastAsia" w:ascii="仿宋" w:hAnsi="仿宋" w:eastAsia="仿宋" w:cs="仿宋"/>
          <w:color w:val="auto"/>
          <w:sz w:val="24"/>
          <w:szCs w:val="24"/>
          <w:highlight w:val="none"/>
          <w:lang w:eastAsia="zh-CN"/>
        </w:rPr>
        <w:t>绍兴</w:t>
      </w:r>
      <w:r>
        <w:rPr>
          <w:rFonts w:hint="eastAsia" w:ascii="仿宋" w:hAnsi="仿宋" w:eastAsia="仿宋" w:cs="仿宋"/>
          <w:color w:val="auto"/>
          <w:sz w:val="24"/>
          <w:szCs w:val="24"/>
          <w:highlight w:val="none"/>
        </w:rPr>
        <w:t>地区中药饮片价格最新信息价</w:t>
      </w:r>
      <w:r>
        <w:rPr>
          <w:rFonts w:hint="eastAsia" w:ascii="仿宋" w:hAnsi="仿宋" w:eastAsia="仿宋" w:cs="仿宋"/>
          <w:color w:val="auto"/>
          <w:sz w:val="24"/>
          <w:szCs w:val="24"/>
          <w:highlight w:val="none"/>
          <w:lang w:eastAsia="zh-CN"/>
        </w:rPr>
        <w:t>或挂网采购等等相关政策</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按</w:t>
      </w:r>
      <w:r>
        <w:rPr>
          <w:rFonts w:hint="eastAsia" w:ascii="仿宋" w:hAnsi="仿宋" w:eastAsia="仿宋" w:cs="仿宋"/>
          <w:color w:val="auto"/>
          <w:sz w:val="24"/>
          <w:szCs w:val="24"/>
          <w:highlight w:val="none"/>
        </w:rPr>
        <w:t>政策</w:t>
      </w:r>
      <w:r>
        <w:rPr>
          <w:rFonts w:hint="eastAsia" w:ascii="仿宋" w:hAnsi="仿宋" w:eastAsia="仿宋" w:cs="仿宋"/>
          <w:color w:val="auto"/>
          <w:sz w:val="24"/>
          <w:szCs w:val="24"/>
          <w:highlight w:val="none"/>
          <w:lang w:val="en-US" w:eastAsia="zh-CN"/>
        </w:rPr>
        <w:t>调整执行</w:t>
      </w:r>
      <w:r>
        <w:rPr>
          <w:rFonts w:hint="eastAsia" w:ascii="仿宋" w:hAnsi="仿宋" w:eastAsia="仿宋" w:cs="仿宋"/>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第十一条  履约保证金</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lang w:val="en-US" w:eastAsia="zh-CN"/>
        </w:rPr>
        <w:t>乙方需缴纳   作为履约保证金。履约保证金在承包期满后，并经甲方考评合格且乙方办理完移交给甲方手续后一个月内无息退还。</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第十二条  廉政承诺</w:t>
      </w:r>
    </w:p>
    <w:p>
      <w:pPr>
        <w:keepNext w:val="0"/>
        <w:keepLines w:val="0"/>
        <w:pageBreakBefore w:val="0"/>
        <w:widowControl w:val="0"/>
        <w:kinsoku/>
        <w:wordWrap/>
        <w:overflowPunct/>
        <w:topLinePunct w:val="0"/>
        <w:autoSpaceDE/>
        <w:autoSpaceDN/>
        <w:bidi w:val="0"/>
        <w:adjustRightInd w:val="0"/>
        <w:snapToGrid/>
        <w:spacing w:line="360" w:lineRule="auto"/>
        <w:ind w:firstLine="482"/>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乙方承诺在药品的购销中，不谋取不正当利益，不采用给予医疗机构的负责人、采购人员、医师等有关人员财物或者其他利益的不正当行为，从而影响药品的采购或者处方行为。</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第十三条  违约责任</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乙方未能按合同条款配送药品，</w:t>
      </w:r>
      <w:r>
        <w:rPr>
          <w:rFonts w:hint="eastAsia" w:ascii="仿宋" w:hAnsi="仿宋" w:eastAsia="仿宋" w:cs="仿宋"/>
          <w:color w:val="auto"/>
          <w:sz w:val="24"/>
          <w:szCs w:val="24"/>
          <w:highlight w:val="none"/>
          <w:u w:val="single"/>
          <w:lang w:eastAsia="zh-CN"/>
        </w:rPr>
        <w:t>甲方将适当调整采购份额，原则上不超过上一个月采购量±</w:t>
      </w:r>
      <w:r>
        <w:rPr>
          <w:rFonts w:hint="eastAsia" w:ascii="仿宋" w:hAnsi="仿宋" w:eastAsia="仿宋" w:cs="仿宋"/>
          <w:color w:val="auto"/>
          <w:sz w:val="24"/>
          <w:szCs w:val="24"/>
          <w:highlight w:val="none"/>
          <w:u w:val="single"/>
          <w:lang w:val="en-US" w:eastAsia="zh-CN"/>
        </w:rPr>
        <w:t>2%，</w:t>
      </w:r>
      <w:r>
        <w:rPr>
          <w:rFonts w:hint="eastAsia" w:ascii="仿宋" w:hAnsi="仿宋" w:eastAsia="仿宋" w:cs="仿宋"/>
          <w:color w:val="auto"/>
          <w:sz w:val="24"/>
          <w:szCs w:val="24"/>
          <w:highlight w:val="none"/>
          <w:u w:val="single"/>
        </w:rPr>
        <w:t>累计5次，甲方有权单方面终止合同。</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u w:val="single"/>
        </w:rPr>
        <w:t>如因乙方原因引起的饮片质量问题，除承担相关责任和甲方损失外</w:t>
      </w:r>
      <w:r>
        <w:rPr>
          <w:rFonts w:hint="eastAsia" w:ascii="仿宋" w:hAnsi="仿宋" w:eastAsia="仿宋" w:cs="仿宋"/>
          <w:color w:val="auto"/>
          <w:sz w:val="24"/>
          <w:szCs w:val="24"/>
          <w:highlight w:val="none"/>
          <w:u w:val="single"/>
          <w:lang w:eastAsia="zh-CN"/>
        </w:rPr>
        <w:t>，</w:t>
      </w:r>
      <w:r>
        <w:rPr>
          <w:rFonts w:hint="eastAsia" w:ascii="仿宋" w:hAnsi="仿宋" w:eastAsia="仿宋" w:cs="仿宋"/>
          <w:color w:val="auto"/>
          <w:sz w:val="24"/>
          <w:szCs w:val="24"/>
          <w:highlight w:val="none"/>
          <w:u w:val="single"/>
          <w:lang w:val="en-US" w:eastAsia="zh-CN"/>
        </w:rPr>
        <w:t>并没收履约保证金</w:t>
      </w:r>
      <w:r>
        <w:rPr>
          <w:rFonts w:hint="eastAsia" w:ascii="仿宋" w:hAnsi="仿宋" w:eastAsia="仿宋" w:cs="仿宋"/>
          <w:color w:val="auto"/>
          <w:sz w:val="24"/>
          <w:szCs w:val="24"/>
          <w:highlight w:val="none"/>
          <w:u w:val="single"/>
        </w:rPr>
        <w:t>。</w:t>
      </w:r>
    </w:p>
    <w:p>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因违反合同相关条款引起甲方经济损失、名誉受损的，由乙方承担相应的经济赔偿及法律责任，若情节严重对甲方造成重大名誉或经济损失，甲方有权单方面立即终止购销合同。</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第十四条  </w:t>
      </w:r>
      <w:r>
        <w:rPr>
          <w:rFonts w:hint="eastAsia" w:ascii="仿宋" w:hAnsi="仿宋" w:eastAsia="仿宋" w:cs="仿宋"/>
          <w:color w:val="auto"/>
          <w:sz w:val="24"/>
          <w:szCs w:val="24"/>
          <w:highlight w:val="none"/>
        </w:rPr>
        <w:t>上述条款经双方确认无异，本合同未尽事宜，由双方协商解决。</w:t>
      </w:r>
    </w:p>
    <w:p>
      <w:pPr>
        <w:keepNext w:val="0"/>
        <w:keepLines w:val="0"/>
        <w:pageBreakBefore w:val="0"/>
        <w:widowControl w:val="0"/>
        <w:kinsoku/>
        <w:wordWrap/>
        <w:overflowPunct/>
        <w:topLinePunct w:val="0"/>
        <w:autoSpaceDE/>
        <w:autoSpaceDN/>
        <w:bidi w:val="0"/>
        <w:adjustRightInd w:val="0"/>
        <w:snapToGrid/>
        <w:spacing w:line="360" w:lineRule="auto"/>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 xml:space="preserve">第十五条  </w:t>
      </w:r>
      <w:r>
        <w:rPr>
          <w:rFonts w:hint="eastAsia" w:ascii="仿宋" w:hAnsi="仿宋" w:eastAsia="仿宋" w:cs="仿宋"/>
          <w:color w:val="auto"/>
          <w:sz w:val="24"/>
          <w:szCs w:val="24"/>
          <w:highlight w:val="none"/>
        </w:rPr>
        <w:t>本合同一式</w:t>
      </w:r>
      <w:r>
        <w:rPr>
          <w:rFonts w:hint="eastAsia" w:ascii="仿宋" w:hAnsi="仿宋" w:eastAsia="仿宋" w:cs="仿宋"/>
          <w:color w:val="auto"/>
          <w:sz w:val="24"/>
          <w:szCs w:val="24"/>
          <w:highlight w:val="none"/>
          <w:lang w:val="en-US" w:eastAsia="zh-CN"/>
        </w:rPr>
        <w:t>伍</w:t>
      </w:r>
      <w:r>
        <w:rPr>
          <w:rFonts w:hint="eastAsia" w:ascii="仿宋" w:hAnsi="仿宋" w:eastAsia="仿宋" w:cs="仿宋"/>
          <w:color w:val="auto"/>
          <w:sz w:val="24"/>
          <w:szCs w:val="24"/>
          <w:highlight w:val="none"/>
        </w:rPr>
        <w:t>份，甲、乙双方各执</w:t>
      </w:r>
      <w:r>
        <w:rPr>
          <w:rFonts w:hint="eastAsia" w:ascii="仿宋" w:hAnsi="仿宋" w:eastAsia="仿宋" w:cs="仿宋"/>
          <w:color w:val="auto"/>
          <w:sz w:val="24"/>
          <w:szCs w:val="24"/>
          <w:highlight w:val="none"/>
          <w:lang w:val="en-US" w:eastAsia="zh-CN"/>
        </w:rPr>
        <w:t>贰</w:t>
      </w:r>
      <w:r>
        <w:rPr>
          <w:rFonts w:hint="eastAsia" w:ascii="仿宋" w:hAnsi="仿宋" w:eastAsia="仿宋" w:cs="仿宋"/>
          <w:color w:val="auto"/>
          <w:sz w:val="24"/>
          <w:szCs w:val="24"/>
          <w:highlight w:val="none"/>
        </w:rPr>
        <w:t>份</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代理机构备案壹份</w:t>
      </w:r>
      <w:r>
        <w:rPr>
          <w:rFonts w:hint="eastAsia" w:ascii="仿宋" w:hAnsi="仿宋" w:eastAsia="仿宋" w:cs="仿宋"/>
          <w:color w:val="auto"/>
          <w:sz w:val="24"/>
          <w:szCs w:val="24"/>
          <w:highlight w:val="none"/>
        </w:rPr>
        <w:t>，自签</w:t>
      </w:r>
      <w:r>
        <w:rPr>
          <w:rFonts w:hint="eastAsia" w:ascii="仿宋" w:hAnsi="仿宋" w:eastAsia="仿宋" w:cs="仿宋"/>
          <w:color w:val="auto"/>
          <w:sz w:val="24"/>
          <w:szCs w:val="24"/>
          <w:highlight w:val="none"/>
          <w:lang w:val="en-US" w:eastAsia="zh-CN"/>
        </w:rPr>
        <w:t>订</w:t>
      </w:r>
      <w:r>
        <w:rPr>
          <w:rFonts w:hint="eastAsia" w:ascii="仿宋" w:hAnsi="仿宋" w:eastAsia="仿宋" w:cs="仿宋"/>
          <w:color w:val="auto"/>
          <w:sz w:val="24"/>
          <w:szCs w:val="24"/>
          <w:highlight w:val="none"/>
        </w:rPr>
        <w:t xml:space="preserve">之日起生效，有效期自     年   月    日至     年    月     日止。                                      </w:t>
      </w:r>
    </w:p>
    <w:p>
      <w:pPr>
        <w:pStyle w:val="34"/>
        <w:spacing w:line="360" w:lineRule="auto"/>
        <w:ind w:left="14" w:hanging="14" w:hangingChars="6"/>
        <w:rPr>
          <w:rFonts w:hint="eastAsia" w:ascii="仿宋" w:hAnsi="仿宋" w:eastAsia="仿宋" w:cs="仿宋"/>
          <w:color w:val="auto"/>
          <w:sz w:val="24"/>
          <w:szCs w:val="24"/>
          <w:highlight w:val="none"/>
        </w:rPr>
      </w:pP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甲方（公章）：                        乙方（公章）：</w:t>
      </w: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                          法定代表人：</w:t>
      </w: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                          委托代理人：</w:t>
      </w: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地址：                                地址： </w:t>
      </w: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电话：                                电话： </w:t>
      </w:r>
    </w:p>
    <w:p>
      <w:pPr>
        <w:pStyle w:val="34"/>
        <w:keepNext w:val="0"/>
        <w:keepLines w:val="0"/>
        <w:pageBreakBefore w:val="0"/>
        <w:widowControl w:val="0"/>
        <w:kinsoku/>
        <w:wordWrap/>
        <w:overflowPunct/>
        <w:topLinePunct w:val="0"/>
        <w:autoSpaceDE/>
        <w:autoSpaceDN/>
        <w:bidi w:val="0"/>
        <w:adjustRightInd w:val="0"/>
        <w:snapToGrid/>
        <w:spacing w:line="360" w:lineRule="auto"/>
        <w:ind w:left="0" w:hanging="14" w:hangingChars="6"/>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     　年 　　 月  　　日签订于</w:t>
      </w:r>
      <w:r>
        <w:rPr>
          <w:rFonts w:hint="eastAsia" w:ascii="仿宋" w:hAnsi="仿宋" w:eastAsia="仿宋" w:cs="仿宋"/>
          <w:color w:val="auto"/>
          <w:sz w:val="24"/>
          <w:szCs w:val="24"/>
          <w:highlight w:val="none"/>
          <w:lang w:eastAsia="zh-CN"/>
        </w:rPr>
        <w:t>嵊州市</w:t>
      </w:r>
      <w:r>
        <w:rPr>
          <w:rFonts w:hint="eastAsia" w:ascii="仿宋" w:hAnsi="仿宋" w:eastAsia="仿宋" w:cs="仿宋"/>
          <w:color w:val="auto"/>
          <w:sz w:val="24"/>
          <w:szCs w:val="24"/>
          <w:highlight w:val="none"/>
        </w:rPr>
        <w:t>。</w:t>
      </w:r>
    </w:p>
    <w:p>
      <w:pPr>
        <w:pStyle w:val="34"/>
        <w:spacing w:line="360" w:lineRule="auto"/>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注：本合同样本仅作参考，采购人与成交供应商可根据实际项目的情况进行必要的修改。</w:t>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p>
    <w:p>
      <w:pP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br w:type="page"/>
      </w:r>
    </w:p>
    <w:p>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pPr>
        <w:keepNext w:val="0"/>
        <w:keepLines w:val="0"/>
        <w:pageBreakBefore w:val="0"/>
        <w:widowControl w:val="0"/>
        <w:kinsoku/>
        <w:wordWrap/>
        <w:overflowPunct/>
        <w:topLinePunct w:val="0"/>
        <w:autoSpaceDE/>
        <w:autoSpaceDN/>
        <w:bidi w:val="0"/>
        <w:adjustRightInd w:val="0"/>
        <w:snapToGrid/>
        <w:spacing w:line="440" w:lineRule="exact"/>
        <w:ind w:firstLine="472" w:firstLineChars="196"/>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pPr>
        <w:keepNext w:val="0"/>
        <w:keepLines w:val="0"/>
        <w:pageBreakBefore w:val="0"/>
        <w:widowControl w:val="0"/>
        <w:kinsoku/>
        <w:wordWrap/>
        <w:overflowPunct/>
        <w:topLinePunct w:val="0"/>
        <w:autoSpaceDE/>
        <w:autoSpaceDN/>
        <w:bidi w:val="0"/>
        <w:adjustRightInd w:val="0"/>
        <w:snapToGrid/>
        <w:spacing w:line="440" w:lineRule="exact"/>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80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20 </w:t>
      </w:r>
      <w:r>
        <w:rPr>
          <w:rFonts w:hint="eastAsia" w:ascii="仿宋" w:hAnsi="仿宋" w:eastAsia="仿宋" w:cs="仿宋"/>
          <w:color w:val="auto"/>
          <w:sz w:val="24"/>
          <w:highlight w:val="none"/>
        </w:rPr>
        <w:t>分。评分依下述所列为评标打分依据，分值如下（计算分值时，按其算术平均值保留小数2位）。</w:t>
      </w: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b/>
          <w:color w:val="auto"/>
          <w:sz w:val="32"/>
          <w:szCs w:val="20"/>
          <w:highlight w:val="none"/>
        </w:rPr>
      </w:pPr>
      <w:r>
        <w:rPr>
          <w:rFonts w:hint="eastAsia" w:ascii="仿宋" w:hAnsi="仿宋" w:eastAsia="仿宋" w:cs="仿宋"/>
          <w:b/>
          <w:bCs/>
          <w:iCs/>
          <w:color w:val="auto"/>
          <w:sz w:val="24"/>
          <w:highlight w:val="none"/>
        </w:rPr>
        <w:t>2.1</w:t>
      </w:r>
      <w:r>
        <w:rPr>
          <w:rFonts w:hint="eastAsia" w:ascii="仿宋" w:hAnsi="仿宋" w:eastAsia="仿宋" w:cs="仿宋"/>
          <w:b/>
          <w:bCs/>
          <w:iCs/>
          <w:color w:val="auto"/>
          <w:sz w:val="24"/>
          <w:highlight w:val="none"/>
          <w:lang w:val="en-US" w:eastAsia="zh-CN"/>
        </w:rPr>
        <w:t>标项一、二、三</w:t>
      </w:r>
      <w:r>
        <w:rPr>
          <w:rFonts w:hint="eastAsia" w:ascii="仿宋" w:hAnsi="仿宋" w:eastAsia="仿宋" w:cs="仿宋"/>
          <w:b/>
          <w:bCs/>
          <w:iCs/>
          <w:color w:val="auto"/>
          <w:sz w:val="24"/>
          <w:highlight w:val="none"/>
        </w:rPr>
        <w:t>商务技术分（</w:t>
      </w:r>
      <w:r>
        <w:rPr>
          <w:rFonts w:hint="eastAsia" w:ascii="仿宋" w:hAnsi="仿宋" w:eastAsia="仿宋" w:cs="仿宋"/>
          <w:b/>
          <w:bCs/>
          <w:iCs/>
          <w:color w:val="auto"/>
          <w:sz w:val="24"/>
          <w:highlight w:val="none"/>
          <w:u w:val="single"/>
          <w:lang w:val="en-US" w:eastAsia="zh-CN"/>
        </w:rPr>
        <w:t xml:space="preserve"> 80 </w:t>
      </w:r>
      <w:r>
        <w:rPr>
          <w:rFonts w:hint="eastAsia" w:ascii="仿宋" w:hAnsi="仿宋" w:eastAsia="仿宋" w:cs="仿宋"/>
          <w:b/>
          <w:bCs/>
          <w:iCs/>
          <w:color w:val="auto"/>
          <w:sz w:val="24"/>
          <w:highlight w:val="none"/>
        </w:rPr>
        <w:t>分）</w:t>
      </w:r>
    </w:p>
    <w:tbl>
      <w:tblPr>
        <w:tblStyle w:val="64"/>
        <w:tblW w:w="9675" w:type="dxa"/>
        <w:tblInd w:w="-17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795"/>
        <w:gridCol w:w="1320"/>
        <w:gridCol w:w="6855"/>
        <w:gridCol w:w="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742" w:hRule="atLeast"/>
        </w:trPr>
        <w:tc>
          <w:tcPr>
            <w:tcW w:w="795"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b/>
                <w:bCs/>
                <w:color w:val="auto"/>
                <w:kern w:val="0"/>
                <w:sz w:val="24"/>
                <w:szCs w:val="24"/>
                <w:highlight w:val="none"/>
                <w:lang w:eastAsia="zh-CN"/>
              </w:rPr>
              <w:t>序号</w:t>
            </w:r>
          </w:p>
        </w:tc>
        <w:tc>
          <w:tcPr>
            <w:tcW w:w="1320"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b/>
                <w:bCs/>
                <w:color w:val="auto"/>
                <w:kern w:val="0"/>
                <w:sz w:val="24"/>
                <w:szCs w:val="24"/>
                <w:highlight w:val="none"/>
                <w:lang w:eastAsia="zh-CN"/>
              </w:rPr>
              <w:t>评分项</w:t>
            </w:r>
          </w:p>
        </w:tc>
        <w:tc>
          <w:tcPr>
            <w:tcW w:w="6855"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评审依据及标准</w:t>
            </w:r>
          </w:p>
        </w:tc>
        <w:tc>
          <w:tcPr>
            <w:tcW w:w="705" w:type="dxa"/>
            <w:tcBorders>
              <w:tl2br w:val="nil"/>
              <w:tr2bl w:val="nil"/>
            </w:tcBorders>
            <w:noWrap w:val="0"/>
            <w:vAlign w:val="center"/>
          </w:tcPr>
          <w:p>
            <w:pPr>
              <w:keepNext w:val="0"/>
              <w:keepLines w:val="0"/>
              <w:pageBreakBefore w:val="0"/>
              <w:widowControl/>
              <w:kinsoku/>
              <w:wordWrap/>
              <w:overflowPunct/>
              <w:topLinePunct w:val="0"/>
              <w:bidi w:val="0"/>
              <w:adjustRightInd w:val="0"/>
              <w:snapToGrid w:val="0"/>
              <w:spacing w:line="440" w:lineRule="exact"/>
              <w:jc w:val="center"/>
              <w:textAlignment w:val="auto"/>
              <w:rPr>
                <w:rFonts w:hint="eastAsia" w:ascii="仿宋" w:hAnsi="仿宋" w:eastAsia="仿宋" w:cs="仿宋"/>
                <w:color w:val="auto"/>
                <w:kern w:val="0"/>
                <w:sz w:val="24"/>
                <w:szCs w:val="24"/>
                <w:highlight w:val="none"/>
                <w:lang w:val="zh-CN"/>
              </w:rPr>
            </w:pPr>
            <w:r>
              <w:rPr>
                <w:rFonts w:hint="eastAsia" w:ascii="仿宋" w:hAnsi="仿宋" w:eastAsia="仿宋" w:cs="仿宋"/>
                <w:b/>
                <w:bCs/>
                <w:color w:val="auto"/>
                <w:kern w:val="0"/>
                <w:sz w:val="24"/>
                <w:szCs w:val="24"/>
                <w:highlight w:val="none"/>
                <w:lang w:eastAsia="zh-CN"/>
              </w:rPr>
              <w:t>分值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药品质量信用等级</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根据2021年省监管部门评定的药品质量信用等级（批发企业）的评审评定结果进行认定：AA级及以上的得3分、A级得2分、未评审或无等级及其他等级不得分。提供2021年省监管部门评定的药品质量信用等级企业（批发企业）等相关证明材料。</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2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证书</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投标人具有野生动物经营利用核准证得2分。（提供证书扫描件并加盖CA签章）</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29"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突发事件服务能力</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投标人在突发事件期间配合釆购人当地政府做过医疗物资配备情况，提供釆购人及釆购人主管部门证明材料得3分。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42"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同类业绩</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en-US" w:eastAsia="zh-CN"/>
              </w:rPr>
              <w:t>2022年1月1日以来中药饮片供货业绩：每提供1家三级医院中药饮片供货业绩得1分，最高得2分。（提供销售合同或发票扫描件及能体现三级医院的相关资料并加盖CA签章，如三级医院无法在合同中体现，需另外提供相关佐证材料，如官网截图等，否则不得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饮片基本目录</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投标人可供中药饮片品种数（需涵盖本院采购目录品种）在550种及以上得3分，品种数为500种及以上的得2分，品种数为500种以下的不得分，以上不累计得分。（提供相关证明材料并加盖公章）。</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6</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质检报告</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zh-CN" w:eastAsia="zh-CN"/>
              </w:rPr>
            </w:pPr>
            <w:r>
              <w:rPr>
                <w:rFonts w:hint="eastAsia" w:ascii="仿宋" w:hAnsi="仿宋" w:eastAsia="仿宋" w:cs="仿宋"/>
                <w:color w:val="auto"/>
                <w:kern w:val="0"/>
                <w:sz w:val="24"/>
                <w:szCs w:val="24"/>
                <w:highlight w:val="none"/>
                <w:lang w:val="zh-CN" w:eastAsia="zh-CN"/>
              </w:rPr>
              <w:t>根据提供投标单位所在地药检所2020年1月-2022年12月间所有饮片抽检质检报告认定：所有饮片抽检质检报告均合格得5分；不合格率每5%扣0.5分（不足5%按5%计算），直至该分项扣完；无质检报告但投标单位所在地药检所证明无抽检记录的得3分；无质检报告同时不能出示提供投标单位所在地药检所证明材料的或质检报告中有鉴别不符规定的，该项不得分。</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zh-CN" w:eastAsia="zh-CN"/>
              </w:rPr>
              <w:t>(提供投标单位所在地药检所2020年1月-2022年12月间所有饮片抽检质检报告单)</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7</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管理制度</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根据投标人提供的投标人企业质量管理组织、管理体系及制度建设情况等进行综合打分。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8</w:t>
            </w:r>
          </w:p>
        </w:tc>
        <w:tc>
          <w:tcPr>
            <w:tcW w:w="1320"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样品</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根据投标人提供样品的水分、杂质进行综合打分。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9</w:t>
            </w:r>
          </w:p>
        </w:tc>
        <w:tc>
          <w:tcPr>
            <w:tcW w:w="132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根据投标人提供样品的外观、色泽进行综合打分。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10</w:t>
            </w:r>
          </w:p>
        </w:tc>
        <w:tc>
          <w:tcPr>
            <w:tcW w:w="132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根据投标人提供样品的纹理、气味进行综合打分。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5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11</w:t>
            </w:r>
          </w:p>
        </w:tc>
        <w:tc>
          <w:tcPr>
            <w:tcW w:w="1320"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根据投标人提供样品的轻重质感、味觉、断面特征进行综合打分。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70"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12</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配方、煎药、配送服务能力</w:t>
            </w:r>
          </w:p>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采购人在医院内仅提供与煎药相关场地与水电，投标人需要根据医院的情况提供配、送、煎药整体服务方案。（提供相关证明材料）</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承诺对拟投入本项目服务团队的相关伴随服务人员不少于10人，并且配合与下一项目周期顺利交接，视业务增长，相应增加人员，根据服务团队的资质、经验进行综合打分。（提供承诺函、符合医院依法执业要求的相关人员清单，相关资质证书及近三个月的社保缴纳证明并加盖CA签章。不能清晰反映的视为未提供该项材料）(0-5分)；</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对本项目设施设备及场地设计方案、设计图进行综合打分，承诺对本项目建设在中标后3个月内完成，对本项目投入的设施、设备、基建等在本项目周期结束后不撤回。（提供设计图、承诺函并加盖CA签章）（0-5分）；</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对本项目配送代煎中药服务方案的可操作性、及时性、建立健全煎药质量的电子跟踪、追溯、监控体系，设立视频监控网络，视频传输至医疗机构，并保留一个月的得3分，否则不得分；投诉处理服务，根据方案合理性、可操作性进行综合打分（0-2分）；（0-5分）</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（4）承诺院内代煎中药提供在医院规定范围内免费送药上门并按要求配送：</w:t>
            </w:r>
          </w:p>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代煎中药提供在医院规定范围内免费送药上门服务方案，根据方案合理性、可操作性进行综合打分。（0-5分）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20分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49"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13</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供货服务方案</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根据投标人提供的投标人企业供货服务方案（包括供货时间安排、供货方式等）的科学性、合理性、规范性等进行综合打分。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14</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配送响应能力</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承诺急救药品送达时效性，30分钟内送达的得4分，60分钟内送达的得3分，60分钟后送达的2分。（提供投标人营业执照仓库所在地所需路程时间高德地图导航截图及投标单位营业执照扫描件、租房合同扫描件等相关证明材料及配送承诺书，承诺送达但与实际情况不符则不得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97"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15</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质量标准</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承诺按采购人提供的验收标准供应中药饮片，不得低于药典与浙江炮制规范标准。提供承诺得3分，无不得分。（提供承诺函并加盖CA签章）</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16</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特色服务</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根据投标人提供中药特色加工服务能力（含膏方、浓缩剂等）、临方加工服务能力和便捷性进行综合打分。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3分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17</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缺货、拒收等处理</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投标人承诺提供的品种供货率100%，如果供货率低于100%，或不符合医院验收标准，导致拒收的，投标人提供缺、退货处理方案，根据缺、退货处理方案的合理性、可行性等进行综合打分。（提供承诺函并加盖CA签章）</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18</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突发情况应急保障措施</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根据投标人提供的突发情况应急保障措施方案（包括节假日保障、中毒急救、疫情防控、特发自然灾害等）的可行性、及时性进行综合打分。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4分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312" w:hRule="atLeast"/>
        </w:trPr>
        <w:tc>
          <w:tcPr>
            <w:tcW w:w="79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19</w:t>
            </w:r>
          </w:p>
        </w:tc>
        <w:tc>
          <w:tcPr>
            <w:tcW w:w="1320"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中药服务在线建设方案</w:t>
            </w:r>
          </w:p>
        </w:tc>
        <w:tc>
          <w:tcPr>
            <w:tcW w:w="6855" w:type="dxa"/>
            <w:tcBorders>
              <w:tl2br w:val="nil"/>
              <w:tr2bl w:val="nil"/>
            </w:tcBorders>
            <w:noWrap w:val="0"/>
            <w:vAlign w:val="top"/>
          </w:tcPr>
          <w:p>
            <w:pPr>
              <w:keepNext w:val="0"/>
              <w:keepLines w:val="0"/>
              <w:pageBreakBefore w:val="0"/>
              <w:kinsoku/>
              <w:wordWrap/>
              <w:overflowPunct/>
              <w:topLinePunct w:val="0"/>
              <w:autoSpaceDE/>
              <w:autoSpaceDN/>
              <w:bidi w:val="0"/>
              <w:adjustRightInd/>
              <w:snapToGrid/>
              <w:spacing w:line="400" w:lineRule="exact"/>
              <w:jc w:val="left"/>
              <w:textAlignment w:val="auto"/>
              <w:rPr>
                <w:rFonts w:hint="eastAsia"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根据投标人提供针对中标后的“最多跑一次”要求：建设浙江中药服务在线，完成中药全流程数字化质控等内容的承诺及建设方案等进行综合打分。</w:t>
            </w:r>
          </w:p>
        </w:tc>
        <w:tc>
          <w:tcPr>
            <w:tcW w:w="705"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400" w:lineRule="exact"/>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5分</w:t>
            </w:r>
          </w:p>
        </w:tc>
      </w:tr>
    </w:tbl>
    <w:p>
      <w:pPr>
        <w:keepNext w:val="0"/>
        <w:keepLines w:val="0"/>
        <w:pageBreakBefore w:val="0"/>
        <w:widowControl w:val="0"/>
        <w:kinsoku/>
        <w:wordWrap/>
        <w:overflowPunct/>
        <w:topLinePunct w:val="0"/>
        <w:autoSpaceDE/>
        <w:autoSpaceDN/>
        <w:bidi w:val="0"/>
        <w:adjustRightInd w:val="0"/>
        <w:snapToGrid w:val="0"/>
        <w:spacing w:line="38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pPr>
        <w:keepNext w:val="0"/>
        <w:keepLines w:val="0"/>
        <w:pageBreakBefore w:val="0"/>
        <w:widowControl w:val="0"/>
        <w:kinsoku/>
        <w:wordWrap/>
        <w:overflowPunct/>
        <w:topLinePunct w:val="0"/>
        <w:autoSpaceDE/>
        <w:autoSpaceDN/>
        <w:bidi w:val="0"/>
        <w:adjustRightInd w:val="0"/>
        <w:spacing w:line="380" w:lineRule="exact"/>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lang w:val="en-US" w:eastAsia="zh-CN"/>
        </w:rPr>
        <w:t xml:space="preserve"> 20 </w:t>
      </w:r>
      <w:r>
        <w:rPr>
          <w:rFonts w:hint="eastAsia" w:ascii="仿宋" w:hAnsi="仿宋" w:eastAsia="仿宋" w:cs="仿宋"/>
          <w:b/>
          <w:bCs/>
          <w:iCs/>
          <w:color w:val="auto"/>
          <w:sz w:val="24"/>
          <w:highlight w:val="none"/>
        </w:rPr>
        <w:t>分）</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8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标项一、标项二：</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8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投标人承诺服务期内价格统一按绍兴市医疗保障协会等联委公布的中药饮片价格最新信息价结算的得20分，不承诺的不得分，满分20分</w:t>
      </w:r>
      <w:bookmarkStart w:id="51" w:name="_GoBack"/>
      <w:bookmarkEnd w:id="51"/>
      <w:r>
        <w:rPr>
          <w:rFonts w:hint="eastAsia" w:ascii="仿宋" w:hAnsi="仿宋" w:eastAsia="仿宋" w:cs="仿宋"/>
          <w:bCs/>
          <w:iCs/>
          <w:color w:val="auto"/>
          <w:sz w:val="24"/>
          <w:highlight w:val="none"/>
          <w:lang w:val="en-US" w:eastAsia="zh-CN"/>
        </w:rPr>
        <w:t>。</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80" w:lineRule="exact"/>
        <w:textAlignment w:val="auto"/>
        <w:rPr>
          <w:rFonts w:hint="eastAsia"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标项三：</w:t>
      </w:r>
    </w:p>
    <w:p>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380" w:lineRule="exact"/>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lang w:val="en-US" w:eastAsia="zh-CN"/>
        </w:rPr>
        <w:t xml:space="preserve">投标人承诺服务期内价格统一按绍兴市医疗保障协会等联委公布的中药饮片价格最新信息价结算的得20分，如投标单位不是小微企业的扣2分，不承诺的不得分，满分20分。                                                                                                                                                                                                                                                                                                                                                                                                                                                                                                                                                                                                                                                                                                                                                                                                                                                                                                                                                                                                                                                                                                                                                                                                                                                                                                                                                                                                                                                                                                                                                                                                                                                                                                                                                                                                                 </w:t>
      </w:r>
    </w:p>
    <w:p>
      <w:pPr>
        <w:pStyle w:val="26"/>
        <w:snapToGrid w:val="0"/>
        <w:spacing w:line="360" w:lineRule="auto"/>
        <w:ind w:firstLine="0" w:firstLineChars="0"/>
        <w:rPr>
          <w:rFonts w:hint="eastAsia" w:ascii="仿宋" w:hAnsi="仿宋" w:eastAsia="仿宋" w:cs="仿宋"/>
          <w:color w:val="auto"/>
          <w:highlight w:val="none"/>
        </w:rPr>
      </w:pPr>
    </w:p>
    <w:p>
      <w:pPr>
        <w:widowControl/>
        <w:adjustRightInd/>
        <w:jc w:val="cente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ascii="仿宋" w:hAnsi="仿宋" w:eastAsia="仿宋" w:cs="仿宋"/>
          <w:b/>
          <w:color w:val="auto"/>
          <w:sz w:val="36"/>
          <w:szCs w:val="20"/>
          <w:highlight w:val="none"/>
        </w:rPr>
      </w:pPr>
    </w:p>
    <w:p>
      <w:pPr>
        <w:rPr>
          <w:rFonts w:hint="eastAsia" w:ascii="仿宋" w:hAnsi="仿宋" w:eastAsia="仿宋" w:cs="仿宋"/>
          <w:b/>
          <w:color w:val="auto"/>
          <w:sz w:val="36"/>
          <w:szCs w:val="20"/>
          <w:highlight w:val="none"/>
        </w:rPr>
      </w:pPr>
    </w:p>
    <w:p>
      <w:pPr>
        <w:pStyle w:val="2"/>
        <w:rPr>
          <w:rFonts w:hint="eastAsia"/>
        </w:rPr>
      </w:pPr>
    </w:p>
    <w:p>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36"/>
      <w:r>
        <w:rPr>
          <w:rFonts w:hint="eastAsia" w:ascii="仿宋" w:hAnsi="仿宋" w:eastAsia="仿宋" w:cs="仿宋"/>
          <w:b/>
          <w:color w:val="auto"/>
          <w:sz w:val="36"/>
          <w:szCs w:val="20"/>
          <w:highlight w:val="none"/>
        </w:rPr>
        <w:t xml:space="preserve"> </w:t>
      </w:r>
      <w:bookmarkEnd w:id="37"/>
      <w:r>
        <w:rPr>
          <w:rFonts w:hint="eastAsia" w:ascii="仿宋" w:hAnsi="仿宋" w:eastAsia="仿宋" w:cs="仿宋"/>
          <w:b/>
          <w:color w:val="auto"/>
          <w:sz w:val="36"/>
          <w:szCs w:val="20"/>
          <w:highlight w:val="none"/>
        </w:rPr>
        <w:t>投标文件及其附件格式</w:t>
      </w:r>
    </w:p>
    <w:p>
      <w:pPr>
        <w:spacing w:line="360" w:lineRule="auto"/>
        <w:jc w:val="center"/>
        <w:outlineLvl w:val="0"/>
        <w:rPr>
          <w:rFonts w:hint="eastAsia" w:ascii="仿宋" w:hAnsi="仿宋" w:eastAsia="仿宋" w:cs="仿宋"/>
          <w:b/>
          <w:color w:val="auto"/>
          <w:kern w:val="0"/>
          <w:sz w:val="36"/>
          <w:szCs w:val="36"/>
          <w:highlight w:val="none"/>
        </w:r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营业执照扫描件</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符合参加政府采购活动应当具备的一般条件的承诺函……………（页码）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w:t>
      </w:r>
      <w:r>
        <w:rPr>
          <w:rFonts w:hint="eastAsia" w:ascii="仿宋" w:hAnsi="仿宋" w:eastAsia="仿宋" w:cs="仿宋"/>
          <w:snapToGrid w:val="0"/>
          <w:color w:val="auto"/>
          <w:kern w:val="28"/>
          <w:sz w:val="24"/>
          <w:szCs w:val="20"/>
          <w:highlight w:val="none"/>
          <w:lang w:val="en-US" w:eastAsia="zh-CN"/>
        </w:rPr>
        <w:t>3</w:t>
      </w:r>
      <w:r>
        <w:rPr>
          <w:rFonts w:hint="eastAsia" w:ascii="仿宋" w:hAnsi="仿宋" w:eastAsia="仿宋" w:cs="仿宋"/>
          <w:snapToGrid w:val="0"/>
          <w:color w:val="auto"/>
          <w:kern w:val="28"/>
          <w:sz w:val="24"/>
          <w:szCs w:val="20"/>
          <w:highlight w:val="none"/>
        </w:rPr>
        <w:t>）联合协议</w:t>
      </w:r>
      <w:r>
        <w:rPr>
          <w:rFonts w:hint="eastAsia" w:ascii="仿宋" w:hAnsi="仿宋" w:eastAsia="仿宋" w:cs="仿宋"/>
          <w:color w:val="auto"/>
          <w:sz w:val="24"/>
          <w:highlight w:val="none"/>
        </w:rPr>
        <w:t>………………………………………………………………（页码）</w:t>
      </w:r>
    </w:p>
    <w:p>
      <w:pPr>
        <w:pStyle w:val="24"/>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）落实政府采购政策需满足的资格要求………………………………（页码）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）本项目的特定资格要求………………………………………………（页码）</w:t>
      </w:r>
    </w:p>
    <w:p>
      <w:pPr>
        <w:snapToGrid w:val="0"/>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w:t>
      </w:r>
      <w:r>
        <w:rPr>
          <w:rFonts w:hint="eastAsia" w:ascii="仿宋" w:hAnsi="仿宋" w:eastAsia="仿宋" w:cs="仿宋"/>
          <w:b/>
          <w:color w:val="auto"/>
          <w:kern w:val="0"/>
          <w:sz w:val="32"/>
          <w:szCs w:val="32"/>
          <w:highlight w:val="none"/>
          <w:lang w:val="en-US" w:eastAsia="zh-CN"/>
        </w:rPr>
        <w:t>营业执照扫描件</w:t>
      </w:r>
    </w:p>
    <w:p>
      <w:pPr>
        <w:snapToGrid w:val="0"/>
        <w:spacing w:line="360" w:lineRule="auto"/>
        <w:ind w:right="480"/>
        <w:jc w:val="center"/>
        <w:rPr>
          <w:rFonts w:hint="eastAsia" w:ascii="仿宋" w:hAnsi="仿宋" w:eastAsia="仿宋" w:cs="仿宋"/>
          <w:b/>
          <w:color w:val="auto"/>
          <w:kern w:val="0"/>
          <w:sz w:val="32"/>
          <w:szCs w:val="32"/>
          <w:highlight w:val="none"/>
          <w:lang w:val="en-US" w:eastAsia="zh-CN"/>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符合参加政府采购活动应当具备的一般条件的承诺函</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以上承诺如有虚假或隐瞒，采购人可取消我方任何资格（投标/中标/签订合同），我方对此无任何异议，并愿意承担一切后果和责任。</w:t>
      </w:r>
    </w:p>
    <w:p>
      <w:pPr>
        <w:snapToGrid w:val="0"/>
        <w:spacing w:line="360" w:lineRule="auto"/>
        <w:ind w:firstLine="480" w:firstLineChars="200"/>
        <w:rPr>
          <w:rFonts w:hint="eastAsia" w:ascii="仿宋" w:hAnsi="仿宋" w:eastAsia="仿宋" w:cs="仿宋"/>
          <w:color w:val="auto"/>
          <w:sz w:val="24"/>
          <w:highlight w:val="none"/>
        </w:rPr>
      </w:pPr>
    </w:p>
    <w:p>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三</w:t>
      </w:r>
      <w:r>
        <w:rPr>
          <w:rFonts w:hint="eastAsia" w:ascii="仿宋" w:hAnsi="仿宋" w:eastAsia="仿宋" w:cs="仿宋"/>
          <w:b/>
          <w:color w:val="auto"/>
          <w:kern w:val="0"/>
          <w:sz w:val="32"/>
          <w:szCs w:val="32"/>
          <w:highlight w:val="none"/>
        </w:rPr>
        <w:t>、联合协议（如果有）</w:t>
      </w:r>
    </w:p>
    <w:p>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四</w:t>
      </w:r>
      <w:r>
        <w:rPr>
          <w:rFonts w:hint="eastAsia" w:ascii="仿宋" w:hAnsi="仿宋" w:eastAsia="仿宋" w:cs="仿宋"/>
          <w:b/>
          <w:color w:val="auto"/>
          <w:kern w:val="0"/>
          <w:sz w:val="32"/>
          <w:szCs w:val="32"/>
          <w:highlight w:val="none"/>
        </w:rPr>
        <w:t>、分包意向协议（如果有）</w:t>
      </w:r>
    </w:p>
    <w:p>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五</w:t>
      </w:r>
      <w:r>
        <w:rPr>
          <w:rFonts w:hint="eastAsia" w:ascii="仿宋" w:hAnsi="仿宋" w:eastAsia="仿宋" w:cs="仿宋"/>
          <w:b/>
          <w:color w:val="auto"/>
          <w:kern w:val="0"/>
          <w:sz w:val="32"/>
          <w:szCs w:val="32"/>
          <w:highlight w:val="none"/>
        </w:rPr>
        <w:t>、落实政府采购政策需满足的资格要求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pPr>
        <w:widowControl/>
        <w:spacing w:line="360" w:lineRule="auto"/>
        <w:ind w:left="150"/>
        <w:jc w:val="center"/>
        <w:rPr>
          <w:rFonts w:hint="eastAsia" w:ascii="仿宋" w:hAnsi="仿宋" w:eastAsia="仿宋" w:cs="仿宋"/>
          <w:b/>
          <w:color w:val="auto"/>
          <w:kern w:val="0"/>
          <w:sz w:val="32"/>
          <w:szCs w:val="32"/>
          <w:highlight w:val="none"/>
        </w:rPr>
      </w:pPr>
    </w:p>
    <w:p>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、本项目的特定资格要求</w:t>
      </w:r>
    </w:p>
    <w:p>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pPr>
        <w:spacing w:line="360" w:lineRule="auto"/>
        <w:jc w:val="center"/>
        <w:outlineLvl w:val="0"/>
        <w:rPr>
          <w:rFonts w:hint="eastAsia" w:ascii="仿宋" w:hAnsi="仿宋" w:eastAsia="仿宋" w:cs="仿宋"/>
          <w:b/>
          <w:color w:val="auto"/>
          <w:kern w:val="0"/>
          <w:sz w:val="24"/>
          <w:highlight w:val="none"/>
        </w:rPr>
      </w:pPr>
    </w:p>
    <w:p>
      <w:pP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br w:type="page"/>
      </w:r>
    </w:p>
    <w:p>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pPr>
        <w:spacing w:line="336" w:lineRule="auto"/>
        <w:jc w:val="center"/>
        <w:outlineLvl w:val="0"/>
        <w:rPr>
          <w:rFonts w:ascii="仿宋" w:hAnsi="仿宋" w:eastAsia="仿宋" w:cs="仿宋"/>
          <w:b/>
          <w:color w:val="auto"/>
          <w:kern w:val="0"/>
          <w:sz w:val="24"/>
          <w:highlight w:val="none"/>
        </w:rPr>
      </w:pPr>
    </w:p>
    <w:p>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评分索引表……………………………………………………………………（页码）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eastAsia="zh-CN"/>
        </w:rPr>
        <w:t>投标函</w:t>
      </w:r>
      <w:r>
        <w:rPr>
          <w:rFonts w:hint="eastAsia" w:ascii="仿宋" w:eastAsia="仿宋" w:cs="仿宋"/>
          <w:color w:val="auto"/>
          <w:highlight w:val="none"/>
        </w:rPr>
        <w:t>…………………………………………………………………………（页码）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法定代表人授权书 ………………………………………………………… （页码）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法定代表人及其授权代表身份证复印件（复印件）…………………………（页码）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rPr>
        <w:t>法定代表人身份证明书……………………………………………………… （页码）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zh-CN"/>
        </w:rPr>
        <w:t>商务资信响应表</w:t>
      </w:r>
      <w:r>
        <w:rPr>
          <w:rFonts w:hint="eastAsia" w:ascii="仿宋" w:eastAsia="仿宋" w:cs="仿宋"/>
          <w:color w:val="auto"/>
          <w:highlight w:val="none"/>
        </w:rPr>
        <w:t>…………………………………………………………………（页码）</w:t>
      </w:r>
    </w:p>
    <w:p>
      <w:pPr>
        <w:pStyle w:val="905"/>
        <w:numPr>
          <w:ilvl w:val="0"/>
          <w:numId w:val="1"/>
        </w:numPr>
        <w:spacing w:line="336" w:lineRule="auto"/>
        <w:ind w:left="0" w:firstLine="0" w:firstLineChars="0"/>
        <w:jc w:val="both"/>
        <w:rPr>
          <w:rFonts w:ascii="仿宋" w:eastAsia="仿宋" w:cs="仿宋"/>
          <w:color w:val="auto"/>
          <w:highlight w:val="none"/>
        </w:rPr>
      </w:pPr>
      <w:r>
        <w:rPr>
          <w:rFonts w:hint="eastAsia" w:ascii="仿宋" w:eastAsia="仿宋" w:cs="仿宋"/>
          <w:color w:val="auto"/>
          <w:highlight w:val="none"/>
          <w:lang w:val="en-US" w:eastAsia="zh-CN"/>
        </w:rPr>
        <w:t>技术</w:t>
      </w:r>
      <w:r>
        <w:rPr>
          <w:rFonts w:hint="eastAsia" w:ascii="仿宋" w:eastAsia="仿宋" w:cs="仿宋"/>
          <w:color w:val="auto"/>
          <w:highlight w:val="none"/>
          <w:lang w:val="zh-CN" w:eastAsia="zh-CN"/>
        </w:rPr>
        <w:t>偏离表</w:t>
      </w:r>
      <w:r>
        <w:rPr>
          <w:rFonts w:hint="eastAsia" w:ascii="仿宋" w:eastAsia="仿宋" w:cs="仿宋"/>
          <w:color w:val="auto"/>
          <w:highlight w:val="none"/>
        </w:rPr>
        <w:t>………………………………………………………………………（页码）</w:t>
      </w:r>
    </w:p>
    <w:p>
      <w:pPr>
        <w:adjustRightInd w:val="0"/>
        <w:spacing w:line="360" w:lineRule="auto"/>
        <w:ind w:right="-510" w:rightChars="-243"/>
        <w:jc w:val="both"/>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en-US" w:eastAsia="zh-CN"/>
        </w:rPr>
        <w:t>8</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主要业绩证明…………………………………………………</w:t>
      </w:r>
      <w:r>
        <w:rPr>
          <w:rFonts w:hint="eastAsia" w:ascii="仿宋_GB2312" w:hAnsi="仿宋_GB2312" w:eastAsia="仿宋_GB2312" w:cs="仿宋_GB2312"/>
          <w:color w:val="auto"/>
          <w:sz w:val="24"/>
          <w:highlight w:val="none"/>
        </w:rPr>
        <w:t>…………</w:t>
      </w:r>
      <w:r>
        <w:rPr>
          <w:rFonts w:hint="eastAsia" w:ascii="仿宋_GB2312" w:hAnsi="仿宋_GB2312" w:eastAsia="仿宋_GB2312" w:cs="仿宋_GB2312"/>
          <w:color w:val="auto"/>
          <w:sz w:val="24"/>
          <w:highlight w:val="none"/>
          <w:lang w:val="zh-CN"/>
        </w:rPr>
        <w:t>…</w:t>
      </w:r>
      <w:r>
        <w:rPr>
          <w:rFonts w:hint="eastAsia" w:ascii="仿宋" w:eastAsia="仿宋" w:cs="仿宋"/>
          <w:color w:val="auto"/>
          <w:highlight w:val="none"/>
        </w:rPr>
        <w:t>……</w:t>
      </w:r>
      <w:r>
        <w:rPr>
          <w:rFonts w:hint="eastAsia" w:ascii="仿宋_GB2312" w:hAnsi="仿宋_GB2312" w:eastAsia="仿宋_GB2312" w:cs="仿宋_GB2312"/>
          <w:color w:val="auto"/>
          <w:sz w:val="24"/>
          <w:highlight w:val="none"/>
        </w:rPr>
        <w:t>（页码）</w:t>
      </w:r>
    </w:p>
    <w:p>
      <w:pPr>
        <w:spacing w:line="360" w:lineRule="auto"/>
        <w:ind w:right="-510" w:rightChars="-243"/>
        <w:jc w:val="both"/>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lang w:val="en-US" w:eastAsia="zh-CN"/>
        </w:rPr>
        <w:t>9</w:t>
      </w:r>
      <w:r>
        <w:rPr>
          <w:rFonts w:hint="eastAsia" w:ascii="仿宋_GB2312" w:hAnsi="仿宋_GB2312" w:eastAsia="仿宋_GB2312" w:cs="仿宋_GB2312"/>
          <w:color w:val="auto"/>
          <w:kern w:val="0"/>
          <w:sz w:val="24"/>
          <w:highlight w:val="none"/>
          <w:lang w:eastAsia="zh-CN"/>
        </w:rPr>
        <w:t>）</w:t>
      </w:r>
      <w:r>
        <w:rPr>
          <w:rFonts w:hint="eastAsia" w:ascii="仿宋_GB2312" w:hAnsi="仿宋_GB2312" w:eastAsia="仿宋_GB2312" w:cs="仿宋_GB2312"/>
          <w:color w:val="auto"/>
          <w:kern w:val="0"/>
          <w:sz w:val="24"/>
          <w:highlight w:val="none"/>
        </w:rPr>
        <w:t>项目小组人员名单………………………………………</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w:t>
      </w:r>
      <w:r>
        <w:rPr>
          <w:rFonts w:hint="eastAsia" w:ascii="仿宋" w:eastAsia="仿宋" w:cs="仿宋"/>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510" w:rightChars="-243"/>
        <w:jc w:val="left"/>
        <w:rPr>
          <w:rFonts w:ascii="仿宋_GB2312" w:hAnsi="仿宋_GB2312" w:eastAsia="仿宋_GB2312" w:cs="仿宋_GB2312"/>
          <w:color w:val="auto"/>
          <w:kern w:val="0"/>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10</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政府采购供应商廉洁自律承诺书……………………………………</w:t>
      </w:r>
      <w:r>
        <w:rPr>
          <w:rFonts w:hint="eastAsia" w:ascii="仿宋_GB2312" w:hAnsi="仿宋_GB2312" w:eastAsia="仿宋_GB2312" w:cs="仿宋_GB2312"/>
          <w:color w:val="auto"/>
          <w:highlight w:val="none"/>
        </w:rPr>
        <w:t>…………</w:t>
      </w:r>
      <w:r>
        <w:rPr>
          <w:rFonts w:hint="eastAsia" w:ascii="仿宋_GB2312" w:hAnsi="仿宋_GB2312" w:eastAsia="仿宋_GB2312" w:cs="仿宋_GB2312"/>
          <w:color w:val="auto"/>
          <w:kern w:val="0"/>
          <w:sz w:val="24"/>
          <w:highlight w:val="none"/>
        </w:rPr>
        <w:t>（页码）</w:t>
      </w:r>
    </w:p>
    <w:p>
      <w:pPr>
        <w:spacing w:line="360" w:lineRule="auto"/>
        <w:ind w:right="-368" w:rightChars="-175"/>
        <w:jc w:val="both"/>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en-US" w:eastAsia="zh-CN"/>
        </w:rPr>
        <w:t>11</w:t>
      </w:r>
      <w:r>
        <w:rPr>
          <w:rFonts w:hint="eastAsia" w:ascii="仿宋_GB2312" w:hAnsi="仿宋_GB2312" w:eastAsia="仿宋_GB2312" w:cs="仿宋_GB2312"/>
          <w:color w:val="auto"/>
          <w:kern w:val="0"/>
          <w:sz w:val="24"/>
          <w:highlight w:val="none"/>
        </w:rPr>
        <w:t>）</w:t>
      </w:r>
      <w:r>
        <w:rPr>
          <w:rFonts w:hint="eastAsia" w:ascii="仿宋_GB2312" w:hAnsi="仿宋_GB2312" w:eastAsia="仿宋_GB2312" w:cs="仿宋_GB2312"/>
          <w:color w:val="auto"/>
          <w:kern w:val="0"/>
          <w:sz w:val="24"/>
          <w:highlight w:val="none"/>
          <w:lang w:val="zh-CN"/>
        </w:rPr>
        <w:t>认为需要的其他商务技术（资信）文件或说明…………</w:t>
      </w:r>
      <w:r>
        <w:rPr>
          <w:rFonts w:hint="eastAsia" w:ascii="仿宋" w:eastAsia="仿宋" w:cs="仿宋"/>
          <w:color w:val="auto"/>
          <w:highlight w:val="none"/>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hAnsi="仿宋_GB2312" w:cs="仿宋_GB2312"/>
          <w:color w:val="auto"/>
          <w:highlight w:val="none"/>
        </w:rPr>
        <w:t>………</w:t>
      </w:r>
      <w:r>
        <w:rPr>
          <w:rFonts w:hint="eastAsia" w:ascii="仿宋_GB2312" w:hAnsi="仿宋_GB2312" w:eastAsia="仿宋_GB2312" w:cs="仿宋_GB2312"/>
          <w:color w:val="auto"/>
          <w:kern w:val="0"/>
          <w:sz w:val="24"/>
          <w:highlight w:val="none"/>
          <w:lang w:val="zh-CN"/>
        </w:rPr>
        <w:t>…</w:t>
      </w:r>
      <w:r>
        <w:rPr>
          <w:rFonts w:hint="eastAsia" w:ascii="仿宋_GB2312" w:hAnsi="仿宋_GB2312" w:eastAsia="仿宋_GB2312" w:cs="仿宋_GB2312"/>
          <w:color w:val="auto"/>
          <w:kern w:val="0"/>
          <w:sz w:val="24"/>
          <w:highlight w:val="none"/>
        </w:rPr>
        <w:t>（页码）</w:t>
      </w: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center"/>
        <w:rPr>
          <w:rFonts w:hint="eastAsia" w:ascii="仿宋" w:hAnsi="仿宋" w:eastAsia="仿宋" w:cs="仿宋"/>
          <w:b/>
          <w:color w:val="auto"/>
          <w:kern w:val="0"/>
          <w:sz w:val="32"/>
          <w:szCs w:val="32"/>
          <w:highlight w:val="none"/>
          <w:lang w:val="zh-CN"/>
        </w:rPr>
      </w:pPr>
    </w:p>
    <w:p>
      <w:pPr>
        <w:snapToGrid w:val="0"/>
        <w:spacing w:line="360" w:lineRule="auto"/>
        <w:jc w:val="both"/>
        <w:rPr>
          <w:rFonts w:hint="eastAsia" w:ascii="仿宋" w:hAnsi="仿宋" w:eastAsia="仿宋" w:cs="仿宋"/>
          <w:b/>
          <w:color w:val="auto"/>
          <w:kern w:val="0"/>
          <w:sz w:val="32"/>
          <w:szCs w:val="32"/>
          <w:highlight w:val="none"/>
          <w:lang w:val="zh-CN"/>
        </w:rPr>
      </w:pPr>
    </w:p>
    <w:p>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pPr>
        <w:spacing w:line="500" w:lineRule="exact"/>
        <w:jc w:val="center"/>
        <w:textAlignment w:val="baseline"/>
        <w:rPr>
          <w:rStyle w:val="965"/>
          <w:rFonts w:hint="eastAsia" w:ascii="仿宋" w:hAnsi="仿宋" w:eastAsia="仿宋" w:cs="仿宋"/>
          <w:b/>
          <w:bCs/>
          <w:color w:val="auto"/>
          <w:sz w:val="30"/>
          <w:szCs w:val="30"/>
          <w:highlight w:val="none"/>
        </w:rPr>
      </w:pPr>
      <w:r>
        <w:rPr>
          <w:rStyle w:val="965"/>
          <w:rFonts w:hint="eastAsia" w:ascii="仿宋" w:hAnsi="仿宋" w:eastAsia="仿宋" w:cs="仿宋"/>
          <w:b/>
          <w:bCs/>
          <w:color w:val="auto"/>
          <w:sz w:val="30"/>
          <w:szCs w:val="30"/>
          <w:highlight w:val="none"/>
          <w:lang w:val="en-US" w:eastAsia="zh-CN"/>
        </w:rPr>
        <w:t>一、</w:t>
      </w:r>
      <w:r>
        <w:rPr>
          <w:rStyle w:val="965"/>
          <w:rFonts w:hint="eastAsia" w:ascii="仿宋" w:hAnsi="仿宋" w:eastAsia="仿宋" w:cs="仿宋"/>
          <w:b/>
          <w:bCs/>
          <w:color w:val="auto"/>
          <w:sz w:val="30"/>
          <w:szCs w:val="30"/>
          <w:highlight w:val="none"/>
        </w:rPr>
        <w:t>评分索引表</w:t>
      </w:r>
    </w:p>
    <w:tbl>
      <w:tblPr>
        <w:tblStyle w:val="64"/>
        <w:tblW w:w="9461" w:type="dxa"/>
        <w:jc w:val="center"/>
        <w:tblLayout w:type="fixed"/>
        <w:tblCellMar>
          <w:top w:w="0" w:type="dxa"/>
          <w:left w:w="0" w:type="dxa"/>
          <w:bottom w:w="0" w:type="dxa"/>
          <w:right w:w="0" w:type="dxa"/>
        </w:tblCellMar>
      </w:tblPr>
      <w:tblGrid>
        <w:gridCol w:w="775"/>
        <w:gridCol w:w="1861"/>
        <w:gridCol w:w="4864"/>
        <w:gridCol w:w="1062"/>
        <w:gridCol w:w="899"/>
      </w:tblGrid>
      <w:tr>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b/>
                <w:bCs/>
                <w:color w:val="auto"/>
                <w:sz w:val="24"/>
                <w:szCs w:val="24"/>
                <w:highlight w:val="none"/>
                <w:lang w:eastAsia="zh-CN"/>
              </w:rPr>
            </w:pPr>
            <w:r>
              <w:rPr>
                <w:rStyle w:val="965"/>
                <w:rFonts w:hint="eastAsia" w:ascii="仿宋" w:hAnsi="仿宋" w:eastAsia="仿宋" w:cs="仿宋"/>
                <w:b/>
                <w:bCs/>
                <w:color w:val="auto"/>
                <w:sz w:val="24"/>
                <w:szCs w:val="24"/>
                <w:highlight w:val="none"/>
                <w:lang w:eastAsia="zh-CN"/>
              </w:rPr>
              <w:t>序号</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b/>
                <w:bCs/>
                <w:color w:val="auto"/>
                <w:sz w:val="24"/>
                <w:szCs w:val="24"/>
                <w:highlight w:val="none"/>
              </w:rPr>
            </w:pPr>
            <w:r>
              <w:rPr>
                <w:rStyle w:val="965"/>
                <w:rFonts w:hint="eastAsia" w:ascii="仿宋" w:hAnsi="仿宋" w:eastAsia="仿宋" w:cs="仿宋"/>
                <w:b/>
                <w:bCs/>
                <w:color w:val="auto"/>
                <w:sz w:val="24"/>
                <w:szCs w:val="24"/>
                <w:highlight w:val="none"/>
              </w:rPr>
              <w:t>评审内容</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b/>
                <w:bCs/>
                <w:color w:val="auto"/>
                <w:sz w:val="24"/>
                <w:szCs w:val="24"/>
                <w:highlight w:val="none"/>
              </w:rPr>
            </w:pPr>
            <w:r>
              <w:rPr>
                <w:rStyle w:val="965"/>
                <w:rFonts w:hint="eastAsia" w:ascii="仿宋" w:hAnsi="仿宋" w:eastAsia="仿宋" w:cs="仿宋"/>
                <w:b/>
                <w:bCs/>
                <w:color w:val="auto"/>
                <w:sz w:val="24"/>
                <w:szCs w:val="24"/>
                <w:highlight w:val="none"/>
              </w:rPr>
              <w:t>评分标准</w:t>
            </w: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b/>
                <w:bCs/>
                <w:color w:val="auto"/>
                <w:sz w:val="24"/>
                <w:szCs w:val="24"/>
                <w:highlight w:val="none"/>
              </w:rPr>
            </w:pPr>
            <w:r>
              <w:rPr>
                <w:rStyle w:val="965"/>
                <w:rFonts w:hint="eastAsia" w:ascii="仿宋" w:hAnsi="仿宋" w:eastAsia="仿宋" w:cs="仿宋"/>
                <w:b/>
                <w:bCs/>
                <w:color w:val="auto"/>
                <w:sz w:val="24"/>
                <w:szCs w:val="24"/>
                <w:highlight w:val="none"/>
              </w:rPr>
              <w:t>分值</w:t>
            </w: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b/>
                <w:bCs/>
                <w:color w:val="auto"/>
                <w:sz w:val="24"/>
                <w:szCs w:val="24"/>
                <w:highlight w:val="none"/>
                <w:lang w:eastAsia="zh-CN"/>
              </w:rPr>
            </w:pPr>
            <w:r>
              <w:rPr>
                <w:rStyle w:val="965"/>
                <w:rFonts w:hint="eastAsia" w:ascii="仿宋" w:hAnsi="仿宋" w:eastAsia="仿宋" w:cs="仿宋"/>
                <w:b/>
                <w:bCs/>
                <w:color w:val="auto"/>
                <w:sz w:val="24"/>
                <w:szCs w:val="24"/>
                <w:highlight w:val="none"/>
              </w:rPr>
              <w:t>评分对应页码</w:t>
            </w: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1</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2</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left"/>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3</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textAlignment w:val="baseline"/>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4</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5</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6</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7</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8</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9</w:t>
            </w: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rPr>
            </w:pP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r>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lang w:val="en-US" w:eastAsia="zh-CN"/>
              </w:rPr>
            </w:pPr>
          </w:p>
        </w:tc>
        <w:tc>
          <w:tcPr>
            <w:tcW w:w="1861"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baseline"/>
              <w:rPr>
                <w:rStyle w:val="965"/>
                <w:rFonts w:hint="eastAsia" w:ascii="仿宋" w:hAnsi="仿宋" w:eastAsia="仿宋" w:cs="仿宋"/>
                <w:color w:val="auto"/>
                <w:sz w:val="24"/>
                <w:szCs w:val="24"/>
                <w:highlight w:val="none"/>
                <w:lang w:val="en-US" w:eastAsia="zh-CN"/>
              </w:rPr>
            </w:pPr>
            <w:r>
              <w:rPr>
                <w:rStyle w:val="965"/>
                <w:rFonts w:hint="eastAsia" w:ascii="仿宋" w:hAnsi="仿宋" w:eastAsia="仿宋" w:cs="仿宋"/>
                <w:color w:val="auto"/>
                <w:sz w:val="24"/>
                <w:szCs w:val="24"/>
                <w:highlight w:val="none"/>
                <w:lang w:val="en-US" w:eastAsia="zh-CN"/>
              </w:rPr>
              <w:t>......</w:t>
            </w:r>
          </w:p>
        </w:tc>
        <w:tc>
          <w:tcPr>
            <w:tcW w:w="486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80" w:lineRule="exact"/>
              <w:ind w:left="0" w:right="0"/>
              <w:jc w:val="left"/>
              <w:textAlignment w:val="baseline"/>
              <w:rPr>
                <w:rStyle w:val="965"/>
                <w:rFonts w:hint="eastAsia" w:ascii="仿宋" w:hAnsi="仿宋" w:eastAsia="仿宋" w:cs="仿宋"/>
                <w:color w:val="auto"/>
                <w:sz w:val="24"/>
                <w:szCs w:val="24"/>
                <w:highlight w:val="none"/>
              </w:rPr>
            </w:pPr>
          </w:p>
        </w:tc>
        <w:tc>
          <w:tcPr>
            <w:tcW w:w="106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c>
          <w:tcPr>
            <w:tcW w:w="89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before="0" w:beforeAutospacing="0" w:after="0" w:afterAutospacing="0" w:line="360" w:lineRule="auto"/>
              <w:ind w:left="0" w:right="0"/>
              <w:jc w:val="center"/>
              <w:textAlignment w:val="center"/>
              <w:rPr>
                <w:rStyle w:val="965"/>
                <w:rFonts w:hint="eastAsia" w:ascii="仿宋" w:hAnsi="仿宋" w:eastAsia="仿宋" w:cs="仿宋"/>
                <w:color w:val="auto"/>
                <w:sz w:val="24"/>
                <w:szCs w:val="24"/>
                <w:highlight w:val="none"/>
              </w:rPr>
            </w:pPr>
          </w:p>
        </w:tc>
      </w:tr>
    </w:tbl>
    <w:p>
      <w:pPr>
        <w:spacing w:line="440" w:lineRule="exact"/>
        <w:textAlignment w:val="baseline"/>
        <w:rPr>
          <w:rStyle w:val="965"/>
          <w:rFonts w:hint="eastAsia" w:ascii="仿宋" w:hAnsi="仿宋" w:eastAsia="仿宋" w:cs="仿宋"/>
          <w:b/>
          <w:bCs/>
          <w:color w:val="auto"/>
          <w:sz w:val="24"/>
          <w:szCs w:val="24"/>
          <w:highlight w:val="none"/>
        </w:rPr>
      </w:pPr>
      <w:r>
        <w:rPr>
          <w:rStyle w:val="965"/>
          <w:rFonts w:hint="eastAsia" w:ascii="仿宋" w:hAnsi="仿宋" w:eastAsia="仿宋" w:cs="仿宋"/>
          <w:b/>
          <w:bCs/>
          <w:color w:val="auto"/>
          <w:sz w:val="24"/>
          <w:szCs w:val="24"/>
          <w:highlight w:val="none"/>
        </w:rPr>
        <w:t>注：评审</w:t>
      </w:r>
      <w:r>
        <w:rPr>
          <w:rStyle w:val="965"/>
          <w:rFonts w:hint="eastAsia" w:ascii="仿宋" w:hAnsi="仿宋" w:eastAsia="仿宋" w:cs="仿宋"/>
          <w:b/>
          <w:bCs/>
          <w:color w:val="auto"/>
          <w:sz w:val="24"/>
          <w:szCs w:val="24"/>
          <w:highlight w:val="none"/>
          <w:lang w:eastAsia="zh-CN"/>
        </w:rPr>
        <w:t>内容</w:t>
      </w:r>
      <w:r>
        <w:rPr>
          <w:rStyle w:val="965"/>
          <w:rFonts w:hint="eastAsia" w:ascii="仿宋" w:hAnsi="仿宋" w:eastAsia="仿宋" w:cs="仿宋"/>
          <w:b/>
          <w:bCs/>
          <w:color w:val="auto"/>
          <w:sz w:val="24"/>
          <w:szCs w:val="24"/>
          <w:highlight w:val="none"/>
        </w:rPr>
        <w:t>、评分标准、分值对应“评审标准”内容。</w:t>
      </w: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kern w:val="0"/>
          <w:sz w:val="32"/>
          <w:szCs w:val="32"/>
          <w:highlight w:val="none"/>
        </w:rPr>
      </w:pPr>
    </w:p>
    <w:p>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lang w:val="en-US" w:eastAsia="zh-CN"/>
        </w:rPr>
        <w:t>二</w:t>
      </w:r>
      <w:r>
        <w:rPr>
          <w:rFonts w:hint="eastAsia" w:ascii="仿宋" w:hAnsi="仿宋" w:eastAsia="仿宋" w:cs="仿宋"/>
          <w:b/>
          <w:color w:val="auto"/>
          <w:kern w:val="0"/>
          <w:sz w:val="32"/>
          <w:szCs w:val="32"/>
          <w:highlight w:val="none"/>
        </w:rPr>
        <w:t>、投标</w:t>
      </w:r>
      <w:r>
        <w:rPr>
          <w:rFonts w:hint="eastAsia" w:ascii="仿宋" w:hAnsi="仿宋" w:eastAsia="仿宋" w:cs="仿宋"/>
          <w:b/>
          <w:color w:val="auto"/>
          <w:sz w:val="32"/>
          <w:szCs w:val="32"/>
          <w:highlight w:val="none"/>
        </w:rPr>
        <w:t>函</w:t>
      </w:r>
    </w:p>
    <w:p>
      <w:pPr>
        <w:pStyle w:val="396"/>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pPr>
        <w:pStyle w:val="14"/>
        <w:keepNext w:val="0"/>
        <w:keepLines w:val="0"/>
        <w:pageBreakBefore w:val="0"/>
        <w:tabs>
          <w:tab w:val="clear" w:pos="1697"/>
        </w:tabs>
        <w:kinsoku/>
        <w:wordWrap/>
        <w:overflowPunct/>
        <w:topLinePunct w:val="0"/>
        <w:autoSpaceDE/>
        <w:autoSpaceDN/>
        <w:bidi w:val="0"/>
        <w:spacing w:after="0" w:line="360"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pPr>
        <w:pStyle w:val="396"/>
        <w:keepNext w:val="0"/>
        <w:keepLines w:val="0"/>
        <w:pageBreakBefore w:val="0"/>
        <w:kinsoku/>
        <w:wordWrap/>
        <w:overflowPunct/>
        <w:topLinePunct w:val="0"/>
        <w:autoSpaceDE/>
        <w:autoSpaceDN/>
        <w:bidi w:val="0"/>
        <w:spacing w:after="0" w:line="360"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pPr>
        <w:pStyle w:val="396"/>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pPr>
        <w:keepNext w:val="0"/>
        <w:keepLines w:val="0"/>
        <w:pageBreakBefore w:val="0"/>
        <w:kinsoku/>
        <w:wordWrap/>
        <w:overflowPunct/>
        <w:topLinePunct w:val="0"/>
        <w:autoSpaceDE/>
        <w:autoSpaceDN/>
        <w:bidi w:val="0"/>
        <w:snapToGrid w:val="0"/>
        <w:spacing w:line="336" w:lineRule="auto"/>
        <w:jc w:val="left"/>
        <w:textAlignment w:val="auto"/>
        <w:rPr>
          <w:rFonts w:hint="eastAsia" w:ascii="仿宋" w:hAnsi="仿宋" w:eastAsia="仿宋" w:cs="仿宋"/>
          <w:color w:val="auto"/>
          <w:sz w:val="24"/>
          <w:szCs w:val="24"/>
          <w:highlight w:val="none"/>
        </w:rPr>
      </w:pPr>
    </w:p>
    <w:p>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三</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pPr>
        <w:ind w:firstLine="4920" w:firstLineChars="2050"/>
        <w:jc w:val="left"/>
        <w:rPr>
          <w:rFonts w:hint="eastAsia" w:ascii="仿宋" w:hAnsi="仿宋" w:eastAsia="仿宋" w:cs="仿宋"/>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pPr>
        <w:jc w:val="center"/>
        <w:rPr>
          <w:rFonts w:hint="eastAsia" w:ascii="仿宋" w:hAnsi="仿宋" w:eastAsia="仿宋" w:cs="仿宋"/>
          <w:b/>
          <w:color w:val="auto"/>
          <w:sz w:val="24"/>
          <w:highlight w:val="none"/>
        </w:rPr>
      </w:pP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pPr>
        <w:snapToGrid w:val="0"/>
        <w:spacing w:line="600" w:lineRule="exact"/>
        <w:jc w:val="lef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pPr>
        <w:spacing w:line="360" w:lineRule="exact"/>
        <w:rPr>
          <w:rFonts w:hint="eastAsia" w:ascii="仿宋" w:hAnsi="仿宋" w:eastAsia="仿宋" w:cs="仿宋"/>
          <w:color w:val="auto"/>
          <w:sz w:val="24"/>
          <w:highlight w:val="none"/>
        </w:rPr>
      </w:pPr>
    </w:p>
    <w:p>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pPr>
        <w:spacing w:line="360" w:lineRule="exact"/>
        <w:rPr>
          <w:rFonts w:hint="eastAsia" w:ascii="仿宋" w:hAnsi="仿宋" w:eastAsia="仿宋" w:cs="仿宋"/>
          <w:color w:val="auto"/>
          <w:sz w:val="24"/>
          <w:highlight w:val="none"/>
        </w:rPr>
      </w:pPr>
    </w:p>
    <w:p>
      <w:pPr>
        <w:spacing w:line="360" w:lineRule="exact"/>
        <w:rPr>
          <w:rFonts w:hint="eastAsia" w:ascii="仿宋" w:hAnsi="仿宋" w:eastAsia="仿宋" w:cs="仿宋"/>
          <w:color w:val="auto"/>
          <w:sz w:val="24"/>
          <w:highlight w:val="none"/>
        </w:rPr>
      </w:pPr>
    </w:p>
    <w:p>
      <w:pPr>
        <w:jc w:val="center"/>
        <w:rPr>
          <w:rFonts w:hint="eastAsia" w:ascii="仿宋" w:hAnsi="仿宋" w:eastAsia="仿宋" w:cs="仿宋"/>
          <w:b/>
          <w:color w:val="auto"/>
          <w:kern w:val="0"/>
          <w:sz w:val="32"/>
          <w:szCs w:val="32"/>
          <w:highlight w:val="none"/>
        </w:rPr>
      </w:pPr>
    </w:p>
    <w:p>
      <w:pPr>
        <w:rPr>
          <w:rFonts w:hint="eastAsia" w:ascii="仿宋" w:hAnsi="仿宋" w:eastAsia="仿宋" w:cs="仿宋"/>
          <w:color w:val="auto"/>
          <w:highlight w:val="none"/>
        </w:rPr>
      </w:pP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autoSpaceDE w:val="0"/>
        <w:autoSpaceDN w:val="0"/>
        <w:spacing w:line="360" w:lineRule="auto"/>
        <w:jc w:val="center"/>
        <w:rPr>
          <w:rFonts w:hint="eastAsia" w:ascii="仿宋" w:hAnsi="仿宋" w:eastAsia="仿宋" w:cs="仿宋"/>
          <w:b/>
          <w:color w:val="auto"/>
          <w:kern w:val="0"/>
          <w:sz w:val="32"/>
          <w:szCs w:val="32"/>
          <w:highlight w:val="none"/>
          <w:lang w:val="zh-CN"/>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pPr>
        <w:spacing w:line="800" w:lineRule="exact"/>
        <w:rPr>
          <w:rFonts w:hint="eastAsia" w:ascii="仿宋" w:hAnsi="仿宋" w:eastAsia="仿宋" w:cs="仿宋"/>
          <w:b/>
          <w:color w:val="auto"/>
          <w:sz w:val="24"/>
          <w:highlight w:val="none"/>
        </w:rPr>
      </w:pPr>
    </w:p>
    <w:p>
      <w:pPr>
        <w:spacing w:line="800" w:lineRule="exact"/>
        <w:rPr>
          <w:rFonts w:hint="eastAsia" w:ascii="仿宋" w:hAnsi="仿宋" w:eastAsia="仿宋" w:cs="仿宋"/>
          <w:b/>
          <w:color w:val="auto"/>
          <w:sz w:val="24"/>
          <w:highlight w:val="none"/>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lang w:eastAsia="zh-CN"/>
        </w:rPr>
      </w:pPr>
    </w:p>
    <w:p>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pPr>
        <w:spacing w:line="440" w:lineRule="exact"/>
        <w:rPr>
          <w:rFonts w:hint="eastAsia" w:ascii="仿宋" w:hAnsi="仿宋" w:eastAsia="仿宋" w:cs="仿宋"/>
          <w:color w:val="auto"/>
          <w:sz w:val="24"/>
          <w:highlight w:val="none"/>
        </w:rPr>
      </w:pPr>
    </w:p>
    <w:p>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pPr>
        <w:spacing w:line="440" w:lineRule="exact"/>
        <w:ind w:right="480"/>
        <w:rPr>
          <w:rFonts w:hint="eastAsia" w:ascii="仿宋" w:hAnsi="仿宋" w:eastAsia="仿宋" w:cs="仿宋"/>
          <w:color w:val="auto"/>
          <w:sz w:val="24"/>
          <w:highlight w:val="none"/>
        </w:rPr>
      </w:pPr>
    </w:p>
    <w:p>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pPr>
        <w:jc w:val="center"/>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rPr>
      </w:pPr>
    </w:p>
    <w:p>
      <w:pPr>
        <w:jc w:val="both"/>
        <w:rPr>
          <w:rFonts w:hint="eastAsia" w:ascii="仿宋" w:hAnsi="仿宋" w:eastAsia="仿宋" w:cs="仿宋"/>
          <w:b/>
          <w:color w:val="auto"/>
          <w:kern w:val="0"/>
          <w:sz w:val="32"/>
          <w:szCs w:val="32"/>
          <w:highlight w:val="none"/>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color w:val="auto"/>
          <w:kern w:val="0"/>
          <w:sz w:val="32"/>
          <w:szCs w:val="32"/>
          <w:highlight w:val="none"/>
          <w:lang w:eastAsia="zh-CN"/>
        </w:rPr>
      </w:pPr>
    </w:p>
    <w:p>
      <w:pPr>
        <w:jc w:val="center"/>
        <w:rPr>
          <w:rFonts w:hint="eastAsia" w:ascii="仿宋" w:hAnsi="仿宋" w:eastAsia="仿宋" w:cs="仿宋"/>
          <w:b/>
          <w:bCs/>
          <w:color w:val="auto"/>
          <w:sz w:val="30"/>
          <w:szCs w:val="30"/>
          <w:highlight w:val="none"/>
          <w:lang w:val="zh-CN"/>
        </w:rPr>
      </w:pPr>
      <w:r>
        <w:rPr>
          <w:rFonts w:hint="eastAsia" w:ascii="仿宋" w:hAnsi="仿宋" w:eastAsia="仿宋" w:cs="仿宋"/>
          <w:b/>
          <w:bCs/>
          <w:color w:val="auto"/>
          <w:sz w:val="30"/>
          <w:szCs w:val="30"/>
          <w:highlight w:val="none"/>
          <w:lang w:val="en-US" w:eastAsia="zh-CN"/>
        </w:rPr>
        <w:t>六、</w:t>
      </w:r>
      <w:r>
        <w:rPr>
          <w:rFonts w:hint="eastAsia" w:ascii="仿宋" w:hAnsi="仿宋" w:eastAsia="仿宋" w:cs="仿宋"/>
          <w:b/>
          <w:bCs/>
          <w:color w:val="auto"/>
          <w:sz w:val="30"/>
          <w:szCs w:val="30"/>
          <w:highlight w:val="none"/>
          <w:lang w:val="zh-CN"/>
        </w:rPr>
        <w:t>商务资信响应表</w:t>
      </w:r>
    </w:p>
    <w:p>
      <w:pPr>
        <w:spacing w:line="360" w:lineRule="auto"/>
        <w:ind w:firstLine="480" w:firstLineChars="20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lang w:eastAsia="zh-CN"/>
              </w:rPr>
            </w:pPr>
            <w:r>
              <w:rPr>
                <w:rFonts w:hint="eastAsia" w:ascii="仿宋" w:hAnsi="仿宋" w:eastAsia="仿宋" w:cs="仿宋"/>
                <w:b/>
                <w:bCs/>
                <w:color w:val="auto"/>
                <w:sz w:val="24"/>
                <w:szCs w:val="24"/>
                <w:highlight w:val="none"/>
                <w:lang w:eastAsia="zh-CN" w:bidi="ar"/>
              </w:rPr>
              <w:t>序号</w:t>
            </w: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采购文件要求</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bidi="ar"/>
              </w:rPr>
              <w:t>是否响应</w:t>
            </w: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440" w:lineRule="exact"/>
              <w:ind w:left="0" w:right="0"/>
              <w:jc w:val="center"/>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lang w:eastAsia="zh-CN" w:bidi="ar"/>
              </w:rPr>
              <w:t>供应商</w:t>
            </w:r>
            <w:r>
              <w:rPr>
                <w:rFonts w:hint="eastAsia" w:ascii="仿宋" w:hAnsi="仿宋" w:eastAsia="仿宋" w:cs="仿宋"/>
                <w:b/>
                <w:bCs/>
                <w:color w:val="auto"/>
                <w:sz w:val="24"/>
                <w:szCs w:val="24"/>
                <w:highlight w:val="none"/>
                <w:lang w:bidi="ar"/>
              </w:rPr>
              <w:t>的承诺或说明</w:t>
            </w: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43"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b w:val="0"/>
                <w:bCs w:val="0"/>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pacing w:before="0" w:beforeAutospacing="0" w:after="0" w:afterAutospacing="0" w:line="340" w:lineRule="exact"/>
              <w:ind w:left="0" w:right="0"/>
              <w:jc w:val="center"/>
              <w:rPr>
                <w:rFonts w:hint="eastAsia" w:ascii="仿宋" w:hAnsi="仿宋" w:eastAsia="仿宋" w:cs="仿宋"/>
                <w:color w:val="auto"/>
                <w:sz w:val="24"/>
                <w:szCs w:val="24"/>
                <w:highlight w:val="none"/>
                <w:lang w:val="en-US" w:eastAsia="zh-CN"/>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32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w:t>
            </w:r>
          </w:p>
        </w:tc>
        <w:tc>
          <w:tcPr>
            <w:tcW w:w="239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c>
          <w:tcPr>
            <w:tcW w:w="25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snapToGrid w:val="0"/>
              <w:spacing w:before="120" w:beforeLines="50" w:beforeAutospacing="0" w:after="0" w:afterAutospacing="0" w:line="360" w:lineRule="auto"/>
              <w:ind w:left="0" w:right="0"/>
              <w:jc w:val="center"/>
              <w:rPr>
                <w:rFonts w:hint="eastAsia" w:ascii="仿宋" w:hAnsi="仿宋" w:eastAsia="仿宋" w:cs="仿宋"/>
                <w:color w:val="auto"/>
                <w:sz w:val="24"/>
                <w:szCs w:val="24"/>
                <w:highlight w:val="none"/>
              </w:rPr>
            </w:pPr>
          </w:p>
        </w:tc>
      </w:tr>
    </w:tbl>
    <w:p>
      <w:pPr>
        <w:snapToGrid w:val="0"/>
        <w:spacing w:before="50" w:after="50" w:line="600" w:lineRule="exact"/>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bidi="ar"/>
        </w:rPr>
        <w:t xml:space="preserve">  </w:t>
      </w: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 xml:space="preserve">           </w:t>
      </w: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pacing w:line="360" w:lineRule="auto"/>
        <w:rPr>
          <w:rFonts w:hint="eastAsia" w:ascii="仿宋" w:hAnsi="仿宋" w:eastAsia="仿宋" w:cs="仿宋"/>
          <w:b/>
          <w:bCs/>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pStyle w:val="26"/>
        <w:jc w:val="center"/>
        <w:rPr>
          <w:rFonts w:hint="eastAsia" w:ascii="仿宋" w:hAnsi="仿宋" w:eastAsia="仿宋" w:cs="仿宋"/>
          <w:b/>
          <w:bCs/>
          <w:color w:val="auto"/>
          <w:sz w:val="24"/>
          <w:szCs w:val="24"/>
          <w:highlight w:val="none"/>
          <w:lang w:val="en-US" w:eastAsia="zh-CN"/>
        </w:rPr>
      </w:pPr>
    </w:p>
    <w:p>
      <w:pPr>
        <w:pStyle w:val="26"/>
        <w:jc w:val="center"/>
        <w:rPr>
          <w:rFonts w:hint="eastAsia" w:ascii="仿宋" w:hAnsi="仿宋" w:eastAsia="仿宋" w:cs="仿宋"/>
          <w:b/>
          <w:bCs/>
          <w:color w:val="auto"/>
          <w:kern w:val="2"/>
          <w:sz w:val="30"/>
          <w:szCs w:val="30"/>
          <w:highlight w:val="none"/>
          <w:lang w:val="zh-CN" w:eastAsia="zh-CN" w:bidi="ar-SA"/>
        </w:rPr>
      </w:pPr>
      <w:r>
        <w:rPr>
          <w:rFonts w:hint="eastAsia" w:ascii="仿宋" w:hAnsi="仿宋" w:eastAsia="仿宋" w:cs="仿宋"/>
          <w:b/>
          <w:bCs/>
          <w:color w:val="auto"/>
          <w:kern w:val="2"/>
          <w:sz w:val="30"/>
          <w:szCs w:val="30"/>
          <w:highlight w:val="none"/>
          <w:lang w:val="en-US" w:eastAsia="zh-CN" w:bidi="ar-SA"/>
        </w:rPr>
        <w:t>七、技术偏离</w:t>
      </w:r>
      <w:r>
        <w:rPr>
          <w:rFonts w:hint="eastAsia" w:ascii="仿宋" w:hAnsi="仿宋" w:eastAsia="仿宋" w:cs="仿宋"/>
          <w:b/>
          <w:bCs/>
          <w:color w:val="auto"/>
          <w:kern w:val="2"/>
          <w:sz w:val="30"/>
          <w:szCs w:val="30"/>
          <w:highlight w:val="none"/>
          <w:lang w:val="zh-CN" w:eastAsia="zh-CN" w:bidi="ar-SA"/>
        </w:rPr>
        <w:t>表</w:t>
      </w:r>
    </w:p>
    <w:p>
      <w:pPr>
        <w:spacing w:line="360" w:lineRule="auto"/>
        <w:ind w:firstLine="240" w:firstLineChars="100"/>
        <w:jc w:val="center"/>
        <w:rPr>
          <w:rFonts w:hint="eastAsia" w:ascii="仿宋" w:hAnsi="仿宋" w:eastAsia="仿宋" w:cs="仿宋"/>
          <w:b/>
          <w:bCs/>
          <w:color w:val="auto"/>
          <w:sz w:val="24"/>
          <w:szCs w:val="24"/>
          <w:highlight w:val="none"/>
        </w:rPr>
      </w:pPr>
      <w:r>
        <w:rPr>
          <w:rFonts w:hint="eastAsia" w:ascii="仿宋" w:hAnsi="仿宋" w:eastAsia="仿宋" w:cs="仿宋"/>
          <w:color w:val="auto"/>
          <w:sz w:val="24"/>
          <w:szCs w:val="24"/>
          <w:highlight w:val="none"/>
        </w:rPr>
        <w:t>（由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根据采购需求及采购文件要求编制）</w:t>
      </w:r>
    </w:p>
    <w:tbl>
      <w:tblPr>
        <w:tblStyle w:val="64"/>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采购文件要求</w:t>
            </w: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是否</w:t>
            </w:r>
            <w:r>
              <w:rPr>
                <w:rFonts w:hint="eastAsia" w:ascii="仿宋" w:hAnsi="仿宋" w:eastAsia="仿宋" w:cs="仿宋"/>
                <w:color w:val="auto"/>
                <w:sz w:val="24"/>
                <w:szCs w:val="24"/>
                <w:highlight w:val="none"/>
              </w:rPr>
              <w:t>响应</w:t>
            </w: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c>
          <w:tcPr>
            <w:tcW w:w="327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38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rPr>
                <w:rFonts w:hint="eastAsia" w:ascii="仿宋" w:hAnsi="仿宋" w:eastAsia="仿宋" w:cs="仿宋"/>
                <w:color w:val="auto"/>
                <w:sz w:val="24"/>
                <w:szCs w:val="24"/>
                <w:highlight w:val="none"/>
              </w:rPr>
            </w:pPr>
          </w:p>
        </w:tc>
        <w:tc>
          <w:tcPr>
            <w:tcW w:w="2413" w:type="dxa"/>
            <w:tcBorders>
              <w:top w:val="single" w:color="auto" w:sz="4" w:space="0"/>
              <w:left w:val="single" w:color="auto" w:sz="4" w:space="0"/>
              <w:bottom w:val="single" w:color="auto" w:sz="4" w:space="0"/>
              <w:right w:val="single" w:color="auto" w:sz="4" w:space="0"/>
            </w:tcBorders>
            <w:noWrap w:val="0"/>
            <w:vAlign w:val="center"/>
          </w:tcPr>
          <w:p>
            <w:pPr>
              <w:keepNext w:val="0"/>
              <w:keepLines w:val="0"/>
              <w:suppressLineNumbers w:val="0"/>
              <w:tabs>
                <w:tab w:val="left" w:pos="4905"/>
              </w:tabs>
              <w:spacing w:before="0" w:beforeAutospacing="0" w:after="0" w:afterAutospacing="0" w:line="400" w:lineRule="exact"/>
              <w:ind w:left="0" w:right="0"/>
              <w:jc w:val="center"/>
              <w:rPr>
                <w:rFonts w:hint="eastAsia" w:ascii="仿宋" w:hAnsi="仿宋" w:eastAsia="仿宋" w:cs="仿宋"/>
                <w:color w:val="auto"/>
                <w:sz w:val="24"/>
                <w:szCs w:val="24"/>
                <w:highlight w:val="none"/>
              </w:rPr>
            </w:pPr>
          </w:p>
        </w:tc>
      </w:tr>
    </w:tbl>
    <w:p>
      <w:pPr>
        <w:tabs>
          <w:tab w:val="left" w:pos="570"/>
        </w:tabs>
        <w:spacing w:line="440" w:lineRule="exact"/>
        <w:ind w:firstLine="120" w:firstLineChars="5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注：1、此表须与</w:t>
      </w:r>
      <w:r>
        <w:rPr>
          <w:rFonts w:hint="eastAsia" w:ascii="仿宋" w:hAnsi="仿宋" w:eastAsia="仿宋" w:cs="仿宋"/>
          <w:color w:val="auto"/>
          <w:kern w:val="0"/>
          <w:sz w:val="24"/>
          <w:szCs w:val="24"/>
          <w:highlight w:val="none"/>
        </w:rPr>
        <w:t>采购文件“招标项目范围及要求”</w:t>
      </w:r>
      <w:r>
        <w:rPr>
          <w:rFonts w:hint="eastAsia" w:ascii="仿宋" w:hAnsi="仿宋" w:eastAsia="仿宋" w:cs="仿宋"/>
          <w:color w:val="auto"/>
          <w:sz w:val="24"/>
          <w:szCs w:val="24"/>
          <w:highlight w:val="none"/>
        </w:rPr>
        <w:t>相应标项内的所有服务要求相比较且一一对应真实逐条填列。</w:t>
      </w:r>
    </w:p>
    <w:p>
      <w:pPr>
        <w:tabs>
          <w:tab w:val="left" w:pos="570"/>
        </w:tabs>
        <w:spacing w:line="440" w:lineRule="exact"/>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递交的技术规格书中必须真实逐条列明，否则由</w:t>
      </w:r>
      <w:r>
        <w:rPr>
          <w:rFonts w:hint="eastAsia" w:ascii="仿宋" w:hAnsi="仿宋" w:eastAsia="仿宋" w:cs="仿宋"/>
          <w:color w:val="auto"/>
          <w:sz w:val="24"/>
          <w:szCs w:val="24"/>
          <w:highlight w:val="none"/>
          <w:lang w:eastAsia="zh-CN"/>
        </w:rPr>
        <w:t>供应商</w:t>
      </w:r>
      <w:r>
        <w:rPr>
          <w:rFonts w:hint="eastAsia" w:ascii="仿宋" w:hAnsi="仿宋" w:eastAsia="仿宋" w:cs="仿宋"/>
          <w:color w:val="auto"/>
          <w:sz w:val="24"/>
          <w:szCs w:val="24"/>
          <w:highlight w:val="none"/>
        </w:rPr>
        <w:t>自行承担相关风险。</w:t>
      </w:r>
    </w:p>
    <w:p>
      <w:pPr>
        <w:snapToGrid w:val="0"/>
        <w:spacing w:before="50" w:after="50" w:line="600" w:lineRule="exact"/>
        <w:ind w:firstLine="4320" w:firstLineChars="1800"/>
        <w:rPr>
          <w:rFonts w:hint="eastAsia" w:ascii="仿宋" w:hAnsi="仿宋" w:eastAsia="仿宋" w:cs="仿宋"/>
          <w:color w:val="auto"/>
          <w:kern w:val="0"/>
          <w:sz w:val="24"/>
          <w:szCs w:val="24"/>
          <w:highlight w:val="none"/>
        </w:rPr>
      </w:pPr>
      <w:r>
        <w:rPr>
          <w:rFonts w:hint="eastAsia" w:ascii="仿宋" w:hAnsi="仿宋" w:eastAsia="仿宋" w:cs="仿宋"/>
          <w:color w:val="auto"/>
          <w:sz w:val="24"/>
          <w:szCs w:val="24"/>
          <w:highlight w:val="none"/>
          <w:lang w:val="en-US" w:eastAsia="zh-CN" w:bidi="ar"/>
        </w:rPr>
        <w:t xml:space="preserve">                 </w:t>
      </w:r>
      <w:r>
        <w:rPr>
          <w:rFonts w:hint="eastAsia" w:ascii="仿宋" w:hAnsi="仿宋" w:eastAsia="仿宋" w:cs="仿宋"/>
          <w:color w:val="auto"/>
          <w:kern w:val="0"/>
          <w:sz w:val="24"/>
          <w:szCs w:val="24"/>
          <w:highlight w:val="none"/>
        </w:rPr>
        <w:t>供应商名称（</w:t>
      </w:r>
      <w:r>
        <w:rPr>
          <w:rFonts w:hint="eastAsia" w:ascii="仿宋" w:hAnsi="仿宋" w:eastAsia="仿宋" w:cs="仿宋"/>
          <w:color w:val="auto"/>
          <w:kern w:val="0"/>
          <w:sz w:val="24"/>
          <w:szCs w:val="24"/>
          <w:highlight w:val="none"/>
          <w:lang w:val="zh-CN"/>
        </w:rPr>
        <w:t>电子签名</w:t>
      </w:r>
      <w:r>
        <w:rPr>
          <w:rFonts w:hint="eastAsia" w:ascii="仿宋" w:hAnsi="仿宋" w:eastAsia="仿宋" w:cs="仿宋"/>
          <w:color w:val="auto"/>
          <w:kern w:val="0"/>
          <w:sz w:val="24"/>
          <w:szCs w:val="24"/>
          <w:highlight w:val="none"/>
        </w:rPr>
        <w:t xml:space="preserve">）：                       </w:t>
      </w:r>
    </w:p>
    <w:p>
      <w:pPr>
        <w:snapToGrid w:val="0"/>
        <w:spacing w:before="50" w:after="50" w:line="600" w:lineRule="exact"/>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 xml:space="preserve">                                                         </w:t>
      </w:r>
      <w:r>
        <w:rPr>
          <w:rFonts w:hint="eastAsia" w:ascii="仿宋" w:hAnsi="仿宋" w:eastAsia="仿宋" w:cs="仿宋"/>
          <w:color w:val="auto"/>
          <w:kern w:val="0"/>
          <w:sz w:val="24"/>
          <w:szCs w:val="24"/>
          <w:highlight w:val="none"/>
        </w:rPr>
        <w:t>日期：  年  月   日</w:t>
      </w:r>
    </w:p>
    <w:p>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szCs w:val="24"/>
          <w:highlight w:val="none"/>
        </w:rPr>
        <w:t>注：此表仅提供了表格形式，</w:t>
      </w:r>
      <w:r>
        <w:rPr>
          <w:rFonts w:hint="eastAsia" w:ascii="仿宋" w:hAnsi="仿宋" w:eastAsia="仿宋" w:cs="仿宋"/>
          <w:b/>
          <w:bCs/>
          <w:color w:val="auto"/>
          <w:sz w:val="24"/>
          <w:szCs w:val="24"/>
          <w:highlight w:val="none"/>
          <w:lang w:eastAsia="zh-CN"/>
        </w:rPr>
        <w:t>供应商</w:t>
      </w:r>
      <w:r>
        <w:rPr>
          <w:rFonts w:hint="eastAsia" w:ascii="仿宋" w:hAnsi="仿宋" w:eastAsia="仿宋" w:cs="仿宋"/>
          <w:b/>
          <w:bCs/>
          <w:color w:val="auto"/>
          <w:sz w:val="24"/>
          <w:szCs w:val="24"/>
          <w:highlight w:val="none"/>
        </w:rPr>
        <w:t>可按此表格格式进行扩展。</w:t>
      </w:r>
    </w:p>
    <w:p>
      <w:pPr>
        <w:pStyle w:val="2"/>
        <w:jc w:val="center"/>
        <w:rPr>
          <w:rFonts w:hint="eastAsia" w:ascii="仿宋" w:hAnsi="仿宋" w:eastAsia="仿宋" w:cs="仿宋"/>
          <w:b/>
          <w:bCs/>
          <w:color w:val="auto"/>
          <w:sz w:val="24"/>
          <w:highlight w:val="none"/>
        </w:rPr>
      </w:pPr>
    </w:p>
    <w:p>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注：供应商可按上述的格式自行编制，须随表提交相应的</w:t>
      </w:r>
      <w:r>
        <w:rPr>
          <w:rFonts w:hint="eastAsia" w:ascii="仿宋_GB2312" w:hAnsi="仿宋_GB2312" w:eastAsia="仿宋_GB2312" w:cs="仿宋_GB2312"/>
          <w:b/>
          <w:color w:val="auto"/>
          <w:sz w:val="24"/>
          <w:highlight w:val="none"/>
          <w:lang w:val="en-US" w:eastAsia="zh-CN"/>
        </w:rPr>
        <w:t>证</w:t>
      </w:r>
      <w:r>
        <w:rPr>
          <w:rFonts w:hint="eastAsia" w:ascii="仿宋_GB2312" w:hAnsi="仿宋_GB2312" w:eastAsia="仿宋_GB2312" w:cs="仿宋_GB2312"/>
          <w:b/>
          <w:color w:val="auto"/>
          <w:sz w:val="24"/>
          <w:highlight w:val="none"/>
        </w:rPr>
        <w:t>明</w:t>
      </w:r>
      <w:r>
        <w:rPr>
          <w:rFonts w:hint="eastAsia" w:ascii="仿宋_GB2312" w:hAnsi="仿宋_GB2312" w:eastAsia="仿宋_GB2312" w:cs="仿宋_GB2312"/>
          <w:b/>
          <w:color w:val="auto"/>
          <w:sz w:val="24"/>
          <w:highlight w:val="none"/>
          <w:lang w:val="en-US" w:eastAsia="zh-CN"/>
        </w:rPr>
        <w:t>资料</w:t>
      </w:r>
      <w:r>
        <w:rPr>
          <w:rFonts w:hint="eastAsia" w:ascii="仿宋_GB2312" w:hAnsi="仿宋_GB2312" w:eastAsia="仿宋_GB2312" w:cs="仿宋_GB2312"/>
          <w:b/>
          <w:color w:val="auto"/>
          <w:sz w:val="24"/>
          <w:highlight w:val="none"/>
        </w:rPr>
        <w:t>并注明页码。</w:t>
      </w:r>
    </w:p>
    <w:p>
      <w:pPr>
        <w:autoSpaceDE w:val="0"/>
        <w:autoSpaceDN w:val="0"/>
        <w:spacing w:line="360" w:lineRule="auto"/>
        <w:rPr>
          <w:rFonts w:ascii="仿宋_GB2312" w:hAnsi="仿宋_GB2312" w:eastAsia="仿宋_GB2312" w:cs="仿宋_GB2312"/>
          <w:b/>
          <w:color w:val="auto"/>
          <w:sz w:val="24"/>
          <w:highlight w:val="none"/>
        </w:rPr>
      </w:pPr>
    </w:p>
    <w:p>
      <w:pPr>
        <w:autoSpaceDE w:val="0"/>
        <w:autoSpaceDN w:val="0"/>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648"/>
        <w:ind w:firstLine="0"/>
        <w:jc w:val="both"/>
        <w:rPr>
          <w:rFonts w:hAnsi="仿宋_GB2312" w:cs="仿宋_GB2312"/>
          <w:color w:val="auto"/>
          <w:highlight w:val="none"/>
        </w:rPr>
      </w:pPr>
    </w:p>
    <w:p>
      <w:pPr>
        <w:spacing w:line="360" w:lineRule="auto"/>
        <w:jc w:val="center"/>
        <w:rPr>
          <w:rFonts w:hint="eastAsia" w:ascii="仿宋_GB2312" w:hAnsi="仿宋_GB2312" w:eastAsia="仿宋_GB2312" w:cs="仿宋_GB2312"/>
          <w:b/>
          <w:color w:val="auto"/>
          <w:sz w:val="32"/>
          <w:szCs w:val="32"/>
          <w:highlight w:val="none"/>
          <w:lang w:eastAsia="zh-CN"/>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sz w:val="32"/>
          <w:szCs w:val="32"/>
          <w:highlight w:val="none"/>
        </w:rPr>
        <w:t>投标产品规格配置清单</w:t>
      </w:r>
      <w:r>
        <w:rPr>
          <w:rFonts w:hint="eastAsia" w:ascii="仿宋_GB2312" w:hAnsi="仿宋_GB2312" w:eastAsia="仿宋_GB2312" w:cs="仿宋_GB2312"/>
          <w:b/>
          <w:color w:val="auto"/>
          <w:sz w:val="32"/>
          <w:szCs w:val="32"/>
          <w:highlight w:val="none"/>
          <w:lang w:eastAsia="zh-CN"/>
        </w:rPr>
        <w:t>（</w:t>
      </w:r>
      <w:r>
        <w:rPr>
          <w:rFonts w:hint="eastAsia" w:ascii="仿宋_GB2312" w:hAnsi="仿宋_GB2312" w:eastAsia="仿宋_GB2312" w:cs="仿宋_GB2312"/>
          <w:b/>
          <w:color w:val="auto"/>
          <w:sz w:val="32"/>
          <w:szCs w:val="32"/>
          <w:highlight w:val="none"/>
          <w:lang w:val="en-US" w:eastAsia="zh-CN"/>
        </w:rPr>
        <w:t>如有</w:t>
      </w:r>
      <w:r>
        <w:rPr>
          <w:rFonts w:hint="eastAsia" w:ascii="仿宋_GB2312" w:hAnsi="仿宋_GB2312" w:eastAsia="仿宋_GB2312" w:cs="仿宋_GB2312"/>
          <w:b/>
          <w:color w:val="auto"/>
          <w:sz w:val="32"/>
          <w:szCs w:val="32"/>
          <w:highlight w:val="none"/>
          <w:lang w:eastAsia="zh-CN"/>
        </w:rPr>
        <w:t>）</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pPr>
              <w:spacing w:line="360" w:lineRule="auto"/>
              <w:jc w:val="center"/>
              <w:rPr>
                <w:rFonts w:ascii="仿宋_GB2312" w:hAnsi="仿宋_GB2312" w:eastAsia="仿宋_GB2312" w:cs="仿宋_GB2312"/>
                <w:color w:val="auto"/>
                <w:sz w:val="24"/>
                <w:highlight w:val="none"/>
              </w:rPr>
            </w:pPr>
          </w:p>
        </w:tc>
        <w:tc>
          <w:tcPr>
            <w:tcW w:w="1080" w:type="dxa"/>
            <w:vAlign w:val="center"/>
          </w:tcPr>
          <w:p>
            <w:pPr>
              <w:spacing w:line="360" w:lineRule="auto"/>
              <w:jc w:val="center"/>
              <w:rPr>
                <w:rFonts w:ascii="仿宋_GB2312" w:hAnsi="仿宋_GB2312" w:eastAsia="仿宋_GB2312" w:cs="仿宋_GB2312"/>
                <w:color w:val="auto"/>
                <w:sz w:val="24"/>
                <w:highlight w:val="none"/>
              </w:rPr>
            </w:pPr>
          </w:p>
        </w:tc>
        <w:tc>
          <w:tcPr>
            <w:tcW w:w="1332" w:type="dxa"/>
            <w:vAlign w:val="center"/>
          </w:tcPr>
          <w:p>
            <w:pPr>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jc w:val="left"/>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8" o:spt="75" type="#_x0000_t75" style="height:32.5pt;width:313pt;" o:ole="t" filled="f" o:preferrelative="t" stroked="f" coordsize="21600,21600">
            <v:path/>
            <v:fill on="f" focussize="0,0"/>
            <v:stroke on="f"/>
            <v:imagedata r:id="rId23" o:title=""/>
            <o:lock v:ext="edit" aspectratio="t"/>
            <w10:wrap type="none"/>
            <w10:anchorlock/>
          </v:shape>
          <o:OLEObject Type="Embed" ProgID="Package" ShapeID="_x0000_i1028" DrawAspect="Content" ObjectID="_1468075725" r:id="rId22">
            <o:LockedField>false</o:LockedField>
          </o:OLEObject>
        </w:object>
      </w:r>
      <w:r>
        <w:rPr>
          <w:rFonts w:ascii="仿宋_GB2312" w:hAnsi="仿宋_GB2312" w:eastAsia="仿宋_GB2312" w:cs="仿宋_GB2312"/>
          <w:b/>
          <w:color w:val="auto"/>
          <w:kern w:val="0"/>
          <w:sz w:val="28"/>
          <w:szCs w:val="28"/>
          <w:highlight w:val="none"/>
        </w:rPr>
        <w:object>
          <v:shape id="_x0000_i1029" o:spt="75" type="#_x0000_t75" style="height:32.5pt;width:311.5pt;" o:ole="t" filled="f" o:preferrelative="t" stroked="f" coordsize="21600,21600">
            <v:path/>
            <v:fill on="f" focussize="0,0"/>
            <v:stroke on="f"/>
            <v:imagedata r:id="rId25" o:title=""/>
            <o:lock v:ext="edit" aspectratio="t"/>
            <w10:wrap type="none"/>
            <w10:anchorlock/>
          </v:shape>
          <o:OLEObject Type="Embed" ProgID="Package" ShapeID="_x0000_i1029" DrawAspect="Content" ObjectID="_1468075726" r:id="rId24">
            <o:LockedField>false</o:LockedField>
          </o:OLEObject>
        </w:object>
      </w:r>
    </w:p>
    <w:p>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pPr>
        <w:spacing w:line="360" w:lineRule="auto"/>
        <w:rPr>
          <w:rFonts w:ascii="仿宋_GB2312" w:hAnsi="仿宋_GB2312" w:eastAsia="仿宋_GB2312" w:cs="仿宋_GB2312"/>
          <w:color w:val="auto"/>
          <w:kern w:val="0"/>
          <w:sz w:val="24"/>
          <w:highlight w:val="none"/>
        </w:rPr>
      </w:pPr>
    </w:p>
    <w:p>
      <w:pPr>
        <w:spacing w:line="360" w:lineRule="auto"/>
        <w:jc w:val="center"/>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ascii="仿宋_GB2312" w:hAnsi="仿宋_GB2312" w:eastAsia="仿宋_GB2312" w:cs="仿宋_GB2312"/>
          <w:b/>
          <w:bCs/>
          <w:color w:val="auto"/>
          <w:sz w:val="32"/>
          <w:szCs w:val="32"/>
          <w:highlight w:val="none"/>
        </w:rPr>
      </w:pPr>
    </w:p>
    <w:p>
      <w:pPr>
        <w:spacing w:line="360" w:lineRule="auto"/>
        <w:rPr>
          <w:rFonts w:hint="eastAsia" w:ascii="仿宋_GB2312" w:hAnsi="仿宋_GB2312" w:eastAsia="仿宋_GB2312" w:cs="仿宋_GB2312"/>
          <w:b/>
          <w:color w:val="auto"/>
          <w:sz w:val="30"/>
          <w:szCs w:val="30"/>
          <w:highlight w:val="none"/>
          <w:lang w:eastAsia="zh-CN"/>
        </w:rPr>
      </w:pPr>
    </w:p>
    <w:p>
      <w:pPr>
        <w:spacing w:line="360" w:lineRule="auto"/>
        <w:jc w:val="center"/>
        <w:rPr>
          <w:rFonts w:hint="eastAsia" w:ascii="仿宋_GB2312" w:hAnsi="仿宋_GB2312" w:eastAsia="仿宋_GB2312" w:cs="仿宋_GB2312"/>
          <w:b/>
          <w:color w:val="auto"/>
          <w:sz w:val="30"/>
          <w:szCs w:val="30"/>
          <w:highlight w:val="none"/>
          <w:lang w:eastAsia="zh-CN"/>
        </w:rPr>
      </w:pPr>
    </w:p>
    <w:p>
      <w:pPr>
        <w:pStyle w:val="2"/>
        <w:rPr>
          <w:rFonts w:hint="eastAsia"/>
          <w:color w:val="auto"/>
          <w:highlight w:val="none"/>
          <w:lang w:eastAsia="zh-CN"/>
        </w:rPr>
      </w:pPr>
    </w:p>
    <w:p>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十</w:t>
      </w:r>
      <w:r>
        <w:rPr>
          <w:rFonts w:hint="eastAsia" w:ascii="仿宋_GB2312" w:hAnsi="仿宋_GB2312" w:eastAsia="仿宋_GB2312" w:cs="仿宋_GB2312"/>
          <w:b/>
          <w:bCs/>
          <w:color w:val="auto"/>
          <w:sz w:val="32"/>
          <w:szCs w:val="32"/>
          <w:highlight w:val="none"/>
        </w:rPr>
        <w:t>、项目小组人员名单</w:t>
      </w:r>
    </w:p>
    <w:p>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p>
        </w:tc>
      </w:tr>
    </w:tbl>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r>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auto"/>
                <w:sz w:val="24"/>
                <w:highlight w:val="none"/>
              </w:rPr>
            </w:pPr>
          </w:p>
        </w:tc>
      </w:tr>
    </w:tbl>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pPr>
        <w:spacing w:line="360" w:lineRule="auto"/>
        <w:ind w:firstLine="480" w:firstLineChars="200"/>
        <w:rPr>
          <w:rFonts w:ascii="仿宋_GB2312" w:hAnsi="仿宋_GB2312" w:eastAsia="仿宋_GB2312" w:cs="仿宋_GB2312"/>
          <w:color w:val="auto"/>
          <w:sz w:val="24"/>
          <w:szCs w:val="20"/>
          <w:highlight w:val="none"/>
        </w:rPr>
      </w:pP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widowControl/>
        <w:adjustRightInd/>
        <w:jc w:val="left"/>
        <w:rPr>
          <w:rFonts w:hint="eastAsia" w:ascii="仿宋" w:hAnsi="仿宋" w:eastAsia="仿宋" w:cs="仿宋"/>
          <w:b/>
          <w:bCs/>
          <w:color w:val="auto"/>
          <w:sz w:val="32"/>
          <w:szCs w:val="32"/>
          <w:highlight w:val="none"/>
          <w:lang w:eastAsia="zh-CN"/>
        </w:rPr>
      </w:pPr>
    </w:p>
    <w:p>
      <w:pPr>
        <w:widowControl/>
        <w:adjustRightInd/>
        <w:jc w:val="center"/>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十一</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pPr>
        <w:snapToGrid w:val="0"/>
        <w:spacing w:line="360" w:lineRule="auto"/>
        <w:rPr>
          <w:rFonts w:hint="eastAsia" w:ascii="仿宋" w:hAnsi="仿宋" w:eastAsia="仿宋" w:cs="仿宋"/>
          <w:color w:val="auto"/>
          <w:sz w:val="24"/>
          <w:highlight w:val="none"/>
        </w:rPr>
      </w:pPr>
    </w:p>
    <w:p>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jc w:val="left"/>
        <w:rPr>
          <w:rFonts w:hint="eastAsia" w:ascii="仿宋" w:hAnsi="仿宋" w:eastAsia="仿宋" w:cs="仿宋"/>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pPr>
        <w:spacing w:line="360" w:lineRule="auto"/>
        <w:jc w:val="center"/>
        <w:rPr>
          <w:rFonts w:hint="eastAsia" w:ascii="仿宋" w:hAnsi="仿宋" w:eastAsia="仿宋" w:cs="仿宋"/>
          <w:b/>
          <w:bCs/>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30"/>
          <w:szCs w:val="30"/>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bCs/>
          <w:color w:val="auto"/>
          <w:sz w:val="24"/>
          <w:highlight w:val="none"/>
        </w:rPr>
      </w:pPr>
    </w:p>
    <w:p>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二</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其他商务技术（资信）文件或说明</w:t>
      </w:r>
    </w:p>
    <w:p>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pPr>
        <w:spacing w:line="360" w:lineRule="auto"/>
        <w:rPr>
          <w:rFonts w:ascii="仿宋_GB2312" w:hAnsi="仿宋_GB2312" w:eastAsia="仿宋_GB2312" w:cs="仿宋_GB2312"/>
          <w:color w:val="auto"/>
          <w:sz w:val="24"/>
          <w:highlight w:val="none"/>
        </w:rPr>
      </w:pPr>
    </w:p>
    <w:p>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pStyle w:val="81"/>
        <w:rPr>
          <w:rFonts w:hint="eastAsia"/>
          <w:color w:val="auto"/>
          <w:highlight w:val="none"/>
        </w:rPr>
        <w:sectPr>
          <w:headerReference r:id="rId8" w:type="first"/>
          <w:footerReference r:id="rId10" w:type="first"/>
          <w:headerReference r:id="rId7" w:type="default"/>
          <w:footerReference r:id="rId9"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pPr>
        <w:spacing w:line="360" w:lineRule="auto"/>
        <w:jc w:val="center"/>
        <w:outlineLvl w:val="0"/>
        <w:rPr>
          <w:rFonts w:hint="eastAsia" w:ascii="仿宋" w:hAnsi="仿宋" w:eastAsia="仿宋" w:cs="仿宋"/>
          <w:b/>
          <w:color w:val="auto"/>
          <w:kern w:val="0"/>
          <w:sz w:val="36"/>
          <w:szCs w:val="36"/>
          <w:highlight w:val="none"/>
        </w:rPr>
      </w:pP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pPr>
        <w:pStyle w:val="24"/>
        <w:numPr>
          <w:ilvl w:val="0"/>
          <w:numId w:val="0"/>
        </w:numPr>
        <w:snapToGrid w:val="0"/>
        <w:spacing w:line="360" w:lineRule="auto"/>
        <w:rPr>
          <w:rFonts w:hint="eastAsia" w:ascii="仿宋" w:hAnsi="仿宋" w:eastAsia="仿宋" w:cs="仿宋"/>
          <w:color w:val="auto"/>
          <w:sz w:val="24"/>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（3）残疾人福利性单位声明函……………………………………………………（页码）</w:t>
      </w: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center"/>
        <w:rPr>
          <w:rFonts w:hint="eastAsia" w:ascii="仿宋" w:hAnsi="仿宋" w:eastAsia="仿宋" w:cs="仿宋"/>
          <w:b/>
          <w:color w:val="auto"/>
          <w:kern w:val="0"/>
          <w:sz w:val="32"/>
          <w:szCs w:val="32"/>
          <w:highlight w:val="none"/>
        </w:rPr>
      </w:pPr>
    </w:p>
    <w:p>
      <w:pPr>
        <w:snapToGrid w:val="0"/>
        <w:spacing w:line="360" w:lineRule="auto"/>
        <w:ind w:right="480"/>
        <w:jc w:val="both"/>
        <w:rPr>
          <w:rFonts w:hint="eastAsia" w:ascii="仿宋" w:hAnsi="仿宋" w:eastAsia="仿宋" w:cs="仿宋"/>
          <w:b/>
          <w:color w:val="auto"/>
          <w:kern w:val="0"/>
          <w:sz w:val="32"/>
          <w:szCs w:val="32"/>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p>
      <w:pPr>
        <w:snapToGrid w:val="0"/>
        <w:spacing w:line="360" w:lineRule="auto"/>
        <w:ind w:firstLine="482"/>
        <w:rPr>
          <w:rFonts w:ascii="仿宋" w:hAnsi="仿宋" w:eastAsia="仿宋" w:cs="仿宋"/>
          <w:color w:val="auto"/>
          <w:sz w:val="24"/>
          <w:highlight w:val="none"/>
        </w:rPr>
      </w:pPr>
      <w:r>
        <w:rPr>
          <w:rFonts w:hint="eastAsia" w:ascii="仿宋" w:hAnsi="仿宋" w:eastAsia="仿宋" w:cs="仿宋"/>
          <w:color w:val="auto"/>
          <w:sz w:val="24"/>
          <w:highlight w:val="none"/>
        </w:rPr>
        <w:t>项目编号：</w:t>
      </w:r>
    </w:p>
    <w:p>
      <w:pPr>
        <w:snapToGrid w:val="0"/>
        <w:spacing w:line="360" w:lineRule="auto"/>
        <w:ind w:firstLine="482"/>
        <w:rPr>
          <w:rFonts w:ascii="仿宋" w:hAnsi="仿宋" w:eastAsia="仿宋" w:cs="仿宋"/>
          <w:b/>
          <w:color w:val="auto"/>
          <w:kern w:val="0"/>
          <w:sz w:val="24"/>
          <w:highlight w:val="none"/>
          <w:lang w:val="zh-CN"/>
        </w:rPr>
      </w:pPr>
      <w:r>
        <w:rPr>
          <w:rFonts w:hint="eastAsia" w:ascii="仿宋" w:hAnsi="仿宋" w:eastAsia="仿宋" w:cs="仿宋"/>
          <w:color w:val="auto"/>
          <w:sz w:val="24"/>
          <w:highlight w:val="none"/>
        </w:rPr>
        <w:t>单位：人民币（元）</w:t>
      </w:r>
    </w:p>
    <w:tbl>
      <w:tblPr>
        <w:tblStyle w:val="64"/>
        <w:tblW w:w="9218" w:type="dxa"/>
        <w:tblInd w:w="0" w:type="dxa"/>
        <w:tblLayout w:type="fixed"/>
        <w:tblCellMar>
          <w:top w:w="0" w:type="dxa"/>
          <w:left w:w="0" w:type="dxa"/>
          <w:bottom w:w="0" w:type="dxa"/>
          <w:right w:w="0" w:type="dxa"/>
        </w:tblCellMar>
      </w:tblPr>
      <w:tblGrid>
        <w:gridCol w:w="813"/>
        <w:gridCol w:w="3235"/>
        <w:gridCol w:w="975"/>
        <w:gridCol w:w="2895"/>
        <w:gridCol w:w="1300"/>
      </w:tblGrid>
      <w:tr>
        <w:tblPrEx>
          <w:tblCellMar>
            <w:top w:w="0" w:type="dxa"/>
            <w:left w:w="0" w:type="dxa"/>
            <w:bottom w:w="0" w:type="dxa"/>
            <w:right w:w="0" w:type="dxa"/>
          </w:tblCellMar>
        </w:tblPrEx>
        <w:trPr>
          <w:trHeight w:val="831" w:hRule="atLeast"/>
        </w:trPr>
        <w:tc>
          <w:tcPr>
            <w:tcW w:w="8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4"/>
                <w:szCs w:val="24"/>
                <w:highlight w:val="none"/>
                <w:lang w:eastAsia="zh-CN"/>
              </w:rPr>
            </w:pPr>
            <w:r>
              <w:rPr>
                <w:rFonts w:hint="eastAsia" w:ascii="仿宋" w:hAnsi="仿宋" w:eastAsia="仿宋" w:cs="仿宋"/>
                <w:b/>
                <w:color w:val="auto"/>
                <w:kern w:val="0"/>
                <w:sz w:val="24"/>
                <w:szCs w:val="24"/>
                <w:highlight w:val="none"/>
                <w:lang w:val="en-US" w:eastAsia="zh-CN" w:bidi="ar"/>
              </w:rPr>
              <w:t>标项</w:t>
            </w:r>
          </w:p>
        </w:tc>
        <w:tc>
          <w:tcPr>
            <w:tcW w:w="3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kern w:val="0"/>
                <w:sz w:val="24"/>
                <w:szCs w:val="24"/>
                <w:highlight w:val="none"/>
                <w:lang w:val="en-US" w:eastAsia="zh-CN" w:bidi="ar"/>
              </w:rPr>
              <w:t>采购内容</w:t>
            </w: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sz w:val="24"/>
                <w:szCs w:val="24"/>
                <w:highlight w:val="none"/>
                <w:lang w:val="en-US" w:eastAsia="zh-CN"/>
              </w:rPr>
            </w:pPr>
            <w:r>
              <w:rPr>
                <w:rFonts w:hint="eastAsia" w:ascii="仿宋" w:hAnsi="仿宋" w:eastAsia="仿宋" w:cs="仿宋"/>
                <w:b/>
                <w:color w:val="auto"/>
                <w:kern w:val="0"/>
                <w:sz w:val="24"/>
                <w:szCs w:val="24"/>
                <w:highlight w:val="none"/>
                <w:lang w:eastAsia="zh-CN" w:bidi="ar"/>
              </w:rPr>
              <w:t>服务</w:t>
            </w:r>
            <w:r>
              <w:rPr>
                <w:rFonts w:hint="eastAsia" w:ascii="仿宋" w:hAnsi="仿宋" w:eastAsia="仿宋" w:cs="仿宋"/>
                <w:b/>
                <w:color w:val="auto"/>
                <w:kern w:val="0"/>
                <w:sz w:val="24"/>
                <w:szCs w:val="24"/>
                <w:highlight w:val="none"/>
                <w:lang w:val="en-US" w:eastAsia="zh-CN" w:bidi="ar"/>
              </w:rPr>
              <w:t>期</w:t>
            </w:r>
          </w:p>
        </w:tc>
        <w:tc>
          <w:tcPr>
            <w:tcW w:w="2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default" w:ascii="仿宋" w:hAnsi="仿宋" w:eastAsia="仿宋" w:cs="仿宋"/>
                <w:b/>
                <w:color w:val="auto"/>
                <w:sz w:val="24"/>
                <w:szCs w:val="24"/>
                <w:highlight w:val="none"/>
                <w:lang w:val="en-US"/>
              </w:rPr>
            </w:pPr>
            <w:r>
              <w:rPr>
                <w:rFonts w:hint="eastAsia" w:ascii="仿宋" w:hAnsi="仿宋" w:eastAsia="仿宋" w:cs="仿宋"/>
                <w:b/>
                <w:color w:val="auto"/>
                <w:sz w:val="24"/>
                <w:szCs w:val="24"/>
                <w:highlight w:val="none"/>
                <w:lang w:val="en-US" w:eastAsia="zh-CN"/>
              </w:rPr>
              <w:t>报价承诺</w:t>
            </w:r>
          </w:p>
        </w:tc>
        <w:tc>
          <w:tcPr>
            <w:tcW w:w="1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b/>
                <w:color w:val="auto"/>
                <w:kern w:val="0"/>
                <w:sz w:val="24"/>
                <w:szCs w:val="24"/>
                <w:highlight w:val="none"/>
                <w:lang w:eastAsia="zh-CN" w:bidi="ar"/>
              </w:rPr>
            </w:pPr>
            <w:r>
              <w:rPr>
                <w:rFonts w:hint="eastAsia" w:ascii="仿宋" w:hAnsi="仿宋" w:eastAsia="仿宋" w:cs="仿宋"/>
                <w:b/>
                <w:color w:val="auto"/>
                <w:kern w:val="0"/>
                <w:sz w:val="24"/>
                <w:szCs w:val="24"/>
                <w:highlight w:val="none"/>
                <w:lang w:val="en-US" w:eastAsia="zh-CN" w:bidi="ar"/>
              </w:rPr>
              <w:t>备注</w:t>
            </w:r>
          </w:p>
        </w:tc>
      </w:tr>
      <w:tr>
        <w:tblPrEx>
          <w:tblCellMar>
            <w:top w:w="0" w:type="dxa"/>
            <w:left w:w="0" w:type="dxa"/>
            <w:bottom w:w="0" w:type="dxa"/>
            <w:right w:w="0" w:type="dxa"/>
          </w:tblCellMar>
        </w:tblPrEx>
        <w:trPr>
          <w:trHeight w:val="831" w:hRule="atLeast"/>
        </w:trPr>
        <w:tc>
          <w:tcPr>
            <w:tcW w:w="813"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lang w:val="en-US" w:eastAsia="zh-CN"/>
              </w:rPr>
            </w:pPr>
          </w:p>
        </w:tc>
        <w:tc>
          <w:tcPr>
            <w:tcW w:w="323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lang w:eastAsia="zh-CN"/>
              </w:rPr>
            </w:pPr>
          </w:p>
        </w:tc>
        <w:tc>
          <w:tcPr>
            <w:tcW w:w="97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jc w:val="center"/>
              <w:textAlignment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年</w:t>
            </w:r>
          </w:p>
        </w:tc>
        <w:tc>
          <w:tcPr>
            <w:tcW w:w="2895"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我公司承诺服务期内价格统一按绍兴市医疗保障协会等联委公布的中药饮片价格最新信息价结算。</w:t>
            </w:r>
          </w:p>
        </w:tc>
        <w:tc>
          <w:tcPr>
            <w:tcW w:w="130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jc w:val="center"/>
              <w:rPr>
                <w:rFonts w:hint="eastAsia" w:ascii="仿宋" w:hAnsi="仿宋" w:eastAsia="仿宋" w:cs="仿宋"/>
                <w:b/>
                <w:bCs w:val="0"/>
                <w:color w:val="auto"/>
                <w:sz w:val="24"/>
                <w:szCs w:val="24"/>
                <w:highlight w:val="none"/>
              </w:rPr>
            </w:pPr>
          </w:p>
        </w:tc>
      </w:tr>
    </w:tbl>
    <w:p>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1、有关本项目实施所涉及的一切费用均计入报价。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p>
    <w:p>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pacing w:line="360" w:lineRule="auto"/>
        <w:ind w:firstLine="482" w:firstLineChars="200"/>
        <w:rPr>
          <w:rFonts w:hint="eastAsia" w:ascii="仿宋" w:hAnsi="仿宋" w:eastAsia="仿宋" w:cs="仿宋"/>
          <w:b/>
          <w:color w:val="auto"/>
          <w:kern w:val="0"/>
          <w:sz w:val="24"/>
          <w:highlight w:val="none"/>
        </w:r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pPr>
        <w:spacing w:line="336" w:lineRule="auto"/>
        <w:ind w:firstLine="5280" w:firstLineChars="22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日期：  年   月   日</w:t>
      </w: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1906" w:h="16838"/>
          <w:pgMar w:top="1247" w:right="1418" w:bottom="1276" w:left="1418" w:header="851" w:footer="992" w:gutter="0"/>
          <w:cols w:space="720" w:num="1"/>
          <w:titlePg/>
          <w:docGrid w:linePitch="312" w:charSpace="0"/>
        </w:sectPr>
      </w:pPr>
    </w:p>
    <w:p>
      <w:pPr>
        <w:pStyle w:val="692"/>
        <w:keepNext w:val="0"/>
        <w:pageBreakBefore w:val="0"/>
        <w:tabs>
          <w:tab w:val="clear" w:pos="720"/>
        </w:tabs>
        <w:snapToGrid w:val="0"/>
        <w:spacing w:before="120" w:after="120"/>
        <w:ind w:firstLine="643"/>
        <w:outlineLvl w:val="9"/>
        <w:rPr>
          <w:rFonts w:hint="eastAsia"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pPr>
        <w:widowControl/>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pStyle w:val="2"/>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ascii="仿宋" w:hAnsi="仿宋" w:eastAsia="仿宋" w:cs="仿宋"/>
          <w:b/>
          <w:color w:val="auto"/>
          <w:sz w:val="24"/>
          <w:highlight w:val="none"/>
        </w:rPr>
      </w:pPr>
    </w:p>
    <w:p>
      <w:pPr>
        <w:pStyle w:val="2"/>
        <w:rPr>
          <w:rFonts w:hint="eastAsia" w:ascii="仿宋" w:hAnsi="仿宋" w:eastAsia="仿宋" w:cs="仿宋"/>
          <w:b/>
          <w:color w:val="auto"/>
          <w:sz w:val="24"/>
          <w:highlight w:val="none"/>
        </w:rPr>
      </w:pPr>
    </w:p>
    <w:p>
      <w:pPr>
        <w:pStyle w:val="81"/>
        <w:rPr>
          <w:rFonts w:hint="eastAsia" w:ascii="仿宋" w:hAnsi="仿宋" w:eastAsia="仿宋" w:cs="仿宋"/>
          <w:b/>
          <w:color w:val="auto"/>
          <w:sz w:val="24"/>
          <w:highlight w:val="none"/>
        </w:rPr>
      </w:pPr>
    </w:p>
    <w:p>
      <w:pPr>
        <w:rPr>
          <w:rFonts w:hint="eastAsia"/>
          <w:color w:val="auto"/>
          <w:highlight w:val="none"/>
          <w:lang w:eastAsia="zh-CN"/>
        </w:rPr>
      </w:pPr>
    </w:p>
    <w:p>
      <w:pPr>
        <w:widowControl/>
        <w:spacing w:line="360" w:lineRule="auto"/>
        <w:ind w:firstLine="161" w:firstLineChars="5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eastAsia="zh-CN"/>
        </w:rPr>
        <w:t>三、残疾人福利性单位声明函（如果有）</w:t>
      </w:r>
    </w:p>
    <w:p>
      <w:pPr>
        <w:pStyle w:val="24"/>
        <w:widowControl/>
        <w:numPr>
          <w:ilvl w:val="0"/>
          <w:numId w:val="0"/>
        </w:numPr>
        <w:spacing w:line="360" w:lineRule="auto"/>
        <w:ind w:firstLine="120" w:firstLineChars="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lang w:eastAsia="zh-CN"/>
        </w:rPr>
        <w:t>[符合条件的残疾人福利性单位，提供残疾人福利性单位声明函(附件6)，否则不需要提供。]</w:t>
      </w:r>
    </w:p>
    <w:p>
      <w:pPr>
        <w:pStyle w:val="692"/>
        <w:keepNext w:val="0"/>
        <w:pageBreakBefore w:val="0"/>
        <w:tabs>
          <w:tab w:val="clear" w:pos="720"/>
        </w:tabs>
        <w:snapToGrid w:val="0"/>
        <w:spacing w:before="120" w:after="120"/>
        <w:ind w:firstLine="643"/>
        <w:outlineLvl w:val="9"/>
        <w:rPr>
          <w:rFonts w:hint="eastAsia" w:ascii="仿宋" w:hAnsi="仿宋" w:eastAsia="仿宋" w:cs="仿宋"/>
          <w:b w:val="0"/>
          <w:color w:val="auto"/>
          <w:sz w:val="32"/>
          <w:szCs w:val="32"/>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spacing w:line="360" w:lineRule="auto"/>
        <w:ind w:right="420" w:firstLine="3614" w:firstLineChars="1000"/>
        <w:rPr>
          <w:rFonts w:hint="eastAsia" w:ascii="仿宋" w:hAnsi="仿宋" w:eastAsia="仿宋" w:cs="仿宋"/>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b/>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仿宋" w:hAnsi="仿宋" w:eastAsia="仿宋" w:cs="仿宋"/>
          <w:color w:val="auto"/>
          <w:sz w:val="30"/>
          <w:szCs w:val="30"/>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p>
    <w:p>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pPr>
        <w:spacing w:line="360" w:lineRule="auto"/>
        <w:jc w:val="center"/>
        <w:rPr>
          <w:rFonts w:hint="eastAsia" w:ascii="仿宋" w:hAnsi="仿宋" w:eastAsia="仿宋" w:cs="仿宋"/>
          <w:b/>
          <w:color w:val="auto"/>
          <w:sz w:val="24"/>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p>
    <w:p>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仿宋" w:hAnsi="仿宋" w:eastAsia="仿宋" w:cs="仿宋"/>
          <w:b/>
          <w:color w:val="auto"/>
          <w:sz w:val="24"/>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pPr>
        <w:spacing w:line="360" w:lineRule="auto"/>
        <w:rPr>
          <w:rFonts w:hint="eastAsia" w:ascii="仿宋" w:hAnsi="仿宋" w:eastAsia="仿宋" w:cs="仿宋"/>
          <w:color w:val="auto"/>
          <w:sz w:val="24"/>
          <w:highlight w:val="none"/>
          <w:u w:val="single"/>
        </w:rPr>
      </w:pPr>
    </w:p>
    <w:p>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firstLine="494"/>
        <w:rPr>
          <w:rFonts w:hint="eastAsia" w:ascii="仿宋" w:hAnsi="仿宋" w:eastAsia="仿宋" w:cs="仿宋"/>
          <w:color w:val="auto"/>
          <w:sz w:val="24"/>
          <w:highlight w:val="none"/>
        </w:rPr>
      </w:pPr>
    </w:p>
    <w:p>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42" w:name="_Hlk101131882"/>
      <w:r>
        <w:rPr>
          <w:rFonts w:hint="eastAsia" w:ascii="仿宋" w:hAnsi="仿宋" w:eastAsia="仿宋" w:cs="仿宋"/>
          <w:color w:val="auto"/>
          <w:kern w:val="0"/>
          <w:sz w:val="24"/>
          <w:highlight w:val="none"/>
          <w:u w:val="single"/>
        </w:rPr>
        <w:t>联合体成员X,……</w:t>
      </w:r>
      <w:bookmarkEnd w:id="42"/>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43"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43"/>
      <w:r>
        <w:rPr>
          <w:rFonts w:hint="eastAsia" w:ascii="仿宋" w:hAnsi="仿宋" w:eastAsia="仿宋" w:cs="仿宋"/>
          <w:b/>
          <w:color w:val="auto"/>
          <w:kern w:val="0"/>
          <w:sz w:val="24"/>
          <w:highlight w:val="none"/>
          <w:lang w:val="zh-CN"/>
        </w:rPr>
        <w:t>）</w:t>
      </w:r>
    </w:p>
    <w:p>
      <w:pPr>
        <w:keepNext w:val="0"/>
        <w:keepLines w:val="0"/>
        <w:pageBreakBefore w:val="0"/>
        <w:kinsoku/>
        <w:wordWrap/>
        <w:overflowPunct/>
        <w:topLinePunct w:val="0"/>
        <w:autoSpaceDE/>
        <w:autoSpaceDN/>
        <w:bidi w:val="0"/>
        <w:adjustRightInd w:val="0"/>
        <w:spacing w:line="440" w:lineRule="exact"/>
        <w:ind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44"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44"/>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napToGrid w:val="0"/>
        <w:spacing w:line="360" w:lineRule="auto"/>
        <w:ind w:firstLine="3666" w:firstLineChars="1100"/>
        <w:rPr>
          <w:rFonts w:hint="eastAsia" w:ascii="仿宋" w:hAnsi="仿宋" w:eastAsia="仿宋" w:cs="仿宋"/>
          <w:b/>
          <w:color w:val="auto"/>
          <w:spacing w:val="6"/>
          <w:sz w:val="32"/>
          <w:szCs w:val="32"/>
          <w:highlight w:val="none"/>
        </w:rPr>
      </w:pPr>
    </w:p>
    <w:p>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pPr>
        <w:pStyle w:val="4"/>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ascii="仿宋" w:hAnsi="仿宋" w:eastAsia="仿宋" w:cs="仿宋"/>
          <w:b/>
          <w:color w:val="auto"/>
          <w:spacing w:val="6"/>
          <w:sz w:val="32"/>
          <w:szCs w:val="32"/>
          <w:highlight w:val="none"/>
        </w:rPr>
      </w:pPr>
    </w:p>
    <w:p>
      <w:pPr>
        <w:pStyle w:val="81"/>
        <w:rPr>
          <w:rFonts w:hint="eastAsia" w:ascii="仿宋" w:hAnsi="仿宋" w:eastAsia="仿宋" w:cs="仿宋"/>
          <w:b/>
          <w:color w:val="auto"/>
          <w:spacing w:val="6"/>
          <w:sz w:val="32"/>
          <w:szCs w:val="32"/>
          <w:highlight w:val="none"/>
        </w:rPr>
      </w:pPr>
    </w:p>
    <w:p>
      <w:pPr>
        <w:rPr>
          <w:rFonts w:hint="eastAsia" w:ascii="仿宋" w:hAnsi="仿宋" w:eastAsia="仿宋" w:cs="仿宋"/>
          <w:b/>
          <w:color w:val="auto"/>
          <w:spacing w:val="6"/>
          <w:sz w:val="32"/>
          <w:szCs w:val="32"/>
          <w:highlight w:val="none"/>
        </w:rPr>
      </w:pPr>
    </w:p>
    <w:p>
      <w:pPr>
        <w:pStyle w:val="2"/>
        <w:rPr>
          <w:rFonts w:hint="eastAsia"/>
          <w:color w:val="auto"/>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p>
    <w:p>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45" w:name="OLE_LINK13"/>
      <w:bookmarkStart w:id="46" w:name="OLE_LINK14"/>
      <w:r>
        <w:rPr>
          <w:rFonts w:hint="eastAsia" w:ascii="仿宋" w:hAnsi="仿宋" w:eastAsia="仿宋" w:cs="仿宋"/>
          <w:b/>
          <w:color w:val="auto"/>
          <w:spacing w:val="6"/>
          <w:sz w:val="32"/>
          <w:szCs w:val="32"/>
          <w:highlight w:val="none"/>
        </w:rPr>
        <w:t>残疾人福利性单位声明函</w:t>
      </w:r>
    </w:p>
    <w:bookmarkEnd w:id="45"/>
    <w:bookmarkEnd w:id="46"/>
    <w:p>
      <w:pPr>
        <w:spacing w:line="360" w:lineRule="auto"/>
        <w:rPr>
          <w:rFonts w:hint="eastAsia" w:ascii="仿宋" w:hAnsi="仿宋" w:eastAsia="仿宋" w:cs="仿宋"/>
          <w:b/>
          <w:color w:val="auto"/>
          <w:spacing w:val="6"/>
          <w:sz w:val="30"/>
          <w:szCs w:val="30"/>
          <w:highlight w:val="none"/>
        </w:rPr>
      </w:pP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pPr>
        <w:spacing w:line="360" w:lineRule="auto"/>
        <w:ind w:firstLine="480" w:firstLineChars="200"/>
        <w:rPr>
          <w:rFonts w:hint="eastAsia" w:ascii="仿宋" w:hAnsi="仿宋" w:eastAsia="仿宋" w:cs="仿宋"/>
          <w:color w:val="auto"/>
          <w:sz w:val="24"/>
          <w:highlight w:val="none"/>
        </w:rPr>
      </w:pPr>
    </w:p>
    <w:p>
      <w:pPr>
        <w:spacing w:line="360" w:lineRule="auto"/>
        <w:ind w:firstLine="480" w:firstLineChars="200"/>
        <w:rPr>
          <w:rFonts w:hint="eastAsia" w:ascii="仿宋" w:hAnsi="仿宋" w:eastAsia="仿宋" w:cs="仿宋"/>
          <w:color w:val="auto"/>
          <w:sz w:val="24"/>
          <w:highlight w:val="none"/>
        </w:rPr>
      </w:pP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autoSpaceDE w:val="0"/>
        <w:autoSpaceDN w:val="0"/>
        <w:jc w:val="center"/>
        <w:rPr>
          <w:rFonts w:hint="eastAsia" w:ascii="仿宋" w:hAnsi="仿宋" w:eastAsia="仿宋" w:cs="仿宋"/>
          <w:b/>
          <w:color w:val="auto"/>
          <w:spacing w:val="6"/>
          <w:sz w:val="32"/>
          <w:szCs w:val="32"/>
          <w:highlight w:val="none"/>
        </w:rPr>
      </w:pPr>
    </w:p>
    <w:p>
      <w:pPr>
        <w:pStyle w:val="24"/>
        <w:rPr>
          <w:rFonts w:hint="eastAsia" w:ascii="仿宋" w:hAnsi="仿宋" w:eastAsia="仿宋" w:cs="仿宋"/>
          <w:color w:val="auto"/>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p>
    <w:p>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pPr>
        <w:spacing w:line="360" w:lineRule="auto"/>
        <w:jc w:val="center"/>
        <w:rPr>
          <w:rFonts w:hint="eastAsia" w:ascii="仿宋" w:hAnsi="仿宋" w:eastAsia="仿宋" w:cs="仿宋"/>
          <w:color w:val="auto"/>
          <w:sz w:val="24"/>
          <w:highlight w:val="none"/>
          <w:u w:val="single"/>
        </w:rPr>
      </w:pPr>
    </w:p>
    <w:p>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pPr>
        <w:spacing w:line="360" w:lineRule="auto"/>
        <w:ind w:firstLine="360" w:firstLineChars="1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（采购文件中明确的所属行业）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（采购文件中明确的所属行业）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pPr>
        <w:spacing w:line="360" w:lineRule="auto"/>
        <w:ind w:right="420"/>
        <w:rPr>
          <w:rFonts w:hint="eastAsia" w:ascii="仿宋" w:hAnsi="仿宋" w:eastAsia="仿宋" w:cs="仿宋"/>
          <w:color w:val="auto"/>
          <w:sz w:val="24"/>
          <w:highlight w:val="none"/>
        </w:rPr>
      </w:pPr>
    </w:p>
    <w:p>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注：</w:t>
      </w:r>
    </w:p>
    <w:p>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60" w:lineRule="auto"/>
        <w:ind w:right="420"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pStyle w:val="4"/>
        <w:rPr>
          <w:rFonts w:hint="eastAsia" w:ascii="仿宋" w:hAnsi="仿宋" w:eastAsia="仿宋" w:cs="仿宋"/>
          <w:color w:val="auto"/>
          <w:highlight w:val="none"/>
          <w:lang w:val="en-US"/>
        </w:rPr>
      </w:pPr>
    </w:p>
    <w:p>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pPr>
        <w:pStyle w:val="24"/>
        <w:rPr>
          <w:rFonts w:hint="eastAsia"/>
          <w:color w:val="auto"/>
          <w:highlight w:val="none"/>
          <w:lang w:val="en-US" w:eastAsia="zh-CN"/>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jc w:val="left"/>
              <w:rPr>
                <w:rFonts w:hint="eastAsia" w:ascii="仿宋" w:hAnsi="仿宋" w:eastAsia="仿宋" w:cs="仿宋"/>
                <w:color w:val="auto"/>
                <w:kern w:val="0"/>
                <w:sz w:val="24"/>
                <w:highlight w:val="none"/>
              </w:rPr>
            </w:pP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pPr>
        <w:widowControl/>
        <w:jc w:val="left"/>
        <w:rPr>
          <w:rFonts w:hint="eastAsia" w:ascii="仿宋" w:hAnsi="仿宋" w:eastAsia="仿宋" w:cs="仿宋"/>
          <w:color w:val="auto"/>
          <w:kern w:val="0"/>
          <w:sz w:val="24"/>
          <w:highlight w:val="none"/>
        </w:rPr>
      </w:pPr>
    </w:p>
    <w:p>
      <w:pPr>
        <w:widowControl/>
        <w:jc w:val="left"/>
        <w:rPr>
          <w:rFonts w:hint="eastAsia" w:ascii="仿宋" w:hAnsi="仿宋" w:eastAsia="仿宋" w:cs="仿宋"/>
          <w:color w:val="auto"/>
          <w:kern w:val="0"/>
          <w:sz w:val="24"/>
          <w:highlight w:val="none"/>
        </w:rPr>
      </w:pP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jc w:val="left"/>
        <w:rPr>
          <w:rFonts w:hint="eastAsia" w:ascii="仿宋" w:hAnsi="仿宋" w:eastAsia="仿宋" w:cs="仿宋"/>
          <w:color w:val="auto"/>
          <w:kern w:val="0"/>
          <w:sz w:val="18"/>
          <w:szCs w:val="18"/>
          <w:highlight w:val="none"/>
        </w:rPr>
      </w:pP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jc w:val="left"/>
              <w:rPr>
                <w:rFonts w:hint="eastAsia" w:ascii="仿宋" w:hAnsi="仿宋" w:eastAsia="仿宋" w:cs="仿宋"/>
                <w:color w:val="auto"/>
                <w:kern w:val="0"/>
                <w:sz w:val="24"/>
                <w:highlight w:val="none"/>
              </w:rPr>
            </w:pPr>
          </w:p>
        </w:tc>
        <w:tc>
          <w:tcPr>
            <w:tcW w:w="1025" w:type="dxa"/>
            <w:vMerge w:val="continue"/>
            <w:vAlign w:val="center"/>
          </w:tcPr>
          <w:p>
            <w:pPr>
              <w:widowControl/>
              <w:jc w:val="left"/>
              <w:rPr>
                <w:rFonts w:hint="eastAsia" w:ascii="仿宋" w:hAnsi="仿宋" w:eastAsia="仿宋" w:cs="仿宋"/>
                <w:color w:val="auto"/>
                <w:kern w:val="0"/>
                <w:sz w:val="24"/>
                <w:highlight w:val="none"/>
              </w:rPr>
            </w:pPr>
          </w:p>
        </w:tc>
        <w:tc>
          <w:tcPr>
            <w:tcW w:w="2836" w:type="dxa"/>
            <w:vMerge w:val="continue"/>
            <w:vAlign w:val="center"/>
          </w:tcPr>
          <w:p>
            <w:pPr>
              <w:widowControl/>
              <w:jc w:val="left"/>
              <w:rPr>
                <w:rFonts w:hint="eastAsia" w:ascii="仿宋" w:hAnsi="仿宋" w:eastAsia="仿宋" w:cs="仿宋"/>
                <w:color w:val="auto"/>
                <w:kern w:val="0"/>
                <w:sz w:val="24"/>
                <w:highlight w:val="none"/>
              </w:rPr>
            </w:pPr>
          </w:p>
        </w:tc>
        <w:tc>
          <w:tcPr>
            <w:tcW w:w="60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pPr>
        <w:rPr>
          <w:rFonts w:hint="eastAsia" w:ascii="仿宋" w:hAnsi="仿宋" w:eastAsia="仿宋" w:cs="仿宋"/>
          <w:color w:val="auto"/>
          <w:sz w:val="24"/>
          <w:highlight w:val="none"/>
        </w:rPr>
      </w:pPr>
    </w:p>
    <w:p>
      <w:pPr>
        <w:ind w:firstLine="420" w:firstLineChars="200"/>
        <w:rPr>
          <w:rFonts w:hint="eastAsia" w:ascii="仿宋" w:hAnsi="仿宋" w:eastAsia="仿宋" w:cs="仿宋"/>
          <w:color w:val="auto"/>
          <w:highlight w:val="none"/>
        </w:rPr>
      </w:pPr>
    </w:p>
    <w:p>
      <w:pPr>
        <w:spacing w:line="360" w:lineRule="auto"/>
        <w:ind w:right="420"/>
        <w:rPr>
          <w:rFonts w:hint="eastAsia" w:ascii="仿宋" w:hAnsi="仿宋" w:eastAsia="仿宋" w:cs="仿宋"/>
          <w:color w:val="auto"/>
          <w:highlight w:val="none"/>
        </w:rPr>
      </w:pPr>
    </w:p>
    <w:p>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02"/>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000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Vrinda"/>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50402020203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1"/>
    <w:family w:val="roman"/>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Cambria Math">
    <w:panose1 w:val="02040503050406030204"/>
    <w:charset w:val="00"/>
    <w:family w:val="auto"/>
    <w:pitch w:val="default"/>
    <w:sig w:usb0="E00002FF" w:usb1="420024FF" w:usb2="00000000" w:usb3="00000000" w:csb0="2000019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Vrinda">
    <w:panose1 w:val="020B0502040204020203"/>
    <w:charset w:val="00"/>
    <w:family w:val="auto"/>
    <w:pitch w:val="default"/>
    <w:sig w:usb0="00010003" w:usb1="00000000" w:usb2="00000000" w:usb3="00000000" w:csb0="00000001" w:csb1="0000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framePr w:wrap="around" w:vAnchor="text" w:hAnchor="margin" w:xAlign="right" w:y="1"/>
      <w:rPr>
        <w:rStyle w:val="74"/>
      </w:rPr>
    </w:pPr>
    <w:r>
      <w:fldChar w:fldCharType="begin"/>
    </w:r>
    <w:r>
      <w:rPr>
        <w:rStyle w:val="74"/>
      </w:rPr>
      <w:instrText xml:space="preserve">PAGE  </w:instrText>
    </w:r>
    <w:r>
      <w:fldChar w:fldCharType="end"/>
    </w:r>
  </w:p>
  <w:p>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2"/>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47" w:name="_Toc36110187"/>
    <w:bookmarkStart w:id="48" w:name="_Toc131845147"/>
    <w:bookmarkStart w:id="49" w:name="_Toc164085800"/>
    <w:bookmarkStart w:id="50" w:name="_Toc91899912"/>
    <w:r>
      <w:rPr>
        <w:rFonts w:hint="eastAsia" w:ascii="仿宋_GB2312" w:eastAsia="仿宋_GB2312"/>
        <w:kern w:val="0"/>
        <w:szCs w:val="21"/>
      </w:rPr>
      <w:t xml:space="preserve"> 页</w:t>
    </w:r>
    <w:bookmarkEnd w:id="47"/>
    <w:bookmarkEnd w:id="48"/>
    <w:bookmarkEnd w:id="49"/>
    <w:bookmarkEnd w:id="50"/>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r>
      <w:rPr>
        <w:rFonts w:hint="eastAsia" w:ascii="仿宋" w:hAnsi="仿宋" w:eastAsia="仿宋" w:cs="仿宋"/>
        <w:lang w:val="en-US" w:eastAsia="zh-CN"/>
      </w:rPr>
      <w:t xml:space="preserve"> </w:t>
    </w:r>
  </w:p>
  <w:p>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p>
  <w:p>
    <w:pPr>
      <w:pBdr>
        <w:bottom w:val="none" w:color="auto" w:sz="0" w:space="0"/>
      </w:pBd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val="0"/>
        <w:i/>
        <w:sz w:val="18"/>
        <w:u w:val="single"/>
        <w:lang w:val="en-US"/>
      </w:rPr>
    </w:pPr>
    <w:r>
      <w:t></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p>
  <w:p>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jc w:val="left"/>
      <w:rPr>
        <w:rFonts w:ascii="仿宋_GB2312" w:eastAsia="仿宋_GB2312"/>
        <w:b/>
        <w:i/>
        <w:u w:val="single"/>
      </w:rPr>
    </w:pPr>
    <w:r>
      <w:rPr>
        <w:rFonts w:hint="eastAsia"/>
      </w:rPr>
      <w:t xml:space="preserve">                              </w:t>
    </w: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ind w:firstLine="180" w:firstLineChars="100"/>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SXWH2023-8-1</w:t>
    </w: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jc w:val="right"/>
      <w:rPr>
        <w:rFonts w:ascii="仿宋_GB2312" w:eastAsia="仿宋_GB2312"/>
        <w:b/>
        <w:i/>
        <w:iCs/>
        <w:u w:val="single"/>
      </w:rPr>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SXWH2023-8-1</w:t>
    </w: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3"/>
      <w:pBdr>
        <w:bottom w:val="single" w:color="auto" w:sz="4" w:space="1"/>
      </w:pBdr>
      <w:jc w:val="both"/>
    </w:pPr>
    <w:r>
      <w:rPr>
        <w:rFonts w:hint="eastAsia" w:ascii="仿宋" w:hAnsi="仿宋" w:eastAsia="仿宋" w:cs="仿宋"/>
        <w:lang w:val="en-US" w:eastAsia="zh-CN"/>
      </w:rPr>
      <w:t xml:space="preserve">绍兴市文汇项目管理有限公司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文件编号: SXWH2023-8-1</w:t>
    </w: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0ZjA2ZDA4NDFmZmJmNmViMjg0OGM2OWY0ZDVhMWEifQ=="/>
  </w:docVars>
  <w:rsids>
    <w:rsidRoot w:val="00172A27"/>
    <w:rsid w:val="00B34AC1"/>
    <w:rsid w:val="00FA247A"/>
    <w:rsid w:val="024737BC"/>
    <w:rsid w:val="026258B4"/>
    <w:rsid w:val="02C32E43"/>
    <w:rsid w:val="030851C1"/>
    <w:rsid w:val="030B000A"/>
    <w:rsid w:val="03233EA4"/>
    <w:rsid w:val="049F0F5B"/>
    <w:rsid w:val="05072E5A"/>
    <w:rsid w:val="057C6008"/>
    <w:rsid w:val="05E65C8D"/>
    <w:rsid w:val="06D6637D"/>
    <w:rsid w:val="07225A4C"/>
    <w:rsid w:val="073E59F5"/>
    <w:rsid w:val="082F2B38"/>
    <w:rsid w:val="098925DC"/>
    <w:rsid w:val="0A0976D6"/>
    <w:rsid w:val="0BA84AD0"/>
    <w:rsid w:val="0C2B7F85"/>
    <w:rsid w:val="0D1958A7"/>
    <w:rsid w:val="0DD37D30"/>
    <w:rsid w:val="0F096B8F"/>
    <w:rsid w:val="0F63063F"/>
    <w:rsid w:val="0FC4616A"/>
    <w:rsid w:val="0FD261C4"/>
    <w:rsid w:val="10524FBD"/>
    <w:rsid w:val="105370A4"/>
    <w:rsid w:val="109C68FE"/>
    <w:rsid w:val="11CE25B9"/>
    <w:rsid w:val="11F6163F"/>
    <w:rsid w:val="11FD7788"/>
    <w:rsid w:val="1272218F"/>
    <w:rsid w:val="12DE5103"/>
    <w:rsid w:val="12EC0194"/>
    <w:rsid w:val="12FC06B5"/>
    <w:rsid w:val="12FE03A1"/>
    <w:rsid w:val="13CC00BB"/>
    <w:rsid w:val="147B1FE0"/>
    <w:rsid w:val="14DD272A"/>
    <w:rsid w:val="151A266A"/>
    <w:rsid w:val="151F7D49"/>
    <w:rsid w:val="158C7FF9"/>
    <w:rsid w:val="15D32D5F"/>
    <w:rsid w:val="166F491D"/>
    <w:rsid w:val="16FE064C"/>
    <w:rsid w:val="176C0792"/>
    <w:rsid w:val="17E576CA"/>
    <w:rsid w:val="181E0A5F"/>
    <w:rsid w:val="18E60774"/>
    <w:rsid w:val="1A100137"/>
    <w:rsid w:val="1B415B07"/>
    <w:rsid w:val="1C0124C7"/>
    <w:rsid w:val="1D063DCA"/>
    <w:rsid w:val="1D2F1C3B"/>
    <w:rsid w:val="1D9223CE"/>
    <w:rsid w:val="1E126D51"/>
    <w:rsid w:val="1F063E62"/>
    <w:rsid w:val="1FBE5E85"/>
    <w:rsid w:val="22493F21"/>
    <w:rsid w:val="23E5740F"/>
    <w:rsid w:val="250C1FD0"/>
    <w:rsid w:val="25B36142"/>
    <w:rsid w:val="26663961"/>
    <w:rsid w:val="26EE00FC"/>
    <w:rsid w:val="270B5A07"/>
    <w:rsid w:val="28193466"/>
    <w:rsid w:val="28857E42"/>
    <w:rsid w:val="2895329C"/>
    <w:rsid w:val="28A65C60"/>
    <w:rsid w:val="2A77613D"/>
    <w:rsid w:val="2BB725CF"/>
    <w:rsid w:val="2D274350"/>
    <w:rsid w:val="2D334EB3"/>
    <w:rsid w:val="2DD96974"/>
    <w:rsid w:val="2E114AFB"/>
    <w:rsid w:val="2EFD03CC"/>
    <w:rsid w:val="30074D66"/>
    <w:rsid w:val="309E34D9"/>
    <w:rsid w:val="30CD01D9"/>
    <w:rsid w:val="30E82DA0"/>
    <w:rsid w:val="316136A3"/>
    <w:rsid w:val="31CD3E34"/>
    <w:rsid w:val="329A3C54"/>
    <w:rsid w:val="349C4C46"/>
    <w:rsid w:val="34EA409A"/>
    <w:rsid w:val="35103416"/>
    <w:rsid w:val="3568190D"/>
    <w:rsid w:val="356C0B3B"/>
    <w:rsid w:val="39406294"/>
    <w:rsid w:val="39602A6C"/>
    <w:rsid w:val="3A100DD8"/>
    <w:rsid w:val="3C09338D"/>
    <w:rsid w:val="3CE22F35"/>
    <w:rsid w:val="3D741A83"/>
    <w:rsid w:val="3E365F73"/>
    <w:rsid w:val="3E9679FA"/>
    <w:rsid w:val="3ECA78AB"/>
    <w:rsid w:val="3F397DD7"/>
    <w:rsid w:val="40F54C26"/>
    <w:rsid w:val="40FA53EB"/>
    <w:rsid w:val="415A344C"/>
    <w:rsid w:val="420B2A24"/>
    <w:rsid w:val="427E60E8"/>
    <w:rsid w:val="42D33CD5"/>
    <w:rsid w:val="433F1693"/>
    <w:rsid w:val="436A288B"/>
    <w:rsid w:val="437F1896"/>
    <w:rsid w:val="46A8012F"/>
    <w:rsid w:val="470A3735"/>
    <w:rsid w:val="47840F56"/>
    <w:rsid w:val="484E5453"/>
    <w:rsid w:val="48D64A90"/>
    <w:rsid w:val="4A4840F4"/>
    <w:rsid w:val="4ABA5EA6"/>
    <w:rsid w:val="4B02377E"/>
    <w:rsid w:val="4B21631E"/>
    <w:rsid w:val="4B7859A5"/>
    <w:rsid w:val="4D84014B"/>
    <w:rsid w:val="4E4151A9"/>
    <w:rsid w:val="4EAA3FBB"/>
    <w:rsid w:val="4F314724"/>
    <w:rsid w:val="4F4B3D85"/>
    <w:rsid w:val="4F906318"/>
    <w:rsid w:val="50195B7E"/>
    <w:rsid w:val="502F10A7"/>
    <w:rsid w:val="50A12375"/>
    <w:rsid w:val="50A761C7"/>
    <w:rsid w:val="50F70D9C"/>
    <w:rsid w:val="51805A47"/>
    <w:rsid w:val="51B41449"/>
    <w:rsid w:val="52397FF8"/>
    <w:rsid w:val="532844B8"/>
    <w:rsid w:val="54265D9C"/>
    <w:rsid w:val="547929CA"/>
    <w:rsid w:val="54CB0774"/>
    <w:rsid w:val="55125438"/>
    <w:rsid w:val="570606C5"/>
    <w:rsid w:val="57AA3927"/>
    <w:rsid w:val="58AB1524"/>
    <w:rsid w:val="5BAE18DF"/>
    <w:rsid w:val="5C197303"/>
    <w:rsid w:val="5D9B691E"/>
    <w:rsid w:val="5E426F74"/>
    <w:rsid w:val="5E4E6F28"/>
    <w:rsid w:val="5F561B6F"/>
    <w:rsid w:val="5F57E5CA"/>
    <w:rsid w:val="60D46992"/>
    <w:rsid w:val="61AE2DB9"/>
    <w:rsid w:val="6211426D"/>
    <w:rsid w:val="62541D77"/>
    <w:rsid w:val="628A6898"/>
    <w:rsid w:val="632D0DCC"/>
    <w:rsid w:val="653777CF"/>
    <w:rsid w:val="656C1408"/>
    <w:rsid w:val="65BC6B1F"/>
    <w:rsid w:val="662521EF"/>
    <w:rsid w:val="665A304B"/>
    <w:rsid w:val="669C35D3"/>
    <w:rsid w:val="66D73453"/>
    <w:rsid w:val="66DB5CE9"/>
    <w:rsid w:val="687C58B0"/>
    <w:rsid w:val="68E651A6"/>
    <w:rsid w:val="6DA13548"/>
    <w:rsid w:val="6E0F17B6"/>
    <w:rsid w:val="6E217E67"/>
    <w:rsid w:val="6F591777"/>
    <w:rsid w:val="6F753C7B"/>
    <w:rsid w:val="6FC37AD4"/>
    <w:rsid w:val="6FC56BB6"/>
    <w:rsid w:val="709F0A11"/>
    <w:rsid w:val="71B421A2"/>
    <w:rsid w:val="74C675E4"/>
    <w:rsid w:val="74D85898"/>
    <w:rsid w:val="74EA34A5"/>
    <w:rsid w:val="75BC74F0"/>
    <w:rsid w:val="77C4430A"/>
    <w:rsid w:val="77C65EA5"/>
    <w:rsid w:val="78AA0A59"/>
    <w:rsid w:val="78AD1F79"/>
    <w:rsid w:val="7A8935EB"/>
    <w:rsid w:val="7BFC15CB"/>
    <w:rsid w:val="7C2B3C5E"/>
    <w:rsid w:val="7C4B4301"/>
    <w:rsid w:val="7DD143E1"/>
    <w:rsid w:val="7DFF3A1B"/>
    <w:rsid w:val="7E585E9B"/>
    <w:rsid w:val="7EF6200D"/>
    <w:rsid w:val="7EFD5137"/>
    <w:rsid w:val="7F2771E5"/>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2"/>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7">
    <w:name w:val="heading 4"/>
    <w:basedOn w:val="1"/>
    <w:next w:val="1"/>
    <w:link w:val="326"/>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2"/>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7"/>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6"/>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7"/>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2"/>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qFormat/>
    <w:uiPriority w:val="1"/>
  </w:style>
  <w:style w:type="table" w:default="1" w:styleId="64">
    <w:name w:val="Normal Table"/>
    <w:qFormat/>
    <w:uiPriority w:val="99"/>
    <w:tblPr>
      <w:tblCellMar>
        <w:top w:w="0" w:type="dxa"/>
        <w:left w:w="108" w:type="dxa"/>
        <w:bottom w:w="0" w:type="dxa"/>
        <w:right w:w="108" w:type="dxa"/>
      </w:tblCellMar>
    </w:tblPr>
  </w:style>
  <w:style w:type="paragraph" w:customStyle="1" w:styleId="2">
    <w:name w:val="Default"/>
    <w:next w:val="1"/>
    <w:link w:val="234"/>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styleId="6">
    <w:name w:val="Normal Indent"/>
    <w:basedOn w:val="1"/>
    <w:next w:val="1"/>
    <w:link w:val="193"/>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29"/>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2"/>
    <w:qFormat/>
    <w:uiPriority w:val="0"/>
    <w:pPr>
      <w:shd w:val="clear" w:color="auto" w:fill="000080"/>
    </w:pPr>
  </w:style>
  <w:style w:type="paragraph" w:styleId="20">
    <w:name w:val="annotation text"/>
    <w:basedOn w:val="1"/>
    <w:link w:val="343"/>
    <w:qFormat/>
    <w:uiPriority w:val="99"/>
    <w:pPr>
      <w:jc w:val="left"/>
    </w:pPr>
  </w:style>
  <w:style w:type="paragraph" w:styleId="21">
    <w:name w:val="Salutation"/>
    <w:basedOn w:val="1"/>
    <w:next w:val="1"/>
    <w:link w:val="297"/>
    <w:qFormat/>
    <w:uiPriority w:val="0"/>
    <w:rPr>
      <w:rFonts w:ascii="仿宋_GB2312" w:eastAsia="仿宋_GB2312"/>
      <w:sz w:val="28"/>
      <w:szCs w:val="20"/>
    </w:rPr>
  </w:style>
  <w:style w:type="paragraph" w:styleId="22">
    <w:name w:val="Body Text 3"/>
    <w:basedOn w:val="1"/>
    <w:link w:val="329"/>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25"/>
    <w:link w:val="429"/>
    <w:qFormat/>
    <w:uiPriority w:val="0"/>
    <w:pPr>
      <w:autoSpaceDE w:val="0"/>
      <w:autoSpaceDN w:val="0"/>
      <w:spacing w:line="360" w:lineRule="auto"/>
    </w:pPr>
    <w:rPr>
      <w:rFonts w:ascii="宋体" w:hAnsi="Arial" w:cs="Arial"/>
      <w:snapToGrid w:val="0"/>
      <w:sz w:val="24"/>
      <w:szCs w:val="21"/>
      <w:lang w:val="zh-CN"/>
    </w:rPr>
  </w:style>
  <w:style w:type="paragraph" w:styleId="25">
    <w:name w:val="Body Text First Indent"/>
    <w:basedOn w:val="24"/>
    <w:next w:val="1"/>
    <w:link w:val="320"/>
    <w:qFormat/>
    <w:uiPriority w:val="0"/>
    <w:pPr>
      <w:ind w:firstLine="420"/>
    </w:pPr>
    <w:rPr>
      <w:rFonts w:hAnsi="Calibri" w:cs="Times New Roman"/>
      <w:snapToGrid/>
      <w:szCs w:val="20"/>
    </w:rPr>
  </w:style>
  <w:style w:type="paragraph" w:styleId="26">
    <w:name w:val="Body Text Indent"/>
    <w:basedOn w:val="1"/>
    <w:next w:val="6"/>
    <w:link w:val="264"/>
    <w:qFormat/>
    <w:uiPriority w:val="0"/>
    <w:pPr>
      <w:spacing w:line="480" w:lineRule="exact"/>
      <w:ind w:firstLine="480" w:firstLineChars="200"/>
    </w:pPr>
    <w:rPr>
      <w:rFonts w:ascii="宋体" w:hAnsi="宋体"/>
      <w:sz w:val="24"/>
    </w:rPr>
  </w:style>
  <w:style w:type="paragraph" w:styleId="27">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8">
    <w:name w:val="List 2"/>
    <w:basedOn w:val="1"/>
    <w:qFormat/>
    <w:uiPriority w:val="0"/>
    <w:pPr>
      <w:adjustRightInd/>
      <w:spacing w:line="360" w:lineRule="auto"/>
      <w:ind w:left="100" w:leftChars="200" w:hanging="200" w:hangingChars="200"/>
    </w:pPr>
    <w:rPr>
      <w:rFonts w:eastAsia="微软雅黑"/>
    </w:rPr>
  </w:style>
  <w:style w:type="paragraph" w:styleId="29">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0">
    <w:name w:val="List Bullet 2"/>
    <w:basedOn w:val="1"/>
    <w:qFormat/>
    <w:uiPriority w:val="0"/>
    <w:pPr>
      <w:autoSpaceDE w:val="0"/>
      <w:autoSpaceDN w:val="0"/>
      <w:ind w:left="420"/>
      <w:jc w:val="left"/>
    </w:pPr>
    <w:rPr>
      <w:rFonts w:ascii="宋体" w:hAnsi="宋体"/>
      <w:color w:val="000000"/>
      <w:kern w:val="0"/>
      <w:sz w:val="24"/>
      <w:szCs w:val="20"/>
    </w:rPr>
  </w:style>
  <w:style w:type="paragraph" w:styleId="31">
    <w:name w:val="HTML Address"/>
    <w:basedOn w:val="1"/>
    <w:link w:val="219"/>
    <w:qFormat/>
    <w:uiPriority w:val="0"/>
    <w:pPr>
      <w:widowControl/>
      <w:adjustRightInd/>
      <w:ind w:firstLine="200" w:firstLineChars="200"/>
      <w:jc w:val="left"/>
    </w:pPr>
    <w:rPr>
      <w:rFonts w:ascii="宋体" w:hAnsi="宋体"/>
      <w:i/>
      <w:iCs/>
      <w:kern w:val="0"/>
      <w:sz w:val="24"/>
    </w:rPr>
  </w:style>
  <w:style w:type="paragraph" w:styleId="32">
    <w:name w:val="toc 5"/>
    <w:basedOn w:val="1"/>
    <w:next w:val="1"/>
    <w:qFormat/>
    <w:uiPriority w:val="0"/>
    <w:pPr>
      <w:ind w:left="1680" w:leftChars="800"/>
    </w:pPr>
  </w:style>
  <w:style w:type="paragraph" w:styleId="33">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4">
    <w:name w:val="Plain Text"/>
    <w:basedOn w:val="1"/>
    <w:next w:val="35"/>
    <w:link w:val="125"/>
    <w:qFormat/>
    <w:uiPriority w:val="0"/>
    <w:rPr>
      <w:rFonts w:ascii="宋体" w:hAnsi="Courier New" w:cs="Arial"/>
      <w:snapToGrid w:val="0"/>
      <w:szCs w:val="21"/>
    </w:rPr>
  </w:style>
  <w:style w:type="paragraph" w:customStyle="1" w:styleId="35">
    <w:name w:val="TOC 标题4"/>
    <w:next w:val="1"/>
    <w:qFormat/>
    <w:uiPriority w:val="0"/>
    <w:pPr>
      <w:wordWrap w:val="0"/>
    </w:pPr>
    <w:rPr>
      <w:rFonts w:ascii="宋体" w:hAnsi="宋体" w:eastAsia="宋体" w:cs="宋体"/>
      <w:sz w:val="32"/>
      <w:lang w:val="en-US" w:eastAsia="zh-CN" w:bidi="ar-SA"/>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1"/>
    <w:qFormat/>
    <w:uiPriority w:val="0"/>
    <w:pPr>
      <w:ind w:left="100" w:leftChars="2500"/>
    </w:pPr>
    <w:rPr>
      <w:rFonts w:ascii="宋体"/>
      <w:sz w:val="24"/>
      <w:szCs w:val="21"/>
      <w:lang w:val="zh-CN"/>
    </w:rPr>
  </w:style>
  <w:style w:type="paragraph" w:styleId="39">
    <w:name w:val="Body Text Indent 2"/>
    <w:basedOn w:val="1"/>
    <w:link w:val="307"/>
    <w:qFormat/>
    <w:uiPriority w:val="0"/>
    <w:pPr>
      <w:spacing w:line="360" w:lineRule="auto"/>
      <w:ind w:firstLine="601"/>
      <w:textAlignment w:val="baseline"/>
    </w:pPr>
    <w:rPr>
      <w:rFonts w:ascii="宋体"/>
      <w:kern w:val="0"/>
      <w:sz w:val="28"/>
      <w:szCs w:val="20"/>
    </w:rPr>
  </w:style>
  <w:style w:type="paragraph" w:styleId="40">
    <w:name w:val="endnote text"/>
    <w:basedOn w:val="1"/>
    <w:link w:val="931"/>
    <w:qFormat/>
    <w:uiPriority w:val="0"/>
    <w:rPr>
      <w:lang w:val="zh-CN"/>
    </w:rPr>
  </w:style>
  <w:style w:type="paragraph" w:styleId="41">
    <w:name w:val="Balloon Text"/>
    <w:basedOn w:val="1"/>
    <w:link w:val="188"/>
    <w:qFormat/>
    <w:uiPriority w:val="0"/>
    <w:rPr>
      <w:sz w:val="18"/>
      <w:szCs w:val="18"/>
    </w:rPr>
  </w:style>
  <w:style w:type="paragraph" w:styleId="42">
    <w:name w:val="footer"/>
    <w:basedOn w:val="1"/>
    <w:link w:val="382"/>
    <w:qFormat/>
    <w:uiPriority w:val="99"/>
    <w:pPr>
      <w:tabs>
        <w:tab w:val="center" w:pos="4153"/>
        <w:tab w:val="right" w:pos="8306"/>
      </w:tabs>
      <w:snapToGrid w:val="0"/>
      <w:jc w:val="left"/>
    </w:pPr>
    <w:rPr>
      <w:sz w:val="18"/>
      <w:szCs w:val="18"/>
    </w:rPr>
  </w:style>
  <w:style w:type="paragraph" w:styleId="43">
    <w:name w:val="header"/>
    <w:basedOn w:val="1"/>
    <w:link w:val="391"/>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4"/>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3"/>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09"/>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4"/>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1"/>
    <w:qFormat/>
    <w:uiPriority w:val="0"/>
    <w:pPr>
      <w:spacing w:after="120" w:line="480" w:lineRule="auto"/>
    </w:pPr>
  </w:style>
  <w:style w:type="paragraph" w:styleId="59">
    <w:name w:val="HTML Preformatted"/>
    <w:basedOn w:val="1"/>
    <w:link w:val="300"/>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5"/>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0"/>
    <w:next w:val="20"/>
    <w:link w:val="96"/>
    <w:qFormat/>
    <w:uiPriority w:val="0"/>
    <w:rPr>
      <w:b/>
      <w:bCs/>
    </w:rPr>
  </w:style>
  <w:style w:type="paragraph" w:styleId="63">
    <w:name w:val="Body Text First Indent 2"/>
    <w:basedOn w:val="26"/>
    <w:link w:val="121"/>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2">
    <w:name w:val="表格非标题文字 Char"/>
    <w:link w:val="83"/>
    <w:qFormat/>
    <w:uiPriority w:val="0"/>
    <w:rPr>
      <w:rFonts w:ascii="Futura Bk" w:hAnsi="Futura Bk"/>
      <w:kern w:val="2"/>
      <w:sz w:val="18"/>
      <w:szCs w:val="21"/>
      <w:lang w:val="en-US" w:eastAsia="zh-CN" w:bidi="ar-SA"/>
    </w:rPr>
  </w:style>
  <w:style w:type="paragraph" w:customStyle="1" w:styleId="83">
    <w:name w:val="表格非标题文字"/>
    <w:link w:val="82"/>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4">
    <w:name w:val="*正文 Char"/>
    <w:link w:val="85"/>
    <w:qFormat/>
    <w:uiPriority w:val="0"/>
    <w:rPr>
      <w:rFonts w:ascii="宋体" w:hAnsi="宋体"/>
      <w:sz w:val="24"/>
    </w:rPr>
  </w:style>
  <w:style w:type="paragraph" w:customStyle="1" w:styleId="85">
    <w:name w:val="*正文"/>
    <w:basedOn w:val="1"/>
    <w:link w:val="84"/>
    <w:qFormat/>
    <w:uiPriority w:val="0"/>
    <w:pPr>
      <w:snapToGrid w:val="0"/>
      <w:spacing w:line="360" w:lineRule="auto"/>
      <w:ind w:firstLine="482"/>
      <w:jc w:val="left"/>
    </w:pPr>
    <w:rPr>
      <w:rFonts w:ascii="宋体" w:hAnsi="宋体"/>
      <w:kern w:val="0"/>
      <w:sz w:val="24"/>
      <w:szCs w:val="20"/>
    </w:rPr>
  </w:style>
  <w:style w:type="character" w:customStyle="1" w:styleId="86">
    <w:name w:val="Char Char71"/>
    <w:qFormat/>
    <w:uiPriority w:val="0"/>
    <w:rPr>
      <w:rFonts w:eastAsia="宋体"/>
      <w:kern w:val="2"/>
      <w:sz w:val="21"/>
      <w:szCs w:val="24"/>
      <w:lang w:val="en-US" w:eastAsia="zh-CN" w:bidi="ar-SA"/>
    </w:rPr>
  </w:style>
  <w:style w:type="character" w:customStyle="1" w:styleId="87">
    <w:name w:val="Char Char6"/>
    <w:qFormat/>
    <w:uiPriority w:val="0"/>
    <w:rPr>
      <w:rFonts w:eastAsia="宋体"/>
      <w:kern w:val="2"/>
      <w:sz w:val="21"/>
      <w:szCs w:val="24"/>
      <w:lang w:val="en-US" w:eastAsia="zh-CN" w:bidi="ar-SA"/>
    </w:rPr>
  </w:style>
  <w:style w:type="character" w:customStyle="1" w:styleId="88">
    <w:name w:val="正文缩进 Char"/>
    <w:qFormat/>
    <w:uiPriority w:val="0"/>
    <w:rPr>
      <w:rFonts w:eastAsia="宋体"/>
      <w:kern w:val="2"/>
      <w:sz w:val="21"/>
      <w:lang w:val="en-US" w:eastAsia="zh-CN"/>
    </w:rPr>
  </w:style>
  <w:style w:type="character" w:customStyle="1" w:styleId="89">
    <w:name w:val="正文首行缩进 Char1"/>
    <w:qFormat/>
    <w:uiPriority w:val="0"/>
    <w:rPr>
      <w:rFonts w:ascii="宋体" w:hAnsi="Times New Roman" w:eastAsia="宋体" w:cs="Times New Roman"/>
      <w:snapToGrid w:val="0"/>
      <w:kern w:val="2"/>
      <w:sz w:val="24"/>
      <w:szCs w:val="21"/>
      <w:lang w:val="zh-CN"/>
    </w:rPr>
  </w:style>
  <w:style w:type="character" w:customStyle="1" w:styleId="90">
    <w:name w:val="Char Char28"/>
    <w:qFormat/>
    <w:uiPriority w:val="6"/>
    <w:rPr>
      <w:rFonts w:ascii="仿宋_GB2312" w:hAnsi="仿宋_GB2312" w:eastAsia="仿宋_GB2312"/>
      <w:kern w:val="1"/>
      <w:sz w:val="28"/>
    </w:rPr>
  </w:style>
  <w:style w:type="character" w:customStyle="1" w:styleId="91">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2">
    <w:name w:val="Heading 1 Char_a065a2bc-5607-4f88-bb9a-f4f6c7b4e0ea"/>
    <w:qFormat/>
    <w:uiPriority w:val="6"/>
    <w:rPr>
      <w:rFonts w:ascii="Times New Roman" w:hAnsi="Times New Roman" w:eastAsia="黑体" w:cs="Times New Roman"/>
      <w:b/>
      <w:kern w:val="0"/>
      <w:sz w:val="24"/>
      <w:szCs w:val="24"/>
    </w:rPr>
  </w:style>
  <w:style w:type="character" w:customStyle="1" w:styleId="93">
    <w:name w:val="U_正文 Char"/>
    <w:link w:val="94"/>
    <w:qFormat/>
    <w:uiPriority w:val="0"/>
    <w:rPr>
      <w:sz w:val="24"/>
      <w:szCs w:val="24"/>
    </w:rPr>
  </w:style>
  <w:style w:type="paragraph" w:customStyle="1" w:styleId="94">
    <w:name w:val="U_正文"/>
    <w:basedOn w:val="1"/>
    <w:link w:val="93"/>
    <w:qFormat/>
    <w:uiPriority w:val="0"/>
    <w:pPr>
      <w:adjustRightInd/>
      <w:spacing w:beforeLines="20" w:afterLines="20" w:line="300" w:lineRule="auto"/>
      <w:ind w:firstLine="200" w:firstLineChars="200"/>
    </w:pPr>
    <w:rPr>
      <w:kern w:val="0"/>
      <w:sz w:val="24"/>
    </w:rPr>
  </w:style>
  <w:style w:type="character" w:customStyle="1" w:styleId="95">
    <w:name w:val="HTML 地址 Char1"/>
    <w:qFormat/>
    <w:uiPriority w:val="0"/>
    <w:rPr>
      <w:rFonts w:ascii="Times New Roman" w:hAnsi="Times New Roman" w:eastAsia="宋体" w:cs="Times New Roman"/>
      <w:i/>
      <w:iCs/>
      <w:szCs w:val="24"/>
    </w:rPr>
  </w:style>
  <w:style w:type="character" w:customStyle="1" w:styleId="96">
    <w:name w:val="批注主题 Char1"/>
    <w:link w:val="62"/>
    <w:qFormat/>
    <w:uiPriority w:val="0"/>
    <w:rPr>
      <w:b/>
      <w:bCs/>
      <w:kern w:val="2"/>
      <w:sz w:val="21"/>
      <w:szCs w:val="24"/>
    </w:rPr>
  </w:style>
  <w:style w:type="character" w:customStyle="1" w:styleId="97">
    <w:name w:val="Char Char51"/>
    <w:qFormat/>
    <w:uiPriority w:val="0"/>
    <w:rPr>
      <w:rFonts w:ascii="宋体" w:hAnsi="Courier New" w:eastAsia="宋体"/>
      <w:kern w:val="2"/>
      <w:sz w:val="21"/>
      <w:lang w:val="en-US" w:eastAsia="zh-CN"/>
    </w:rPr>
  </w:style>
  <w:style w:type="character" w:customStyle="1" w:styleId="98">
    <w:name w:val="表正文 Char"/>
    <w:qFormat/>
    <w:uiPriority w:val="0"/>
    <w:rPr>
      <w:rFonts w:ascii="宋体" w:eastAsia="宋体"/>
      <w:snapToGrid w:val="0"/>
      <w:color w:val="000000"/>
      <w:kern w:val="28"/>
      <w:sz w:val="28"/>
      <w:lang w:val="en-US" w:eastAsia="zh-CN" w:bidi="ar-SA"/>
    </w:rPr>
  </w:style>
  <w:style w:type="character" w:customStyle="1" w:styleId="99">
    <w:name w:val="Char Char34"/>
    <w:qFormat/>
    <w:uiPriority w:val="6"/>
    <w:rPr>
      <w:b/>
      <w:kern w:val="1"/>
      <w:sz w:val="28"/>
      <w:szCs w:val="28"/>
    </w:rPr>
  </w:style>
  <w:style w:type="character" w:customStyle="1" w:styleId="100">
    <w:name w:val="Normal Indent Char"/>
    <w:qFormat/>
    <w:uiPriority w:val="0"/>
    <w:rPr>
      <w:rFonts w:ascii="Calibri" w:hAnsi="Calibri" w:eastAsia="宋体" w:cs="黑体"/>
      <w:snapToGrid w:val="0"/>
      <w:kern w:val="2"/>
      <w:sz w:val="24"/>
      <w:szCs w:val="22"/>
      <w:lang w:val="en-US" w:eastAsia="zh-CN" w:bidi="ar-SA"/>
    </w:rPr>
  </w:style>
  <w:style w:type="character" w:customStyle="1" w:styleId="101">
    <w:name w:val="哈哈正文 Char"/>
    <w:link w:val="102"/>
    <w:qFormat/>
    <w:uiPriority w:val="0"/>
    <w:rPr>
      <w:rFonts w:ascii="宋体" w:hAnsi="宋体" w:eastAsia="宋体"/>
      <w:kern w:val="2"/>
      <w:sz w:val="24"/>
      <w:lang w:bidi="ar-SA"/>
    </w:rPr>
  </w:style>
  <w:style w:type="paragraph" w:customStyle="1" w:styleId="102">
    <w:name w:val="哈哈正文"/>
    <w:basedOn w:val="1"/>
    <w:link w:val="101"/>
    <w:qFormat/>
    <w:uiPriority w:val="0"/>
    <w:pPr>
      <w:adjustRightInd/>
      <w:spacing w:line="360" w:lineRule="auto"/>
      <w:ind w:firstLine="200" w:firstLineChars="200"/>
    </w:pPr>
    <w:rPr>
      <w:rFonts w:ascii="宋体" w:hAnsi="宋体"/>
      <w:sz w:val="24"/>
      <w:szCs w:val="20"/>
    </w:rPr>
  </w:style>
  <w:style w:type="character" w:customStyle="1" w:styleId="103">
    <w:name w:val="未处理的提及1"/>
    <w:qFormat/>
    <w:uiPriority w:val="0"/>
    <w:rPr>
      <w:color w:val="808080"/>
      <w:shd w:val="clear" w:color="auto" w:fill="E6E6E6"/>
    </w:rPr>
  </w:style>
  <w:style w:type="character" w:customStyle="1" w:styleId="104">
    <w:name w:val="txt"/>
    <w:qFormat/>
    <w:uiPriority w:val="0"/>
    <w:rPr>
      <w:rFonts w:ascii="仿宋_GB2312" w:eastAsia="微软雅黑"/>
      <w:b/>
      <w:kern w:val="2"/>
      <w:sz w:val="32"/>
      <w:szCs w:val="32"/>
      <w:lang w:val="en-US" w:eastAsia="zh-CN" w:bidi="ar-SA"/>
    </w:rPr>
  </w:style>
  <w:style w:type="character" w:customStyle="1" w:styleId="105">
    <w:name w:val="二级标题 Char Char"/>
    <w:qFormat/>
    <w:uiPriority w:val="0"/>
    <w:rPr>
      <w:rFonts w:ascii="宋体" w:hAnsi="宋体" w:eastAsia="宋体"/>
      <w:b/>
      <w:snapToGrid w:val="0"/>
      <w:kern w:val="2"/>
      <w:sz w:val="24"/>
      <w:szCs w:val="24"/>
      <w:lang w:val="en-US" w:eastAsia="zh-CN" w:bidi="ar-SA"/>
    </w:rPr>
  </w:style>
  <w:style w:type="character" w:customStyle="1" w:styleId="106">
    <w:name w:val="Char Char32"/>
    <w:qFormat/>
    <w:uiPriority w:val="6"/>
    <w:rPr>
      <w:b/>
      <w:kern w:val="1"/>
      <w:sz w:val="24"/>
      <w:szCs w:val="24"/>
    </w:rPr>
  </w:style>
  <w:style w:type="character" w:customStyle="1" w:styleId="107">
    <w:name w:val="PI Char1"/>
    <w:qFormat/>
    <w:uiPriority w:val="0"/>
    <w:rPr>
      <w:rFonts w:ascii="宋体" w:hAnsi="宋体"/>
      <w:kern w:val="2"/>
      <w:sz w:val="24"/>
      <w:szCs w:val="24"/>
    </w:rPr>
  </w:style>
  <w:style w:type="character" w:customStyle="1" w:styleId="108">
    <w:name w:val="tw4winTerm"/>
    <w:qFormat/>
    <w:uiPriority w:val="0"/>
    <w:rPr>
      <w:color w:val="0000FF"/>
    </w:rPr>
  </w:style>
  <w:style w:type="character" w:customStyle="1" w:styleId="109">
    <w:name w:val="Footer Char_29dca83e-cfa0-4d29-9006-28a1b752e563"/>
    <w:qFormat/>
    <w:uiPriority w:val="0"/>
    <w:rPr>
      <w:rFonts w:eastAsia="宋体"/>
      <w:kern w:val="2"/>
      <w:sz w:val="18"/>
      <w:lang w:val="en-US" w:eastAsia="zh-CN" w:bidi="ar-SA"/>
    </w:rPr>
  </w:style>
  <w:style w:type="character" w:customStyle="1" w:styleId="110">
    <w:name w:val="普通文字 Char Char1"/>
    <w:qFormat/>
    <w:uiPriority w:val="0"/>
    <w:rPr>
      <w:rFonts w:ascii="宋体" w:hAnsi="Courier New"/>
      <w:kern w:val="2"/>
      <w:sz w:val="21"/>
    </w:rPr>
  </w:style>
  <w:style w:type="character" w:customStyle="1" w:styleId="111">
    <w:name w:val="Char Char101"/>
    <w:qFormat/>
    <w:uiPriority w:val="6"/>
    <w:rPr>
      <w:rFonts w:ascii="宋体" w:hAnsi="宋体"/>
      <w:kern w:val="2"/>
      <w:sz w:val="21"/>
      <w:szCs w:val="24"/>
      <w:lang w:val="en-US" w:eastAsia="zh-CN"/>
    </w:rPr>
  </w:style>
  <w:style w:type="character" w:customStyle="1" w:styleId="112">
    <w:name w:val="标题 4 Char"/>
    <w:qFormat/>
    <w:uiPriority w:val="0"/>
    <w:rPr>
      <w:rFonts w:ascii="Arial" w:hAnsi="Arial" w:eastAsia="黑体"/>
      <w:b/>
      <w:kern w:val="2"/>
      <w:sz w:val="28"/>
    </w:rPr>
  </w:style>
  <w:style w:type="character" w:customStyle="1" w:styleId="113">
    <w:name w:val="链接"/>
    <w:qFormat/>
    <w:uiPriority w:val="0"/>
    <w:rPr>
      <w:color w:val="0000FF"/>
      <w:sz w:val="21"/>
      <w:szCs w:val="21"/>
      <w:u w:val="single"/>
    </w:rPr>
  </w:style>
  <w:style w:type="character" w:customStyle="1" w:styleId="114">
    <w:name w:val="h4 Char"/>
    <w:qFormat/>
    <w:uiPriority w:val="0"/>
    <w:rPr>
      <w:rFonts w:ascii="Arial" w:hAnsi="Arial" w:eastAsia="黑体"/>
      <w:b/>
      <w:bCs/>
      <w:kern w:val="2"/>
      <w:sz w:val="28"/>
      <w:szCs w:val="28"/>
      <w:lang w:val="zh-CN" w:eastAsia="zh-CN" w:bidi="ar-SA"/>
    </w:rPr>
  </w:style>
  <w:style w:type="character" w:customStyle="1" w:styleId="115">
    <w:name w:val="5正文 Char"/>
    <w:link w:val="116"/>
    <w:qFormat/>
    <w:uiPriority w:val="0"/>
    <w:rPr>
      <w:rFonts w:ascii="仿宋_GB2312" w:hAnsi="微软雅黑" w:eastAsia="仿宋_GB2312"/>
      <w:sz w:val="28"/>
      <w:szCs w:val="21"/>
    </w:rPr>
  </w:style>
  <w:style w:type="paragraph" w:customStyle="1" w:styleId="116">
    <w:name w:val="5正文"/>
    <w:basedOn w:val="1"/>
    <w:link w:val="115"/>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7">
    <w:name w:val="标题 3 字符"/>
    <w:qFormat/>
    <w:uiPriority w:val="9"/>
    <w:rPr>
      <w:b/>
      <w:bCs/>
      <w:kern w:val="2"/>
      <w:sz w:val="32"/>
      <w:szCs w:val="32"/>
    </w:rPr>
  </w:style>
  <w:style w:type="character" w:customStyle="1" w:styleId="118">
    <w:name w:val="样式6 Char"/>
    <w:qFormat/>
    <w:uiPriority w:val="0"/>
    <w:rPr>
      <w:rFonts w:ascii="仿宋_GB2312" w:hAnsi="宋体" w:eastAsia="仿宋_GB2312"/>
      <w:b/>
      <w:bCs/>
      <w:kern w:val="2"/>
      <w:sz w:val="24"/>
      <w:szCs w:val="24"/>
      <w:lang w:val="en-US" w:eastAsia="zh-CN" w:bidi="ar-SA"/>
    </w:rPr>
  </w:style>
  <w:style w:type="character" w:customStyle="1" w:styleId="119">
    <w:name w:val="Char Char14"/>
    <w:qFormat/>
    <w:uiPriority w:val="6"/>
    <w:rPr>
      <w:rFonts w:ascii="黑体" w:hAnsi="黑体" w:eastAsia="黑体"/>
    </w:rPr>
  </w:style>
  <w:style w:type="character" w:customStyle="1" w:styleId="120">
    <w:name w:val="Heading 2 Hidden Char"/>
    <w:qFormat/>
    <w:uiPriority w:val="0"/>
    <w:rPr>
      <w:rFonts w:ascii="仿宋_GB2312" w:eastAsia="仿宋_GB2312"/>
      <w:b/>
      <w:bCs/>
      <w:kern w:val="2"/>
      <w:sz w:val="24"/>
      <w:szCs w:val="24"/>
      <w:lang w:val="zh-CN" w:eastAsia="zh-CN" w:bidi="ar-SA"/>
    </w:rPr>
  </w:style>
  <w:style w:type="character" w:customStyle="1" w:styleId="121">
    <w:name w:val="正文首行缩进 2 Char"/>
    <w:link w:val="63"/>
    <w:qFormat/>
    <w:uiPriority w:val="0"/>
    <w:rPr>
      <w:rFonts w:ascii="宋体" w:hAnsi="宋体"/>
      <w:kern w:val="2"/>
      <w:sz w:val="21"/>
      <w:szCs w:val="24"/>
    </w:rPr>
  </w:style>
  <w:style w:type="character" w:customStyle="1" w:styleId="122">
    <w:name w:val="font11"/>
    <w:qFormat/>
    <w:uiPriority w:val="0"/>
    <w:rPr>
      <w:rFonts w:hint="default" w:ascii="Times New Roman" w:hAnsi="Times New Roman" w:cs="Times New Roman"/>
      <w:color w:val="000000"/>
      <w:sz w:val="22"/>
      <w:szCs w:val="22"/>
      <w:u w:val="none"/>
    </w:rPr>
  </w:style>
  <w:style w:type="character" w:customStyle="1" w:styleId="123">
    <w:name w:val="表正文 Char1"/>
    <w:qFormat/>
    <w:uiPriority w:val="0"/>
    <w:rPr>
      <w:rFonts w:ascii="宋体" w:eastAsia="宋体"/>
      <w:snapToGrid w:val="0"/>
      <w:color w:val="000000"/>
      <w:kern w:val="28"/>
      <w:sz w:val="28"/>
    </w:rPr>
  </w:style>
  <w:style w:type="character" w:customStyle="1" w:styleId="124">
    <w:name w:val="blue1"/>
    <w:basedOn w:val="71"/>
    <w:qFormat/>
    <w:uiPriority w:val="0"/>
    <w:rPr>
      <w:rFonts w:ascii="Arial" w:hAnsi="Arial" w:eastAsia="黑体" w:cs="Arial"/>
      <w:snapToGrid w:val="0"/>
      <w:kern w:val="0"/>
      <w:szCs w:val="21"/>
    </w:rPr>
  </w:style>
  <w:style w:type="character" w:customStyle="1" w:styleId="125">
    <w:name w:val="纯文本 Char"/>
    <w:link w:val="34"/>
    <w:qFormat/>
    <w:uiPriority w:val="0"/>
    <w:rPr>
      <w:rFonts w:ascii="宋体" w:hAnsi="Courier New" w:eastAsia="宋体" w:cs="Arial"/>
      <w:snapToGrid w:val="0"/>
      <w:kern w:val="2"/>
      <w:sz w:val="21"/>
      <w:szCs w:val="21"/>
      <w:lang w:val="en-US" w:eastAsia="zh-CN" w:bidi="ar-SA"/>
    </w:rPr>
  </w:style>
  <w:style w:type="character" w:customStyle="1" w:styleId="126">
    <w:name w:val="标书1 Char"/>
    <w:qFormat/>
    <w:uiPriority w:val="0"/>
    <w:rPr>
      <w:rFonts w:eastAsia="宋体"/>
      <w:b/>
      <w:bCs/>
      <w:kern w:val="44"/>
      <w:sz w:val="44"/>
      <w:szCs w:val="44"/>
      <w:lang w:val="en-US" w:eastAsia="zh-CN" w:bidi="ar-SA"/>
    </w:rPr>
  </w:style>
  <w:style w:type="character" w:customStyle="1" w:styleId="127">
    <w:name w:val="样式5 Char"/>
    <w:qFormat/>
    <w:uiPriority w:val="0"/>
    <w:rPr>
      <w:rFonts w:ascii="仿宋_GB2312" w:hAnsi="仿宋" w:eastAsia="仿宋_GB2312"/>
      <w:kern w:val="2"/>
      <w:sz w:val="24"/>
      <w:szCs w:val="24"/>
    </w:rPr>
  </w:style>
  <w:style w:type="character" w:customStyle="1" w:styleId="128">
    <w:name w:val="样式4 Char"/>
    <w:qFormat/>
    <w:uiPriority w:val="0"/>
    <w:rPr>
      <w:rFonts w:ascii="仿宋_GB2312" w:hAnsi="仿宋" w:eastAsia="仿宋_GB2312"/>
      <w:b/>
      <w:kern w:val="2"/>
      <w:sz w:val="32"/>
      <w:szCs w:val="32"/>
      <w:lang w:bidi="ar-SA"/>
    </w:rPr>
  </w:style>
  <w:style w:type="character" w:customStyle="1" w:styleId="129">
    <w:name w:val="插图说明 Char"/>
    <w:qFormat/>
    <w:uiPriority w:val="0"/>
    <w:rPr>
      <w:rFonts w:eastAsia="黑体"/>
      <w:sz w:val="24"/>
      <w:lang w:val="en-US" w:eastAsia="zh-CN"/>
    </w:rPr>
  </w:style>
  <w:style w:type="character" w:customStyle="1" w:styleId="130">
    <w:name w:val="正文2 Char Char"/>
    <w:link w:val="131"/>
    <w:qFormat/>
    <w:uiPriority w:val="0"/>
    <w:rPr>
      <w:rFonts w:eastAsia="宋体"/>
      <w:kern w:val="2"/>
      <w:sz w:val="24"/>
      <w:lang w:val="en-US" w:eastAsia="zh-CN" w:bidi="ar-SA"/>
    </w:rPr>
  </w:style>
  <w:style w:type="paragraph" w:customStyle="1" w:styleId="131">
    <w:name w:val="正文2"/>
    <w:basedOn w:val="1"/>
    <w:link w:val="130"/>
    <w:qFormat/>
    <w:uiPriority w:val="0"/>
    <w:pPr>
      <w:spacing w:before="156" w:line="360" w:lineRule="auto"/>
      <w:ind w:firstLine="510" w:firstLineChars="200"/>
    </w:pPr>
    <w:rPr>
      <w:sz w:val="24"/>
      <w:szCs w:val="20"/>
    </w:rPr>
  </w:style>
  <w:style w:type="character" w:customStyle="1" w:styleId="132">
    <w:name w:val="Char Char24"/>
    <w:qFormat/>
    <w:uiPriority w:val="6"/>
    <w:rPr>
      <w:kern w:val="1"/>
      <w:sz w:val="21"/>
    </w:rPr>
  </w:style>
  <w:style w:type="character" w:customStyle="1" w:styleId="133">
    <w:name w:val="副标题 Char"/>
    <w:link w:val="49"/>
    <w:qFormat/>
    <w:uiPriority w:val="0"/>
    <w:rPr>
      <w:rFonts w:ascii="Arial" w:hAnsi="Arial" w:eastAsia="隶书"/>
      <w:b/>
      <w:bCs/>
      <w:kern w:val="28"/>
      <w:sz w:val="44"/>
      <w:szCs w:val="32"/>
      <w:lang w:val="en-US" w:eastAsia="zh-CN" w:bidi="ar-SA"/>
    </w:rPr>
  </w:style>
  <w:style w:type="character" w:customStyle="1" w:styleId="134">
    <w:name w:val="普通文字 Char1 Char"/>
    <w:qFormat/>
    <w:uiPriority w:val="0"/>
    <w:rPr>
      <w:rFonts w:ascii="宋体" w:hAnsi="Courier New" w:eastAsia="宋体"/>
      <w:kern w:val="2"/>
      <w:sz w:val="21"/>
      <w:szCs w:val="24"/>
      <w:lang w:val="en-US" w:eastAsia="zh-CN" w:bidi="ar-SA"/>
    </w:rPr>
  </w:style>
  <w:style w:type="character" w:customStyle="1" w:styleId="135">
    <w:name w:val="h3 Char1"/>
    <w:qFormat/>
    <w:uiPriority w:val="0"/>
    <w:rPr>
      <w:rFonts w:eastAsia="宋体"/>
      <w:b/>
      <w:bCs/>
      <w:kern w:val="2"/>
      <w:sz w:val="32"/>
      <w:szCs w:val="32"/>
      <w:lang w:bidi="ar-SA"/>
    </w:rPr>
  </w:style>
  <w:style w:type="character" w:customStyle="1" w:styleId="136">
    <w:name w:val="标题 Char1"/>
    <w:qFormat/>
    <w:uiPriority w:val="0"/>
    <w:rPr>
      <w:rFonts w:ascii="Cambria" w:hAnsi="Cambria" w:eastAsia="宋体" w:cs="Times New Roman"/>
      <w:b/>
      <w:bCs/>
      <w:sz w:val="32"/>
      <w:szCs w:val="32"/>
      <w:lang w:bidi="ar-SA"/>
    </w:rPr>
  </w:style>
  <w:style w:type="character" w:customStyle="1" w:styleId="137">
    <w:name w:val="gf正文1 Char"/>
    <w:qFormat/>
    <w:uiPriority w:val="0"/>
    <w:rPr>
      <w:rFonts w:ascii="宋体" w:hAnsi="宋体" w:eastAsia="宋体" w:cs="宋体"/>
      <w:kern w:val="2"/>
      <w:sz w:val="24"/>
      <w:szCs w:val="24"/>
      <w:lang w:val="en-US" w:eastAsia="zh-CN" w:bidi="ar-SA"/>
    </w:rPr>
  </w:style>
  <w:style w:type="character" w:customStyle="1" w:styleId="138">
    <w:name w:val="正文文本缩进 Char1"/>
    <w:qFormat/>
    <w:uiPriority w:val="0"/>
    <w:rPr>
      <w:rFonts w:ascii="Calibri" w:hAnsi="Calibri"/>
      <w:sz w:val="28"/>
    </w:rPr>
  </w:style>
  <w:style w:type="character" w:customStyle="1" w:styleId="139">
    <w:name w:val="No Spacing Char"/>
    <w:link w:val="140"/>
    <w:qFormat/>
    <w:uiPriority w:val="1"/>
    <w:rPr>
      <w:sz w:val="22"/>
      <w:szCs w:val="22"/>
      <w:lang w:val="en-US" w:eastAsia="zh-CN" w:bidi="ar-SA"/>
    </w:rPr>
  </w:style>
  <w:style w:type="paragraph" w:customStyle="1" w:styleId="140">
    <w:name w:val="无间隔1"/>
    <w:link w:val="139"/>
    <w:qFormat/>
    <w:uiPriority w:val="1"/>
    <w:rPr>
      <w:rFonts w:ascii="Times New Roman" w:hAnsi="Times New Roman" w:eastAsia="宋体" w:cs="Times New Roman"/>
      <w:sz w:val="22"/>
      <w:szCs w:val="22"/>
      <w:lang w:val="en-US" w:eastAsia="zh-CN" w:bidi="ar-SA"/>
    </w:rPr>
  </w:style>
  <w:style w:type="character" w:customStyle="1" w:styleId="141">
    <w:name w:val="样式7 Char"/>
    <w:qFormat/>
    <w:uiPriority w:val="0"/>
    <w:rPr>
      <w:rFonts w:ascii="仿宋_GB2312" w:hAnsi="仿宋" w:eastAsia="仿宋_GB2312"/>
      <w:b/>
      <w:kern w:val="2"/>
      <w:sz w:val="24"/>
      <w:szCs w:val="24"/>
    </w:rPr>
  </w:style>
  <w:style w:type="character" w:customStyle="1" w:styleId="142">
    <w:name w:val="font12gray1"/>
    <w:qFormat/>
    <w:uiPriority w:val="0"/>
    <w:rPr>
      <w:rFonts w:ascii="仿宋_GB2312" w:eastAsia="微软雅黑"/>
      <w:b/>
      <w:spacing w:val="300"/>
      <w:kern w:val="2"/>
      <w:sz w:val="18"/>
      <w:szCs w:val="18"/>
      <w:lang w:val="en-US" w:eastAsia="zh-CN" w:bidi="ar-SA"/>
    </w:rPr>
  </w:style>
  <w:style w:type="character" w:customStyle="1" w:styleId="143">
    <w:name w:val="Char Char7"/>
    <w:qFormat/>
    <w:uiPriority w:val="0"/>
    <w:rPr>
      <w:rFonts w:eastAsia="宋体"/>
      <w:kern w:val="2"/>
      <w:sz w:val="21"/>
      <w:szCs w:val="24"/>
      <w:lang w:val="en-US" w:eastAsia="zh-CN" w:bidi="ar-SA"/>
    </w:rPr>
  </w:style>
  <w:style w:type="character" w:customStyle="1" w:styleId="144">
    <w:name w:val="表名 Char"/>
    <w:qFormat/>
    <w:uiPriority w:val="0"/>
    <w:rPr>
      <w:rFonts w:eastAsia="宋体"/>
      <w:b/>
      <w:bCs/>
      <w:kern w:val="2"/>
      <w:sz w:val="24"/>
      <w:szCs w:val="24"/>
      <w:lang w:val="en-US" w:eastAsia="zh-CN" w:bidi="ar-SA"/>
    </w:rPr>
  </w:style>
  <w:style w:type="character" w:customStyle="1" w:styleId="145">
    <w:name w:val="Document Map Char"/>
    <w:qFormat/>
    <w:uiPriority w:val="0"/>
    <w:rPr>
      <w:rFonts w:eastAsia="宋体"/>
      <w:kern w:val="2"/>
      <w:sz w:val="21"/>
      <w:szCs w:val="24"/>
      <w:lang w:val="en-US" w:eastAsia="zh-CN" w:bidi="ar-SA"/>
    </w:rPr>
  </w:style>
  <w:style w:type="character" w:customStyle="1" w:styleId="146">
    <w:name w:val="font41"/>
    <w:qFormat/>
    <w:uiPriority w:val="0"/>
    <w:rPr>
      <w:rFonts w:hint="eastAsia" w:ascii="仿宋_GB2312" w:eastAsia="仿宋_GB2312" w:cs="仿宋_GB2312"/>
      <w:color w:val="000000"/>
      <w:sz w:val="22"/>
      <w:szCs w:val="22"/>
      <w:u w:val="none"/>
    </w:rPr>
  </w:style>
  <w:style w:type="character" w:customStyle="1" w:styleId="147">
    <w:name w:val="标题 6 Char"/>
    <w:link w:val="9"/>
    <w:qFormat/>
    <w:uiPriority w:val="0"/>
    <w:rPr>
      <w:rFonts w:ascii="Arial" w:hAnsi="Arial" w:eastAsia="黑体"/>
      <w:b/>
      <w:bCs/>
      <w:kern w:val="2"/>
      <w:sz w:val="24"/>
      <w:szCs w:val="24"/>
    </w:rPr>
  </w:style>
  <w:style w:type="character" w:customStyle="1" w:styleId="148">
    <w:name w:val="纯文本 Char_0"/>
    <w:link w:val="149"/>
    <w:qFormat/>
    <w:uiPriority w:val="0"/>
    <w:rPr>
      <w:rFonts w:ascii="宋体" w:hAnsi="Courier New"/>
      <w:kern w:val="2"/>
      <w:sz w:val="21"/>
      <w:szCs w:val="21"/>
      <w:lang w:val="en-US" w:eastAsia="zh-CN"/>
    </w:rPr>
  </w:style>
  <w:style w:type="paragraph" w:customStyle="1" w:styleId="149">
    <w:name w:val="纯文本_0_0"/>
    <w:basedOn w:val="150"/>
    <w:link w:val="148"/>
    <w:qFormat/>
    <w:uiPriority w:val="0"/>
    <w:rPr>
      <w:rFonts w:ascii="宋体" w:hAnsi="Courier New"/>
      <w:szCs w:val="21"/>
    </w:rPr>
  </w:style>
  <w:style w:type="paragraph" w:customStyle="1" w:styleId="150">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1">
    <w:name w:val="Balloon Text Char"/>
    <w:qFormat/>
    <w:uiPriority w:val="0"/>
    <w:rPr>
      <w:rFonts w:eastAsia="宋体"/>
      <w:kern w:val="2"/>
      <w:sz w:val="18"/>
      <w:szCs w:val="18"/>
      <w:lang w:val="en-US" w:eastAsia="zh-CN" w:bidi="ar-SA"/>
    </w:rPr>
  </w:style>
  <w:style w:type="character" w:customStyle="1" w:styleId="152">
    <w:name w:val="正文 项目2 Char"/>
    <w:basedOn w:val="153"/>
    <w:qFormat/>
    <w:uiPriority w:val="0"/>
    <w:rPr>
      <w:rFonts w:ascii="仿宋_GB2312" w:hAnsi="仿宋_GB2312" w:eastAsia="仿宋_GB2312"/>
      <w:kern w:val="2"/>
      <w:sz w:val="24"/>
      <w:lang w:bidi="ar-SA"/>
    </w:rPr>
  </w:style>
  <w:style w:type="character" w:customStyle="1" w:styleId="153">
    <w:name w:val="正文 项目 Char"/>
    <w:qFormat/>
    <w:uiPriority w:val="0"/>
    <w:rPr>
      <w:rFonts w:ascii="仿宋_GB2312" w:hAnsi="仿宋_GB2312" w:eastAsia="仿宋_GB2312"/>
      <w:kern w:val="2"/>
      <w:sz w:val="24"/>
      <w:lang w:bidi="ar-SA"/>
    </w:rPr>
  </w:style>
  <w:style w:type="character" w:customStyle="1" w:styleId="154">
    <w:name w:val="h Char Char1"/>
    <w:qFormat/>
    <w:uiPriority w:val="0"/>
    <w:rPr>
      <w:rFonts w:eastAsia="宋体"/>
      <w:kern w:val="2"/>
      <w:sz w:val="18"/>
      <w:szCs w:val="18"/>
      <w:lang w:val="en-US" w:eastAsia="zh-CN" w:bidi="ar-SA"/>
    </w:rPr>
  </w:style>
  <w:style w:type="character" w:customStyle="1" w:styleId="155">
    <w:name w:val="Char Char27"/>
    <w:qFormat/>
    <w:uiPriority w:val="6"/>
    <w:rPr>
      <w:rFonts w:ascii="宋体" w:hAnsi="宋体" w:eastAsia="宋体"/>
      <w:color w:val="000000"/>
      <w:kern w:val="1"/>
      <w:sz w:val="28"/>
      <w:lang w:val="en-US" w:eastAsia="zh-CN" w:bidi="ar-SA"/>
    </w:rPr>
  </w:style>
  <w:style w:type="character" w:customStyle="1" w:styleId="156">
    <w:name w:val="px14"/>
    <w:qFormat/>
    <w:uiPriority w:val="0"/>
    <w:rPr>
      <w:rFonts w:ascii="仿宋_GB2312" w:eastAsia="微软雅黑" w:cs="Times New Roman"/>
      <w:b/>
      <w:kern w:val="2"/>
      <w:sz w:val="32"/>
      <w:szCs w:val="32"/>
      <w:lang w:val="en-US" w:eastAsia="zh-CN" w:bidi="ar-SA"/>
    </w:rPr>
  </w:style>
  <w:style w:type="character" w:customStyle="1" w:styleId="157">
    <w:name w:val="HTML 预设格式 Char1"/>
    <w:qFormat/>
    <w:uiPriority w:val="0"/>
    <w:rPr>
      <w:rFonts w:ascii="Courier New" w:hAnsi="Courier New" w:eastAsia="宋体" w:cs="Courier New"/>
      <w:sz w:val="20"/>
      <w:szCs w:val="20"/>
    </w:rPr>
  </w:style>
  <w:style w:type="character" w:customStyle="1" w:styleId="158">
    <w:name w:val="普通文字 Char1"/>
    <w:qFormat/>
    <w:uiPriority w:val="0"/>
    <w:rPr>
      <w:rFonts w:ascii="宋体" w:hAnsi="Courier New" w:eastAsia="宋体"/>
      <w:kern w:val="2"/>
      <w:sz w:val="21"/>
      <w:lang w:val="en-US" w:eastAsia="zh-CN"/>
    </w:rPr>
  </w:style>
  <w:style w:type="character" w:customStyle="1" w:styleId="159">
    <w:name w:val="hei16b1"/>
    <w:qFormat/>
    <w:uiPriority w:val="0"/>
    <w:rPr>
      <w:rFonts w:hint="default" w:ascii="Arial" w:hAnsi="Arial" w:cs="Arial"/>
      <w:b/>
      <w:bCs/>
      <w:color w:val="000000"/>
      <w:sz w:val="24"/>
      <w:szCs w:val="24"/>
    </w:rPr>
  </w:style>
  <w:style w:type="character" w:customStyle="1" w:styleId="160">
    <w:name w:val="正文（绿盟科技） Char"/>
    <w:link w:val="161"/>
    <w:qFormat/>
    <w:uiPriority w:val="0"/>
    <w:rPr>
      <w:rFonts w:ascii="Arial" w:hAnsi="Arial"/>
      <w:sz w:val="21"/>
      <w:szCs w:val="21"/>
    </w:rPr>
  </w:style>
  <w:style w:type="paragraph" w:customStyle="1" w:styleId="161">
    <w:name w:val="正文（绿盟科技）"/>
    <w:link w:val="160"/>
    <w:qFormat/>
    <w:uiPriority w:val="0"/>
    <w:pPr>
      <w:spacing w:line="300" w:lineRule="auto"/>
    </w:pPr>
    <w:rPr>
      <w:rFonts w:ascii="Arial" w:hAnsi="Arial" w:eastAsia="宋体" w:cs="Times New Roman"/>
      <w:sz w:val="21"/>
      <w:szCs w:val="21"/>
      <w:lang w:val="en-US" w:eastAsia="zh-CN" w:bidi="ar-SA"/>
    </w:rPr>
  </w:style>
  <w:style w:type="character" w:customStyle="1" w:styleId="162">
    <w:name w:val="Char Char19"/>
    <w:qFormat/>
    <w:uiPriority w:val="6"/>
    <w:rPr>
      <w:rFonts w:ascii="宋体" w:hAnsi="宋体"/>
      <w:i/>
      <w:sz w:val="24"/>
      <w:szCs w:val="24"/>
    </w:rPr>
  </w:style>
  <w:style w:type="character" w:customStyle="1" w:styleId="163">
    <w:name w:val="页脚 Char"/>
    <w:qFormat/>
    <w:uiPriority w:val="0"/>
    <w:rPr>
      <w:rFonts w:eastAsia="仿宋_GB2312"/>
      <w:kern w:val="2"/>
      <w:sz w:val="18"/>
      <w:lang w:val="en-US" w:eastAsia="zh-CN"/>
    </w:rPr>
  </w:style>
  <w:style w:type="character" w:customStyle="1" w:styleId="164">
    <w:name w:val="批注主题 Char"/>
    <w:qFormat/>
    <w:uiPriority w:val="0"/>
    <w:rPr>
      <w:rFonts w:eastAsia="宋体"/>
      <w:b/>
      <w:bCs/>
      <w:kern w:val="2"/>
      <w:sz w:val="21"/>
      <w:szCs w:val="24"/>
      <w:lang w:val="en-US" w:eastAsia="zh-CN" w:bidi="ar-SA"/>
    </w:rPr>
  </w:style>
  <w:style w:type="character" w:customStyle="1" w:styleId="165">
    <w:name w:val="Comment Text Char"/>
    <w:qFormat/>
    <w:uiPriority w:val="0"/>
    <w:rPr>
      <w:rFonts w:ascii="宋体" w:hAnsi="宋体" w:eastAsia="宋体"/>
      <w:kern w:val="2"/>
      <w:sz w:val="24"/>
      <w:lang w:val="en-US" w:eastAsia="zh-CN" w:bidi="ar-SA"/>
    </w:rPr>
  </w:style>
  <w:style w:type="character" w:customStyle="1" w:styleId="166">
    <w:name w:val="标题 2 字符"/>
    <w:qFormat/>
    <w:uiPriority w:val="1"/>
    <w:rPr>
      <w:rFonts w:ascii="仿宋_GB2312" w:hAnsi="Times New Roman" w:eastAsia="仿宋_GB2312" w:cs="Times New Roman"/>
      <w:b/>
      <w:kern w:val="2"/>
      <w:sz w:val="24"/>
      <w:lang w:val="zh-CN"/>
    </w:rPr>
  </w:style>
  <w:style w:type="character" w:customStyle="1" w:styleId="167">
    <w:name w:val="Char Char72"/>
    <w:qFormat/>
    <w:uiPriority w:val="0"/>
    <w:rPr>
      <w:rFonts w:eastAsia="宋体"/>
      <w:kern w:val="2"/>
      <w:sz w:val="21"/>
      <w:szCs w:val="24"/>
      <w:lang w:val="en-US" w:eastAsia="zh-CN" w:bidi="ar-SA"/>
    </w:rPr>
  </w:style>
  <w:style w:type="character" w:customStyle="1" w:styleId="168">
    <w:name w:val="正文文本缩进 Char2"/>
    <w:qFormat/>
    <w:uiPriority w:val="0"/>
    <w:rPr>
      <w:rFonts w:ascii="Times New Roman" w:hAnsi="Times New Roman" w:eastAsia="宋体" w:cs="Times New Roman"/>
      <w:snapToGrid w:val="0"/>
      <w:kern w:val="0"/>
      <w:szCs w:val="24"/>
    </w:rPr>
  </w:style>
  <w:style w:type="character" w:customStyle="1" w:styleId="169">
    <w:name w:val="样式2 Char"/>
    <w:qFormat/>
    <w:uiPriority w:val="0"/>
    <w:rPr>
      <w:rFonts w:ascii="仿宋_GB2312" w:hAnsi="仿宋" w:eastAsia="仿宋_GB2312" w:cs="仿宋_GB2312"/>
      <w:b/>
      <w:bCs/>
      <w:sz w:val="32"/>
      <w:szCs w:val="30"/>
      <w:lang w:val="zh-CN"/>
    </w:rPr>
  </w:style>
  <w:style w:type="character" w:customStyle="1" w:styleId="170">
    <w:name w:val="表格名称[858D7CFB-ED40-4347-BF05-701D383B685F]"/>
    <w:link w:val="171"/>
    <w:qFormat/>
    <w:uiPriority w:val="0"/>
    <w:rPr>
      <w:sz w:val="32"/>
    </w:rPr>
  </w:style>
  <w:style w:type="paragraph" w:customStyle="1" w:styleId="171">
    <w:name w:val="表格名称"/>
    <w:basedOn w:val="4"/>
    <w:link w:val="170"/>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2">
    <w:name w:val="Char Char4"/>
    <w:qFormat/>
    <w:uiPriority w:val="0"/>
    <w:rPr>
      <w:rFonts w:eastAsia="宋体"/>
      <w:b/>
      <w:sz w:val="24"/>
      <w:lang w:val="en-GB" w:eastAsia="zh-CN" w:bidi="ar-SA"/>
    </w:rPr>
  </w:style>
  <w:style w:type="character" w:customStyle="1" w:styleId="173">
    <w:name w:val="c7 style3"/>
    <w:qFormat/>
    <w:uiPriority w:val="0"/>
  </w:style>
  <w:style w:type="character" w:customStyle="1" w:styleId="174">
    <w:name w:val="正文文本 3 Char1"/>
    <w:qFormat/>
    <w:uiPriority w:val="99"/>
    <w:rPr>
      <w:rFonts w:ascii="Times New Roman" w:hAnsi="Times New Roman" w:eastAsia="宋体" w:cs="Times New Roman"/>
      <w:sz w:val="16"/>
      <w:szCs w:val="16"/>
    </w:rPr>
  </w:style>
  <w:style w:type="character" w:customStyle="1" w:styleId="175">
    <w:name w:val="tw4winInternal"/>
    <w:qFormat/>
    <w:uiPriority w:val="0"/>
    <w:rPr>
      <w:rFonts w:ascii="Courier New" w:hAnsi="Courier New" w:cs="Courier New"/>
      <w:color w:val="FF0000"/>
      <w:lang w:val="en-US" w:eastAsia="zh-CN"/>
    </w:rPr>
  </w:style>
  <w:style w:type="character" w:customStyle="1" w:styleId="176">
    <w:name w:val="Char Char10"/>
    <w:qFormat/>
    <w:uiPriority w:val="0"/>
    <w:rPr>
      <w:rFonts w:ascii="宋体" w:hAnsi="宋体"/>
      <w:kern w:val="2"/>
      <w:sz w:val="21"/>
      <w:szCs w:val="24"/>
      <w:lang w:val="en-US" w:eastAsia="zh-CN"/>
    </w:rPr>
  </w:style>
  <w:style w:type="character" w:customStyle="1" w:styleId="177">
    <w:name w:val="shadow11"/>
    <w:qFormat/>
    <w:uiPriority w:val="0"/>
    <w:rPr>
      <w:color w:val="000000"/>
      <w:sz w:val="21"/>
    </w:rPr>
  </w:style>
  <w:style w:type="character" w:customStyle="1" w:styleId="178">
    <w:name w:val="正文非缩进 Char3"/>
    <w:qFormat/>
    <w:uiPriority w:val="0"/>
    <w:rPr>
      <w:rFonts w:ascii="宋体" w:eastAsia="宋体"/>
      <w:snapToGrid w:val="0"/>
      <w:color w:val="000000"/>
      <w:kern w:val="28"/>
      <w:sz w:val="28"/>
      <w:lang w:val="en-US" w:eastAsia="zh-CN" w:bidi="ar-SA"/>
    </w:rPr>
  </w:style>
  <w:style w:type="character" w:customStyle="1" w:styleId="179">
    <w:name w:val="Char Char"/>
    <w:qFormat/>
    <w:uiPriority w:val="0"/>
    <w:rPr>
      <w:rFonts w:ascii="宋体" w:hAnsi="Courier New" w:eastAsia="宋体"/>
      <w:kern w:val="2"/>
      <w:sz w:val="21"/>
      <w:lang w:val="en-US" w:eastAsia="zh-CN" w:bidi="ar-SA"/>
    </w:rPr>
  </w:style>
  <w:style w:type="character" w:customStyle="1" w:styleId="180">
    <w:name w:val="签名 Char1"/>
    <w:qFormat/>
    <w:uiPriority w:val="0"/>
    <w:rPr>
      <w:rFonts w:ascii="Times New Roman" w:hAnsi="Times New Roman" w:eastAsia="宋体" w:cs="Times New Roman"/>
      <w:szCs w:val="24"/>
    </w:rPr>
  </w:style>
  <w:style w:type="character" w:customStyle="1" w:styleId="181">
    <w:name w:val="日期 Char"/>
    <w:link w:val="38"/>
    <w:qFormat/>
    <w:uiPriority w:val="0"/>
    <w:rPr>
      <w:rFonts w:ascii="宋体"/>
      <w:kern w:val="2"/>
      <w:sz w:val="24"/>
      <w:szCs w:val="21"/>
      <w:lang w:val="zh-CN"/>
    </w:rPr>
  </w:style>
  <w:style w:type="character" w:customStyle="1" w:styleId="182">
    <w:name w:val="标题 9 Char"/>
    <w:link w:val="12"/>
    <w:qFormat/>
    <w:uiPriority w:val="0"/>
    <w:rPr>
      <w:rFonts w:ascii="Arial" w:hAnsi="Arial" w:eastAsia="黑体"/>
      <w:kern w:val="2"/>
      <w:sz w:val="21"/>
      <w:szCs w:val="21"/>
    </w:rPr>
  </w:style>
  <w:style w:type="character" w:customStyle="1" w:styleId="183">
    <w:name w:val="Char Char18"/>
    <w:qFormat/>
    <w:uiPriority w:val="6"/>
    <w:rPr>
      <w:rFonts w:ascii="宋体" w:hAnsi="宋体"/>
      <w:sz w:val="28"/>
    </w:rPr>
  </w:style>
  <w:style w:type="character" w:customStyle="1" w:styleId="184">
    <w:name w:val="批注文字 Char"/>
    <w:qFormat/>
    <w:uiPriority w:val="99"/>
    <w:rPr>
      <w:kern w:val="2"/>
      <w:sz w:val="21"/>
      <w:szCs w:val="24"/>
    </w:rPr>
  </w:style>
  <w:style w:type="character" w:customStyle="1" w:styleId="185">
    <w:name w:val="Char Char22"/>
    <w:qFormat/>
    <w:uiPriority w:val="6"/>
    <w:rPr>
      <w:rFonts w:ascii="宋体" w:hAnsi="宋体"/>
      <w:kern w:val="1"/>
      <w:sz w:val="24"/>
      <w:szCs w:val="24"/>
    </w:rPr>
  </w:style>
  <w:style w:type="character" w:customStyle="1" w:styleId="186">
    <w:name w:val="pt141"/>
    <w:qFormat/>
    <w:uiPriority w:val="0"/>
    <w:rPr>
      <w:color w:val="330066"/>
      <w:sz w:val="22"/>
      <w:szCs w:val="22"/>
    </w:rPr>
  </w:style>
  <w:style w:type="character" w:customStyle="1" w:styleId="187">
    <w:name w:val="正文文本缩进 2 Char1"/>
    <w:qFormat/>
    <w:uiPriority w:val="99"/>
    <w:rPr>
      <w:rFonts w:ascii="Times New Roman" w:hAnsi="Times New Roman" w:eastAsia="宋体" w:cs="Times New Roman"/>
      <w:szCs w:val="24"/>
    </w:rPr>
  </w:style>
  <w:style w:type="character" w:customStyle="1" w:styleId="188">
    <w:name w:val="批注框文本 Char"/>
    <w:link w:val="41"/>
    <w:qFormat/>
    <w:uiPriority w:val="0"/>
    <w:rPr>
      <w:kern w:val="2"/>
      <w:sz w:val="18"/>
      <w:szCs w:val="18"/>
    </w:rPr>
  </w:style>
  <w:style w:type="character" w:customStyle="1" w:styleId="189">
    <w:name w:val="Char Char611"/>
    <w:qFormat/>
    <w:uiPriority w:val="0"/>
    <w:rPr>
      <w:rFonts w:eastAsia="宋体"/>
      <w:kern w:val="2"/>
      <w:sz w:val="21"/>
      <w:szCs w:val="24"/>
      <w:lang w:val="en-US" w:eastAsia="zh-CN" w:bidi="ar-SA"/>
    </w:rPr>
  </w:style>
  <w:style w:type="character" w:customStyle="1" w:styleId="190">
    <w:name w:val="highlight1"/>
    <w:qFormat/>
    <w:uiPriority w:val="0"/>
    <w:rPr>
      <w:rFonts w:ascii="仿宋_GB2312" w:eastAsia="微软雅黑"/>
      <w:b/>
      <w:kern w:val="2"/>
      <w:sz w:val="23"/>
      <w:szCs w:val="23"/>
      <w:lang w:val="en-US" w:eastAsia="zh-CN" w:bidi="ar-SA"/>
    </w:rPr>
  </w:style>
  <w:style w:type="character" w:customStyle="1" w:styleId="191">
    <w:name w:val="my正文 Char"/>
    <w:link w:val="192"/>
    <w:qFormat/>
    <w:uiPriority w:val="0"/>
    <w:rPr>
      <w:rFonts w:ascii="Tahoma" w:hAnsi="Tahoma"/>
      <w:sz w:val="24"/>
      <w:szCs w:val="24"/>
    </w:rPr>
  </w:style>
  <w:style w:type="paragraph" w:customStyle="1" w:styleId="192">
    <w:name w:val="my正文"/>
    <w:basedOn w:val="1"/>
    <w:link w:val="191"/>
    <w:qFormat/>
    <w:uiPriority w:val="0"/>
    <w:pPr>
      <w:adjustRightInd/>
      <w:spacing w:line="360" w:lineRule="auto"/>
      <w:ind w:firstLine="480" w:firstLineChars="200"/>
    </w:pPr>
    <w:rPr>
      <w:rFonts w:ascii="Tahoma" w:hAnsi="Tahoma"/>
      <w:kern w:val="0"/>
      <w:sz w:val="24"/>
    </w:rPr>
  </w:style>
  <w:style w:type="character" w:customStyle="1" w:styleId="193">
    <w:name w:val="正文缩进 Char2"/>
    <w:link w:val="6"/>
    <w:qFormat/>
    <w:uiPriority w:val="0"/>
    <w:rPr>
      <w:rFonts w:ascii="宋体" w:eastAsia="宋体"/>
      <w:snapToGrid w:val="0"/>
      <w:color w:val="000000"/>
      <w:kern w:val="28"/>
      <w:sz w:val="28"/>
      <w:lang w:val="en-US" w:eastAsia="zh-CN" w:bidi="ar-SA"/>
    </w:rPr>
  </w:style>
  <w:style w:type="character" w:customStyle="1" w:styleId="194">
    <w:name w:val="Used by Word for text of Help footnotes Char Char1"/>
    <w:qFormat/>
    <w:uiPriority w:val="0"/>
    <w:rPr>
      <w:color w:val="0000FF"/>
      <w:sz w:val="21"/>
    </w:rPr>
  </w:style>
  <w:style w:type="character" w:customStyle="1" w:styleId="195">
    <w:name w:val="页眉 Char"/>
    <w:qFormat/>
    <w:uiPriority w:val="0"/>
    <w:rPr>
      <w:rFonts w:eastAsia="仿宋_GB2312"/>
      <w:kern w:val="2"/>
      <w:sz w:val="18"/>
      <w:lang w:val="en-US" w:eastAsia="zh-CN"/>
    </w:rPr>
  </w:style>
  <w:style w:type="character" w:customStyle="1" w:styleId="196">
    <w:name w:val="FA正文 Char Char"/>
    <w:qFormat/>
    <w:uiPriority w:val="0"/>
    <w:rPr>
      <w:rFonts w:hAnsi="宋体"/>
      <w:kern w:val="2"/>
      <w:sz w:val="24"/>
      <w:lang w:bidi="ar-SA"/>
    </w:rPr>
  </w:style>
  <w:style w:type="character" w:customStyle="1" w:styleId="197">
    <w:name w:val="纯文本 字符"/>
    <w:qFormat/>
    <w:uiPriority w:val="0"/>
    <w:rPr>
      <w:rFonts w:ascii="宋体" w:hAnsi="Courier New" w:eastAsia="宋体" w:cs="Arial"/>
      <w:snapToGrid w:val="0"/>
      <w:kern w:val="2"/>
      <w:sz w:val="21"/>
      <w:szCs w:val="21"/>
      <w:lang w:val="en-US" w:eastAsia="zh-CN" w:bidi="ar-SA"/>
    </w:rPr>
  </w:style>
  <w:style w:type="character" w:customStyle="1" w:styleId="198">
    <w:name w:val="3级 Char"/>
    <w:link w:val="199"/>
    <w:qFormat/>
    <w:uiPriority w:val="0"/>
    <w:rPr>
      <w:rFonts w:ascii="宋体" w:hAnsi="宋体"/>
      <w:b/>
      <w:bCs/>
      <w:snapToGrid/>
      <w:sz w:val="28"/>
    </w:rPr>
  </w:style>
  <w:style w:type="paragraph" w:customStyle="1" w:styleId="199">
    <w:name w:val="3级"/>
    <w:basedOn w:val="200"/>
    <w:link w:val="198"/>
    <w:qFormat/>
    <w:uiPriority w:val="0"/>
    <w:pPr>
      <w:ind w:left="0" w:right="466" w:firstLine="288"/>
    </w:pPr>
    <w:rPr>
      <w:rFonts w:hAnsi="宋体"/>
      <w:snapToGrid/>
    </w:rPr>
  </w:style>
  <w:style w:type="paragraph" w:customStyle="1" w:styleId="200">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1">
    <w:name w:val="myp11"/>
    <w:qFormat/>
    <w:uiPriority w:val="0"/>
    <w:rPr>
      <w:rFonts w:ascii="仿宋_GB2312" w:eastAsia="微软雅黑"/>
      <w:b/>
      <w:kern w:val="2"/>
      <w:sz w:val="32"/>
      <w:szCs w:val="32"/>
      <w:lang w:val="en-US" w:eastAsia="zh-CN" w:bidi="ar-SA"/>
    </w:rPr>
  </w:style>
  <w:style w:type="character" w:customStyle="1" w:styleId="202">
    <w:name w:val="文档结构图 Char1"/>
    <w:link w:val="19"/>
    <w:qFormat/>
    <w:uiPriority w:val="0"/>
    <w:rPr>
      <w:kern w:val="2"/>
      <w:sz w:val="21"/>
      <w:szCs w:val="24"/>
      <w:shd w:val="clear" w:color="auto" w:fill="000080"/>
    </w:rPr>
  </w:style>
  <w:style w:type="character" w:customStyle="1" w:styleId="203">
    <w:name w:val="H6 Char"/>
    <w:qFormat/>
    <w:uiPriority w:val="0"/>
    <w:rPr>
      <w:rFonts w:ascii="Arial" w:hAnsi="Arial" w:eastAsia="黑体"/>
      <w:b/>
      <w:bCs/>
      <w:kern w:val="2"/>
      <w:sz w:val="24"/>
      <w:szCs w:val="24"/>
    </w:rPr>
  </w:style>
  <w:style w:type="character" w:customStyle="1" w:styleId="204">
    <w:name w:val="Char Char91"/>
    <w:qFormat/>
    <w:uiPriority w:val="0"/>
    <w:rPr>
      <w:rFonts w:eastAsia="宋体"/>
      <w:kern w:val="2"/>
      <w:sz w:val="18"/>
      <w:szCs w:val="18"/>
      <w:lang w:val="en-US" w:eastAsia="zh-CN" w:bidi="ar-SA"/>
    </w:rPr>
  </w:style>
  <w:style w:type="character" w:customStyle="1" w:styleId="205">
    <w:name w:val="副标题 Char1"/>
    <w:qFormat/>
    <w:uiPriority w:val="0"/>
    <w:rPr>
      <w:rFonts w:ascii="Cambria" w:hAnsi="Cambria" w:eastAsia="宋体" w:cs="Times New Roman"/>
      <w:b/>
      <w:bCs/>
      <w:snapToGrid w:val="0"/>
      <w:kern w:val="28"/>
      <w:sz w:val="32"/>
      <w:szCs w:val="32"/>
    </w:rPr>
  </w:style>
  <w:style w:type="character" w:customStyle="1" w:styleId="206">
    <w:name w:val="font61"/>
    <w:qFormat/>
    <w:uiPriority w:val="0"/>
    <w:rPr>
      <w:rFonts w:hint="eastAsia" w:ascii="仿宋" w:hAnsi="仿宋" w:eastAsia="仿宋" w:cs="仿宋"/>
      <w:color w:val="000000"/>
      <w:sz w:val="20"/>
      <w:szCs w:val="20"/>
      <w:u w:val="none"/>
    </w:rPr>
  </w:style>
  <w:style w:type="character" w:customStyle="1" w:styleId="207">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8">
    <w:name w:val="Char Char211"/>
    <w:qFormat/>
    <w:uiPriority w:val="0"/>
    <w:rPr>
      <w:rFonts w:eastAsia="宋体"/>
      <w:b/>
      <w:bCs/>
      <w:kern w:val="2"/>
      <w:sz w:val="21"/>
      <w:szCs w:val="24"/>
      <w:lang w:val="en-US" w:eastAsia="zh-CN" w:bidi="ar-SA"/>
    </w:rPr>
  </w:style>
  <w:style w:type="character" w:customStyle="1" w:styleId="209">
    <w:name w:val="标题 2 Char"/>
    <w:qFormat/>
    <w:uiPriority w:val="0"/>
    <w:rPr>
      <w:rFonts w:ascii="Arial" w:hAnsi="Arial" w:eastAsia="黑体"/>
      <w:b/>
      <w:kern w:val="2"/>
      <w:sz w:val="32"/>
      <w:lang w:val="en-US" w:eastAsia="zh-CN"/>
    </w:rPr>
  </w:style>
  <w:style w:type="character" w:customStyle="1" w:styleId="210">
    <w:name w:val="maywed421"/>
    <w:qFormat/>
    <w:uiPriority w:val="0"/>
    <w:rPr>
      <w:color w:val="366FB6"/>
      <w:u w:val="none"/>
    </w:rPr>
  </w:style>
  <w:style w:type="character" w:customStyle="1" w:styleId="211">
    <w:name w:val="正文文本缩进 Char"/>
    <w:qFormat/>
    <w:uiPriority w:val="0"/>
    <w:rPr>
      <w:rFonts w:ascii="宋体" w:hAnsi="宋体"/>
      <w:kern w:val="2"/>
      <w:sz w:val="24"/>
      <w:szCs w:val="24"/>
    </w:rPr>
  </w:style>
  <w:style w:type="character" w:customStyle="1" w:styleId="212">
    <w:name w:val="Char Char102"/>
    <w:qFormat/>
    <w:uiPriority w:val="0"/>
    <w:rPr>
      <w:rFonts w:ascii="宋体" w:hAnsi="宋体"/>
      <w:kern w:val="2"/>
      <w:sz w:val="21"/>
      <w:szCs w:val="24"/>
      <w:lang w:val="en-US" w:eastAsia="zh-CN"/>
    </w:rPr>
  </w:style>
  <w:style w:type="character" w:customStyle="1" w:styleId="213">
    <w:name w:val="页眉 Char1"/>
    <w:qFormat/>
    <w:uiPriority w:val="0"/>
    <w:rPr>
      <w:rFonts w:eastAsia="宋体"/>
      <w:kern w:val="2"/>
      <w:sz w:val="18"/>
      <w:szCs w:val="18"/>
      <w:lang w:val="en-US" w:eastAsia="zh-CN" w:bidi="ar-SA"/>
    </w:rPr>
  </w:style>
  <w:style w:type="character" w:customStyle="1" w:styleId="214">
    <w:name w:val="md"/>
    <w:basedOn w:val="71"/>
    <w:qFormat/>
    <w:uiPriority w:val="0"/>
    <w:rPr>
      <w:rFonts w:ascii="Arial" w:hAnsi="Arial" w:eastAsia="黑体" w:cs="Arial"/>
      <w:snapToGrid w:val="0"/>
      <w:kern w:val="0"/>
      <w:szCs w:val="21"/>
    </w:rPr>
  </w:style>
  <w:style w:type="character" w:customStyle="1" w:styleId="215">
    <w:name w:val="big1"/>
    <w:qFormat/>
    <w:uiPriority w:val="0"/>
    <w:rPr>
      <w:rFonts w:hint="eastAsia" w:ascii="宋体" w:hAnsi="宋体" w:eastAsia="宋体"/>
      <w:color w:val="333333"/>
      <w:sz w:val="22"/>
      <w:szCs w:val="22"/>
    </w:rPr>
  </w:style>
  <w:style w:type="character" w:customStyle="1" w:styleId="216">
    <w:name w:val="Char Char311"/>
    <w:qFormat/>
    <w:uiPriority w:val="0"/>
    <w:rPr>
      <w:rFonts w:eastAsia="宋体"/>
      <w:kern w:val="2"/>
      <w:sz w:val="21"/>
      <w:szCs w:val="24"/>
      <w:lang w:val="en-US" w:eastAsia="zh-CN" w:bidi="ar-SA"/>
    </w:rPr>
  </w:style>
  <w:style w:type="character" w:customStyle="1" w:styleId="217">
    <w:name w:val="Char Char81"/>
    <w:qFormat/>
    <w:uiPriority w:val="6"/>
    <w:rPr>
      <w:rFonts w:eastAsia="宋体"/>
      <w:b/>
      <w:sz w:val="24"/>
      <w:lang w:val="en-GB" w:eastAsia="zh-CN"/>
    </w:rPr>
  </w:style>
  <w:style w:type="character" w:customStyle="1" w:styleId="218">
    <w:name w:val="样式3 Char"/>
    <w:basedOn w:val="169"/>
    <w:qFormat/>
    <w:uiPriority w:val="0"/>
    <w:rPr>
      <w:rFonts w:ascii="仿宋_GB2312" w:hAnsi="仿宋" w:eastAsia="仿宋_GB2312" w:cs="仿宋_GB2312"/>
      <w:sz w:val="32"/>
      <w:szCs w:val="30"/>
      <w:lang w:val="zh-CN"/>
    </w:rPr>
  </w:style>
  <w:style w:type="character" w:customStyle="1" w:styleId="219">
    <w:name w:val="HTML 地址 Char"/>
    <w:link w:val="31"/>
    <w:qFormat/>
    <w:uiPriority w:val="0"/>
    <w:rPr>
      <w:rFonts w:ascii="宋体" w:hAnsi="宋体"/>
      <w:i/>
      <w:iCs/>
      <w:sz w:val="24"/>
      <w:szCs w:val="24"/>
    </w:rPr>
  </w:style>
  <w:style w:type="character" w:customStyle="1" w:styleId="220">
    <w:name w:val="正文首行缩进 2 Char1"/>
    <w:qFormat/>
    <w:uiPriority w:val="0"/>
    <w:rPr>
      <w:rFonts w:ascii="Times New Roman" w:hAnsi="Times New Roman" w:eastAsia="宋体" w:cs="Times New Roman"/>
      <w:kern w:val="2"/>
      <w:sz w:val="24"/>
      <w:szCs w:val="24"/>
    </w:rPr>
  </w:style>
  <w:style w:type="character" w:customStyle="1" w:styleId="221">
    <w:name w:val="副标题 Char2"/>
    <w:qFormat/>
    <w:uiPriority w:val="0"/>
    <w:rPr>
      <w:rFonts w:ascii="Cambria" w:hAnsi="Cambria" w:eastAsia="宋体" w:cs="Times New Roman"/>
      <w:b/>
      <w:bCs/>
      <w:snapToGrid w:val="0"/>
      <w:kern w:val="28"/>
      <w:sz w:val="32"/>
      <w:szCs w:val="32"/>
    </w:rPr>
  </w:style>
  <w:style w:type="character" w:customStyle="1" w:styleId="222">
    <w:name w:val="标题4-dyf Char"/>
    <w:link w:val="223"/>
    <w:qFormat/>
    <w:uiPriority w:val="0"/>
    <w:rPr>
      <w:rFonts w:ascii="Cambria" w:hAnsi="Cambria"/>
      <w:b/>
      <w:bCs/>
      <w:color w:val="000000"/>
      <w:kern w:val="2"/>
      <w:sz w:val="21"/>
      <w:szCs w:val="21"/>
    </w:rPr>
  </w:style>
  <w:style w:type="paragraph" w:customStyle="1" w:styleId="223">
    <w:name w:val="标题4-dyf"/>
    <w:basedOn w:val="7"/>
    <w:link w:val="222"/>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4">
    <w:name w:val="dectext1"/>
    <w:qFormat/>
    <w:uiPriority w:val="0"/>
    <w:rPr>
      <w:rFonts w:ascii="宋体" w:hAnsi="宋体" w:eastAsia="宋体"/>
      <w:color w:val="333333"/>
      <w:sz w:val="21"/>
      <w:szCs w:val="21"/>
      <w:u w:val="none"/>
    </w:rPr>
  </w:style>
  <w:style w:type="character" w:customStyle="1" w:styleId="225">
    <w:name w:val="冯 Char"/>
    <w:link w:val="226"/>
    <w:qFormat/>
    <w:uiPriority w:val="0"/>
    <w:rPr>
      <w:rFonts w:ascii="宋体" w:hAnsi="宋体"/>
      <w:color w:val="000000"/>
      <w:sz w:val="24"/>
      <w:szCs w:val="24"/>
    </w:rPr>
  </w:style>
  <w:style w:type="paragraph" w:customStyle="1" w:styleId="226">
    <w:name w:val="冯"/>
    <w:basedOn w:val="1"/>
    <w:link w:val="225"/>
    <w:qFormat/>
    <w:uiPriority w:val="0"/>
    <w:pPr>
      <w:widowControl/>
      <w:adjustRightInd/>
      <w:spacing w:line="360" w:lineRule="auto"/>
      <w:ind w:firstLine="480" w:firstLineChars="200"/>
    </w:pPr>
    <w:rPr>
      <w:rFonts w:ascii="宋体" w:hAnsi="宋体"/>
      <w:color w:val="000000"/>
      <w:kern w:val="0"/>
      <w:sz w:val="24"/>
    </w:rPr>
  </w:style>
  <w:style w:type="character" w:customStyle="1" w:styleId="227">
    <w:name w:val="Header Char_b6bb7154-40a1-4532-be09-cdbace51fda5"/>
    <w:qFormat/>
    <w:uiPriority w:val="0"/>
    <w:rPr>
      <w:rFonts w:eastAsia="宋体"/>
      <w:kern w:val="2"/>
      <w:sz w:val="18"/>
      <w:szCs w:val="18"/>
      <w:lang w:val="en-US" w:eastAsia="zh-CN" w:bidi="ar-SA"/>
    </w:rPr>
  </w:style>
  <w:style w:type="character" w:customStyle="1" w:styleId="228">
    <w:name w:val="Char Char12"/>
    <w:qFormat/>
    <w:uiPriority w:val="0"/>
    <w:rPr>
      <w:rFonts w:ascii="仿宋_GB2312" w:eastAsia="仿宋_GB2312"/>
      <w:b/>
      <w:bCs/>
      <w:kern w:val="2"/>
      <w:sz w:val="24"/>
      <w:szCs w:val="24"/>
      <w:lang w:val="zh-CN" w:eastAsia="zh-CN" w:bidi="ar-SA"/>
    </w:rPr>
  </w:style>
  <w:style w:type="character" w:customStyle="1" w:styleId="229">
    <w:name w:val="题注 Char"/>
    <w:link w:val="17"/>
    <w:qFormat/>
    <w:uiPriority w:val="0"/>
    <w:rPr>
      <w:b/>
      <w:kern w:val="2"/>
      <w:sz w:val="28"/>
    </w:rPr>
  </w:style>
  <w:style w:type="character" w:customStyle="1" w:styleId="230">
    <w:name w:val="普通文字 Char3"/>
    <w:qFormat/>
    <w:uiPriority w:val="0"/>
    <w:rPr>
      <w:rFonts w:ascii="宋体" w:hAnsi="Courier New" w:eastAsia="宋体"/>
      <w:kern w:val="2"/>
      <w:sz w:val="21"/>
      <w:lang w:val="en-US" w:eastAsia="zh-CN" w:bidi="ar-SA"/>
    </w:rPr>
  </w:style>
  <w:style w:type="character" w:customStyle="1" w:styleId="231">
    <w:name w:val="公文正文 Char"/>
    <w:qFormat/>
    <w:uiPriority w:val="0"/>
    <w:rPr>
      <w:rFonts w:ascii="仿宋_GB2312" w:eastAsia="仿宋_GB2312"/>
      <w:kern w:val="2"/>
      <w:sz w:val="24"/>
      <w:szCs w:val="24"/>
      <w:lang w:val="en-US" w:eastAsia="zh-CN" w:bidi="ar-SA"/>
    </w:rPr>
  </w:style>
  <w:style w:type="character" w:customStyle="1" w:styleId="232">
    <w:name w:val="正文首行缩进 Char Char Char Char Char"/>
    <w:qFormat/>
    <w:uiPriority w:val="0"/>
    <w:rPr>
      <w:rFonts w:ascii="宋体"/>
      <w:kern w:val="2"/>
      <w:sz w:val="24"/>
      <w:lang w:val="zh-CN"/>
    </w:rPr>
  </w:style>
  <w:style w:type="character" w:customStyle="1" w:styleId="233">
    <w:name w:val="PI Char"/>
    <w:qFormat/>
    <w:uiPriority w:val="0"/>
    <w:rPr>
      <w:rFonts w:ascii="宋体" w:hAnsi="宋体" w:eastAsia="宋体"/>
      <w:kern w:val="2"/>
      <w:sz w:val="24"/>
      <w:szCs w:val="24"/>
      <w:lang w:val="en-US" w:eastAsia="zh-CN" w:bidi="ar-SA"/>
    </w:rPr>
  </w:style>
  <w:style w:type="character" w:customStyle="1" w:styleId="234">
    <w:name w:val="Default Char"/>
    <w:link w:val="2"/>
    <w:qFormat/>
    <w:uiPriority w:val="0"/>
    <w:rPr>
      <w:rFonts w:ascii="仿宋_GB2312" w:eastAsia="仿宋_GB2312" w:cs="仿宋_GB2312"/>
      <w:color w:val="000000"/>
      <w:sz w:val="24"/>
      <w:szCs w:val="24"/>
      <w:lang w:val="en-US" w:eastAsia="zh-CN" w:bidi="ar-SA"/>
    </w:rPr>
  </w:style>
  <w:style w:type="character" w:customStyle="1" w:styleId="235">
    <w:name w:val="style91"/>
    <w:qFormat/>
    <w:uiPriority w:val="0"/>
    <w:rPr>
      <w:color w:val="333333"/>
    </w:rPr>
  </w:style>
  <w:style w:type="character" w:customStyle="1" w:styleId="236">
    <w:name w:val="列出段落 Char2"/>
    <w:qFormat/>
    <w:uiPriority w:val="34"/>
    <w:rPr>
      <w:rFonts w:ascii="Calibri" w:hAnsi="Calibri"/>
      <w:kern w:val="2"/>
      <w:sz w:val="28"/>
    </w:rPr>
  </w:style>
  <w:style w:type="character" w:customStyle="1" w:styleId="237">
    <w:name w:val="mdeck"/>
    <w:qFormat/>
    <w:uiPriority w:val="0"/>
    <w:rPr>
      <w:rFonts w:ascii="仿宋_GB2312" w:eastAsia="微软雅黑"/>
      <w:b/>
      <w:kern w:val="2"/>
      <w:sz w:val="32"/>
      <w:szCs w:val="32"/>
      <w:lang w:val="en-US" w:eastAsia="zh-CN" w:bidi="ar-SA"/>
    </w:rPr>
  </w:style>
  <w:style w:type="character" w:customStyle="1" w:styleId="238">
    <w:name w:val="unnamed11"/>
    <w:qFormat/>
    <w:uiPriority w:val="0"/>
    <w:rPr>
      <w:sz w:val="20"/>
      <w:szCs w:val="20"/>
    </w:rPr>
  </w:style>
  <w:style w:type="character" w:customStyle="1" w:styleId="239">
    <w:name w:val="正文文本 Char2"/>
    <w:qFormat/>
    <w:uiPriority w:val="99"/>
    <w:rPr>
      <w:rFonts w:ascii="Times New Roman" w:hAnsi="Times New Roman" w:eastAsia="宋体" w:cs="Times New Roman"/>
      <w:snapToGrid w:val="0"/>
      <w:kern w:val="0"/>
      <w:szCs w:val="24"/>
    </w:rPr>
  </w:style>
  <w:style w:type="character" w:customStyle="1" w:styleId="240">
    <w:name w:val="标书正文格式 Char"/>
    <w:qFormat/>
    <w:uiPriority w:val="0"/>
    <w:rPr>
      <w:rFonts w:eastAsia="楷体_GB2312"/>
      <w:kern w:val="2"/>
      <w:sz w:val="24"/>
      <w:szCs w:val="24"/>
      <w:lang w:bidi="ar-SA"/>
    </w:rPr>
  </w:style>
  <w:style w:type="character" w:customStyle="1" w:styleId="241">
    <w:name w:val="Char Char11"/>
    <w:qFormat/>
    <w:uiPriority w:val="0"/>
    <w:rPr>
      <w:rFonts w:ascii="宋体" w:hAnsi="宋体" w:eastAsia="宋体"/>
      <w:b/>
      <w:kern w:val="2"/>
      <w:sz w:val="24"/>
      <w:szCs w:val="24"/>
      <w:lang w:val="en-US" w:eastAsia="zh-CN" w:bidi="ar-SA"/>
    </w:rPr>
  </w:style>
  <w:style w:type="character" w:customStyle="1" w:styleId="242">
    <w:name w:val="ca-131"/>
    <w:qFormat/>
    <w:uiPriority w:val="0"/>
    <w:rPr>
      <w:rFonts w:hint="eastAsia" w:ascii="仿宋_GB2312" w:eastAsia="仿宋_GB2312"/>
      <w:b/>
      <w:bCs/>
      <w:color w:val="000000"/>
      <w:spacing w:val="-20"/>
      <w:sz w:val="24"/>
      <w:szCs w:val="24"/>
    </w:rPr>
  </w:style>
  <w:style w:type="character" w:customStyle="1" w:styleId="243">
    <w:name w:val="tw4winMark"/>
    <w:qFormat/>
    <w:uiPriority w:val="0"/>
    <w:rPr>
      <w:rFonts w:ascii="Courier New" w:hAnsi="Courier New" w:cs="Courier New"/>
      <w:vanish/>
      <w:color w:val="800080"/>
      <w:sz w:val="24"/>
      <w:szCs w:val="24"/>
      <w:vertAlign w:val="subscript"/>
    </w:rPr>
  </w:style>
  <w:style w:type="character" w:customStyle="1" w:styleId="244">
    <w:name w:val="正文样式 Char"/>
    <w:link w:val="245"/>
    <w:qFormat/>
    <w:uiPriority w:val="0"/>
    <w:rPr>
      <w:rFonts w:ascii="Calibri" w:hAnsi="Calibri"/>
      <w:sz w:val="24"/>
      <w:szCs w:val="24"/>
    </w:rPr>
  </w:style>
  <w:style w:type="paragraph" w:customStyle="1" w:styleId="245">
    <w:name w:val="正文样式"/>
    <w:basedOn w:val="1"/>
    <w:link w:val="244"/>
    <w:qFormat/>
    <w:uiPriority w:val="0"/>
    <w:pPr>
      <w:adjustRightInd/>
      <w:spacing w:line="360" w:lineRule="auto"/>
      <w:ind w:firstLine="480" w:firstLineChars="200"/>
    </w:pPr>
    <w:rPr>
      <w:kern w:val="0"/>
      <w:sz w:val="24"/>
    </w:rPr>
  </w:style>
  <w:style w:type="character" w:customStyle="1" w:styleId="246">
    <w:name w:val="表正文 Char3"/>
    <w:qFormat/>
    <w:uiPriority w:val="0"/>
    <w:rPr>
      <w:rFonts w:eastAsia="宋体"/>
    </w:rPr>
  </w:style>
  <w:style w:type="character" w:customStyle="1" w:styleId="247">
    <w:name w:val="H5 Char"/>
    <w:qFormat/>
    <w:uiPriority w:val="0"/>
    <w:rPr>
      <w:b/>
      <w:bCs/>
      <w:kern w:val="2"/>
      <w:sz w:val="28"/>
      <w:szCs w:val="28"/>
    </w:rPr>
  </w:style>
  <w:style w:type="character" w:customStyle="1" w:styleId="248">
    <w:name w:val="Char Char3"/>
    <w:qFormat/>
    <w:uiPriority w:val="0"/>
    <w:rPr>
      <w:rFonts w:eastAsia="宋体"/>
      <w:kern w:val="2"/>
      <w:sz w:val="21"/>
      <w:szCs w:val="24"/>
      <w:lang w:val="en-US" w:eastAsia="zh-CN" w:bidi="ar-SA"/>
    </w:rPr>
  </w:style>
  <w:style w:type="character" w:customStyle="1" w:styleId="249">
    <w:name w:val="正文 编号 Char"/>
    <w:qFormat/>
    <w:uiPriority w:val="0"/>
    <w:rPr>
      <w:rFonts w:ascii="仿宋_GB2312" w:hAnsi="仿宋_GB2312" w:eastAsia="仿宋_GB2312"/>
      <w:kern w:val="2"/>
      <w:sz w:val="24"/>
      <w:lang w:bidi="ar-SA"/>
    </w:rPr>
  </w:style>
  <w:style w:type="character" w:customStyle="1" w:styleId="250">
    <w:name w:val="question-title2"/>
    <w:qFormat/>
    <w:uiPriority w:val="6"/>
    <w:rPr>
      <w:rFonts w:ascii="Arial" w:hAnsi="Arial" w:eastAsia="黑体" w:cs="Arial"/>
      <w:snapToGrid w:val="0"/>
      <w:kern w:val="0"/>
      <w:szCs w:val="21"/>
    </w:rPr>
  </w:style>
  <w:style w:type="character" w:customStyle="1" w:styleId="251">
    <w:name w:val="gf正文1 Char Char"/>
    <w:link w:val="252"/>
    <w:qFormat/>
    <w:uiPriority w:val="0"/>
    <w:rPr>
      <w:rFonts w:ascii="宋体" w:hAnsi="宋体" w:cs="宋体"/>
      <w:kern w:val="2"/>
      <w:sz w:val="24"/>
      <w:szCs w:val="24"/>
    </w:rPr>
  </w:style>
  <w:style w:type="paragraph" w:customStyle="1" w:styleId="252">
    <w:name w:val="gf正文1"/>
    <w:basedOn w:val="1"/>
    <w:link w:val="251"/>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3">
    <w:name w:val="Char Char15"/>
    <w:qFormat/>
    <w:uiPriority w:val="6"/>
    <w:rPr>
      <w:rFonts w:ascii="宋体" w:hAnsi="宋体"/>
      <w:kern w:val="1"/>
      <w:sz w:val="21"/>
    </w:rPr>
  </w:style>
  <w:style w:type="character" w:customStyle="1" w:styleId="254">
    <w:name w:val="正文缩进 Char3"/>
    <w:qFormat/>
    <w:uiPriority w:val="0"/>
    <w:rPr>
      <w:rFonts w:ascii="宋体" w:eastAsia="宋体"/>
      <w:snapToGrid w:val="0"/>
      <w:color w:val="000000"/>
      <w:kern w:val="28"/>
      <w:sz w:val="28"/>
      <w:lang w:val="en-US" w:eastAsia="zh-CN" w:bidi="ar-SA"/>
    </w:rPr>
  </w:style>
  <w:style w:type="character" w:customStyle="1" w:styleId="255">
    <w:name w:val="列出段落 Char1"/>
    <w:link w:val="256"/>
    <w:qFormat/>
    <w:uiPriority w:val="0"/>
    <w:rPr>
      <w:rFonts w:ascii="Calibri" w:hAnsi="Calibri"/>
      <w:sz w:val="24"/>
      <w:lang w:eastAsia="en-US"/>
    </w:rPr>
  </w:style>
  <w:style w:type="paragraph" w:customStyle="1" w:styleId="256">
    <w:name w:val="列表1"/>
    <w:basedOn w:val="1"/>
    <w:next w:val="257"/>
    <w:link w:val="255"/>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7">
    <w:name w:val="List Paragraph"/>
    <w:basedOn w:val="1"/>
    <w:qFormat/>
    <w:uiPriority w:val="34"/>
    <w:pPr>
      <w:spacing w:line="360" w:lineRule="auto"/>
      <w:ind w:firstLine="200" w:firstLineChars="200"/>
    </w:pPr>
    <w:rPr>
      <w:rFonts w:eastAsia="楷体_GB2312" w:cs="Lucida Sans"/>
      <w:sz w:val="24"/>
    </w:rPr>
  </w:style>
  <w:style w:type="character" w:customStyle="1" w:styleId="258">
    <w:name w:val="Char Char8"/>
    <w:qFormat/>
    <w:uiPriority w:val="0"/>
    <w:rPr>
      <w:rFonts w:eastAsia="宋体"/>
      <w:b/>
      <w:sz w:val="24"/>
      <w:lang w:val="en-GB" w:eastAsia="zh-CN"/>
    </w:rPr>
  </w:style>
  <w:style w:type="character" w:customStyle="1" w:styleId="259">
    <w:name w:val="Normal Indent Char Char"/>
    <w:qFormat/>
    <w:uiPriority w:val="0"/>
    <w:rPr>
      <w:rFonts w:eastAsia="宋体"/>
      <w:kern w:val="2"/>
      <w:sz w:val="21"/>
      <w:lang w:val="en-US" w:eastAsia="zh-CN" w:bidi="ar-SA"/>
    </w:rPr>
  </w:style>
  <w:style w:type="character" w:customStyle="1" w:styleId="260">
    <w:name w:val="列表段落 字符"/>
    <w:qFormat/>
    <w:uiPriority w:val="99"/>
  </w:style>
  <w:style w:type="character" w:customStyle="1" w:styleId="261">
    <w:name w:val="Ò³Ã¼ Char Char1"/>
    <w:qFormat/>
    <w:uiPriority w:val="0"/>
    <w:rPr>
      <w:rFonts w:eastAsia="宋体"/>
      <w:kern w:val="2"/>
      <w:sz w:val="18"/>
      <w:szCs w:val="18"/>
      <w:lang w:val="en-US" w:eastAsia="zh-CN" w:bidi="ar-SA"/>
    </w:rPr>
  </w:style>
  <w:style w:type="character" w:customStyle="1" w:styleId="262">
    <w:name w:val="方案正文 Char"/>
    <w:qFormat/>
    <w:uiPriority w:val="0"/>
    <w:rPr>
      <w:rFonts w:ascii="仿宋_GB2312" w:eastAsia="仿宋_GB2312"/>
      <w:b/>
      <w:color w:val="000000"/>
      <w:kern w:val="2"/>
      <w:sz w:val="24"/>
      <w:lang w:val="en-US" w:eastAsia="zh-CN" w:bidi="ar-SA"/>
    </w:rPr>
  </w:style>
  <w:style w:type="character" w:customStyle="1" w:styleId="263">
    <w:name w:val="Char Char30"/>
    <w:qFormat/>
    <w:uiPriority w:val="6"/>
    <w:rPr>
      <w:rFonts w:ascii="Arial" w:hAnsi="Arial" w:eastAsia="黑体"/>
      <w:kern w:val="1"/>
      <w:sz w:val="21"/>
      <w:szCs w:val="21"/>
    </w:rPr>
  </w:style>
  <w:style w:type="character" w:customStyle="1" w:styleId="264">
    <w:name w:val="正文文本缩进 Char3"/>
    <w:link w:val="26"/>
    <w:qFormat/>
    <w:uiPriority w:val="0"/>
    <w:rPr>
      <w:rFonts w:ascii="宋体" w:hAnsi="宋体"/>
      <w:kern w:val="2"/>
      <w:sz w:val="24"/>
      <w:szCs w:val="24"/>
    </w:rPr>
  </w:style>
  <w:style w:type="character" w:customStyle="1" w:styleId="265">
    <w:name w:val="font01"/>
    <w:qFormat/>
    <w:uiPriority w:val="0"/>
    <w:rPr>
      <w:rFonts w:hint="eastAsia" w:ascii="微软雅黑" w:hAnsi="微软雅黑" w:eastAsia="微软雅黑" w:cs="微软雅黑"/>
      <w:color w:val="000000"/>
      <w:sz w:val="20"/>
      <w:szCs w:val="20"/>
      <w:u w:val="none"/>
    </w:rPr>
  </w:style>
  <w:style w:type="character" w:customStyle="1" w:styleId="266">
    <w:name w:val="Char Char20"/>
    <w:qFormat/>
    <w:uiPriority w:val="6"/>
    <w:rPr>
      <w:kern w:val="1"/>
      <w:sz w:val="24"/>
    </w:rPr>
  </w:style>
  <w:style w:type="character" w:customStyle="1" w:styleId="267">
    <w:name w:val="tw4winExternal"/>
    <w:qFormat/>
    <w:uiPriority w:val="0"/>
    <w:rPr>
      <w:rFonts w:ascii="Courier New" w:hAnsi="Courier New" w:cs="Courier New"/>
      <w:color w:val="808080"/>
      <w:lang w:val="en-US" w:eastAsia="zh-CN"/>
    </w:rPr>
  </w:style>
  <w:style w:type="character" w:customStyle="1" w:styleId="268">
    <w:name w:val="标题 4 Char1"/>
    <w:qFormat/>
    <w:uiPriority w:val="9"/>
    <w:rPr>
      <w:rFonts w:ascii="Cambria" w:hAnsi="Cambria" w:eastAsia="宋体" w:cs="Times New Roman"/>
      <w:b/>
      <w:bCs/>
      <w:kern w:val="2"/>
      <w:sz w:val="28"/>
      <w:szCs w:val="28"/>
    </w:rPr>
  </w:style>
  <w:style w:type="character" w:customStyle="1" w:styleId="269">
    <w:name w:val="批注文字 Char2"/>
    <w:qFormat/>
    <w:uiPriority w:val="99"/>
    <w:rPr>
      <w:rFonts w:ascii="Times New Roman" w:hAnsi="Times New Roman" w:eastAsia="宋体" w:cs="Times New Roman"/>
      <w:snapToGrid w:val="0"/>
      <w:kern w:val="0"/>
      <w:szCs w:val="24"/>
    </w:rPr>
  </w:style>
  <w:style w:type="character" w:customStyle="1" w:styleId="270">
    <w:name w:val="正文文本 2 Char"/>
    <w:qFormat/>
    <w:uiPriority w:val="0"/>
    <w:rPr>
      <w:rFonts w:eastAsia="宋体"/>
      <w:kern w:val="2"/>
      <w:sz w:val="21"/>
      <w:szCs w:val="24"/>
      <w:lang w:val="en-US" w:eastAsia="zh-CN" w:bidi="ar-SA"/>
    </w:rPr>
  </w:style>
  <w:style w:type="character" w:customStyle="1" w:styleId="271">
    <w:name w:val="Ò³Ã¼ Char Char"/>
    <w:qFormat/>
    <w:uiPriority w:val="0"/>
    <w:rPr>
      <w:rFonts w:eastAsia="宋体"/>
      <w:kern w:val="2"/>
      <w:sz w:val="18"/>
      <w:lang w:val="en-US" w:eastAsia="zh-CN" w:bidi="ar-SA"/>
    </w:rPr>
  </w:style>
  <w:style w:type="character" w:customStyle="1" w:styleId="272">
    <w:name w:val="message1"/>
    <w:qFormat/>
    <w:uiPriority w:val="0"/>
    <w:rPr>
      <w:rFonts w:hint="default" w:ascii="Tahoma" w:hAnsi="Tahoma" w:cs="Tahoma"/>
      <w:sz w:val="18"/>
      <w:szCs w:val="18"/>
    </w:rPr>
  </w:style>
  <w:style w:type="character" w:customStyle="1" w:styleId="273">
    <w:name w:val="Char Char23"/>
    <w:qFormat/>
    <w:uiPriority w:val="6"/>
    <w:rPr>
      <w:color w:val="0000FF"/>
      <w:sz w:val="21"/>
    </w:rPr>
  </w:style>
  <w:style w:type="character" w:customStyle="1" w:styleId="274">
    <w:name w:val="批注框文本 字符"/>
    <w:qFormat/>
    <w:uiPriority w:val="0"/>
    <w:rPr>
      <w:rFonts w:ascii="Arial" w:hAnsi="Arial" w:eastAsia="黑体" w:cs="Arial"/>
      <w:snapToGrid w:val="0"/>
      <w:kern w:val="0"/>
      <w:sz w:val="18"/>
      <w:szCs w:val="18"/>
    </w:rPr>
  </w:style>
  <w:style w:type="character" w:customStyle="1" w:styleId="275">
    <w:name w:val="纯文本 Char2"/>
    <w:qFormat/>
    <w:uiPriority w:val="99"/>
    <w:rPr>
      <w:rFonts w:ascii="宋体" w:hAnsi="Courier New" w:eastAsia="宋体" w:cs="Courier New"/>
    </w:rPr>
  </w:style>
  <w:style w:type="character" w:customStyle="1" w:styleId="276">
    <w:name w:val="Char Char25"/>
    <w:qFormat/>
    <w:uiPriority w:val="6"/>
    <w:rPr>
      <w:rFonts w:ascii="宋体" w:hAnsi="宋体"/>
      <w:kern w:val="1"/>
      <w:sz w:val="24"/>
      <w:lang w:val="zh-CN"/>
    </w:rPr>
  </w:style>
  <w:style w:type="character" w:customStyle="1" w:styleId="277">
    <w:name w:val="Char Char411"/>
    <w:qFormat/>
    <w:uiPriority w:val="0"/>
    <w:rPr>
      <w:rFonts w:eastAsia="宋体"/>
      <w:b/>
      <w:sz w:val="24"/>
      <w:lang w:val="en-GB" w:eastAsia="zh-CN" w:bidi="ar-SA"/>
    </w:rPr>
  </w:style>
  <w:style w:type="character" w:customStyle="1" w:styleId="278">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9">
    <w:name w:val="此正文 Char"/>
    <w:link w:val="280"/>
    <w:qFormat/>
    <w:uiPriority w:val="0"/>
    <w:rPr>
      <w:kern w:val="2"/>
      <w:sz w:val="24"/>
      <w:szCs w:val="24"/>
    </w:rPr>
  </w:style>
  <w:style w:type="paragraph" w:customStyle="1" w:styleId="280">
    <w:name w:val="此正文"/>
    <w:basedOn w:val="1"/>
    <w:link w:val="279"/>
    <w:qFormat/>
    <w:uiPriority w:val="0"/>
    <w:pPr>
      <w:adjustRightInd/>
      <w:spacing w:line="360" w:lineRule="auto"/>
      <w:ind w:firstLine="200" w:firstLineChars="200"/>
    </w:pPr>
    <w:rPr>
      <w:sz w:val="24"/>
    </w:rPr>
  </w:style>
  <w:style w:type="character" w:customStyle="1" w:styleId="281">
    <w:name w:val="Char Char2"/>
    <w:qFormat/>
    <w:uiPriority w:val="0"/>
    <w:rPr>
      <w:rFonts w:eastAsia="宋体"/>
      <w:b/>
      <w:bCs/>
      <w:kern w:val="2"/>
      <w:sz w:val="21"/>
      <w:szCs w:val="24"/>
      <w:lang w:val="en-US" w:eastAsia="zh-CN" w:bidi="ar-SA"/>
    </w:rPr>
  </w:style>
  <w:style w:type="character" w:customStyle="1" w:styleId="282">
    <w:name w:val="标题 1 Char"/>
    <w:link w:val="3"/>
    <w:qFormat/>
    <w:uiPriority w:val="9"/>
    <w:rPr>
      <w:b/>
      <w:bCs/>
      <w:kern w:val="44"/>
      <w:sz w:val="44"/>
      <w:szCs w:val="44"/>
    </w:rPr>
  </w:style>
  <w:style w:type="character" w:customStyle="1" w:styleId="283">
    <w:name w:val="Footer-Even Char1"/>
    <w:qFormat/>
    <w:uiPriority w:val="0"/>
    <w:rPr>
      <w:rFonts w:eastAsia="宋体"/>
      <w:kern w:val="2"/>
      <w:sz w:val="18"/>
      <w:szCs w:val="18"/>
      <w:lang w:val="en-US" w:eastAsia="zh-CN" w:bidi="ar-SA"/>
    </w:rPr>
  </w:style>
  <w:style w:type="character" w:customStyle="1" w:styleId="284">
    <w:name w:val="Char Char29"/>
    <w:qFormat/>
    <w:uiPriority w:val="6"/>
    <w:rPr>
      <w:rFonts w:ascii="Arial" w:hAnsi="Arial" w:eastAsia="微软雅黑"/>
      <w:b/>
      <w:kern w:val="1"/>
      <w:sz w:val="44"/>
      <w:szCs w:val="32"/>
      <w:lang w:val="en-US" w:eastAsia="zh-CN" w:bidi="ar-SA"/>
    </w:rPr>
  </w:style>
  <w:style w:type="character" w:customStyle="1" w:styleId="285">
    <w:name w:val="标题 Char2"/>
    <w:link w:val="61"/>
    <w:qFormat/>
    <w:uiPriority w:val="10"/>
    <w:rPr>
      <w:b/>
      <w:sz w:val="24"/>
      <w:lang w:val="en-GB"/>
    </w:rPr>
  </w:style>
  <w:style w:type="character" w:customStyle="1" w:styleId="286">
    <w:name w:val="font81"/>
    <w:qFormat/>
    <w:uiPriority w:val="0"/>
    <w:rPr>
      <w:rFonts w:ascii="微软雅黑" w:hAnsi="微软雅黑" w:eastAsia="微软雅黑" w:cs="微软雅黑"/>
      <w:color w:val="000000"/>
      <w:sz w:val="20"/>
      <w:szCs w:val="20"/>
      <w:u w:val="none"/>
    </w:rPr>
  </w:style>
  <w:style w:type="character" w:customStyle="1" w:styleId="287">
    <w:name w:val="Char Char312"/>
    <w:qFormat/>
    <w:uiPriority w:val="0"/>
    <w:rPr>
      <w:rFonts w:ascii="Times New Roman" w:hAnsi="Times New Roman" w:eastAsia="宋体" w:cs="Times New Roman"/>
      <w:b/>
      <w:kern w:val="2"/>
      <w:sz w:val="32"/>
      <w:szCs w:val="24"/>
      <w:lang w:val="en-US" w:eastAsia="zh-CN" w:bidi="ar-SA"/>
    </w:rPr>
  </w:style>
  <w:style w:type="character" w:customStyle="1" w:styleId="288">
    <w:name w:val="t21"/>
    <w:qFormat/>
    <w:uiPriority w:val="0"/>
    <w:rPr>
      <w:rFonts w:ascii="仿宋_GB2312" w:eastAsia="微软雅黑"/>
      <w:b/>
      <w:kern w:val="2"/>
      <w:sz w:val="23"/>
      <w:szCs w:val="23"/>
      <w:lang w:val="en-US" w:eastAsia="zh-CN" w:bidi="ar-SA"/>
    </w:rPr>
  </w:style>
  <w:style w:type="character" w:customStyle="1" w:styleId="289">
    <w:name w:val="样式8 Char"/>
    <w:qFormat/>
    <w:uiPriority w:val="0"/>
    <w:rPr>
      <w:rFonts w:ascii="仿宋_GB2312" w:hAnsi="宋体" w:eastAsia="仿宋_GB2312"/>
      <w:b/>
      <w:bCs/>
      <w:kern w:val="2"/>
      <w:sz w:val="24"/>
      <w:szCs w:val="24"/>
    </w:rPr>
  </w:style>
  <w:style w:type="character" w:customStyle="1" w:styleId="290">
    <w:name w:val="表格 Char Char"/>
    <w:qFormat/>
    <w:uiPriority w:val="0"/>
    <w:rPr>
      <w:rFonts w:ascii="宋体" w:hAnsi="宋体" w:eastAsia="宋体"/>
      <w:lang w:bidi="ar-SA"/>
    </w:rPr>
  </w:style>
  <w:style w:type="character" w:customStyle="1" w:styleId="291">
    <w:name w:val="正文文本 字符1"/>
    <w:qFormat/>
    <w:uiPriority w:val="0"/>
    <w:rPr>
      <w:rFonts w:ascii="Calibri" w:hAnsi="Calibri" w:eastAsia="黑体" w:cs="Arial"/>
      <w:snapToGrid w:val="0"/>
      <w:kern w:val="2"/>
      <w:sz w:val="28"/>
      <w:szCs w:val="21"/>
    </w:rPr>
  </w:style>
  <w:style w:type="character" w:customStyle="1" w:styleId="292">
    <w:name w:val="标题 5 Char"/>
    <w:link w:val="8"/>
    <w:qFormat/>
    <w:uiPriority w:val="9"/>
    <w:rPr>
      <w:b/>
      <w:bCs/>
      <w:kern w:val="2"/>
      <w:sz w:val="28"/>
      <w:szCs w:val="28"/>
    </w:rPr>
  </w:style>
  <w:style w:type="character" w:customStyle="1" w:styleId="293">
    <w:name w:val="标题 6 Char1"/>
    <w:qFormat/>
    <w:uiPriority w:val="0"/>
    <w:rPr>
      <w:rFonts w:ascii="Arial" w:hAnsi="Arial" w:eastAsia="黑体" w:cs="Times New Roman"/>
      <w:b/>
      <w:sz w:val="24"/>
      <w:szCs w:val="20"/>
      <w:lang w:bidi="ar-SA"/>
    </w:rPr>
  </w:style>
  <w:style w:type="character" w:customStyle="1" w:styleId="294">
    <w:name w:val="带编号样式 Char"/>
    <w:qFormat/>
    <w:uiPriority w:val="0"/>
    <w:rPr>
      <w:rFonts w:ascii="仿宋_GB2312" w:eastAsia="仿宋_GB2312"/>
      <w:color w:val="000000"/>
      <w:sz w:val="24"/>
      <w:lang w:bidi="ar-SA"/>
    </w:rPr>
  </w:style>
  <w:style w:type="character" w:customStyle="1" w:styleId="295">
    <w:name w:val="unnamed31"/>
    <w:qFormat/>
    <w:uiPriority w:val="0"/>
    <w:rPr>
      <w:rFonts w:ascii="Tahoma" w:hAnsi="Tahoma" w:eastAsia="宋体"/>
      <w:b/>
      <w:kern w:val="2"/>
      <w:sz w:val="24"/>
      <w:szCs w:val="32"/>
      <w:u w:val="none"/>
      <w:lang w:val="en-US" w:eastAsia="zh-CN" w:bidi="ar-SA"/>
    </w:rPr>
  </w:style>
  <w:style w:type="character" w:customStyle="1" w:styleId="296">
    <w:name w:val="正文首行缩进 Char Char Char Char Char Char1"/>
    <w:qFormat/>
    <w:uiPriority w:val="0"/>
    <w:rPr>
      <w:rFonts w:ascii="宋体" w:eastAsia="宋体"/>
      <w:kern w:val="2"/>
      <w:sz w:val="24"/>
      <w:szCs w:val="24"/>
      <w:lang w:val="zh-CN" w:bidi="ar-SA"/>
    </w:rPr>
  </w:style>
  <w:style w:type="character" w:customStyle="1" w:styleId="297">
    <w:name w:val="称呼 Char"/>
    <w:link w:val="21"/>
    <w:qFormat/>
    <w:uiPriority w:val="0"/>
    <w:rPr>
      <w:rFonts w:ascii="仿宋_GB2312" w:eastAsia="仿宋_GB2312"/>
      <w:kern w:val="2"/>
      <w:sz w:val="28"/>
    </w:rPr>
  </w:style>
  <w:style w:type="character" w:customStyle="1" w:styleId="298">
    <w:name w:val="文本正文 Char Char"/>
    <w:qFormat/>
    <w:uiPriority w:val="0"/>
    <w:rPr>
      <w:sz w:val="24"/>
      <w:lang w:bidi="ar-SA"/>
    </w:rPr>
  </w:style>
  <w:style w:type="character" w:customStyle="1" w:styleId="299">
    <w:name w:val="正文缩进 字符"/>
    <w:qFormat/>
    <w:uiPriority w:val="0"/>
    <w:rPr>
      <w:rFonts w:ascii="宋体" w:eastAsia="宋体"/>
      <w:snapToGrid w:val="0"/>
      <w:color w:val="000000"/>
      <w:kern w:val="28"/>
      <w:sz w:val="28"/>
      <w:lang w:val="en-US" w:eastAsia="zh-CN" w:bidi="ar-SA"/>
    </w:rPr>
  </w:style>
  <w:style w:type="character" w:customStyle="1" w:styleId="300">
    <w:name w:val="HTML 预设格式 Char"/>
    <w:link w:val="59"/>
    <w:qFormat/>
    <w:uiPriority w:val="0"/>
    <w:rPr>
      <w:rFonts w:ascii="黑体" w:hAnsi="Courier New" w:eastAsia="黑体"/>
    </w:rPr>
  </w:style>
  <w:style w:type="character" w:customStyle="1" w:styleId="301">
    <w:name w:val="正文文本 2 Char1"/>
    <w:link w:val="58"/>
    <w:qFormat/>
    <w:uiPriority w:val="0"/>
    <w:rPr>
      <w:kern w:val="2"/>
      <w:sz w:val="21"/>
      <w:szCs w:val="24"/>
    </w:rPr>
  </w:style>
  <w:style w:type="character" w:customStyle="1" w:styleId="302">
    <w:name w:val="样式 样式 标题 4h4H4Fab-4T5Ref Heading 1rh1Heading sqlsect 1.2.3.... +... Char"/>
    <w:link w:val="303"/>
    <w:qFormat/>
    <w:uiPriority w:val="0"/>
    <w:rPr>
      <w:rFonts w:ascii="微软雅黑" w:hAnsi="微软雅黑" w:eastAsia="微软雅黑"/>
      <w:b/>
      <w:bCs/>
      <w:kern w:val="2"/>
      <w:sz w:val="24"/>
      <w:szCs w:val="28"/>
    </w:rPr>
  </w:style>
  <w:style w:type="paragraph" w:customStyle="1" w:styleId="303">
    <w:name w:val="样式 样式 标题 4h4H4Fab-4T5Ref Heading 1rh1Heading sqlsect 1.2.3.... +..."/>
    <w:basedOn w:val="304"/>
    <w:link w:val="302"/>
    <w:qFormat/>
    <w:uiPriority w:val="0"/>
    <w:pPr>
      <w:tabs>
        <w:tab w:val="left" w:pos="2356"/>
      </w:tabs>
    </w:pPr>
  </w:style>
  <w:style w:type="paragraph" w:customStyle="1" w:styleId="304">
    <w:name w:val="样式 标题 4h4H4Fab-4T5Ref Heading 1rh1Heading sqlsect 1.2.3...."/>
    <w:basedOn w:val="7"/>
    <w:link w:val="412"/>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5">
    <w:name w:val="正文非缩进 Char"/>
    <w:qFormat/>
    <w:uiPriority w:val="0"/>
    <w:rPr>
      <w:rFonts w:ascii="宋体" w:eastAsia="宋体"/>
      <w:snapToGrid w:val="0"/>
      <w:color w:val="000000"/>
      <w:kern w:val="28"/>
      <w:sz w:val="28"/>
      <w:lang w:val="en-US" w:eastAsia="zh-CN" w:bidi="ar-SA"/>
    </w:rPr>
  </w:style>
  <w:style w:type="character" w:customStyle="1" w:styleId="306">
    <w:name w:val="标题 7 Char"/>
    <w:link w:val="10"/>
    <w:qFormat/>
    <w:uiPriority w:val="0"/>
    <w:rPr>
      <w:b/>
      <w:bCs/>
      <w:kern w:val="2"/>
      <w:sz w:val="24"/>
      <w:szCs w:val="24"/>
    </w:rPr>
  </w:style>
  <w:style w:type="character" w:customStyle="1" w:styleId="307">
    <w:name w:val="正文文本缩进 2 Char"/>
    <w:link w:val="39"/>
    <w:qFormat/>
    <w:uiPriority w:val="0"/>
    <w:rPr>
      <w:rFonts w:ascii="宋体"/>
      <w:sz w:val="28"/>
    </w:rPr>
  </w:style>
  <w:style w:type="character" w:customStyle="1" w:styleId="308">
    <w:name w:val="Char Char5"/>
    <w:qFormat/>
    <w:uiPriority w:val="0"/>
    <w:rPr>
      <w:rFonts w:ascii="宋体" w:hAnsi="Courier New" w:eastAsia="宋体"/>
      <w:kern w:val="2"/>
      <w:sz w:val="21"/>
      <w:lang w:val="en-US" w:eastAsia="zh-CN"/>
    </w:rPr>
  </w:style>
  <w:style w:type="character" w:customStyle="1" w:styleId="309">
    <w:name w:val="脚注文本 Char"/>
    <w:link w:val="52"/>
    <w:qFormat/>
    <w:uiPriority w:val="0"/>
    <w:rPr>
      <w:color w:val="0000FF"/>
      <w:sz w:val="21"/>
    </w:rPr>
  </w:style>
  <w:style w:type="character" w:customStyle="1" w:styleId="310">
    <w:name w:val="称呼 Char1"/>
    <w:qFormat/>
    <w:uiPriority w:val="0"/>
    <w:rPr>
      <w:rFonts w:ascii="Times New Roman" w:hAnsi="Times New Roman" w:eastAsia="宋体" w:cs="Times New Roman"/>
      <w:szCs w:val="24"/>
    </w:rPr>
  </w:style>
  <w:style w:type="character" w:customStyle="1" w:styleId="311">
    <w:name w:val="正文1 Char"/>
    <w:qFormat/>
    <w:uiPriority w:val="0"/>
    <w:rPr>
      <w:rFonts w:ascii="宋体" w:eastAsia="宋体"/>
      <w:snapToGrid w:val="0"/>
      <w:color w:val="000000"/>
      <w:kern w:val="28"/>
      <w:sz w:val="28"/>
      <w:lang w:val="en-US" w:eastAsia="zh-CN" w:bidi="ar-SA"/>
    </w:rPr>
  </w:style>
  <w:style w:type="character" w:customStyle="1" w:styleId="312">
    <w:name w:val="正文缩进 Char1"/>
    <w:qFormat/>
    <w:uiPriority w:val="0"/>
    <w:rPr>
      <w:rFonts w:ascii="宋体" w:eastAsia="宋体"/>
      <w:snapToGrid w:val="0"/>
      <w:color w:val="000000"/>
      <w:kern w:val="28"/>
      <w:sz w:val="28"/>
      <w:lang w:val="en-US" w:eastAsia="zh-CN" w:bidi="ar-SA"/>
    </w:rPr>
  </w:style>
  <w:style w:type="character" w:customStyle="1" w:styleId="313">
    <w:name w:val="font21"/>
    <w:qFormat/>
    <w:uiPriority w:val="0"/>
    <w:rPr>
      <w:rFonts w:hint="eastAsia" w:ascii="宋体" w:hAnsi="宋体" w:eastAsia="宋体"/>
      <w:kern w:val="2"/>
      <w:sz w:val="28"/>
      <w:szCs w:val="28"/>
      <w:lang w:val="en-US" w:eastAsia="zh-CN" w:bidi="ar-SA"/>
    </w:rPr>
  </w:style>
  <w:style w:type="character" w:customStyle="1" w:styleId="314">
    <w:name w:val="Char Char26"/>
    <w:qFormat/>
    <w:uiPriority w:val="6"/>
    <w:rPr>
      <w:kern w:val="1"/>
      <w:sz w:val="21"/>
      <w:szCs w:val="24"/>
    </w:rPr>
  </w:style>
  <w:style w:type="character" w:customStyle="1" w:styleId="315">
    <w:name w:val="Item List Char"/>
    <w:link w:val="316"/>
    <w:qFormat/>
    <w:uiPriority w:val="0"/>
    <w:rPr>
      <w:rFonts w:ascii="Arial"/>
      <w:bCs/>
      <w:sz w:val="21"/>
      <w:szCs w:val="21"/>
      <w:lang w:val="en-US" w:eastAsia="zh-CN" w:bidi="ar-SA"/>
    </w:rPr>
  </w:style>
  <w:style w:type="paragraph" w:customStyle="1" w:styleId="316">
    <w:name w:val="Item List"/>
    <w:link w:val="315"/>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7">
    <w:name w:val="批注框文本 Char1"/>
    <w:qFormat/>
    <w:uiPriority w:val="0"/>
    <w:rPr>
      <w:rFonts w:ascii="Times New Roman" w:hAnsi="Times New Roman" w:eastAsia="宋体" w:cs="Times New Roman"/>
      <w:sz w:val="18"/>
      <w:szCs w:val="18"/>
    </w:rPr>
  </w:style>
  <w:style w:type="character" w:customStyle="1" w:styleId="318">
    <w:name w:val="纯文本 Char1"/>
    <w:link w:val="319"/>
    <w:qFormat/>
    <w:uiPriority w:val="0"/>
    <w:rPr>
      <w:rFonts w:ascii="宋体" w:hAnsi="Courier New"/>
    </w:rPr>
  </w:style>
  <w:style w:type="paragraph" w:customStyle="1" w:styleId="319">
    <w:name w:val="纯文本1"/>
    <w:basedOn w:val="1"/>
    <w:link w:val="318"/>
    <w:qFormat/>
    <w:uiPriority w:val="0"/>
    <w:pPr>
      <w:adjustRightInd/>
    </w:pPr>
    <w:rPr>
      <w:rFonts w:ascii="宋体" w:hAnsi="Courier New"/>
      <w:kern w:val="0"/>
      <w:sz w:val="20"/>
      <w:szCs w:val="20"/>
    </w:rPr>
  </w:style>
  <w:style w:type="character" w:customStyle="1" w:styleId="320">
    <w:name w:val="正文首行缩进 Char"/>
    <w:link w:val="25"/>
    <w:qFormat/>
    <w:uiPriority w:val="0"/>
    <w:rPr>
      <w:rFonts w:ascii="宋体"/>
      <w:kern w:val="2"/>
      <w:sz w:val="24"/>
      <w:lang w:val="zh-CN"/>
    </w:rPr>
  </w:style>
  <w:style w:type="character" w:customStyle="1" w:styleId="321">
    <w:name w:val="h3 Char"/>
    <w:qFormat/>
    <w:uiPriority w:val="0"/>
    <w:rPr>
      <w:rFonts w:eastAsia="宋体"/>
      <w:b/>
      <w:kern w:val="2"/>
      <w:sz w:val="32"/>
      <w:lang w:val="en-US" w:eastAsia="zh-CN" w:bidi="ar-SA"/>
    </w:rPr>
  </w:style>
  <w:style w:type="character" w:customStyle="1" w:styleId="322">
    <w:name w:val="dandyren_title1"/>
    <w:qFormat/>
    <w:uiPriority w:val="0"/>
    <w:rPr>
      <w:b/>
      <w:bCs/>
      <w:color w:val="FF6633"/>
      <w:sz w:val="18"/>
      <w:szCs w:val="18"/>
    </w:rPr>
  </w:style>
  <w:style w:type="character" w:customStyle="1" w:styleId="323">
    <w:name w:val="Char Char31"/>
    <w:qFormat/>
    <w:uiPriority w:val="6"/>
    <w:rPr>
      <w:rFonts w:ascii="Arial" w:hAnsi="Arial" w:eastAsia="黑体"/>
      <w:kern w:val="1"/>
      <w:sz w:val="24"/>
      <w:szCs w:val="24"/>
    </w:rPr>
  </w:style>
  <w:style w:type="character" w:customStyle="1" w:styleId="324">
    <w:name w:val="h Char1"/>
    <w:qFormat/>
    <w:uiPriority w:val="0"/>
    <w:rPr>
      <w:sz w:val="18"/>
      <w:szCs w:val="18"/>
    </w:rPr>
  </w:style>
  <w:style w:type="character" w:customStyle="1" w:styleId="325">
    <w:name w:val="solutionfonts"/>
    <w:qFormat/>
    <w:uiPriority w:val="0"/>
  </w:style>
  <w:style w:type="character" w:customStyle="1" w:styleId="326">
    <w:name w:val="标题 4 Char2"/>
    <w:link w:val="7"/>
    <w:qFormat/>
    <w:uiPriority w:val="9"/>
    <w:rPr>
      <w:rFonts w:ascii="Arial" w:hAnsi="Arial" w:eastAsia="黑体"/>
      <w:b/>
      <w:bCs/>
      <w:kern w:val="2"/>
      <w:sz w:val="28"/>
      <w:szCs w:val="28"/>
      <w:lang w:val="zh-CN"/>
    </w:rPr>
  </w:style>
  <w:style w:type="character" w:customStyle="1" w:styleId="327">
    <w:name w:val="首行缩进 Char"/>
    <w:qFormat/>
    <w:uiPriority w:val="0"/>
    <w:rPr>
      <w:rFonts w:ascii="宋体" w:eastAsia="宋体"/>
      <w:kern w:val="2"/>
      <w:sz w:val="24"/>
      <w:lang w:val="en-US" w:eastAsia="zh-CN" w:bidi="ar-SA"/>
    </w:rPr>
  </w:style>
  <w:style w:type="character" w:customStyle="1" w:styleId="328">
    <w:name w:val="Char Char52"/>
    <w:qFormat/>
    <w:uiPriority w:val="0"/>
    <w:rPr>
      <w:rFonts w:ascii="宋体" w:hAnsi="Courier New" w:eastAsia="宋体"/>
      <w:kern w:val="2"/>
      <w:sz w:val="21"/>
      <w:lang w:val="en-US" w:eastAsia="zh-CN"/>
    </w:rPr>
  </w:style>
  <w:style w:type="character" w:customStyle="1" w:styleId="329">
    <w:name w:val="正文文本 3 Char"/>
    <w:link w:val="22"/>
    <w:qFormat/>
    <w:uiPriority w:val="0"/>
    <w:rPr>
      <w:kern w:val="2"/>
      <w:sz w:val="21"/>
    </w:rPr>
  </w:style>
  <w:style w:type="character" w:customStyle="1" w:styleId="330">
    <w:name w:val="font31"/>
    <w:qFormat/>
    <w:uiPriority w:val="0"/>
    <w:rPr>
      <w:rFonts w:hint="eastAsia" w:ascii="仿宋" w:hAnsi="仿宋" w:eastAsia="仿宋" w:cs="仿宋"/>
      <w:color w:val="000000"/>
      <w:sz w:val="20"/>
      <w:szCs w:val="20"/>
      <w:u w:val="none"/>
    </w:rPr>
  </w:style>
  <w:style w:type="character" w:customStyle="1" w:styleId="331">
    <w:name w:val="正文说明 Char"/>
    <w:link w:val="332"/>
    <w:qFormat/>
    <w:uiPriority w:val="0"/>
    <w:rPr>
      <w:sz w:val="24"/>
      <w:szCs w:val="24"/>
    </w:rPr>
  </w:style>
  <w:style w:type="paragraph" w:customStyle="1" w:styleId="332">
    <w:name w:val="正文说明"/>
    <w:basedOn w:val="1"/>
    <w:link w:val="331"/>
    <w:qFormat/>
    <w:uiPriority w:val="0"/>
    <w:pPr>
      <w:adjustRightInd/>
      <w:spacing w:line="360" w:lineRule="auto"/>
    </w:pPr>
    <w:rPr>
      <w:kern w:val="0"/>
      <w:sz w:val="24"/>
    </w:rPr>
  </w:style>
  <w:style w:type="character" w:customStyle="1" w:styleId="333">
    <w:name w:val="脚注文本 Char1"/>
    <w:qFormat/>
    <w:uiPriority w:val="0"/>
    <w:rPr>
      <w:rFonts w:ascii="Times New Roman" w:hAnsi="Times New Roman" w:eastAsia="宋体" w:cs="Times New Roman"/>
      <w:sz w:val="18"/>
      <w:szCs w:val="18"/>
    </w:rPr>
  </w:style>
  <w:style w:type="character" w:customStyle="1" w:styleId="334">
    <w:name w:val="Char Char1211"/>
    <w:qFormat/>
    <w:uiPriority w:val="0"/>
    <w:rPr>
      <w:rFonts w:ascii="仿宋_GB2312" w:eastAsia="仿宋_GB2312"/>
      <w:b/>
      <w:bCs/>
      <w:kern w:val="2"/>
      <w:sz w:val="24"/>
      <w:szCs w:val="24"/>
      <w:lang w:val="zh-CN" w:eastAsia="zh-CN" w:bidi="ar-SA"/>
    </w:rPr>
  </w:style>
  <w:style w:type="character" w:customStyle="1" w:styleId="335">
    <w:name w:val="标题 Char"/>
    <w:qFormat/>
    <w:uiPriority w:val="0"/>
    <w:rPr>
      <w:rFonts w:eastAsia="宋体"/>
      <w:b/>
      <w:sz w:val="24"/>
      <w:lang w:val="en-GB" w:eastAsia="zh-CN" w:bidi="ar-SA"/>
    </w:rPr>
  </w:style>
  <w:style w:type="character" w:customStyle="1" w:styleId="336">
    <w:name w:val="Char Char35"/>
    <w:qFormat/>
    <w:uiPriority w:val="6"/>
    <w:rPr>
      <w:rFonts w:ascii="Arial" w:hAnsi="Arial" w:eastAsia="黑体"/>
      <w:b/>
      <w:kern w:val="1"/>
      <w:sz w:val="28"/>
      <w:szCs w:val="28"/>
      <w:lang w:val="zh-CN"/>
    </w:rPr>
  </w:style>
  <w:style w:type="character" w:customStyle="1" w:styleId="337">
    <w:name w:val="纯文本 Char Char Char"/>
    <w:qFormat/>
    <w:uiPriority w:val="0"/>
    <w:rPr>
      <w:rFonts w:ascii="宋体" w:hAnsi="Courier New" w:eastAsia="宋体"/>
      <w:kern w:val="2"/>
      <w:sz w:val="21"/>
      <w:lang w:val="en-US" w:eastAsia="zh-CN" w:bidi="ar-SA"/>
    </w:rPr>
  </w:style>
  <w:style w:type="character" w:customStyle="1" w:styleId="338">
    <w:name w:val="Table Text Char"/>
    <w:link w:val="339"/>
    <w:qFormat/>
    <w:uiPriority w:val="0"/>
    <w:rPr>
      <w:sz w:val="24"/>
      <w:szCs w:val="24"/>
    </w:rPr>
  </w:style>
  <w:style w:type="paragraph" w:customStyle="1" w:styleId="339">
    <w:name w:val="Table Text"/>
    <w:basedOn w:val="1"/>
    <w:link w:val="338"/>
    <w:qFormat/>
    <w:uiPriority w:val="0"/>
    <w:pPr>
      <w:widowControl/>
      <w:spacing w:before="60" w:after="60"/>
      <w:jc w:val="left"/>
    </w:pPr>
    <w:rPr>
      <w:kern w:val="0"/>
      <w:sz w:val="24"/>
    </w:rPr>
  </w:style>
  <w:style w:type="character" w:customStyle="1" w:styleId="340">
    <w:name w:val="正文1 Char1"/>
    <w:qFormat/>
    <w:uiPriority w:val="0"/>
    <w:rPr>
      <w:rFonts w:ascii="仿宋_GB2312" w:hAnsi="Courier New" w:eastAsia="仿宋_GB2312"/>
      <w:kern w:val="28"/>
      <w:sz w:val="24"/>
      <w:szCs w:val="24"/>
      <w:lang w:val="en-US" w:eastAsia="zh-CN"/>
    </w:rPr>
  </w:style>
  <w:style w:type="character" w:customStyle="1" w:styleId="341">
    <w:name w:val="页脚 Char1"/>
    <w:qFormat/>
    <w:uiPriority w:val="0"/>
    <w:rPr>
      <w:rFonts w:eastAsia="宋体"/>
      <w:kern w:val="2"/>
      <w:sz w:val="18"/>
      <w:szCs w:val="18"/>
      <w:lang w:val="en-US" w:eastAsia="zh-CN" w:bidi="ar-SA"/>
    </w:rPr>
  </w:style>
  <w:style w:type="character" w:customStyle="1" w:styleId="342">
    <w:name w:val="Bold"/>
    <w:qFormat/>
    <w:uiPriority w:val="0"/>
    <w:rPr>
      <w:rFonts w:ascii="Arial" w:hAnsi="Arial" w:eastAsia="黑体" w:cs="Times New Roman"/>
      <w:b/>
      <w:kern w:val="2"/>
      <w:sz w:val="32"/>
      <w:szCs w:val="32"/>
      <w:lang w:val="en-US" w:eastAsia="zh-CN" w:bidi="ar-SA"/>
    </w:rPr>
  </w:style>
  <w:style w:type="character" w:customStyle="1" w:styleId="343">
    <w:name w:val="批注文字 Char1"/>
    <w:link w:val="20"/>
    <w:qFormat/>
    <w:uiPriority w:val="99"/>
    <w:rPr>
      <w:kern w:val="2"/>
      <w:sz w:val="21"/>
      <w:szCs w:val="24"/>
    </w:rPr>
  </w:style>
  <w:style w:type="character" w:customStyle="1" w:styleId="344">
    <w:name w:val="签名 Char"/>
    <w:link w:val="44"/>
    <w:qFormat/>
    <w:uiPriority w:val="0"/>
    <w:rPr>
      <w:rFonts w:eastAsia="仿宋_GB2312"/>
      <w:sz w:val="24"/>
    </w:rPr>
  </w:style>
  <w:style w:type="character" w:customStyle="1" w:styleId="345">
    <w:name w:val="hui3"/>
    <w:qFormat/>
    <w:uiPriority w:val="0"/>
    <w:rPr>
      <w:color w:val="333333"/>
    </w:rPr>
  </w:style>
  <w:style w:type="character" w:customStyle="1" w:styleId="346">
    <w:name w:val="Char Char17"/>
    <w:qFormat/>
    <w:uiPriority w:val="6"/>
    <w:rPr>
      <w:rFonts w:eastAsia="仿宋_GB2312"/>
      <w:sz w:val="24"/>
    </w:rPr>
  </w:style>
  <w:style w:type="character" w:customStyle="1" w:styleId="347">
    <w:name w:val="标题 4 字符"/>
    <w:qFormat/>
    <w:uiPriority w:val="9"/>
    <w:rPr>
      <w:rFonts w:ascii="等线 Light" w:hAnsi="等线 Light" w:eastAsia="等线 Light" w:cs="Times New Roman"/>
      <w:b/>
      <w:bCs/>
      <w:snapToGrid w:val="0"/>
      <w:kern w:val="0"/>
      <w:sz w:val="28"/>
      <w:szCs w:val="28"/>
    </w:rPr>
  </w:style>
  <w:style w:type="character" w:customStyle="1" w:styleId="348">
    <w:name w:val="Char Char37"/>
    <w:qFormat/>
    <w:uiPriority w:val="6"/>
    <w:rPr>
      <w:b/>
      <w:kern w:val="1"/>
      <w:sz w:val="44"/>
      <w:szCs w:val="44"/>
    </w:rPr>
  </w:style>
  <w:style w:type="character" w:customStyle="1" w:styleId="349">
    <w:name w:val="列出段落 Char"/>
    <w:qFormat/>
    <w:uiPriority w:val="0"/>
    <w:rPr>
      <w:rFonts w:eastAsia="楷体_GB2312" w:cs="Lucida Sans"/>
      <w:kern w:val="2"/>
      <w:sz w:val="24"/>
      <w:szCs w:val="24"/>
      <w:lang w:val="en-US" w:eastAsia="zh-CN" w:bidi="ar-SA"/>
    </w:rPr>
  </w:style>
  <w:style w:type="character" w:customStyle="1" w:styleId="350">
    <w:name w:val="正文文本缩进 3 Char1"/>
    <w:qFormat/>
    <w:uiPriority w:val="99"/>
    <w:rPr>
      <w:rFonts w:ascii="Times New Roman" w:hAnsi="Times New Roman" w:eastAsia="宋体" w:cs="Times New Roman"/>
      <w:sz w:val="16"/>
      <w:szCs w:val="16"/>
    </w:rPr>
  </w:style>
  <w:style w:type="character" w:customStyle="1" w:styleId="351">
    <w:name w:val="公文正文 Char Char"/>
    <w:link w:val="352"/>
    <w:qFormat/>
    <w:uiPriority w:val="0"/>
    <w:rPr>
      <w:rFonts w:ascii="仿宋_GB2312" w:eastAsia="仿宋_GB2312"/>
      <w:kern w:val="2"/>
      <w:sz w:val="24"/>
      <w:szCs w:val="24"/>
    </w:rPr>
  </w:style>
  <w:style w:type="paragraph" w:customStyle="1" w:styleId="352">
    <w:name w:val="公文正文"/>
    <w:basedOn w:val="1"/>
    <w:link w:val="351"/>
    <w:qFormat/>
    <w:uiPriority w:val="0"/>
    <w:pPr>
      <w:adjustRightInd/>
      <w:spacing w:before="156" w:line="360" w:lineRule="auto"/>
      <w:ind w:firstLine="360" w:firstLineChars="200"/>
    </w:pPr>
    <w:rPr>
      <w:rFonts w:ascii="仿宋_GB2312" w:eastAsia="仿宋_GB2312"/>
      <w:sz w:val="24"/>
    </w:rPr>
  </w:style>
  <w:style w:type="character" w:customStyle="1" w:styleId="353">
    <w:name w:val="Table Text Char1"/>
    <w:qFormat/>
    <w:uiPriority w:val="0"/>
    <w:rPr>
      <w:rFonts w:eastAsia="宋体"/>
      <w:sz w:val="24"/>
      <w:szCs w:val="24"/>
      <w:lang w:val="en-US" w:eastAsia="zh-CN" w:bidi="ar-SA"/>
    </w:rPr>
  </w:style>
  <w:style w:type="character" w:customStyle="1" w:styleId="354">
    <w:name w:val="标题 1 Char Char"/>
    <w:qFormat/>
    <w:uiPriority w:val="0"/>
    <w:rPr>
      <w:rFonts w:hint="eastAsia" w:ascii="宋体" w:hAnsi="宋体" w:eastAsia="宋体"/>
      <w:b/>
      <w:spacing w:val="-2"/>
      <w:sz w:val="24"/>
      <w:lang w:val="en-US" w:eastAsia="zh-CN" w:bidi="ar-SA"/>
    </w:rPr>
  </w:style>
  <w:style w:type="character" w:customStyle="1" w:styleId="355">
    <w:name w:val="正文（缩进2汉字） Char"/>
    <w:link w:val="356"/>
    <w:qFormat/>
    <w:uiPriority w:val="0"/>
    <w:rPr>
      <w:rFonts w:ascii="宋体"/>
    </w:rPr>
  </w:style>
  <w:style w:type="paragraph" w:customStyle="1" w:styleId="356">
    <w:name w:val="正文（缩进2汉字）"/>
    <w:basedOn w:val="1"/>
    <w:link w:val="35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7">
    <w:name w:val="标题 8 Char"/>
    <w:link w:val="11"/>
    <w:qFormat/>
    <w:uiPriority w:val="0"/>
    <w:rPr>
      <w:rFonts w:ascii="Arial" w:hAnsi="Arial" w:eastAsia="黑体"/>
      <w:kern w:val="2"/>
      <w:sz w:val="24"/>
      <w:szCs w:val="24"/>
    </w:rPr>
  </w:style>
  <w:style w:type="character" w:customStyle="1" w:styleId="358">
    <w:name w:val="标书表格字体格式 Char"/>
    <w:qFormat/>
    <w:uiPriority w:val="0"/>
    <w:rPr>
      <w:kern w:val="2"/>
      <w:sz w:val="21"/>
      <w:szCs w:val="24"/>
      <w:lang w:bidi="ar-SA"/>
    </w:rPr>
  </w:style>
  <w:style w:type="character" w:customStyle="1" w:styleId="359">
    <w:name w:val="tw4winError"/>
    <w:qFormat/>
    <w:uiPriority w:val="0"/>
    <w:rPr>
      <w:rFonts w:ascii="Courier New" w:hAnsi="Courier New" w:cs="Courier New"/>
      <w:color w:val="00FF00"/>
      <w:sz w:val="40"/>
      <w:szCs w:val="40"/>
    </w:rPr>
  </w:style>
  <w:style w:type="character" w:customStyle="1" w:styleId="360">
    <w:name w:val="Body Text(ch) Char Char"/>
    <w:qFormat/>
    <w:uiPriority w:val="0"/>
    <w:rPr>
      <w:rFonts w:ascii="宋体"/>
      <w:kern w:val="2"/>
      <w:sz w:val="24"/>
      <w:szCs w:val="21"/>
      <w:lang w:val="zh-CN"/>
    </w:rPr>
  </w:style>
  <w:style w:type="character" w:customStyle="1" w:styleId="361">
    <w:name w:val="正文首行缩进两字 Char"/>
    <w:qFormat/>
    <w:uiPriority w:val="0"/>
    <w:rPr>
      <w:sz w:val="24"/>
      <w:szCs w:val="24"/>
      <w:lang w:val="en-US" w:eastAsia="zh-CN" w:bidi="ar-SA"/>
    </w:rPr>
  </w:style>
  <w:style w:type="character" w:customStyle="1" w:styleId="362">
    <w:name w:val="正文文本 Char"/>
    <w:qFormat/>
    <w:uiPriority w:val="0"/>
    <w:rPr>
      <w:rFonts w:eastAsia="宋体"/>
      <w:kern w:val="2"/>
      <w:sz w:val="24"/>
      <w:szCs w:val="24"/>
      <w:lang w:val="en-US" w:eastAsia="zh-CN" w:bidi="ar-SA"/>
    </w:rPr>
  </w:style>
  <w:style w:type="character" w:customStyle="1" w:styleId="363">
    <w:name w:val="文档结构图 字符1"/>
    <w:qFormat/>
    <w:uiPriority w:val="0"/>
    <w:rPr>
      <w:rFonts w:ascii="宋体" w:hAnsi="Calibri" w:eastAsia="黑体" w:cs="Arial"/>
      <w:snapToGrid w:val="0"/>
      <w:kern w:val="2"/>
      <w:sz w:val="18"/>
      <w:szCs w:val="18"/>
    </w:rPr>
  </w:style>
  <w:style w:type="character" w:customStyle="1" w:styleId="364">
    <w:name w:val="content"/>
    <w:qFormat/>
    <w:uiPriority w:val="0"/>
  </w:style>
  <w:style w:type="character" w:customStyle="1" w:styleId="365">
    <w:name w:val="tw4winPopup"/>
    <w:qFormat/>
    <w:uiPriority w:val="0"/>
    <w:rPr>
      <w:rFonts w:ascii="Courier New" w:hAnsi="Courier New" w:cs="Courier New"/>
      <w:color w:val="008000"/>
      <w:lang w:val="en-US" w:eastAsia="zh-CN"/>
    </w:rPr>
  </w:style>
  <w:style w:type="character" w:customStyle="1" w:styleId="366">
    <w:name w:val="param-name"/>
    <w:qFormat/>
    <w:uiPriority w:val="99"/>
    <w:rPr>
      <w:rFonts w:ascii="Arial" w:hAnsi="Arial" w:eastAsia="黑体" w:cs="Arial"/>
      <w:snapToGrid w:val="0"/>
      <w:kern w:val="0"/>
      <w:szCs w:val="21"/>
    </w:rPr>
  </w:style>
  <w:style w:type="character" w:customStyle="1" w:styleId="367">
    <w:name w:val="标准正文格式 Char"/>
    <w:qFormat/>
    <w:uiPriority w:val="0"/>
    <w:rPr>
      <w:rFonts w:ascii="宋体" w:eastAsia="仿宋_GB2312" w:cs="宋体"/>
      <w:color w:val="000000"/>
      <w:sz w:val="24"/>
      <w:lang w:val="en-US" w:eastAsia="zh-CN" w:bidi="ar-SA"/>
    </w:rPr>
  </w:style>
  <w:style w:type="character" w:customStyle="1" w:styleId="368">
    <w:name w:val="Char Char212"/>
    <w:qFormat/>
    <w:uiPriority w:val="0"/>
    <w:rPr>
      <w:rFonts w:eastAsia="宋体"/>
      <w:b/>
      <w:bCs/>
      <w:kern w:val="2"/>
      <w:sz w:val="21"/>
      <w:szCs w:val="24"/>
      <w:lang w:val="en-US" w:eastAsia="zh-CN" w:bidi="ar-SA"/>
    </w:rPr>
  </w:style>
  <w:style w:type="character" w:customStyle="1" w:styleId="369">
    <w:name w:val="文档结构图 Char"/>
    <w:qFormat/>
    <w:uiPriority w:val="0"/>
    <w:rPr>
      <w:rFonts w:eastAsia="宋体"/>
      <w:kern w:val="2"/>
      <w:sz w:val="21"/>
      <w:szCs w:val="24"/>
      <w:lang w:val="en-US" w:eastAsia="zh-CN" w:bidi="ar-SA"/>
    </w:rPr>
  </w:style>
  <w:style w:type="character" w:customStyle="1" w:styleId="370">
    <w:name w:val="zbggmain style9"/>
    <w:qFormat/>
    <w:uiPriority w:val="0"/>
  </w:style>
  <w:style w:type="character" w:customStyle="1" w:styleId="371">
    <w:name w:val="Char Char16"/>
    <w:qFormat/>
    <w:uiPriority w:val="6"/>
    <w:rPr>
      <w:kern w:val="1"/>
      <w:sz w:val="18"/>
      <w:szCs w:val="18"/>
    </w:rPr>
  </w:style>
  <w:style w:type="character" w:customStyle="1" w:styleId="372">
    <w:name w:val="font51"/>
    <w:qFormat/>
    <w:uiPriority w:val="0"/>
    <w:rPr>
      <w:rFonts w:hint="eastAsia" w:ascii="仿宋" w:hAnsi="仿宋" w:eastAsia="仿宋" w:cs="仿宋"/>
      <w:color w:val="000000"/>
      <w:sz w:val="20"/>
      <w:szCs w:val="20"/>
      <w:u w:val="none"/>
    </w:rPr>
  </w:style>
  <w:style w:type="character" w:customStyle="1" w:styleId="373">
    <w:name w:val="Char Char82"/>
    <w:qFormat/>
    <w:uiPriority w:val="0"/>
    <w:rPr>
      <w:rFonts w:eastAsia="宋体"/>
      <w:b/>
      <w:sz w:val="24"/>
      <w:lang w:val="en-GB" w:eastAsia="zh-CN"/>
    </w:rPr>
  </w:style>
  <w:style w:type="character" w:customStyle="1" w:styleId="374">
    <w:name w:val="正文文本缩进 3 Char"/>
    <w:link w:val="55"/>
    <w:qFormat/>
    <w:uiPriority w:val="0"/>
    <w:rPr>
      <w:kern w:val="2"/>
      <w:sz w:val="24"/>
    </w:rPr>
  </w:style>
  <w:style w:type="character" w:customStyle="1" w:styleId="375">
    <w:name w:val="日期 Char1"/>
    <w:qFormat/>
    <w:uiPriority w:val="99"/>
    <w:rPr>
      <w:rFonts w:ascii="Times New Roman" w:hAnsi="Times New Roman" w:eastAsia="宋体" w:cs="Times New Roman"/>
      <w:szCs w:val="24"/>
    </w:rPr>
  </w:style>
  <w:style w:type="character" w:customStyle="1" w:styleId="376">
    <w:name w:val="页眉 字符"/>
    <w:qFormat/>
    <w:uiPriority w:val="99"/>
    <w:rPr>
      <w:kern w:val="2"/>
      <w:sz w:val="18"/>
      <w:szCs w:val="18"/>
    </w:rPr>
  </w:style>
  <w:style w:type="character" w:customStyle="1" w:styleId="377">
    <w:name w:val="Char Char33"/>
    <w:qFormat/>
    <w:uiPriority w:val="6"/>
    <w:rPr>
      <w:rFonts w:ascii="Arial" w:hAnsi="Arial" w:eastAsia="黑体"/>
      <w:b/>
      <w:kern w:val="1"/>
      <w:sz w:val="24"/>
      <w:szCs w:val="24"/>
    </w:rPr>
  </w:style>
  <w:style w:type="character" w:customStyle="1" w:styleId="378">
    <w:name w:val="b11_01b Char"/>
    <w:link w:val="379"/>
    <w:qFormat/>
    <w:uiPriority w:val="0"/>
    <w:rPr>
      <w:rFonts w:ascii="Verdana" w:hAnsi="Verdana"/>
      <w:b/>
      <w:bCs/>
      <w:color w:val="4A82CA"/>
      <w:sz w:val="17"/>
      <w:szCs w:val="17"/>
    </w:rPr>
  </w:style>
  <w:style w:type="paragraph" w:customStyle="1" w:styleId="379">
    <w:name w:val="b11_01b"/>
    <w:basedOn w:val="1"/>
    <w:next w:val="1"/>
    <w:link w:val="378"/>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0">
    <w:name w:val="Char Char121"/>
    <w:qFormat/>
    <w:uiPriority w:val="6"/>
    <w:rPr>
      <w:rFonts w:ascii="仿宋_GB2312" w:eastAsia="仿宋_GB2312"/>
      <w:b/>
      <w:bCs/>
      <w:kern w:val="2"/>
      <w:sz w:val="24"/>
      <w:szCs w:val="24"/>
      <w:lang w:val="zh-CN" w:eastAsia="zh-CN" w:bidi="ar-SA"/>
    </w:rPr>
  </w:style>
  <w:style w:type="character" w:customStyle="1" w:styleId="381">
    <w:name w:val="Footer-Even Char"/>
    <w:qFormat/>
    <w:uiPriority w:val="0"/>
    <w:rPr>
      <w:rFonts w:eastAsia="宋体"/>
      <w:kern w:val="2"/>
      <w:sz w:val="18"/>
      <w:lang w:val="en-US" w:eastAsia="zh-CN" w:bidi="ar-SA"/>
    </w:rPr>
  </w:style>
  <w:style w:type="character" w:customStyle="1" w:styleId="382">
    <w:name w:val="页脚 Char2"/>
    <w:link w:val="42"/>
    <w:qFormat/>
    <w:uiPriority w:val="99"/>
    <w:rPr>
      <w:kern w:val="2"/>
      <w:sz w:val="18"/>
      <w:szCs w:val="18"/>
    </w:rPr>
  </w:style>
  <w:style w:type="character" w:customStyle="1" w:styleId="383">
    <w:name w:val="Char Char36"/>
    <w:qFormat/>
    <w:uiPriority w:val="6"/>
    <w:rPr>
      <w:rFonts w:ascii="仿宋_GB2312" w:hAnsi="仿宋_GB2312" w:eastAsia="仿宋_GB2312" w:cs="Arial"/>
      <w:b/>
      <w:kern w:val="1"/>
      <w:sz w:val="32"/>
      <w:szCs w:val="32"/>
      <w:lang w:val="zh-CN" w:eastAsia="zh-CN" w:bidi="ar-SA"/>
    </w:rPr>
  </w:style>
  <w:style w:type="character" w:customStyle="1" w:styleId="384">
    <w:name w:val="Char Char61"/>
    <w:qFormat/>
    <w:uiPriority w:val="6"/>
    <w:rPr>
      <w:rFonts w:eastAsia="宋体"/>
      <w:kern w:val="2"/>
      <w:sz w:val="21"/>
      <w:szCs w:val="24"/>
      <w:lang w:val="en-US" w:eastAsia="zh-CN" w:bidi="ar-SA"/>
    </w:rPr>
  </w:style>
  <w:style w:type="character" w:customStyle="1" w:styleId="385">
    <w:name w:val="正文文字缩进 2 Char Char"/>
    <w:qFormat/>
    <w:uiPriority w:val="0"/>
    <w:rPr>
      <w:rFonts w:ascii="宋体"/>
      <w:sz w:val="28"/>
    </w:rPr>
  </w:style>
  <w:style w:type="character" w:customStyle="1" w:styleId="386">
    <w:name w:val="f141"/>
    <w:qFormat/>
    <w:uiPriority w:val="0"/>
    <w:rPr>
      <w:rFonts w:ascii="Tahoma" w:hAnsi="Tahoma" w:eastAsia="宋体"/>
      <w:b/>
      <w:kern w:val="2"/>
      <w:sz w:val="21"/>
      <w:szCs w:val="21"/>
      <w:lang w:val="en-US" w:eastAsia="zh-CN" w:bidi="ar-SA"/>
    </w:rPr>
  </w:style>
  <w:style w:type="character" w:customStyle="1" w:styleId="387">
    <w:name w:val="段落 Char Char"/>
    <w:link w:val="388"/>
    <w:qFormat/>
    <w:uiPriority w:val="0"/>
    <w:rPr>
      <w:rFonts w:ascii="宋体" w:hAnsi="宋体"/>
      <w:sz w:val="24"/>
    </w:rPr>
  </w:style>
  <w:style w:type="paragraph" w:customStyle="1" w:styleId="388">
    <w:name w:val="段落"/>
    <w:basedOn w:val="1"/>
    <w:link w:val="387"/>
    <w:qFormat/>
    <w:uiPriority w:val="0"/>
    <w:pPr>
      <w:adjustRightInd/>
      <w:spacing w:line="360" w:lineRule="auto"/>
      <w:ind w:firstLine="480" w:firstLineChars="200"/>
    </w:pPr>
    <w:rPr>
      <w:rFonts w:ascii="宋体" w:hAnsi="宋体"/>
      <w:kern w:val="0"/>
      <w:sz w:val="24"/>
      <w:szCs w:val="20"/>
    </w:rPr>
  </w:style>
  <w:style w:type="character" w:customStyle="1" w:styleId="389">
    <w:name w:val="标题 3 Char2"/>
    <w:qFormat/>
    <w:uiPriority w:val="0"/>
    <w:rPr>
      <w:rFonts w:eastAsia="宋体"/>
      <w:b/>
      <w:bCs/>
      <w:kern w:val="2"/>
      <w:sz w:val="32"/>
      <w:szCs w:val="32"/>
      <w:lang w:val="en-US" w:eastAsia="zh-CN" w:bidi="ar-SA"/>
    </w:rPr>
  </w:style>
  <w:style w:type="character" w:customStyle="1" w:styleId="390">
    <w:name w:val="apple-converted-space"/>
    <w:qFormat/>
    <w:uiPriority w:val="0"/>
  </w:style>
  <w:style w:type="character" w:customStyle="1" w:styleId="391">
    <w:name w:val="页眉 Char2"/>
    <w:link w:val="43"/>
    <w:qFormat/>
    <w:uiPriority w:val="99"/>
    <w:rPr>
      <w:kern w:val="2"/>
      <w:sz w:val="18"/>
      <w:szCs w:val="18"/>
    </w:rPr>
  </w:style>
  <w:style w:type="character" w:customStyle="1" w:styleId="392">
    <w:name w:val="Char Char9"/>
    <w:qFormat/>
    <w:uiPriority w:val="0"/>
    <w:rPr>
      <w:rFonts w:eastAsia="宋体"/>
      <w:kern w:val="2"/>
      <w:sz w:val="18"/>
      <w:szCs w:val="18"/>
      <w:lang w:val="en-US" w:eastAsia="zh-CN" w:bidi="ar-SA"/>
    </w:rPr>
  </w:style>
  <w:style w:type="character" w:customStyle="1" w:styleId="393">
    <w:name w:val="Char Char41"/>
    <w:qFormat/>
    <w:uiPriority w:val="0"/>
    <w:rPr>
      <w:rFonts w:eastAsia="宋体"/>
      <w:b/>
      <w:sz w:val="24"/>
      <w:lang w:val="en-GB" w:eastAsia="zh-CN" w:bidi="ar-SA"/>
    </w:rPr>
  </w:style>
  <w:style w:type="character" w:customStyle="1" w:styleId="394">
    <w:name w:val="large1"/>
    <w:qFormat/>
    <w:uiPriority w:val="0"/>
    <w:rPr>
      <w:rFonts w:hint="eastAsia" w:ascii="宋体" w:hAnsi="宋体" w:eastAsia="宋体"/>
      <w:sz w:val="21"/>
      <w:szCs w:val="21"/>
    </w:rPr>
  </w:style>
  <w:style w:type="character" w:customStyle="1" w:styleId="395">
    <w:name w:val="正文段 Char"/>
    <w:link w:val="396"/>
    <w:qFormat/>
    <w:uiPriority w:val="0"/>
    <w:rPr>
      <w:sz w:val="24"/>
    </w:rPr>
  </w:style>
  <w:style w:type="paragraph" w:customStyle="1" w:styleId="396">
    <w:name w:val="正文段"/>
    <w:basedOn w:val="1"/>
    <w:link w:val="395"/>
    <w:qFormat/>
    <w:uiPriority w:val="0"/>
    <w:pPr>
      <w:widowControl/>
      <w:snapToGrid w:val="0"/>
      <w:spacing w:after="156" w:afterLines="50"/>
      <w:ind w:firstLine="200" w:firstLineChars="200"/>
    </w:pPr>
    <w:rPr>
      <w:kern w:val="0"/>
      <w:sz w:val="24"/>
      <w:szCs w:val="20"/>
    </w:rPr>
  </w:style>
  <w:style w:type="character" w:customStyle="1" w:styleId="397">
    <w:name w:val="Char Char13"/>
    <w:qFormat/>
    <w:uiPriority w:val="6"/>
    <w:rPr>
      <w:rFonts w:ascii="宋体" w:hAnsi="宋体"/>
      <w:kern w:val="1"/>
      <w:sz w:val="21"/>
      <w:szCs w:val="24"/>
    </w:rPr>
  </w:style>
  <w:style w:type="character" w:customStyle="1" w:styleId="398">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9">
    <w:name w:val="冯广丽 Char"/>
    <w:link w:val="400"/>
    <w:qFormat/>
    <w:uiPriority w:val="0"/>
    <w:rPr>
      <w:rFonts w:ascii="宋体" w:hAnsi="宋体"/>
      <w:kern w:val="2"/>
      <w:sz w:val="24"/>
      <w:szCs w:val="22"/>
    </w:rPr>
  </w:style>
  <w:style w:type="paragraph" w:customStyle="1" w:styleId="400">
    <w:name w:val="冯广丽"/>
    <w:basedOn w:val="1"/>
    <w:link w:val="399"/>
    <w:qFormat/>
    <w:uiPriority w:val="0"/>
    <w:pPr>
      <w:adjustRightInd/>
      <w:spacing w:line="360" w:lineRule="auto"/>
      <w:ind w:firstLine="480" w:firstLineChars="200"/>
    </w:pPr>
    <w:rPr>
      <w:rFonts w:ascii="宋体" w:hAnsi="宋体"/>
      <w:sz w:val="24"/>
      <w:szCs w:val="22"/>
    </w:rPr>
  </w:style>
  <w:style w:type="character" w:customStyle="1" w:styleId="401">
    <w:name w:val="批注文字 字符"/>
    <w:qFormat/>
    <w:uiPriority w:val="0"/>
    <w:rPr>
      <w:rFonts w:ascii="Arial" w:hAnsi="Arial" w:eastAsia="黑体" w:cs="Arial"/>
      <w:snapToGrid w:val="0"/>
      <w:kern w:val="0"/>
      <w:szCs w:val="21"/>
    </w:rPr>
  </w:style>
  <w:style w:type="character" w:customStyle="1" w:styleId="402">
    <w:name w:val="Char Char161"/>
    <w:qFormat/>
    <w:uiPriority w:val="0"/>
    <w:rPr>
      <w:rFonts w:eastAsia="宋体"/>
      <w:b/>
      <w:kern w:val="2"/>
      <w:sz w:val="32"/>
      <w:lang w:val="en-US" w:eastAsia="zh-CN"/>
    </w:rPr>
  </w:style>
  <w:style w:type="character" w:customStyle="1" w:styleId="403">
    <w:name w:val="javascript"/>
    <w:qFormat/>
    <w:uiPriority w:val="0"/>
  </w:style>
  <w:style w:type="character" w:customStyle="1" w:styleId="404">
    <w:name w:val="图名 Char"/>
    <w:qFormat/>
    <w:uiPriority w:val="0"/>
    <w:rPr>
      <w:rFonts w:ascii="Arial" w:hAnsi="Arial" w:eastAsia="黑体"/>
      <w:kern w:val="2"/>
      <w:sz w:val="24"/>
      <w:szCs w:val="24"/>
      <w:lang w:val="en-US" w:eastAsia="zh-CN" w:bidi="ar-SA"/>
    </w:rPr>
  </w:style>
  <w:style w:type="character" w:customStyle="1" w:styleId="405">
    <w:name w:val="Used by Word for text of Help footnotes Char Char"/>
    <w:qFormat/>
    <w:uiPriority w:val="0"/>
    <w:rPr>
      <w:rFonts w:ascii="Times New Roman" w:hAnsi="Times New Roman" w:eastAsia="宋体" w:cs="Times New Roman"/>
      <w:sz w:val="20"/>
      <w:szCs w:val="20"/>
    </w:rPr>
  </w:style>
  <w:style w:type="character" w:customStyle="1" w:styleId="406">
    <w:name w:val="编号，小四 Char"/>
    <w:link w:val="407"/>
    <w:qFormat/>
    <w:uiPriority w:val="0"/>
    <w:rPr>
      <w:rFonts w:ascii="Arial" w:hAnsi="Arial"/>
      <w:sz w:val="24"/>
    </w:rPr>
  </w:style>
  <w:style w:type="paragraph" w:customStyle="1" w:styleId="407">
    <w:name w:val="编号，小四"/>
    <w:basedOn w:val="1"/>
    <w:link w:val="406"/>
    <w:qFormat/>
    <w:uiPriority w:val="0"/>
    <w:pPr>
      <w:tabs>
        <w:tab w:val="left" w:pos="432"/>
      </w:tabs>
      <w:adjustRightInd/>
      <w:spacing w:line="360" w:lineRule="auto"/>
      <w:ind w:left="432" w:hanging="432"/>
    </w:pPr>
    <w:rPr>
      <w:rFonts w:ascii="Arial" w:hAnsi="Arial"/>
      <w:kern w:val="0"/>
      <w:sz w:val="24"/>
      <w:szCs w:val="20"/>
    </w:rPr>
  </w:style>
  <w:style w:type="character" w:customStyle="1" w:styleId="408">
    <w:name w:val="Font Style82"/>
    <w:qFormat/>
    <w:uiPriority w:val="99"/>
    <w:rPr>
      <w:rFonts w:ascii="宋体" w:eastAsia="宋体" w:cs="宋体"/>
      <w:color w:val="000000"/>
      <w:sz w:val="14"/>
      <w:szCs w:val="14"/>
    </w:rPr>
  </w:style>
  <w:style w:type="character" w:customStyle="1" w:styleId="409">
    <w:name w:val="标题 2 Char Char"/>
    <w:qFormat/>
    <w:uiPriority w:val="0"/>
    <w:rPr>
      <w:rFonts w:ascii="楷体_GB2312" w:hAnsi="Arial" w:eastAsia="楷体_GB2312"/>
      <w:b/>
      <w:bCs/>
      <w:kern w:val="2"/>
      <w:sz w:val="24"/>
      <w:szCs w:val="32"/>
      <w:lang w:val="en-US" w:eastAsia="zh-CN" w:bidi="ar-SA"/>
    </w:rPr>
  </w:style>
  <w:style w:type="character" w:customStyle="1" w:styleId="410">
    <w:name w:val="未用 Char"/>
    <w:qFormat/>
    <w:uiPriority w:val="0"/>
    <w:rPr>
      <w:rFonts w:ascii="Arial" w:hAnsi="Arial" w:eastAsia="黑体"/>
      <w:kern w:val="2"/>
      <w:sz w:val="21"/>
      <w:szCs w:val="21"/>
      <w:lang w:val="en-US" w:eastAsia="zh-CN" w:bidi="ar-SA"/>
    </w:rPr>
  </w:style>
  <w:style w:type="character" w:customStyle="1" w:styleId="411">
    <w:name w:val="myp1111"/>
    <w:qFormat/>
    <w:uiPriority w:val="0"/>
    <w:rPr>
      <w:rFonts w:hint="default" w:ascii="ˎ̥" w:hAnsi="ˎ̥"/>
      <w:color w:val="000000"/>
      <w:sz w:val="20"/>
      <w:szCs w:val="20"/>
      <w:u w:val="none"/>
    </w:rPr>
  </w:style>
  <w:style w:type="character" w:customStyle="1" w:styleId="412">
    <w:name w:val="样式 标题 4h4H4Fab-4T5Ref Heading 1rh1Heading sqlsect 1.2.3.... Char"/>
    <w:link w:val="304"/>
    <w:qFormat/>
    <w:uiPriority w:val="0"/>
    <w:rPr>
      <w:rFonts w:ascii="微软雅黑" w:hAnsi="微软雅黑" w:eastAsia="微软雅黑"/>
      <w:b/>
      <w:bCs/>
      <w:kern w:val="2"/>
      <w:sz w:val="24"/>
      <w:szCs w:val="28"/>
    </w:rPr>
  </w:style>
  <w:style w:type="character" w:customStyle="1" w:styleId="413">
    <w:name w:val="h Char Char"/>
    <w:qFormat/>
    <w:uiPriority w:val="0"/>
    <w:rPr>
      <w:rFonts w:eastAsia="宋体"/>
      <w:kern w:val="2"/>
      <w:sz w:val="18"/>
      <w:lang w:val="en-US" w:eastAsia="zh-CN" w:bidi="ar-SA"/>
    </w:rPr>
  </w:style>
  <w:style w:type="character" w:customStyle="1" w:styleId="414">
    <w:name w:val="仿宋正文 Char"/>
    <w:link w:val="415"/>
    <w:qFormat/>
    <w:uiPriority w:val="0"/>
    <w:rPr>
      <w:rFonts w:ascii="仿宋_GB2312" w:eastAsia="仿宋_GB2312"/>
      <w:kern w:val="2"/>
      <w:sz w:val="24"/>
      <w:lang w:val="en-US" w:eastAsia="zh-CN" w:bidi="ar-SA"/>
    </w:rPr>
  </w:style>
  <w:style w:type="paragraph" w:customStyle="1" w:styleId="415">
    <w:name w:val="仿宋正文"/>
    <w:basedOn w:val="1"/>
    <w:link w:val="414"/>
    <w:qFormat/>
    <w:uiPriority w:val="0"/>
    <w:pPr>
      <w:adjustRightInd/>
      <w:spacing w:line="360" w:lineRule="auto"/>
      <w:ind w:firstLine="480" w:firstLineChars="200"/>
    </w:pPr>
    <w:rPr>
      <w:rFonts w:ascii="仿宋_GB2312" w:eastAsia="仿宋_GB2312"/>
      <w:sz w:val="24"/>
      <w:szCs w:val="20"/>
    </w:rPr>
  </w:style>
  <w:style w:type="character" w:customStyle="1" w:styleId="416">
    <w:name w:val="正文首行缩进 Char Char Char Char Char Char"/>
    <w:qFormat/>
    <w:uiPriority w:val="0"/>
    <w:rPr>
      <w:rFonts w:ascii="宋体" w:eastAsia="宋体"/>
      <w:kern w:val="2"/>
      <w:sz w:val="24"/>
      <w:lang w:val="zh-CN" w:bidi="ar-SA"/>
    </w:rPr>
  </w:style>
  <w:style w:type="character" w:customStyle="1" w:styleId="417">
    <w:name w:val="样式 宋体"/>
    <w:qFormat/>
    <w:uiPriority w:val="0"/>
    <w:rPr>
      <w:rFonts w:ascii="宋体" w:hAnsi="宋体"/>
      <w:sz w:val="24"/>
    </w:rPr>
  </w:style>
  <w:style w:type="character" w:customStyle="1" w:styleId="418">
    <w:name w:val="tw4winJump"/>
    <w:qFormat/>
    <w:uiPriority w:val="0"/>
    <w:rPr>
      <w:rFonts w:ascii="Courier New" w:hAnsi="Courier New" w:cs="Courier New"/>
      <w:color w:val="008080"/>
      <w:lang w:val="en-US" w:eastAsia="zh-CN"/>
    </w:rPr>
  </w:style>
  <w:style w:type="character" w:customStyle="1" w:styleId="419">
    <w:name w:val="标题 1 字符"/>
    <w:qFormat/>
    <w:uiPriority w:val="9"/>
    <w:rPr>
      <w:rFonts w:ascii="Arial" w:hAnsi="Arial" w:eastAsia="黑体" w:cs="Arial"/>
      <w:b/>
      <w:bCs/>
      <w:snapToGrid w:val="0"/>
      <w:kern w:val="44"/>
      <w:sz w:val="44"/>
      <w:szCs w:val="44"/>
    </w:rPr>
  </w:style>
  <w:style w:type="character" w:customStyle="1" w:styleId="420">
    <w:name w:val="style36"/>
    <w:basedOn w:val="71"/>
    <w:qFormat/>
    <w:uiPriority w:val="0"/>
    <w:rPr>
      <w:rFonts w:ascii="Arial" w:hAnsi="Arial" w:eastAsia="黑体" w:cs="Arial"/>
      <w:snapToGrid w:val="0"/>
      <w:kern w:val="0"/>
      <w:szCs w:val="21"/>
    </w:rPr>
  </w:style>
  <w:style w:type="character" w:customStyle="1" w:styleId="421">
    <w:name w:val="pt9"/>
    <w:qFormat/>
    <w:uiPriority w:val="0"/>
    <w:rPr>
      <w:rFonts w:ascii="仿宋_GB2312" w:eastAsia="微软雅黑"/>
      <w:b/>
      <w:kern w:val="2"/>
      <w:sz w:val="32"/>
      <w:szCs w:val="32"/>
      <w:lang w:val="en-US" w:eastAsia="zh-CN" w:bidi="ar-SA"/>
    </w:rPr>
  </w:style>
  <w:style w:type="character" w:customStyle="1" w:styleId="422">
    <w:name w:val="DO_NOT_TRANSLATE"/>
    <w:qFormat/>
    <w:uiPriority w:val="0"/>
    <w:rPr>
      <w:rFonts w:ascii="Courier New" w:hAnsi="Courier New" w:cs="Courier New"/>
      <w:color w:val="800000"/>
      <w:lang w:val="en-US" w:eastAsia="zh-CN"/>
    </w:rPr>
  </w:style>
  <w:style w:type="character" w:customStyle="1" w:styleId="423">
    <w:name w:val="标书1 Char1"/>
    <w:qFormat/>
    <w:uiPriority w:val="0"/>
    <w:rPr>
      <w:rFonts w:eastAsia="宋体"/>
      <w:b/>
      <w:bCs/>
      <w:kern w:val="44"/>
      <w:sz w:val="44"/>
      <w:szCs w:val="44"/>
      <w:lang w:val="en-US" w:eastAsia="zh-CN" w:bidi="ar-SA"/>
    </w:rPr>
  </w:style>
  <w:style w:type="character" w:customStyle="1" w:styleId="424">
    <w:name w:val="页脚 字符"/>
    <w:qFormat/>
    <w:uiPriority w:val="99"/>
    <w:rPr>
      <w:kern w:val="2"/>
      <w:sz w:val="18"/>
      <w:szCs w:val="18"/>
    </w:rPr>
  </w:style>
  <w:style w:type="character" w:customStyle="1" w:styleId="425">
    <w:name w:val="正文2 Char"/>
    <w:qFormat/>
    <w:uiPriority w:val="0"/>
    <w:rPr>
      <w:rFonts w:eastAsia="宋体"/>
      <w:kern w:val="2"/>
      <w:sz w:val="24"/>
      <w:lang w:val="en-US" w:eastAsia="zh-CN" w:bidi="ar-SA"/>
    </w:rPr>
  </w:style>
  <w:style w:type="character" w:customStyle="1" w:styleId="426">
    <w:name w:val="Char Char21"/>
    <w:qFormat/>
    <w:uiPriority w:val="6"/>
    <w:rPr>
      <w:rFonts w:ascii="宋体" w:hAnsi="宋体"/>
      <w:kern w:val="1"/>
      <w:sz w:val="24"/>
      <w:szCs w:val="21"/>
      <w:lang w:val="zh-CN"/>
    </w:rPr>
  </w:style>
  <w:style w:type="character" w:customStyle="1" w:styleId="427">
    <w:name w:val="样式 正文缩进 + 首行缩进:  2 字符 Char Char"/>
    <w:link w:val="428"/>
    <w:qFormat/>
    <w:uiPriority w:val="0"/>
    <w:rPr>
      <w:rFonts w:cs="宋体"/>
      <w:kern w:val="2"/>
      <w:sz w:val="24"/>
    </w:rPr>
  </w:style>
  <w:style w:type="paragraph" w:customStyle="1" w:styleId="428">
    <w:name w:val="样式 正文缩进 + 首行缩进:  2 字符"/>
    <w:basedOn w:val="6"/>
    <w:link w:val="427"/>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9">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0">
    <w:name w:val="gray6"/>
    <w:basedOn w:val="71"/>
    <w:qFormat/>
    <w:uiPriority w:val="0"/>
    <w:rPr>
      <w:rFonts w:ascii="Arial" w:hAnsi="Arial" w:eastAsia="黑体" w:cs="Arial"/>
      <w:snapToGrid w:val="0"/>
      <w:kern w:val="0"/>
      <w:szCs w:val="21"/>
    </w:rPr>
  </w:style>
  <w:style w:type="character" w:customStyle="1" w:styleId="431">
    <w:name w:val="hui"/>
    <w:basedOn w:val="71"/>
    <w:qFormat/>
    <w:uiPriority w:val="0"/>
    <w:rPr>
      <w:rFonts w:ascii="Arial" w:hAnsi="Arial" w:eastAsia="黑体" w:cs="Arial"/>
      <w:snapToGrid w:val="0"/>
      <w:kern w:val="0"/>
      <w:szCs w:val="21"/>
    </w:rPr>
  </w:style>
  <w:style w:type="character" w:customStyle="1" w:styleId="432">
    <w:name w:val="哈哈正文 Char Char"/>
    <w:qFormat/>
    <w:uiPriority w:val="0"/>
    <w:rPr>
      <w:rFonts w:ascii="宋体" w:hAnsi="宋体" w:eastAsia="宋体" w:cs="宋体"/>
      <w:kern w:val="2"/>
      <w:sz w:val="24"/>
      <w:lang w:val="en-US" w:eastAsia="zh-CN" w:bidi="ar-SA"/>
    </w:rPr>
  </w:style>
  <w:style w:type="paragraph" w:customStyle="1" w:styleId="433">
    <w:name w:val="样式 正文文本缩进 + 左侧:  2 字符 首行缩进:  2 字符"/>
    <w:basedOn w:val="2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4">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5">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6">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7">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8">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9">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0">
    <w:name w:val="标题4_自定义"/>
    <w:basedOn w:val="7"/>
    <w:qFormat/>
    <w:uiPriority w:val="0"/>
    <w:pPr>
      <w:adjustRightInd/>
      <w:spacing w:before="0" w:after="0" w:line="360" w:lineRule="auto"/>
    </w:pPr>
    <w:rPr>
      <w:rFonts w:ascii="Verdana" w:eastAsia="Verdana"/>
      <w:sz w:val="21"/>
      <w:lang w:val="en-US"/>
    </w:rPr>
  </w:style>
  <w:style w:type="paragraph" w:customStyle="1" w:styleId="441">
    <w:name w:val="正文 内标 序号标"/>
    <w:basedOn w:val="442"/>
    <w:qFormat/>
    <w:uiPriority w:val="0"/>
    <w:pPr>
      <w:tabs>
        <w:tab w:val="left" w:pos="0"/>
      </w:tabs>
      <w:adjustRightInd/>
      <w:spacing w:before="0"/>
      <w:ind w:firstLine="482"/>
    </w:pPr>
    <w:rPr>
      <w:rFonts w:ascii="微软雅黑" w:hAnsi="微软雅黑"/>
      <w:sz w:val="24"/>
      <w:szCs w:val="24"/>
    </w:rPr>
  </w:style>
  <w:style w:type="paragraph" w:customStyle="1" w:styleId="442">
    <w:name w:val="My正文"/>
    <w:basedOn w:val="1"/>
    <w:qFormat/>
    <w:uiPriority w:val="0"/>
    <w:pPr>
      <w:spacing w:before="120" w:line="360" w:lineRule="auto"/>
      <w:ind w:firstLine="567"/>
    </w:pPr>
    <w:rPr>
      <w:rFonts w:ascii="Arial" w:hAnsi="Arial"/>
      <w:sz w:val="20"/>
      <w:szCs w:val="20"/>
    </w:rPr>
  </w:style>
  <w:style w:type="paragraph" w:customStyle="1" w:styleId="443">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4">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5">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6">
    <w:name w:val="修订2"/>
    <w:qFormat/>
    <w:uiPriority w:val="0"/>
    <w:rPr>
      <w:rFonts w:ascii="Times New Roman" w:hAnsi="Times New Roman" w:eastAsia="宋体" w:cs="Times New Roman"/>
      <w:kern w:val="2"/>
      <w:sz w:val="21"/>
      <w:lang w:val="en-US" w:eastAsia="zh-CN" w:bidi="ar-SA"/>
    </w:rPr>
  </w:style>
  <w:style w:type="paragraph" w:customStyle="1" w:styleId="447">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8">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9">
    <w:name w:val="文章标题"/>
    <w:next w:val="450"/>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0">
    <w:name w:val="封面公司名"/>
    <w:qFormat/>
    <w:uiPriority w:val="0"/>
    <w:pPr>
      <w:jc w:val="center"/>
    </w:pPr>
    <w:rPr>
      <w:rFonts w:ascii="Arial" w:hAnsi="Arial" w:eastAsia="楷体_GB2312" w:cs="宋体"/>
      <w:bCs/>
      <w:kern w:val="2"/>
      <w:sz w:val="28"/>
      <w:lang w:val="en-US" w:eastAsia="zh-CN" w:bidi="ar-SA"/>
    </w:rPr>
  </w:style>
  <w:style w:type="paragraph" w:customStyle="1" w:styleId="451">
    <w:name w:val="Char1 Char Char Char5"/>
    <w:basedOn w:val="1"/>
    <w:qFormat/>
    <w:uiPriority w:val="0"/>
    <w:pPr>
      <w:adjustRightInd/>
      <w:ind w:firstLine="200" w:firstLineChars="200"/>
    </w:pPr>
    <w:rPr>
      <w:rFonts w:ascii="Tahoma" w:hAnsi="Tahoma"/>
      <w:sz w:val="24"/>
      <w:szCs w:val="20"/>
    </w:rPr>
  </w:style>
  <w:style w:type="paragraph" w:customStyle="1" w:styleId="452">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3">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4">
    <w:name w:val="Char Char Char Char Char Char Char Char"/>
    <w:basedOn w:val="1"/>
    <w:qFormat/>
    <w:uiPriority w:val="0"/>
    <w:pPr>
      <w:tabs>
        <w:tab w:val="left" w:pos="360"/>
      </w:tabs>
    </w:pPr>
    <w:rPr>
      <w:sz w:val="24"/>
      <w:szCs w:val="20"/>
    </w:rPr>
  </w:style>
  <w:style w:type="paragraph" w:customStyle="1" w:styleId="455">
    <w:name w:val="Char Char11 Char Char Char"/>
    <w:basedOn w:val="1"/>
    <w:qFormat/>
    <w:uiPriority w:val="0"/>
    <w:pPr>
      <w:spacing w:line="360" w:lineRule="auto"/>
    </w:pPr>
    <w:rPr>
      <w:szCs w:val="20"/>
    </w:rPr>
  </w:style>
  <w:style w:type="paragraph" w:customStyle="1" w:styleId="456">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7">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8">
    <w:name w:val="样式3"/>
    <w:basedOn w:val="459"/>
    <w:qFormat/>
    <w:uiPriority w:val="0"/>
    <w:pPr>
      <w:tabs>
        <w:tab w:val="left" w:pos="2790"/>
        <w:tab w:val="left" w:pos="4230"/>
      </w:tabs>
      <w:spacing w:before="312" w:beforeLines="100"/>
      <w:jc w:val="left"/>
    </w:pPr>
  </w:style>
  <w:style w:type="paragraph" w:customStyle="1" w:styleId="459">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0">
    <w:name w:val="Char Char1 Char Char1 Char Char1"/>
    <w:basedOn w:val="1"/>
    <w:qFormat/>
    <w:uiPriority w:val="0"/>
    <w:pPr>
      <w:tabs>
        <w:tab w:val="left" w:pos="840"/>
      </w:tabs>
      <w:ind w:left="840" w:hanging="420"/>
    </w:pPr>
    <w:rPr>
      <w:rFonts w:ascii="Tahoma" w:hAnsi="Tahoma"/>
      <w:sz w:val="24"/>
    </w:rPr>
  </w:style>
  <w:style w:type="paragraph" w:customStyle="1" w:styleId="461">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2">
    <w:name w:val="标书标题2"/>
    <w:basedOn w:val="4"/>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3">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4">
    <w:name w:val="正文21"/>
    <w:basedOn w:val="1"/>
    <w:qFormat/>
    <w:uiPriority w:val="0"/>
    <w:pPr>
      <w:adjustRightInd/>
      <w:spacing w:before="156" w:line="360" w:lineRule="auto"/>
      <w:ind w:firstLine="510" w:firstLineChars="200"/>
    </w:pPr>
    <w:rPr>
      <w:sz w:val="24"/>
      <w:szCs w:val="20"/>
    </w:rPr>
  </w:style>
  <w:style w:type="paragraph" w:customStyle="1" w:styleId="465">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6">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7">
    <w:name w:val="Char1"/>
    <w:basedOn w:val="1"/>
    <w:qFormat/>
    <w:uiPriority w:val="0"/>
    <w:rPr>
      <w:rFonts w:ascii="仿宋_GB2312" w:eastAsia="仿宋_GB2312"/>
      <w:b/>
      <w:sz w:val="32"/>
      <w:szCs w:val="32"/>
    </w:rPr>
  </w:style>
  <w:style w:type="paragraph" w:customStyle="1" w:styleId="468">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0">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1">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2">
    <w:name w:val="6级标题"/>
    <w:basedOn w:val="473"/>
    <w:qFormat/>
    <w:uiPriority w:val="0"/>
    <w:pPr>
      <w:keepNext/>
      <w:tabs>
        <w:tab w:val="left" w:pos="360"/>
      </w:tabs>
      <w:spacing w:before="0" w:after="0"/>
      <w:outlineLvl w:val="5"/>
    </w:pPr>
  </w:style>
  <w:style w:type="paragraph" w:customStyle="1" w:styleId="473">
    <w:name w:val="5级标题"/>
    <w:basedOn w:val="474"/>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4">
    <w:name w:val="4级标题"/>
    <w:basedOn w:val="257"/>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5">
    <w:name w:val="样式 正文文本缩进 + 段前: 2 字符"/>
    <w:basedOn w:val="1"/>
    <w:qFormat/>
    <w:uiPriority w:val="0"/>
    <w:pPr>
      <w:adjustRightInd/>
      <w:ind w:left="420" w:leftChars="200"/>
      <w:jc w:val="left"/>
    </w:pPr>
    <w:rPr>
      <w:sz w:val="28"/>
      <w:szCs w:val="20"/>
      <w:lang w:eastAsia="zh-TW"/>
    </w:rPr>
  </w:style>
  <w:style w:type="paragraph" w:customStyle="1" w:styleId="476">
    <w:name w:val="Char2 Char Char"/>
    <w:basedOn w:val="1"/>
    <w:qFormat/>
    <w:uiPriority w:val="0"/>
    <w:pPr>
      <w:adjustRightInd/>
    </w:pPr>
    <w:rPr>
      <w:rFonts w:ascii="Tahoma" w:hAnsi="Tahoma"/>
      <w:sz w:val="24"/>
      <w:szCs w:val="20"/>
    </w:rPr>
  </w:style>
  <w:style w:type="paragraph" w:customStyle="1" w:styleId="477">
    <w:name w:val="_Style 11"/>
    <w:basedOn w:val="1"/>
    <w:qFormat/>
    <w:uiPriority w:val="34"/>
    <w:pPr>
      <w:adjustRightInd/>
      <w:ind w:firstLine="420" w:firstLineChars="200"/>
    </w:pPr>
    <w:rPr>
      <w:rFonts w:eastAsia="仿宋_GB2312"/>
      <w:sz w:val="28"/>
    </w:rPr>
  </w:style>
  <w:style w:type="paragraph" w:customStyle="1" w:styleId="478">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9">
    <w:name w:val="Char Char Char"/>
    <w:basedOn w:val="1"/>
    <w:qFormat/>
    <w:uiPriority w:val="0"/>
    <w:rPr>
      <w:rFonts w:ascii="Tahoma" w:hAnsi="Tahoma"/>
      <w:sz w:val="24"/>
      <w:szCs w:val="20"/>
    </w:rPr>
  </w:style>
  <w:style w:type="paragraph" w:customStyle="1" w:styleId="480">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1">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2">
    <w:name w:val="No Spacing"/>
    <w:basedOn w:val="1"/>
    <w:link w:val="932"/>
    <w:qFormat/>
    <w:uiPriority w:val="99"/>
    <w:rPr>
      <w:szCs w:val="22"/>
    </w:rPr>
  </w:style>
  <w:style w:type="paragraph" w:customStyle="1" w:styleId="483">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4">
    <w:name w:val="Char Char Char Char Char Char Char Char Char Char Char Char1 Char1"/>
    <w:basedOn w:val="1"/>
    <w:qFormat/>
    <w:uiPriority w:val="6"/>
    <w:rPr>
      <w:rFonts w:ascii="Tahoma" w:hAnsi="Tahoma" w:cs="仿宋_GB2312"/>
      <w:sz w:val="24"/>
      <w:szCs w:val="20"/>
    </w:rPr>
  </w:style>
  <w:style w:type="paragraph" w:customStyle="1" w:styleId="485">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6">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7">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8">
    <w:name w:val="MM Topic 2"/>
    <w:basedOn w:val="4"/>
    <w:qFormat/>
    <w:uiPriority w:val="0"/>
    <w:pPr>
      <w:tabs>
        <w:tab w:val="left" w:pos="1260"/>
      </w:tabs>
      <w:ind w:left="1260" w:hanging="420"/>
    </w:pPr>
    <w:rPr>
      <w:rFonts w:ascii="Arial" w:hAnsi="Arial" w:eastAsia="黑体"/>
      <w:lang w:val="en-US"/>
    </w:rPr>
  </w:style>
  <w:style w:type="paragraph" w:customStyle="1" w:styleId="489">
    <w:name w:val="五级无标题条"/>
    <w:basedOn w:val="1"/>
    <w:qFormat/>
    <w:uiPriority w:val="0"/>
    <w:pPr>
      <w:adjustRightInd/>
    </w:pPr>
  </w:style>
  <w:style w:type="paragraph" w:customStyle="1" w:styleId="490">
    <w:name w:val="Char5"/>
    <w:basedOn w:val="1"/>
    <w:qFormat/>
    <w:uiPriority w:val="0"/>
    <w:rPr>
      <w:rFonts w:ascii="仿宋_GB2312" w:eastAsia="仿宋_GB2312"/>
      <w:b/>
      <w:sz w:val="32"/>
      <w:szCs w:val="32"/>
    </w:rPr>
  </w:style>
  <w:style w:type="paragraph" w:customStyle="1" w:styleId="491">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2">
    <w:name w:val="彩色列表 - 强调文字颜色 12"/>
    <w:basedOn w:val="1"/>
    <w:qFormat/>
    <w:uiPriority w:val="0"/>
    <w:pPr>
      <w:adjustRightInd/>
      <w:ind w:firstLine="420" w:firstLineChars="200"/>
    </w:pPr>
    <w:rPr>
      <w:rFonts w:ascii="Calibri" w:hAnsi="Calibri"/>
      <w:szCs w:val="22"/>
    </w:rPr>
  </w:style>
  <w:style w:type="paragraph" w:customStyle="1" w:styleId="493">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4">
    <w:name w:val="Char2"/>
    <w:basedOn w:val="1"/>
    <w:qFormat/>
    <w:uiPriority w:val="0"/>
    <w:rPr>
      <w:rFonts w:ascii="仿宋_GB2312" w:eastAsia="仿宋_GB2312"/>
      <w:b/>
      <w:sz w:val="32"/>
      <w:szCs w:val="32"/>
    </w:rPr>
  </w:style>
  <w:style w:type="paragraph" w:customStyle="1" w:styleId="495">
    <w:name w:val="数字标题3"/>
    <w:basedOn w:val="5"/>
    <w:next w:val="1"/>
    <w:qFormat/>
    <w:uiPriority w:val="0"/>
    <w:pPr>
      <w:spacing w:line="240" w:lineRule="auto"/>
    </w:pPr>
    <w:rPr>
      <w:sz w:val="28"/>
      <w:szCs w:val="28"/>
    </w:rPr>
  </w:style>
  <w:style w:type="paragraph" w:customStyle="1" w:styleId="496">
    <w:name w:val="FA正文"/>
    <w:basedOn w:val="1"/>
    <w:qFormat/>
    <w:uiPriority w:val="0"/>
    <w:pPr>
      <w:spacing w:line="360" w:lineRule="auto"/>
      <w:ind w:firstLine="480" w:firstLineChars="200"/>
    </w:pPr>
    <w:rPr>
      <w:rFonts w:hAnsi="宋体"/>
      <w:sz w:val="24"/>
      <w:szCs w:val="20"/>
    </w:rPr>
  </w:style>
  <w:style w:type="paragraph" w:customStyle="1" w:styleId="497">
    <w:name w:val="MM Topic 5"/>
    <w:basedOn w:val="8"/>
    <w:qFormat/>
    <w:uiPriority w:val="0"/>
    <w:pPr>
      <w:tabs>
        <w:tab w:val="left" w:pos="2520"/>
      </w:tabs>
      <w:adjustRightInd/>
      <w:ind w:left="2520" w:hanging="420"/>
    </w:pPr>
  </w:style>
  <w:style w:type="paragraph" w:customStyle="1" w:styleId="498">
    <w:name w:val="Char Char Char Char Char Char Char Char Char Char1"/>
    <w:basedOn w:val="1"/>
    <w:qFormat/>
    <w:uiPriority w:val="0"/>
    <w:rPr>
      <w:rFonts w:ascii="仿宋_GB2312" w:eastAsia="仿宋_GB2312"/>
      <w:b/>
      <w:sz w:val="32"/>
      <w:szCs w:val="32"/>
    </w:rPr>
  </w:style>
  <w:style w:type="paragraph" w:customStyle="1" w:styleId="499">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0">
    <w:name w:val="修订1"/>
    <w:qFormat/>
    <w:uiPriority w:val="3"/>
    <w:rPr>
      <w:rFonts w:ascii="Times New Roman" w:hAnsi="Times New Roman" w:eastAsia="宋体" w:cs="Times New Roman"/>
      <w:color w:val="000000"/>
      <w:kern w:val="1"/>
      <w:sz w:val="21"/>
      <w:lang w:val="en-US" w:eastAsia="zh-CN" w:bidi="ar-SA"/>
    </w:rPr>
  </w:style>
  <w:style w:type="paragraph" w:customStyle="1" w:styleId="501">
    <w:name w:val="Char2 Char Char Char"/>
    <w:basedOn w:val="1"/>
    <w:qFormat/>
    <w:uiPriority w:val="0"/>
    <w:rPr>
      <w:rFonts w:ascii="仿宋_GB2312" w:eastAsia="仿宋_GB2312"/>
      <w:b/>
      <w:sz w:val="32"/>
      <w:szCs w:val="32"/>
    </w:rPr>
  </w:style>
  <w:style w:type="paragraph" w:customStyle="1" w:styleId="502">
    <w:name w:val="Char2 Char Char Char1"/>
    <w:basedOn w:val="1"/>
    <w:qFormat/>
    <w:uiPriority w:val="6"/>
    <w:rPr>
      <w:rFonts w:ascii="仿宋_GB2312" w:eastAsia="仿宋_GB2312"/>
      <w:b/>
      <w:sz w:val="32"/>
      <w:szCs w:val="32"/>
    </w:rPr>
  </w:style>
  <w:style w:type="paragraph" w:customStyle="1" w:styleId="503">
    <w:name w:val="默认段落样式"/>
    <w:basedOn w:val="131"/>
    <w:qFormat/>
    <w:uiPriority w:val="0"/>
    <w:pPr>
      <w:spacing w:before="0"/>
      <w:ind w:firstLine="480"/>
      <w:outlineLvl w:val="2"/>
    </w:pPr>
    <w:rPr>
      <w:rFonts w:ascii="仿宋_GB2312" w:hAnsi="宋体" w:eastAsia="仿宋_GB2312"/>
      <w:color w:val="000000"/>
      <w:szCs w:val="24"/>
    </w:rPr>
  </w:style>
  <w:style w:type="paragraph" w:customStyle="1" w:styleId="504">
    <w:name w:val="图中文字"/>
    <w:basedOn w:val="1"/>
    <w:qFormat/>
    <w:uiPriority w:val="0"/>
    <w:pPr>
      <w:snapToGrid w:val="0"/>
      <w:spacing w:line="0" w:lineRule="atLeast"/>
      <w:ind w:firstLine="200" w:firstLineChars="200"/>
      <w:jc w:val="center"/>
    </w:pPr>
    <w:rPr>
      <w:sz w:val="24"/>
      <w:szCs w:val="20"/>
    </w:rPr>
  </w:style>
  <w:style w:type="paragraph" w:customStyle="1" w:styleId="505">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6">
    <w:name w:val="MM Topic 3"/>
    <w:basedOn w:val="5"/>
    <w:qFormat/>
    <w:uiPriority w:val="0"/>
    <w:pPr>
      <w:tabs>
        <w:tab w:val="left" w:pos="1680"/>
      </w:tabs>
      <w:adjustRightInd/>
      <w:ind w:left="1680" w:hanging="420"/>
    </w:pPr>
  </w:style>
  <w:style w:type="paragraph" w:customStyle="1" w:styleId="507">
    <w:name w:val="标准小四"/>
    <w:basedOn w:val="1"/>
    <w:qFormat/>
    <w:uiPriority w:val="0"/>
    <w:pPr>
      <w:spacing w:line="360" w:lineRule="auto"/>
      <w:ind w:firstLine="480" w:firstLineChars="200"/>
    </w:pPr>
    <w:rPr>
      <w:rFonts w:ascii="Arial" w:hAnsi="Arial"/>
      <w:sz w:val="24"/>
      <w:szCs w:val="21"/>
    </w:rPr>
  </w:style>
  <w:style w:type="paragraph" w:customStyle="1" w:styleId="508">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09">
    <w:name w:val="表格（小）"/>
    <w:basedOn w:val="1"/>
    <w:qFormat/>
    <w:uiPriority w:val="0"/>
    <w:pPr>
      <w:adjustRightInd/>
      <w:snapToGrid w:val="0"/>
      <w:spacing w:line="300" w:lineRule="auto"/>
    </w:pPr>
    <w:rPr>
      <w:rFonts w:eastAsia="仿宋"/>
      <w:szCs w:val="21"/>
    </w:rPr>
  </w:style>
  <w:style w:type="paragraph" w:customStyle="1" w:styleId="510">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1">
    <w:name w:val="Char2 Char Char1"/>
    <w:basedOn w:val="1"/>
    <w:qFormat/>
    <w:uiPriority w:val="6"/>
    <w:pPr>
      <w:adjustRightInd/>
    </w:pPr>
    <w:rPr>
      <w:rFonts w:ascii="Tahoma" w:hAnsi="Tahoma"/>
      <w:sz w:val="24"/>
      <w:szCs w:val="20"/>
    </w:rPr>
  </w:style>
  <w:style w:type="paragraph" w:customStyle="1" w:styleId="512">
    <w:name w:val="列出段落5"/>
    <w:basedOn w:val="1"/>
    <w:qFormat/>
    <w:uiPriority w:val="0"/>
    <w:pPr>
      <w:spacing w:line="360" w:lineRule="auto"/>
      <w:ind w:firstLine="200" w:firstLineChars="200"/>
    </w:pPr>
    <w:rPr>
      <w:rFonts w:eastAsia="楷体_GB2312" w:cs="Lucida Sans"/>
      <w:sz w:val="24"/>
    </w:rPr>
  </w:style>
  <w:style w:type="paragraph" w:customStyle="1" w:styleId="513">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4">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5">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6">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7">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8">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9">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0">
    <w:name w:val="_Style 3"/>
    <w:basedOn w:val="1"/>
    <w:qFormat/>
    <w:uiPriority w:val="0"/>
    <w:pPr>
      <w:adjustRightInd/>
      <w:ind w:firstLine="420" w:firstLineChars="200"/>
    </w:pPr>
    <w:rPr>
      <w:rFonts w:eastAsia="仿宋_GB2312"/>
      <w:sz w:val="28"/>
    </w:rPr>
  </w:style>
  <w:style w:type="paragraph" w:customStyle="1" w:styleId="521">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2">
    <w:name w:val="Bulleting First Indent 1"/>
    <w:basedOn w:val="25"/>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3">
    <w:name w:val="左对齐表格文字"/>
    <w:basedOn w:val="1"/>
    <w:qFormat/>
    <w:uiPriority w:val="0"/>
    <w:pPr>
      <w:adjustRightInd/>
      <w:ind w:firstLine="200" w:firstLineChars="200"/>
      <w:jc w:val="right"/>
    </w:pPr>
  </w:style>
  <w:style w:type="paragraph" w:customStyle="1" w:styleId="524">
    <w:name w:val="Char Char11 Char Char Char Char Char Char Char Char Char"/>
    <w:basedOn w:val="1"/>
    <w:qFormat/>
    <w:uiPriority w:val="0"/>
    <w:pPr>
      <w:spacing w:line="360" w:lineRule="auto"/>
    </w:pPr>
    <w:rPr>
      <w:szCs w:val="20"/>
    </w:rPr>
  </w:style>
  <w:style w:type="paragraph" w:customStyle="1" w:styleId="525">
    <w:name w:val="正文1.25"/>
    <w:basedOn w:val="1"/>
    <w:qFormat/>
    <w:uiPriority w:val="0"/>
    <w:pPr>
      <w:adjustRightInd/>
      <w:spacing w:line="300" w:lineRule="auto"/>
      <w:ind w:firstLine="480" w:firstLineChars="200"/>
    </w:pPr>
    <w:rPr>
      <w:sz w:val="24"/>
      <w:szCs w:val="20"/>
    </w:rPr>
  </w:style>
  <w:style w:type="paragraph" w:customStyle="1" w:styleId="526">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7">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8">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9">
    <w:name w:val="Char Char1 Char Char Char1"/>
    <w:basedOn w:val="1"/>
    <w:qFormat/>
    <w:uiPriority w:val="6"/>
    <w:rPr>
      <w:rFonts w:ascii="仿宋_GB2312" w:eastAsia="仿宋_GB2312"/>
      <w:b/>
      <w:sz w:val="32"/>
      <w:szCs w:val="20"/>
    </w:rPr>
  </w:style>
  <w:style w:type="paragraph" w:customStyle="1" w:styleId="530">
    <w:name w:val="列出段落2"/>
    <w:basedOn w:val="1"/>
    <w:qFormat/>
    <w:uiPriority w:val="0"/>
    <w:pPr>
      <w:adjustRightInd/>
      <w:ind w:firstLine="420" w:firstLineChars="200"/>
    </w:pPr>
    <w:rPr>
      <w:rFonts w:ascii="宋体" w:hAnsi="宋体"/>
      <w:sz w:val="24"/>
    </w:rPr>
  </w:style>
  <w:style w:type="paragraph" w:customStyle="1" w:styleId="531">
    <w:name w:val="默认段落字体 Para Char Char Char Char Char Char Char"/>
    <w:basedOn w:val="1"/>
    <w:qFormat/>
    <w:uiPriority w:val="0"/>
    <w:rPr>
      <w:rFonts w:eastAsia="仿宋_GB2312"/>
      <w:sz w:val="28"/>
      <w:szCs w:val="20"/>
    </w:rPr>
  </w:style>
  <w:style w:type="paragraph" w:customStyle="1" w:styleId="532">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3">
    <w:name w:val="样式 标题 4PIM 4H4h4bulletblbbH41H42H43H44H45H46H47H48...1"/>
    <w:basedOn w:val="7"/>
    <w:qFormat/>
    <w:uiPriority w:val="0"/>
    <w:pPr>
      <w:widowControl/>
      <w:jc w:val="left"/>
    </w:pPr>
    <w:rPr>
      <w:rFonts w:cs="宋体"/>
      <w:sz w:val="24"/>
      <w:szCs w:val="20"/>
    </w:rPr>
  </w:style>
  <w:style w:type="paragraph" w:customStyle="1" w:styleId="534">
    <w:name w:val="彩色列表 - 强调文字颜色 11"/>
    <w:basedOn w:val="1"/>
    <w:qFormat/>
    <w:uiPriority w:val="0"/>
    <w:pPr>
      <w:adjustRightInd/>
      <w:ind w:firstLine="420" w:firstLineChars="200"/>
    </w:pPr>
    <w:rPr>
      <w:rFonts w:ascii="Calibri" w:hAnsi="Calibri"/>
      <w:szCs w:val="22"/>
    </w:rPr>
  </w:style>
  <w:style w:type="paragraph" w:customStyle="1" w:styleId="535">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6">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7">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8">
    <w:name w:val="Char Char Char1 Char1"/>
    <w:basedOn w:val="1"/>
    <w:qFormat/>
    <w:uiPriority w:val="6"/>
    <w:rPr>
      <w:szCs w:val="20"/>
    </w:rPr>
  </w:style>
  <w:style w:type="paragraph" w:customStyle="1" w:styleId="539">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0">
    <w:name w:val="样式 标题 2 + 宋体 左侧:  1.76 厘米 首行缩进:  0 厘米"/>
    <w:basedOn w:val="4"/>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1">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2">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3">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4">
    <w:name w:val="CM14"/>
    <w:basedOn w:val="2"/>
    <w:next w:val="2"/>
    <w:qFormat/>
    <w:uiPriority w:val="0"/>
    <w:pPr>
      <w:spacing w:after="68"/>
    </w:pPr>
    <w:rPr>
      <w:rFonts w:ascii="FHLHE E+ Futura Bk" w:eastAsia="FHLHE E+ Futura Bk" w:cs="Times New Roman"/>
      <w:color w:val="auto"/>
    </w:rPr>
  </w:style>
  <w:style w:type="paragraph" w:customStyle="1" w:styleId="545">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6">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7">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8">
    <w:name w:val="正文文字 2"/>
    <w:basedOn w:val="2"/>
    <w:next w:val="2"/>
    <w:qFormat/>
    <w:uiPriority w:val="0"/>
    <w:rPr>
      <w:rFonts w:ascii="宋体" w:eastAsia="宋体" w:cs="Times New Roman"/>
      <w:color w:val="auto"/>
    </w:rPr>
  </w:style>
  <w:style w:type="paragraph" w:customStyle="1" w:styleId="549">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0">
    <w:name w:val="Char Char1 Char"/>
    <w:basedOn w:val="1"/>
    <w:qFormat/>
    <w:uiPriority w:val="0"/>
    <w:rPr>
      <w:rFonts w:ascii="仿宋_GB2312" w:eastAsia="仿宋_GB2312"/>
      <w:b/>
      <w:sz w:val="32"/>
      <w:szCs w:val="32"/>
    </w:rPr>
  </w:style>
  <w:style w:type="paragraph" w:customStyle="1" w:styleId="551">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2">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3">
    <w:name w:val="Char Char111"/>
    <w:basedOn w:val="1"/>
    <w:qFormat/>
    <w:uiPriority w:val="0"/>
    <w:pPr>
      <w:spacing w:line="360" w:lineRule="auto"/>
    </w:pPr>
    <w:rPr>
      <w:szCs w:val="20"/>
    </w:rPr>
  </w:style>
  <w:style w:type="paragraph" w:customStyle="1" w:styleId="554">
    <w:name w:val="Char"/>
    <w:basedOn w:val="1"/>
    <w:qFormat/>
    <w:uiPriority w:val="0"/>
    <w:rPr>
      <w:rFonts w:ascii="仿宋_GB2312" w:eastAsia="仿宋_GB2312"/>
      <w:b/>
      <w:sz w:val="32"/>
      <w:szCs w:val="32"/>
    </w:rPr>
  </w:style>
  <w:style w:type="paragraph" w:customStyle="1" w:styleId="555">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6">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7">
    <w:name w:val="Char Char Char1 Char"/>
    <w:basedOn w:val="1"/>
    <w:qFormat/>
    <w:uiPriority w:val="0"/>
    <w:rPr>
      <w:szCs w:val="20"/>
    </w:rPr>
  </w:style>
  <w:style w:type="paragraph" w:customStyle="1" w:styleId="558">
    <w:name w:val="正文标准"/>
    <w:basedOn w:val="1"/>
    <w:qFormat/>
    <w:uiPriority w:val="0"/>
    <w:pPr>
      <w:adjustRightInd/>
      <w:spacing w:line="360" w:lineRule="auto"/>
      <w:ind w:firstLine="200" w:firstLineChars="200"/>
    </w:pPr>
    <w:rPr>
      <w:rFonts w:ascii="宋体" w:hAnsi="Calibri"/>
      <w:sz w:val="24"/>
    </w:rPr>
  </w:style>
  <w:style w:type="paragraph" w:customStyle="1" w:styleId="559">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0">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1">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2">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3">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4">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5">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6">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7">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8">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0">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1">
    <w:name w:val="Char Char Char Char Char Char Char Char Char Char"/>
    <w:basedOn w:val="1"/>
    <w:qFormat/>
    <w:uiPriority w:val="0"/>
    <w:rPr>
      <w:rFonts w:ascii="仿宋_GB2312" w:eastAsia="仿宋_GB2312"/>
      <w:b/>
      <w:sz w:val="32"/>
      <w:szCs w:val="32"/>
    </w:rPr>
  </w:style>
  <w:style w:type="paragraph" w:customStyle="1" w:styleId="572">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3">
    <w:name w:val="_正文段落"/>
    <w:basedOn w:val="1"/>
    <w:qFormat/>
    <w:uiPriority w:val="0"/>
    <w:pPr>
      <w:adjustRightInd/>
      <w:ind w:firstLine="560"/>
    </w:pPr>
    <w:rPr>
      <w:rFonts w:ascii="仿宋_GB2312" w:hAnsi="仿宋" w:eastAsia="仿宋_GB2312"/>
      <w:kern w:val="0"/>
      <w:sz w:val="28"/>
      <w:szCs w:val="28"/>
    </w:rPr>
  </w:style>
  <w:style w:type="paragraph" w:customStyle="1" w:styleId="574">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5">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6">
    <w:name w:val="正文（首行缩进）"/>
    <w:basedOn w:val="26"/>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7">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8">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9">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0">
    <w:name w:val="Char Char Char1 Char2"/>
    <w:basedOn w:val="1"/>
    <w:qFormat/>
    <w:uiPriority w:val="0"/>
    <w:rPr>
      <w:szCs w:val="20"/>
    </w:rPr>
  </w:style>
  <w:style w:type="paragraph" w:customStyle="1" w:styleId="58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2">
    <w:name w:val="默认段落字体 Para Char"/>
    <w:basedOn w:val="1"/>
    <w:qFormat/>
    <w:uiPriority w:val="0"/>
    <w:rPr>
      <w:rFonts w:ascii="Tahoma" w:hAnsi="Tahoma"/>
      <w:sz w:val="24"/>
      <w:szCs w:val="20"/>
    </w:rPr>
  </w:style>
  <w:style w:type="paragraph" w:customStyle="1" w:styleId="583">
    <w:name w:val="标题五"/>
    <w:basedOn w:val="1"/>
    <w:qFormat/>
    <w:uiPriority w:val="0"/>
    <w:pPr>
      <w:adjustRightInd/>
      <w:spacing w:before="156" w:beforeLines="50" w:line="360" w:lineRule="auto"/>
    </w:pPr>
    <w:rPr>
      <w:b/>
      <w:sz w:val="24"/>
    </w:rPr>
  </w:style>
  <w:style w:type="paragraph" w:customStyle="1" w:styleId="584">
    <w:name w:val="Char Char1101"/>
    <w:basedOn w:val="1"/>
    <w:qFormat/>
    <w:uiPriority w:val="0"/>
    <w:pPr>
      <w:spacing w:line="360" w:lineRule="auto"/>
    </w:pPr>
    <w:rPr>
      <w:rFonts w:ascii="Tahoma" w:hAnsi="Tahoma"/>
      <w:sz w:val="24"/>
      <w:szCs w:val="20"/>
    </w:rPr>
  </w:style>
  <w:style w:type="paragraph" w:customStyle="1" w:styleId="585">
    <w:name w:val="Char Char Char Char Char Char Char Char1"/>
    <w:basedOn w:val="1"/>
    <w:qFormat/>
    <w:uiPriority w:val="0"/>
    <w:pPr>
      <w:tabs>
        <w:tab w:val="left" w:pos="360"/>
      </w:tabs>
    </w:pPr>
    <w:rPr>
      <w:sz w:val="24"/>
      <w:szCs w:val="20"/>
    </w:rPr>
  </w:style>
  <w:style w:type="paragraph" w:customStyle="1" w:styleId="586">
    <w:name w:val="Char Char Char 字元 字元"/>
    <w:basedOn w:val="1"/>
    <w:qFormat/>
    <w:uiPriority w:val="0"/>
    <w:pPr>
      <w:adjustRightInd/>
      <w:spacing w:line="360" w:lineRule="auto"/>
      <w:ind w:firstLine="200" w:firstLineChars="200"/>
    </w:pPr>
    <w:rPr>
      <w:szCs w:val="20"/>
    </w:rPr>
  </w:style>
  <w:style w:type="paragraph" w:customStyle="1" w:styleId="587">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8">
    <w:name w:val="Char Char Char Char Char Char Char"/>
    <w:basedOn w:val="1"/>
    <w:qFormat/>
    <w:uiPriority w:val="0"/>
    <w:rPr>
      <w:rFonts w:ascii="仿宋_GB2312" w:eastAsia="仿宋_GB2312"/>
      <w:b/>
      <w:sz w:val="32"/>
      <w:szCs w:val="32"/>
    </w:rPr>
  </w:style>
  <w:style w:type="paragraph" w:customStyle="1" w:styleId="589">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0">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1">
    <w:name w:val="样式 标题 22h2L1 Heading 2H2sect 1.2H21sect 1.21H22sect 1.2..."/>
    <w:basedOn w:val="4"/>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2">
    <w:name w:val="样式6"/>
    <w:basedOn w:val="34"/>
    <w:qFormat/>
    <w:uiPriority w:val="0"/>
    <w:pPr>
      <w:spacing w:line="460" w:lineRule="exact"/>
      <w:outlineLvl w:val="2"/>
    </w:pPr>
    <w:rPr>
      <w:rFonts w:ascii="仿宋_GB2312" w:hAnsi="宋体" w:eastAsia="仿宋_GB2312"/>
      <w:b/>
      <w:bCs/>
      <w:sz w:val="24"/>
      <w:szCs w:val="24"/>
    </w:rPr>
  </w:style>
  <w:style w:type="paragraph" w:customStyle="1" w:styleId="593">
    <w:name w:val="批注框文本 Char Char"/>
    <w:basedOn w:val="1"/>
    <w:qFormat/>
    <w:uiPriority w:val="0"/>
    <w:pPr>
      <w:adjustRightInd/>
    </w:pPr>
    <w:rPr>
      <w:sz w:val="18"/>
      <w:szCs w:val="20"/>
    </w:rPr>
  </w:style>
  <w:style w:type="paragraph" w:customStyle="1" w:styleId="594">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6">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7">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8">
    <w:name w:val="索引 11"/>
    <w:basedOn w:val="1"/>
    <w:next w:val="1"/>
    <w:qFormat/>
    <w:uiPriority w:val="99"/>
    <w:pPr>
      <w:adjustRightInd/>
      <w:spacing w:line="360" w:lineRule="auto"/>
    </w:pPr>
    <w:rPr>
      <w:rFonts w:ascii="仿宋_GB2312" w:eastAsia="仿宋_GB2312"/>
      <w:sz w:val="24"/>
      <w:szCs w:val="20"/>
    </w:rPr>
  </w:style>
  <w:style w:type="paragraph" w:customStyle="1" w:styleId="599">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0">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1">
    <w:name w:val="正文文字缩进项目"/>
    <w:basedOn w:val="2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2">
    <w:name w:val="文档正文"/>
    <w:basedOn w:val="1"/>
    <w:qFormat/>
    <w:uiPriority w:val="0"/>
    <w:pPr>
      <w:spacing w:line="480" w:lineRule="atLeast"/>
      <w:ind w:firstLine="567"/>
      <w:textAlignment w:val="baseline"/>
    </w:pPr>
    <w:rPr>
      <w:kern w:val="0"/>
      <w:sz w:val="24"/>
      <w:szCs w:val="20"/>
    </w:rPr>
  </w:style>
  <w:style w:type="paragraph" w:customStyle="1" w:styleId="603">
    <w:name w:val="正文文字表格居中"/>
    <w:basedOn w:val="1"/>
    <w:next w:val="58"/>
    <w:qFormat/>
    <w:uiPriority w:val="0"/>
    <w:pPr>
      <w:snapToGrid w:val="0"/>
      <w:spacing w:line="360" w:lineRule="auto"/>
    </w:pPr>
    <w:rPr>
      <w:rFonts w:ascii="宋体"/>
      <w:b/>
      <w:sz w:val="24"/>
      <w:szCs w:val="20"/>
    </w:rPr>
  </w:style>
  <w:style w:type="paragraph" w:customStyle="1" w:styleId="604">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5">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6">
    <w:name w:val="Plain Text1"/>
    <w:basedOn w:val="1"/>
    <w:qFormat/>
    <w:uiPriority w:val="7"/>
    <w:pPr>
      <w:adjustRightInd/>
    </w:pPr>
    <w:rPr>
      <w:rFonts w:ascii="宋体" w:hAnsi="Courier New"/>
    </w:rPr>
  </w:style>
  <w:style w:type="paragraph" w:customStyle="1" w:styleId="607">
    <w:name w:val="Char3"/>
    <w:basedOn w:val="1"/>
    <w:qFormat/>
    <w:uiPriority w:val="0"/>
    <w:pPr>
      <w:adjustRightInd/>
    </w:pPr>
    <w:rPr>
      <w:rFonts w:ascii="仿宋_GB2312" w:eastAsia="仿宋_GB2312"/>
      <w:b/>
      <w:sz w:val="32"/>
      <w:szCs w:val="32"/>
    </w:rPr>
  </w:style>
  <w:style w:type="paragraph" w:customStyle="1" w:styleId="608">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9">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0">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1">
    <w:name w:val="List Paragraph1"/>
    <w:basedOn w:val="1"/>
    <w:qFormat/>
    <w:uiPriority w:val="0"/>
    <w:pPr>
      <w:spacing w:line="360" w:lineRule="auto"/>
      <w:ind w:firstLine="200" w:firstLineChars="200"/>
    </w:pPr>
    <w:rPr>
      <w:rFonts w:eastAsia="楷体_GB2312" w:cs="Lucida Sans"/>
      <w:sz w:val="24"/>
    </w:rPr>
  </w:style>
  <w:style w:type="paragraph" w:customStyle="1" w:styleId="612">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3">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4">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5">
    <w:name w:val="Char3 Char Char Char"/>
    <w:basedOn w:val="1"/>
    <w:qFormat/>
    <w:uiPriority w:val="0"/>
    <w:pPr>
      <w:widowControl/>
      <w:adjustRightInd/>
      <w:spacing w:after="160" w:line="240" w:lineRule="exact"/>
      <w:jc w:val="left"/>
    </w:pPr>
    <w:rPr>
      <w:szCs w:val="20"/>
    </w:rPr>
  </w:style>
  <w:style w:type="paragraph" w:customStyle="1" w:styleId="616">
    <w:name w:val="表格标题2"/>
    <w:basedOn w:val="617"/>
    <w:qFormat/>
    <w:uiPriority w:val="0"/>
    <w:rPr>
      <w:b/>
    </w:rPr>
  </w:style>
  <w:style w:type="paragraph" w:customStyle="1" w:styleId="617">
    <w:name w:val="表格内文"/>
    <w:basedOn w:val="1"/>
    <w:qFormat/>
    <w:uiPriority w:val="0"/>
    <w:pPr>
      <w:adjustRightInd/>
      <w:spacing w:line="360" w:lineRule="auto"/>
    </w:pPr>
    <w:rPr>
      <w:rFonts w:ascii="宋体" w:hAnsi="宋体" w:cs="宋体"/>
      <w:color w:val="000000"/>
      <w:szCs w:val="20"/>
    </w:rPr>
  </w:style>
  <w:style w:type="paragraph" w:customStyle="1" w:styleId="618">
    <w:name w:val="Char Char Char Char Char Char Char Char Char Char2"/>
    <w:basedOn w:val="1"/>
    <w:qFormat/>
    <w:uiPriority w:val="0"/>
    <w:rPr>
      <w:rFonts w:ascii="仿宋_GB2312" w:eastAsia="仿宋_GB2312"/>
      <w:b/>
      <w:sz w:val="32"/>
      <w:szCs w:val="32"/>
    </w:rPr>
  </w:style>
  <w:style w:type="paragraph" w:customStyle="1" w:styleId="619">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0">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1">
    <w:name w:val="Char Char11 Char Char Char Char Char Char Char Char Char11"/>
    <w:basedOn w:val="1"/>
    <w:qFormat/>
    <w:uiPriority w:val="0"/>
    <w:pPr>
      <w:spacing w:line="360" w:lineRule="auto"/>
    </w:pPr>
    <w:rPr>
      <w:szCs w:val="20"/>
    </w:rPr>
  </w:style>
  <w:style w:type="paragraph" w:customStyle="1" w:styleId="622">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3">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4">
    <w:name w:val="MM Topic 1"/>
    <w:basedOn w:val="3"/>
    <w:qFormat/>
    <w:uiPriority w:val="0"/>
    <w:pPr>
      <w:tabs>
        <w:tab w:val="left" w:pos="840"/>
      </w:tabs>
      <w:adjustRightInd/>
      <w:ind w:left="840" w:hanging="420"/>
    </w:pPr>
  </w:style>
  <w:style w:type="paragraph" w:customStyle="1" w:styleId="625">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6">
    <w:name w:val="文本正文 Char"/>
    <w:basedOn w:val="1"/>
    <w:qFormat/>
    <w:uiPriority w:val="0"/>
    <w:pPr>
      <w:spacing w:line="360" w:lineRule="auto"/>
      <w:ind w:firstLine="200" w:firstLineChars="200"/>
    </w:pPr>
    <w:rPr>
      <w:kern w:val="0"/>
      <w:sz w:val="24"/>
      <w:szCs w:val="20"/>
    </w:rPr>
  </w:style>
  <w:style w:type="paragraph" w:customStyle="1" w:styleId="627">
    <w:name w:val="表格"/>
    <w:basedOn w:val="1"/>
    <w:qFormat/>
    <w:uiPriority w:val="0"/>
    <w:pPr>
      <w:snapToGrid w:val="0"/>
      <w:ind w:firstLine="42" w:firstLineChars="21"/>
    </w:pPr>
    <w:rPr>
      <w:rFonts w:ascii="宋体" w:hAnsi="宋体"/>
      <w:kern w:val="0"/>
      <w:sz w:val="20"/>
      <w:szCs w:val="20"/>
    </w:rPr>
  </w:style>
  <w:style w:type="paragraph" w:customStyle="1" w:styleId="628">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9">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0">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1">
    <w:name w:val="表格项目符号 2"/>
    <w:basedOn w:val="30"/>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2">
    <w:name w:val="EB_表格"/>
    <w:basedOn w:val="1"/>
    <w:qFormat/>
    <w:uiPriority w:val="0"/>
    <w:pPr>
      <w:adjustRightInd/>
      <w:spacing w:line="300" w:lineRule="auto"/>
      <w:jc w:val="center"/>
    </w:pPr>
  </w:style>
  <w:style w:type="paragraph" w:customStyle="1" w:styleId="633">
    <w:name w:val="_Style 6"/>
    <w:basedOn w:val="1"/>
    <w:qFormat/>
    <w:uiPriority w:val="34"/>
    <w:pPr>
      <w:adjustRightInd/>
      <w:ind w:firstLine="420" w:firstLineChars="200"/>
    </w:pPr>
    <w:rPr>
      <w:rFonts w:eastAsia="仿宋_GB2312"/>
      <w:sz w:val="28"/>
    </w:rPr>
  </w:style>
  <w:style w:type="paragraph" w:customStyle="1" w:styleId="634">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5">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6">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7">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8">
    <w:name w:val="正文表标题"/>
    <w:next w:val="63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0">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1">
    <w:name w:val="trademark"/>
    <w:qFormat/>
    <w:uiPriority w:val="0"/>
    <w:pPr>
      <w:spacing w:after="60"/>
    </w:pPr>
    <w:rPr>
      <w:rFonts w:ascii="Futura Bk" w:hAnsi="Futura Bk" w:eastAsia="宋体" w:cs="Times New Roman"/>
      <w:sz w:val="15"/>
      <w:lang w:val="en-US" w:eastAsia="en-US" w:bidi="ar-SA"/>
    </w:rPr>
  </w:style>
  <w:style w:type="paragraph" w:customStyle="1" w:styleId="642">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3">
    <w:name w:val="Char Char1 Char Char Char Char Char Char1"/>
    <w:basedOn w:val="1"/>
    <w:qFormat/>
    <w:uiPriority w:val="0"/>
    <w:rPr>
      <w:rFonts w:ascii="仿宋_GB2312" w:eastAsia="仿宋_GB2312"/>
      <w:b/>
      <w:sz w:val="32"/>
      <w:szCs w:val="20"/>
    </w:rPr>
  </w:style>
  <w:style w:type="paragraph" w:customStyle="1" w:styleId="644">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5">
    <w:name w:val="Char1 Char Char Char1"/>
    <w:basedOn w:val="1"/>
    <w:qFormat/>
    <w:uiPriority w:val="0"/>
    <w:pPr>
      <w:adjustRightInd/>
      <w:ind w:firstLine="200" w:firstLineChars="200"/>
    </w:pPr>
    <w:rPr>
      <w:rFonts w:ascii="Tahoma" w:hAnsi="Tahoma"/>
      <w:sz w:val="24"/>
      <w:szCs w:val="20"/>
    </w:rPr>
  </w:style>
  <w:style w:type="paragraph" w:customStyle="1" w:styleId="646">
    <w:name w:val="a1"/>
    <w:basedOn w:val="1"/>
    <w:qFormat/>
    <w:uiPriority w:val="0"/>
    <w:pPr>
      <w:widowControl/>
      <w:spacing w:line="300" w:lineRule="atLeast"/>
      <w:jc w:val="left"/>
    </w:pPr>
    <w:rPr>
      <w:rFonts w:ascii="宋体" w:hAnsi="宋体"/>
      <w:kern w:val="0"/>
      <w:sz w:val="18"/>
      <w:szCs w:val="20"/>
    </w:rPr>
  </w:style>
  <w:style w:type="paragraph" w:customStyle="1" w:styleId="647">
    <w:name w:val="样式7"/>
    <w:basedOn w:val="648"/>
    <w:next w:val="1"/>
    <w:qFormat/>
    <w:uiPriority w:val="0"/>
    <w:pPr>
      <w:spacing w:after="156" w:afterLines="50"/>
      <w:jc w:val="left"/>
      <w:outlineLvl w:val="3"/>
    </w:pPr>
    <w:rPr>
      <w:sz w:val="24"/>
      <w:szCs w:val="24"/>
    </w:rPr>
  </w:style>
  <w:style w:type="paragraph" w:customStyle="1" w:styleId="648">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9">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0">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1">
    <w:name w:val="样式 样式2 + 左侧:  1 字符 右侧:  1 字符"/>
    <w:basedOn w:val="459"/>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2">
    <w:name w:val="Char2 Char Char2"/>
    <w:basedOn w:val="1"/>
    <w:qFormat/>
    <w:uiPriority w:val="0"/>
    <w:pPr>
      <w:adjustRightInd/>
    </w:pPr>
    <w:rPr>
      <w:rFonts w:ascii="Tahoma" w:hAnsi="Tahoma"/>
      <w:sz w:val="24"/>
      <w:szCs w:val="20"/>
    </w:rPr>
  </w:style>
  <w:style w:type="paragraph" w:customStyle="1" w:styleId="653">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4">
    <w:name w:val="三级条标题"/>
    <w:basedOn w:val="655"/>
    <w:next w:val="639"/>
    <w:qFormat/>
    <w:uiPriority w:val="0"/>
    <w:pPr>
      <w:tabs>
        <w:tab w:val="left" w:pos="1260"/>
        <w:tab w:val="left" w:pos="1680"/>
        <w:tab w:val="left" w:pos="2100"/>
        <w:tab w:val="left" w:pos="2520"/>
      </w:tabs>
      <w:ind w:left="2520"/>
      <w:outlineLvl w:val="4"/>
    </w:pPr>
  </w:style>
  <w:style w:type="paragraph" w:customStyle="1" w:styleId="655">
    <w:name w:val="二级条标题"/>
    <w:basedOn w:val="656"/>
    <w:next w:val="639"/>
    <w:qFormat/>
    <w:uiPriority w:val="0"/>
    <w:pPr>
      <w:tabs>
        <w:tab w:val="left" w:pos="1260"/>
        <w:tab w:val="left" w:pos="1680"/>
        <w:tab w:val="left" w:pos="2100"/>
      </w:tabs>
      <w:ind w:left="0"/>
      <w:outlineLvl w:val="3"/>
    </w:pPr>
  </w:style>
  <w:style w:type="paragraph" w:customStyle="1" w:styleId="656">
    <w:name w:val="一级条标题"/>
    <w:basedOn w:val="657"/>
    <w:next w:val="639"/>
    <w:qFormat/>
    <w:uiPriority w:val="0"/>
    <w:pPr>
      <w:tabs>
        <w:tab w:val="left" w:pos="1260"/>
        <w:tab w:val="left" w:pos="1680"/>
      </w:tabs>
      <w:spacing w:before="0" w:after="0"/>
      <w:ind w:left="1680"/>
      <w:outlineLvl w:val="2"/>
    </w:pPr>
  </w:style>
  <w:style w:type="paragraph" w:customStyle="1" w:styleId="657">
    <w:name w:val="章标题"/>
    <w:next w:val="639"/>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8">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5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0">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1">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2">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3">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4">
    <w:name w:val="正文 项目2"/>
    <w:basedOn w:val="665"/>
    <w:qFormat/>
    <w:uiPriority w:val="0"/>
    <w:pPr>
      <w:tabs>
        <w:tab w:val="left" w:pos="840"/>
      </w:tabs>
      <w:spacing w:after="0"/>
      <w:ind w:left="900"/>
    </w:pPr>
  </w:style>
  <w:style w:type="paragraph" w:customStyle="1" w:styleId="665">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6">
    <w:name w:val="Body Text 2*"/>
    <w:basedOn w:val="1"/>
    <w:qFormat/>
    <w:uiPriority w:val="6"/>
    <w:pPr>
      <w:widowControl/>
      <w:adjustRightInd/>
      <w:ind w:left="720" w:hanging="720"/>
    </w:pPr>
    <w:rPr>
      <w:color w:val="000000"/>
      <w:kern w:val="0"/>
      <w:sz w:val="24"/>
      <w:szCs w:val="20"/>
      <w:lang w:val="en-GB"/>
    </w:rPr>
  </w:style>
  <w:style w:type="paragraph" w:customStyle="1" w:styleId="667">
    <w:name w:val="表1"/>
    <w:basedOn w:val="1"/>
    <w:qFormat/>
    <w:uiPriority w:val="0"/>
    <w:pPr>
      <w:tabs>
        <w:tab w:val="left" w:pos="703"/>
      </w:tabs>
      <w:adjustRightInd/>
      <w:spacing w:line="360" w:lineRule="auto"/>
      <w:ind w:left="703"/>
      <w:jc w:val="center"/>
    </w:pPr>
  </w:style>
  <w:style w:type="paragraph" w:customStyle="1" w:styleId="668">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9">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0">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1">
    <w:name w:val="2级标题"/>
    <w:basedOn w:val="672"/>
    <w:qFormat/>
    <w:uiPriority w:val="0"/>
    <w:pPr>
      <w:jc w:val="left"/>
      <w:outlineLvl w:val="1"/>
    </w:pPr>
    <w:rPr>
      <w:rFonts w:ascii="Times New Roman" w:hAnsi="Times New Roman" w:eastAsia="仿宋"/>
      <w:sz w:val="30"/>
    </w:rPr>
  </w:style>
  <w:style w:type="paragraph" w:customStyle="1" w:styleId="672">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3">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4">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5">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6">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7">
    <w:name w:val="bullet"/>
    <w:basedOn w:val="1"/>
    <w:qFormat/>
    <w:uiPriority w:val="0"/>
    <w:pPr>
      <w:tabs>
        <w:tab w:val="left" w:pos="840"/>
      </w:tabs>
      <w:adjustRightInd/>
      <w:ind w:left="840" w:hanging="420"/>
    </w:pPr>
  </w:style>
  <w:style w:type="paragraph" w:customStyle="1" w:styleId="678">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9">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0">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1">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2">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4">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5">
    <w:name w:val="MM Topic 4"/>
    <w:basedOn w:val="7"/>
    <w:qFormat/>
    <w:uiPriority w:val="0"/>
    <w:pPr>
      <w:tabs>
        <w:tab w:val="left" w:pos="2100"/>
      </w:tabs>
      <w:adjustRightInd/>
      <w:ind w:left="2100" w:hanging="420"/>
    </w:pPr>
    <w:rPr>
      <w:lang w:val="en-US"/>
    </w:rPr>
  </w:style>
  <w:style w:type="paragraph" w:customStyle="1" w:styleId="686">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7">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8">
    <w:name w:val="Char Char11 Char Char Char Char Char Char Char Char Char1"/>
    <w:basedOn w:val="1"/>
    <w:qFormat/>
    <w:uiPriority w:val="6"/>
    <w:pPr>
      <w:spacing w:line="360" w:lineRule="auto"/>
    </w:pPr>
    <w:rPr>
      <w:szCs w:val="20"/>
    </w:rPr>
  </w:style>
  <w:style w:type="paragraph" w:customStyle="1" w:styleId="689">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0">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1">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2">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3">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4">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5">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8">
    <w:name w:val="单元格居中"/>
    <w:basedOn w:val="1"/>
    <w:qFormat/>
    <w:uiPriority w:val="0"/>
    <w:pPr>
      <w:adjustRightInd/>
      <w:spacing w:line="360" w:lineRule="auto"/>
      <w:jc w:val="center"/>
    </w:pPr>
    <w:rPr>
      <w:sz w:val="24"/>
    </w:rPr>
  </w:style>
  <w:style w:type="paragraph" w:customStyle="1" w:styleId="699">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0">
    <w:name w:val="Char Char Char Char Char Char Char1"/>
    <w:basedOn w:val="1"/>
    <w:qFormat/>
    <w:uiPriority w:val="6"/>
    <w:rPr>
      <w:rFonts w:ascii="仿宋_GB2312" w:eastAsia="仿宋_GB2312"/>
      <w:b/>
      <w:sz w:val="32"/>
      <w:szCs w:val="32"/>
    </w:rPr>
  </w:style>
  <w:style w:type="paragraph" w:customStyle="1" w:styleId="701">
    <w:name w:val="正文缩进1"/>
    <w:basedOn w:val="1"/>
    <w:next w:val="2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2">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3">
    <w:name w:val="Char3 Char Char Char11"/>
    <w:basedOn w:val="1"/>
    <w:qFormat/>
    <w:uiPriority w:val="0"/>
    <w:pPr>
      <w:widowControl/>
      <w:adjustRightInd/>
      <w:spacing w:after="160" w:line="240" w:lineRule="exact"/>
      <w:jc w:val="left"/>
    </w:pPr>
    <w:rPr>
      <w:szCs w:val="20"/>
    </w:rPr>
  </w:style>
  <w:style w:type="paragraph" w:customStyle="1" w:styleId="704">
    <w:name w:val="Char Char1121"/>
    <w:basedOn w:val="1"/>
    <w:qFormat/>
    <w:uiPriority w:val="0"/>
    <w:pPr>
      <w:spacing w:line="360" w:lineRule="auto"/>
    </w:pPr>
    <w:rPr>
      <w:szCs w:val="20"/>
    </w:rPr>
  </w:style>
  <w:style w:type="paragraph" w:customStyle="1" w:styleId="705">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6">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7">
    <w:name w:val="Normal0"/>
    <w:qFormat/>
    <w:uiPriority w:val="0"/>
    <w:rPr>
      <w:rFonts w:ascii="Times New Roman" w:hAnsi="Times New Roman" w:eastAsia="宋体" w:cs="Times New Roman"/>
      <w:lang w:val="en-US" w:eastAsia="en-US" w:bidi="ar-SA"/>
    </w:rPr>
  </w:style>
  <w:style w:type="paragraph" w:customStyle="1" w:styleId="708">
    <w:name w:val="带编号样式"/>
    <w:basedOn w:val="626"/>
    <w:qFormat/>
    <w:uiPriority w:val="0"/>
    <w:pPr>
      <w:tabs>
        <w:tab w:val="left" w:pos="840"/>
      </w:tabs>
      <w:snapToGrid w:val="0"/>
      <w:ind w:left="840" w:hanging="420" w:firstLineChars="0"/>
    </w:pPr>
    <w:rPr>
      <w:rFonts w:ascii="仿宋_GB2312" w:eastAsia="仿宋_GB2312"/>
      <w:color w:val="000000"/>
    </w:rPr>
  </w:style>
  <w:style w:type="paragraph" w:customStyle="1" w:styleId="709">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0">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1">
    <w:name w:val="封面"/>
    <w:basedOn w:val="1"/>
    <w:qFormat/>
    <w:uiPriority w:val="0"/>
    <w:pPr>
      <w:spacing w:line="360" w:lineRule="atLeast"/>
      <w:jc w:val="right"/>
      <w:textAlignment w:val="baseline"/>
    </w:pPr>
    <w:rPr>
      <w:rFonts w:ascii="Symbol" w:hAnsi="Symbol"/>
      <w:kern w:val="0"/>
      <w:szCs w:val="20"/>
    </w:rPr>
  </w:style>
  <w:style w:type="paragraph" w:customStyle="1" w:styleId="712">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3">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4">
    <w:name w:val="默认段落字体 Para Char Char Char1 Char"/>
    <w:basedOn w:val="1"/>
    <w:qFormat/>
    <w:uiPriority w:val="0"/>
    <w:pPr>
      <w:spacing w:line="240" w:lineRule="atLeast"/>
      <w:ind w:left="420" w:firstLine="420"/>
    </w:pPr>
    <w:rPr>
      <w:sz w:val="24"/>
    </w:rPr>
  </w:style>
  <w:style w:type="paragraph" w:customStyle="1" w:styleId="715">
    <w:name w:val="WW-正文文字缩进 2"/>
    <w:basedOn w:val="1"/>
    <w:qFormat/>
    <w:uiPriority w:val="0"/>
    <w:pPr>
      <w:suppressAutoHyphens/>
      <w:adjustRightInd/>
      <w:ind w:firstLine="420"/>
    </w:pPr>
    <w:rPr>
      <w:kern w:val="1"/>
      <w:szCs w:val="20"/>
    </w:rPr>
  </w:style>
  <w:style w:type="paragraph" w:customStyle="1" w:styleId="716">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7">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18">
    <w:name w:val="有符号正文"/>
    <w:basedOn w:val="1"/>
    <w:qFormat/>
    <w:uiPriority w:val="0"/>
    <w:pPr>
      <w:adjustRightInd/>
      <w:spacing w:line="400" w:lineRule="exact"/>
      <w:ind w:firstLine="200" w:firstLineChars="200"/>
    </w:pPr>
    <w:rPr>
      <w:rFonts w:ascii="Arial" w:hAnsi="Arial"/>
    </w:rPr>
  </w:style>
  <w:style w:type="paragraph" w:customStyle="1" w:styleId="719">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0">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1">
    <w:name w:val="4"/>
    <w:basedOn w:val="1"/>
    <w:next w:val="39"/>
    <w:qFormat/>
    <w:uiPriority w:val="0"/>
    <w:pPr>
      <w:spacing w:after="120" w:line="480" w:lineRule="auto"/>
      <w:ind w:left="420" w:leftChars="200"/>
    </w:pPr>
    <w:rPr>
      <w:sz w:val="24"/>
      <w:szCs w:val="20"/>
    </w:rPr>
  </w:style>
  <w:style w:type="paragraph" w:customStyle="1" w:styleId="722">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3">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4">
    <w:name w:val="样式 标题 3H3 + 两端对齐"/>
    <w:basedOn w:val="5"/>
    <w:qFormat/>
    <w:uiPriority w:val="0"/>
    <w:pPr>
      <w:keepLines w:val="0"/>
      <w:spacing w:before="0" w:after="0" w:line="240" w:lineRule="auto"/>
      <w:jc w:val="left"/>
    </w:pPr>
    <w:rPr>
      <w:rFonts w:cs="宋体"/>
      <w:sz w:val="21"/>
      <w:szCs w:val="20"/>
    </w:rPr>
  </w:style>
  <w:style w:type="paragraph" w:customStyle="1" w:styleId="725">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6">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7">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8">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9">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0">
    <w:name w:val="Char Char1 Char Char Char"/>
    <w:basedOn w:val="1"/>
    <w:qFormat/>
    <w:uiPriority w:val="0"/>
    <w:rPr>
      <w:rFonts w:ascii="仿宋_GB2312" w:eastAsia="仿宋_GB2312"/>
      <w:b/>
      <w:sz w:val="32"/>
      <w:szCs w:val="20"/>
    </w:rPr>
  </w:style>
  <w:style w:type="paragraph" w:customStyle="1" w:styleId="731">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2">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3">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4">
    <w:name w:val="Char Char1 Char Char Char2"/>
    <w:basedOn w:val="1"/>
    <w:qFormat/>
    <w:uiPriority w:val="0"/>
    <w:rPr>
      <w:rFonts w:ascii="仿宋_GB2312" w:eastAsia="仿宋_GB2312"/>
      <w:b/>
      <w:sz w:val="32"/>
      <w:szCs w:val="32"/>
    </w:rPr>
  </w:style>
  <w:style w:type="paragraph" w:customStyle="1" w:styleId="735">
    <w:name w:val="Char3 Char Char Char1"/>
    <w:basedOn w:val="1"/>
    <w:qFormat/>
    <w:uiPriority w:val="6"/>
    <w:pPr>
      <w:widowControl/>
      <w:adjustRightInd/>
      <w:spacing w:after="160" w:line="240" w:lineRule="exact"/>
      <w:jc w:val="left"/>
    </w:pPr>
    <w:rPr>
      <w:szCs w:val="20"/>
    </w:rPr>
  </w:style>
  <w:style w:type="paragraph" w:customStyle="1" w:styleId="736">
    <w:name w:val="Char1 Char Char Char21"/>
    <w:basedOn w:val="1"/>
    <w:qFormat/>
    <w:uiPriority w:val="0"/>
    <w:rPr>
      <w:rFonts w:ascii="Tahoma" w:hAnsi="Tahoma"/>
      <w:sz w:val="24"/>
      <w:szCs w:val="20"/>
    </w:rPr>
  </w:style>
  <w:style w:type="paragraph" w:customStyle="1" w:styleId="737">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8">
    <w:name w:val="正文（标题三）"/>
    <w:basedOn w:val="1"/>
    <w:qFormat/>
    <w:uiPriority w:val="0"/>
    <w:pPr>
      <w:spacing w:line="360" w:lineRule="auto"/>
      <w:ind w:firstLine="200" w:firstLineChars="200"/>
    </w:pPr>
    <w:rPr>
      <w:sz w:val="24"/>
    </w:rPr>
  </w:style>
  <w:style w:type="paragraph" w:customStyle="1" w:styleId="739">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0">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1">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2">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3">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4">
    <w:name w:val="Char1 Char Char Char4"/>
    <w:basedOn w:val="1"/>
    <w:qFormat/>
    <w:uiPriority w:val="0"/>
    <w:pPr>
      <w:adjustRightInd/>
      <w:ind w:firstLine="200" w:firstLineChars="200"/>
    </w:pPr>
    <w:rPr>
      <w:rFonts w:ascii="Tahoma" w:hAnsi="Tahoma"/>
      <w:sz w:val="24"/>
      <w:szCs w:val="20"/>
    </w:rPr>
  </w:style>
  <w:style w:type="paragraph" w:customStyle="1" w:styleId="745">
    <w:name w:val="_标题2"/>
    <w:basedOn w:val="712"/>
    <w:next w:val="712"/>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6">
    <w:name w:val="样式1 + (中宋体"/>
    <w:basedOn w:val="723"/>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7">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8">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9">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0">
    <w:name w:val="四号　首行缩进"/>
    <w:basedOn w:val="1"/>
    <w:qFormat/>
    <w:uiPriority w:val="0"/>
    <w:pPr>
      <w:adjustRightInd/>
      <w:spacing w:line="360" w:lineRule="auto"/>
    </w:pPr>
    <w:rPr>
      <w:rFonts w:ascii="宋体" w:hAnsi="宋体"/>
      <w:szCs w:val="20"/>
    </w:rPr>
  </w:style>
  <w:style w:type="paragraph" w:customStyle="1" w:styleId="751">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2">
    <w:name w:val="Char Char Char Char Char Char Char Char Char Char Char1 Char"/>
    <w:basedOn w:val="1"/>
    <w:qFormat/>
    <w:uiPriority w:val="0"/>
    <w:pPr>
      <w:adjustRightInd/>
    </w:pPr>
    <w:rPr>
      <w:rFonts w:ascii="Tahoma" w:hAnsi="Tahoma"/>
      <w:sz w:val="24"/>
    </w:rPr>
  </w:style>
  <w:style w:type="paragraph" w:customStyle="1" w:styleId="753">
    <w:name w:val="Char Char Char Char11"/>
    <w:basedOn w:val="1"/>
    <w:qFormat/>
    <w:uiPriority w:val="0"/>
    <w:rPr>
      <w:rFonts w:ascii="Tahoma" w:hAnsi="Tahoma"/>
      <w:sz w:val="24"/>
      <w:szCs w:val="20"/>
    </w:rPr>
  </w:style>
  <w:style w:type="paragraph" w:customStyle="1" w:styleId="754">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5">
    <w:name w:val="Char Char Char Char"/>
    <w:basedOn w:val="1"/>
    <w:qFormat/>
    <w:uiPriority w:val="0"/>
    <w:rPr>
      <w:rFonts w:ascii="Tahoma" w:hAnsi="Tahoma"/>
      <w:sz w:val="24"/>
      <w:szCs w:val="20"/>
    </w:rPr>
  </w:style>
  <w:style w:type="paragraph" w:customStyle="1" w:styleId="756">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7">
    <w:name w:val="Char19"/>
    <w:basedOn w:val="1"/>
    <w:qFormat/>
    <w:uiPriority w:val="0"/>
    <w:pPr>
      <w:adjustRightInd/>
    </w:pPr>
    <w:rPr>
      <w:szCs w:val="20"/>
    </w:rPr>
  </w:style>
  <w:style w:type="paragraph" w:customStyle="1" w:styleId="758">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9">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0">
    <w:name w:val="_Style 5"/>
    <w:basedOn w:val="1"/>
    <w:qFormat/>
    <w:uiPriority w:val="34"/>
    <w:pPr>
      <w:adjustRightInd/>
      <w:ind w:firstLine="420" w:firstLineChars="200"/>
    </w:pPr>
    <w:rPr>
      <w:rFonts w:eastAsia="仿宋_GB2312"/>
      <w:sz w:val="28"/>
    </w:rPr>
  </w:style>
  <w:style w:type="paragraph" w:customStyle="1" w:styleId="761">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2">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3">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4">
    <w:name w:val="标书表格字体格式"/>
    <w:next w:val="758"/>
    <w:qFormat/>
    <w:uiPriority w:val="0"/>
    <w:rPr>
      <w:rFonts w:ascii="Times New Roman" w:hAnsi="Times New Roman" w:eastAsia="宋体" w:cs="Times New Roman"/>
      <w:kern w:val="2"/>
      <w:sz w:val="21"/>
      <w:szCs w:val="24"/>
      <w:lang w:val="en-US" w:eastAsia="zh-CN" w:bidi="ar-SA"/>
    </w:rPr>
  </w:style>
  <w:style w:type="paragraph" w:customStyle="1" w:styleId="76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6">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7">
    <w:name w:val="修订3"/>
    <w:qFormat/>
    <w:uiPriority w:val="0"/>
    <w:rPr>
      <w:rFonts w:ascii="Times New Roman" w:hAnsi="Times New Roman" w:eastAsia="宋体" w:cs="Times New Roman"/>
      <w:kern w:val="2"/>
      <w:sz w:val="21"/>
      <w:lang w:val="en-US" w:eastAsia="zh-CN" w:bidi="ar-SA"/>
    </w:rPr>
  </w:style>
  <w:style w:type="paragraph" w:customStyle="1" w:styleId="768">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69">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0">
    <w:name w:val="表文字"/>
    <w:qFormat/>
    <w:uiPriority w:val="0"/>
    <w:rPr>
      <w:rFonts w:ascii="宋体" w:hAnsi="Times New Roman" w:eastAsia="宋体" w:cs="Times New Roman"/>
      <w:kern w:val="2"/>
      <w:lang w:val="en-US" w:eastAsia="zh-CN" w:bidi="ar-SA"/>
    </w:rPr>
  </w:style>
  <w:style w:type="paragraph" w:customStyle="1" w:styleId="771">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2">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3">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4">
    <w:name w:val="Char Char Char Char Char Char Char Char2"/>
    <w:basedOn w:val="1"/>
    <w:qFormat/>
    <w:uiPriority w:val="0"/>
    <w:pPr>
      <w:tabs>
        <w:tab w:val="left" w:pos="360"/>
      </w:tabs>
    </w:pPr>
    <w:rPr>
      <w:sz w:val="24"/>
      <w:szCs w:val="20"/>
    </w:rPr>
  </w:style>
  <w:style w:type="paragraph" w:customStyle="1" w:styleId="775">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6">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7">
    <w:name w:val="中文标题 3"/>
    <w:basedOn w:val="2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8">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9">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0">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1">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2">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3">
    <w:name w:val="p0"/>
    <w:basedOn w:val="1"/>
    <w:qFormat/>
    <w:uiPriority w:val="0"/>
    <w:pPr>
      <w:widowControl/>
      <w:adjustRightInd/>
    </w:pPr>
    <w:rPr>
      <w:kern w:val="0"/>
      <w:szCs w:val="21"/>
    </w:rPr>
  </w:style>
  <w:style w:type="paragraph" w:customStyle="1" w:styleId="784">
    <w:name w:val="Char6"/>
    <w:basedOn w:val="1"/>
    <w:qFormat/>
    <w:uiPriority w:val="0"/>
    <w:rPr>
      <w:rFonts w:ascii="仿宋_GB2312" w:eastAsia="仿宋_GB2312"/>
      <w:b/>
      <w:sz w:val="32"/>
      <w:szCs w:val="32"/>
    </w:rPr>
  </w:style>
  <w:style w:type="paragraph" w:customStyle="1" w:styleId="785">
    <w:name w:val="Char111"/>
    <w:basedOn w:val="1"/>
    <w:qFormat/>
    <w:uiPriority w:val="0"/>
    <w:rPr>
      <w:rFonts w:ascii="仿宋_GB2312" w:eastAsia="仿宋_GB2312"/>
      <w:b/>
      <w:sz w:val="32"/>
      <w:szCs w:val="32"/>
    </w:rPr>
  </w:style>
  <w:style w:type="paragraph" w:customStyle="1" w:styleId="786">
    <w:name w:val="标题3"/>
    <w:basedOn w:val="5"/>
    <w:next w:val="55"/>
    <w:qFormat/>
    <w:uiPriority w:val="0"/>
    <w:pPr>
      <w:tabs>
        <w:tab w:val="clear" w:pos="900"/>
      </w:tabs>
      <w:spacing w:after="0" w:line="360" w:lineRule="auto"/>
    </w:pPr>
    <w:rPr>
      <w:rFonts w:ascii="仿宋" w:hAnsi="仿宋" w:eastAsia="仿宋" w:cs="仿宋"/>
    </w:rPr>
  </w:style>
  <w:style w:type="paragraph" w:customStyle="1" w:styleId="787">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8">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9">
    <w:name w:val="Char1 Char Char Char2"/>
    <w:basedOn w:val="1"/>
    <w:qFormat/>
    <w:uiPriority w:val="0"/>
    <w:pPr>
      <w:adjustRightInd/>
      <w:ind w:firstLine="200" w:firstLineChars="200"/>
    </w:pPr>
    <w:rPr>
      <w:rFonts w:ascii="Tahoma" w:hAnsi="Tahoma"/>
      <w:sz w:val="24"/>
      <w:szCs w:val="20"/>
    </w:rPr>
  </w:style>
  <w:style w:type="paragraph" w:customStyle="1" w:styleId="790">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1">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2">
    <w:name w:val="Char Char Char Char Char Char Char2"/>
    <w:basedOn w:val="1"/>
    <w:qFormat/>
    <w:uiPriority w:val="0"/>
    <w:rPr>
      <w:rFonts w:ascii="仿宋_GB2312" w:eastAsia="仿宋_GB2312"/>
      <w:b/>
      <w:sz w:val="32"/>
      <w:szCs w:val="32"/>
    </w:rPr>
  </w:style>
  <w:style w:type="paragraph" w:customStyle="1" w:styleId="793">
    <w:name w:val="五级条标题"/>
    <w:basedOn w:val="794"/>
    <w:next w:val="639"/>
    <w:qFormat/>
    <w:uiPriority w:val="0"/>
    <w:pPr>
      <w:tabs>
        <w:tab w:val="left" w:pos="1260"/>
        <w:tab w:val="left" w:pos="1680"/>
        <w:tab w:val="left" w:pos="2100"/>
        <w:tab w:val="left" w:pos="2940"/>
        <w:tab w:val="left" w:pos="3360"/>
      </w:tabs>
      <w:ind w:left="3360"/>
      <w:outlineLvl w:val="6"/>
    </w:pPr>
  </w:style>
  <w:style w:type="paragraph" w:customStyle="1" w:styleId="794">
    <w:name w:val="四级条标题"/>
    <w:basedOn w:val="654"/>
    <w:next w:val="639"/>
    <w:qFormat/>
    <w:uiPriority w:val="0"/>
    <w:pPr>
      <w:tabs>
        <w:tab w:val="clear" w:pos="2520"/>
      </w:tabs>
      <w:ind w:left="2940"/>
      <w:outlineLvl w:val="5"/>
    </w:pPr>
  </w:style>
  <w:style w:type="paragraph" w:customStyle="1" w:styleId="795">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6">
    <w:name w:val="Char23"/>
    <w:basedOn w:val="1"/>
    <w:qFormat/>
    <w:uiPriority w:val="0"/>
    <w:rPr>
      <w:rFonts w:ascii="仿宋_GB2312" w:eastAsia="仿宋_GB2312"/>
      <w:b/>
      <w:sz w:val="32"/>
      <w:szCs w:val="32"/>
    </w:rPr>
  </w:style>
  <w:style w:type="paragraph" w:customStyle="1" w:styleId="797">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8">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9">
    <w:name w:val="首行缩进"/>
    <w:basedOn w:val="1"/>
    <w:qFormat/>
    <w:uiPriority w:val="0"/>
    <w:pPr>
      <w:spacing w:line="360" w:lineRule="auto"/>
      <w:ind w:firstLine="480" w:firstLineChars="200"/>
    </w:pPr>
    <w:rPr>
      <w:rFonts w:ascii="宋体"/>
      <w:sz w:val="24"/>
      <w:szCs w:val="20"/>
    </w:rPr>
  </w:style>
  <w:style w:type="paragraph" w:customStyle="1" w:styleId="800">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1">
    <w:name w:val="单元格左对齐"/>
    <w:basedOn w:val="1"/>
    <w:qFormat/>
    <w:uiPriority w:val="0"/>
    <w:pPr>
      <w:adjustRightInd/>
      <w:spacing w:line="360" w:lineRule="auto"/>
    </w:pPr>
    <w:rPr>
      <w:sz w:val="24"/>
    </w:rPr>
  </w:style>
  <w:style w:type="paragraph" w:customStyle="1" w:styleId="802">
    <w:name w:val="正文主体"/>
    <w:basedOn w:val="623"/>
    <w:qFormat/>
    <w:uiPriority w:val="0"/>
  </w:style>
  <w:style w:type="paragraph" w:customStyle="1" w:styleId="80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4">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6">
    <w:name w:val="正文（首行缩进2字符）"/>
    <w:basedOn w:val="1"/>
    <w:qFormat/>
    <w:uiPriority w:val="0"/>
    <w:pPr>
      <w:adjustRightInd/>
      <w:spacing w:line="360" w:lineRule="auto"/>
      <w:ind w:firstLine="480" w:firstLineChars="200"/>
    </w:pPr>
    <w:rPr>
      <w:sz w:val="24"/>
      <w:szCs w:val="20"/>
    </w:rPr>
  </w:style>
  <w:style w:type="paragraph" w:customStyle="1" w:styleId="807">
    <w:name w:val="P1"/>
    <w:basedOn w:val="1"/>
    <w:qFormat/>
    <w:uiPriority w:val="0"/>
    <w:pPr>
      <w:adjustRightInd/>
      <w:spacing w:line="288" w:lineRule="auto"/>
      <w:ind w:firstLine="425" w:firstLineChars="200"/>
    </w:pPr>
  </w:style>
  <w:style w:type="paragraph" w:customStyle="1" w:styleId="808">
    <w:name w:val="列表内容"/>
    <w:basedOn w:val="1"/>
    <w:next w:val="1"/>
    <w:qFormat/>
    <w:uiPriority w:val="0"/>
    <w:pPr>
      <w:widowControl/>
      <w:tabs>
        <w:tab w:val="left" w:pos="840"/>
      </w:tabs>
      <w:ind w:left="840" w:hanging="420"/>
      <w:jc w:val="left"/>
    </w:pPr>
    <w:rPr>
      <w:kern w:val="0"/>
      <w:sz w:val="18"/>
    </w:rPr>
  </w:style>
  <w:style w:type="paragraph" w:customStyle="1" w:styleId="809">
    <w:name w:val="Char Char11 Char Char Char1"/>
    <w:basedOn w:val="1"/>
    <w:qFormat/>
    <w:uiPriority w:val="6"/>
    <w:pPr>
      <w:spacing w:line="360" w:lineRule="auto"/>
    </w:pPr>
    <w:rPr>
      <w:szCs w:val="20"/>
    </w:rPr>
  </w:style>
  <w:style w:type="paragraph" w:customStyle="1" w:styleId="810">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1">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4">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5">
    <w:name w:val="默认段落字体 Para Char Char Char Char"/>
    <w:basedOn w:val="1"/>
    <w:qFormat/>
    <w:uiPriority w:val="0"/>
    <w:pPr>
      <w:spacing w:line="360" w:lineRule="auto"/>
    </w:pPr>
    <w:rPr>
      <w:szCs w:val="20"/>
    </w:rPr>
  </w:style>
  <w:style w:type="paragraph" w:customStyle="1" w:styleId="816">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8">
    <w:name w:val="Char2 Char Char Char2"/>
    <w:basedOn w:val="1"/>
    <w:qFormat/>
    <w:uiPriority w:val="0"/>
    <w:rPr>
      <w:rFonts w:ascii="仿宋_GB2312" w:eastAsia="仿宋_GB2312"/>
      <w:b/>
      <w:sz w:val="32"/>
      <w:szCs w:val="32"/>
    </w:rPr>
  </w:style>
  <w:style w:type="paragraph" w:customStyle="1" w:styleId="819">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0">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1">
    <w:name w:val="正文 首行缩进:  2 字符 Char"/>
    <w:basedOn w:val="1"/>
    <w:qFormat/>
    <w:uiPriority w:val="0"/>
    <w:pPr>
      <w:adjustRightInd/>
      <w:spacing w:line="360" w:lineRule="auto"/>
      <w:ind w:firstLine="480"/>
    </w:pPr>
    <w:rPr>
      <w:rFonts w:cs="宋体"/>
      <w:sz w:val="24"/>
      <w:szCs w:val="20"/>
    </w:rPr>
  </w:style>
  <w:style w:type="paragraph" w:customStyle="1" w:styleId="822">
    <w:name w:val="Char Char4 Char Char"/>
    <w:basedOn w:val="1"/>
    <w:qFormat/>
    <w:uiPriority w:val="0"/>
    <w:pPr>
      <w:widowControl/>
      <w:adjustRightInd/>
      <w:spacing w:after="160" w:line="240" w:lineRule="exact"/>
      <w:jc w:val="left"/>
    </w:pPr>
  </w:style>
  <w:style w:type="paragraph" w:customStyle="1" w:styleId="823">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4">
    <w:name w:val="Char Char11 Char Char Char2"/>
    <w:basedOn w:val="1"/>
    <w:qFormat/>
    <w:uiPriority w:val="0"/>
    <w:pPr>
      <w:spacing w:line="360" w:lineRule="auto"/>
    </w:pPr>
    <w:rPr>
      <w:szCs w:val="20"/>
    </w:rPr>
  </w:style>
  <w:style w:type="paragraph" w:customStyle="1" w:styleId="825">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6">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7">
    <w:name w:val="数字标题4"/>
    <w:basedOn w:val="7"/>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9">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0">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1">
    <w:name w:val="Char311"/>
    <w:basedOn w:val="1"/>
    <w:qFormat/>
    <w:uiPriority w:val="0"/>
    <w:pPr>
      <w:adjustRightInd/>
      <w:ind w:firstLine="200" w:firstLineChars="200"/>
    </w:pPr>
    <w:rPr>
      <w:rFonts w:ascii="Tahoma" w:hAnsi="Tahoma"/>
      <w:sz w:val="24"/>
      <w:szCs w:val="20"/>
    </w:rPr>
  </w:style>
  <w:style w:type="paragraph" w:customStyle="1" w:styleId="832">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3">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4">
    <w:name w:val="正文 内标"/>
    <w:basedOn w:val="749"/>
    <w:qFormat/>
    <w:uiPriority w:val="0"/>
    <w:pPr>
      <w:tabs>
        <w:tab w:val="left" w:pos="0"/>
      </w:tabs>
      <w:ind w:left="900" w:firstLine="0" w:firstLineChars="0"/>
    </w:pPr>
  </w:style>
  <w:style w:type="paragraph" w:customStyle="1" w:styleId="835">
    <w:name w:val="Bulleted List"/>
    <w:basedOn w:val="1"/>
    <w:qFormat/>
    <w:uiPriority w:val="0"/>
    <w:pPr>
      <w:tabs>
        <w:tab w:val="left" w:pos="1260"/>
      </w:tabs>
      <w:adjustRightInd/>
      <w:ind w:left="1260" w:hanging="420"/>
    </w:pPr>
  </w:style>
  <w:style w:type="paragraph" w:customStyle="1" w:styleId="836">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7">
    <w:name w:val="样式 左侧:  0.85 厘米"/>
    <w:basedOn w:val="1"/>
    <w:qFormat/>
    <w:uiPriority w:val="2"/>
    <w:pPr>
      <w:adjustRightInd/>
      <w:spacing w:line="360" w:lineRule="auto"/>
    </w:pPr>
    <w:rPr>
      <w:rFonts w:cs="宋体"/>
      <w:sz w:val="24"/>
      <w:szCs w:val="20"/>
    </w:rPr>
  </w:style>
  <w:style w:type="paragraph" w:customStyle="1" w:styleId="838">
    <w:name w:val="Char Char Char Char Char Char Char Char Char Char Char Char1 Char"/>
    <w:basedOn w:val="1"/>
    <w:qFormat/>
    <w:uiPriority w:val="0"/>
    <w:rPr>
      <w:rFonts w:ascii="Tahoma" w:hAnsi="Tahoma" w:cs="仿宋_GB2312"/>
      <w:sz w:val="24"/>
      <w:szCs w:val="20"/>
    </w:rPr>
  </w:style>
  <w:style w:type="paragraph" w:customStyle="1" w:styleId="839">
    <w:name w:val="正文1"/>
    <w:basedOn w:val="33"/>
    <w:qFormat/>
    <w:uiPriority w:val="0"/>
    <w:pPr>
      <w:ind w:left="0" w:leftChars="0" w:firstLine="480" w:firstLineChars="200"/>
    </w:pPr>
    <w:rPr>
      <w:rFonts w:ascii="仿宋_GB2312" w:hAnsi="Courier New" w:eastAsia="仿宋_GB2312"/>
      <w:kern w:val="28"/>
      <w:sz w:val="24"/>
    </w:rPr>
  </w:style>
  <w:style w:type="paragraph" w:customStyle="1" w:styleId="840">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1">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2">
    <w:name w:val="模板普通正文"/>
    <w:basedOn w:val="26"/>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3">
    <w:name w:val="Char Char1 Char Char Char Char Char Char"/>
    <w:basedOn w:val="1"/>
    <w:qFormat/>
    <w:uiPriority w:val="0"/>
    <w:rPr>
      <w:rFonts w:ascii="仿宋_GB2312" w:eastAsia="仿宋_GB2312"/>
      <w:b/>
      <w:sz w:val="32"/>
      <w:szCs w:val="20"/>
    </w:rPr>
  </w:style>
  <w:style w:type="paragraph" w:customStyle="1" w:styleId="844">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5">
    <w:name w:val="Char Char1 Char Char Char Char Char Char2"/>
    <w:basedOn w:val="1"/>
    <w:qFormat/>
    <w:uiPriority w:val="0"/>
    <w:rPr>
      <w:rFonts w:ascii="仿宋_GB2312" w:eastAsia="仿宋_GB2312"/>
      <w:b/>
      <w:sz w:val="32"/>
      <w:szCs w:val="20"/>
    </w:rPr>
  </w:style>
  <w:style w:type="paragraph" w:customStyle="1" w:styleId="846">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7">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8">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9">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0">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1">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2">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3">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4">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5">
    <w:name w:val="Char31"/>
    <w:basedOn w:val="1"/>
    <w:qFormat/>
    <w:uiPriority w:val="0"/>
    <w:pPr>
      <w:adjustRightInd/>
    </w:pPr>
    <w:rPr>
      <w:rFonts w:ascii="仿宋_GB2312" w:eastAsia="仿宋_GB2312"/>
      <w:b/>
      <w:sz w:val="32"/>
      <w:szCs w:val="32"/>
    </w:rPr>
  </w:style>
  <w:style w:type="paragraph" w:customStyle="1" w:styleId="856">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7">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8">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9">
    <w:name w:val="Char Char1"/>
    <w:basedOn w:val="1"/>
    <w:qFormat/>
    <w:uiPriority w:val="0"/>
    <w:pPr>
      <w:widowControl/>
      <w:spacing w:after="160" w:line="240" w:lineRule="exact"/>
      <w:jc w:val="left"/>
    </w:pPr>
    <w:rPr>
      <w:rFonts w:eastAsia="仿宋_GB2312"/>
      <w:sz w:val="28"/>
    </w:rPr>
  </w:style>
  <w:style w:type="paragraph" w:customStyle="1" w:styleId="860">
    <w:name w:val="Char21"/>
    <w:basedOn w:val="1"/>
    <w:qFormat/>
    <w:uiPriority w:val="0"/>
    <w:pPr>
      <w:adjustRightInd/>
      <w:ind w:firstLine="200" w:firstLineChars="200"/>
    </w:pPr>
    <w:rPr>
      <w:rFonts w:ascii="仿宋_GB2312" w:eastAsia="仿宋_GB2312"/>
      <w:b/>
      <w:sz w:val="32"/>
      <w:szCs w:val="32"/>
    </w:rPr>
  </w:style>
  <w:style w:type="paragraph" w:customStyle="1" w:styleId="861">
    <w:name w:val="列表段落1"/>
    <w:basedOn w:val="1"/>
    <w:qFormat/>
    <w:uiPriority w:val="34"/>
    <w:pPr>
      <w:adjustRightInd/>
      <w:ind w:right="238" w:firstLine="420"/>
    </w:pPr>
    <w:rPr>
      <w:rFonts w:ascii="Calibri" w:hAnsi="Calibri"/>
      <w:sz w:val="24"/>
    </w:rPr>
  </w:style>
  <w:style w:type="paragraph" w:customStyle="1" w:styleId="862">
    <w:name w:val="Char Char110"/>
    <w:basedOn w:val="1"/>
    <w:qFormat/>
    <w:uiPriority w:val="6"/>
    <w:pPr>
      <w:spacing w:line="360" w:lineRule="auto"/>
    </w:pPr>
    <w:rPr>
      <w:rFonts w:ascii="Tahoma" w:hAnsi="Tahoma"/>
      <w:sz w:val="24"/>
      <w:szCs w:val="20"/>
    </w:rPr>
  </w:style>
  <w:style w:type="paragraph" w:customStyle="1" w:styleId="863">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5">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7">
    <w:name w:val="Char Char Char Char Char Char Char Char Char Char Char Char1 Char2"/>
    <w:basedOn w:val="1"/>
    <w:qFormat/>
    <w:uiPriority w:val="0"/>
    <w:rPr>
      <w:rFonts w:ascii="Tahoma" w:hAnsi="Tahoma" w:cs="仿宋_GB2312"/>
      <w:sz w:val="24"/>
      <w:szCs w:val="20"/>
    </w:rPr>
  </w:style>
  <w:style w:type="paragraph" w:customStyle="1" w:styleId="868">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9">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0">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1">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2">
    <w:name w:val="_Style 12"/>
    <w:basedOn w:val="19"/>
    <w:qFormat/>
    <w:uiPriority w:val="0"/>
    <w:pPr>
      <w:snapToGrid w:val="0"/>
      <w:spacing w:line="360" w:lineRule="auto"/>
    </w:pPr>
  </w:style>
  <w:style w:type="paragraph" w:customStyle="1" w:styleId="873">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4">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5">
    <w:name w:val="_Style 94"/>
    <w:basedOn w:val="1"/>
    <w:next w:val="257"/>
    <w:qFormat/>
    <w:uiPriority w:val="34"/>
    <w:pPr>
      <w:adjustRightInd/>
      <w:spacing w:line="360" w:lineRule="auto"/>
      <w:ind w:firstLine="200" w:firstLineChars="200"/>
    </w:pPr>
    <w:rPr>
      <w:rFonts w:ascii="Calibri" w:hAnsi="Calibri"/>
      <w:sz w:val="28"/>
      <w:szCs w:val="20"/>
    </w:rPr>
  </w:style>
  <w:style w:type="paragraph" w:customStyle="1" w:styleId="876">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7">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8">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9">
    <w:name w:val="3级标题"/>
    <w:basedOn w:val="671"/>
    <w:qFormat/>
    <w:uiPriority w:val="0"/>
    <w:pPr>
      <w:outlineLvl w:val="2"/>
    </w:pPr>
  </w:style>
  <w:style w:type="paragraph" w:customStyle="1" w:styleId="880">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1">
    <w:name w:val="Char1 Char Char Char3"/>
    <w:basedOn w:val="1"/>
    <w:qFormat/>
    <w:uiPriority w:val="0"/>
    <w:pPr>
      <w:adjustRightInd/>
      <w:ind w:firstLine="200" w:firstLineChars="200"/>
    </w:pPr>
    <w:rPr>
      <w:rFonts w:ascii="Tahoma" w:hAnsi="Tahoma"/>
      <w:sz w:val="24"/>
      <w:szCs w:val="20"/>
    </w:rPr>
  </w:style>
  <w:style w:type="paragraph" w:customStyle="1" w:styleId="882">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3">
    <w:name w:val="MM Empty"/>
    <w:basedOn w:val="1"/>
    <w:qFormat/>
    <w:uiPriority w:val="0"/>
    <w:pPr>
      <w:adjustRightInd/>
    </w:pPr>
  </w:style>
  <w:style w:type="paragraph" w:customStyle="1" w:styleId="884">
    <w:name w:val="Char24"/>
    <w:basedOn w:val="1"/>
    <w:qFormat/>
    <w:uiPriority w:val="0"/>
    <w:rPr>
      <w:rFonts w:ascii="仿宋_GB2312" w:eastAsia="仿宋_GB2312"/>
      <w:b/>
      <w:sz w:val="32"/>
      <w:szCs w:val="32"/>
    </w:rPr>
  </w:style>
  <w:style w:type="paragraph" w:customStyle="1" w:styleId="885">
    <w:name w:val="正文箭头"/>
    <w:basedOn w:val="537"/>
    <w:qFormat/>
    <w:uiPriority w:val="0"/>
  </w:style>
  <w:style w:type="paragraph" w:customStyle="1" w:styleId="886">
    <w:name w:val="U_编号2"/>
    <w:basedOn w:val="1"/>
    <w:qFormat/>
    <w:uiPriority w:val="0"/>
    <w:pPr>
      <w:tabs>
        <w:tab w:val="left" w:pos="785"/>
      </w:tabs>
      <w:adjustRightInd/>
      <w:spacing w:beforeLines="10" w:afterLines="10" w:line="300" w:lineRule="auto"/>
    </w:pPr>
    <w:rPr>
      <w:sz w:val="24"/>
    </w:rPr>
  </w:style>
  <w:style w:type="paragraph" w:customStyle="1" w:styleId="887">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8">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9">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0">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1">
    <w:name w:val="_Style 1"/>
    <w:basedOn w:val="1"/>
    <w:qFormat/>
    <w:uiPriority w:val="34"/>
    <w:pPr>
      <w:adjustRightInd/>
      <w:ind w:firstLine="420" w:firstLineChars="200"/>
    </w:pPr>
    <w:rPr>
      <w:rFonts w:eastAsia="仿宋_GB2312"/>
      <w:sz w:val="28"/>
    </w:rPr>
  </w:style>
  <w:style w:type="paragraph" w:customStyle="1" w:styleId="892">
    <w:name w:val="表格 内容"/>
    <w:basedOn w:val="728"/>
    <w:qFormat/>
    <w:uiPriority w:val="0"/>
    <w:rPr>
      <w:b w:val="0"/>
      <w:sz w:val="20"/>
    </w:rPr>
  </w:style>
  <w:style w:type="paragraph" w:customStyle="1" w:styleId="893">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5">
    <w:name w:val="数字标题5"/>
    <w:basedOn w:val="8"/>
    <w:next w:val="1"/>
    <w:qFormat/>
    <w:uiPriority w:val="0"/>
    <w:pPr>
      <w:tabs>
        <w:tab w:val="left" w:pos="1080"/>
      </w:tabs>
      <w:ind w:left="1080" w:hanging="1080"/>
    </w:pPr>
  </w:style>
  <w:style w:type="paragraph" w:customStyle="1" w:styleId="896">
    <w:name w:val="数字标题1"/>
    <w:basedOn w:val="3"/>
    <w:next w:val="1"/>
    <w:qFormat/>
    <w:uiPriority w:val="0"/>
    <w:pPr>
      <w:tabs>
        <w:tab w:val="left" w:pos="480"/>
      </w:tabs>
      <w:ind w:left="480" w:hanging="480"/>
    </w:pPr>
  </w:style>
  <w:style w:type="paragraph" w:customStyle="1" w:styleId="897">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8">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9">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0">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1">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2">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3">
    <w:name w:val="0"/>
    <w:basedOn w:val="1"/>
    <w:qFormat/>
    <w:uiPriority w:val="0"/>
    <w:pPr>
      <w:widowControl/>
    </w:pPr>
    <w:rPr>
      <w:kern w:val="0"/>
      <w:sz w:val="24"/>
      <w:szCs w:val="20"/>
    </w:rPr>
  </w:style>
  <w:style w:type="paragraph" w:customStyle="1" w:styleId="904">
    <w:name w:val="Char Char113"/>
    <w:basedOn w:val="1"/>
    <w:qFormat/>
    <w:uiPriority w:val="0"/>
    <w:pPr>
      <w:widowControl/>
      <w:spacing w:after="160" w:line="240" w:lineRule="exact"/>
      <w:jc w:val="left"/>
    </w:pPr>
    <w:rPr>
      <w:rFonts w:eastAsia="仿宋_GB2312"/>
      <w:sz w:val="28"/>
    </w:rPr>
  </w:style>
  <w:style w:type="paragraph" w:customStyle="1" w:styleId="905">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6">
    <w:name w:val="_Style 8"/>
    <w:basedOn w:val="1"/>
    <w:qFormat/>
    <w:uiPriority w:val="34"/>
    <w:pPr>
      <w:adjustRightInd/>
      <w:ind w:firstLine="420" w:firstLineChars="200"/>
    </w:pPr>
    <w:rPr>
      <w:rFonts w:eastAsia="仿宋_GB2312"/>
      <w:sz w:val="28"/>
    </w:rPr>
  </w:style>
  <w:style w:type="paragraph" w:customStyle="1" w:styleId="907">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8">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0">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1">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2">
    <w:name w:val="Char Char112"/>
    <w:basedOn w:val="1"/>
    <w:qFormat/>
    <w:uiPriority w:val="6"/>
    <w:pPr>
      <w:widowControl/>
      <w:spacing w:after="160" w:line="240" w:lineRule="exact"/>
      <w:jc w:val="left"/>
    </w:pPr>
    <w:rPr>
      <w:rFonts w:eastAsia="仿宋_GB2312"/>
      <w:sz w:val="28"/>
    </w:rPr>
  </w:style>
  <w:style w:type="paragraph" w:customStyle="1" w:styleId="913">
    <w:name w:val="正文 图"/>
    <w:basedOn w:val="442"/>
    <w:qFormat/>
    <w:uiPriority w:val="0"/>
    <w:pPr>
      <w:adjustRightInd/>
      <w:spacing w:before="0"/>
      <w:ind w:firstLine="0"/>
      <w:jc w:val="center"/>
    </w:pPr>
    <w:rPr>
      <w:rFonts w:ascii="微软雅黑" w:hAnsi="微软雅黑"/>
    </w:rPr>
  </w:style>
  <w:style w:type="paragraph" w:customStyle="1" w:styleId="914">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6">
    <w:name w:val="Thf"/>
    <w:basedOn w:val="561"/>
    <w:qFormat/>
    <w:uiPriority w:val="0"/>
    <w:pPr>
      <w:ind w:left="0"/>
    </w:pPr>
  </w:style>
  <w:style w:type="paragraph" w:customStyle="1" w:styleId="917">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8">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9">
    <w:name w:val="注释"/>
    <w:basedOn w:val="1"/>
    <w:qFormat/>
    <w:uiPriority w:val="0"/>
    <w:pPr>
      <w:adjustRightInd/>
      <w:spacing w:line="360" w:lineRule="auto"/>
      <w:ind w:firstLine="480"/>
    </w:pPr>
    <w:rPr>
      <w:sz w:val="24"/>
    </w:rPr>
  </w:style>
  <w:style w:type="table" w:customStyle="1" w:styleId="920">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6">
    <w:name w:val="列出段落111"/>
    <w:basedOn w:val="1"/>
    <w:qFormat/>
    <w:uiPriority w:val="34"/>
    <w:pPr>
      <w:ind w:firstLine="420" w:firstLineChars="200"/>
    </w:pPr>
  </w:style>
  <w:style w:type="character" w:customStyle="1" w:styleId="927">
    <w:name w:val="交叉引用"/>
    <w:qFormat/>
    <w:uiPriority w:val="1"/>
    <w:rPr>
      <w:rFonts w:ascii="Arial" w:hAnsi="Arial" w:eastAsia="黑体"/>
      <w:snapToGrid w:val="0"/>
      <w:color w:val="0000FF"/>
      <w:kern w:val="0"/>
      <w:sz w:val="20"/>
      <w:szCs w:val="21"/>
      <w:u w:val="single"/>
      <w:lang w:val="en-US" w:eastAsia="zh-CN"/>
    </w:rPr>
  </w:style>
  <w:style w:type="character" w:customStyle="1" w:styleId="928">
    <w:name w:val="正文缩进 字符1"/>
    <w:qFormat/>
    <w:uiPriority w:val="0"/>
    <w:rPr>
      <w:rFonts w:ascii="宋体" w:eastAsia="宋体"/>
      <w:snapToGrid w:val="0"/>
      <w:color w:val="000000"/>
      <w:kern w:val="28"/>
      <w:sz w:val="28"/>
      <w:lang w:val="en-US" w:eastAsia="zh-CN" w:bidi="ar-SA"/>
    </w:rPr>
  </w:style>
  <w:style w:type="character" w:customStyle="1" w:styleId="929">
    <w:name w:val="页脚 字符1"/>
    <w:qFormat/>
    <w:uiPriority w:val="99"/>
    <w:rPr>
      <w:kern w:val="2"/>
      <w:sz w:val="18"/>
      <w:szCs w:val="18"/>
    </w:rPr>
  </w:style>
  <w:style w:type="character" w:customStyle="1" w:styleId="930">
    <w:name w:val="页眉 字符1"/>
    <w:qFormat/>
    <w:uiPriority w:val="99"/>
    <w:rPr>
      <w:kern w:val="2"/>
      <w:sz w:val="18"/>
      <w:szCs w:val="18"/>
    </w:rPr>
  </w:style>
  <w:style w:type="character" w:customStyle="1" w:styleId="931">
    <w:name w:val="尾注文本 Char"/>
    <w:link w:val="40"/>
    <w:qFormat/>
    <w:uiPriority w:val="0"/>
    <w:rPr>
      <w:kern w:val="2"/>
      <w:sz w:val="21"/>
      <w:szCs w:val="24"/>
      <w:lang w:val="zh-CN"/>
    </w:rPr>
  </w:style>
  <w:style w:type="character" w:customStyle="1" w:styleId="932">
    <w:name w:val="无间隔 Char"/>
    <w:link w:val="482"/>
    <w:qFormat/>
    <w:uiPriority w:val="99"/>
    <w:rPr>
      <w:kern w:val="2"/>
      <w:sz w:val="21"/>
      <w:szCs w:val="22"/>
    </w:rPr>
  </w:style>
  <w:style w:type="character" w:customStyle="1" w:styleId="933">
    <w:name w:val="标准文本 Char Char"/>
    <w:link w:val="934"/>
    <w:qFormat/>
    <w:uiPriority w:val="0"/>
    <w:rPr>
      <w:rFonts w:cs="宋体"/>
      <w:kern w:val="2"/>
      <w:sz w:val="24"/>
    </w:rPr>
  </w:style>
  <w:style w:type="paragraph" w:customStyle="1" w:styleId="934">
    <w:name w:val="标准文本"/>
    <w:basedOn w:val="1"/>
    <w:link w:val="933"/>
    <w:qFormat/>
    <w:uiPriority w:val="0"/>
    <w:pPr>
      <w:adjustRightInd/>
      <w:spacing w:line="360" w:lineRule="auto"/>
      <w:ind w:firstLine="480" w:firstLineChars="200"/>
    </w:pPr>
    <w:rPr>
      <w:rFonts w:cs="宋体"/>
      <w:sz w:val="24"/>
      <w:szCs w:val="20"/>
    </w:rPr>
  </w:style>
  <w:style w:type="character" w:customStyle="1" w:styleId="935">
    <w:name w:val="Char Char213"/>
    <w:qFormat/>
    <w:uiPriority w:val="0"/>
    <w:rPr>
      <w:rFonts w:eastAsia="Century Gothic"/>
      <w:b/>
      <w:bCs/>
      <w:kern w:val="44"/>
      <w:sz w:val="32"/>
      <w:szCs w:val="44"/>
      <w:lang w:val="en-US" w:eastAsia="zh-CN" w:bidi="ar-SA"/>
    </w:rPr>
  </w:style>
  <w:style w:type="character" w:customStyle="1" w:styleId="936">
    <w:name w:val="apple-style-span"/>
    <w:qFormat/>
    <w:uiPriority w:val="0"/>
    <w:rPr>
      <w:rFonts w:ascii="Arial" w:hAnsi="Arial" w:eastAsia="黑体" w:cs="Arial"/>
      <w:snapToGrid w:val="0"/>
      <w:kern w:val="0"/>
      <w:szCs w:val="21"/>
    </w:rPr>
  </w:style>
  <w:style w:type="character" w:customStyle="1" w:styleId="937">
    <w:name w:val="15"/>
    <w:qFormat/>
    <w:uiPriority w:val="0"/>
    <w:rPr>
      <w:rFonts w:hint="default" w:ascii="Calibri" w:hAnsi="Calibri"/>
      <w:color w:val="0000FF"/>
      <w:u w:val="single"/>
    </w:rPr>
  </w:style>
  <w:style w:type="character" w:customStyle="1" w:styleId="938">
    <w:name w:val="16"/>
    <w:qFormat/>
    <w:uiPriority w:val="0"/>
    <w:rPr>
      <w:rFonts w:hint="eastAsia" w:ascii="宋体" w:hAnsi="宋体" w:eastAsia="宋体"/>
      <w:color w:val="000000"/>
      <w:sz w:val="20"/>
      <w:szCs w:val="20"/>
    </w:rPr>
  </w:style>
  <w:style w:type="character" w:customStyle="1" w:styleId="939">
    <w:name w:val="edui-unclickable"/>
    <w:qFormat/>
    <w:uiPriority w:val="0"/>
    <w:rPr>
      <w:color w:val="808080"/>
    </w:rPr>
  </w:style>
  <w:style w:type="character" w:customStyle="1" w:styleId="940">
    <w:name w:val="tpc_content1"/>
    <w:qFormat/>
    <w:uiPriority w:val="0"/>
    <w:rPr>
      <w:sz w:val="20"/>
      <w:szCs w:val="20"/>
    </w:rPr>
  </w:style>
  <w:style w:type="character" w:customStyle="1" w:styleId="941">
    <w:name w:val="正文文本缩进 字符"/>
    <w:qFormat/>
    <w:uiPriority w:val="0"/>
    <w:rPr>
      <w:rFonts w:ascii="Century Gothic" w:hAnsi="Century Gothic" w:eastAsia="Century Gothic"/>
      <w:kern w:val="2"/>
      <w:sz w:val="24"/>
      <w:lang w:val="en-US" w:eastAsia="zh-CN" w:bidi="ar-SA"/>
    </w:rPr>
  </w:style>
  <w:style w:type="character" w:customStyle="1" w:styleId="942">
    <w:name w:val="正文文本 2 字符"/>
    <w:qFormat/>
    <w:uiPriority w:val="0"/>
    <w:rPr>
      <w:rFonts w:ascii="Arial" w:hAnsi="Arial" w:eastAsia="宋体"/>
      <w:kern w:val="2"/>
      <w:sz w:val="24"/>
      <w:szCs w:val="24"/>
      <w:lang w:val="en-US" w:eastAsia="zh-CN" w:bidi="ar-SA"/>
    </w:rPr>
  </w:style>
  <w:style w:type="character" w:customStyle="1" w:styleId="943">
    <w:name w:val="edui-clickable2"/>
    <w:qFormat/>
    <w:uiPriority w:val="0"/>
    <w:rPr>
      <w:color w:val="0000FF"/>
      <w:u w:val="single"/>
    </w:rPr>
  </w:style>
  <w:style w:type="character" w:customStyle="1" w:styleId="944">
    <w:name w:val="style1"/>
    <w:qFormat/>
    <w:uiPriority w:val="0"/>
    <w:rPr>
      <w:rFonts w:ascii="Arial" w:hAnsi="Arial" w:eastAsia="黑体" w:cs="Arial"/>
      <w:snapToGrid w:val="0"/>
      <w:kern w:val="0"/>
      <w:szCs w:val="21"/>
    </w:rPr>
  </w:style>
  <w:style w:type="character" w:customStyle="1" w:styleId="945">
    <w:name w:val="zbggtop11 style5"/>
    <w:qFormat/>
    <w:uiPriority w:val="0"/>
    <w:rPr>
      <w:rFonts w:ascii="Arial" w:hAnsi="Arial" w:eastAsia="黑体" w:cs="Arial"/>
      <w:snapToGrid w:val="0"/>
      <w:kern w:val="0"/>
      <w:szCs w:val="21"/>
    </w:rPr>
  </w:style>
  <w:style w:type="character" w:customStyle="1" w:styleId="946">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7">
    <w:name w:val="bulletintext1"/>
    <w:qFormat/>
    <w:uiPriority w:val="0"/>
    <w:rPr>
      <w:color w:val="000000"/>
      <w:sz w:val="18"/>
    </w:rPr>
  </w:style>
  <w:style w:type="paragraph" w:customStyle="1" w:styleId="948">
    <w:name w:val="_Style 947"/>
    <w:basedOn w:val="1"/>
    <w:next w:val="257"/>
    <w:qFormat/>
    <w:uiPriority w:val="34"/>
    <w:pPr>
      <w:adjustRightInd/>
      <w:ind w:firstLine="420" w:firstLineChars="200"/>
    </w:pPr>
  </w:style>
  <w:style w:type="paragraph" w:customStyle="1" w:styleId="949">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0">
    <w:name w:val="纯文本2"/>
    <w:basedOn w:val="1"/>
    <w:qFormat/>
    <w:uiPriority w:val="0"/>
    <w:pPr>
      <w:adjustRightInd/>
      <w:snapToGrid w:val="0"/>
      <w:jc w:val="left"/>
    </w:pPr>
    <w:rPr>
      <w:rFonts w:ascii="Century Gothic" w:hAnsi="楷体_GB2312" w:eastAsia="Century Gothic"/>
      <w:szCs w:val="20"/>
    </w:rPr>
  </w:style>
  <w:style w:type="paragraph" w:customStyle="1" w:styleId="951">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2">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3">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4">
    <w:name w:val="Blockquote"/>
    <w:basedOn w:val="1"/>
    <w:qFormat/>
    <w:uiPriority w:val="0"/>
    <w:pPr>
      <w:autoSpaceDE w:val="0"/>
      <w:autoSpaceDN w:val="0"/>
      <w:spacing w:before="100" w:after="100"/>
      <w:ind w:left="360" w:right="360"/>
      <w:jc w:val="left"/>
    </w:pPr>
    <w:rPr>
      <w:kern w:val="0"/>
      <w:sz w:val="24"/>
      <w:szCs w:val="20"/>
    </w:rPr>
  </w:style>
  <w:style w:type="paragraph" w:customStyle="1" w:styleId="955">
    <w:name w:val="p1"/>
    <w:basedOn w:val="1"/>
    <w:qFormat/>
    <w:uiPriority w:val="0"/>
    <w:pPr>
      <w:widowControl/>
      <w:adjustRightInd/>
      <w:jc w:val="left"/>
    </w:pPr>
    <w:rPr>
      <w:rFonts w:ascii=".PingFang SC" w:eastAsia=".PingFang SC"/>
      <w:color w:val="454545"/>
      <w:kern w:val="0"/>
      <w:sz w:val="18"/>
      <w:szCs w:val="18"/>
    </w:rPr>
  </w:style>
  <w:style w:type="paragraph" w:customStyle="1" w:styleId="956">
    <w:name w:val="Table Paragraph"/>
    <w:basedOn w:val="1"/>
    <w:qFormat/>
    <w:uiPriority w:val="0"/>
    <w:pPr>
      <w:adjustRightInd/>
      <w:jc w:val="left"/>
    </w:pPr>
    <w:rPr>
      <w:rFonts w:ascii="Calibri" w:hAnsi="Calibri"/>
      <w:kern w:val="0"/>
      <w:sz w:val="22"/>
      <w:szCs w:val="22"/>
      <w:lang w:eastAsia="en-US"/>
    </w:rPr>
  </w:style>
  <w:style w:type="paragraph" w:customStyle="1" w:styleId="957">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8">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9">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0">
    <w:name w:val="ksfind_class_select1"/>
    <w:basedOn w:val="71"/>
    <w:qFormat/>
    <w:uiPriority w:val="0"/>
    <w:rPr>
      <w:color w:val="000000"/>
      <w:shd w:val="clear" w:color="auto" w:fill="EFD200"/>
    </w:rPr>
  </w:style>
  <w:style w:type="character" w:customStyle="1" w:styleId="961">
    <w:name w:val="font71"/>
    <w:qFormat/>
    <w:uiPriority w:val="0"/>
    <w:rPr>
      <w:rFonts w:hint="eastAsia" w:ascii="宋体" w:hAnsi="宋体" w:eastAsia="宋体" w:cs="宋体"/>
      <w:color w:val="000000"/>
      <w:sz w:val="22"/>
      <w:szCs w:val="22"/>
      <w:u w:val="none"/>
    </w:rPr>
  </w:style>
  <w:style w:type="character" w:customStyle="1" w:styleId="962">
    <w:name w:val="font91"/>
    <w:qFormat/>
    <w:uiPriority w:val="0"/>
    <w:rPr>
      <w:rFonts w:hint="eastAsia" w:ascii="仿宋" w:hAnsi="仿宋" w:eastAsia="仿宋" w:cs="仿宋"/>
      <w:color w:val="000000"/>
      <w:sz w:val="22"/>
      <w:szCs w:val="22"/>
      <w:u w:val="none"/>
    </w:rPr>
  </w:style>
  <w:style w:type="paragraph" w:customStyle="1" w:styleId="963">
    <w:name w:val="修订4"/>
    <w:qFormat/>
    <w:uiPriority w:val="99"/>
    <w:rPr>
      <w:rFonts w:ascii="Times New Roman" w:hAnsi="Times New Roman" w:eastAsia="宋体" w:cs="Times New Roman"/>
      <w:kern w:val="2"/>
      <w:sz w:val="21"/>
      <w:szCs w:val="24"/>
      <w:lang w:val="en-US" w:eastAsia="zh-CN" w:bidi="ar-SA"/>
    </w:rPr>
  </w:style>
  <w:style w:type="paragraph" w:customStyle="1" w:styleId="964">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 w:type="character" w:customStyle="1" w:styleId="965">
    <w:name w:val="NormalCharacter"/>
    <w:semiHidden/>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3.emf"/><Relationship Id="rId24" Type="http://schemas.openxmlformats.org/officeDocument/2006/relationships/oleObject" Target="embeddings/oleObject2.bin"/><Relationship Id="rId23" Type="http://schemas.openxmlformats.org/officeDocument/2006/relationships/image" Target="media/image2.emf"/><Relationship Id="rId22" Type="http://schemas.openxmlformats.org/officeDocument/2006/relationships/oleObject" Target="embeddings/oleObject1.bin"/><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100</Pages>
  <Words>52156</Words>
  <Characters>56557</Characters>
  <Paragraphs>1943</Paragraphs>
  <TotalTime>17</TotalTime>
  <ScaleCrop>false</ScaleCrop>
  <LinksUpToDate>false</LinksUpToDate>
  <CharactersWithSpaces>64901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2021-07-31T16:22:00Z</dcterms:created>
  <dc:creator>玥</dc:creator>
  <cp:lastModifiedBy>.</cp:lastModifiedBy>
  <cp:lastPrinted>2023-08-09T08:34:00Z</cp:lastPrinted>
  <dcterms:modified xsi:type="dcterms:W3CDTF">2023-09-29T14:03:32Z</dcterms:modified>
  <dc:title>杭州市市民卡扩大发卡工程</dc:title>
  <cp:revision>303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156804970EA14D278FC2DDD73302DD9B_13</vt:lpwstr>
  </property>
</Properties>
</file>