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rPr>
          <w:rFonts w:hint="eastAsia" w:ascii="微软雅黑" w:hAnsi="微软雅黑" w:eastAsia="微软雅黑" w:cs="微软雅黑"/>
          <w:b/>
          <w:bCs/>
          <w:color w:val="auto"/>
          <w:sz w:val="44"/>
          <w:szCs w:val="44"/>
          <w:highlight w:val="none"/>
        </w:rPr>
      </w:pPr>
      <w:bookmarkStart w:id="0" w:name="_Toc12799"/>
      <w:bookmarkStart w:id="1" w:name="_Toc6172"/>
      <w:bookmarkStart w:id="2" w:name="_Toc361432649"/>
      <w:bookmarkStart w:id="3" w:name="_Toc361433590"/>
      <w:bookmarkStart w:id="4" w:name="_Toc361433079"/>
      <w:bookmarkStart w:id="5" w:name="_Toc361433757"/>
      <w:bookmarkStart w:id="6" w:name="_Toc361434239"/>
      <w:bookmarkStart w:id="7" w:name="_Toc361433862"/>
      <w:bookmarkStart w:id="8" w:name="_Toc361433684"/>
      <w:bookmarkStart w:id="9" w:name="_Toc361436969"/>
      <w:bookmarkStart w:id="10" w:name="_Toc361434041"/>
      <w:bookmarkStart w:id="11" w:name="_Toc361437162"/>
      <w:bookmarkStart w:id="12" w:name="_Toc272368140"/>
      <w:bookmarkStart w:id="13" w:name="_Toc361435882"/>
      <w:bookmarkStart w:id="14" w:name="_Toc361433409"/>
      <w:bookmarkStart w:id="15" w:name="_Toc361437561"/>
      <w:bookmarkStart w:id="16" w:name="_Toc361433272"/>
      <w:bookmarkStart w:id="17" w:name="_Toc363052650"/>
      <w:bookmarkStart w:id="18" w:name="_Toc361437236"/>
      <w:bookmarkStart w:id="19" w:name="_Toc361432189"/>
      <w:bookmarkStart w:id="240" w:name="_GoBack"/>
      <w:bookmarkEnd w:id="240"/>
    </w:p>
    <w:tbl>
      <w:tblPr>
        <w:tblStyle w:val="37"/>
        <w:tblpPr w:leftFromText="180" w:rightFromText="180" w:vertAnchor="text" w:horzAnchor="margin" w:tblpXSpec="center" w:tblpY="8546"/>
        <w:tblW w:w="0" w:type="auto"/>
        <w:tblInd w:w="0" w:type="dxa"/>
        <w:tblLayout w:type="fixed"/>
        <w:tblCellMar>
          <w:top w:w="0" w:type="dxa"/>
          <w:left w:w="0" w:type="dxa"/>
          <w:bottom w:w="0" w:type="dxa"/>
          <w:right w:w="0" w:type="dxa"/>
        </w:tblCellMar>
      </w:tblPr>
      <w:tblGrid>
        <w:gridCol w:w="7040"/>
      </w:tblGrid>
      <w:tr>
        <w:tblPrEx>
          <w:tblCellMar>
            <w:top w:w="0" w:type="dxa"/>
            <w:left w:w="0" w:type="dxa"/>
            <w:bottom w:w="0" w:type="dxa"/>
            <w:right w:w="0" w:type="dxa"/>
          </w:tblCellMar>
        </w:tblPrEx>
        <w:trPr>
          <w:trHeight w:val="602" w:hRule="atLeast"/>
        </w:trPr>
        <w:tc>
          <w:tcPr>
            <w:tcW w:w="7040" w:type="dxa"/>
            <w:tcBorders>
              <w:top w:val="nil"/>
              <w:left w:val="nil"/>
              <w:bottom w:val="nil"/>
              <w:right w:val="nil"/>
            </w:tcBorders>
            <w:noWrap w:val="0"/>
            <w:tcMar>
              <w:top w:w="15" w:type="dxa"/>
              <w:left w:w="15" w:type="dxa"/>
              <w:bottom w:w="0" w:type="dxa"/>
              <w:right w:w="15" w:type="dxa"/>
            </w:tcMar>
            <w:vAlign w:val="center"/>
          </w:tcPr>
          <w:p>
            <w:pPr>
              <w:widowControl/>
              <w:ind w:firstLine="560"/>
              <w:jc w:val="left"/>
              <w:rPr>
                <w:rFonts w:hint="eastAsia" w:ascii="Arial" w:hAnsi="Arial" w:eastAsia="黑体" w:cs="Arial"/>
                <w:color w:val="auto"/>
                <w:kern w:val="0"/>
                <w:sz w:val="36"/>
                <w:szCs w:val="36"/>
                <w:highlight w:val="none"/>
                <w:lang w:eastAsia="zh-CN"/>
              </w:rPr>
            </w:pPr>
            <w:bookmarkStart w:id="20" w:name="_Hlk33715714"/>
            <w:bookmarkStart w:id="21" w:name="_Hlk33715684"/>
            <w:r>
              <w:rPr>
                <w:rFonts w:hint="eastAsia" w:ascii="宋体" w:hAnsi="黑体" w:eastAsia="黑体" w:cs="宋体"/>
                <w:color w:val="auto"/>
                <w:kern w:val="24"/>
                <w:sz w:val="28"/>
                <w:szCs w:val="28"/>
                <w:highlight w:val="none"/>
              </w:rPr>
              <w:t>招标编号：</w:t>
            </w:r>
            <w:bookmarkEnd w:id="20"/>
            <w:r>
              <w:rPr>
                <w:rFonts w:hint="eastAsia" w:ascii="宋体" w:hAnsi="宋体" w:eastAsia="黑体" w:cs="宋体"/>
                <w:color w:val="auto"/>
                <w:kern w:val="24"/>
                <w:sz w:val="28"/>
                <w:szCs w:val="28"/>
                <w:highlight w:val="none"/>
                <w:lang w:eastAsia="zh-CN"/>
              </w:rPr>
              <w:t>SZZT-F230113RZJ</w:t>
            </w:r>
          </w:p>
        </w:tc>
      </w:tr>
      <w:tr>
        <w:tblPrEx>
          <w:tblCellMar>
            <w:top w:w="0" w:type="dxa"/>
            <w:left w:w="0" w:type="dxa"/>
            <w:bottom w:w="0" w:type="dxa"/>
            <w:right w:w="0" w:type="dxa"/>
          </w:tblCellMar>
        </w:tblPrEx>
        <w:trPr>
          <w:trHeight w:val="602" w:hRule="atLeast"/>
        </w:trPr>
        <w:tc>
          <w:tcPr>
            <w:tcW w:w="7040" w:type="dxa"/>
            <w:tcBorders>
              <w:top w:val="nil"/>
              <w:left w:val="nil"/>
              <w:bottom w:val="nil"/>
              <w:right w:val="nil"/>
            </w:tcBorders>
            <w:noWrap w:val="0"/>
            <w:tcMar>
              <w:top w:w="15" w:type="dxa"/>
              <w:left w:w="15" w:type="dxa"/>
              <w:bottom w:w="0" w:type="dxa"/>
              <w:right w:w="15" w:type="dxa"/>
            </w:tcMar>
            <w:vAlign w:val="center"/>
          </w:tcPr>
          <w:p>
            <w:pPr>
              <w:widowControl/>
              <w:ind w:firstLine="560"/>
              <w:jc w:val="left"/>
              <w:rPr>
                <w:rFonts w:hint="eastAsia" w:ascii="Arial" w:hAnsi="Arial" w:eastAsia="黑体" w:cs="Arial"/>
                <w:color w:val="auto"/>
                <w:kern w:val="0"/>
                <w:sz w:val="36"/>
                <w:szCs w:val="36"/>
                <w:highlight w:val="none"/>
                <w:lang w:eastAsia="zh-CN"/>
              </w:rPr>
            </w:pPr>
            <w:r>
              <w:rPr>
                <w:rFonts w:hint="eastAsia" w:ascii="宋体" w:hAnsi="黑体" w:eastAsia="黑体" w:cs="宋体"/>
                <w:color w:val="auto"/>
                <w:kern w:val="24"/>
                <w:sz w:val="28"/>
                <w:szCs w:val="28"/>
                <w:highlight w:val="none"/>
              </w:rPr>
              <w:t>采 购 人：</w:t>
            </w:r>
            <w:r>
              <w:rPr>
                <w:rFonts w:hint="eastAsia" w:ascii="宋体" w:hAnsi="黑体" w:eastAsia="黑体" w:cs="宋体"/>
                <w:color w:val="auto"/>
                <w:kern w:val="24"/>
                <w:sz w:val="28"/>
                <w:szCs w:val="28"/>
                <w:highlight w:val="none"/>
                <w:lang w:eastAsia="zh-CN"/>
              </w:rPr>
              <w:t>嵊州市人民医院</w:t>
            </w:r>
          </w:p>
        </w:tc>
      </w:tr>
      <w:tr>
        <w:tblPrEx>
          <w:tblCellMar>
            <w:top w:w="0" w:type="dxa"/>
            <w:left w:w="0" w:type="dxa"/>
            <w:bottom w:w="0" w:type="dxa"/>
            <w:right w:w="0" w:type="dxa"/>
          </w:tblCellMar>
        </w:tblPrEx>
        <w:trPr>
          <w:trHeight w:val="605" w:hRule="atLeast"/>
        </w:trPr>
        <w:tc>
          <w:tcPr>
            <w:tcW w:w="7040" w:type="dxa"/>
            <w:tcBorders>
              <w:top w:val="nil"/>
              <w:left w:val="nil"/>
              <w:bottom w:val="nil"/>
              <w:right w:val="nil"/>
            </w:tcBorders>
            <w:noWrap w:val="0"/>
            <w:tcMar>
              <w:top w:w="15" w:type="dxa"/>
              <w:left w:w="15" w:type="dxa"/>
              <w:bottom w:w="0" w:type="dxa"/>
              <w:right w:w="15" w:type="dxa"/>
            </w:tcMar>
            <w:vAlign w:val="center"/>
          </w:tcPr>
          <w:p>
            <w:pPr>
              <w:widowControl/>
              <w:ind w:firstLine="560"/>
              <w:jc w:val="left"/>
              <w:rPr>
                <w:rFonts w:ascii="Arial" w:hAnsi="Arial" w:cs="Arial"/>
                <w:color w:val="auto"/>
                <w:kern w:val="0"/>
                <w:sz w:val="36"/>
                <w:szCs w:val="36"/>
                <w:highlight w:val="none"/>
              </w:rPr>
            </w:pPr>
            <w:r>
              <w:rPr>
                <w:rFonts w:hint="eastAsia" w:ascii="宋体" w:hAnsi="黑体" w:eastAsia="黑体" w:cs="宋体"/>
                <w:color w:val="auto"/>
                <w:kern w:val="24"/>
                <w:sz w:val="28"/>
                <w:szCs w:val="28"/>
                <w:highlight w:val="none"/>
              </w:rPr>
              <w:drawing>
                <wp:anchor distT="0" distB="0" distL="114300" distR="114300" simplePos="0" relativeHeight="251659264" behindDoc="1" locked="0" layoutInCell="1" allowOverlap="1">
                  <wp:simplePos x="0" y="0"/>
                  <wp:positionH relativeFrom="page">
                    <wp:posOffset>2235200</wp:posOffset>
                  </wp:positionH>
                  <wp:positionV relativeFrom="paragraph">
                    <wp:posOffset>110490</wp:posOffset>
                  </wp:positionV>
                  <wp:extent cx="3260090" cy="2176145"/>
                  <wp:effectExtent l="0" t="0" r="16510" b="1460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9"/>
                          <a:srcRect l="51830" t="59953"/>
                          <a:stretch>
                            <a:fillRect/>
                          </a:stretch>
                        </pic:blipFill>
                        <pic:spPr>
                          <a:xfrm>
                            <a:off x="0" y="0"/>
                            <a:ext cx="3260090" cy="2176145"/>
                          </a:xfrm>
                          <a:prstGeom prst="rect">
                            <a:avLst/>
                          </a:prstGeom>
                          <a:noFill/>
                          <a:ln>
                            <a:noFill/>
                          </a:ln>
                        </pic:spPr>
                      </pic:pic>
                    </a:graphicData>
                  </a:graphic>
                </wp:anchor>
              </w:drawing>
            </w:r>
            <w:r>
              <w:rPr>
                <w:rFonts w:hint="eastAsia" w:ascii="宋体" w:hAnsi="黑体" w:eastAsia="黑体" w:cs="宋体"/>
                <w:color w:val="auto"/>
                <w:kern w:val="24"/>
                <w:sz w:val="28"/>
                <w:szCs w:val="28"/>
                <w:highlight w:val="none"/>
              </w:rPr>
              <w:t>代理机构：嵊州市中天工程建设招标代理有限公司</w:t>
            </w:r>
          </w:p>
        </w:tc>
      </w:tr>
      <w:tr>
        <w:tblPrEx>
          <w:tblCellMar>
            <w:top w:w="0" w:type="dxa"/>
            <w:left w:w="0" w:type="dxa"/>
            <w:bottom w:w="0" w:type="dxa"/>
            <w:right w:w="0" w:type="dxa"/>
          </w:tblCellMar>
        </w:tblPrEx>
        <w:trPr>
          <w:trHeight w:val="602" w:hRule="atLeast"/>
        </w:trPr>
        <w:tc>
          <w:tcPr>
            <w:tcW w:w="7040" w:type="dxa"/>
            <w:tcBorders>
              <w:top w:val="nil"/>
              <w:left w:val="nil"/>
              <w:bottom w:val="nil"/>
              <w:right w:val="nil"/>
            </w:tcBorders>
            <w:noWrap w:val="0"/>
            <w:tcMar>
              <w:top w:w="15" w:type="dxa"/>
              <w:left w:w="15" w:type="dxa"/>
              <w:bottom w:w="0" w:type="dxa"/>
              <w:right w:w="15" w:type="dxa"/>
            </w:tcMar>
            <w:vAlign w:val="center"/>
          </w:tcPr>
          <w:p>
            <w:pPr>
              <w:widowControl/>
              <w:ind w:firstLine="560"/>
              <w:jc w:val="left"/>
              <w:rPr>
                <w:rFonts w:ascii="Arial" w:hAnsi="Arial" w:cs="Arial"/>
                <w:color w:val="auto"/>
                <w:kern w:val="0"/>
                <w:sz w:val="36"/>
                <w:szCs w:val="36"/>
                <w:highlight w:val="none"/>
              </w:rPr>
            </w:pPr>
            <w:r>
              <w:rPr>
                <w:rFonts w:hint="eastAsia" w:ascii="宋体" w:hAnsi="黑体" w:eastAsia="黑体" w:cs="宋体"/>
                <w:color w:val="auto"/>
                <w:kern w:val="24"/>
                <w:sz w:val="28"/>
                <w:szCs w:val="28"/>
                <w:highlight w:val="none"/>
              </w:rPr>
              <w:t>日</w:t>
            </w:r>
            <w:r>
              <w:rPr>
                <w:rFonts w:hint="eastAsia" w:ascii="宋体" w:hAnsi="黑体" w:eastAsia="黑体" w:cs="宋体"/>
                <w:color w:val="auto"/>
                <w:kern w:val="24"/>
                <w:sz w:val="28"/>
                <w:szCs w:val="28"/>
                <w:highlight w:val="none"/>
              </w:rPr>
              <w:tab/>
            </w:r>
            <w:r>
              <w:rPr>
                <w:rFonts w:hint="eastAsia" w:ascii="宋体" w:hAnsi="黑体" w:eastAsia="黑体" w:cs="宋体"/>
                <w:color w:val="auto"/>
                <w:kern w:val="24"/>
                <w:sz w:val="28"/>
                <w:szCs w:val="28"/>
                <w:highlight w:val="none"/>
              </w:rPr>
              <w:t xml:space="preserve"> 期：202</w:t>
            </w:r>
            <w:r>
              <w:rPr>
                <w:rFonts w:hint="eastAsia" w:ascii="宋体" w:hAnsi="黑体" w:eastAsia="黑体" w:cs="宋体"/>
                <w:color w:val="auto"/>
                <w:kern w:val="24"/>
                <w:sz w:val="28"/>
                <w:szCs w:val="28"/>
                <w:highlight w:val="none"/>
                <w:lang w:val="en-US" w:eastAsia="zh-CN"/>
              </w:rPr>
              <w:t>3</w:t>
            </w:r>
            <w:r>
              <w:rPr>
                <w:rFonts w:hint="eastAsia" w:ascii="宋体" w:hAnsi="黑体" w:eastAsia="黑体" w:cs="宋体"/>
                <w:color w:val="auto"/>
                <w:kern w:val="24"/>
                <w:sz w:val="28"/>
                <w:szCs w:val="28"/>
                <w:highlight w:val="none"/>
              </w:rPr>
              <w:t>年</w:t>
            </w:r>
            <w:r>
              <w:rPr>
                <w:rFonts w:hint="eastAsia" w:ascii="宋体" w:hAnsi="黑体" w:eastAsia="黑体" w:cs="宋体"/>
                <w:color w:val="auto"/>
                <w:kern w:val="24"/>
                <w:sz w:val="28"/>
                <w:szCs w:val="28"/>
                <w:highlight w:val="none"/>
                <w:lang w:val="en-US" w:eastAsia="zh-CN"/>
              </w:rPr>
              <w:t>2</w:t>
            </w:r>
            <w:r>
              <w:rPr>
                <w:rFonts w:hint="eastAsia" w:ascii="宋体" w:hAnsi="黑体" w:eastAsia="黑体" w:cs="宋体"/>
                <w:color w:val="auto"/>
                <w:kern w:val="24"/>
                <w:sz w:val="28"/>
                <w:szCs w:val="28"/>
                <w:highlight w:val="none"/>
              </w:rPr>
              <w:t>月</w:t>
            </w:r>
          </w:p>
        </w:tc>
      </w:tr>
      <w:bookmarkEnd w:id="21"/>
    </w:tbl>
    <w:p>
      <w:pPr>
        <w:ind w:firstLine="0" w:firstLineChars="0"/>
        <w:rPr>
          <w:rFonts w:ascii="微软雅黑" w:hAnsi="微软雅黑" w:eastAsia="微软雅黑" w:cs="微软雅黑"/>
          <w:color w:val="auto"/>
          <w:highlight w:val="none"/>
        </w:rPr>
      </w:pPr>
      <w:r>
        <w:rPr>
          <w:rFonts w:ascii="等线" w:hAnsi="等线" w:eastAsia="等线"/>
          <w:color w:val="auto"/>
          <w:szCs w:val="22"/>
          <w:highlight w:val="none"/>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268605</wp:posOffset>
                </wp:positionV>
                <wp:extent cx="6388735" cy="1148080"/>
                <wp:effectExtent l="0" t="0" r="0" b="0"/>
                <wp:wrapNone/>
                <wp:docPr id="3" name="矩形 3"/>
                <wp:cNvGraphicFramePr/>
                <a:graphic xmlns:a="http://schemas.openxmlformats.org/drawingml/2006/main">
                  <a:graphicData uri="http://schemas.microsoft.com/office/word/2010/wordprocessingShape">
                    <wps:wsp>
                      <wps:cNvSpPr/>
                      <wps:spPr>
                        <a:xfrm>
                          <a:off x="0" y="0"/>
                          <a:ext cx="6388735" cy="114808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思源宋体 Heavy" w:hAnsi="思源宋体 Heavy" w:eastAsia="思源宋体 Heavy" w:cs="Times New Roman"/>
                                <w:b/>
                                <w:bCs/>
                                <w:color w:val="000000"/>
                                <w:kern w:val="24"/>
                                <w:sz w:val="52"/>
                                <w:szCs w:val="52"/>
                                <w:lang w:val="en-US" w:eastAsia="zh-CN"/>
                              </w:rPr>
                            </w:pPr>
                            <w:r>
                              <w:rPr>
                                <w:rFonts w:hint="eastAsia" w:ascii="思源宋体 Heavy" w:hAnsi="思源宋体 Heavy" w:eastAsia="思源宋体 Heavy" w:cs="Times New Roman"/>
                                <w:b/>
                                <w:bCs/>
                                <w:color w:val="000000"/>
                                <w:kern w:val="24"/>
                                <w:sz w:val="52"/>
                                <w:szCs w:val="52"/>
                                <w:lang w:val="en-US" w:eastAsia="zh-CN"/>
                              </w:rPr>
                              <w:t>嵊州市人民医院检验科标本外送定点服务采购项目</w:t>
                            </w:r>
                          </w:p>
                        </w:txbxContent>
                      </wps:txbx>
                      <wps:bodyPr vert="horz" wrap="square" anchor="t" anchorCtr="0" upright="1">
                        <a:spAutoFit/>
                      </wps:bodyPr>
                    </wps:wsp>
                  </a:graphicData>
                </a:graphic>
              </wp:anchor>
            </w:drawing>
          </mc:Choice>
          <mc:Fallback>
            <w:pict>
              <v:rect id="_x0000_s1026" o:spid="_x0000_s1026" o:spt="1" style="position:absolute;left:0pt;margin-top:21.15pt;height:90.4pt;width:503.05pt;mso-position-horizontal:center;mso-position-horizontal-relative:margin;z-index:251662336;mso-width-relative:page;mso-height-relative:page;" filled="f" stroked="f" coordsize="21600,21600" o:gfxdata="UEsDBAoAAAAAAIdO4kAAAAAAAAAAAAAAAAAEAAAAZHJzL1BLAwQUAAAACACHTuJAcS4raNcAAAAI AQAADwAAAGRycy9kb3ducmV2LnhtbE2PzU7DMBCE70h9B2srcUHUTloVSLPpoYBUeiP0AZx4SdLG 6yh2f3h73BMcRzOa+SZfX20vzjT6zjFCMlMgiGtnOm4Q9l/vj88gfNBsdO+YEH7Iw7qY3OU6M+7C n3QuQyNiCftMI7QhDJmUvm7Jaj9zA3H0vt1odYhybKQZ9SWW216mSi2l1R3HhVYPtGmpPpYni/Cx W+z2m608HF+614ftU6lktXxDvJ8magUi0DX8heGGH9GhiEyVO7HxokeIRwLCIp2DuLlxKwFRIaTp PAFZ5PL/geIXUEsDBBQAAAAIAIdO4kCKdB+FzgEAAI8DAAAOAAAAZHJzL2Uyb0RvYy54bWytU0uO 1DAQ3SNxB8t7Osk0DFHU6RGiNWwQjDRwALfjdCzFH6qcTprLILHjEBwHcY0pO5keGDazYOOUy+VX 771yNleT6dlRAWpna16scs6Ula7R9lDzz5+uX5ScYRC2Eb2zquYnhfxq+/zZZvSVunCd6xsFjEAs VqOveReCr7IMZaeMwJXzytJh68CIQFs4ZA2IkdBNn13k+WU2Omg8OKkQKbubD/mCCE8BdG2rpdo5 ORhlw4wKqheBJGGnPfJtYtu2SoaPbYsqsL7mpDSklZpQvI9rtt2I6gDCd1ouFMRTKDzSZIS21PQM tRNBsAH0P1BGS3Do2rCSzmSzkOQIqSjyR97cdsKrpIWsRn82Hf8frPxwvAGmm5qvObPC0MB/f/vx 6+d3to7ejB4rKrn1N7DskMIodGrBxC9JYFPy83T2U02BSUpersvy9foVZ5LOiuJlmZfJ8ezhugcM 75QzLAY1BxpY8lEc32OgllR6XxK7WXet+z4Nrbd/JagwZrLIeOYYozDtp4X43jUnkkovn/p0Dr5y NtLca45fBgGKM2ElpWse7sO3YX4ogwd96OhWkaihfzME4pHoxSYz8tKb5pRYL28qPoQ/96nq4T/a 3gF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xLito1wAAAAgBAAAPAAAAAAAAAAEAIAAAACIAAABk cnMvZG93bnJldi54bWxQSwECFAAUAAAACACHTuJAinQfhc4BAACPAwAADgAAAAAAAAABACAAAAAm AQAAZHJzL2Uyb0RvYy54bWxQSwUGAAAAAAYABgBZAQAAZgUAAAAA ">
                <v:fill on="f" focussize="0,0"/>
                <v:stroke on="f"/>
                <v:imagedata o:title=""/>
                <o:lock v:ext="edit" aspectratio="f"/>
                <v:textbox style="mso-fit-shape-to-text:t;">
                  <w:txbxContent>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思源宋体 Heavy" w:hAnsi="思源宋体 Heavy" w:eastAsia="思源宋体 Heavy" w:cs="Times New Roman"/>
                          <w:b/>
                          <w:bCs/>
                          <w:color w:val="000000"/>
                          <w:kern w:val="24"/>
                          <w:sz w:val="52"/>
                          <w:szCs w:val="52"/>
                          <w:lang w:val="en-US" w:eastAsia="zh-CN"/>
                        </w:rPr>
                      </w:pPr>
                      <w:r>
                        <w:rPr>
                          <w:rFonts w:hint="eastAsia" w:ascii="思源宋体 Heavy" w:hAnsi="思源宋体 Heavy" w:eastAsia="思源宋体 Heavy" w:cs="Times New Roman"/>
                          <w:b/>
                          <w:bCs/>
                          <w:color w:val="000000"/>
                          <w:kern w:val="24"/>
                          <w:sz w:val="52"/>
                          <w:szCs w:val="52"/>
                          <w:lang w:val="en-US" w:eastAsia="zh-CN"/>
                        </w:rPr>
                        <w:t>嵊州市人民医院检验科标本外送定点服务采购项目</w:t>
                      </w:r>
                    </w:p>
                  </w:txbxContent>
                </v:textbox>
              </v:rect>
            </w:pict>
          </mc:Fallback>
        </mc:AlternateContent>
      </w:r>
    </w:p>
    <w:p>
      <w:pPr>
        <w:spacing w:line="360" w:lineRule="auto"/>
        <w:ind w:firstLine="883"/>
        <w:jc w:val="center"/>
        <w:rPr>
          <w:rFonts w:ascii="宋体" w:hAnsi="宋体"/>
          <w:b/>
          <w:color w:val="auto"/>
          <w:sz w:val="44"/>
          <w:highlight w:val="none"/>
        </w:rPr>
      </w:pPr>
    </w:p>
    <w:p>
      <w:pPr>
        <w:pStyle w:val="68"/>
        <w:rPr>
          <w:rFonts w:hAnsi="宋体"/>
          <w:b/>
          <w:color w:val="auto"/>
          <w:sz w:val="44"/>
          <w:highlight w:val="none"/>
        </w:rPr>
      </w:pPr>
    </w:p>
    <w:p>
      <w:pPr>
        <w:pStyle w:val="68"/>
        <w:rPr>
          <w:rFonts w:hAnsi="宋体"/>
          <w:b/>
          <w:color w:val="auto"/>
          <w:sz w:val="44"/>
          <w:highlight w:val="none"/>
        </w:rPr>
      </w:pPr>
    </w:p>
    <w:p>
      <w:pPr>
        <w:pStyle w:val="68"/>
        <w:rPr>
          <w:rFonts w:hAnsi="宋体"/>
          <w:b/>
          <w:color w:val="auto"/>
          <w:sz w:val="44"/>
          <w:highlight w:val="none"/>
        </w:rPr>
      </w:pPr>
    </w:p>
    <w:p>
      <w:pPr>
        <w:pStyle w:val="68"/>
        <w:rPr>
          <w:rFonts w:hint="eastAsia" w:hAnsi="宋体" w:eastAsia="宋体"/>
          <w:b/>
          <w:color w:val="auto"/>
          <w:sz w:val="44"/>
          <w:highlight w:val="none"/>
          <w:lang w:val="en-US" w:eastAsia="zh-CN"/>
        </w:rPr>
      </w:pPr>
      <w:r>
        <w:rPr>
          <w:rFonts w:hint="eastAsia" w:hAnsi="宋体"/>
          <w:b/>
          <w:color w:val="auto"/>
          <w:sz w:val="44"/>
          <w:highlight w:val="none"/>
          <w:lang w:val="en-US" w:eastAsia="zh-CN"/>
        </w:rPr>
        <w:t xml:space="preserve"> </w:t>
      </w:r>
    </w:p>
    <w:p>
      <w:pPr>
        <w:pStyle w:val="68"/>
        <w:rPr>
          <w:rFonts w:hAnsi="宋体"/>
          <w:b/>
          <w:color w:val="auto"/>
          <w:sz w:val="44"/>
          <w:highlight w:val="none"/>
        </w:rPr>
      </w:pPr>
      <w:r>
        <w:rPr>
          <w:rFonts w:ascii="微软雅黑" w:hAnsi="微软雅黑" w:eastAsia="微软雅黑" w:cs="微软雅黑"/>
          <w:color w:val="auto"/>
          <w:sz w:val="24"/>
          <w:highlight w:val="none"/>
        </w:rPr>
        <mc:AlternateContent>
          <mc:Choice Requires="wps">
            <w:drawing>
              <wp:inline distT="0" distB="0" distL="0" distR="0">
                <wp:extent cx="5918200" cy="1198245"/>
                <wp:effectExtent l="0" t="0" r="0" b="0"/>
                <wp:docPr id="9" name="矩形 8"/>
                <wp:cNvGraphicFramePr/>
                <a:graphic xmlns:a="http://schemas.openxmlformats.org/drawingml/2006/main">
                  <a:graphicData uri="http://schemas.microsoft.com/office/word/2010/wordprocessingShape">
                    <wps:wsp>
                      <wps:cNvSpPr>
                        <a:spLocks noRot="1" noChangeArrowheads="1"/>
                      </wps:cNvSpPr>
                      <wps:spPr bwMode="auto">
                        <a:xfrm>
                          <a:off x="0" y="0"/>
                          <a:ext cx="5918200" cy="1198641"/>
                        </a:xfrm>
                        <a:prstGeom prst="rect">
                          <a:avLst/>
                        </a:prstGeom>
                        <a:noFill/>
                        <a:ln>
                          <a:noFill/>
                        </a:ln>
                        <a:effectLst/>
                      </wps:spPr>
                      <wps:txbx>
                        <w:txbxContent>
                          <w:p>
                            <w:pPr>
                              <w:ind w:firstLine="0" w:firstLineChars="0"/>
                              <w:jc w:val="center"/>
                              <w:rPr>
                                <w:rFonts w:ascii="思源宋体 Heavy" w:hAnsi="思源宋体 Heavy" w:eastAsia="思源宋体 Heavy"/>
                                <w:b/>
                                <w:bCs/>
                                <w:color w:val="000000"/>
                                <w:kern w:val="24"/>
                                <w:sz w:val="96"/>
                                <w:szCs w:val="96"/>
                              </w:rPr>
                            </w:pPr>
                            <w:bookmarkStart w:id="238" w:name="_Hlk33650697"/>
                            <w:bookmarkStart w:id="239" w:name="_Hlk33650696"/>
                          </w:p>
                          <w:p>
                            <w:pPr>
                              <w:spacing w:line="1100" w:lineRule="exact"/>
                              <w:ind w:firstLine="0" w:firstLineChars="0"/>
                              <w:jc w:val="center"/>
                              <w:rPr>
                                <w:rFonts w:ascii="黑体" w:hAnsi="黑体" w:eastAsia="黑体"/>
                                <w:bCs/>
                                <w:color w:val="000000"/>
                                <w:kern w:val="0"/>
                                <w:sz w:val="84"/>
                                <w:szCs w:val="84"/>
                              </w:rPr>
                            </w:pPr>
                            <w:r>
                              <w:rPr>
                                <w:rFonts w:hint="eastAsia" w:ascii="黑体" w:hAnsi="黑体" w:eastAsia="黑体"/>
                                <w:bCs/>
                                <w:color w:val="000000"/>
                                <w:kern w:val="24"/>
                                <w:sz w:val="84"/>
                                <w:szCs w:val="84"/>
                              </w:rPr>
                              <w:t>电子化公开采购文件</w:t>
                            </w:r>
                            <w:bookmarkEnd w:id="238"/>
                            <w:bookmarkEnd w:id="239"/>
                          </w:p>
                        </w:txbxContent>
                      </wps:txbx>
                      <wps:bodyPr rot="0" vert="horz" wrap="square" lIns="91440" tIns="45720" rIns="91440" bIns="45720" anchor="t" anchorCtr="0" upright="1">
                        <a:noAutofit/>
                      </wps:bodyPr>
                    </wps:wsp>
                  </a:graphicData>
                </a:graphic>
              </wp:inline>
            </w:drawing>
          </mc:Choice>
          <mc:Fallback>
            <w:pict>
              <v:rect id="矩形 8" o:spid="_x0000_s1026" o:spt="1" style="height:94.35pt;width:466pt;" filled="f" stroked="f" coordsize="21600,21600" o:gfxdata="UEsDBAoAAAAAAIdO4kAAAAAAAAAAAAAAAAAEAAAAZHJzL1BLAwQUAAAACACHTuJA29OaB9UAAAAF AQAADwAAAGRycy9kb3ducmV2LnhtbE2PQUvDQBCF74L/YRnBi9hNK2iM2fRQEIsIxVR7nmbHJJid TbPbpP57Ry96GXi8x5vv5cuT69RIQ2g9G5jPElDElbct1wbeto/XKagQkS12nsnAFwVYFudnOWbW T/xKYxlrJSUcMjTQxNhnWoeqIYdh5nti8T784DCKHGptB5yk3HV6kSS32mHL8qHBnlYNVZ/l0RmY qs2427486c3Vbu35sD6syvdnYy4v5skDqEin+BeGH3xBh0KY9v7INqjOgAyJv1e8+5uFyL2E0vQO dJHr//TFN1BLAwQUAAAACACHTuJARhFMChcCAAAhBAAADgAAAGRycy9lMm9Eb2MueG1srVNBbtsw ELwX6B8I3mtZhpPaguUgiJGiQNoGTfoAmqIsohKXXdKW3M8U6C2P6HOKfiNLSnad9JJDLwKXy52d mV0tLrqmZjuFToPJeToac6aMhEKbTc6/3F+/mXHmvDCFqMGonO+V4xfL168Wrc3UBCqoC4WMQIzL WpvzynubJYmTlWqEG4FVhpIlYCM8hbhJChQtoTd1MhmPz5MWsLAIUjlHt6s+yQdEfAkglKWWagVy 2yjje1RUtfAkyVXaOr6MbMtSSf+pLJ3yrM45KfXxS03ovA7fZLkQ2QaFrbQcKIiXUHimqRHaUNMj 1Ep4wbao/4FqtERwUPqRhCbphURHSEU6fubNXSWsilrIamePprv/Bys/7m6R6SLnc86MaGjgf348 /P71k82CN611GT25s7cY1Dl7A/KrYwY+A1mZUglcVcJs1CUitJUSBXFLQ2XypDQEjkDYuv0ABTUR Ww/RsK7EJkCTFayLc9kf56I6zyRdns3TGa0OZ5JyaTqfnU/7HiI7lFt0/p2ChoVDzpEGH+HF7sb5 QEdkhyehm4FrXddx+LV5ckEP+xsVt2eoPvDvHfHduhvMWUOxJ1kY7CCC9F/RoQL8zllLW5Vz920r UHFWvzdkzTydTsMaxmB69nZCAZ5m1qcZYSRB5dxz1h+vfL+6W4t6U8UJ9OQvyc5SR6GBas9qGAJt TtQ/bHlYzdM4vvr7Zy8fAVBLAwQKAAAAAACHTuJAAAAAAAAAAAAAAAAABgAAAF9yZWxzL1BLAwQU AAAACACHTuJAihRmPNEAAACUAQAACwAAAF9yZWxzLy5yZWxzpZDBasMwDIbvg72D0X1xmsMYo04v o9Br6R7A2IpjGltGMtn69vMOg2X0tqN+oe8T//7wmRa1IkukbGDX9aAwO/IxBwPvl+PTCyipNnu7 UEYDNxQ4jI8P+zMutrYjmWMR1ShZDMy1lletxc2YrHRUMLfNRJxsbSMHXay72oB66Ptnzb8ZMG6Y 6uQN8MkPoC630sx/2Ck6JqGpdo6SpmmK7h5VB7Zlju7INuEbuUazHLAa8CwaB2pZ134EfV+/+6fe 00c+47rVfoeM649Xb7ocvwBQSwMEFAAAAAgAh07iQH7m5SD3AAAA4QEAABMAAABbQ29udGVudF9U eXBlc10ueG1slZFBTsMwEEX3SNzB8hYlTrtACCXpgrRLQKgcYGRPEotkbHlMaG+Pk7YbRJFY2jP/ vye73BzGQUwY2Dqq5CovpEDSzljqKvm+32UPUnAEMjA4wkoekeWmvr0p90ePLFKauJJ9jP5RKdY9 jsC580hp0rowQkzH0CkP+gM6VOuiuFfaUUSKWZw7ZF022MLnEMX2kK5PJgEHluLptDizKgneD1ZD TKZqIvODkp0JeUouO9xbz3dJQ6pfCfPkOuCce0lPE6xB8QohPsOYNJQJrIz7ooBT/nfJbDly5trW asybwE2KveF0sbrWjmvXOP3f8u2SunSr5YPqb1BLAQIUABQAAAAIAIdO4kB+5uUg9wAAAOEBAAAT AAAAAAAAAAEAIAAAAIUEAABbQ29udGVudF9UeXBlc10ueG1sUEsBAhQACgAAAAAAh07iQAAAAAAA AAAAAAAAAAYAAAAAAAAAAAAQAAAAZwMAAF9yZWxzL1BLAQIUABQAAAAIAIdO4kCKFGY80QAAAJQB AAALAAAAAAAAAAEAIAAAAIsDAABfcmVscy8ucmVsc1BLAQIUAAoAAAAAAIdO4kAAAAAAAAAAAAAA AAAEAAAAAAAAAAAAEAAAAAAAAABkcnMvUEsBAhQAFAAAAAgAh07iQNvTmgfVAAAABQEAAA8AAAAA AAAAAQAgAAAAIgAAAGRycy9kb3ducmV2LnhtbFBLAQIUABQAAAAIAIdO4kBGEUwKFwIAACEEAAAO AAAAAAAAAAEAIAAAACQBAABkcnMvZTJvRG9jLnhtbFBLBQYAAAAABgAGAFkBAACtBQAAAAA= ">
                <v:fill on="f" focussize="0,0"/>
                <v:stroke on="f"/>
                <v:imagedata o:title=""/>
                <o:lock v:ext="edit" rotation="t" aspectratio="f"/>
                <v:textbox>
                  <w:txbxContent>
                    <w:p>
                      <w:pPr>
                        <w:ind w:firstLine="0" w:firstLineChars="0"/>
                        <w:jc w:val="center"/>
                        <w:rPr>
                          <w:rFonts w:ascii="思源宋体 Heavy" w:hAnsi="思源宋体 Heavy" w:eastAsia="思源宋体 Heavy"/>
                          <w:b/>
                          <w:bCs/>
                          <w:color w:val="000000"/>
                          <w:kern w:val="24"/>
                          <w:sz w:val="96"/>
                          <w:szCs w:val="96"/>
                        </w:rPr>
                      </w:pPr>
                      <w:bookmarkStart w:id="238" w:name="_Hlk33650697"/>
                      <w:bookmarkStart w:id="239" w:name="_Hlk33650696"/>
                    </w:p>
                    <w:p>
                      <w:pPr>
                        <w:spacing w:line="1100" w:lineRule="exact"/>
                        <w:ind w:firstLine="0" w:firstLineChars="0"/>
                        <w:jc w:val="center"/>
                        <w:rPr>
                          <w:rFonts w:ascii="黑体" w:hAnsi="黑体" w:eastAsia="黑体"/>
                          <w:bCs/>
                          <w:color w:val="000000"/>
                          <w:kern w:val="0"/>
                          <w:sz w:val="84"/>
                          <w:szCs w:val="84"/>
                        </w:rPr>
                      </w:pPr>
                      <w:r>
                        <w:rPr>
                          <w:rFonts w:hint="eastAsia" w:ascii="黑体" w:hAnsi="黑体" w:eastAsia="黑体"/>
                          <w:bCs/>
                          <w:color w:val="000000"/>
                          <w:kern w:val="24"/>
                          <w:sz w:val="84"/>
                          <w:szCs w:val="84"/>
                        </w:rPr>
                        <w:t>电子化公开采购文件</w:t>
                      </w:r>
                      <w:bookmarkEnd w:id="238"/>
                      <w:bookmarkEnd w:id="239"/>
                    </w:p>
                  </w:txbxContent>
                </v:textbox>
                <w10:wrap type="none"/>
                <w10:anchorlock/>
              </v:rect>
            </w:pict>
          </mc:Fallback>
        </mc:AlternateContent>
      </w:r>
    </w:p>
    <w:p>
      <w:pPr>
        <w:pStyle w:val="68"/>
        <w:rPr>
          <w:rFonts w:hAnsi="宋体"/>
          <w:b/>
          <w:color w:val="auto"/>
          <w:sz w:val="44"/>
          <w:highlight w:val="none"/>
        </w:rPr>
      </w:pPr>
    </w:p>
    <w:p>
      <w:pPr>
        <w:pStyle w:val="68"/>
        <w:rPr>
          <w:rFonts w:hAnsi="宋体"/>
          <w:b/>
          <w:color w:val="auto"/>
          <w:sz w:val="44"/>
          <w:highlight w:val="none"/>
        </w:rPr>
      </w:pPr>
    </w:p>
    <w:p>
      <w:pPr>
        <w:pStyle w:val="68"/>
        <w:ind w:firstLine="0"/>
        <w:rPr>
          <w:rFonts w:hint="eastAsia" w:hAnsi="宋体"/>
          <w:b/>
          <w:color w:val="auto"/>
          <w:sz w:val="44"/>
          <w:highlight w:val="none"/>
        </w:rPr>
      </w:pPr>
    </w:p>
    <w:p>
      <w:pPr>
        <w:pStyle w:val="68"/>
        <w:rPr>
          <w:rFonts w:hAnsi="宋体"/>
          <w:b/>
          <w:color w:val="auto"/>
          <w:sz w:val="44"/>
          <w:highlight w:val="none"/>
        </w:rPr>
      </w:pPr>
    </w:p>
    <w:p>
      <w:pPr>
        <w:pStyle w:val="68"/>
        <w:rPr>
          <w:rFonts w:hAnsi="宋体"/>
          <w:b/>
          <w:color w:val="auto"/>
          <w:sz w:val="44"/>
          <w:highlight w:val="none"/>
        </w:rPr>
      </w:pPr>
    </w:p>
    <w:p>
      <w:pPr>
        <w:pStyle w:val="68"/>
        <w:rPr>
          <w:rFonts w:hAnsi="宋体"/>
          <w:b/>
          <w:color w:val="auto"/>
          <w:sz w:val="44"/>
          <w:highlight w:val="none"/>
        </w:rPr>
      </w:pPr>
    </w:p>
    <w:p>
      <w:pPr>
        <w:pStyle w:val="68"/>
        <w:rPr>
          <w:rFonts w:hAnsi="宋体"/>
          <w:b/>
          <w:color w:val="auto"/>
          <w:sz w:val="44"/>
          <w:highlight w:val="none"/>
        </w:rPr>
      </w:pPr>
      <w:r>
        <w:rPr>
          <w:rFonts w:ascii="微软雅黑" w:hAnsi="微软雅黑" w:eastAsia="微软雅黑" w:cs="微软雅黑"/>
          <w:color w:val="auto"/>
          <w:highlight w:val="none"/>
        </w:rPr>
        <w:drawing>
          <wp:anchor distT="0" distB="0" distL="114300" distR="114300" simplePos="0" relativeHeight="251660288" behindDoc="1" locked="0" layoutInCell="1" allowOverlap="1">
            <wp:simplePos x="0" y="0"/>
            <wp:positionH relativeFrom="margin">
              <wp:posOffset>-228600</wp:posOffset>
            </wp:positionH>
            <wp:positionV relativeFrom="paragraph">
              <wp:posOffset>257810</wp:posOffset>
            </wp:positionV>
            <wp:extent cx="3317240" cy="2159635"/>
            <wp:effectExtent l="0" t="0" r="16510" b="1206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rcRect l="51830" t="59953"/>
                    <a:stretch>
                      <a:fillRect/>
                    </a:stretch>
                  </pic:blipFill>
                  <pic:spPr>
                    <a:xfrm flipH="1">
                      <a:off x="0" y="0"/>
                      <a:ext cx="3317240" cy="2159635"/>
                    </a:xfrm>
                    <a:prstGeom prst="rect">
                      <a:avLst/>
                    </a:prstGeom>
                    <a:noFill/>
                    <a:ln>
                      <a:noFill/>
                    </a:ln>
                  </pic:spPr>
                </pic:pic>
              </a:graphicData>
            </a:graphic>
          </wp:anchor>
        </w:drawing>
      </w:r>
    </w:p>
    <w:p>
      <w:pPr>
        <w:pStyle w:val="68"/>
        <w:rPr>
          <w:rFonts w:hAnsi="宋体"/>
          <w:b/>
          <w:color w:val="auto"/>
          <w:sz w:val="44"/>
          <w:highlight w:val="none"/>
        </w:rPr>
      </w:pPr>
    </w:p>
    <w:p>
      <w:pPr>
        <w:pStyle w:val="68"/>
        <w:rPr>
          <w:rFonts w:hAnsi="宋体"/>
          <w:b/>
          <w:color w:val="auto"/>
          <w:sz w:val="44"/>
          <w:highlight w:val="none"/>
        </w:rPr>
      </w:pPr>
    </w:p>
    <w:p>
      <w:pPr>
        <w:pStyle w:val="68"/>
        <w:rPr>
          <w:rFonts w:hAnsi="宋体"/>
          <w:b/>
          <w:color w:val="auto"/>
          <w:sz w:val="44"/>
          <w:highlight w:val="none"/>
        </w:rPr>
      </w:pPr>
    </w:p>
    <w:p>
      <w:pPr>
        <w:pStyle w:val="68"/>
        <w:rPr>
          <w:rFonts w:hAnsi="宋体"/>
          <w:b/>
          <w:color w:val="auto"/>
          <w:sz w:val="44"/>
          <w:highlight w:val="none"/>
        </w:rPr>
      </w:pPr>
    </w:p>
    <w:p>
      <w:pPr>
        <w:pStyle w:val="68"/>
        <w:rPr>
          <w:rFonts w:hAnsi="宋体"/>
          <w:b/>
          <w:color w:val="auto"/>
          <w:sz w:val="30"/>
          <w:szCs w:val="30"/>
          <w:highlight w:val="none"/>
        </w:rPr>
      </w:pPr>
    </w:p>
    <w:p>
      <w:pPr>
        <w:spacing w:line="480" w:lineRule="auto"/>
        <w:ind w:firstLine="198" w:firstLineChars="45"/>
        <w:jc w:val="center"/>
        <w:rPr>
          <w:rFonts w:hint="eastAsia" w:ascii="宋体" w:hAnsi="宋体"/>
          <w:b/>
          <w:color w:val="auto"/>
          <w:sz w:val="44"/>
          <w:szCs w:val="44"/>
          <w:highlight w:val="none"/>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304" w:right="1021" w:bottom="1304" w:left="1247" w:header="720" w:footer="720" w:gutter="0"/>
          <w:pgBorders>
            <w:top w:val="none" w:sz="0" w:space="0"/>
            <w:left w:val="none" w:sz="0" w:space="0"/>
            <w:bottom w:val="none" w:sz="0" w:space="0"/>
            <w:right w:val="none" w:sz="0" w:space="0"/>
          </w:pgBorders>
          <w:pgNumType w:start="1"/>
          <w:cols w:space="720" w:num="1"/>
          <w:titlePg/>
          <w:docGrid w:type="linesAndChars" w:linePitch="326" w:charSpace="0"/>
        </w:sectPr>
      </w:pPr>
    </w:p>
    <w:p>
      <w:pPr>
        <w:spacing w:line="480" w:lineRule="auto"/>
        <w:ind w:firstLine="198" w:firstLineChars="45"/>
        <w:jc w:val="center"/>
        <w:rPr>
          <w:rFonts w:ascii="宋体" w:hAnsi="宋体"/>
          <w:b/>
          <w:color w:val="auto"/>
          <w:sz w:val="44"/>
          <w:szCs w:val="44"/>
          <w:highlight w:val="none"/>
        </w:rPr>
      </w:pPr>
      <w:r>
        <w:rPr>
          <w:rFonts w:hint="eastAsia" w:ascii="宋体" w:hAnsi="宋体"/>
          <w:b/>
          <w:color w:val="auto"/>
          <w:sz w:val="44"/>
          <w:szCs w:val="44"/>
          <w:highlight w:val="none"/>
        </w:rPr>
        <w:t>目  录</w:t>
      </w:r>
    </w:p>
    <w:p>
      <w:pPr>
        <w:spacing w:line="480" w:lineRule="auto"/>
        <w:ind w:firstLine="198" w:firstLineChars="45"/>
        <w:jc w:val="center"/>
        <w:rPr>
          <w:rFonts w:ascii="宋体" w:hAnsi="宋体"/>
          <w:b/>
          <w:color w:val="auto"/>
          <w:sz w:val="44"/>
          <w:szCs w:val="44"/>
          <w:highlight w:val="none"/>
        </w:rPr>
      </w:pPr>
    </w:p>
    <w:p>
      <w:pPr>
        <w:pStyle w:val="27"/>
        <w:spacing w:line="360" w:lineRule="auto"/>
        <w:ind w:left="518" w:right="240" w:hanging="312"/>
        <w:rPr>
          <w:rFonts w:ascii="宋体" w:hAnsi="宋体" w:eastAsia="宋体"/>
          <w:b w:val="0"/>
          <w:bCs w:val="0"/>
          <w:caps w:val="0"/>
          <w:color w:val="auto"/>
          <w:sz w:val="28"/>
          <w:szCs w:val="28"/>
          <w:highlight w:val="none"/>
        </w:rPr>
      </w:pPr>
      <w:r>
        <w:rPr>
          <w:rFonts w:ascii="宋体" w:hAnsi="宋体" w:eastAsia="宋体"/>
          <w:bCs w:val="0"/>
          <w:caps w:val="0"/>
          <w:color w:val="auto"/>
          <w:sz w:val="28"/>
          <w:szCs w:val="28"/>
          <w:highlight w:val="none"/>
        </w:rPr>
        <w:fldChar w:fldCharType="begin"/>
      </w:r>
      <w:r>
        <w:rPr>
          <w:rFonts w:ascii="宋体" w:hAnsi="宋体" w:eastAsia="宋体"/>
          <w:bCs w:val="0"/>
          <w:caps w:val="0"/>
          <w:color w:val="auto"/>
          <w:sz w:val="28"/>
          <w:szCs w:val="28"/>
          <w:highlight w:val="none"/>
        </w:rPr>
        <w:instrText xml:space="preserve"> TOC \o "1-2" \h \z \u </w:instrText>
      </w:r>
      <w:r>
        <w:rPr>
          <w:rFonts w:ascii="宋体" w:hAnsi="宋体" w:eastAsia="宋体"/>
          <w:bCs w:val="0"/>
          <w:caps w:val="0"/>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"_Toc33718200" </w:instrText>
      </w:r>
      <w:r>
        <w:rPr>
          <w:color w:val="auto"/>
          <w:sz w:val="28"/>
          <w:szCs w:val="28"/>
          <w:highlight w:val="none"/>
        </w:rPr>
        <w:fldChar w:fldCharType="separate"/>
      </w:r>
      <w:r>
        <w:rPr>
          <w:rStyle w:val="43"/>
          <w:rFonts w:ascii="宋体" w:hAnsi="宋体" w:eastAsia="宋体" w:cs="宋体"/>
          <w:color w:val="auto"/>
          <w:sz w:val="28"/>
          <w:szCs w:val="28"/>
          <w:highlight w:val="none"/>
        </w:rPr>
        <w:t>第一章  招标公告</w:t>
      </w:r>
      <w:r>
        <w:rPr>
          <w:rFonts w:ascii="宋体" w:hAnsi="宋体" w:eastAsia="宋体"/>
          <w:color w:val="auto"/>
          <w:sz w:val="28"/>
          <w:szCs w:val="28"/>
          <w:highlight w:val="none"/>
        </w:rPr>
        <w:tab/>
      </w: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PAGEREF _Toc33718200 \h </w:instrText>
      </w:r>
      <w:r>
        <w:rPr>
          <w:rFonts w:ascii="宋体" w:hAnsi="宋体" w:eastAsia="宋体"/>
          <w:color w:val="auto"/>
          <w:sz w:val="28"/>
          <w:szCs w:val="28"/>
          <w:highlight w:val="none"/>
        </w:rPr>
        <w:fldChar w:fldCharType="separate"/>
      </w:r>
      <w:r>
        <w:rPr>
          <w:rFonts w:ascii="宋体" w:hAnsi="宋体" w:eastAsia="宋体"/>
          <w:color w:val="auto"/>
          <w:sz w:val="28"/>
          <w:szCs w:val="28"/>
          <w:highlight w:val="none"/>
        </w:rPr>
        <w:t>2</w:t>
      </w:r>
      <w:r>
        <w:rPr>
          <w:rFonts w:ascii="宋体" w:hAnsi="宋体" w:eastAsia="宋体"/>
          <w:color w:val="auto"/>
          <w:sz w:val="28"/>
          <w:szCs w:val="28"/>
          <w:highlight w:val="none"/>
        </w:rPr>
        <w:fldChar w:fldCharType="end"/>
      </w:r>
      <w:r>
        <w:rPr>
          <w:rFonts w:ascii="宋体" w:hAnsi="宋体" w:eastAsia="宋体"/>
          <w:color w:val="auto"/>
          <w:sz w:val="28"/>
          <w:szCs w:val="28"/>
          <w:highlight w:val="none"/>
        </w:rPr>
        <w:fldChar w:fldCharType="end"/>
      </w:r>
    </w:p>
    <w:p>
      <w:pPr>
        <w:pStyle w:val="27"/>
        <w:spacing w:line="360" w:lineRule="auto"/>
        <w:ind w:left="518" w:right="240" w:hanging="312"/>
        <w:rPr>
          <w:rFonts w:ascii="宋体" w:hAnsi="宋体" w:eastAsia="宋体"/>
          <w:b w:val="0"/>
          <w:bCs w:val="0"/>
          <w:caps w:val="0"/>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"_Toc33718202" </w:instrText>
      </w:r>
      <w:r>
        <w:rPr>
          <w:color w:val="auto"/>
          <w:sz w:val="28"/>
          <w:szCs w:val="28"/>
          <w:highlight w:val="none"/>
        </w:rPr>
        <w:fldChar w:fldCharType="separate"/>
      </w:r>
      <w:r>
        <w:rPr>
          <w:rStyle w:val="43"/>
          <w:rFonts w:ascii="宋体" w:hAnsi="宋体" w:eastAsia="宋体" w:cs="宋体"/>
          <w:color w:val="auto"/>
          <w:sz w:val="28"/>
          <w:szCs w:val="28"/>
          <w:highlight w:val="none"/>
        </w:rPr>
        <w:t>第二章 编制和提交采购响应文件须知</w:t>
      </w:r>
      <w:r>
        <w:rPr>
          <w:rFonts w:ascii="宋体" w:hAnsi="宋体" w:eastAsia="宋体"/>
          <w:color w:val="auto"/>
          <w:sz w:val="28"/>
          <w:szCs w:val="28"/>
          <w:highlight w:val="none"/>
        </w:rPr>
        <w:tab/>
      </w: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PAGEREF _Toc33718202 \h </w:instrText>
      </w:r>
      <w:r>
        <w:rPr>
          <w:rFonts w:ascii="宋体" w:hAnsi="宋体" w:eastAsia="宋体"/>
          <w:color w:val="auto"/>
          <w:sz w:val="28"/>
          <w:szCs w:val="28"/>
          <w:highlight w:val="none"/>
        </w:rPr>
        <w:fldChar w:fldCharType="separate"/>
      </w:r>
      <w:r>
        <w:rPr>
          <w:rFonts w:ascii="宋体" w:hAnsi="宋体" w:eastAsia="宋体"/>
          <w:color w:val="auto"/>
          <w:sz w:val="28"/>
          <w:szCs w:val="28"/>
          <w:highlight w:val="none"/>
        </w:rPr>
        <w:t>6</w:t>
      </w:r>
      <w:r>
        <w:rPr>
          <w:rFonts w:ascii="宋体" w:hAnsi="宋体" w:eastAsia="宋体"/>
          <w:color w:val="auto"/>
          <w:sz w:val="28"/>
          <w:szCs w:val="28"/>
          <w:highlight w:val="none"/>
        </w:rPr>
        <w:fldChar w:fldCharType="end"/>
      </w:r>
      <w:r>
        <w:rPr>
          <w:rFonts w:ascii="宋体" w:hAnsi="宋体" w:eastAsia="宋体"/>
          <w:color w:val="auto"/>
          <w:sz w:val="28"/>
          <w:szCs w:val="28"/>
          <w:highlight w:val="none"/>
        </w:rPr>
        <w:fldChar w:fldCharType="end"/>
      </w:r>
    </w:p>
    <w:p>
      <w:pPr>
        <w:pStyle w:val="27"/>
        <w:spacing w:line="360" w:lineRule="auto"/>
        <w:ind w:left="518" w:right="240" w:hanging="312"/>
        <w:rPr>
          <w:rFonts w:ascii="宋体" w:hAnsi="宋体" w:eastAsia="宋体"/>
          <w:b w:val="0"/>
          <w:bCs w:val="0"/>
          <w:caps w:val="0"/>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"_Toc33718210" </w:instrText>
      </w:r>
      <w:r>
        <w:rPr>
          <w:color w:val="auto"/>
          <w:sz w:val="28"/>
          <w:szCs w:val="28"/>
          <w:highlight w:val="none"/>
        </w:rPr>
        <w:fldChar w:fldCharType="separate"/>
      </w:r>
      <w:r>
        <w:rPr>
          <w:rStyle w:val="43"/>
          <w:rFonts w:ascii="宋体" w:hAnsi="宋体" w:eastAsia="宋体" w:cs="宋体"/>
          <w:color w:val="auto"/>
          <w:sz w:val="28"/>
          <w:szCs w:val="28"/>
          <w:highlight w:val="none"/>
        </w:rPr>
        <w:t>第三章 技术规范和服务要求</w:t>
      </w:r>
      <w:r>
        <w:rPr>
          <w:rFonts w:ascii="宋体" w:hAnsi="宋体" w:eastAsia="宋体"/>
          <w:color w:val="auto"/>
          <w:sz w:val="28"/>
          <w:szCs w:val="28"/>
          <w:highlight w:val="none"/>
        </w:rPr>
        <w:tab/>
      </w: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PAGEREF _Toc33718210 \h </w:instrText>
      </w:r>
      <w:r>
        <w:rPr>
          <w:rFonts w:ascii="宋体" w:hAnsi="宋体" w:eastAsia="宋体"/>
          <w:color w:val="auto"/>
          <w:sz w:val="28"/>
          <w:szCs w:val="28"/>
          <w:highlight w:val="none"/>
        </w:rPr>
        <w:fldChar w:fldCharType="separate"/>
      </w:r>
      <w:r>
        <w:rPr>
          <w:rFonts w:ascii="宋体" w:hAnsi="宋体" w:eastAsia="宋体"/>
          <w:color w:val="auto"/>
          <w:sz w:val="28"/>
          <w:szCs w:val="28"/>
          <w:highlight w:val="none"/>
        </w:rPr>
        <w:t>28</w:t>
      </w:r>
      <w:r>
        <w:rPr>
          <w:rFonts w:ascii="宋体" w:hAnsi="宋体" w:eastAsia="宋体"/>
          <w:color w:val="auto"/>
          <w:sz w:val="28"/>
          <w:szCs w:val="28"/>
          <w:highlight w:val="none"/>
        </w:rPr>
        <w:fldChar w:fldCharType="end"/>
      </w:r>
      <w:r>
        <w:rPr>
          <w:rFonts w:ascii="宋体" w:hAnsi="宋体" w:eastAsia="宋体"/>
          <w:color w:val="auto"/>
          <w:sz w:val="28"/>
          <w:szCs w:val="28"/>
          <w:highlight w:val="none"/>
        </w:rPr>
        <w:fldChar w:fldCharType="end"/>
      </w:r>
    </w:p>
    <w:p>
      <w:pPr>
        <w:pStyle w:val="27"/>
        <w:spacing w:line="360" w:lineRule="auto"/>
        <w:ind w:left="518" w:right="240" w:hanging="312"/>
        <w:rPr>
          <w:rFonts w:ascii="宋体" w:hAnsi="宋体" w:eastAsia="宋体"/>
          <w:b w:val="0"/>
          <w:bCs w:val="0"/>
          <w:caps w:val="0"/>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"_Toc33718215" </w:instrText>
      </w:r>
      <w:r>
        <w:rPr>
          <w:color w:val="auto"/>
          <w:sz w:val="28"/>
          <w:szCs w:val="28"/>
          <w:highlight w:val="none"/>
        </w:rPr>
        <w:fldChar w:fldCharType="separate"/>
      </w:r>
      <w:r>
        <w:rPr>
          <w:rStyle w:val="43"/>
          <w:rFonts w:ascii="宋体" w:hAnsi="宋体" w:eastAsia="宋体"/>
          <w:color w:val="auto"/>
          <w:sz w:val="28"/>
          <w:szCs w:val="28"/>
          <w:highlight w:val="none"/>
        </w:rPr>
        <w:t>第四章 合同格式及合同条款</w:t>
      </w:r>
      <w:r>
        <w:rPr>
          <w:rFonts w:ascii="宋体" w:hAnsi="宋体" w:eastAsia="宋体"/>
          <w:color w:val="auto"/>
          <w:sz w:val="28"/>
          <w:szCs w:val="28"/>
          <w:highlight w:val="none"/>
        </w:rPr>
        <w:tab/>
      </w:r>
      <w:r>
        <w:rPr>
          <w:rFonts w:hint="eastAsia" w:ascii="宋体" w:hAnsi="宋体" w:eastAsia="宋体"/>
          <w:color w:val="auto"/>
          <w:sz w:val="28"/>
          <w:szCs w:val="28"/>
          <w:highlight w:val="none"/>
        </w:rPr>
        <w:t>31</w:t>
      </w:r>
      <w:r>
        <w:rPr>
          <w:rFonts w:ascii="宋体" w:hAnsi="宋体" w:eastAsia="宋体"/>
          <w:color w:val="auto"/>
          <w:sz w:val="28"/>
          <w:szCs w:val="28"/>
          <w:highlight w:val="none"/>
        </w:rPr>
        <w:fldChar w:fldCharType="end"/>
      </w:r>
    </w:p>
    <w:p>
      <w:pPr>
        <w:pStyle w:val="27"/>
        <w:spacing w:line="360" w:lineRule="auto"/>
        <w:ind w:left="518" w:right="240" w:hanging="312"/>
        <w:rPr>
          <w:rFonts w:ascii="宋体" w:hAnsi="宋体" w:eastAsia="宋体"/>
          <w:b w:val="0"/>
          <w:bCs w:val="0"/>
          <w:caps w:val="0"/>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"_Toc33718216" </w:instrText>
      </w:r>
      <w:r>
        <w:rPr>
          <w:color w:val="auto"/>
          <w:sz w:val="28"/>
          <w:szCs w:val="28"/>
          <w:highlight w:val="none"/>
        </w:rPr>
        <w:fldChar w:fldCharType="separate"/>
      </w:r>
      <w:r>
        <w:rPr>
          <w:rStyle w:val="43"/>
          <w:rFonts w:ascii="宋体" w:hAnsi="宋体" w:eastAsia="宋体"/>
          <w:color w:val="auto"/>
          <w:sz w:val="28"/>
          <w:szCs w:val="28"/>
          <w:highlight w:val="none"/>
        </w:rPr>
        <w:t>第五章  投标文件格式</w:t>
      </w:r>
      <w:r>
        <w:rPr>
          <w:rFonts w:ascii="宋体" w:hAnsi="宋体" w:eastAsia="宋体"/>
          <w:color w:val="auto"/>
          <w:sz w:val="28"/>
          <w:szCs w:val="28"/>
          <w:highlight w:val="none"/>
        </w:rPr>
        <w:tab/>
      </w: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PAGEREF _Toc33718216 \h </w:instrText>
      </w:r>
      <w:r>
        <w:rPr>
          <w:rFonts w:ascii="宋体" w:hAnsi="宋体" w:eastAsia="宋体"/>
          <w:color w:val="auto"/>
          <w:sz w:val="28"/>
          <w:szCs w:val="28"/>
          <w:highlight w:val="none"/>
        </w:rPr>
        <w:fldChar w:fldCharType="separate"/>
      </w:r>
      <w:r>
        <w:rPr>
          <w:rFonts w:ascii="宋体" w:hAnsi="宋体" w:eastAsia="宋体"/>
          <w:color w:val="auto"/>
          <w:sz w:val="28"/>
          <w:szCs w:val="28"/>
          <w:highlight w:val="none"/>
        </w:rPr>
        <w:t>48</w:t>
      </w:r>
      <w:r>
        <w:rPr>
          <w:rFonts w:ascii="宋体" w:hAnsi="宋体" w:eastAsia="宋体"/>
          <w:color w:val="auto"/>
          <w:sz w:val="28"/>
          <w:szCs w:val="28"/>
          <w:highlight w:val="none"/>
        </w:rPr>
        <w:fldChar w:fldCharType="end"/>
      </w:r>
      <w:r>
        <w:rPr>
          <w:rFonts w:ascii="宋体" w:hAnsi="宋体" w:eastAsia="宋体"/>
          <w:color w:val="auto"/>
          <w:sz w:val="28"/>
          <w:szCs w:val="28"/>
          <w:highlight w:val="none"/>
        </w:rPr>
        <w:fldChar w:fldCharType="end"/>
      </w:r>
    </w:p>
    <w:p>
      <w:pPr>
        <w:spacing w:line="360" w:lineRule="auto"/>
        <w:ind w:firstLine="0" w:firstLineChars="0"/>
        <w:rPr>
          <w:rFonts w:ascii="宋体" w:hAnsi="宋体"/>
          <w:bCs/>
          <w:caps/>
          <w:color w:val="auto"/>
          <w:highlight w:val="none"/>
        </w:rPr>
        <w:sectPr>
          <w:footerReference r:id="rId12" w:type="first"/>
          <w:footerReference r:id="rId11" w:type="default"/>
          <w:pgSz w:w="11906" w:h="16838"/>
          <w:pgMar w:top="1304" w:right="1021" w:bottom="1304" w:left="1247" w:header="720" w:footer="720" w:gutter="0"/>
          <w:pgBorders>
            <w:top w:val="none" w:sz="0" w:space="0"/>
            <w:left w:val="none" w:sz="0" w:space="0"/>
            <w:bottom w:val="none" w:sz="0" w:space="0"/>
            <w:right w:val="none" w:sz="0" w:space="0"/>
          </w:pgBorders>
          <w:pgNumType w:fmt="decimal" w:start="1"/>
          <w:cols w:space="720" w:num="1"/>
          <w:titlePg/>
          <w:docGrid w:type="linesAndChars" w:linePitch="326" w:charSpace="0"/>
        </w:sectPr>
      </w:pPr>
      <w:r>
        <w:rPr>
          <w:rFonts w:ascii="宋体" w:hAnsi="宋体"/>
          <w:bCs/>
          <w:caps/>
          <w:color w:val="auto"/>
          <w:sz w:val="28"/>
          <w:szCs w:val="28"/>
          <w:highlight w:val="none"/>
        </w:rPr>
        <w:fldChar w:fldCharType="end"/>
      </w:r>
    </w:p>
    <w:p>
      <w:pPr>
        <w:pStyle w:val="2"/>
        <w:spacing w:beforeLines="0" w:afterLines="0" w:line="360" w:lineRule="auto"/>
        <w:rPr>
          <w:rFonts w:ascii="宋体" w:cs="宋体"/>
          <w:color w:val="auto"/>
          <w:highlight w:val="none"/>
        </w:rPr>
      </w:pPr>
      <w:bookmarkStart w:id="22" w:name="_Toc28729"/>
      <w:bookmarkStart w:id="23" w:name="_Toc30020"/>
      <w:bookmarkStart w:id="24" w:name="_Toc25558"/>
      <w:bookmarkStart w:id="25" w:name="_Toc33718200"/>
      <w:r>
        <w:rPr>
          <w:rFonts w:hint="eastAsia" w:ascii="宋体" w:hAnsi="宋体" w:cs="宋体"/>
          <w:color w:val="auto"/>
          <w:highlight w:val="none"/>
        </w:rPr>
        <w:t>第一章</w:t>
      </w:r>
      <w:r>
        <w:rPr>
          <w:rFonts w:ascii="宋体" w:hAnsi="宋体" w:cs="宋体"/>
          <w:color w:val="auto"/>
          <w:highlight w:val="none"/>
        </w:rPr>
        <w:t xml:space="preserve">  </w:t>
      </w:r>
      <w:r>
        <w:rPr>
          <w:rFonts w:hint="eastAsia" w:ascii="宋体" w:hAnsi="宋体" w:cs="宋体"/>
          <w:color w:val="auto"/>
          <w:highlight w:val="none"/>
        </w:rPr>
        <w:t>招标公告</w:t>
      </w:r>
      <w:bookmarkEnd w:id="0"/>
      <w:bookmarkEnd w:id="1"/>
      <w:bookmarkEnd w:id="22"/>
      <w:bookmarkEnd w:id="23"/>
      <w:bookmarkEnd w:id="24"/>
      <w:bookmarkEnd w:id="25"/>
    </w:p>
    <w:p>
      <w:pPr>
        <w:snapToGrid w:val="0"/>
        <w:spacing w:line="360" w:lineRule="auto"/>
        <w:ind w:firstLine="80"/>
        <w:rPr>
          <w:rFonts w:hint="eastAsia" w:ascii="宋体" w:hAnsi="宋体" w:cs="宋体"/>
          <w:color w:val="auto"/>
          <w:sz w:val="4"/>
          <w:szCs w:val="4"/>
          <w:highlight w:val="none"/>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0" w:type="dxa"/>
            <w:noWrap w:val="0"/>
            <w:vAlign w:val="top"/>
          </w:tcPr>
          <w:p>
            <w:pPr>
              <w:pStyle w:val="34"/>
              <w:spacing w:before="0" w:beforeAutospacing="0" w:after="0" w:afterAutospacing="0" w:line="460" w:lineRule="exact"/>
              <w:ind w:firstLine="480"/>
              <w:rPr>
                <w:rFonts w:hint="eastAsia"/>
                <w:color w:val="auto"/>
                <w:highlight w:val="none"/>
              </w:rPr>
            </w:pPr>
            <w:r>
              <w:rPr>
                <w:rFonts w:hint="eastAsia"/>
                <w:color w:val="auto"/>
                <w:highlight w:val="none"/>
              </w:rPr>
              <w:t>项目概况</w:t>
            </w:r>
          </w:p>
          <w:p>
            <w:pPr>
              <w:pStyle w:val="34"/>
              <w:spacing w:before="0" w:beforeAutospacing="0" w:after="0" w:afterAutospacing="0" w:line="460" w:lineRule="exact"/>
              <w:ind w:firstLine="480"/>
              <w:jc w:val="both"/>
              <w:rPr>
                <w:rFonts w:hint="eastAsia"/>
                <w:color w:val="auto"/>
                <w:highlight w:val="none"/>
              </w:rPr>
            </w:pPr>
            <w:r>
              <w:rPr>
                <w:rFonts w:hint="eastAsia" w:cs="宋体"/>
                <w:color w:val="auto"/>
                <w:highlight w:val="none"/>
                <w:u w:val="single"/>
                <w:lang w:eastAsia="zh-CN"/>
              </w:rPr>
              <w:t>嵊州市人民医院检验科标本外送定点服务采购项目</w:t>
            </w:r>
            <w:r>
              <w:rPr>
                <w:rFonts w:hint="eastAsia"/>
                <w:color w:val="auto"/>
                <w:highlight w:val="none"/>
              </w:rPr>
              <w:t>招标项目的潜在投标人应在</w:t>
            </w:r>
            <w:r>
              <w:rPr>
                <w:rFonts w:hint="eastAsia"/>
                <w:color w:val="auto"/>
                <w:highlight w:val="none"/>
                <w:lang w:val="en-US" w:eastAsia="zh-CN"/>
              </w:rPr>
              <w:t xml:space="preserve"> </w:t>
            </w:r>
            <w:r>
              <w:rPr>
                <w:rFonts w:hint="eastAsia"/>
                <w:color w:val="auto"/>
                <w:highlight w:val="none"/>
                <w:u w:val="single"/>
              </w:rPr>
              <w:t>政府采购云平台（</w:t>
            </w:r>
            <w:r>
              <w:rPr>
                <w:rFonts w:hint="eastAsia"/>
                <w:color w:val="auto"/>
                <w:highlight w:val="none"/>
                <w:u w:val="single"/>
              </w:rPr>
              <w:fldChar w:fldCharType="begin"/>
            </w:r>
            <w:r>
              <w:rPr>
                <w:rFonts w:hint="eastAsia"/>
                <w:color w:val="auto"/>
                <w:highlight w:val="none"/>
                <w:u w:val="single"/>
              </w:rPr>
              <w:instrText xml:space="preserve"> HYPERLINK "http://zfcg.czt.zj.gov.cn/" </w:instrText>
            </w:r>
            <w:r>
              <w:rPr>
                <w:rFonts w:hint="eastAsia"/>
                <w:color w:val="auto"/>
                <w:highlight w:val="none"/>
                <w:u w:val="single"/>
              </w:rPr>
              <w:fldChar w:fldCharType="separate"/>
            </w:r>
            <w:r>
              <w:rPr>
                <w:rFonts w:hint="eastAsia"/>
                <w:color w:val="auto"/>
                <w:highlight w:val="none"/>
                <w:u w:val="single"/>
              </w:rPr>
              <w:t>http://zfcg.czt.zj.gov.cn/</w:t>
            </w:r>
            <w:r>
              <w:rPr>
                <w:rFonts w:hint="eastAsia"/>
                <w:color w:val="auto"/>
                <w:highlight w:val="none"/>
                <w:u w:val="single"/>
              </w:rPr>
              <w:fldChar w:fldCharType="end"/>
            </w:r>
            <w:r>
              <w:rPr>
                <w:rFonts w:hint="eastAsia"/>
                <w:color w:val="auto"/>
                <w:highlight w:val="none"/>
                <w:u w:val="single"/>
              </w:rPr>
              <w:t>）</w:t>
            </w:r>
            <w:r>
              <w:rPr>
                <w:rFonts w:hint="eastAsia"/>
                <w:color w:val="auto"/>
                <w:highlight w:val="none"/>
              </w:rPr>
              <w:t>获取（下载）招标文件，并于</w:t>
            </w:r>
            <w:r>
              <w:rPr>
                <w:rFonts w:hint="eastAsia"/>
                <w:color w:val="auto"/>
                <w:highlight w:val="none"/>
                <w:u w:val="single"/>
              </w:rPr>
              <w:t>202</w:t>
            </w:r>
            <w:r>
              <w:rPr>
                <w:rFonts w:hint="eastAsia"/>
                <w:color w:val="auto"/>
                <w:highlight w:val="none"/>
                <w:u w:val="single"/>
                <w:lang w:val="en-US" w:eastAsia="zh-CN"/>
              </w:rPr>
              <w:t>3</w:t>
            </w:r>
            <w:r>
              <w:rPr>
                <w:rFonts w:hint="eastAsia"/>
                <w:color w:val="auto"/>
                <w:highlight w:val="none"/>
                <w:u w:val="single"/>
              </w:rPr>
              <w:t>年</w:t>
            </w:r>
            <w:r>
              <w:rPr>
                <w:rFonts w:hint="eastAsia"/>
                <w:color w:val="auto"/>
                <w:highlight w:val="none"/>
                <w:u w:val="single"/>
                <w:lang w:val="en-US" w:eastAsia="zh-CN"/>
              </w:rPr>
              <w:t>2</w:t>
            </w:r>
            <w:r>
              <w:rPr>
                <w:rFonts w:hint="eastAsia"/>
                <w:color w:val="auto"/>
                <w:highlight w:val="none"/>
                <w:u w:val="single"/>
              </w:rPr>
              <w:t>月</w:t>
            </w:r>
            <w:r>
              <w:rPr>
                <w:rFonts w:hint="eastAsia"/>
                <w:color w:val="auto"/>
                <w:highlight w:val="none"/>
                <w:u w:val="single"/>
                <w:lang w:val="en-US" w:eastAsia="zh-CN"/>
              </w:rPr>
              <w:t>28日 9</w:t>
            </w:r>
            <w:r>
              <w:rPr>
                <w:rFonts w:hint="eastAsia"/>
                <w:color w:val="auto"/>
                <w:highlight w:val="none"/>
                <w:u w:val="single"/>
              </w:rPr>
              <w:t>:</w:t>
            </w:r>
            <w:r>
              <w:rPr>
                <w:rFonts w:hint="eastAsia"/>
                <w:color w:val="auto"/>
                <w:highlight w:val="none"/>
                <w:u w:val="single"/>
                <w:lang w:val="en-US" w:eastAsia="zh-CN"/>
              </w:rPr>
              <w:t>00</w:t>
            </w:r>
            <w:r>
              <w:rPr>
                <w:rFonts w:hint="eastAsia"/>
                <w:color w:val="auto"/>
                <w:highlight w:val="none"/>
              </w:rPr>
              <w:t>（北京时间）前递交（上传）投标文件。</w:t>
            </w:r>
          </w:p>
        </w:tc>
      </w:tr>
    </w:tbl>
    <w:p>
      <w:pPr>
        <w:pStyle w:val="34"/>
        <w:keepLines w:val="0"/>
        <w:pageBreakBefore w:val="0"/>
        <w:kinsoku/>
        <w:wordWrap/>
        <w:overflowPunct/>
        <w:topLinePunct w:val="0"/>
        <w:autoSpaceDE/>
        <w:autoSpaceDN/>
        <w:bidi w:val="0"/>
        <w:adjustRightInd/>
        <w:spacing w:before="0" w:beforeAutospacing="0" w:after="0" w:afterAutospacing="0" w:line="440" w:lineRule="exact"/>
        <w:ind w:firstLine="482"/>
        <w:textAlignment w:val="auto"/>
        <w:outlineLvl w:val="1"/>
        <w:rPr>
          <w:b/>
          <w:color w:val="auto"/>
          <w:kern w:val="2"/>
          <w:highlight w:val="none"/>
        </w:rPr>
      </w:pPr>
      <w:bookmarkStart w:id="26" w:name="_Toc14045"/>
      <w:r>
        <w:rPr>
          <w:rFonts w:hint="eastAsia"/>
          <w:b/>
          <w:color w:val="auto"/>
          <w:kern w:val="2"/>
          <w:highlight w:val="none"/>
        </w:rPr>
        <w:t>一、</w:t>
      </w:r>
      <w:r>
        <w:rPr>
          <w:b/>
          <w:color w:val="auto"/>
          <w:kern w:val="2"/>
          <w:highlight w:val="none"/>
        </w:rPr>
        <w:t>项目基本情况</w:t>
      </w:r>
      <w:bookmarkEnd w:id="26"/>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Fonts w:hint="eastAsia"/>
          <w:bCs/>
          <w:color w:val="auto"/>
          <w:kern w:val="2"/>
          <w:highlight w:val="none"/>
        </w:rPr>
      </w:pPr>
      <w:r>
        <w:rPr>
          <w:rFonts w:hint="eastAsia"/>
          <w:bCs/>
          <w:color w:val="auto"/>
          <w:kern w:val="2"/>
          <w:highlight w:val="none"/>
        </w:rPr>
        <w:t>项目编号：</w:t>
      </w:r>
      <w:r>
        <w:rPr>
          <w:rFonts w:hint="eastAsia" w:cs="宋体"/>
          <w:color w:val="auto"/>
          <w:highlight w:val="none"/>
          <w:lang w:eastAsia="zh-CN"/>
        </w:rPr>
        <w:t xml:space="preserve">SZZT-F230113RZJ </w:t>
      </w:r>
      <w:r>
        <w:rPr>
          <w:rFonts w:hint="eastAsia" w:ascii="宋体" w:hAnsi="宋体" w:cs="宋体"/>
          <w:color w:val="auto"/>
          <w:highlight w:val="none"/>
        </w:rPr>
        <w:t xml:space="preserve"> </w:t>
      </w:r>
    </w:p>
    <w:p>
      <w:pPr>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color w:val="auto"/>
          <w:highlight w:val="none"/>
          <w:lang w:val="en-US" w:eastAsia="zh-CN"/>
        </w:rPr>
      </w:pPr>
      <w:r>
        <w:rPr>
          <w:rFonts w:hint="eastAsia" w:ascii="宋体" w:hAnsi="宋体" w:eastAsia="宋体" w:cs="宋体"/>
          <w:bCs/>
          <w:color w:val="auto"/>
          <w:kern w:val="2"/>
          <w:highlight w:val="none"/>
        </w:rPr>
        <w:t>项</w:t>
      </w:r>
      <w:r>
        <w:rPr>
          <w:rFonts w:hint="eastAsia"/>
          <w:bCs/>
          <w:color w:val="auto"/>
          <w:kern w:val="2"/>
          <w:highlight w:val="none"/>
        </w:rPr>
        <w:t>目名称：</w:t>
      </w:r>
      <w:r>
        <w:rPr>
          <w:rFonts w:hint="eastAsia" w:ascii="宋体" w:hAnsi="宋体" w:cs="宋体"/>
          <w:color w:val="auto"/>
          <w:highlight w:val="none"/>
          <w:lang w:eastAsia="zh-CN"/>
        </w:rPr>
        <w:t>嵊州市人民医院检验科标本外送定点服务采购项目</w:t>
      </w:r>
      <w:r>
        <w:rPr>
          <w:rFonts w:hint="eastAsia"/>
          <w:color w:val="auto"/>
          <w:highlight w:val="none"/>
          <w:lang w:val="en-US" w:eastAsia="zh-CN"/>
        </w:rPr>
        <w:t xml:space="preserve">                                        </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0" w:firstLineChars="0"/>
        <w:textAlignment w:val="auto"/>
        <w:rPr>
          <w:rFonts w:hint="default" w:eastAsia="宋体"/>
          <w:bCs/>
          <w:color w:val="auto"/>
          <w:kern w:val="2"/>
          <w:highlight w:val="none"/>
          <w:lang w:val="en-US" w:eastAsia="zh-CN"/>
        </w:rPr>
      </w:pPr>
      <w:r>
        <w:rPr>
          <w:rFonts w:hint="eastAsia"/>
          <w:bCs/>
          <w:color w:val="auto"/>
          <w:kern w:val="2"/>
          <w:highlight w:val="none"/>
        </w:rPr>
        <w:t>   预算金额（元）：</w:t>
      </w:r>
      <w:r>
        <w:rPr>
          <w:rFonts w:hint="eastAsia"/>
          <w:bCs/>
          <w:color w:val="auto"/>
          <w:kern w:val="2"/>
          <w:highlight w:val="none"/>
          <w:lang w:val="en-US" w:eastAsia="zh-CN"/>
        </w:rPr>
        <w:t>6000000.00</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Fonts w:hint="default"/>
          <w:bCs/>
          <w:color w:val="auto"/>
          <w:kern w:val="2"/>
          <w:highlight w:val="none"/>
          <w:lang w:val="en-US"/>
        </w:rPr>
      </w:pPr>
      <w:r>
        <w:rPr>
          <w:rFonts w:hint="eastAsia"/>
          <w:bCs/>
          <w:color w:val="auto"/>
          <w:kern w:val="2"/>
          <w:highlight w:val="none"/>
        </w:rPr>
        <w:t>最高限价（元）：</w:t>
      </w:r>
      <w:r>
        <w:rPr>
          <w:rFonts w:hint="eastAsia"/>
          <w:bCs/>
          <w:color w:val="auto"/>
          <w:kern w:val="2"/>
          <w:highlight w:val="none"/>
          <w:lang w:val="en-US" w:eastAsia="zh-CN"/>
        </w:rPr>
        <w:t>6000000.00</w:t>
      </w:r>
    </w:p>
    <w:p>
      <w:pPr>
        <w:keepLines w:val="0"/>
        <w:pageBreakBefore w:val="0"/>
        <w:kinsoku/>
        <w:wordWrap/>
        <w:overflowPunct/>
        <w:topLinePunct w:val="0"/>
        <w:autoSpaceDE/>
        <w:autoSpaceDN/>
        <w:bidi w:val="0"/>
        <w:adjustRightInd/>
        <w:snapToGrid w:val="0"/>
        <w:spacing w:line="440" w:lineRule="exact"/>
        <w:ind w:firstLine="480"/>
        <w:textAlignment w:val="auto"/>
        <w:rPr>
          <w:rFonts w:hint="eastAsia" w:ascii="宋体" w:hAnsi="宋体" w:cs="宋体"/>
          <w:color w:val="auto"/>
          <w:highlight w:val="none"/>
        </w:rPr>
      </w:pPr>
      <w:r>
        <w:rPr>
          <w:rFonts w:hint="eastAsia" w:ascii="宋体" w:hAnsi="宋体" w:cs="宋体"/>
          <w:bCs/>
          <w:color w:val="auto"/>
          <w:highlight w:val="none"/>
        </w:rPr>
        <w:t>采购需求：</w:t>
      </w:r>
      <w:r>
        <w:rPr>
          <w:rFonts w:hint="eastAsia"/>
          <w:bCs/>
          <w:color w:val="auto"/>
          <w:highlight w:val="none"/>
        </w:rPr>
        <w:t>           </w:t>
      </w:r>
    </w:p>
    <w:tbl>
      <w:tblPr>
        <w:tblStyle w:val="37"/>
        <w:tblW w:w="9809" w:type="dxa"/>
        <w:jc w:val="center"/>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2205"/>
        <w:gridCol w:w="1050"/>
        <w:gridCol w:w="1575"/>
        <w:gridCol w:w="1665"/>
        <w:gridCol w:w="2535"/>
      </w:tblGrid>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973" w:hRule="atLeast"/>
          <w:jc w:val="center"/>
        </w:trPr>
        <w:tc>
          <w:tcPr>
            <w:tcW w:w="779" w:type="dxa"/>
            <w:tcBorders>
              <w:top w:val="thinThickSmallGap" w:color="000000" w:sz="12" w:space="0"/>
            </w:tcBorders>
            <w:noWrap w:val="0"/>
            <w:vAlign w:val="center"/>
          </w:tcPr>
          <w:p>
            <w:pPr>
              <w:keepLines w:val="0"/>
              <w:pageBreakBefore w:val="0"/>
              <w:kinsoku/>
              <w:wordWrap/>
              <w:overflowPunct/>
              <w:topLinePunct w:val="0"/>
              <w:autoSpaceDE/>
              <w:autoSpaceDN/>
              <w:bidi w:val="0"/>
              <w:adjustRightInd/>
              <w:spacing w:line="44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序号</w:t>
            </w:r>
          </w:p>
        </w:tc>
        <w:tc>
          <w:tcPr>
            <w:tcW w:w="2205" w:type="dxa"/>
            <w:tcBorders>
              <w:top w:val="thinThickSmallGap" w:color="000000" w:sz="12" w:space="0"/>
            </w:tcBorders>
            <w:noWrap w:val="0"/>
            <w:vAlign w:val="center"/>
          </w:tcPr>
          <w:p>
            <w:pPr>
              <w:keepLines w:val="0"/>
              <w:pageBreakBefore w:val="0"/>
              <w:kinsoku/>
              <w:wordWrap/>
              <w:overflowPunct/>
              <w:topLinePunct w:val="0"/>
              <w:autoSpaceDE/>
              <w:autoSpaceDN/>
              <w:bidi w:val="0"/>
              <w:adjustRightIn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1050" w:type="dxa"/>
            <w:tcBorders>
              <w:top w:val="thinThickSmallGap" w:color="000000" w:sz="12" w:space="0"/>
            </w:tcBorders>
            <w:noWrap w:val="0"/>
            <w:vAlign w:val="center"/>
          </w:tcPr>
          <w:p>
            <w:pPr>
              <w:keepLines w:val="0"/>
              <w:pageBreakBefore w:val="0"/>
              <w:kinsoku/>
              <w:wordWrap/>
              <w:overflowPunct/>
              <w:topLinePunct w:val="0"/>
              <w:autoSpaceDE/>
              <w:autoSpaceDN/>
              <w:bidi w:val="0"/>
              <w:adjustRightIn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lang w:val="en-US" w:eastAsia="zh-CN"/>
              </w:rPr>
              <w:t>数量</w:t>
            </w:r>
          </w:p>
        </w:tc>
        <w:tc>
          <w:tcPr>
            <w:tcW w:w="1575" w:type="dxa"/>
            <w:tcBorders>
              <w:top w:val="thinThickSmallGap" w:color="000000" w:sz="12" w:space="0"/>
            </w:tcBorders>
            <w:noWrap w:val="0"/>
            <w:vAlign w:val="center"/>
          </w:tcPr>
          <w:p>
            <w:pPr>
              <w:keepLines w:val="0"/>
              <w:pageBreakBefore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val="0"/>
                <w:color w:val="auto"/>
                <w:sz w:val="24"/>
                <w:szCs w:val="24"/>
                <w:highlight w:val="none"/>
                <w:lang w:eastAsia="zh-CN"/>
              </w:rPr>
              <w:t>单年预算</w:t>
            </w:r>
            <w:r>
              <w:rPr>
                <w:rFonts w:hint="eastAsia" w:ascii="宋体" w:hAnsi="宋体" w:eastAsia="宋体" w:cs="宋体"/>
                <w:bCs w:val="0"/>
                <w:color w:val="auto"/>
                <w:sz w:val="24"/>
                <w:szCs w:val="24"/>
                <w:highlight w:val="none"/>
                <w:lang w:val="en-US" w:eastAsia="zh-CN"/>
              </w:rPr>
              <w:t xml:space="preserve">  </w:t>
            </w:r>
            <w:r>
              <w:rPr>
                <w:rFonts w:hint="eastAsia" w:ascii="宋体" w:hAnsi="宋体" w:eastAsia="宋体" w:cs="宋体"/>
                <w:bCs w:val="0"/>
                <w:color w:val="auto"/>
                <w:sz w:val="24"/>
                <w:szCs w:val="24"/>
                <w:highlight w:val="none"/>
                <w:lang w:eastAsia="zh-CN"/>
              </w:rPr>
              <w:t>金额</w:t>
            </w:r>
          </w:p>
        </w:tc>
        <w:tc>
          <w:tcPr>
            <w:tcW w:w="1665" w:type="dxa"/>
            <w:tcBorders>
              <w:top w:val="thinThickSmallGap" w:color="000000" w:sz="12" w:space="0"/>
              <w:right w:val="single" w:color="auto" w:sz="4" w:space="0"/>
            </w:tcBorders>
            <w:noWrap w:val="0"/>
            <w:vAlign w:val="center"/>
          </w:tcPr>
          <w:p>
            <w:pPr>
              <w:keepLines w:val="0"/>
              <w:pageBreakBefore w:val="0"/>
              <w:kinsoku/>
              <w:wordWrap/>
              <w:overflowPunct/>
              <w:topLinePunct w:val="0"/>
              <w:autoSpaceDE/>
              <w:autoSpaceDN/>
              <w:bidi w:val="0"/>
              <w:adjustRightIn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baseline"/>
              </w:rPr>
              <w:t>简要规格描述或项目基本概况介绍、用途</w:t>
            </w:r>
          </w:p>
        </w:tc>
        <w:tc>
          <w:tcPr>
            <w:tcW w:w="2535" w:type="dxa"/>
            <w:tcBorders>
              <w:top w:val="thinThickSmallGap" w:color="000000" w:sz="12" w:space="0"/>
              <w:right w:val="single" w:color="auto" w:sz="4" w:space="0"/>
            </w:tcBorders>
            <w:noWrap w:val="0"/>
            <w:vAlign w:val="center"/>
          </w:tcPr>
          <w:p>
            <w:pPr>
              <w:keepLines w:val="0"/>
              <w:pageBreakBefore w:val="0"/>
              <w:kinsoku/>
              <w:wordWrap/>
              <w:overflowPunct/>
              <w:topLinePunct w:val="0"/>
              <w:autoSpaceDE/>
              <w:autoSpaceDN/>
              <w:bidi w:val="0"/>
              <w:adjustRightIn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779" w:type="dxa"/>
            <w:noWrap w:val="0"/>
            <w:vAlign w:val="center"/>
          </w:tcPr>
          <w:p>
            <w:pPr>
              <w:keepLines w:val="0"/>
              <w:pageBreakBefore w:val="0"/>
              <w:kinsoku/>
              <w:wordWrap/>
              <w:overflowPunct/>
              <w:topLinePunct w:val="0"/>
              <w:autoSpaceDE/>
              <w:autoSpaceDN/>
              <w:bidi w:val="0"/>
              <w:adjustRightIn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05" w:type="dxa"/>
            <w:noWrap w:val="0"/>
            <w:vAlign w:val="center"/>
          </w:tcPr>
          <w:p>
            <w:pPr>
              <w:keepLines w:val="0"/>
              <w:pageBreakBefore w:val="0"/>
              <w:kinsoku/>
              <w:wordWrap/>
              <w:overflowPunct/>
              <w:topLinePunct w:val="0"/>
              <w:autoSpaceDE/>
              <w:autoSpaceDN/>
              <w:bidi w:val="0"/>
              <w:adjustRightIn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highlight w:val="none"/>
                <w:lang w:eastAsia="zh-CN"/>
              </w:rPr>
              <w:t>嵊州市人民医院检验科标本外送定点服务采购项目</w:t>
            </w:r>
            <w:r>
              <w:rPr>
                <w:rFonts w:hint="eastAsia"/>
                <w:color w:val="auto"/>
                <w:highlight w:val="none"/>
                <w:lang w:val="en-US" w:eastAsia="zh-CN"/>
              </w:rPr>
              <w:t xml:space="preserve"> </w:t>
            </w:r>
            <w:r>
              <w:rPr>
                <w:rFonts w:hint="eastAsia" w:ascii="宋体" w:hAnsi="宋体" w:cs="宋体"/>
                <w:color w:val="auto"/>
                <w:highlight w:val="none"/>
                <w:lang w:val="en-US" w:eastAsia="zh-CN"/>
              </w:rPr>
              <w:t xml:space="preserve"> </w:t>
            </w:r>
          </w:p>
        </w:tc>
        <w:tc>
          <w:tcPr>
            <w:tcW w:w="1050" w:type="dxa"/>
            <w:noWrap w:val="0"/>
            <w:vAlign w:val="center"/>
          </w:tcPr>
          <w:p>
            <w:pPr>
              <w:keepLines w:val="0"/>
              <w:pageBreakBefore w:val="0"/>
              <w:kinsoku/>
              <w:wordWrap/>
              <w:overflowPunct/>
              <w:topLinePunct w:val="0"/>
              <w:autoSpaceDE/>
              <w:autoSpaceDN/>
              <w:bidi w:val="0"/>
              <w:adjustRightInd/>
              <w:spacing w:line="440" w:lineRule="exact"/>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3年 </w:t>
            </w:r>
          </w:p>
        </w:tc>
        <w:tc>
          <w:tcPr>
            <w:tcW w:w="1575"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center"/>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highlight w:val="none"/>
                <w:lang w:val="en-US" w:eastAsia="zh-CN"/>
              </w:rPr>
              <w:t>200</w:t>
            </w:r>
            <w:r>
              <w:rPr>
                <w:rFonts w:hint="eastAsia" w:ascii="宋体" w:hAnsi="宋体" w:eastAsia="宋体" w:cs="宋体"/>
                <w:color w:val="auto"/>
                <w:highlight w:val="none"/>
                <w:lang w:eastAsia="zh-CN"/>
              </w:rPr>
              <w:t>万元/年</w:t>
            </w:r>
            <w:r>
              <w:rPr>
                <w:rFonts w:hint="eastAsia" w:ascii="宋体" w:hAnsi="宋体" w:eastAsia="宋体" w:cs="宋体"/>
                <w:bCs/>
                <w:color w:val="auto"/>
                <w:sz w:val="24"/>
                <w:szCs w:val="24"/>
                <w:highlight w:val="none"/>
                <w:lang w:val="en-US" w:eastAsia="zh-CN"/>
              </w:rPr>
              <w:t xml:space="preserve"> </w:t>
            </w:r>
          </w:p>
        </w:tc>
        <w:tc>
          <w:tcPr>
            <w:tcW w:w="1665" w:type="dxa"/>
            <w:tcBorders>
              <w:right w:val="single" w:color="auto" w:sz="4" w:space="0"/>
            </w:tcBorders>
            <w:noWrap w:val="0"/>
            <w:vAlign w:val="center"/>
          </w:tcPr>
          <w:p>
            <w:pPr>
              <w:keepLines w:val="0"/>
              <w:pageBreakBefore w:val="0"/>
              <w:kinsoku/>
              <w:wordWrap/>
              <w:overflowPunct/>
              <w:topLinePunct w:val="0"/>
              <w:autoSpaceDE/>
              <w:autoSpaceDN/>
              <w:bidi w:val="0"/>
              <w:adjustRightIn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baseline"/>
                <w:lang w:val="en-US" w:eastAsia="zh-CN"/>
              </w:rPr>
              <w:t>详见招标文件</w:t>
            </w:r>
          </w:p>
        </w:tc>
        <w:tc>
          <w:tcPr>
            <w:tcW w:w="2535" w:type="dxa"/>
            <w:tcBorders>
              <w:right w:val="single" w:color="auto" w:sz="4" w:space="0"/>
            </w:tcBorders>
            <w:noWrap w:val="0"/>
            <w:vAlign w:val="center"/>
          </w:tcPr>
          <w:p>
            <w:pPr>
              <w:keepLines w:val="0"/>
              <w:pageBreakBefore w:val="0"/>
              <w:kinsoku/>
              <w:wordWrap/>
              <w:overflowPunct/>
              <w:topLinePunct w:val="0"/>
              <w:autoSpaceDE/>
              <w:autoSpaceDN/>
              <w:bidi w:val="0"/>
              <w:adjustRightInd/>
              <w:spacing w:line="440" w:lineRule="exact"/>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highlight w:val="none"/>
                <w:lang w:eastAsia="zh-CN"/>
              </w:rPr>
              <w:t>本项目按</w:t>
            </w:r>
            <w:r>
              <w:rPr>
                <w:rFonts w:hint="eastAsia" w:ascii="宋体" w:hAnsi="宋体" w:eastAsia="宋体" w:cs="宋体"/>
                <w:color w:val="auto"/>
                <w:highlight w:val="none"/>
                <w:lang w:val="en-US" w:eastAsia="zh-CN"/>
              </w:rPr>
              <w:t>折扣</w:t>
            </w:r>
            <w:r>
              <w:rPr>
                <w:rFonts w:hint="eastAsia" w:ascii="宋体" w:hAnsi="宋体" w:eastAsia="宋体" w:cs="宋体"/>
                <w:color w:val="auto"/>
                <w:highlight w:val="none"/>
                <w:lang w:eastAsia="zh-CN"/>
              </w:rPr>
              <w:t>率进行报价，报价分按折扣</w:t>
            </w:r>
            <w:r>
              <w:rPr>
                <w:rFonts w:hint="eastAsia" w:ascii="宋体" w:hAnsi="宋体" w:eastAsia="宋体" w:cs="宋体"/>
                <w:color w:val="auto"/>
                <w:highlight w:val="none"/>
                <w:lang w:val="en-US" w:eastAsia="zh-CN"/>
              </w:rPr>
              <w:t>计算，</w:t>
            </w:r>
            <w:r>
              <w:rPr>
                <w:rFonts w:hint="eastAsia" w:ascii="宋体" w:hAnsi="宋体" w:eastAsia="宋体" w:cs="宋体"/>
                <w:color w:val="auto"/>
                <w:highlight w:val="none"/>
                <w:lang w:eastAsia="zh-CN"/>
              </w:rPr>
              <w:t>最高限价为《浙江省医疗服务价格手册》收费标准的</w:t>
            </w:r>
            <w:r>
              <w:rPr>
                <w:rFonts w:hint="eastAsia" w:ascii="宋体" w:hAnsi="宋体" w:eastAsia="宋体" w:cs="宋体"/>
                <w:color w:val="auto"/>
                <w:highlight w:val="none"/>
                <w:lang w:val="en-US" w:eastAsia="zh-CN"/>
              </w:rPr>
              <w:t>35%</w:t>
            </w:r>
            <w:r>
              <w:rPr>
                <w:rFonts w:hint="eastAsia" w:ascii="宋体" w:hAnsi="宋体" w:eastAsia="宋体" w:cs="宋体"/>
                <w:color w:val="auto"/>
                <w:highlight w:val="none"/>
                <w:lang w:eastAsia="zh-CN"/>
              </w:rPr>
              <w:t>。</w:t>
            </w:r>
          </w:p>
        </w:tc>
      </w:tr>
    </w:tbl>
    <w:p>
      <w:pPr>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pacing w:val="2"/>
          <w:highlight w:val="none"/>
        </w:rPr>
      </w:pPr>
      <w:r>
        <w:rPr>
          <w:rFonts w:hint="eastAsia" w:ascii="宋体" w:hAnsi="宋体" w:cs="宋体"/>
          <w:bCs/>
          <w:color w:val="auto"/>
          <w:highlight w:val="none"/>
        </w:rPr>
        <w:t>合同履行期限：</w:t>
      </w:r>
      <w:r>
        <w:rPr>
          <w:rFonts w:hint="eastAsia" w:ascii="宋体" w:hAnsi="宋体" w:cs="宋体"/>
          <w:bCs/>
          <w:color w:val="auto"/>
          <w:sz w:val="24"/>
          <w:szCs w:val="24"/>
          <w:highlight w:val="none"/>
        </w:rPr>
        <w:t>按照招标文件的规定</w:t>
      </w:r>
      <w:r>
        <w:rPr>
          <w:rFonts w:hint="eastAsia" w:ascii="宋体" w:hAnsi="宋体" w:eastAsia="宋体" w:cs="宋体"/>
          <w:color w:val="auto"/>
          <w:spacing w:val="2"/>
          <w:highlight w:val="none"/>
        </w:rPr>
        <w:t>。</w:t>
      </w:r>
    </w:p>
    <w:p>
      <w:pPr>
        <w:pStyle w:val="2"/>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jc w:val="both"/>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rPr>
        <w:t>本项目（</w:t>
      </w:r>
      <w:r>
        <w:rPr>
          <w:rFonts w:hint="eastAsia" w:ascii="宋体" w:hAnsi="宋体"/>
          <w:b w:val="0"/>
          <w:bCs w:val="0"/>
          <w:color w:val="auto"/>
          <w:sz w:val="24"/>
          <w:highlight w:val="none"/>
          <w:lang w:val="en-US" w:eastAsia="zh-CN"/>
        </w:rPr>
        <w:t>否</w:t>
      </w:r>
      <w:r>
        <w:rPr>
          <w:rFonts w:hint="eastAsia" w:ascii="宋体" w:hAnsi="宋体"/>
          <w:b w:val="0"/>
          <w:bCs w:val="0"/>
          <w:color w:val="auto"/>
          <w:sz w:val="24"/>
          <w:highlight w:val="none"/>
        </w:rPr>
        <w:t>）接受联合体投标</w:t>
      </w:r>
      <w:r>
        <w:rPr>
          <w:rFonts w:hint="eastAsia" w:ascii="宋体" w:hAnsi="宋体"/>
          <w:b w:val="0"/>
          <w:bCs w:val="0"/>
          <w:color w:val="auto"/>
          <w:sz w:val="24"/>
          <w:highlight w:val="none"/>
          <w:lang w:eastAsia="zh-CN"/>
        </w:rPr>
        <w:t>。</w:t>
      </w:r>
    </w:p>
    <w:p>
      <w:pPr>
        <w:pStyle w:val="5"/>
        <w:keepLines w:val="0"/>
        <w:pageBreakBefore w:val="0"/>
        <w:kinsoku/>
        <w:wordWrap/>
        <w:overflowPunct/>
        <w:topLinePunct w:val="0"/>
        <w:autoSpaceDE/>
        <w:autoSpaceDN/>
        <w:bidi w:val="0"/>
        <w:adjustRightInd/>
        <w:snapToGrid/>
        <w:spacing w:line="440" w:lineRule="exact"/>
        <w:ind w:firstLine="482"/>
        <w:textAlignment w:val="auto"/>
        <w:rPr>
          <w:rStyle w:val="60"/>
          <w:rFonts w:hint="eastAsia"/>
          <w:color w:val="auto"/>
          <w:szCs w:val="22"/>
          <w:highlight w:val="none"/>
        </w:rPr>
      </w:pPr>
      <w:r>
        <w:rPr>
          <w:rStyle w:val="60"/>
          <w:rFonts w:hint="eastAsia"/>
          <w:color w:val="auto"/>
          <w:szCs w:val="22"/>
          <w:highlight w:val="none"/>
        </w:rPr>
        <w:t>二、申请人资格要求</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jc w:val="both"/>
        <w:textAlignment w:val="auto"/>
        <w:rPr>
          <w:rFonts w:hint="eastAsia"/>
          <w:bCs/>
          <w:color w:val="auto"/>
          <w:kern w:val="2"/>
          <w:highlight w:val="none"/>
        </w:rPr>
      </w:pPr>
      <w:r>
        <w:rPr>
          <w:rFonts w:hint="eastAsia"/>
          <w:bCs/>
          <w:color w:val="auto"/>
          <w:kern w:val="2"/>
          <w:highlight w:val="none"/>
        </w:rPr>
        <w:t>1.满足《中华人民共和国政府采购法》第二十二条规定；</w:t>
      </w:r>
      <w:r>
        <w:rPr>
          <w:rFonts w:hint="eastAsia" w:ascii="宋体" w:hAnsi="宋体" w:cs="宋体"/>
          <w:b w:val="0"/>
          <w:bCs w:val="0"/>
          <w:color w:val="auto"/>
          <w:sz w:val="24"/>
          <w:highlight w:val="none"/>
        </w:rPr>
        <w:t>未被“信用中国”（www.creditchina.gov.cn)、中国政府采购网（www.ccgp.gov.cn）列入失信被执行人、重大税收违法案件当事人名单、政府采购严重违法失信行为记录名单。</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Fonts w:hint="eastAsia" w:ascii="宋体" w:hAnsi="宋体" w:eastAsia="宋体" w:cs="宋体"/>
          <w:bCs/>
          <w:color w:val="auto"/>
          <w:kern w:val="2"/>
          <w:highlight w:val="none"/>
        </w:rPr>
      </w:pPr>
      <w:r>
        <w:rPr>
          <w:rFonts w:hint="eastAsia"/>
          <w:bCs/>
          <w:color w:val="auto"/>
          <w:kern w:val="2"/>
          <w:highlight w:val="none"/>
        </w:rPr>
        <w:t>2.落实政府采购政策需满足的资格要求：</w:t>
      </w:r>
      <w:r>
        <w:rPr>
          <w:rFonts w:hint="eastAsia" w:ascii="宋体" w:hAnsi="宋体" w:eastAsia="宋体" w:cs="宋体"/>
          <w:bCs/>
          <w:color w:val="auto"/>
          <w:kern w:val="2"/>
          <w:highlight w:val="none"/>
        </w:rPr>
        <w:t> </w:t>
      </w:r>
    </w:p>
    <w:p>
      <w:pPr>
        <w:spacing w:line="360" w:lineRule="auto"/>
        <w:ind w:firstLine="480" w:firstLineChars="200"/>
        <w:rPr>
          <w:rFonts w:hint="eastAsia" w:ascii="宋体" w:hAnsi="宋体" w:eastAsia="宋体" w:cs="宋体"/>
          <w:color w:val="auto"/>
          <w:sz w:val="24"/>
          <w:highlight w:val="none"/>
        </w:rPr>
      </w:pPr>
      <w:r>
        <w:rPr>
          <w:rFonts w:ascii="Wingdings" w:hAnsi="Wingdings" w:eastAsia="MS Gothic" w:cs="Arial"/>
          <w:color w:val="auto"/>
          <w:kern w:val="0"/>
          <w:sz w:val="24"/>
          <w:szCs w:val="24"/>
          <w:highlight w:val="none"/>
          <w:lang w:val="en-US" w:eastAsia="zh-CN" w:bidi="ar-SA"/>
        </w:rPr>
        <w:sym w:font="Wingdings" w:char="00FE"/>
      </w:r>
      <w:r>
        <w:rPr>
          <w:rFonts w:hint="eastAsia" w:ascii="宋体" w:hAnsi="宋体" w:eastAsia="宋体" w:cs="宋体"/>
          <w:color w:val="auto"/>
          <w:sz w:val="24"/>
          <w:highlight w:val="none"/>
        </w:rPr>
        <w:t>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u w:val="singl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rPr>
        <w:t>货物全部由符合政策要求的中小企业制造，提供中小企业声明函；</w:t>
      </w:r>
    </w:p>
    <w:p>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rPr>
        <w:t>服务全部由符合政策要求的小微企业承接，提供中小企业声明函；</w:t>
      </w:r>
    </w:p>
    <w:p>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cs="宋体"/>
          <w:b/>
          <w:bCs/>
          <w:color w:val="auto"/>
          <w:highlight w:val="none"/>
        </w:rPr>
      </w:pPr>
      <w:r>
        <w:rPr>
          <w:rFonts w:hint="eastAsia"/>
          <w:bCs/>
          <w:color w:val="auto"/>
          <w:kern w:val="2"/>
          <w:highlight w:val="none"/>
        </w:rPr>
        <w:t>3.本项目的特定资格要求：</w:t>
      </w:r>
      <w:r>
        <w:rPr>
          <w:rFonts w:hint="eastAsia" w:ascii="宋体" w:hAnsi="宋体" w:cs="宋体"/>
          <w:b/>
          <w:bCs/>
          <w:color w:val="auto"/>
          <w:spacing w:val="6"/>
          <w:sz w:val="24"/>
          <w:szCs w:val="24"/>
          <w:highlight w:val="none"/>
          <w:u w:val="none"/>
        </w:rPr>
        <w:t>投标人具有有效期内实验室相关认证证书（医疗机构执行许可证，实验室认证， PCR实验室技术验收合格证书）</w:t>
      </w:r>
      <w:r>
        <w:rPr>
          <w:rFonts w:hint="eastAsia" w:ascii="宋体" w:hAnsi="宋体" w:cs="宋体"/>
          <w:b/>
          <w:bCs/>
          <w:color w:val="auto"/>
          <w:spacing w:val="6"/>
          <w:sz w:val="24"/>
          <w:szCs w:val="24"/>
          <w:highlight w:val="none"/>
          <w:u w:val="none"/>
          <w:lang w:eastAsia="zh-CN"/>
        </w:rPr>
        <w:t>。</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2"/>
        <w:textAlignment w:val="auto"/>
        <w:outlineLvl w:val="1"/>
        <w:rPr>
          <w:b/>
          <w:color w:val="auto"/>
          <w:kern w:val="2"/>
          <w:highlight w:val="none"/>
        </w:rPr>
      </w:pPr>
      <w:bookmarkStart w:id="27" w:name="_Toc17869"/>
      <w:bookmarkStart w:id="28" w:name="_Toc31445"/>
      <w:r>
        <w:rPr>
          <w:b/>
          <w:color w:val="auto"/>
          <w:kern w:val="2"/>
          <w:highlight w:val="none"/>
        </w:rPr>
        <w:t>三、获取招标文件</w:t>
      </w:r>
      <w:bookmarkEnd w:id="27"/>
      <w:bookmarkEnd w:id="28"/>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Fonts w:hint="eastAsia"/>
          <w:bCs/>
          <w:color w:val="auto"/>
          <w:kern w:val="2"/>
          <w:highlight w:val="none"/>
        </w:rPr>
      </w:pPr>
      <w:r>
        <w:rPr>
          <w:rFonts w:hint="eastAsia"/>
          <w:bCs/>
          <w:color w:val="auto"/>
          <w:kern w:val="2"/>
          <w:highlight w:val="none"/>
        </w:rPr>
        <w:t>1.时间：</w:t>
      </w:r>
      <w:r>
        <w:rPr>
          <w:rFonts w:hint="eastAsia" w:ascii="仿宋" w:hAnsi="仿宋" w:eastAsia="仿宋" w:cs="仿宋"/>
          <w:color w:val="auto"/>
          <w:sz w:val="24"/>
          <w:highlight w:val="none"/>
        </w:rPr>
        <w:t>/</w:t>
      </w:r>
      <w:r>
        <w:rPr>
          <w:rFonts w:hint="eastAsia"/>
          <w:bCs/>
          <w:color w:val="auto"/>
          <w:kern w:val="2"/>
          <w:highlight w:val="none"/>
        </w:rPr>
        <w:t>至</w:t>
      </w:r>
      <w:r>
        <w:rPr>
          <w:rFonts w:hint="eastAsia"/>
          <w:color w:val="auto"/>
          <w:highlight w:val="none"/>
          <w:u w:val="single"/>
        </w:rPr>
        <w:t>202</w:t>
      </w:r>
      <w:r>
        <w:rPr>
          <w:rFonts w:hint="eastAsia"/>
          <w:color w:val="auto"/>
          <w:highlight w:val="none"/>
          <w:u w:val="single"/>
          <w:lang w:val="en-US" w:eastAsia="zh-CN"/>
        </w:rPr>
        <w:t>3</w:t>
      </w:r>
      <w:r>
        <w:rPr>
          <w:rFonts w:hint="eastAsia"/>
          <w:color w:val="auto"/>
          <w:highlight w:val="none"/>
          <w:u w:val="single"/>
        </w:rPr>
        <w:t>年</w:t>
      </w:r>
      <w:r>
        <w:rPr>
          <w:rFonts w:hint="eastAsia"/>
          <w:color w:val="auto"/>
          <w:highlight w:val="none"/>
          <w:u w:val="single"/>
          <w:lang w:val="en-US" w:eastAsia="zh-CN"/>
        </w:rPr>
        <w:t>2月28日</w:t>
      </w:r>
      <w:r>
        <w:rPr>
          <w:rFonts w:hint="eastAsia"/>
          <w:bCs/>
          <w:color w:val="auto"/>
          <w:kern w:val="2"/>
          <w:highlight w:val="none"/>
        </w:rPr>
        <w:t> ，每天上午</w:t>
      </w:r>
      <w:r>
        <w:rPr>
          <w:rFonts w:hint="eastAsia"/>
          <w:bCs/>
          <w:color w:val="auto"/>
          <w:kern w:val="2"/>
          <w:highlight w:val="none"/>
          <w:u w:val="single"/>
        </w:rPr>
        <w:t>00:00</w:t>
      </w:r>
      <w:r>
        <w:rPr>
          <w:rFonts w:hint="eastAsia"/>
          <w:bCs/>
          <w:color w:val="auto"/>
          <w:kern w:val="2"/>
          <w:highlight w:val="none"/>
        </w:rPr>
        <w:t>至</w:t>
      </w:r>
      <w:r>
        <w:rPr>
          <w:rFonts w:hint="eastAsia"/>
          <w:bCs/>
          <w:color w:val="auto"/>
          <w:kern w:val="2"/>
          <w:highlight w:val="none"/>
          <w:u w:val="single"/>
        </w:rPr>
        <w:t>12:00</w:t>
      </w:r>
      <w:r>
        <w:rPr>
          <w:rFonts w:hint="eastAsia"/>
          <w:bCs/>
          <w:color w:val="auto"/>
          <w:kern w:val="2"/>
          <w:highlight w:val="none"/>
        </w:rPr>
        <w:t>，下午</w:t>
      </w:r>
      <w:r>
        <w:rPr>
          <w:rFonts w:hint="eastAsia"/>
          <w:bCs/>
          <w:color w:val="auto"/>
          <w:kern w:val="2"/>
          <w:highlight w:val="none"/>
          <w:u w:val="single"/>
        </w:rPr>
        <w:t>12:00</w:t>
      </w:r>
      <w:r>
        <w:rPr>
          <w:rFonts w:hint="eastAsia"/>
          <w:bCs/>
          <w:color w:val="auto"/>
          <w:kern w:val="2"/>
          <w:highlight w:val="none"/>
        </w:rPr>
        <w:t>至</w:t>
      </w:r>
      <w:r>
        <w:rPr>
          <w:rFonts w:hint="eastAsia"/>
          <w:bCs/>
          <w:color w:val="auto"/>
          <w:kern w:val="2"/>
          <w:highlight w:val="none"/>
          <w:u w:val="single"/>
        </w:rPr>
        <w:t>23:59</w:t>
      </w:r>
      <w:r>
        <w:rPr>
          <w:rFonts w:hint="eastAsia"/>
          <w:bCs/>
          <w:color w:val="auto"/>
          <w:kern w:val="2"/>
          <w:highlight w:val="none"/>
        </w:rPr>
        <w:t>（北京时间，线上获取法定节假日均可，线下获取文件法定节假日除外）</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Fonts w:hint="eastAsia"/>
          <w:bCs/>
          <w:color w:val="auto"/>
          <w:kern w:val="2"/>
          <w:highlight w:val="none"/>
        </w:rPr>
      </w:pPr>
      <w:r>
        <w:rPr>
          <w:rFonts w:hint="eastAsia"/>
          <w:bCs/>
          <w:color w:val="auto"/>
          <w:kern w:val="2"/>
          <w:highlight w:val="none"/>
        </w:rPr>
        <w:t>2.地点（网址）：政府采购云平台（http://zfcg.czt.zj.gov.cn/） </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Fonts w:hint="eastAsia"/>
          <w:bCs/>
          <w:color w:val="auto"/>
          <w:kern w:val="2"/>
          <w:highlight w:val="none"/>
        </w:rPr>
      </w:pPr>
      <w:r>
        <w:rPr>
          <w:rFonts w:hint="eastAsia"/>
          <w:bCs/>
          <w:color w:val="auto"/>
          <w:kern w:val="2"/>
          <w:highlight w:val="none"/>
        </w:rPr>
        <w:t>3.方式：在线获取 </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Fonts w:hint="eastAsia"/>
          <w:bCs/>
          <w:color w:val="auto"/>
          <w:kern w:val="2"/>
          <w:highlight w:val="none"/>
        </w:rPr>
      </w:pPr>
      <w:r>
        <w:rPr>
          <w:rFonts w:hint="eastAsia"/>
          <w:bCs/>
          <w:color w:val="auto"/>
          <w:kern w:val="2"/>
          <w:highlight w:val="none"/>
        </w:rPr>
        <w:t>4.售价（元）：0 </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2"/>
        <w:textAlignment w:val="auto"/>
        <w:outlineLvl w:val="1"/>
        <w:rPr>
          <w:b/>
          <w:color w:val="auto"/>
          <w:kern w:val="2"/>
          <w:highlight w:val="none"/>
        </w:rPr>
      </w:pPr>
      <w:bookmarkStart w:id="29" w:name="_Toc208"/>
      <w:bookmarkStart w:id="30" w:name="_Toc413"/>
      <w:r>
        <w:rPr>
          <w:b/>
          <w:color w:val="auto"/>
          <w:kern w:val="2"/>
          <w:highlight w:val="none"/>
        </w:rPr>
        <w:t>四、提交投标文件截止时间、开标时间和地点</w:t>
      </w:r>
      <w:bookmarkEnd w:id="29"/>
      <w:bookmarkEnd w:id="30"/>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Fonts w:hint="eastAsia"/>
          <w:bCs/>
          <w:color w:val="auto"/>
          <w:kern w:val="2"/>
          <w:highlight w:val="none"/>
        </w:rPr>
      </w:pPr>
      <w:r>
        <w:rPr>
          <w:rFonts w:hint="eastAsia"/>
          <w:bCs/>
          <w:color w:val="auto"/>
          <w:kern w:val="2"/>
          <w:highlight w:val="none"/>
        </w:rPr>
        <w:t>1.提交投标文件截止时间：</w:t>
      </w:r>
      <w:r>
        <w:rPr>
          <w:rFonts w:hint="eastAsia"/>
          <w:bCs/>
          <w:color w:val="auto"/>
          <w:kern w:val="2"/>
          <w:highlight w:val="none"/>
          <w:u w:val="single"/>
        </w:rPr>
        <w:t>202</w:t>
      </w:r>
      <w:r>
        <w:rPr>
          <w:rFonts w:hint="eastAsia"/>
          <w:bCs/>
          <w:color w:val="auto"/>
          <w:kern w:val="2"/>
          <w:highlight w:val="none"/>
          <w:u w:val="single"/>
          <w:lang w:val="en-US" w:eastAsia="zh-CN"/>
        </w:rPr>
        <w:t>3</w:t>
      </w:r>
      <w:r>
        <w:rPr>
          <w:rFonts w:hint="eastAsia"/>
          <w:bCs/>
          <w:color w:val="auto"/>
          <w:kern w:val="2"/>
          <w:highlight w:val="none"/>
          <w:u w:val="single"/>
        </w:rPr>
        <w:t>年</w:t>
      </w:r>
      <w:r>
        <w:rPr>
          <w:rFonts w:hint="eastAsia"/>
          <w:bCs/>
          <w:color w:val="auto"/>
          <w:kern w:val="2"/>
          <w:highlight w:val="none"/>
          <w:u w:val="single"/>
          <w:lang w:val="en-US" w:eastAsia="zh-CN"/>
        </w:rPr>
        <w:t>2月28日</w:t>
      </w:r>
      <w:r>
        <w:rPr>
          <w:rFonts w:hint="eastAsia"/>
          <w:bCs/>
          <w:color w:val="auto"/>
          <w:kern w:val="2"/>
          <w:highlight w:val="none"/>
          <w:u w:val="single"/>
        </w:rPr>
        <w:t xml:space="preserve"> </w:t>
      </w:r>
      <w:r>
        <w:rPr>
          <w:rFonts w:hint="eastAsia"/>
          <w:bCs/>
          <w:color w:val="auto"/>
          <w:kern w:val="2"/>
          <w:highlight w:val="none"/>
          <w:u w:val="single"/>
          <w:lang w:val="en-US" w:eastAsia="zh-CN"/>
        </w:rPr>
        <w:t>9</w:t>
      </w:r>
      <w:r>
        <w:rPr>
          <w:rFonts w:hint="eastAsia"/>
          <w:bCs/>
          <w:color w:val="auto"/>
          <w:kern w:val="2"/>
          <w:highlight w:val="none"/>
          <w:u w:val="single"/>
        </w:rPr>
        <w:t>:</w:t>
      </w:r>
      <w:r>
        <w:rPr>
          <w:rFonts w:hint="eastAsia"/>
          <w:bCs/>
          <w:color w:val="auto"/>
          <w:kern w:val="2"/>
          <w:highlight w:val="none"/>
          <w:u w:val="single"/>
          <w:lang w:val="en-US" w:eastAsia="zh-CN"/>
        </w:rPr>
        <w:t>00</w:t>
      </w:r>
      <w:r>
        <w:rPr>
          <w:rFonts w:hint="eastAsia"/>
          <w:bCs/>
          <w:color w:val="auto"/>
          <w:kern w:val="2"/>
          <w:highlight w:val="none"/>
        </w:rPr>
        <w:t>（北京时间）</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Fonts w:hint="eastAsia"/>
          <w:bCs/>
          <w:color w:val="auto"/>
          <w:kern w:val="2"/>
          <w:highlight w:val="none"/>
        </w:rPr>
      </w:pPr>
      <w:r>
        <w:rPr>
          <w:rFonts w:hint="eastAsia"/>
          <w:bCs/>
          <w:color w:val="auto"/>
          <w:kern w:val="2"/>
          <w:highlight w:val="none"/>
        </w:rPr>
        <w:t>2.投标地点（网址）：</w:t>
      </w:r>
      <w:r>
        <w:rPr>
          <w:rStyle w:val="40"/>
          <w:rFonts w:hint="eastAsia"/>
          <w:b w:val="0"/>
          <w:bCs w:val="0"/>
          <w:color w:val="auto"/>
          <w:highlight w:val="none"/>
        </w:rPr>
        <w:t>通过“政府采购云平台（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43"/>
          <w:color w:val="auto"/>
          <w:highlight w:val="none"/>
        </w:rPr>
        <w:t>http://zfcg.czt.zj.gov.cn/</w:t>
      </w:r>
      <w:r>
        <w:rPr>
          <w:color w:val="auto"/>
          <w:highlight w:val="none"/>
        </w:rPr>
        <w:fldChar w:fldCharType="end"/>
      </w:r>
      <w:r>
        <w:rPr>
          <w:rStyle w:val="40"/>
          <w:rFonts w:hint="eastAsia"/>
          <w:b w:val="0"/>
          <w:bCs w:val="0"/>
          <w:color w:val="auto"/>
          <w:highlight w:val="none"/>
        </w:rPr>
        <w:t>）”实行在线投标响应</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Fonts w:hint="default"/>
          <w:bCs/>
          <w:color w:val="auto"/>
          <w:kern w:val="2"/>
          <w:highlight w:val="none"/>
          <w:lang w:val="en-US"/>
        </w:rPr>
      </w:pPr>
      <w:r>
        <w:rPr>
          <w:rFonts w:hint="eastAsia"/>
          <w:bCs/>
          <w:color w:val="auto"/>
          <w:kern w:val="2"/>
          <w:highlight w:val="none"/>
        </w:rPr>
        <w:t>3.开标时间：202</w:t>
      </w:r>
      <w:r>
        <w:rPr>
          <w:rFonts w:hint="eastAsia"/>
          <w:bCs/>
          <w:color w:val="auto"/>
          <w:kern w:val="2"/>
          <w:highlight w:val="none"/>
          <w:lang w:val="en-US" w:eastAsia="zh-CN"/>
        </w:rPr>
        <w:t>3</w:t>
      </w:r>
      <w:r>
        <w:rPr>
          <w:rFonts w:hint="eastAsia"/>
          <w:bCs/>
          <w:color w:val="auto"/>
          <w:kern w:val="2"/>
          <w:highlight w:val="none"/>
        </w:rPr>
        <w:t>年</w:t>
      </w:r>
      <w:r>
        <w:rPr>
          <w:rFonts w:hint="eastAsia"/>
          <w:bCs/>
          <w:color w:val="auto"/>
          <w:kern w:val="2"/>
          <w:highlight w:val="none"/>
          <w:lang w:val="en-US" w:eastAsia="zh-CN"/>
        </w:rPr>
        <w:t>2月28日</w:t>
      </w:r>
      <w:r>
        <w:rPr>
          <w:rFonts w:hint="eastAsia"/>
          <w:bCs/>
          <w:color w:val="auto"/>
          <w:kern w:val="2"/>
          <w:highlight w:val="none"/>
        </w:rPr>
        <w:t xml:space="preserve"> </w:t>
      </w:r>
      <w:r>
        <w:rPr>
          <w:rFonts w:hint="eastAsia"/>
          <w:bCs/>
          <w:color w:val="auto"/>
          <w:kern w:val="2"/>
          <w:highlight w:val="none"/>
          <w:lang w:val="en-US" w:eastAsia="zh-CN"/>
        </w:rPr>
        <w:t>9</w:t>
      </w:r>
      <w:r>
        <w:rPr>
          <w:rFonts w:hint="eastAsia"/>
          <w:bCs/>
          <w:color w:val="auto"/>
          <w:kern w:val="2"/>
          <w:highlight w:val="none"/>
        </w:rPr>
        <w:t>:</w:t>
      </w:r>
      <w:r>
        <w:rPr>
          <w:rFonts w:hint="eastAsia"/>
          <w:bCs/>
          <w:color w:val="auto"/>
          <w:kern w:val="2"/>
          <w:highlight w:val="none"/>
          <w:lang w:val="en-US" w:eastAsia="zh-CN"/>
        </w:rPr>
        <w:t>00</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Style w:val="40"/>
          <w:rFonts w:hint="eastAsia"/>
          <w:b w:val="0"/>
          <w:bCs w:val="0"/>
          <w:color w:val="auto"/>
          <w:highlight w:val="none"/>
        </w:rPr>
      </w:pPr>
      <w:r>
        <w:rPr>
          <w:rFonts w:hint="eastAsia"/>
          <w:bCs/>
          <w:color w:val="auto"/>
          <w:kern w:val="2"/>
          <w:highlight w:val="none"/>
        </w:rPr>
        <w:t>4.开标地点（网址）：</w:t>
      </w:r>
      <w:r>
        <w:rPr>
          <w:rStyle w:val="40"/>
          <w:rFonts w:hint="eastAsia"/>
          <w:b w:val="0"/>
          <w:bCs w:val="0"/>
          <w:color w:val="auto"/>
          <w:highlight w:val="none"/>
        </w:rPr>
        <w:t>通过“政府采购云平台（http://zfcg.czt.zj.gov.cn/）”实行在线解密。</w:t>
      </w:r>
      <w:bookmarkStart w:id="31" w:name="_Toc5110"/>
      <w:bookmarkStart w:id="32" w:name="_Toc14112"/>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2"/>
        <w:textAlignment w:val="auto"/>
        <w:rPr>
          <w:b/>
          <w:color w:val="auto"/>
          <w:kern w:val="2"/>
          <w:highlight w:val="none"/>
        </w:rPr>
      </w:pPr>
      <w:r>
        <w:rPr>
          <w:b/>
          <w:color w:val="auto"/>
          <w:kern w:val="2"/>
          <w:highlight w:val="none"/>
        </w:rPr>
        <w:t>五、公告期限</w:t>
      </w:r>
      <w:bookmarkEnd w:id="31"/>
      <w:bookmarkEnd w:id="32"/>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Fonts w:hint="eastAsia"/>
          <w:bCs/>
          <w:color w:val="auto"/>
          <w:kern w:val="2"/>
          <w:highlight w:val="none"/>
        </w:rPr>
      </w:pPr>
      <w:r>
        <w:rPr>
          <w:rFonts w:hint="eastAsia"/>
          <w:bCs/>
          <w:color w:val="auto"/>
          <w:kern w:val="2"/>
          <w:highlight w:val="none"/>
        </w:rPr>
        <w:t>自本公告发布之日起5个工作日。</w:t>
      </w:r>
    </w:p>
    <w:p>
      <w:pPr>
        <w:pStyle w:val="34"/>
        <w:keepLines w:val="0"/>
        <w:pageBreakBefore w:val="0"/>
        <w:numPr>
          <w:ilvl w:val="0"/>
          <w:numId w:val="3"/>
        </w:numPr>
        <w:kinsoku/>
        <w:wordWrap/>
        <w:overflowPunct/>
        <w:topLinePunct w:val="0"/>
        <w:autoSpaceDE/>
        <w:autoSpaceDN/>
        <w:bidi w:val="0"/>
        <w:adjustRightInd/>
        <w:spacing w:before="0" w:beforeAutospacing="0" w:after="0" w:afterAutospacing="0" w:line="440" w:lineRule="exact"/>
        <w:ind w:firstLine="482"/>
        <w:textAlignment w:val="auto"/>
        <w:rPr>
          <w:b/>
          <w:color w:val="auto"/>
          <w:kern w:val="2"/>
          <w:highlight w:val="none"/>
        </w:rPr>
      </w:pPr>
      <w:r>
        <w:rPr>
          <w:b/>
          <w:color w:val="auto"/>
          <w:kern w:val="2"/>
          <w:highlight w:val="none"/>
        </w:rPr>
        <w:t>其他补充事宜</w:t>
      </w:r>
    </w:p>
    <w:p>
      <w:pPr>
        <w:pStyle w:val="34"/>
        <w:keepLines w:val="0"/>
        <w:pageBreakBefore w:val="0"/>
        <w:numPr>
          <w:ilvl w:val="0"/>
          <w:numId w:val="4"/>
        </w:numPr>
        <w:kinsoku/>
        <w:wordWrap/>
        <w:overflowPunct/>
        <w:topLinePunct w:val="0"/>
        <w:autoSpaceDE/>
        <w:autoSpaceDN/>
        <w:bidi w:val="0"/>
        <w:adjustRightInd/>
        <w:spacing w:before="0" w:beforeAutospacing="0" w:after="0" w:afterAutospacing="0" w:line="440" w:lineRule="exact"/>
        <w:ind w:firstLine="482"/>
        <w:textAlignment w:val="auto"/>
        <w:rPr>
          <w:rFonts w:hint="eastAsia"/>
          <w:bCs/>
          <w:color w:val="auto"/>
          <w:kern w:val="2"/>
          <w:highlight w:val="none"/>
        </w:rPr>
      </w:pPr>
      <w:r>
        <w:rPr>
          <w:rFonts w:hint="eastAsia"/>
          <w:b/>
          <w:color w:val="auto"/>
          <w:kern w:val="2"/>
          <w:highlight w:val="none"/>
        </w:rPr>
        <w:t xml:space="preserve">投诉与质疑 </w:t>
      </w:r>
      <w:r>
        <w:rPr>
          <w:rFonts w:hint="eastAsia"/>
          <w:bCs/>
          <w:color w:val="auto"/>
          <w:kern w:val="2"/>
          <w:highlight w:val="none"/>
        </w:rPr>
        <w:t xml:space="preserve">  </w:t>
      </w:r>
    </w:p>
    <w:p>
      <w:pPr>
        <w:pStyle w:val="34"/>
        <w:keepLines w:val="0"/>
        <w:pageBreakBefore w:val="0"/>
        <w:numPr>
          <w:ilvl w:val="0"/>
          <w:numId w:val="5"/>
        </w:numPr>
        <w:kinsoku/>
        <w:wordWrap/>
        <w:overflowPunct/>
        <w:topLinePunct w:val="0"/>
        <w:autoSpaceDE/>
        <w:autoSpaceDN/>
        <w:bidi w:val="0"/>
        <w:adjustRightInd/>
        <w:spacing w:before="0" w:beforeAutospacing="0" w:after="0" w:afterAutospacing="0" w:line="440" w:lineRule="exact"/>
        <w:ind w:firstLine="480"/>
        <w:textAlignment w:val="auto"/>
        <w:rPr>
          <w:rFonts w:hint="eastAsia"/>
          <w:bCs/>
          <w:color w:val="auto"/>
          <w:kern w:val="2"/>
          <w:highlight w:val="none"/>
        </w:rPr>
      </w:pPr>
      <w:r>
        <w:rPr>
          <w:rFonts w:hint="eastAsia"/>
          <w:bCs/>
          <w:color w:val="auto"/>
          <w:kern w:val="2"/>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代理机构提出质疑。质疑供应商对采购代理机构的答复不满意或者采购代理机构未在规定的时间内作出答复的，可以在答复期满后十五个工作日内向同级政府采购监督管理部门投诉。质疑函范本、投诉书范本请到浙江政府采购网下载专区下载。</w:t>
      </w:r>
    </w:p>
    <w:p>
      <w:pPr>
        <w:pStyle w:val="34"/>
        <w:keepLines w:val="0"/>
        <w:pageBreakBefore w:val="0"/>
        <w:numPr>
          <w:ilvl w:val="0"/>
          <w:numId w:val="5"/>
        </w:numPr>
        <w:kinsoku/>
        <w:wordWrap/>
        <w:overflowPunct/>
        <w:topLinePunct w:val="0"/>
        <w:autoSpaceDE/>
        <w:autoSpaceDN/>
        <w:bidi w:val="0"/>
        <w:adjustRightInd/>
        <w:spacing w:before="0" w:beforeAutospacing="0" w:after="0" w:afterAutospacing="0" w:line="440" w:lineRule="exact"/>
        <w:ind w:firstLine="480"/>
        <w:textAlignment w:val="auto"/>
        <w:rPr>
          <w:rFonts w:hint="eastAsia"/>
          <w:color w:val="auto"/>
          <w:highlight w:val="none"/>
        </w:rPr>
      </w:pPr>
      <w:r>
        <w:rPr>
          <w:rFonts w:hint="eastAsia"/>
          <w:color w:val="auto"/>
          <w:highlight w:val="none"/>
        </w:rPr>
        <w:t>针对同一采购程序环节的质疑，供应商应在法定期限内一次性提出（即针对同一采购程序环节的质疑采购人或采购代理机构仅受理一次），逾期提出或针对同一采购程序环节多次提出的质疑将不予受理、答复。</w:t>
      </w:r>
    </w:p>
    <w:p>
      <w:pPr>
        <w:pStyle w:val="34"/>
        <w:keepLines w:val="0"/>
        <w:pageBreakBefore w:val="0"/>
        <w:numPr>
          <w:ilvl w:val="0"/>
          <w:numId w:val="4"/>
        </w:numPr>
        <w:kinsoku/>
        <w:wordWrap/>
        <w:overflowPunct/>
        <w:topLinePunct w:val="0"/>
        <w:autoSpaceDE/>
        <w:autoSpaceDN/>
        <w:bidi w:val="0"/>
        <w:adjustRightInd/>
        <w:spacing w:before="0" w:beforeAutospacing="0" w:after="0" w:afterAutospacing="0" w:line="440" w:lineRule="exact"/>
        <w:ind w:firstLine="482"/>
        <w:textAlignment w:val="auto"/>
        <w:rPr>
          <w:rFonts w:hint="eastAsia"/>
          <w:bCs/>
          <w:color w:val="auto"/>
          <w:kern w:val="2"/>
          <w:highlight w:val="none"/>
        </w:rPr>
      </w:pPr>
      <w:r>
        <w:rPr>
          <w:rStyle w:val="40"/>
          <w:rFonts w:hint="eastAsia"/>
          <w:color w:val="auto"/>
          <w:highlight w:val="none"/>
        </w:rPr>
        <w:t>在线投标响应（电子投标）说明</w:t>
      </w:r>
      <w:r>
        <w:rPr>
          <w:rFonts w:hint="eastAsia"/>
          <w:bCs/>
          <w:color w:val="auto"/>
          <w:kern w:val="2"/>
          <w:highlight w:val="none"/>
        </w:rPr>
        <w:t xml:space="preserve"> </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Fonts w:hint="eastAsia"/>
          <w:bCs/>
          <w:color w:val="auto"/>
          <w:kern w:val="2"/>
          <w:highlight w:val="none"/>
        </w:rPr>
      </w:pPr>
      <w:r>
        <w:rPr>
          <w:rFonts w:hint="eastAsia"/>
          <w:bCs/>
          <w:color w:val="auto"/>
          <w:kern w:val="2"/>
          <w:highlight w:val="none"/>
        </w:rPr>
        <w:t>1.本项目通过“政府采购云平台（http://zfcg.czt.zj.gov.cn/）”实行在线投标响应（电子投标），供应商应先安装“政采云电子交易客户端”，并按照本采购文件和“政府采购云平台”的要求，通过“政采云电子交易客户端”编制并加密投标文件。供应商未按规定加密的投标文件，“政府采购云平台”将无法上传。</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Fonts w:hint="eastAsia"/>
          <w:bCs/>
          <w:color w:val="auto"/>
          <w:kern w:val="2"/>
          <w:highlight w:val="none"/>
        </w:rPr>
      </w:pPr>
      <w:r>
        <w:rPr>
          <w:rFonts w:hint="eastAsia"/>
          <w:bCs/>
          <w:color w:val="auto"/>
          <w:kern w:val="2"/>
          <w:highlight w:val="none"/>
        </w:rPr>
        <w:t>“政采云电子交易客户端”请自行前往“浙江政府采购网-下载专区-电子交易客户端”进行下载；通过“政府采购云平台”参与在线投标时如遇平台技术问题详询400-881-7190。</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Fonts w:hint="eastAsia"/>
          <w:bCs/>
          <w:color w:val="auto"/>
          <w:kern w:val="2"/>
          <w:highlight w:val="none"/>
        </w:rPr>
      </w:pPr>
      <w:r>
        <w:rPr>
          <w:rFonts w:hint="eastAsia"/>
          <w:bCs/>
          <w:color w:val="auto"/>
          <w:kern w:val="2"/>
          <w:highlight w:val="none"/>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bCs/>
          <w:color w:val="auto"/>
          <w:kern w:val="2"/>
          <w:highlight w:val="none"/>
        </w:rPr>
        <w:fldChar w:fldCharType="begin"/>
      </w:r>
      <w:r>
        <w:rPr>
          <w:rFonts w:hint="eastAsia"/>
          <w:bCs/>
          <w:color w:val="auto"/>
          <w:kern w:val="2"/>
          <w:highlight w:val="none"/>
        </w:rPr>
        <w:instrText xml:space="preserve"> HYPERLINK "http://zfcg.czt.zj.gov.cn/bidClientTemplate/2019-05-27/12945.html" \o "CA驱动和申领流程" </w:instrText>
      </w:r>
      <w:r>
        <w:rPr>
          <w:rFonts w:hint="eastAsia"/>
          <w:bCs/>
          <w:color w:val="auto"/>
          <w:kern w:val="2"/>
          <w:highlight w:val="none"/>
        </w:rPr>
        <w:fldChar w:fldCharType="separate"/>
      </w:r>
      <w:r>
        <w:rPr>
          <w:rFonts w:hint="eastAsia"/>
          <w:bCs/>
          <w:color w:val="auto"/>
          <w:kern w:val="2"/>
          <w:highlight w:val="none"/>
        </w:rPr>
        <w:t>CA驱动和申领流程</w:t>
      </w:r>
      <w:r>
        <w:rPr>
          <w:rFonts w:hint="eastAsia"/>
          <w:bCs/>
          <w:color w:val="auto"/>
          <w:kern w:val="2"/>
          <w:highlight w:val="none"/>
        </w:rPr>
        <w:fldChar w:fldCharType="end"/>
      </w:r>
      <w:r>
        <w:rPr>
          <w:rFonts w:hint="eastAsia"/>
          <w:bCs/>
          <w:color w:val="auto"/>
          <w:kern w:val="2"/>
          <w:highlight w:val="none"/>
        </w:rPr>
        <w:t>”进行查阅；</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Fonts w:hint="eastAsia"/>
          <w:bCs/>
          <w:color w:val="auto"/>
          <w:kern w:val="2"/>
          <w:highlight w:val="none"/>
        </w:rPr>
      </w:pPr>
      <w:r>
        <w:rPr>
          <w:rFonts w:hint="eastAsia"/>
          <w:bCs/>
          <w:color w:val="auto"/>
          <w:kern w:val="2"/>
          <w:highlight w:val="none"/>
        </w:rPr>
        <w:t>3.供应商应当在投标截止时间前，将生成的“电子加密投标文件”上传递交至“政府采购云平台”。投标截止时间以后上传递交的投标文件将被“政府采购云平台”拒收。</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Fonts w:hint="eastAsia"/>
          <w:bCs/>
          <w:color w:val="auto"/>
          <w:kern w:val="2"/>
          <w:highlight w:val="none"/>
        </w:rPr>
      </w:pPr>
      <w:r>
        <w:rPr>
          <w:rFonts w:hint="eastAsia"/>
          <w:bCs/>
          <w:color w:val="auto"/>
          <w:kern w:val="2"/>
          <w:highlight w:val="none"/>
        </w:rPr>
        <w:t>4.供应商在“政府采购云平台”完成“电子加密投标文件”的上传递交后，以（邮寄形式）在投标截止时间前递交以介质（U盘）存储的数据电文形式的“备份投标文件”，“备份投标文件”应当密封包装并在包装上标注投标项目名称、供应商名称并加盖公章。</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Fonts w:hint="eastAsia"/>
          <w:bCs/>
          <w:color w:val="auto"/>
          <w:kern w:val="2"/>
          <w:highlight w:val="none"/>
        </w:rPr>
      </w:pPr>
      <w:r>
        <w:rPr>
          <w:rFonts w:hint="eastAsia"/>
          <w:bCs/>
          <w:color w:val="auto"/>
          <w:kern w:val="2"/>
          <w:highlight w:val="none"/>
        </w:rPr>
        <w:t>5.通过“政府采购云平台”上传递交的“电子加密投标文件”无法按时解密，供应商递交了备份投标文件的，以备份投标文件为依据，否则视为投标文件撤回。通过“政府采购云平台”上传递交的“电子加密投标文件”已按时解密的，“备份投标文件”自动失效。供应商仅递交备份投标文件的，投标无效。</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2"/>
        <w:textAlignment w:val="auto"/>
        <w:outlineLvl w:val="1"/>
        <w:rPr>
          <w:bCs/>
          <w:color w:val="auto"/>
          <w:kern w:val="2"/>
          <w:highlight w:val="none"/>
        </w:rPr>
      </w:pPr>
      <w:bookmarkStart w:id="33" w:name="_Toc24946"/>
      <w:bookmarkStart w:id="34" w:name="_Toc30038"/>
      <w:r>
        <w:rPr>
          <w:b/>
          <w:color w:val="auto"/>
          <w:kern w:val="2"/>
          <w:highlight w:val="none"/>
        </w:rPr>
        <w:t>七、对本次招标提出询问、质疑、投诉，请按以下方式联系</w:t>
      </w:r>
      <w:bookmarkEnd w:id="33"/>
      <w:bookmarkEnd w:id="34"/>
      <w:r>
        <w:rPr>
          <w:rFonts w:hint="eastAsia"/>
          <w:bCs/>
          <w:color w:val="auto"/>
          <w:kern w:val="2"/>
          <w:highlight w:val="none"/>
        </w:rPr>
        <w:t>　　　　　　　　　　　　</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1.采购人信息</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名 称：嵊州市人民医院</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地 址：嵊州市丹桂路666号 </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项目联系人（询问）：周老师、陶老师 </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项目联系方式（询问）：0575-83331537、0575-83018871</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质疑联系人：张老师</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质疑联系方式：0575-83018871</w:t>
      </w:r>
    </w:p>
    <w:p>
      <w:pPr>
        <w:pStyle w:val="34"/>
        <w:keepLines w:val="0"/>
        <w:pageBreakBefore w:val="0"/>
        <w:kinsoku/>
        <w:wordWrap/>
        <w:overflowPunct/>
        <w:topLinePunct w:val="0"/>
        <w:autoSpaceDE/>
        <w:autoSpaceDN/>
        <w:bidi w:val="0"/>
        <w:adjustRightInd/>
        <w:spacing w:before="0" w:beforeAutospacing="0" w:after="0" w:afterAutospacing="0" w:line="440" w:lineRule="exact"/>
        <w:ind w:left="480" w:leftChars="200" w:firstLine="0" w:firstLineChars="0"/>
        <w:textAlignment w:val="auto"/>
        <w:rPr>
          <w:rFonts w:hint="eastAsia"/>
          <w:bCs/>
          <w:color w:val="auto"/>
          <w:kern w:val="2"/>
          <w:highlight w:val="none"/>
        </w:rPr>
      </w:pPr>
      <w:r>
        <w:rPr>
          <w:b/>
          <w:color w:val="auto"/>
          <w:kern w:val="2"/>
          <w:highlight w:val="none"/>
        </w:rPr>
        <w:t>2.采购代理机构信息</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hint="eastAsia" w:ascii="宋体" w:hAnsi="宋体" w:cs="宋体"/>
          <w:color w:val="auto"/>
          <w:highlight w:val="none"/>
        </w:rPr>
      </w:pPr>
      <w:r>
        <w:rPr>
          <w:rFonts w:hint="eastAsia"/>
          <w:bCs/>
          <w:color w:val="auto"/>
          <w:kern w:val="2"/>
          <w:highlight w:val="none"/>
        </w:rPr>
        <w:t>名  </w:t>
      </w:r>
      <w:r>
        <w:rPr>
          <w:rFonts w:hint="eastAsia"/>
          <w:bCs/>
          <w:color w:val="auto"/>
          <w:kern w:val="2"/>
          <w:highlight w:val="none"/>
          <w:lang w:val="en-US" w:eastAsia="zh-CN"/>
        </w:rPr>
        <w:t xml:space="preserve">     </w:t>
      </w:r>
      <w:r>
        <w:rPr>
          <w:rFonts w:hint="eastAsia"/>
          <w:bCs/>
          <w:color w:val="auto"/>
          <w:kern w:val="2"/>
          <w:highlight w:val="none"/>
        </w:rPr>
        <w:t>  称： </w:t>
      </w:r>
      <w:r>
        <w:rPr>
          <w:rFonts w:hint="eastAsia" w:cs="宋体"/>
          <w:color w:val="auto"/>
          <w:highlight w:val="none"/>
        </w:rPr>
        <w:t xml:space="preserve">嵊州市中天工程建设招标代理有限公司 </w:t>
      </w:r>
      <w:r>
        <w:rPr>
          <w:rFonts w:hint="eastAsia"/>
          <w:bCs/>
          <w:color w:val="auto"/>
          <w:kern w:val="2"/>
          <w:highlight w:val="none"/>
        </w:rPr>
        <w:t>　</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Fonts w:hint="eastAsia"/>
          <w:bCs/>
          <w:color w:val="auto"/>
          <w:kern w:val="2"/>
          <w:highlight w:val="none"/>
        </w:rPr>
      </w:pPr>
      <w:r>
        <w:rPr>
          <w:rFonts w:hint="eastAsia"/>
          <w:bCs/>
          <w:color w:val="auto"/>
          <w:kern w:val="2"/>
          <w:highlight w:val="none"/>
        </w:rPr>
        <w:t>地    址：</w:t>
      </w:r>
      <w:r>
        <w:rPr>
          <w:rFonts w:hint="eastAsia" w:cs="宋体"/>
          <w:color w:val="auto"/>
          <w:highlight w:val="none"/>
        </w:rPr>
        <w:t>嵊州市北直街</w:t>
      </w:r>
      <w:r>
        <w:rPr>
          <w:rFonts w:cs="宋体"/>
          <w:color w:val="auto"/>
          <w:highlight w:val="none"/>
        </w:rPr>
        <w:t>81</w:t>
      </w:r>
      <w:r>
        <w:rPr>
          <w:rFonts w:hint="eastAsia" w:cs="宋体"/>
          <w:color w:val="auto"/>
          <w:highlight w:val="none"/>
        </w:rPr>
        <w:t>号粮食局附楼二楼</w:t>
      </w:r>
      <w:r>
        <w:rPr>
          <w:rFonts w:hint="eastAsia"/>
          <w:bCs/>
          <w:color w:val="auto"/>
          <w:kern w:val="2"/>
          <w:highlight w:val="none"/>
        </w:rPr>
        <w:t>　   </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Fonts w:hint="eastAsia"/>
          <w:bCs/>
          <w:color w:val="auto"/>
          <w:kern w:val="2"/>
          <w:highlight w:val="none"/>
        </w:rPr>
      </w:pPr>
      <w:r>
        <w:rPr>
          <w:rFonts w:hint="eastAsia"/>
          <w:bCs/>
          <w:color w:val="auto"/>
          <w:kern w:val="2"/>
          <w:highlight w:val="none"/>
        </w:rPr>
        <w:t>项目联系人（询问）：</w:t>
      </w:r>
      <w:r>
        <w:rPr>
          <w:rFonts w:hint="eastAsia"/>
          <w:bCs/>
          <w:color w:val="auto"/>
          <w:kern w:val="2"/>
          <w:highlight w:val="none"/>
          <w:lang w:val="en-US" w:eastAsia="zh-CN"/>
        </w:rPr>
        <w:t>任浙景</w:t>
      </w:r>
      <w:r>
        <w:rPr>
          <w:rFonts w:hint="eastAsia"/>
          <w:bCs/>
          <w:color w:val="auto"/>
          <w:kern w:val="2"/>
          <w:highlight w:val="none"/>
        </w:rPr>
        <w:t> 　   　　　　　　　　　　　</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Fonts w:hint="eastAsia"/>
          <w:bCs/>
          <w:color w:val="auto"/>
          <w:kern w:val="2"/>
          <w:highlight w:val="none"/>
        </w:rPr>
      </w:pPr>
      <w:r>
        <w:rPr>
          <w:rFonts w:hint="eastAsia"/>
          <w:bCs/>
          <w:color w:val="auto"/>
          <w:kern w:val="2"/>
          <w:highlight w:val="none"/>
        </w:rPr>
        <w:t>项目联系方式（询问）：</w:t>
      </w:r>
      <w:r>
        <w:rPr>
          <w:rFonts w:hint="eastAsia" w:cs="宋体"/>
          <w:color w:val="auto"/>
          <w:highlight w:val="none"/>
        </w:rPr>
        <w:t>0575-83018232</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Fonts w:hint="eastAsia"/>
          <w:bCs/>
          <w:color w:val="auto"/>
          <w:kern w:val="2"/>
          <w:highlight w:val="none"/>
        </w:rPr>
      </w:pPr>
      <w:r>
        <w:rPr>
          <w:rFonts w:hint="eastAsia"/>
          <w:bCs/>
          <w:color w:val="auto"/>
          <w:kern w:val="2"/>
          <w:highlight w:val="none"/>
        </w:rPr>
        <w:t>质疑联系人：</w:t>
      </w:r>
      <w:r>
        <w:rPr>
          <w:rFonts w:hint="eastAsia"/>
          <w:bCs/>
          <w:color w:val="auto"/>
          <w:kern w:val="2"/>
          <w:highlight w:val="none"/>
          <w:lang w:val="en-US" w:eastAsia="zh-CN"/>
        </w:rPr>
        <w:t>王璐幸</w:t>
      </w:r>
      <w:r>
        <w:rPr>
          <w:rFonts w:hint="eastAsia"/>
          <w:bCs/>
          <w:color w:val="auto"/>
          <w:kern w:val="2"/>
          <w:highlight w:val="none"/>
        </w:rPr>
        <w:t> </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bCs/>
          <w:color w:val="auto"/>
          <w:kern w:val="2"/>
          <w:highlight w:val="none"/>
        </w:rPr>
      </w:pPr>
      <w:r>
        <w:rPr>
          <w:rFonts w:hint="eastAsia"/>
          <w:bCs/>
          <w:color w:val="auto"/>
          <w:kern w:val="2"/>
          <w:highlight w:val="none"/>
        </w:rPr>
        <w:t>质疑联系方式：</w:t>
      </w:r>
      <w:r>
        <w:rPr>
          <w:rFonts w:hint="eastAsia" w:cs="宋体"/>
          <w:color w:val="auto"/>
          <w:highlight w:val="none"/>
        </w:rPr>
        <w:t>0575-83018232</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2"/>
        <w:textAlignment w:val="auto"/>
        <w:rPr>
          <w:rFonts w:hint="eastAsia"/>
          <w:bCs/>
          <w:color w:val="auto"/>
          <w:kern w:val="2"/>
          <w:highlight w:val="none"/>
        </w:rPr>
      </w:pPr>
      <w:r>
        <w:rPr>
          <w:b/>
          <w:color w:val="auto"/>
          <w:kern w:val="2"/>
          <w:highlight w:val="none"/>
        </w:rPr>
        <w:t>3.同级政府采购监督管理部门</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Fonts w:hint="eastAsia"/>
          <w:bCs/>
          <w:color w:val="auto"/>
          <w:kern w:val="2"/>
          <w:highlight w:val="none"/>
        </w:rPr>
      </w:pPr>
      <w:r>
        <w:rPr>
          <w:rFonts w:hint="eastAsia"/>
          <w:bCs/>
          <w:color w:val="auto"/>
          <w:kern w:val="2"/>
          <w:highlight w:val="none"/>
        </w:rPr>
        <w:t>名    称：嵊州市采购监管 　　　　　　　　　　　</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Fonts w:hint="eastAsia"/>
          <w:bCs/>
          <w:color w:val="auto"/>
          <w:kern w:val="2"/>
          <w:highlight w:val="none"/>
        </w:rPr>
      </w:pPr>
      <w:r>
        <w:rPr>
          <w:rFonts w:hint="eastAsia"/>
          <w:bCs/>
          <w:color w:val="auto"/>
          <w:kern w:val="2"/>
          <w:highlight w:val="none"/>
        </w:rPr>
        <w:t>地    址：嵊州市国资大楼10</w:t>
      </w:r>
      <w:r>
        <w:rPr>
          <w:rFonts w:hint="eastAsia"/>
          <w:bCs/>
          <w:color w:val="auto"/>
          <w:kern w:val="2"/>
          <w:highlight w:val="none"/>
          <w:lang w:val="en-US" w:eastAsia="zh-CN"/>
        </w:rPr>
        <w:t>04</w:t>
      </w:r>
      <w:r>
        <w:rPr>
          <w:rFonts w:hint="eastAsia"/>
          <w:bCs/>
          <w:color w:val="auto"/>
          <w:kern w:val="2"/>
          <w:highlight w:val="none"/>
          <w:lang w:eastAsia="zh-CN"/>
        </w:rPr>
        <w:t>室</w:t>
      </w:r>
      <w:r>
        <w:rPr>
          <w:rFonts w:hint="eastAsia"/>
          <w:bCs/>
          <w:color w:val="auto"/>
          <w:kern w:val="2"/>
          <w:highlight w:val="none"/>
        </w:rPr>
        <w:t> 　　　　　　　　　　　  </w:t>
      </w:r>
    </w:p>
    <w:p>
      <w:pPr>
        <w:pStyle w:val="34"/>
        <w:keepLines w:val="0"/>
        <w:pageBreakBefore w:val="0"/>
        <w:kinsoku/>
        <w:wordWrap/>
        <w:overflowPunct/>
        <w:topLinePunct w:val="0"/>
        <w:autoSpaceDE/>
        <w:autoSpaceDN/>
        <w:bidi w:val="0"/>
        <w:adjustRightInd/>
        <w:spacing w:before="0" w:beforeAutospacing="0" w:after="0" w:afterAutospacing="0" w:line="440" w:lineRule="exact"/>
        <w:ind w:firstLine="480"/>
        <w:textAlignment w:val="auto"/>
        <w:rPr>
          <w:rFonts w:hint="eastAsia"/>
          <w:bCs/>
          <w:color w:val="auto"/>
          <w:kern w:val="2"/>
          <w:highlight w:val="none"/>
        </w:rPr>
      </w:pPr>
      <w:r>
        <w:rPr>
          <w:rFonts w:hint="eastAsia"/>
          <w:bCs/>
          <w:color w:val="auto"/>
          <w:kern w:val="2"/>
          <w:highlight w:val="none"/>
        </w:rPr>
        <w:t>联</w:t>
      </w:r>
      <w:r>
        <w:rPr>
          <w:rFonts w:hint="eastAsia"/>
          <w:bCs/>
          <w:color w:val="auto"/>
          <w:kern w:val="2"/>
          <w:highlight w:val="none"/>
          <w:lang w:val="en-US" w:eastAsia="zh-CN"/>
        </w:rPr>
        <w:t xml:space="preserve">  </w:t>
      </w:r>
      <w:r>
        <w:rPr>
          <w:rFonts w:hint="eastAsia"/>
          <w:bCs/>
          <w:color w:val="auto"/>
          <w:kern w:val="2"/>
          <w:highlight w:val="none"/>
        </w:rPr>
        <w:t>系</w:t>
      </w:r>
      <w:r>
        <w:rPr>
          <w:rFonts w:hint="eastAsia"/>
          <w:bCs/>
          <w:color w:val="auto"/>
          <w:kern w:val="2"/>
          <w:highlight w:val="none"/>
          <w:lang w:val="en-US" w:eastAsia="zh-CN"/>
        </w:rPr>
        <w:t xml:space="preserve">   </w:t>
      </w:r>
      <w:r>
        <w:rPr>
          <w:rFonts w:hint="eastAsia"/>
          <w:bCs/>
          <w:color w:val="auto"/>
          <w:kern w:val="2"/>
          <w:highlight w:val="none"/>
        </w:rPr>
        <w:t>人</w:t>
      </w:r>
      <w:r>
        <w:rPr>
          <w:rFonts w:hint="eastAsia" w:ascii="宋体" w:hAnsi="宋体" w:eastAsia="宋体" w:cs="Times New Roman"/>
          <w:bCs/>
          <w:color w:val="auto"/>
          <w:kern w:val="2"/>
          <w:highlight w:val="none"/>
        </w:rPr>
        <w:t>：</w:t>
      </w:r>
      <w:r>
        <w:rPr>
          <w:rFonts w:hint="eastAsia" w:ascii="宋体" w:hAnsi="宋体" w:eastAsia="宋体" w:cs="Times New Roman"/>
          <w:bCs/>
          <w:color w:val="auto"/>
          <w:kern w:val="2"/>
          <w:highlight w:val="none"/>
        </w:rPr>
        <w:t>郑老师 </w:t>
      </w:r>
      <w:r>
        <w:rPr>
          <w:rFonts w:hint="eastAsia" w:ascii="宋体" w:hAnsi="宋体" w:eastAsia="宋体" w:cs="Times New Roman"/>
          <w:bCs/>
          <w:color w:val="auto"/>
          <w:kern w:val="2"/>
          <w:highlight w:val="none"/>
        </w:rPr>
        <w:t> </w:t>
      </w:r>
      <w:r>
        <w:rPr>
          <w:rFonts w:hint="eastAsia"/>
          <w:bCs/>
          <w:color w:val="auto"/>
          <w:kern w:val="2"/>
          <w:highlight w:val="none"/>
        </w:rPr>
        <w:t xml:space="preserve"> 　　　　　　　　　　　</w:t>
      </w:r>
    </w:p>
    <w:p>
      <w:pPr>
        <w:keepLines w:val="0"/>
        <w:pageBreakBefore w:val="0"/>
        <w:kinsoku/>
        <w:wordWrap/>
        <w:overflowPunct/>
        <w:topLinePunct w:val="0"/>
        <w:autoSpaceDE/>
        <w:autoSpaceDN/>
        <w:bidi w:val="0"/>
        <w:adjustRightInd/>
        <w:spacing w:line="440" w:lineRule="exact"/>
        <w:ind w:firstLine="480"/>
        <w:textAlignment w:val="auto"/>
        <w:rPr>
          <w:rFonts w:hint="eastAsia" w:ascii="宋体" w:hAnsi="宋体" w:cs="宋体"/>
          <w:bCs/>
          <w:color w:val="auto"/>
          <w:highlight w:val="none"/>
        </w:rPr>
      </w:pPr>
      <w:r>
        <w:rPr>
          <w:rFonts w:hint="eastAsia" w:ascii="宋体" w:hAnsi="宋体" w:cs="宋体"/>
          <w:bCs/>
          <w:color w:val="auto"/>
          <w:highlight w:val="none"/>
        </w:rPr>
        <w:t>监督投诉电话：</w:t>
      </w:r>
      <w:r>
        <w:rPr>
          <w:rFonts w:hint="eastAsia" w:ascii="宋体" w:hAnsi="宋体" w:eastAsia="宋体" w:cs="Times New Roman"/>
          <w:bCs/>
          <w:color w:val="auto"/>
          <w:kern w:val="2"/>
          <w:sz w:val="24"/>
          <w:szCs w:val="24"/>
          <w:highlight w:val="none"/>
          <w:lang w:val="en-US" w:eastAsia="zh-CN" w:bidi="ar-SA"/>
        </w:rPr>
        <w:t>0575-83032507</w:t>
      </w:r>
    </w:p>
    <w:p>
      <w:pPr>
        <w:pStyle w:val="18"/>
        <w:rPr>
          <w:rFonts w:ascii="宋体" w:hAnsi="宋体" w:cs="宋体"/>
          <w:color w:val="auto"/>
          <w:highlight w:val="none"/>
        </w:rPr>
      </w:pPr>
      <w:r>
        <w:rPr>
          <w:rFonts w:ascii="宋体" w:hAnsi="宋体" w:cs="宋体"/>
          <w:color w:val="auto"/>
          <w:highlight w:val="none"/>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Start w:id="35" w:name="_Toc4653"/>
      <w:bookmarkStart w:id="36" w:name="_Toc338"/>
      <w:bookmarkStart w:id="37" w:name="_Toc770"/>
      <w:bookmarkStart w:id="38" w:name="_Toc22037"/>
      <w:bookmarkStart w:id="39" w:name="_Toc1003"/>
      <w:bookmarkStart w:id="40" w:name="_Toc1728"/>
      <w:bookmarkStart w:id="41" w:name="_Toc16457"/>
      <w:bookmarkStart w:id="42" w:name="_Toc33718202"/>
      <w:bookmarkStart w:id="43" w:name="_Toc361437562"/>
      <w:bookmarkStart w:id="44" w:name="_Toc361433080"/>
      <w:bookmarkStart w:id="45" w:name="_Toc361434240"/>
      <w:bookmarkStart w:id="46" w:name="_Toc361432650"/>
      <w:bookmarkStart w:id="47" w:name="_Toc361436970"/>
      <w:bookmarkStart w:id="48" w:name="_Toc361433591"/>
      <w:bookmarkStart w:id="49" w:name="_Toc361433685"/>
      <w:bookmarkStart w:id="50" w:name="_Toc361437237"/>
      <w:bookmarkStart w:id="51" w:name="_Toc101321789"/>
      <w:bookmarkStart w:id="52" w:name="_Toc361435883"/>
      <w:bookmarkStart w:id="53" w:name="_Toc361433273"/>
      <w:bookmarkStart w:id="54" w:name="_Toc361432190"/>
      <w:bookmarkStart w:id="55" w:name="_Toc361433863"/>
      <w:bookmarkStart w:id="56" w:name="_Toc361437163"/>
      <w:bookmarkStart w:id="57" w:name="_Toc361433758"/>
      <w:bookmarkStart w:id="58" w:name="_Toc361434042"/>
      <w:bookmarkStart w:id="59" w:name="_Toc363052651"/>
      <w:bookmarkStart w:id="60" w:name="_Toc361433410"/>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2"/>
        <w:keepLines w:val="0"/>
        <w:pageBreakBefore w:val="0"/>
        <w:widowControl w:val="0"/>
        <w:kinsoku/>
        <w:wordWrap/>
        <w:overflowPunct/>
        <w:topLinePunct w:val="0"/>
        <w:autoSpaceDE/>
        <w:autoSpaceDN/>
        <w:bidi w:val="0"/>
        <w:adjustRightInd/>
        <w:spacing w:beforeLines="0" w:afterLines="0" w:line="440" w:lineRule="exact"/>
        <w:textAlignment w:val="auto"/>
        <w:rPr>
          <w:rFonts w:ascii="宋体" w:cs="宋体"/>
          <w:color w:val="auto"/>
          <w:highlight w:val="none"/>
        </w:rPr>
      </w:pPr>
      <w:r>
        <w:rPr>
          <w:rFonts w:hint="eastAsia" w:ascii="宋体" w:hAnsi="宋体" w:cs="宋体"/>
          <w:color w:val="auto"/>
          <w:highlight w:val="none"/>
        </w:rPr>
        <w:t>第二章</w:t>
      </w:r>
      <w:r>
        <w:rPr>
          <w:rFonts w:ascii="宋体" w:hAnsi="宋体" w:cs="宋体"/>
          <w:color w:val="auto"/>
          <w:highlight w:val="none"/>
        </w:rPr>
        <w:t xml:space="preserve"> </w:t>
      </w:r>
      <w:bookmarkEnd w:id="35"/>
      <w:bookmarkEnd w:id="36"/>
      <w:bookmarkEnd w:id="37"/>
      <w:bookmarkEnd w:id="38"/>
      <w:bookmarkEnd w:id="39"/>
      <w:bookmarkEnd w:id="40"/>
      <w:bookmarkEnd w:id="41"/>
      <w:r>
        <w:rPr>
          <w:rFonts w:hint="eastAsia" w:ascii="宋体" w:hAnsi="宋体" w:cs="宋体"/>
          <w:color w:val="auto"/>
          <w:highlight w:val="none"/>
        </w:rPr>
        <w:t>编制和提交采购响应文件须知</w:t>
      </w:r>
      <w:bookmarkEnd w:id="42"/>
    </w:p>
    <w:tbl>
      <w:tblPr>
        <w:tblStyle w:val="37"/>
        <w:tblW w:w="10064" w:type="dxa"/>
        <w:jc w:val="center"/>
        <w:tblLayout w:type="fixed"/>
        <w:tblCellMar>
          <w:top w:w="0" w:type="dxa"/>
          <w:left w:w="108" w:type="dxa"/>
          <w:bottom w:w="0" w:type="dxa"/>
          <w:right w:w="108" w:type="dxa"/>
        </w:tblCellMar>
      </w:tblPr>
      <w:tblGrid>
        <w:gridCol w:w="700"/>
        <w:gridCol w:w="1800"/>
        <w:gridCol w:w="7564"/>
      </w:tblGrid>
      <w:tr>
        <w:tblPrEx>
          <w:tblCellMar>
            <w:top w:w="0" w:type="dxa"/>
            <w:left w:w="108" w:type="dxa"/>
            <w:bottom w:w="0" w:type="dxa"/>
            <w:right w:w="108" w:type="dxa"/>
          </w:tblCellMar>
        </w:tblPrEx>
        <w:trPr>
          <w:trHeight w:val="397"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b/>
                <w:color w:val="auto"/>
                <w:highlight w:val="none"/>
                <w:lang w:val="zh-CN"/>
              </w:rPr>
            </w:pPr>
            <w:r>
              <w:rPr>
                <w:rFonts w:hint="eastAsia" w:ascii="宋体" w:hAnsi="宋体" w:cs="宋体"/>
                <w:b/>
                <w:color w:val="auto"/>
                <w:highlight w:val="none"/>
                <w:lang w:val="zh-CN"/>
              </w:rPr>
              <w:t>序号</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b/>
                <w:color w:val="auto"/>
                <w:highlight w:val="none"/>
                <w:lang w:val="zh-CN"/>
              </w:rPr>
            </w:pPr>
            <w:r>
              <w:rPr>
                <w:rFonts w:hint="eastAsia" w:ascii="宋体" w:hAnsi="宋体" w:cs="宋体"/>
                <w:b/>
                <w:color w:val="auto"/>
                <w:highlight w:val="none"/>
                <w:lang w:val="zh-CN"/>
              </w:rPr>
              <w:t>内 容</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b/>
                <w:color w:val="auto"/>
                <w:highlight w:val="none"/>
                <w:lang w:val="zh-CN"/>
              </w:rPr>
            </w:pPr>
            <w:r>
              <w:rPr>
                <w:rFonts w:hint="eastAsia" w:ascii="宋体" w:hAnsi="宋体" w:cs="宋体"/>
                <w:b/>
                <w:color w:val="auto"/>
                <w:highlight w:val="none"/>
                <w:lang w:val="zh-CN"/>
              </w:rPr>
              <w:t>说明与要求</w:t>
            </w:r>
          </w:p>
        </w:tc>
      </w:tr>
      <w:tr>
        <w:tblPrEx>
          <w:tblCellMar>
            <w:top w:w="0" w:type="dxa"/>
            <w:left w:w="108" w:type="dxa"/>
            <w:bottom w:w="0" w:type="dxa"/>
            <w:right w:w="108" w:type="dxa"/>
          </w:tblCellMar>
        </w:tblPrEx>
        <w:trPr>
          <w:trHeight w:val="26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color w:val="auto"/>
                <w:highlight w:val="none"/>
                <w:lang w:val="zh-CN"/>
              </w:rPr>
            </w:pPr>
            <w:r>
              <w:rPr>
                <w:rFonts w:hint="eastAsia" w:ascii="宋体" w:hAnsi="宋体" w:cs="宋体"/>
                <w:color w:val="auto"/>
                <w:highlight w:val="none"/>
                <w:lang w:val="zh-CN"/>
              </w:rPr>
              <w:t>1</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color w:val="auto"/>
                <w:highlight w:val="none"/>
                <w:lang w:val="zh-CN"/>
              </w:rPr>
            </w:pPr>
            <w:r>
              <w:rPr>
                <w:rFonts w:hint="eastAsia" w:ascii="宋体" w:hAnsi="宋体" w:cs="宋体"/>
                <w:color w:val="auto"/>
                <w:highlight w:val="none"/>
                <w:lang w:val="zh-CN"/>
              </w:rPr>
              <w:t>项目名称</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left="0" w:leftChars="0" w:firstLine="48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嵊州市人民医院检验科标本外送定点服务采购项目</w:t>
            </w:r>
          </w:p>
        </w:tc>
      </w:tr>
      <w:tr>
        <w:tblPrEx>
          <w:tblCellMar>
            <w:top w:w="0" w:type="dxa"/>
            <w:left w:w="108" w:type="dxa"/>
            <w:bottom w:w="0" w:type="dxa"/>
            <w:right w:w="108" w:type="dxa"/>
          </w:tblCellMar>
        </w:tblPrEx>
        <w:trPr>
          <w:trHeight w:val="35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color w:val="auto"/>
                <w:highlight w:val="none"/>
                <w:lang w:val="zh-CN"/>
              </w:rPr>
            </w:pPr>
            <w:r>
              <w:rPr>
                <w:rFonts w:hint="eastAsia" w:ascii="宋体" w:hAnsi="宋体" w:cs="宋体"/>
                <w:color w:val="auto"/>
                <w:highlight w:val="none"/>
                <w:lang w:val="zh-CN"/>
              </w:rPr>
              <w:t>2</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69"/>
              <w:keepNext w:val="0"/>
              <w:keepLines w:val="0"/>
              <w:pageBreakBefore w:val="0"/>
              <w:widowControl w:val="0"/>
              <w:kinsoku/>
              <w:wordWrap/>
              <w:overflowPunct/>
              <w:topLinePunct w:val="0"/>
              <w:bidi w:val="0"/>
              <w:spacing w:line="460" w:lineRule="exact"/>
              <w:ind w:firstLine="0" w:firstLineChars="0"/>
              <w:jc w:val="center"/>
              <w:textAlignment w:val="auto"/>
              <w:rPr>
                <w:rFonts w:ascii="宋体" w:hAnsi="宋体" w:cs="宋体"/>
                <w:color w:val="auto"/>
                <w:sz w:val="24"/>
                <w:highlight w:val="none"/>
                <w:lang w:val="zh-CN"/>
              </w:rPr>
            </w:pPr>
            <w:r>
              <w:rPr>
                <w:rFonts w:ascii="宋体" w:hAnsi="宋体" w:cs="宋体"/>
                <w:color w:val="auto"/>
                <w:sz w:val="24"/>
                <w:highlight w:val="none"/>
              </w:rPr>
              <w:t>采购方式</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69"/>
              <w:keepNext w:val="0"/>
              <w:keepLines w:val="0"/>
              <w:pageBreakBefore w:val="0"/>
              <w:widowControl w:val="0"/>
              <w:kinsoku/>
              <w:wordWrap/>
              <w:overflowPunct/>
              <w:topLinePunct w:val="0"/>
              <w:bidi w:val="0"/>
              <w:spacing w:line="460" w:lineRule="exact"/>
              <w:ind w:firstLine="480"/>
              <w:jc w:val="left"/>
              <w:textAlignment w:val="auto"/>
              <w:rPr>
                <w:rFonts w:ascii="宋体" w:hAnsi="宋体" w:cs="宋体"/>
                <w:color w:val="auto"/>
                <w:sz w:val="24"/>
                <w:highlight w:val="none"/>
              </w:rPr>
            </w:pPr>
            <w:r>
              <w:rPr>
                <w:rFonts w:ascii="宋体" w:hAnsi="宋体" w:cs="宋体"/>
                <w:color w:val="auto"/>
                <w:sz w:val="24"/>
                <w:highlight w:val="none"/>
              </w:rPr>
              <w:t>公开招标</w:t>
            </w:r>
          </w:p>
        </w:tc>
      </w:tr>
      <w:tr>
        <w:tblPrEx>
          <w:tblCellMar>
            <w:top w:w="0" w:type="dxa"/>
            <w:left w:w="108" w:type="dxa"/>
            <w:bottom w:w="0" w:type="dxa"/>
            <w:right w:w="108" w:type="dxa"/>
          </w:tblCellMar>
        </w:tblPrEx>
        <w:trPr>
          <w:trHeight w:val="35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color w:val="auto"/>
                <w:highlight w:val="none"/>
              </w:rPr>
            </w:pPr>
            <w:r>
              <w:rPr>
                <w:rFonts w:hint="eastAsia" w:ascii="宋体" w:hAnsi="宋体" w:cs="宋体"/>
                <w:color w:val="auto"/>
                <w:highlight w:val="none"/>
              </w:rPr>
              <w:t>3</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color w:val="auto"/>
                <w:highlight w:val="none"/>
                <w:lang w:val="zh-CN"/>
              </w:rPr>
            </w:pPr>
            <w:r>
              <w:rPr>
                <w:rFonts w:hint="eastAsia" w:ascii="宋体" w:hAnsi="宋体" w:cs="宋体"/>
                <w:color w:val="auto"/>
                <w:highlight w:val="none"/>
                <w:lang w:val="zh-CN"/>
              </w:rPr>
              <w:t>投标限价</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480"/>
              <w:textAlignment w:val="auto"/>
              <w:rPr>
                <w:rFonts w:hint="eastAsia" w:ascii="宋体" w:hAnsi="宋体" w:cs="宋体"/>
                <w:color w:val="auto"/>
                <w:highlight w:val="none"/>
                <w:lang w:val="zh-CN"/>
              </w:rPr>
            </w:pPr>
            <w:r>
              <w:rPr>
                <w:rFonts w:hint="eastAsia" w:ascii="宋体" w:hAnsi="宋体" w:cs="宋体"/>
                <w:color w:val="auto"/>
                <w:highlight w:val="none"/>
                <w:lang w:val="zh-CN"/>
              </w:rPr>
              <w:t>超过最高</w:t>
            </w:r>
            <w:r>
              <w:rPr>
                <w:rFonts w:hint="eastAsia" w:ascii="宋体" w:hAnsi="宋体" w:cs="宋体"/>
                <w:color w:val="auto"/>
                <w:highlight w:val="none"/>
                <w:lang w:val="en-US" w:eastAsia="zh-CN"/>
              </w:rPr>
              <w:t>折扣率</w:t>
            </w:r>
            <w:r>
              <w:rPr>
                <w:rFonts w:hint="eastAsia" w:ascii="宋体" w:hAnsi="宋体" w:cs="宋体"/>
                <w:color w:val="auto"/>
                <w:highlight w:val="none"/>
                <w:lang w:val="zh-CN"/>
              </w:rPr>
              <w:t>的投标无效。</w:t>
            </w:r>
          </w:p>
        </w:tc>
      </w:tr>
      <w:tr>
        <w:tblPrEx>
          <w:tblCellMar>
            <w:top w:w="0" w:type="dxa"/>
            <w:left w:w="108" w:type="dxa"/>
            <w:bottom w:w="0" w:type="dxa"/>
            <w:right w:w="108" w:type="dxa"/>
          </w:tblCellMar>
        </w:tblPrEx>
        <w:trPr>
          <w:trHeight w:val="9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color w:val="auto"/>
                <w:highlight w:val="none"/>
                <w:lang w:val="zh-CN"/>
              </w:rPr>
            </w:pPr>
            <w:r>
              <w:rPr>
                <w:rFonts w:hint="eastAsia" w:ascii="宋体" w:hAnsi="宋体" w:cs="宋体"/>
                <w:color w:val="auto"/>
                <w:highlight w:val="none"/>
              </w:rPr>
              <w:t>4</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69"/>
              <w:keepNext w:val="0"/>
              <w:keepLines w:val="0"/>
              <w:pageBreakBefore w:val="0"/>
              <w:widowControl w:val="0"/>
              <w:kinsoku/>
              <w:wordWrap/>
              <w:overflowPunct/>
              <w:topLinePunct w:val="0"/>
              <w:bidi w:val="0"/>
              <w:spacing w:line="460" w:lineRule="exact"/>
              <w:ind w:firstLine="0" w:firstLineChars="0"/>
              <w:jc w:val="center"/>
              <w:textAlignment w:val="auto"/>
              <w:rPr>
                <w:rFonts w:ascii="宋体" w:hAnsi="宋体" w:cs="宋体"/>
                <w:color w:val="auto"/>
                <w:sz w:val="24"/>
                <w:highlight w:val="none"/>
                <w:lang w:val="zh-CN"/>
              </w:rPr>
            </w:pPr>
            <w:r>
              <w:rPr>
                <w:rFonts w:ascii="宋体" w:hAnsi="宋体" w:cs="宋体"/>
                <w:color w:val="auto"/>
                <w:sz w:val="24"/>
                <w:highlight w:val="none"/>
              </w:rPr>
              <w:t>投标文件形式</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69"/>
              <w:keepNext w:val="0"/>
              <w:keepLines w:val="0"/>
              <w:pageBreakBefore w:val="0"/>
              <w:widowControl w:val="0"/>
              <w:kinsoku/>
              <w:wordWrap/>
              <w:overflowPunct/>
              <w:topLinePunct w:val="0"/>
              <w:bidi w:val="0"/>
              <w:spacing w:line="460" w:lineRule="exact"/>
              <w:ind w:firstLine="480"/>
              <w:textAlignment w:val="auto"/>
              <w:rPr>
                <w:rFonts w:ascii="宋体" w:hAnsi="宋体" w:cs="宋体"/>
                <w:color w:val="auto"/>
                <w:sz w:val="24"/>
                <w:highlight w:val="none"/>
              </w:rPr>
            </w:pPr>
            <w:r>
              <w:rPr>
                <w:rFonts w:ascii="宋体" w:hAnsi="宋体" w:cs="宋体"/>
                <w:color w:val="auto"/>
                <w:sz w:val="24"/>
                <w:highlight w:val="none"/>
              </w:rPr>
              <w:t>1.</w:t>
            </w:r>
            <w:r>
              <w:rPr>
                <w:rFonts w:ascii="宋体" w:hAnsi="宋体" w:cs="宋体"/>
                <w:color w:val="auto"/>
                <w:spacing w:val="-3"/>
                <w:sz w:val="24"/>
                <w:highlight w:val="none"/>
              </w:rPr>
              <w:t>电子投标文包括“电子加密投标文件”和“备份投标文件”，在投标</w:t>
            </w:r>
            <w:r>
              <w:rPr>
                <w:rFonts w:ascii="宋体" w:hAnsi="宋体" w:cs="宋体"/>
                <w:color w:val="auto"/>
                <w:w w:val="99"/>
                <w:sz w:val="24"/>
                <w:highlight w:val="none"/>
              </w:rPr>
              <w:t xml:space="preserve"> </w:t>
            </w:r>
            <w:r>
              <w:rPr>
                <w:rFonts w:ascii="宋体" w:hAnsi="宋体" w:cs="宋体"/>
                <w:color w:val="auto"/>
                <w:sz w:val="24"/>
                <w:highlight w:val="none"/>
              </w:rPr>
              <w:t>文件编制完成后同时生成。</w:t>
            </w:r>
          </w:p>
          <w:p>
            <w:pPr>
              <w:pStyle w:val="69"/>
              <w:keepNext w:val="0"/>
              <w:keepLines w:val="0"/>
              <w:pageBreakBefore w:val="0"/>
              <w:widowControl w:val="0"/>
              <w:kinsoku/>
              <w:wordWrap/>
              <w:overflowPunct/>
              <w:topLinePunct w:val="0"/>
              <w:bidi w:val="0"/>
              <w:spacing w:line="460" w:lineRule="exact"/>
              <w:ind w:firstLine="480"/>
              <w:textAlignment w:val="auto"/>
              <w:rPr>
                <w:rFonts w:ascii="宋体" w:hAnsi="宋体" w:cs="宋体"/>
                <w:color w:val="auto"/>
                <w:sz w:val="24"/>
                <w:highlight w:val="none"/>
              </w:rPr>
            </w:pPr>
            <w:r>
              <w:rPr>
                <w:rFonts w:ascii="宋体" w:hAnsi="宋体" w:cs="宋体"/>
                <w:color w:val="auto"/>
                <w:sz w:val="24"/>
                <w:highlight w:val="none"/>
              </w:rPr>
              <w:t>2.</w:t>
            </w:r>
            <w:r>
              <w:rPr>
                <w:rFonts w:ascii="宋体" w:hAnsi="宋体" w:cs="宋体"/>
                <w:color w:val="auto"/>
                <w:spacing w:val="-3"/>
                <w:sz w:val="24"/>
                <w:highlight w:val="none"/>
              </w:rPr>
              <w:t>“电子加密投标文件”是指通过“政采云电子交易客户端”完成投标</w:t>
            </w:r>
            <w:r>
              <w:rPr>
                <w:rFonts w:ascii="宋体" w:hAnsi="宋体" w:cs="宋体"/>
                <w:color w:val="auto"/>
                <w:w w:val="99"/>
                <w:sz w:val="24"/>
                <w:highlight w:val="none"/>
              </w:rPr>
              <w:t xml:space="preserve"> </w:t>
            </w:r>
            <w:r>
              <w:rPr>
                <w:rFonts w:ascii="宋体" w:hAnsi="宋体" w:cs="宋体"/>
                <w:color w:val="auto"/>
                <w:sz w:val="24"/>
                <w:highlight w:val="none"/>
              </w:rPr>
              <w:t>文件编制后生成并加密的数据电文形式的投标文件。</w:t>
            </w:r>
          </w:p>
          <w:p>
            <w:pPr>
              <w:pStyle w:val="69"/>
              <w:keepNext w:val="0"/>
              <w:keepLines w:val="0"/>
              <w:pageBreakBefore w:val="0"/>
              <w:widowControl w:val="0"/>
              <w:kinsoku/>
              <w:wordWrap/>
              <w:overflowPunct/>
              <w:topLinePunct w:val="0"/>
              <w:bidi w:val="0"/>
              <w:spacing w:line="460" w:lineRule="exact"/>
              <w:ind w:firstLine="480"/>
              <w:textAlignment w:val="auto"/>
              <w:rPr>
                <w:rFonts w:ascii="宋体" w:hAnsi="宋体" w:cs="宋体"/>
                <w:color w:val="auto"/>
                <w:sz w:val="24"/>
                <w:highlight w:val="none"/>
                <w:lang w:val="zh-CN"/>
              </w:rPr>
            </w:pPr>
            <w:r>
              <w:rPr>
                <w:rFonts w:ascii="宋体" w:hAnsi="宋体" w:cs="宋体"/>
                <w:color w:val="auto"/>
                <w:sz w:val="24"/>
                <w:highlight w:val="none"/>
              </w:rPr>
              <w:t>3.</w:t>
            </w:r>
            <w:r>
              <w:rPr>
                <w:rFonts w:ascii="宋体" w:hAnsi="宋体" w:cs="宋体"/>
                <w:color w:val="auto"/>
                <w:spacing w:val="-3"/>
                <w:sz w:val="24"/>
                <w:highlight w:val="none"/>
              </w:rPr>
              <w:t>“备份投标文件”是指与“电子加密投标文件”同时生成的数据电文</w:t>
            </w:r>
            <w:r>
              <w:rPr>
                <w:rFonts w:ascii="宋体" w:hAnsi="宋体" w:cs="宋体"/>
                <w:color w:val="auto"/>
                <w:w w:val="99"/>
                <w:sz w:val="24"/>
                <w:highlight w:val="none"/>
              </w:rPr>
              <w:t xml:space="preserve"> </w:t>
            </w:r>
            <w:r>
              <w:rPr>
                <w:rFonts w:ascii="宋体" w:hAnsi="宋体" w:cs="宋体"/>
                <w:color w:val="auto"/>
                <w:sz w:val="24"/>
                <w:highlight w:val="none"/>
              </w:rPr>
              <w:t>形式的电子文件（备份标书，用于供应商标书解密异常时应急使用），</w:t>
            </w:r>
            <w:r>
              <w:rPr>
                <w:rFonts w:ascii="宋体" w:hAnsi="宋体" w:cs="宋体"/>
                <w:color w:val="auto"/>
                <w:w w:val="99"/>
                <w:sz w:val="24"/>
                <w:highlight w:val="none"/>
              </w:rPr>
              <w:t xml:space="preserve"> </w:t>
            </w:r>
            <w:r>
              <w:rPr>
                <w:rFonts w:ascii="宋体" w:hAnsi="宋体" w:cs="宋体"/>
                <w:color w:val="auto"/>
                <w:sz w:val="24"/>
                <w:highlight w:val="none"/>
              </w:rPr>
              <w:t>其他方式编制的备份投标文件视为无效备份投标文件。</w:t>
            </w:r>
          </w:p>
        </w:tc>
      </w:tr>
      <w:tr>
        <w:tblPrEx>
          <w:tblCellMar>
            <w:top w:w="0" w:type="dxa"/>
            <w:left w:w="108" w:type="dxa"/>
            <w:bottom w:w="0" w:type="dxa"/>
            <w:right w:w="108" w:type="dxa"/>
          </w:tblCellMar>
        </w:tblPrEx>
        <w:trPr>
          <w:trHeight w:val="9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color w:val="auto"/>
                <w:highlight w:val="none"/>
                <w:lang w:val="zh-CN"/>
              </w:rPr>
            </w:pPr>
            <w:r>
              <w:rPr>
                <w:rFonts w:hint="eastAsia" w:ascii="宋体" w:hAnsi="宋体" w:cs="宋体"/>
                <w:color w:val="auto"/>
                <w:highlight w:val="none"/>
              </w:rPr>
              <w:t>5</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69"/>
              <w:keepNext w:val="0"/>
              <w:keepLines w:val="0"/>
              <w:pageBreakBefore w:val="0"/>
              <w:widowControl w:val="0"/>
              <w:kinsoku/>
              <w:wordWrap/>
              <w:overflowPunct/>
              <w:topLinePunct w:val="0"/>
              <w:bidi w:val="0"/>
              <w:spacing w:line="460" w:lineRule="exact"/>
              <w:ind w:firstLine="0" w:firstLineChars="0"/>
              <w:jc w:val="center"/>
              <w:textAlignment w:val="auto"/>
              <w:rPr>
                <w:rFonts w:ascii="宋体" w:hAnsi="宋体" w:cs="宋体"/>
                <w:color w:val="auto"/>
                <w:sz w:val="24"/>
                <w:highlight w:val="none"/>
                <w:lang w:val="zh-CN"/>
              </w:rPr>
            </w:pPr>
            <w:r>
              <w:rPr>
                <w:rFonts w:ascii="宋体" w:hAnsi="宋体" w:cs="宋体"/>
                <w:color w:val="auto"/>
                <w:sz w:val="24"/>
                <w:highlight w:val="none"/>
              </w:rPr>
              <w:t>投标文件份数</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69"/>
              <w:keepNext w:val="0"/>
              <w:keepLines w:val="0"/>
              <w:pageBreakBefore w:val="0"/>
              <w:widowControl w:val="0"/>
              <w:numPr>
                <w:ilvl w:val="0"/>
                <w:numId w:val="6"/>
              </w:numPr>
              <w:kinsoku/>
              <w:wordWrap/>
              <w:overflowPunct/>
              <w:topLinePunct w:val="0"/>
              <w:bidi w:val="0"/>
              <w:spacing w:line="460" w:lineRule="exact"/>
              <w:ind w:left="12" w:leftChars="0" w:firstLine="468" w:firstLineChars="0"/>
              <w:jc w:val="left"/>
              <w:textAlignment w:val="auto"/>
              <w:rPr>
                <w:rFonts w:ascii="宋体" w:hAnsi="宋体" w:cs="宋体"/>
                <w:color w:val="auto"/>
                <w:spacing w:val="-3"/>
                <w:sz w:val="24"/>
                <w:highlight w:val="none"/>
              </w:rPr>
            </w:pPr>
            <w:r>
              <w:rPr>
                <w:rFonts w:ascii="宋体" w:hAnsi="宋体" w:cs="宋体"/>
                <w:color w:val="auto"/>
                <w:spacing w:val="-3"/>
                <w:sz w:val="24"/>
                <w:highlight w:val="none"/>
              </w:rPr>
              <w:t xml:space="preserve">一份电子加密标书（后缀格式为.jmbs），一份备份标书文件（后缀格式为.bfbs）（自愿）。 </w:t>
            </w:r>
          </w:p>
          <w:p>
            <w:pPr>
              <w:pStyle w:val="69"/>
              <w:keepNext w:val="0"/>
              <w:keepLines w:val="0"/>
              <w:pageBreakBefore w:val="0"/>
              <w:widowControl w:val="0"/>
              <w:numPr>
                <w:ilvl w:val="0"/>
                <w:numId w:val="6"/>
              </w:numPr>
              <w:kinsoku/>
              <w:wordWrap/>
              <w:overflowPunct/>
              <w:topLinePunct w:val="0"/>
              <w:bidi w:val="0"/>
              <w:spacing w:line="460" w:lineRule="exact"/>
              <w:ind w:left="12" w:leftChars="0" w:firstLine="468" w:firstLineChars="0"/>
              <w:jc w:val="left"/>
              <w:textAlignment w:val="auto"/>
              <w:rPr>
                <w:rFonts w:ascii="宋体" w:hAnsi="宋体" w:cs="宋体"/>
                <w:color w:val="auto"/>
                <w:spacing w:val="-3"/>
                <w:sz w:val="24"/>
                <w:highlight w:val="none"/>
              </w:rPr>
            </w:pPr>
            <w:r>
              <w:rPr>
                <w:rFonts w:ascii="宋体" w:hAnsi="宋体" w:cs="宋体"/>
                <w:color w:val="auto"/>
                <w:spacing w:val="-3"/>
                <w:sz w:val="24"/>
                <w:highlight w:val="none"/>
              </w:rPr>
              <w:t xml:space="preserve">每份电子投标文件应包括资格文件、资信技术文件及报价文件三部分内容。 </w:t>
            </w:r>
          </w:p>
          <w:p>
            <w:pPr>
              <w:pStyle w:val="69"/>
              <w:keepNext w:val="0"/>
              <w:keepLines w:val="0"/>
              <w:pageBreakBefore w:val="0"/>
              <w:widowControl w:val="0"/>
              <w:numPr>
                <w:ilvl w:val="0"/>
                <w:numId w:val="0"/>
              </w:numPr>
              <w:kinsoku/>
              <w:wordWrap/>
              <w:overflowPunct/>
              <w:topLinePunct w:val="0"/>
              <w:bidi w:val="0"/>
              <w:spacing w:line="460" w:lineRule="exact"/>
              <w:ind w:firstLine="480" w:firstLineChars="200"/>
              <w:jc w:val="left"/>
              <w:textAlignment w:val="auto"/>
              <w:rPr>
                <w:rFonts w:ascii="宋体" w:hAnsi="宋体" w:cs="宋体"/>
                <w:color w:val="auto"/>
                <w:sz w:val="24"/>
                <w:highlight w:val="none"/>
                <w:lang w:val="zh-CN"/>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在领取中标通知书时中标供应商需根据采购人要求提供纸质投标文件（与电子投标文件一致）至少三份</w:t>
            </w:r>
            <w:r>
              <w:rPr>
                <w:rFonts w:hint="eastAsia" w:ascii="宋体" w:hAnsi="宋体" w:cs="宋体"/>
                <w:b/>
                <w:bCs/>
                <w:color w:val="auto"/>
                <w:sz w:val="24"/>
                <w:highlight w:val="none"/>
                <w:lang w:eastAsia="zh-CN"/>
              </w:rPr>
              <w:t>（一正二副，胶装）</w:t>
            </w:r>
            <w:r>
              <w:rPr>
                <w:rFonts w:hint="eastAsia" w:ascii="宋体" w:hAnsi="宋体" w:cs="宋体"/>
                <w:b/>
                <w:bCs/>
                <w:color w:val="auto"/>
                <w:sz w:val="24"/>
                <w:highlight w:val="none"/>
              </w:rPr>
              <w:t>，递交至代理机构，如与电子投标文件不符将影响中标供应商领取中标通知书。</w:t>
            </w:r>
          </w:p>
        </w:tc>
      </w:tr>
      <w:tr>
        <w:tblPrEx>
          <w:tblCellMar>
            <w:top w:w="0" w:type="dxa"/>
            <w:left w:w="108" w:type="dxa"/>
            <w:bottom w:w="0" w:type="dxa"/>
            <w:right w:w="108" w:type="dxa"/>
          </w:tblCellMar>
        </w:tblPrEx>
        <w:trPr>
          <w:trHeight w:val="397"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color w:val="auto"/>
                <w:highlight w:val="none"/>
                <w:lang w:val="zh-CN"/>
              </w:rPr>
            </w:pPr>
            <w:r>
              <w:rPr>
                <w:rFonts w:hint="eastAsia" w:ascii="宋体" w:hAnsi="宋体" w:cs="宋体"/>
                <w:color w:val="auto"/>
                <w:highlight w:val="none"/>
              </w:rPr>
              <w:t>6</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69"/>
              <w:keepNext w:val="0"/>
              <w:keepLines w:val="0"/>
              <w:pageBreakBefore w:val="0"/>
              <w:widowControl w:val="0"/>
              <w:kinsoku/>
              <w:wordWrap/>
              <w:overflowPunct/>
              <w:topLinePunct w:val="0"/>
              <w:bidi w:val="0"/>
              <w:spacing w:line="460" w:lineRule="exact"/>
              <w:ind w:firstLine="0" w:firstLineChars="0"/>
              <w:jc w:val="center"/>
              <w:textAlignment w:val="auto"/>
              <w:rPr>
                <w:rFonts w:ascii="宋体" w:hAnsi="宋体" w:cs="宋体"/>
                <w:color w:val="auto"/>
                <w:sz w:val="24"/>
                <w:highlight w:val="none"/>
                <w:lang w:val="zh-CN"/>
              </w:rPr>
            </w:pPr>
            <w:r>
              <w:rPr>
                <w:rFonts w:ascii="宋体" w:hAnsi="宋体" w:cs="宋体"/>
                <w:color w:val="auto"/>
                <w:sz w:val="24"/>
                <w:highlight w:val="none"/>
              </w:rPr>
              <w:t>电子加密投标文件</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69"/>
              <w:keepNext w:val="0"/>
              <w:keepLines w:val="0"/>
              <w:pageBreakBefore w:val="0"/>
              <w:widowControl w:val="0"/>
              <w:kinsoku/>
              <w:wordWrap/>
              <w:overflowPunct/>
              <w:topLinePunct w:val="0"/>
              <w:bidi w:val="0"/>
              <w:spacing w:line="460" w:lineRule="exact"/>
              <w:ind w:firstLine="468"/>
              <w:jc w:val="left"/>
              <w:textAlignment w:val="auto"/>
              <w:rPr>
                <w:rFonts w:ascii="宋体" w:hAnsi="宋体" w:cs="宋体"/>
                <w:color w:val="auto"/>
                <w:spacing w:val="-3"/>
                <w:sz w:val="24"/>
                <w:highlight w:val="none"/>
              </w:rPr>
            </w:pPr>
            <w:r>
              <w:rPr>
                <w:rFonts w:ascii="宋体" w:hAnsi="宋体" w:cs="宋体"/>
                <w:color w:val="auto"/>
                <w:spacing w:val="-3"/>
                <w:sz w:val="24"/>
                <w:highlight w:val="none"/>
              </w:rPr>
              <w:t>电子加密投标文件：投标文件制作完成并生成加密标书，在投标截止时间前，供应商需将加密的投标文件上传至政采云平台，在开标时间开始后30分钟内，解密投标文件。</w:t>
            </w:r>
          </w:p>
          <w:p>
            <w:pPr>
              <w:pStyle w:val="69"/>
              <w:keepNext w:val="0"/>
              <w:keepLines w:val="0"/>
              <w:pageBreakBefore w:val="0"/>
              <w:widowControl w:val="0"/>
              <w:kinsoku/>
              <w:wordWrap/>
              <w:overflowPunct/>
              <w:topLinePunct w:val="0"/>
              <w:bidi w:val="0"/>
              <w:spacing w:line="460" w:lineRule="exact"/>
              <w:ind w:firstLine="470"/>
              <w:jc w:val="left"/>
              <w:textAlignment w:val="auto"/>
              <w:rPr>
                <w:rFonts w:ascii="宋体" w:hAnsi="宋体" w:cs="宋体"/>
                <w:b/>
                <w:bCs/>
                <w:color w:val="auto"/>
                <w:spacing w:val="-3"/>
                <w:sz w:val="24"/>
                <w:highlight w:val="none"/>
              </w:rPr>
            </w:pPr>
            <w:r>
              <w:rPr>
                <w:rFonts w:ascii="宋体" w:hAnsi="宋体" w:cs="宋体"/>
                <w:b/>
                <w:bCs/>
                <w:color w:val="auto"/>
                <w:spacing w:val="-3"/>
                <w:sz w:val="24"/>
                <w:highlight w:val="none"/>
              </w:rPr>
              <w:t xml:space="preserve">a.供应商应未能投标截止时间前成功上传电子加密投标文件的投标无效。 </w:t>
            </w:r>
          </w:p>
          <w:p>
            <w:pPr>
              <w:pStyle w:val="69"/>
              <w:keepNext w:val="0"/>
              <w:keepLines w:val="0"/>
              <w:pageBreakBefore w:val="0"/>
              <w:widowControl w:val="0"/>
              <w:kinsoku/>
              <w:wordWrap/>
              <w:overflowPunct/>
              <w:topLinePunct w:val="0"/>
              <w:bidi w:val="0"/>
              <w:spacing w:line="460" w:lineRule="exact"/>
              <w:ind w:firstLine="468"/>
              <w:jc w:val="left"/>
              <w:textAlignment w:val="auto"/>
              <w:rPr>
                <w:rFonts w:ascii="宋体" w:hAnsi="宋体" w:cs="宋体"/>
                <w:color w:val="auto"/>
                <w:sz w:val="24"/>
                <w:highlight w:val="none"/>
                <w:lang w:val="zh-CN"/>
              </w:rPr>
            </w:pPr>
            <w:r>
              <w:rPr>
                <w:rFonts w:ascii="宋体" w:hAnsi="宋体" w:cs="宋体"/>
                <w:color w:val="auto"/>
                <w:spacing w:val="-3"/>
                <w:sz w:val="24"/>
                <w:highlight w:val="none"/>
              </w:rPr>
              <w:t>b.供应商成功上传电子加密投标文件后，可自行打印投标文件接收回执。</w:t>
            </w:r>
          </w:p>
        </w:tc>
      </w:tr>
      <w:tr>
        <w:tblPrEx>
          <w:tblCellMar>
            <w:top w:w="0" w:type="dxa"/>
            <w:left w:w="108" w:type="dxa"/>
            <w:bottom w:w="0" w:type="dxa"/>
            <w:right w:w="108" w:type="dxa"/>
          </w:tblCellMar>
        </w:tblPrEx>
        <w:trPr>
          <w:trHeight w:val="286"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color w:val="auto"/>
                <w:highlight w:val="none"/>
                <w:lang w:val="zh-CN"/>
              </w:rPr>
            </w:pPr>
            <w:r>
              <w:rPr>
                <w:rFonts w:hint="eastAsia" w:ascii="宋体" w:hAnsi="宋体" w:cs="宋体"/>
                <w:color w:val="auto"/>
                <w:highlight w:val="none"/>
              </w:rPr>
              <w:t>7</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69"/>
              <w:keepNext w:val="0"/>
              <w:keepLines w:val="0"/>
              <w:pageBreakBefore w:val="0"/>
              <w:widowControl w:val="0"/>
              <w:kinsoku/>
              <w:wordWrap/>
              <w:overflowPunct/>
              <w:topLinePunct w:val="0"/>
              <w:bidi w:val="0"/>
              <w:spacing w:line="460" w:lineRule="exact"/>
              <w:ind w:firstLine="482"/>
              <w:jc w:val="center"/>
              <w:textAlignment w:val="auto"/>
              <w:rPr>
                <w:rFonts w:ascii="宋体" w:hAnsi="宋体" w:cs="宋体"/>
                <w:b/>
                <w:bCs/>
                <w:color w:val="auto"/>
                <w:sz w:val="24"/>
                <w:highlight w:val="none"/>
              </w:rPr>
            </w:pPr>
          </w:p>
          <w:p>
            <w:pPr>
              <w:pStyle w:val="69"/>
              <w:keepNext w:val="0"/>
              <w:keepLines w:val="0"/>
              <w:pageBreakBefore w:val="0"/>
              <w:widowControl w:val="0"/>
              <w:kinsoku/>
              <w:wordWrap/>
              <w:overflowPunct/>
              <w:topLinePunct w:val="0"/>
              <w:bidi w:val="0"/>
              <w:spacing w:line="460" w:lineRule="exact"/>
              <w:ind w:firstLine="0" w:firstLineChars="0"/>
              <w:jc w:val="center"/>
              <w:textAlignment w:val="auto"/>
              <w:rPr>
                <w:rFonts w:hint="eastAsia" w:ascii="宋体" w:hAnsi="宋体" w:eastAsia="宋体" w:cs="宋体"/>
                <w:color w:val="auto"/>
                <w:sz w:val="24"/>
                <w:highlight w:val="none"/>
                <w:lang w:val="zh-CN" w:eastAsia="zh-CN"/>
              </w:rPr>
            </w:pPr>
            <w:r>
              <w:rPr>
                <w:rFonts w:ascii="宋体" w:hAnsi="宋体" w:cs="宋体"/>
                <w:color w:val="auto"/>
                <w:sz w:val="24"/>
                <w:highlight w:val="none"/>
              </w:rPr>
              <w:t>备份投标文件</w:t>
            </w:r>
            <w:r>
              <w:rPr>
                <w:rFonts w:hint="eastAsia" w:ascii="宋体" w:hAnsi="宋体" w:cs="宋体"/>
                <w:color w:val="auto"/>
                <w:sz w:val="24"/>
                <w:highlight w:val="none"/>
                <w:lang w:eastAsia="zh-CN"/>
              </w:rPr>
              <w:t>（自愿提交）</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69"/>
              <w:keepNext w:val="0"/>
              <w:keepLines w:val="0"/>
              <w:pageBreakBefore w:val="0"/>
              <w:widowControl w:val="0"/>
              <w:kinsoku/>
              <w:wordWrap/>
              <w:overflowPunct/>
              <w:topLinePunct w:val="0"/>
              <w:bidi w:val="0"/>
              <w:spacing w:line="460" w:lineRule="exact"/>
              <w:ind w:firstLine="480"/>
              <w:jc w:val="left"/>
              <w:textAlignment w:val="auto"/>
              <w:rPr>
                <w:rFonts w:ascii="宋体" w:hAnsi="宋体" w:cs="宋体"/>
                <w:color w:val="auto"/>
                <w:w w:val="99"/>
                <w:sz w:val="24"/>
                <w:highlight w:val="none"/>
              </w:rPr>
            </w:pPr>
            <w:r>
              <w:rPr>
                <w:rFonts w:ascii="宋体" w:hAnsi="宋体" w:cs="宋体"/>
                <w:color w:val="auto"/>
                <w:sz w:val="24"/>
                <w:highlight w:val="none"/>
              </w:rPr>
              <w:t>备份投标文件：供应商确保在投标截止时间前，将备份投标文件（U盘）通过快</w:t>
            </w:r>
            <w:r>
              <w:rPr>
                <w:rFonts w:ascii="宋体" w:hAnsi="宋体" w:cs="宋体"/>
                <w:color w:val="auto"/>
                <w:spacing w:val="-4"/>
                <w:sz w:val="24"/>
                <w:highlight w:val="none"/>
              </w:rPr>
              <w:t>递形式寄达采购代理机构处，以便标书解密异常时应急使用（邮寄地址：</w:t>
            </w:r>
            <w:r>
              <w:rPr>
                <w:rFonts w:ascii="宋体" w:hAnsi="宋体" w:cs="宋体"/>
                <w:color w:val="auto"/>
                <w:sz w:val="24"/>
                <w:highlight w:val="none"/>
              </w:rPr>
              <w:t>浙江省嵊州市北直街81号粮食局附楼2楼，接收人：</w:t>
            </w:r>
            <w:r>
              <w:rPr>
                <w:rFonts w:hint="eastAsia" w:ascii="宋体" w:hAnsi="宋体" w:cs="宋体"/>
                <w:color w:val="auto"/>
                <w:sz w:val="24"/>
                <w:highlight w:val="none"/>
                <w:lang w:val="en-US" w:eastAsia="zh-CN"/>
              </w:rPr>
              <w:t>任浙景</w:t>
            </w:r>
            <w:r>
              <w:rPr>
                <w:rFonts w:ascii="宋体" w:hAnsi="宋体" w:cs="宋体"/>
                <w:color w:val="auto"/>
                <w:sz w:val="24"/>
                <w:highlight w:val="none"/>
              </w:rPr>
              <w:t>，</w:t>
            </w:r>
            <w:r>
              <w:rPr>
                <w:rFonts w:ascii="宋体" w:hAnsi="宋体" w:cs="宋体"/>
                <w:color w:val="auto"/>
                <w:w w:val="99"/>
                <w:sz w:val="24"/>
                <w:highlight w:val="none"/>
              </w:rPr>
              <w:t xml:space="preserve"> </w:t>
            </w:r>
            <w:r>
              <w:rPr>
                <w:rFonts w:ascii="宋体" w:hAnsi="宋体" w:cs="宋体"/>
                <w:color w:val="auto"/>
                <w:sz w:val="24"/>
                <w:highlight w:val="none"/>
              </w:rPr>
              <w:t>电话：0575-83018232）。</w:t>
            </w:r>
            <w:r>
              <w:rPr>
                <w:rFonts w:ascii="宋体" w:hAnsi="宋体" w:cs="宋体"/>
                <w:color w:val="auto"/>
                <w:w w:val="99"/>
                <w:sz w:val="24"/>
                <w:highlight w:val="none"/>
              </w:rPr>
              <w:t xml:space="preserve"> </w:t>
            </w:r>
          </w:p>
          <w:p>
            <w:pPr>
              <w:pStyle w:val="69"/>
              <w:keepNext w:val="0"/>
              <w:keepLines w:val="0"/>
              <w:pageBreakBefore w:val="0"/>
              <w:widowControl w:val="0"/>
              <w:kinsoku/>
              <w:wordWrap/>
              <w:overflowPunct/>
              <w:topLinePunct w:val="0"/>
              <w:bidi w:val="0"/>
              <w:spacing w:line="460" w:lineRule="exact"/>
              <w:ind w:firstLine="480"/>
              <w:jc w:val="left"/>
              <w:textAlignment w:val="auto"/>
              <w:rPr>
                <w:rFonts w:ascii="宋体" w:hAnsi="宋体" w:cs="宋体"/>
                <w:color w:val="auto"/>
                <w:w w:val="99"/>
                <w:sz w:val="24"/>
                <w:highlight w:val="none"/>
              </w:rPr>
            </w:pPr>
            <w:r>
              <w:rPr>
                <w:rFonts w:ascii="宋体" w:hAnsi="宋体" w:cs="宋体"/>
                <w:color w:val="auto"/>
                <w:sz w:val="24"/>
                <w:highlight w:val="none"/>
              </w:rPr>
              <w:t>a.备份投标文件递交要求：供应商须将备份投标文件以U</w:t>
            </w:r>
            <w:r>
              <w:rPr>
                <w:rFonts w:ascii="宋体" w:hAnsi="宋体" w:cs="宋体"/>
                <w:color w:val="auto"/>
                <w:spacing w:val="-43"/>
                <w:sz w:val="24"/>
                <w:highlight w:val="none"/>
              </w:rPr>
              <w:t xml:space="preserve"> </w:t>
            </w:r>
            <w:r>
              <w:rPr>
                <w:rFonts w:ascii="宋体" w:hAnsi="宋体" w:cs="宋体"/>
                <w:color w:val="auto"/>
                <w:sz w:val="24"/>
                <w:highlight w:val="none"/>
              </w:rPr>
              <w:t>盘形式放在密封袋中，密封后并在密封袋上注明投标项目名称、投标单位名称并加盖公章。未密封包装或者逾期邮寄送达的“备份投标文件”将不予接收。</w:t>
            </w:r>
            <w:r>
              <w:rPr>
                <w:rFonts w:ascii="宋体" w:hAnsi="宋体" w:cs="宋体"/>
                <w:color w:val="auto"/>
                <w:w w:val="99"/>
                <w:sz w:val="24"/>
                <w:highlight w:val="none"/>
              </w:rPr>
              <w:t xml:space="preserve"> </w:t>
            </w:r>
          </w:p>
          <w:p>
            <w:pPr>
              <w:pStyle w:val="69"/>
              <w:keepNext w:val="0"/>
              <w:keepLines w:val="0"/>
              <w:pageBreakBefore w:val="0"/>
              <w:widowControl w:val="0"/>
              <w:kinsoku/>
              <w:wordWrap/>
              <w:overflowPunct/>
              <w:topLinePunct w:val="0"/>
              <w:bidi w:val="0"/>
              <w:spacing w:line="460" w:lineRule="exact"/>
              <w:ind w:firstLine="480"/>
              <w:jc w:val="left"/>
              <w:textAlignment w:val="auto"/>
              <w:rPr>
                <w:rFonts w:ascii="宋体" w:hAnsi="宋体" w:cs="宋体"/>
                <w:color w:val="auto"/>
                <w:sz w:val="24"/>
                <w:highlight w:val="none"/>
                <w:lang w:val="zh-CN"/>
              </w:rPr>
            </w:pPr>
            <w:r>
              <w:rPr>
                <w:rFonts w:ascii="宋体" w:hAnsi="宋体" w:cs="宋体"/>
                <w:color w:val="auto"/>
                <w:sz w:val="24"/>
                <w:highlight w:val="none"/>
              </w:rPr>
              <w:t>b.通过“政府采购云平台”成功上传递交的“电子加密投标文件”已按时解密的，“备份投标文件”自动失效。</w:t>
            </w:r>
          </w:p>
        </w:tc>
      </w:tr>
      <w:tr>
        <w:tblPrEx>
          <w:tblCellMar>
            <w:top w:w="0" w:type="dxa"/>
            <w:left w:w="108" w:type="dxa"/>
            <w:bottom w:w="0" w:type="dxa"/>
            <w:right w:w="108" w:type="dxa"/>
          </w:tblCellMar>
        </w:tblPrEx>
        <w:trPr>
          <w:trHeight w:val="34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color w:val="auto"/>
                <w:highlight w:val="none"/>
                <w:lang w:val="zh-CN"/>
              </w:rPr>
            </w:pPr>
            <w:r>
              <w:rPr>
                <w:rFonts w:hint="eastAsia" w:ascii="宋体" w:hAnsi="宋体" w:cs="宋体"/>
                <w:color w:val="auto"/>
                <w:highlight w:val="none"/>
              </w:rPr>
              <w:t>8</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69"/>
              <w:keepNext w:val="0"/>
              <w:keepLines w:val="0"/>
              <w:pageBreakBefore w:val="0"/>
              <w:widowControl w:val="0"/>
              <w:kinsoku/>
              <w:wordWrap/>
              <w:overflowPunct/>
              <w:topLinePunct w:val="0"/>
              <w:bidi w:val="0"/>
              <w:spacing w:line="460" w:lineRule="exact"/>
              <w:ind w:firstLine="0" w:firstLineChars="0"/>
              <w:jc w:val="center"/>
              <w:textAlignment w:val="auto"/>
              <w:rPr>
                <w:rFonts w:ascii="宋体" w:hAnsi="宋体" w:cs="宋体"/>
                <w:color w:val="auto"/>
                <w:sz w:val="24"/>
                <w:highlight w:val="none"/>
                <w:lang w:val="zh-CN"/>
              </w:rPr>
            </w:pPr>
            <w:r>
              <w:rPr>
                <w:rFonts w:ascii="宋体" w:hAnsi="宋体" w:cs="宋体"/>
                <w:color w:val="auto"/>
                <w:sz w:val="24"/>
                <w:highlight w:val="none"/>
              </w:rPr>
              <w:t>电子加密投标文件的解密和异常情况处理</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69"/>
              <w:keepNext w:val="0"/>
              <w:keepLines w:val="0"/>
              <w:pageBreakBefore w:val="0"/>
              <w:widowControl w:val="0"/>
              <w:kinsoku/>
              <w:wordWrap/>
              <w:overflowPunct/>
              <w:topLinePunct w:val="0"/>
              <w:bidi w:val="0"/>
              <w:spacing w:line="460" w:lineRule="exact"/>
              <w:ind w:firstLine="480"/>
              <w:jc w:val="left"/>
              <w:textAlignment w:val="auto"/>
              <w:rPr>
                <w:rFonts w:ascii="宋体" w:hAnsi="宋体" w:cs="宋体"/>
                <w:color w:val="auto"/>
                <w:w w:val="99"/>
                <w:sz w:val="24"/>
                <w:highlight w:val="none"/>
              </w:rPr>
            </w:pPr>
            <w:r>
              <w:rPr>
                <w:rFonts w:ascii="宋体" w:hAnsi="宋体" w:cs="宋体"/>
                <w:color w:val="auto"/>
                <w:sz w:val="24"/>
                <w:highlight w:val="none"/>
              </w:rPr>
              <w:t>电子加密投标文件的解密和异常情况处理：</w:t>
            </w:r>
            <w:r>
              <w:rPr>
                <w:rFonts w:ascii="宋体" w:hAnsi="宋体" w:cs="宋体"/>
                <w:color w:val="auto"/>
                <w:w w:val="99"/>
                <w:sz w:val="24"/>
                <w:highlight w:val="none"/>
              </w:rPr>
              <w:t xml:space="preserve"> </w:t>
            </w:r>
          </w:p>
          <w:p>
            <w:pPr>
              <w:pStyle w:val="69"/>
              <w:keepNext w:val="0"/>
              <w:keepLines w:val="0"/>
              <w:pageBreakBefore w:val="0"/>
              <w:widowControl w:val="0"/>
              <w:kinsoku/>
              <w:wordWrap/>
              <w:overflowPunct/>
              <w:topLinePunct w:val="0"/>
              <w:bidi w:val="0"/>
              <w:spacing w:line="460" w:lineRule="exact"/>
              <w:ind w:firstLine="480"/>
              <w:jc w:val="left"/>
              <w:textAlignment w:val="auto"/>
              <w:rPr>
                <w:rFonts w:ascii="宋体" w:hAnsi="宋体" w:cs="宋体"/>
                <w:color w:val="auto"/>
                <w:w w:val="99"/>
                <w:sz w:val="24"/>
                <w:highlight w:val="none"/>
              </w:rPr>
            </w:pPr>
            <w:r>
              <w:rPr>
                <w:rFonts w:ascii="宋体" w:hAnsi="宋体" w:cs="宋体"/>
                <w:color w:val="auto"/>
                <w:sz w:val="24"/>
                <w:highlight w:val="none"/>
              </w:rPr>
              <w:t>a.开标后，各投标供应商代表应当在限定时间内自行完成“电子加密投</w:t>
            </w:r>
            <w:r>
              <w:rPr>
                <w:rFonts w:ascii="宋体" w:hAnsi="宋体" w:cs="宋体"/>
                <w:color w:val="auto"/>
                <w:w w:val="99"/>
                <w:sz w:val="24"/>
                <w:highlight w:val="none"/>
              </w:rPr>
              <w:t xml:space="preserve"> </w:t>
            </w:r>
            <w:r>
              <w:rPr>
                <w:rFonts w:ascii="宋体" w:hAnsi="宋体" w:cs="宋体"/>
                <w:color w:val="auto"/>
                <w:sz w:val="24"/>
                <w:highlight w:val="none"/>
              </w:rPr>
              <w:t>标文件”的在线解密。</w:t>
            </w:r>
            <w:r>
              <w:rPr>
                <w:rFonts w:ascii="宋体" w:hAnsi="宋体" w:cs="宋体"/>
                <w:color w:val="auto"/>
                <w:w w:val="99"/>
                <w:sz w:val="24"/>
                <w:highlight w:val="none"/>
              </w:rPr>
              <w:t xml:space="preserve"> </w:t>
            </w:r>
          </w:p>
          <w:p>
            <w:pPr>
              <w:pStyle w:val="69"/>
              <w:keepNext w:val="0"/>
              <w:keepLines w:val="0"/>
              <w:pageBreakBefore w:val="0"/>
              <w:widowControl w:val="0"/>
              <w:kinsoku/>
              <w:wordWrap/>
              <w:overflowPunct/>
              <w:topLinePunct w:val="0"/>
              <w:bidi w:val="0"/>
              <w:spacing w:line="460" w:lineRule="exact"/>
              <w:ind w:firstLine="480"/>
              <w:jc w:val="left"/>
              <w:textAlignment w:val="auto"/>
              <w:rPr>
                <w:rFonts w:ascii="宋体" w:hAnsi="宋体" w:cs="宋体"/>
                <w:color w:val="auto"/>
                <w:sz w:val="24"/>
                <w:highlight w:val="none"/>
              </w:rPr>
            </w:pPr>
            <w:r>
              <w:rPr>
                <w:rFonts w:ascii="宋体" w:hAnsi="宋体" w:cs="宋体"/>
                <w:color w:val="auto"/>
                <w:sz w:val="24"/>
                <w:highlight w:val="none"/>
              </w:rPr>
              <w:t xml:space="preserve">b.通过“政府采购云平台”成功上传递交的“电子加密投标文件”无法 按时解密，投标供应商如按规定递交了“备份投标文件”的，以“备份 投标文件”为依据（由采购组织机构按“政府采购云平台”操作规范将“备份投标文件”上传至“政府采购云平台”，上传成功后，“电子加密投标文件”自动失效），否则视为投标文件撤回。 </w:t>
            </w:r>
          </w:p>
          <w:p>
            <w:pPr>
              <w:pStyle w:val="69"/>
              <w:keepNext w:val="0"/>
              <w:keepLines w:val="0"/>
              <w:pageBreakBefore w:val="0"/>
              <w:widowControl w:val="0"/>
              <w:kinsoku/>
              <w:wordWrap/>
              <w:overflowPunct/>
              <w:topLinePunct w:val="0"/>
              <w:bidi w:val="0"/>
              <w:spacing w:line="460" w:lineRule="exact"/>
              <w:ind w:firstLine="482"/>
              <w:jc w:val="left"/>
              <w:textAlignment w:val="auto"/>
              <w:rPr>
                <w:rFonts w:ascii="宋体" w:hAnsi="宋体" w:cs="宋体"/>
                <w:color w:val="auto"/>
                <w:sz w:val="24"/>
                <w:highlight w:val="none"/>
                <w:lang w:val="zh-CN"/>
              </w:rPr>
            </w:pPr>
            <w:r>
              <w:rPr>
                <w:rFonts w:ascii="宋体" w:hAnsi="宋体" w:cs="宋体"/>
                <w:b/>
                <w:bCs/>
                <w:color w:val="auto"/>
                <w:sz w:val="24"/>
                <w:highlight w:val="none"/>
              </w:rPr>
              <w:t>c.投标截止时间前，投标供应商仅递交了“备份投标文件”而未将电子</w:t>
            </w:r>
            <w:r>
              <w:rPr>
                <w:rFonts w:ascii="宋体" w:hAnsi="宋体" w:cs="宋体"/>
                <w:b/>
                <w:bCs/>
                <w:color w:val="auto"/>
                <w:w w:val="99"/>
                <w:sz w:val="24"/>
                <w:highlight w:val="none"/>
              </w:rPr>
              <w:t xml:space="preserve"> </w:t>
            </w:r>
            <w:r>
              <w:rPr>
                <w:rFonts w:ascii="宋体" w:hAnsi="宋体" w:cs="宋体"/>
                <w:b/>
                <w:bCs/>
                <w:color w:val="auto"/>
                <w:sz w:val="24"/>
                <w:highlight w:val="none"/>
              </w:rPr>
              <w:t>加密投标文件上传至“政府采购云平台”的，投标无效。</w:t>
            </w:r>
          </w:p>
        </w:tc>
      </w:tr>
      <w:tr>
        <w:tblPrEx>
          <w:tblCellMar>
            <w:top w:w="0" w:type="dxa"/>
            <w:left w:w="108" w:type="dxa"/>
            <w:bottom w:w="0" w:type="dxa"/>
            <w:right w:w="108" w:type="dxa"/>
          </w:tblCellMar>
        </w:tblPrEx>
        <w:trPr>
          <w:trHeight w:val="9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color w:val="auto"/>
                <w:highlight w:val="none"/>
              </w:rPr>
            </w:pPr>
            <w:r>
              <w:rPr>
                <w:rFonts w:hint="eastAsia" w:ascii="宋体" w:hAnsi="宋体" w:cs="宋体"/>
                <w:color w:val="auto"/>
                <w:highlight w:val="none"/>
              </w:rPr>
              <w:t>9</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69"/>
              <w:keepNext w:val="0"/>
              <w:keepLines w:val="0"/>
              <w:pageBreakBefore w:val="0"/>
              <w:widowControl w:val="0"/>
              <w:kinsoku/>
              <w:wordWrap/>
              <w:overflowPunct/>
              <w:topLinePunct w:val="0"/>
              <w:bidi w:val="0"/>
              <w:spacing w:line="460" w:lineRule="exact"/>
              <w:ind w:firstLine="0" w:firstLineChars="0"/>
              <w:jc w:val="center"/>
              <w:textAlignment w:val="auto"/>
              <w:rPr>
                <w:rFonts w:ascii="宋体" w:hAnsi="宋体" w:cs="宋体"/>
                <w:color w:val="auto"/>
                <w:sz w:val="24"/>
                <w:highlight w:val="none"/>
                <w:lang w:val="zh-CN"/>
              </w:rPr>
            </w:pPr>
            <w:r>
              <w:rPr>
                <w:rFonts w:ascii="宋体" w:hAnsi="宋体" w:cs="宋体"/>
                <w:color w:val="auto"/>
                <w:spacing w:val="-7"/>
                <w:sz w:val="24"/>
                <w:highlight w:val="none"/>
              </w:rPr>
              <w:t>投标文件、流程文件签</w:t>
            </w:r>
            <w:r>
              <w:rPr>
                <w:rFonts w:ascii="宋体" w:hAnsi="宋体" w:cs="宋体"/>
                <w:color w:val="auto"/>
                <w:sz w:val="24"/>
                <w:highlight w:val="none"/>
              </w:rPr>
              <w:t>章</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69"/>
              <w:keepNext w:val="0"/>
              <w:keepLines w:val="0"/>
              <w:pageBreakBefore w:val="0"/>
              <w:widowControl w:val="0"/>
              <w:kinsoku/>
              <w:wordWrap/>
              <w:overflowPunct/>
              <w:topLinePunct w:val="0"/>
              <w:bidi w:val="0"/>
              <w:spacing w:line="460" w:lineRule="exact"/>
              <w:ind w:firstLine="480"/>
              <w:jc w:val="left"/>
              <w:textAlignment w:val="auto"/>
              <w:rPr>
                <w:rFonts w:ascii="宋体" w:hAnsi="宋体" w:cs="宋体"/>
                <w:color w:val="auto"/>
                <w:sz w:val="24"/>
                <w:highlight w:val="none"/>
                <w:lang w:val="zh-CN"/>
              </w:rPr>
            </w:pPr>
            <w:r>
              <w:rPr>
                <w:rFonts w:ascii="宋体" w:hAnsi="宋体" w:cs="宋体"/>
                <w:color w:val="auto"/>
                <w:sz w:val="24"/>
                <w:highlight w:val="none"/>
              </w:rPr>
              <w:t>电子投标文件必须有电子签章；开标后，相关信息记录确认、澄清说明、回复等内容，电子签章、或者签章后上传相关文件，均认可； 政采云系统平台有新的操作流程的，按其规定。</w:t>
            </w:r>
          </w:p>
        </w:tc>
      </w:tr>
      <w:tr>
        <w:tblPrEx>
          <w:tblCellMar>
            <w:top w:w="0" w:type="dxa"/>
            <w:left w:w="108" w:type="dxa"/>
            <w:bottom w:w="0" w:type="dxa"/>
            <w:right w:w="108" w:type="dxa"/>
          </w:tblCellMar>
        </w:tblPrEx>
        <w:trPr>
          <w:trHeight w:val="397"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color w:val="auto"/>
                <w:highlight w:val="none"/>
                <w:lang w:val="zh-CN"/>
              </w:rPr>
            </w:pPr>
            <w:r>
              <w:rPr>
                <w:rFonts w:hint="eastAsia" w:ascii="宋体" w:hAnsi="宋体" w:cs="宋体"/>
                <w:color w:val="auto"/>
                <w:highlight w:val="none"/>
              </w:rPr>
              <w:t>10</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69"/>
              <w:keepNext w:val="0"/>
              <w:keepLines w:val="0"/>
              <w:pageBreakBefore w:val="0"/>
              <w:widowControl w:val="0"/>
              <w:kinsoku/>
              <w:wordWrap/>
              <w:overflowPunct/>
              <w:topLinePunct w:val="0"/>
              <w:bidi w:val="0"/>
              <w:spacing w:line="460" w:lineRule="exact"/>
              <w:ind w:firstLine="0" w:firstLineChars="0"/>
              <w:jc w:val="center"/>
              <w:textAlignment w:val="auto"/>
              <w:rPr>
                <w:rFonts w:ascii="宋体" w:hAnsi="宋体" w:cs="宋体"/>
                <w:color w:val="auto"/>
                <w:sz w:val="24"/>
                <w:highlight w:val="none"/>
                <w:lang w:val="zh-CN"/>
              </w:rPr>
            </w:pPr>
            <w:r>
              <w:rPr>
                <w:rFonts w:ascii="宋体" w:hAnsi="宋体" w:cs="宋体"/>
                <w:color w:val="auto"/>
                <w:sz w:val="24"/>
                <w:highlight w:val="none"/>
              </w:rPr>
              <w:t>开标程序</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69"/>
              <w:keepNext w:val="0"/>
              <w:keepLines w:val="0"/>
              <w:pageBreakBefore w:val="0"/>
              <w:widowControl w:val="0"/>
              <w:kinsoku/>
              <w:wordWrap/>
              <w:overflowPunct/>
              <w:topLinePunct w:val="0"/>
              <w:bidi w:val="0"/>
              <w:spacing w:line="460" w:lineRule="exact"/>
              <w:ind w:firstLine="480"/>
              <w:jc w:val="left"/>
              <w:textAlignment w:val="auto"/>
              <w:rPr>
                <w:rFonts w:ascii="宋体" w:hAnsi="宋体" w:cs="宋体"/>
                <w:color w:val="auto"/>
                <w:w w:val="99"/>
                <w:sz w:val="24"/>
                <w:highlight w:val="none"/>
              </w:rPr>
            </w:pPr>
            <w:r>
              <w:rPr>
                <w:rFonts w:ascii="宋体" w:hAnsi="宋体" w:cs="宋体"/>
                <w:color w:val="auto"/>
                <w:sz w:val="24"/>
                <w:highlight w:val="none"/>
              </w:rPr>
              <w:t>1.开标后，采购代理机构点击【开始解密】，供应商应在30</w:t>
            </w:r>
            <w:r>
              <w:rPr>
                <w:rFonts w:ascii="宋体" w:hAnsi="宋体" w:cs="宋体"/>
                <w:color w:val="auto"/>
                <w:spacing w:val="-24"/>
                <w:sz w:val="24"/>
                <w:highlight w:val="none"/>
              </w:rPr>
              <w:t xml:space="preserve"> </w:t>
            </w:r>
            <w:r>
              <w:rPr>
                <w:rFonts w:ascii="宋体" w:hAnsi="宋体" w:cs="宋体"/>
                <w:color w:val="auto"/>
                <w:sz w:val="24"/>
                <w:highlight w:val="none"/>
              </w:rPr>
              <w:t>分钟内完成解密。供应商在规定的时间内都已完成解密，则系统自动结束解密；供应商超过解密时限，默认自动放弃；</w:t>
            </w:r>
            <w:r>
              <w:rPr>
                <w:rFonts w:ascii="宋体" w:hAnsi="宋体" w:cs="宋体"/>
                <w:color w:val="auto"/>
                <w:w w:val="99"/>
                <w:sz w:val="24"/>
                <w:highlight w:val="none"/>
              </w:rPr>
              <w:t xml:space="preserve"> </w:t>
            </w:r>
          </w:p>
          <w:p>
            <w:pPr>
              <w:pStyle w:val="69"/>
              <w:keepNext w:val="0"/>
              <w:keepLines w:val="0"/>
              <w:pageBreakBefore w:val="0"/>
              <w:widowControl w:val="0"/>
              <w:kinsoku/>
              <w:wordWrap/>
              <w:overflowPunct/>
              <w:topLinePunct w:val="0"/>
              <w:bidi w:val="0"/>
              <w:spacing w:line="460" w:lineRule="exact"/>
              <w:ind w:firstLine="480"/>
              <w:jc w:val="left"/>
              <w:textAlignment w:val="auto"/>
              <w:rPr>
                <w:rFonts w:ascii="宋体" w:hAnsi="宋体" w:cs="宋体"/>
                <w:color w:val="auto"/>
                <w:sz w:val="24"/>
                <w:highlight w:val="none"/>
              </w:rPr>
            </w:pPr>
            <w:r>
              <w:rPr>
                <w:rFonts w:ascii="宋体" w:hAnsi="宋体" w:cs="宋体"/>
                <w:color w:val="auto"/>
                <w:sz w:val="24"/>
                <w:highlight w:val="none"/>
              </w:rPr>
              <w:t>2.解密不成功时，如投标供应商已按规定递交了“备份投标文件”的，采购代理机构通过【异常处理】端口对备份投标文件上传、解密；</w:t>
            </w:r>
            <w:r>
              <w:rPr>
                <w:rFonts w:ascii="宋体" w:hAnsi="宋体" w:cs="宋体"/>
                <w:color w:val="auto"/>
                <w:w w:val="99"/>
                <w:sz w:val="24"/>
                <w:highlight w:val="none"/>
              </w:rPr>
              <w:t xml:space="preserve">                      </w:t>
            </w:r>
            <w:r>
              <w:rPr>
                <w:rFonts w:ascii="宋体" w:hAnsi="宋体" w:cs="宋体"/>
                <w:color w:val="auto"/>
                <w:sz w:val="24"/>
                <w:highlight w:val="none"/>
              </w:rPr>
              <w:t xml:space="preserve">    3.  </w:t>
            </w:r>
            <w:r>
              <w:rPr>
                <w:rFonts w:ascii="宋体" w:hAnsi="宋体" w:cs="宋体"/>
                <w:b/>
                <w:bCs/>
                <w:color w:val="auto"/>
                <w:sz w:val="24"/>
                <w:highlight w:val="none"/>
              </w:rPr>
              <w:t>3.结束解密后，供应商通过邮件形式将经授权代表签署的《政府采购活动现场确认声明书》（格式见采购文件最后一页内容）扫描件发至代理机构经办人邮箱（邮箱地址：</w:t>
            </w:r>
            <w:r>
              <w:rPr>
                <w:rFonts w:ascii="宋体" w:hAnsi="宋体" w:cs="宋体"/>
                <w:b/>
                <w:bCs/>
                <w:color w:val="auto"/>
                <w:sz w:val="24"/>
                <w:highlight w:val="none"/>
              </w:rPr>
              <w:fldChar w:fldCharType="begin"/>
            </w:r>
            <w:r>
              <w:rPr>
                <w:rFonts w:ascii="宋体" w:hAnsi="宋体" w:cs="宋体"/>
                <w:b/>
                <w:bCs/>
                <w:color w:val="auto"/>
                <w:sz w:val="24"/>
                <w:highlight w:val="none"/>
              </w:rPr>
              <w:instrText xml:space="preserve"> HYPERLINK "mailto:360745117@qq.com" \h </w:instrText>
            </w:r>
            <w:r>
              <w:rPr>
                <w:rFonts w:ascii="宋体" w:hAnsi="宋体" w:cs="宋体"/>
                <w:b/>
                <w:bCs/>
                <w:color w:val="auto"/>
                <w:sz w:val="24"/>
                <w:highlight w:val="none"/>
              </w:rPr>
              <w:fldChar w:fldCharType="separate"/>
            </w:r>
            <w:r>
              <w:rPr>
                <w:rFonts w:ascii="宋体" w:hAnsi="宋体" w:cs="宋体"/>
                <w:b/>
                <w:bCs/>
                <w:color w:val="auto"/>
                <w:sz w:val="24"/>
                <w:highlight w:val="none"/>
              </w:rPr>
              <w:t>479954179@qq.com</w:t>
            </w:r>
            <w:r>
              <w:rPr>
                <w:rFonts w:ascii="宋体" w:hAnsi="宋体" w:cs="宋体"/>
                <w:b/>
                <w:bCs/>
                <w:color w:val="auto"/>
                <w:sz w:val="24"/>
                <w:highlight w:val="none"/>
              </w:rPr>
              <w:fldChar w:fldCharType="end"/>
            </w:r>
            <w:r>
              <w:rPr>
                <w:rFonts w:ascii="宋体" w:hAnsi="宋体" w:cs="宋体"/>
                <w:b/>
                <w:bCs/>
                <w:color w:val="auto"/>
                <w:sz w:val="24"/>
                <w:highlight w:val="none"/>
              </w:rPr>
              <w:t>，联系人：</w:t>
            </w:r>
            <w:r>
              <w:rPr>
                <w:rFonts w:hint="eastAsia" w:ascii="宋体" w:hAnsi="宋体" w:cs="宋体"/>
                <w:b/>
                <w:bCs/>
                <w:color w:val="auto"/>
                <w:sz w:val="24"/>
                <w:highlight w:val="none"/>
                <w:lang w:val="en-US" w:eastAsia="zh-CN"/>
              </w:rPr>
              <w:t>任浙景</w:t>
            </w:r>
            <w:r>
              <w:rPr>
                <w:rFonts w:ascii="宋体" w:hAnsi="宋体" w:cs="宋体"/>
                <w:b/>
                <w:bCs/>
                <w:color w:val="auto"/>
                <w:sz w:val="24"/>
                <w:highlight w:val="none"/>
              </w:rPr>
              <w:t>，电话：0575-83001626）；</w:t>
            </w:r>
          </w:p>
          <w:p>
            <w:pPr>
              <w:pStyle w:val="69"/>
              <w:keepNext w:val="0"/>
              <w:keepLines w:val="0"/>
              <w:pageBreakBefore w:val="0"/>
              <w:widowControl w:val="0"/>
              <w:kinsoku/>
              <w:wordWrap/>
              <w:overflowPunct/>
              <w:topLinePunct w:val="0"/>
              <w:bidi w:val="0"/>
              <w:spacing w:line="460" w:lineRule="exact"/>
              <w:ind w:firstLine="480"/>
              <w:jc w:val="left"/>
              <w:textAlignment w:val="auto"/>
              <w:rPr>
                <w:rFonts w:ascii="宋体" w:hAnsi="宋体" w:cs="宋体"/>
                <w:color w:val="auto"/>
                <w:sz w:val="24"/>
                <w:highlight w:val="none"/>
              </w:rPr>
            </w:pPr>
            <w:r>
              <w:rPr>
                <w:rFonts w:ascii="宋体" w:hAnsi="宋体" w:cs="宋体"/>
                <w:color w:val="auto"/>
                <w:sz w:val="24"/>
                <w:highlight w:val="none"/>
              </w:rPr>
              <w:t>4.采购组织机构点击【开启标书信息】，开启标书成功后进入开标流程。</w:t>
            </w:r>
          </w:p>
          <w:p>
            <w:pPr>
              <w:pStyle w:val="69"/>
              <w:keepNext w:val="0"/>
              <w:keepLines w:val="0"/>
              <w:pageBreakBefore w:val="0"/>
              <w:widowControl w:val="0"/>
              <w:kinsoku/>
              <w:wordWrap/>
              <w:overflowPunct/>
              <w:topLinePunct w:val="0"/>
              <w:bidi w:val="0"/>
              <w:spacing w:line="460" w:lineRule="exact"/>
              <w:ind w:firstLine="480"/>
              <w:jc w:val="left"/>
              <w:textAlignment w:val="auto"/>
              <w:rPr>
                <w:rFonts w:ascii="宋体" w:hAnsi="宋体" w:cs="宋体"/>
                <w:color w:val="auto"/>
                <w:sz w:val="24"/>
                <w:highlight w:val="none"/>
                <w:lang w:val="zh-CN"/>
              </w:rPr>
            </w:pPr>
            <w:r>
              <w:rPr>
                <w:rFonts w:ascii="宋体" w:hAnsi="宋体" w:cs="宋体"/>
                <w:color w:val="auto"/>
                <w:sz w:val="24"/>
                <w:highlight w:val="none"/>
              </w:rPr>
              <w:t>5.政采云系统平台有新的操作流程的，按其规定。</w:t>
            </w:r>
          </w:p>
        </w:tc>
      </w:tr>
      <w:tr>
        <w:tblPrEx>
          <w:tblCellMar>
            <w:top w:w="0" w:type="dxa"/>
            <w:left w:w="108" w:type="dxa"/>
            <w:bottom w:w="0" w:type="dxa"/>
            <w:right w:w="108" w:type="dxa"/>
          </w:tblCellMar>
        </w:tblPrEx>
        <w:trPr>
          <w:trHeight w:val="397"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color w:val="auto"/>
                <w:highlight w:val="none"/>
              </w:rPr>
            </w:pPr>
            <w:r>
              <w:rPr>
                <w:rFonts w:hint="eastAsia" w:ascii="宋体" w:hAnsi="宋体" w:cs="宋体"/>
                <w:color w:val="auto"/>
                <w:highlight w:val="none"/>
              </w:rPr>
              <w:t>11</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69"/>
              <w:keepNext w:val="0"/>
              <w:keepLines w:val="0"/>
              <w:pageBreakBefore w:val="0"/>
              <w:widowControl w:val="0"/>
              <w:kinsoku/>
              <w:wordWrap/>
              <w:overflowPunct/>
              <w:topLinePunct w:val="0"/>
              <w:bidi w:val="0"/>
              <w:spacing w:line="460" w:lineRule="exact"/>
              <w:ind w:firstLine="0" w:firstLineChars="0"/>
              <w:jc w:val="center"/>
              <w:textAlignment w:val="auto"/>
              <w:rPr>
                <w:rFonts w:ascii="宋体" w:hAnsi="宋体" w:cs="宋体"/>
                <w:color w:val="auto"/>
                <w:sz w:val="24"/>
                <w:highlight w:val="none"/>
                <w:lang w:val="zh-CN"/>
              </w:rPr>
            </w:pPr>
            <w:r>
              <w:rPr>
                <w:rFonts w:ascii="宋体" w:hAnsi="宋体" w:cs="宋体"/>
                <w:color w:val="auto"/>
                <w:sz w:val="24"/>
                <w:highlight w:val="none"/>
              </w:rPr>
              <w:t>评标程序</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69"/>
              <w:keepNext w:val="0"/>
              <w:keepLines w:val="0"/>
              <w:pageBreakBefore w:val="0"/>
              <w:widowControl w:val="0"/>
              <w:kinsoku/>
              <w:wordWrap/>
              <w:overflowPunct/>
              <w:topLinePunct w:val="0"/>
              <w:bidi w:val="0"/>
              <w:spacing w:line="460" w:lineRule="exact"/>
              <w:ind w:firstLine="480"/>
              <w:jc w:val="left"/>
              <w:textAlignment w:val="auto"/>
              <w:rPr>
                <w:rFonts w:ascii="宋体" w:hAnsi="宋体" w:cs="宋体"/>
                <w:color w:val="auto"/>
                <w:sz w:val="24"/>
                <w:highlight w:val="none"/>
              </w:rPr>
            </w:pPr>
            <w:r>
              <w:rPr>
                <w:rFonts w:ascii="宋体" w:hAnsi="宋体" w:cs="宋体"/>
                <w:color w:val="auto"/>
                <w:sz w:val="24"/>
                <w:highlight w:val="none"/>
              </w:rPr>
              <w:t>资格审查：由采购人或采购代理机构代表根据采购文件的规定对投标人进行资格审查，资格审查不合格的投标人，其投标作无效标处理。 符合性评审：依据采购文件的规定，从投标文件的有效性、完整性和对 采购文件的响应程度进行审查，以确定是否对采购文件的实质性要求作 出响应。商务技术评分：由评标委员会对各投标人的技术商务充分审核、讨论及评议后，独立评分。</w:t>
            </w:r>
          </w:p>
          <w:p>
            <w:pPr>
              <w:pStyle w:val="69"/>
              <w:keepNext w:val="0"/>
              <w:keepLines w:val="0"/>
              <w:pageBreakBefore w:val="0"/>
              <w:widowControl w:val="0"/>
              <w:kinsoku/>
              <w:wordWrap/>
              <w:overflowPunct/>
              <w:topLinePunct w:val="0"/>
              <w:bidi w:val="0"/>
              <w:spacing w:line="460" w:lineRule="exact"/>
              <w:ind w:firstLine="480"/>
              <w:jc w:val="left"/>
              <w:textAlignment w:val="auto"/>
              <w:rPr>
                <w:rFonts w:ascii="宋体" w:hAnsi="宋体" w:cs="宋体"/>
                <w:color w:val="auto"/>
                <w:sz w:val="24"/>
                <w:highlight w:val="none"/>
              </w:rPr>
            </w:pPr>
            <w:r>
              <w:rPr>
                <w:rFonts w:ascii="宋体" w:hAnsi="宋体" w:cs="宋体"/>
                <w:color w:val="auto"/>
                <w:sz w:val="24"/>
                <w:highlight w:val="none"/>
              </w:rPr>
              <w:t>商务技术评分汇总商务技术结果公布；代理机构公布符合性审查、商务技术评审无效供应商名称及理由；公布经商务技术评审后有效投标供应商的名单，及其商务技术部分得分情况。开启报价响应文件：采购代理机构成功开启报价响应文件后，方可查看各供应商报价情况。代理机构公布开标一览表有关内容，供应商自行确认（不予确认的应说 明理由，否则视为无异议）。报价评审：由评标委员会对报价的合理性、准确性等进行审查核实。得分汇总。</w:t>
            </w:r>
          </w:p>
          <w:p>
            <w:pPr>
              <w:pStyle w:val="69"/>
              <w:keepNext w:val="0"/>
              <w:keepLines w:val="0"/>
              <w:pageBreakBefore w:val="0"/>
              <w:widowControl w:val="0"/>
              <w:kinsoku/>
              <w:wordWrap/>
              <w:overflowPunct/>
              <w:topLinePunct w:val="0"/>
              <w:bidi w:val="0"/>
              <w:spacing w:line="460" w:lineRule="exact"/>
              <w:ind w:firstLine="480"/>
              <w:jc w:val="left"/>
              <w:textAlignment w:val="auto"/>
              <w:rPr>
                <w:rFonts w:ascii="宋体" w:hAnsi="宋体" w:cs="宋体"/>
                <w:color w:val="auto"/>
                <w:sz w:val="24"/>
                <w:highlight w:val="none"/>
                <w:lang w:val="zh-CN"/>
              </w:rPr>
            </w:pPr>
            <w:r>
              <w:rPr>
                <w:rFonts w:ascii="宋体" w:hAnsi="宋体" w:cs="宋体"/>
                <w:color w:val="auto"/>
                <w:sz w:val="24"/>
                <w:highlight w:val="none"/>
              </w:rPr>
              <w:t>结果公布：供应商可通过在线平台查看评审结果。注：除邮件交互外，如政采云平台提供信息发布、澄清说明、数据交换等操作方式的，或者政采云系统平台有新的操作流程的，按其规定。</w:t>
            </w:r>
          </w:p>
        </w:tc>
      </w:tr>
      <w:tr>
        <w:tblPrEx>
          <w:tblCellMar>
            <w:top w:w="0" w:type="dxa"/>
            <w:left w:w="108" w:type="dxa"/>
            <w:bottom w:w="0" w:type="dxa"/>
            <w:right w:w="108" w:type="dxa"/>
          </w:tblCellMar>
        </w:tblPrEx>
        <w:trPr>
          <w:trHeight w:val="9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color w:val="auto"/>
                <w:highlight w:val="none"/>
              </w:rPr>
            </w:pPr>
            <w:r>
              <w:rPr>
                <w:rFonts w:hint="eastAsia" w:ascii="宋体" w:hAnsi="宋体" w:cs="宋体"/>
                <w:color w:val="auto"/>
                <w:highlight w:val="none"/>
                <w:lang w:val="zh-CN"/>
              </w:rPr>
              <w:t>1</w:t>
            </w:r>
            <w:r>
              <w:rPr>
                <w:rFonts w:hint="eastAsia" w:ascii="宋体" w:hAnsi="宋体" w:cs="宋体"/>
                <w:color w:val="auto"/>
                <w:highlight w:val="none"/>
              </w:rPr>
              <w:t>2</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69"/>
              <w:keepNext w:val="0"/>
              <w:keepLines w:val="0"/>
              <w:pageBreakBefore w:val="0"/>
              <w:widowControl w:val="0"/>
              <w:kinsoku/>
              <w:wordWrap/>
              <w:overflowPunct/>
              <w:topLinePunct w:val="0"/>
              <w:bidi w:val="0"/>
              <w:spacing w:line="460" w:lineRule="exact"/>
              <w:ind w:firstLine="0" w:firstLineChars="0"/>
              <w:jc w:val="center"/>
              <w:textAlignment w:val="auto"/>
              <w:rPr>
                <w:rFonts w:ascii="宋体" w:hAnsi="宋体" w:cs="宋体"/>
                <w:color w:val="auto"/>
                <w:sz w:val="24"/>
                <w:highlight w:val="none"/>
                <w:lang w:val="zh-CN"/>
              </w:rPr>
            </w:pPr>
            <w:r>
              <w:rPr>
                <w:rFonts w:ascii="宋体" w:hAnsi="宋体" w:cs="宋体"/>
                <w:color w:val="auto"/>
                <w:sz w:val="24"/>
                <w:highlight w:val="none"/>
              </w:rPr>
              <w:t>询标澄清</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69"/>
              <w:keepNext w:val="0"/>
              <w:keepLines w:val="0"/>
              <w:pageBreakBefore w:val="0"/>
              <w:widowControl w:val="0"/>
              <w:kinsoku/>
              <w:wordWrap/>
              <w:overflowPunct/>
              <w:topLinePunct w:val="0"/>
              <w:bidi w:val="0"/>
              <w:spacing w:line="460" w:lineRule="exact"/>
              <w:ind w:firstLine="480"/>
              <w:textAlignment w:val="auto"/>
              <w:rPr>
                <w:rFonts w:ascii="宋体" w:hAnsi="宋体" w:cs="宋体"/>
                <w:color w:val="auto"/>
                <w:sz w:val="24"/>
                <w:highlight w:val="none"/>
                <w:lang w:val="zh-CN"/>
              </w:rPr>
            </w:pPr>
            <w:r>
              <w:rPr>
                <w:rFonts w:ascii="宋体" w:hAnsi="宋体" w:cs="宋体"/>
                <w:color w:val="auto"/>
                <w:sz w:val="24"/>
                <w:highlight w:val="none"/>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少数服从多数原则对相关内容进行评判。</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color w:val="auto"/>
                <w:highlight w:val="none"/>
                <w:lang w:val="zh-CN"/>
              </w:rPr>
            </w:pPr>
            <w:r>
              <w:rPr>
                <w:rFonts w:hint="eastAsia" w:ascii="宋体" w:hAnsi="宋体" w:cs="宋体"/>
                <w:color w:val="auto"/>
                <w:highlight w:val="none"/>
              </w:rPr>
              <w:t>13</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69"/>
              <w:keepNext w:val="0"/>
              <w:keepLines w:val="0"/>
              <w:pageBreakBefore w:val="0"/>
              <w:widowControl w:val="0"/>
              <w:kinsoku/>
              <w:wordWrap/>
              <w:overflowPunct/>
              <w:topLinePunct w:val="0"/>
              <w:bidi w:val="0"/>
              <w:spacing w:line="460" w:lineRule="exact"/>
              <w:ind w:firstLine="0" w:firstLineChars="0"/>
              <w:jc w:val="center"/>
              <w:textAlignment w:val="auto"/>
              <w:rPr>
                <w:rFonts w:ascii="宋体" w:hAnsi="宋体" w:cs="宋体"/>
                <w:color w:val="auto"/>
                <w:sz w:val="24"/>
                <w:highlight w:val="none"/>
                <w:lang w:val="zh-CN"/>
              </w:rPr>
            </w:pPr>
            <w:r>
              <w:rPr>
                <w:rFonts w:ascii="宋体" w:hAnsi="宋体" w:cs="宋体"/>
                <w:color w:val="auto"/>
                <w:sz w:val="24"/>
                <w:highlight w:val="none"/>
              </w:rPr>
              <w:t>投标有效期</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69"/>
              <w:keepNext w:val="0"/>
              <w:keepLines w:val="0"/>
              <w:pageBreakBefore w:val="0"/>
              <w:widowControl w:val="0"/>
              <w:kinsoku/>
              <w:wordWrap/>
              <w:overflowPunct/>
              <w:topLinePunct w:val="0"/>
              <w:bidi w:val="0"/>
              <w:spacing w:line="460" w:lineRule="exact"/>
              <w:ind w:firstLine="480"/>
              <w:jc w:val="left"/>
              <w:textAlignment w:val="auto"/>
              <w:rPr>
                <w:rFonts w:ascii="宋体" w:hAnsi="宋体" w:cs="宋体"/>
                <w:color w:val="auto"/>
                <w:sz w:val="24"/>
                <w:highlight w:val="none"/>
                <w:lang w:val="zh-CN"/>
              </w:rPr>
            </w:pPr>
            <w:r>
              <w:rPr>
                <w:rFonts w:ascii="宋体" w:hAnsi="宋体" w:cs="宋体"/>
                <w:color w:val="auto"/>
                <w:sz w:val="24"/>
                <w:highlight w:val="none"/>
              </w:rPr>
              <w:t>自投标截止日起 90</w:t>
            </w:r>
            <w:r>
              <w:rPr>
                <w:rFonts w:ascii="宋体" w:hAnsi="宋体" w:cs="宋体"/>
                <w:color w:val="auto"/>
                <w:spacing w:val="-28"/>
                <w:sz w:val="24"/>
                <w:highlight w:val="none"/>
              </w:rPr>
              <w:t xml:space="preserve"> </w:t>
            </w:r>
            <w:r>
              <w:rPr>
                <w:rFonts w:ascii="宋体" w:hAnsi="宋体" w:cs="宋体"/>
                <w:color w:val="auto"/>
                <w:sz w:val="24"/>
                <w:highlight w:val="none"/>
              </w:rPr>
              <w:t>天。</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color w:val="auto"/>
                <w:highlight w:val="none"/>
                <w:lang w:val="zh-CN"/>
              </w:rPr>
            </w:pPr>
            <w:r>
              <w:rPr>
                <w:rFonts w:hint="eastAsia" w:ascii="宋体" w:hAnsi="宋体" w:cs="宋体"/>
                <w:color w:val="auto"/>
                <w:highlight w:val="none"/>
              </w:rPr>
              <w:t>14</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69"/>
              <w:keepNext w:val="0"/>
              <w:keepLines w:val="0"/>
              <w:pageBreakBefore w:val="0"/>
              <w:widowControl w:val="0"/>
              <w:kinsoku/>
              <w:wordWrap/>
              <w:overflowPunct/>
              <w:topLinePunct w:val="0"/>
              <w:bidi w:val="0"/>
              <w:spacing w:line="46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投标报价</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69"/>
              <w:keepNext w:val="0"/>
              <w:keepLines w:val="0"/>
              <w:pageBreakBefore w:val="0"/>
              <w:widowControl w:val="0"/>
              <w:kinsoku/>
              <w:wordWrap/>
              <w:overflowPunct/>
              <w:topLinePunct w:val="0"/>
              <w:bidi w:val="0"/>
              <w:spacing w:line="460" w:lineRule="exact"/>
              <w:ind w:firstLine="480"/>
              <w:jc w:val="left"/>
              <w:textAlignment w:val="auto"/>
              <w:rPr>
                <w:rFonts w:ascii="宋体" w:hAnsi="宋体" w:cs="宋体"/>
                <w:color w:val="auto"/>
                <w:sz w:val="24"/>
                <w:highlight w:val="none"/>
              </w:rPr>
            </w:pPr>
            <w:r>
              <w:rPr>
                <w:rFonts w:ascii="宋体" w:hAnsi="宋体" w:cs="宋体"/>
                <w:color w:val="auto"/>
                <w:sz w:val="24"/>
                <w:highlight w:val="none"/>
              </w:rPr>
              <w:t>1.本项目投标应以人民币报价；</w:t>
            </w:r>
          </w:p>
          <w:p>
            <w:pPr>
              <w:pStyle w:val="69"/>
              <w:keepNext w:val="0"/>
              <w:keepLines w:val="0"/>
              <w:pageBreakBefore w:val="0"/>
              <w:widowControl w:val="0"/>
              <w:kinsoku/>
              <w:wordWrap/>
              <w:overflowPunct/>
              <w:topLinePunct w:val="0"/>
              <w:bidi w:val="0"/>
              <w:spacing w:line="460" w:lineRule="exact"/>
              <w:ind w:firstLine="480"/>
              <w:jc w:val="left"/>
              <w:textAlignment w:val="auto"/>
              <w:rPr>
                <w:rFonts w:ascii="宋体" w:hAnsi="宋体" w:cs="宋体"/>
                <w:color w:val="auto"/>
                <w:sz w:val="24"/>
                <w:highlight w:val="none"/>
              </w:rPr>
            </w:pPr>
            <w:r>
              <w:rPr>
                <w:rFonts w:ascii="宋体" w:hAnsi="宋体" w:cs="宋体"/>
                <w:color w:val="auto"/>
                <w:sz w:val="24"/>
                <w:highlight w:val="none"/>
              </w:rPr>
              <w:t>2.</w:t>
            </w:r>
            <w:r>
              <w:rPr>
                <w:rFonts w:ascii="宋体" w:hAnsi="宋体" w:cs="宋体"/>
                <w:color w:val="auto"/>
                <w:spacing w:val="3"/>
                <w:sz w:val="24"/>
                <w:highlight w:val="none"/>
              </w:rPr>
              <w:t>不论投标结果如何，投标人均应自行承担所有与投标有关的全部费</w:t>
            </w:r>
            <w:r>
              <w:rPr>
                <w:rFonts w:ascii="宋体" w:hAnsi="宋体" w:cs="宋体"/>
                <w:color w:val="auto"/>
                <w:sz w:val="24"/>
                <w:highlight w:val="none"/>
              </w:rPr>
              <w:t>用。</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ascii="宋体" w:hAnsi="宋体" w:cs="宋体"/>
                <w:color w:val="auto"/>
                <w:highlight w:val="none"/>
              </w:rPr>
            </w:pPr>
            <w:r>
              <w:rPr>
                <w:rFonts w:hint="eastAsia" w:ascii="宋体" w:hAnsi="宋体" w:cs="宋体"/>
                <w:color w:val="auto"/>
                <w:highlight w:val="none"/>
              </w:rPr>
              <w:t>15</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69"/>
              <w:keepNext w:val="0"/>
              <w:keepLines w:val="0"/>
              <w:pageBreakBefore w:val="0"/>
              <w:widowControl w:val="0"/>
              <w:kinsoku/>
              <w:wordWrap/>
              <w:overflowPunct/>
              <w:topLinePunct w:val="0"/>
              <w:bidi w:val="0"/>
              <w:spacing w:line="46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踏勘现场</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69"/>
              <w:keepNext w:val="0"/>
              <w:keepLines w:val="0"/>
              <w:pageBreakBefore w:val="0"/>
              <w:widowControl w:val="0"/>
              <w:kinsoku/>
              <w:wordWrap/>
              <w:overflowPunct/>
              <w:topLinePunct w:val="0"/>
              <w:bidi w:val="0"/>
              <w:spacing w:line="460" w:lineRule="exact"/>
              <w:ind w:firstLine="480"/>
              <w:jc w:val="left"/>
              <w:textAlignment w:val="auto"/>
              <w:rPr>
                <w:rFonts w:ascii="宋体" w:hAnsi="宋体" w:cs="宋体"/>
                <w:color w:val="auto"/>
                <w:sz w:val="24"/>
                <w:highlight w:val="none"/>
              </w:rPr>
            </w:pPr>
            <w:r>
              <w:rPr>
                <w:rFonts w:ascii="宋体" w:hAnsi="宋体" w:cs="宋体"/>
                <w:color w:val="auto"/>
                <w:sz w:val="24"/>
                <w:highlight w:val="none"/>
              </w:rPr>
              <w:t>□</w:t>
            </w:r>
            <w:r>
              <w:rPr>
                <w:rFonts w:ascii="宋体" w:hAnsi="宋体" w:cs="宋体"/>
                <w:color w:val="auto"/>
                <w:spacing w:val="34"/>
                <w:sz w:val="24"/>
                <w:highlight w:val="none"/>
              </w:rPr>
              <w:t xml:space="preserve"> </w:t>
            </w:r>
            <w:r>
              <w:rPr>
                <w:rFonts w:ascii="宋体" w:hAnsi="宋体" w:cs="宋体"/>
                <w:color w:val="auto"/>
                <w:sz w:val="24"/>
                <w:highlight w:val="none"/>
              </w:rPr>
              <w:t>组织（详细内容）</w:t>
            </w:r>
          </w:p>
          <w:p>
            <w:pPr>
              <w:pStyle w:val="69"/>
              <w:keepNext w:val="0"/>
              <w:keepLines w:val="0"/>
              <w:pageBreakBefore w:val="0"/>
              <w:widowControl w:val="0"/>
              <w:kinsoku/>
              <w:wordWrap/>
              <w:overflowPunct/>
              <w:topLinePunct w:val="0"/>
              <w:bidi w:val="0"/>
              <w:spacing w:line="460" w:lineRule="exact"/>
              <w:ind w:firstLine="480"/>
              <w:jc w:val="left"/>
              <w:textAlignment w:val="auto"/>
              <w:rPr>
                <w:rFonts w:ascii="宋体" w:hAnsi="宋体" w:cs="宋体"/>
                <w:color w:val="auto"/>
                <w:sz w:val="24"/>
                <w:highlight w:val="none"/>
              </w:rPr>
            </w:pPr>
            <w:r>
              <w:rPr>
                <w:rFonts w:ascii="宋体" w:hAnsi="宋体" w:cs="宋体"/>
                <w:color w:val="auto"/>
                <w:sz w:val="24"/>
                <w:highlight w:val="none"/>
              </w:rPr>
              <w:t xml:space="preserve">☑ </w:t>
            </w:r>
            <w:r>
              <w:rPr>
                <w:rFonts w:ascii="宋体" w:hAnsi="宋体" w:cs="宋体"/>
                <w:color w:val="auto"/>
                <w:spacing w:val="16"/>
                <w:sz w:val="24"/>
                <w:highlight w:val="none"/>
              </w:rPr>
              <w:t xml:space="preserve"> </w:t>
            </w:r>
            <w:r>
              <w:rPr>
                <w:rFonts w:ascii="宋体" w:hAnsi="宋体" w:cs="宋体"/>
                <w:color w:val="auto"/>
                <w:sz w:val="24"/>
                <w:highlight w:val="none"/>
              </w:rPr>
              <w:t>不组织</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ascii="宋体" w:hAnsi="宋体" w:cs="宋体"/>
                <w:color w:val="auto"/>
                <w:highlight w:val="none"/>
              </w:rPr>
            </w:pPr>
            <w:r>
              <w:rPr>
                <w:rFonts w:hint="eastAsia" w:ascii="宋体" w:hAnsi="宋体" w:cs="宋体"/>
                <w:color w:val="auto"/>
                <w:highlight w:val="none"/>
              </w:rPr>
              <w:t>16</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69"/>
              <w:keepNext w:val="0"/>
              <w:keepLines w:val="0"/>
              <w:pageBreakBefore w:val="0"/>
              <w:widowControl w:val="0"/>
              <w:kinsoku/>
              <w:wordWrap/>
              <w:overflowPunct/>
              <w:topLinePunct w:val="0"/>
              <w:bidi w:val="0"/>
              <w:spacing w:line="46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评标办法</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69"/>
              <w:keepNext w:val="0"/>
              <w:keepLines w:val="0"/>
              <w:pageBreakBefore w:val="0"/>
              <w:widowControl w:val="0"/>
              <w:kinsoku/>
              <w:wordWrap/>
              <w:overflowPunct/>
              <w:topLinePunct w:val="0"/>
              <w:bidi w:val="0"/>
              <w:spacing w:line="460" w:lineRule="exact"/>
              <w:ind w:firstLine="480"/>
              <w:jc w:val="left"/>
              <w:textAlignment w:val="auto"/>
              <w:rPr>
                <w:rFonts w:ascii="宋体" w:hAnsi="宋体" w:cs="宋体"/>
                <w:color w:val="auto"/>
                <w:sz w:val="24"/>
                <w:highlight w:val="none"/>
              </w:rPr>
            </w:pPr>
            <w:r>
              <w:rPr>
                <w:rFonts w:ascii="宋体" w:hAnsi="宋体" w:cs="宋体"/>
                <w:color w:val="auto"/>
                <w:sz w:val="24"/>
                <w:highlight w:val="none"/>
              </w:rPr>
              <w:t xml:space="preserve">☑ </w:t>
            </w:r>
            <w:r>
              <w:rPr>
                <w:rFonts w:ascii="宋体" w:hAnsi="宋体" w:cs="宋体"/>
                <w:color w:val="auto"/>
                <w:spacing w:val="15"/>
                <w:sz w:val="24"/>
                <w:highlight w:val="none"/>
              </w:rPr>
              <w:t xml:space="preserve"> </w:t>
            </w:r>
            <w:r>
              <w:rPr>
                <w:rFonts w:ascii="宋体" w:hAnsi="宋体" w:cs="宋体"/>
                <w:color w:val="auto"/>
                <w:sz w:val="24"/>
                <w:highlight w:val="none"/>
              </w:rPr>
              <w:t>综合评分法</w:t>
            </w:r>
          </w:p>
          <w:p>
            <w:pPr>
              <w:pStyle w:val="69"/>
              <w:keepNext w:val="0"/>
              <w:keepLines w:val="0"/>
              <w:pageBreakBefore w:val="0"/>
              <w:widowControl w:val="0"/>
              <w:kinsoku/>
              <w:wordWrap/>
              <w:overflowPunct/>
              <w:topLinePunct w:val="0"/>
              <w:bidi w:val="0"/>
              <w:spacing w:line="460" w:lineRule="exact"/>
              <w:ind w:firstLine="480"/>
              <w:jc w:val="left"/>
              <w:textAlignment w:val="auto"/>
              <w:rPr>
                <w:rFonts w:ascii="宋体" w:hAnsi="宋体" w:cs="宋体"/>
                <w:color w:val="auto"/>
                <w:sz w:val="24"/>
                <w:highlight w:val="none"/>
              </w:rPr>
            </w:pPr>
            <w:r>
              <w:rPr>
                <w:rFonts w:ascii="宋体" w:hAnsi="宋体" w:cs="宋体"/>
                <w:color w:val="auto"/>
                <w:sz w:val="24"/>
                <w:highlight w:val="none"/>
              </w:rPr>
              <w:t>□</w:t>
            </w:r>
            <w:r>
              <w:rPr>
                <w:rFonts w:ascii="宋体" w:hAnsi="宋体" w:cs="宋体"/>
                <w:color w:val="auto"/>
                <w:spacing w:val="35"/>
                <w:sz w:val="24"/>
                <w:highlight w:val="none"/>
              </w:rPr>
              <w:t xml:space="preserve"> </w:t>
            </w:r>
            <w:r>
              <w:rPr>
                <w:rFonts w:ascii="宋体" w:hAnsi="宋体" w:cs="宋体"/>
                <w:color w:val="auto"/>
                <w:sz w:val="24"/>
                <w:highlight w:val="none"/>
              </w:rPr>
              <w:t>最低评标价法</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ascii="宋体" w:hAnsi="宋体" w:cs="宋体"/>
                <w:color w:val="auto"/>
                <w:highlight w:val="none"/>
              </w:rPr>
            </w:pPr>
            <w:r>
              <w:rPr>
                <w:rFonts w:hint="eastAsia" w:ascii="宋体" w:hAnsi="宋体" w:cs="宋体"/>
                <w:color w:val="auto"/>
                <w:highlight w:val="none"/>
              </w:rPr>
              <w:t>17</w:t>
            </w:r>
          </w:p>
        </w:tc>
        <w:tc>
          <w:tcPr>
            <w:tcW w:w="1800" w:type="dxa"/>
            <w:tcBorders>
              <w:top w:val="single" w:color="auto" w:sz="6" w:space="0"/>
              <w:left w:val="single" w:color="auto" w:sz="6" w:space="0"/>
              <w:bottom w:val="single" w:color="auto" w:sz="4" w:space="0"/>
              <w:right w:val="single" w:color="auto" w:sz="6" w:space="0"/>
            </w:tcBorders>
            <w:noWrap w:val="0"/>
            <w:vAlign w:val="center"/>
          </w:tcPr>
          <w:p>
            <w:pPr>
              <w:pStyle w:val="69"/>
              <w:keepNext w:val="0"/>
              <w:keepLines w:val="0"/>
              <w:pageBreakBefore w:val="0"/>
              <w:widowControl w:val="0"/>
              <w:kinsoku/>
              <w:wordWrap/>
              <w:overflowPunct/>
              <w:topLinePunct w:val="0"/>
              <w:bidi w:val="0"/>
              <w:spacing w:line="46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是否进口</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69"/>
              <w:keepNext w:val="0"/>
              <w:keepLines w:val="0"/>
              <w:pageBreakBefore w:val="0"/>
              <w:widowControl w:val="0"/>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ascii="宋体" w:hAnsi="宋体" w:cs="宋体"/>
                <w:color w:val="auto"/>
                <w:spacing w:val="36"/>
                <w:sz w:val="24"/>
                <w:highlight w:val="none"/>
              </w:rPr>
              <w:t xml:space="preserve"> </w:t>
            </w:r>
            <w:r>
              <w:rPr>
                <w:rFonts w:ascii="宋体" w:hAnsi="宋体" w:cs="宋体"/>
                <w:color w:val="auto"/>
                <w:sz w:val="24"/>
                <w:highlight w:val="none"/>
              </w:rPr>
              <w:t>允许进口</w:t>
            </w:r>
          </w:p>
          <w:p>
            <w:pPr>
              <w:pStyle w:val="69"/>
              <w:keepNext w:val="0"/>
              <w:keepLines w:val="0"/>
              <w:pageBreakBefore w:val="0"/>
              <w:widowControl w:val="0"/>
              <w:kinsoku/>
              <w:wordWrap/>
              <w:overflowPunct/>
              <w:topLinePunct w:val="0"/>
              <w:bidi w:val="0"/>
              <w:spacing w:line="460" w:lineRule="exact"/>
              <w:ind w:firstLine="480"/>
              <w:jc w:val="left"/>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ascii="宋体" w:hAnsi="宋体" w:cs="宋体"/>
                <w:color w:val="auto"/>
                <w:sz w:val="24"/>
                <w:highlight w:val="none"/>
              </w:rPr>
              <w:t xml:space="preserve"> </w:t>
            </w:r>
            <w:r>
              <w:rPr>
                <w:rFonts w:ascii="宋体" w:hAnsi="宋体" w:cs="宋体"/>
                <w:color w:val="auto"/>
                <w:spacing w:val="15"/>
                <w:sz w:val="24"/>
                <w:highlight w:val="none"/>
              </w:rPr>
              <w:t xml:space="preserve"> </w:t>
            </w:r>
            <w:r>
              <w:rPr>
                <w:rFonts w:ascii="宋体" w:hAnsi="宋体" w:cs="宋体"/>
                <w:color w:val="auto"/>
                <w:sz w:val="24"/>
                <w:highlight w:val="none"/>
              </w:rPr>
              <w:t>不允许进口</w:t>
            </w:r>
          </w:p>
        </w:tc>
      </w:tr>
      <w:tr>
        <w:tblPrEx>
          <w:tblCellMar>
            <w:top w:w="0" w:type="dxa"/>
            <w:left w:w="108" w:type="dxa"/>
            <w:bottom w:w="0" w:type="dxa"/>
            <w:right w:w="108" w:type="dxa"/>
          </w:tblCellMar>
        </w:tblPrEx>
        <w:trPr>
          <w:trHeight w:val="2000" w:hRule="atLeast"/>
          <w:jc w:val="center"/>
        </w:trPr>
        <w:tc>
          <w:tcPr>
            <w:tcW w:w="700" w:type="dxa"/>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ascii="宋体" w:hAnsi="宋体" w:cs="宋体"/>
                <w:color w:val="auto"/>
                <w:highlight w:val="none"/>
              </w:rPr>
            </w:pPr>
            <w:r>
              <w:rPr>
                <w:rFonts w:hint="eastAsia" w:ascii="宋体" w:hAnsi="宋体" w:cs="宋体"/>
                <w:color w:val="auto"/>
                <w:highlight w:val="none"/>
              </w:rPr>
              <w:t>18</w:t>
            </w:r>
          </w:p>
        </w:tc>
        <w:tc>
          <w:tcPr>
            <w:tcW w:w="1800" w:type="dxa"/>
            <w:tcBorders>
              <w:top w:val="single" w:color="auto" w:sz="4" w:space="0"/>
              <w:left w:val="single" w:color="auto" w:sz="6" w:space="0"/>
              <w:bottom w:val="single" w:color="auto" w:sz="4" w:space="0"/>
              <w:right w:val="single" w:color="auto" w:sz="4" w:space="0"/>
            </w:tcBorders>
            <w:noWrap w:val="0"/>
            <w:vAlign w:val="center"/>
          </w:tcPr>
          <w:p>
            <w:pPr>
              <w:pStyle w:val="69"/>
              <w:keepNext w:val="0"/>
              <w:keepLines w:val="0"/>
              <w:pageBreakBefore w:val="0"/>
              <w:widowControl w:val="0"/>
              <w:kinsoku/>
              <w:wordWrap/>
              <w:overflowPunct/>
              <w:topLinePunct w:val="0"/>
              <w:bidi w:val="0"/>
              <w:spacing w:line="46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环境标志产品、节能产品</w:t>
            </w:r>
          </w:p>
        </w:tc>
        <w:tc>
          <w:tcPr>
            <w:tcW w:w="7564"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val="0"/>
              <w:spacing w:line="460" w:lineRule="exact"/>
              <w:ind w:firstLine="480"/>
              <w:textAlignment w:val="auto"/>
              <w:rPr>
                <w:rFonts w:hint="eastAsia" w:ascii="宋体" w:hAnsi="宋体"/>
                <w:color w:val="auto"/>
                <w:highlight w:val="none"/>
              </w:rPr>
            </w:pPr>
            <w:r>
              <w:rPr>
                <w:rFonts w:hint="eastAsia" w:ascii="宋体" w:hAnsi="宋体"/>
                <w:color w:val="auto"/>
                <w:highlight w:val="none"/>
              </w:rPr>
              <w:t>根据财政部、国家发展改革委、生态环境部、国家市场监管总局《关于调整优化节能产品、环境标志产品政府采购执行机制的通知》财库〔2019〕9号文件规定，本次采购对属于节能产品政府采购品目清单规定的政府强制采购产品范围内的产品实施强制采购。投标人应当在响应文件中提供国家确定的认证机构出具的、处于有效期之内的节能产品认证证书（复制件）。</w:t>
            </w:r>
          </w:p>
        </w:tc>
      </w:tr>
      <w:tr>
        <w:tblPrEx>
          <w:tblCellMar>
            <w:top w:w="0" w:type="dxa"/>
            <w:left w:w="108" w:type="dxa"/>
            <w:bottom w:w="0" w:type="dxa"/>
            <w:right w:w="108" w:type="dxa"/>
          </w:tblCellMar>
        </w:tblPrEx>
        <w:trPr>
          <w:trHeight w:val="410" w:hRule="atLeast"/>
          <w:jc w:val="center"/>
        </w:trPr>
        <w:tc>
          <w:tcPr>
            <w:tcW w:w="70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ascii="宋体" w:hAnsi="宋体" w:cs="宋体"/>
                <w:color w:val="auto"/>
                <w:highlight w:val="none"/>
              </w:rPr>
            </w:pPr>
            <w:r>
              <w:rPr>
                <w:rFonts w:hint="eastAsia" w:ascii="宋体" w:hAnsi="宋体" w:cs="宋体"/>
                <w:color w:val="auto"/>
                <w:highlight w:val="none"/>
              </w:rPr>
              <w:t>19</w:t>
            </w:r>
          </w:p>
        </w:tc>
        <w:tc>
          <w:tcPr>
            <w:tcW w:w="1800" w:type="dxa"/>
            <w:tcBorders>
              <w:top w:val="single" w:color="auto" w:sz="4" w:space="0"/>
              <w:left w:val="single" w:color="auto" w:sz="6" w:space="0"/>
              <w:bottom w:val="single" w:color="auto" w:sz="6" w:space="0"/>
              <w:right w:val="single" w:color="auto" w:sz="6" w:space="0"/>
            </w:tcBorders>
            <w:noWrap w:val="0"/>
            <w:vAlign w:val="center"/>
          </w:tcPr>
          <w:p>
            <w:pPr>
              <w:pStyle w:val="69"/>
              <w:keepNext w:val="0"/>
              <w:keepLines w:val="0"/>
              <w:pageBreakBefore w:val="0"/>
              <w:widowControl w:val="0"/>
              <w:kinsoku/>
              <w:wordWrap/>
              <w:overflowPunct/>
              <w:topLinePunct w:val="0"/>
              <w:bidi w:val="0"/>
              <w:spacing w:line="46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促进</w:t>
            </w:r>
            <w:r>
              <w:rPr>
                <w:rFonts w:hint="eastAsia" w:ascii="宋体" w:hAnsi="宋体" w:cs="宋体"/>
                <w:color w:val="auto"/>
                <w:sz w:val="24"/>
                <w:highlight w:val="none"/>
                <w:lang w:eastAsia="zh-CN"/>
              </w:rPr>
              <w:t>中</w:t>
            </w:r>
            <w:r>
              <w:rPr>
                <w:rFonts w:ascii="宋体" w:hAnsi="宋体" w:cs="宋体"/>
                <w:color w:val="auto"/>
                <w:sz w:val="24"/>
                <w:highlight w:val="none"/>
              </w:rPr>
              <w:t>小微企业发展</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69"/>
              <w:keepNext w:val="0"/>
              <w:keepLines w:val="0"/>
              <w:pageBreakBefore w:val="0"/>
              <w:widowControl w:val="0"/>
              <w:numPr>
                <w:ilvl w:val="0"/>
                <w:numId w:val="7"/>
              </w:numPr>
              <w:kinsoku/>
              <w:wordWrap/>
              <w:overflowPunct/>
              <w:topLinePunct w:val="0"/>
              <w:bidi w:val="0"/>
              <w:spacing w:line="460" w:lineRule="exact"/>
              <w:ind w:firstLine="480"/>
              <w:jc w:val="left"/>
              <w:textAlignment w:val="auto"/>
              <w:rPr>
                <w:rFonts w:ascii="宋体" w:hAnsi="宋体" w:cs="宋体"/>
                <w:color w:val="auto"/>
                <w:sz w:val="24"/>
                <w:highlight w:val="none"/>
              </w:rPr>
            </w:pPr>
            <w:r>
              <w:rPr>
                <w:rFonts w:ascii="宋体" w:hAnsi="宋体" w:cs="宋体"/>
                <w:color w:val="auto"/>
                <w:sz w:val="24"/>
                <w:highlight w:val="none"/>
              </w:rPr>
              <w:t>本项目执行促进中小企业发展政策，监狱企业、残疾人福利性单位视同小型、微型企业。</w:t>
            </w:r>
          </w:p>
          <w:p>
            <w:pPr>
              <w:pStyle w:val="69"/>
              <w:keepNext w:val="0"/>
              <w:keepLines w:val="0"/>
              <w:pageBreakBefore w:val="0"/>
              <w:widowControl w:val="0"/>
              <w:numPr>
                <w:ilvl w:val="0"/>
                <w:numId w:val="7"/>
              </w:numPr>
              <w:kinsoku/>
              <w:wordWrap/>
              <w:overflowPunct/>
              <w:topLinePunct w:val="0"/>
              <w:bidi w:val="0"/>
              <w:spacing w:line="460" w:lineRule="exact"/>
              <w:ind w:firstLine="482"/>
              <w:jc w:val="left"/>
              <w:textAlignment w:val="auto"/>
              <w:rPr>
                <w:rFonts w:ascii="宋体" w:hAnsi="宋体" w:cs="宋体"/>
                <w:color w:val="auto"/>
                <w:sz w:val="24"/>
                <w:highlight w:val="none"/>
              </w:rPr>
            </w:pPr>
            <w:r>
              <w:rPr>
                <w:rFonts w:hint="eastAsia" w:ascii="宋体" w:hAnsi="宋体" w:cs="宋体"/>
                <w:b/>
                <w:bCs/>
                <w:color w:val="auto"/>
                <w:sz w:val="24"/>
                <w:highlight w:val="none"/>
                <w:lang w:val="zh-CN"/>
              </w:rPr>
              <w:t>以联合体形式参加政府采购活动，联合体各方均为中小企业的，联合体视同中小企业。其中，联合体各方均为小微企业的，联合体视同小微企业。</w:t>
            </w:r>
          </w:p>
        </w:tc>
      </w:tr>
      <w:tr>
        <w:tblPrEx>
          <w:tblCellMar>
            <w:top w:w="0" w:type="dxa"/>
            <w:left w:w="108" w:type="dxa"/>
            <w:bottom w:w="0" w:type="dxa"/>
            <w:right w:w="108" w:type="dxa"/>
          </w:tblCellMar>
        </w:tblPrEx>
        <w:trPr>
          <w:trHeight w:val="410" w:hRule="atLeast"/>
          <w:jc w:val="center"/>
        </w:trPr>
        <w:tc>
          <w:tcPr>
            <w:tcW w:w="70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highlight w:val="none"/>
              </w:rPr>
              <w:t>20</w:t>
            </w:r>
          </w:p>
        </w:tc>
        <w:tc>
          <w:tcPr>
            <w:tcW w:w="180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val="0"/>
                <w:bCs/>
                <w:color w:val="auto"/>
                <w:sz w:val="24"/>
                <w:highlight w:val="none"/>
              </w:rPr>
              <w:t>采购标的对应的中小企业划分标准所属行业</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根据《工业和信息化部、国家统计局、国家发展和改革委员会、财政部关于印发中小企业划型标准规定的通知》（工信部联企业[2011]300号）规定</w:t>
            </w:r>
            <w:r>
              <w:rPr>
                <w:rFonts w:hint="eastAsia" w:ascii="宋体" w:hAnsi="宋体" w:eastAsia="宋体" w:cs="宋体"/>
                <w:color w:val="auto"/>
                <w:sz w:val="24"/>
                <w:highlight w:val="none"/>
                <w:lang w:eastAsia="zh-CN"/>
              </w:rPr>
              <w:t>（有最新</w:t>
            </w:r>
            <w:r>
              <w:rPr>
                <w:rFonts w:hint="eastAsia" w:ascii="宋体" w:hAnsi="宋体" w:eastAsia="宋体" w:cs="宋体"/>
                <w:color w:val="auto"/>
                <w:sz w:val="24"/>
                <w:highlight w:val="none"/>
              </w:rPr>
              <w:t>中小企业划型标准</w:t>
            </w:r>
            <w:r>
              <w:rPr>
                <w:rFonts w:hint="eastAsia" w:ascii="宋体" w:hAnsi="宋体" w:eastAsia="宋体" w:cs="宋体"/>
                <w:color w:val="auto"/>
                <w:sz w:val="24"/>
                <w:highlight w:val="none"/>
                <w:lang w:eastAsia="zh-CN"/>
              </w:rPr>
              <w:t>的以更新后的为准）：</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宋体" w:cs="Times New Roman"/>
                <w:bCs/>
                <w:color w:val="auto"/>
                <w:highlight w:val="none"/>
                <w:u w:val="single"/>
                <w:lang w:val="en-US" w:eastAsia="zh-CN"/>
              </w:rPr>
            </w:pPr>
            <w:r>
              <w:rPr>
                <w:rFonts w:hint="eastAsia" w:ascii="宋体" w:hAnsi="宋体" w:eastAsia="宋体" w:cs="宋体"/>
                <w:color w:val="auto"/>
                <w:sz w:val="24"/>
                <w:highlight w:val="none"/>
              </w:rPr>
              <w:t>（1）标的：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嵊州市人民医院检验科标本外送定点服务采购项目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，属于</w:t>
            </w:r>
            <w:r>
              <w:rPr>
                <w:rFonts w:hint="eastAsia" w:ascii="Times New Roman" w:hAnsi="Times New Roman" w:eastAsia="宋体" w:cs="Times New Roman"/>
                <w:bCs/>
                <w:color w:val="auto"/>
                <w:highlight w:val="none"/>
                <w:u w:val="single"/>
                <w:lang w:eastAsia="zh-CN"/>
              </w:rPr>
              <w:t xml:space="preserve"> </w:t>
            </w:r>
            <w:r>
              <w:rPr>
                <w:rFonts w:hint="eastAsia" w:ascii="Times New Roman" w:hAnsi="Times New Roman" w:eastAsia="宋体" w:cs="Times New Roman"/>
                <w:bCs/>
                <w:color w:val="auto"/>
                <w:highlight w:val="none"/>
                <w:u w:val="single"/>
                <w:lang w:val="en-US" w:eastAsia="zh-CN"/>
              </w:rPr>
              <w:t>其他未列明行业</w:t>
            </w:r>
            <w:r>
              <w:rPr>
                <w:rFonts w:hint="eastAsia" w:ascii="Times New Roman" w:hAnsi="Times New Roman" w:eastAsia="宋体" w:cs="Times New Roman"/>
                <w:bCs/>
                <w:color w:val="auto"/>
                <w:highlight w:val="none"/>
                <w:u w:val="single"/>
                <w:lang w:eastAsia="zh-CN"/>
              </w:rPr>
              <w:t>；</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说明：声明函中所列行业与采购文件所明确的行业不一致，不影响声明有效性，也不作为虚假资料情形认定。</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ascii="宋体" w:hAnsi="宋体" w:cs="宋体"/>
                <w:color w:val="auto"/>
                <w:kern w:val="2"/>
                <w:sz w:val="24"/>
                <w:szCs w:val="24"/>
                <w:highlight w:val="none"/>
                <w:lang w:val="en-US" w:eastAsia="zh-CN" w:bidi="ar-SA"/>
              </w:rPr>
            </w:pPr>
            <w:r>
              <w:rPr>
                <w:rFonts w:hint="eastAsia" w:ascii="宋体" w:hAnsi="宋体" w:cs="宋体"/>
                <w:color w:val="auto"/>
                <w:highlight w:val="none"/>
              </w:rPr>
              <w:t>21</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69"/>
              <w:keepNext w:val="0"/>
              <w:keepLines w:val="0"/>
              <w:pageBreakBefore w:val="0"/>
              <w:widowControl w:val="0"/>
              <w:kinsoku/>
              <w:wordWrap/>
              <w:overflowPunct/>
              <w:topLinePunct w:val="0"/>
              <w:bidi w:val="0"/>
              <w:spacing w:line="46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合同签订</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69"/>
              <w:keepNext w:val="0"/>
              <w:keepLines w:val="0"/>
              <w:pageBreakBefore w:val="0"/>
              <w:widowControl w:val="0"/>
              <w:kinsoku/>
              <w:wordWrap/>
              <w:overflowPunct/>
              <w:topLinePunct w:val="0"/>
              <w:bidi w:val="0"/>
              <w:spacing w:line="460" w:lineRule="exact"/>
              <w:ind w:firstLine="488"/>
              <w:textAlignment w:val="auto"/>
              <w:rPr>
                <w:rFonts w:ascii="宋体" w:hAnsi="宋体" w:cs="宋体"/>
                <w:color w:val="auto"/>
                <w:sz w:val="24"/>
                <w:highlight w:val="none"/>
              </w:rPr>
            </w:pPr>
            <w:r>
              <w:rPr>
                <w:rFonts w:ascii="宋体" w:hAnsi="宋体" w:cs="宋体"/>
                <w:color w:val="auto"/>
                <w:spacing w:val="2"/>
                <w:sz w:val="24"/>
                <w:highlight w:val="none"/>
              </w:rPr>
              <w:t>采购人与中标人应当在《中标通知书》发出之日起</w:t>
            </w:r>
            <w:r>
              <w:rPr>
                <w:rFonts w:ascii="宋体" w:hAnsi="宋体" w:cs="宋体"/>
                <w:color w:val="auto"/>
                <w:sz w:val="24"/>
                <w:highlight w:val="none"/>
              </w:rPr>
              <w:t>30</w:t>
            </w:r>
            <w:r>
              <w:rPr>
                <w:rFonts w:ascii="宋体" w:hAnsi="宋体" w:cs="宋体"/>
                <w:color w:val="auto"/>
                <w:spacing w:val="-30"/>
                <w:sz w:val="24"/>
                <w:highlight w:val="none"/>
              </w:rPr>
              <w:t xml:space="preserve"> </w:t>
            </w:r>
            <w:r>
              <w:rPr>
                <w:rFonts w:ascii="宋体" w:hAnsi="宋体" w:cs="宋体"/>
                <w:color w:val="auto"/>
                <w:sz w:val="24"/>
                <w:highlight w:val="none"/>
              </w:rPr>
              <w:t>日内签订政府</w:t>
            </w:r>
            <w:r>
              <w:rPr>
                <w:rFonts w:ascii="宋体" w:hAnsi="宋体" w:cs="宋体"/>
                <w:color w:val="auto"/>
                <w:spacing w:val="2"/>
                <w:sz w:val="24"/>
                <w:highlight w:val="none"/>
              </w:rPr>
              <w:t>采购合同。中标人拖延、拒签合同的，将被取消中标资格。</w:t>
            </w:r>
          </w:p>
        </w:tc>
      </w:tr>
      <w:tr>
        <w:tblPrEx>
          <w:tblCellMar>
            <w:top w:w="0" w:type="dxa"/>
            <w:left w:w="108" w:type="dxa"/>
            <w:bottom w:w="0" w:type="dxa"/>
            <w:right w:w="108" w:type="dxa"/>
          </w:tblCellMar>
        </w:tblPrEx>
        <w:trPr>
          <w:trHeight w:val="41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ascii="宋体" w:hAnsi="宋体" w:cs="宋体"/>
                <w:color w:val="auto"/>
                <w:highlight w:val="none"/>
              </w:rPr>
            </w:pPr>
            <w:r>
              <w:rPr>
                <w:rFonts w:hint="eastAsia" w:ascii="宋体" w:hAnsi="宋体" w:cs="宋体"/>
                <w:color w:val="auto"/>
                <w:highlight w:val="none"/>
              </w:rPr>
              <w:t>22</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highlight w:val="none"/>
                <w:lang w:val="zh-CN"/>
              </w:rPr>
              <w:t>投标文件递交地点及时间</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highlight w:val="none"/>
              </w:rPr>
              <w:t>按“招标公告”规定。</w:t>
            </w:r>
          </w:p>
        </w:tc>
      </w:tr>
      <w:tr>
        <w:tblPrEx>
          <w:tblCellMar>
            <w:top w:w="0" w:type="dxa"/>
            <w:left w:w="108" w:type="dxa"/>
            <w:bottom w:w="0" w:type="dxa"/>
            <w:right w:w="108" w:type="dxa"/>
          </w:tblCellMar>
        </w:tblPrEx>
        <w:trPr>
          <w:trHeight w:val="564"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ascii="宋体" w:hAnsi="宋体" w:cs="宋体"/>
                <w:color w:val="auto"/>
                <w:highlight w:val="none"/>
              </w:rPr>
            </w:pPr>
            <w:r>
              <w:rPr>
                <w:rFonts w:hint="eastAsia" w:ascii="宋体" w:hAnsi="宋体" w:cs="宋体"/>
                <w:color w:val="auto"/>
                <w:highlight w:val="none"/>
              </w:rPr>
              <w:t>23</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highlight w:val="none"/>
                <w:lang w:val="zh-CN"/>
              </w:rPr>
              <w:t>开标</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highlight w:val="none"/>
              </w:rPr>
              <w:t>按“招标公告”规定。</w:t>
            </w:r>
          </w:p>
        </w:tc>
      </w:tr>
      <w:tr>
        <w:tblPrEx>
          <w:tblCellMar>
            <w:top w:w="0" w:type="dxa"/>
            <w:left w:w="108" w:type="dxa"/>
            <w:bottom w:w="0" w:type="dxa"/>
            <w:right w:w="108" w:type="dxa"/>
          </w:tblCellMar>
        </w:tblPrEx>
        <w:trPr>
          <w:trHeight w:val="59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ascii="宋体" w:hAnsi="宋体" w:cs="宋体"/>
                <w:color w:val="auto"/>
                <w:highlight w:val="none"/>
              </w:rPr>
            </w:pPr>
            <w:r>
              <w:rPr>
                <w:rFonts w:hint="eastAsia" w:ascii="宋体" w:hAnsi="宋体" w:cs="宋体"/>
                <w:color w:val="auto"/>
                <w:highlight w:val="none"/>
              </w:rPr>
              <w:t>24</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highlight w:val="none"/>
                <w:lang w:val="zh-CN"/>
              </w:rPr>
              <w:t>代理服务费</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lang w:val="en-US" w:eastAsia="zh-CN" w:bidi="ar-SA"/>
              </w:rPr>
              <w:t>按照国家计委计价格[2002]1980号文规定的收费标准50%计取，</w:t>
            </w:r>
            <w:r>
              <w:rPr>
                <w:rFonts w:hint="eastAsia" w:eastAsia="宋体" w:cs="宋体"/>
                <w:color w:val="auto"/>
                <w:kern w:val="2"/>
                <w:sz w:val="24"/>
                <w:szCs w:val="24"/>
                <w:highlight w:val="none"/>
                <w:lang w:val="en-US" w:eastAsia="zh-CN" w:bidi="ar-SA"/>
              </w:rPr>
              <w:t>中标（</w:t>
            </w:r>
            <w:r>
              <w:rPr>
                <w:rFonts w:hint="eastAsia" w:ascii="宋体" w:hAnsi="宋体" w:eastAsia="宋体" w:cs="宋体"/>
                <w:color w:val="auto"/>
                <w:kern w:val="2"/>
                <w:sz w:val="24"/>
                <w:szCs w:val="24"/>
                <w:highlight w:val="none"/>
                <w:lang w:val="en-US" w:eastAsia="zh-CN" w:bidi="ar-SA"/>
              </w:rPr>
              <w:t>成交</w:t>
            </w:r>
            <w:r>
              <w:rPr>
                <w:rFonts w:hint="eastAsia"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供应商在领取</w:t>
            </w:r>
            <w:r>
              <w:rPr>
                <w:rFonts w:hint="eastAsia" w:eastAsia="宋体" w:cs="宋体"/>
                <w:color w:val="auto"/>
                <w:kern w:val="2"/>
                <w:sz w:val="24"/>
                <w:szCs w:val="24"/>
                <w:highlight w:val="none"/>
                <w:lang w:val="en-US" w:eastAsia="zh-CN" w:bidi="ar-SA"/>
              </w:rPr>
              <w:t>中标（</w:t>
            </w:r>
            <w:r>
              <w:rPr>
                <w:rFonts w:hint="eastAsia" w:ascii="宋体" w:hAnsi="宋体" w:eastAsia="宋体" w:cs="宋体"/>
                <w:color w:val="auto"/>
                <w:kern w:val="2"/>
                <w:sz w:val="24"/>
                <w:szCs w:val="24"/>
                <w:highlight w:val="none"/>
                <w:lang w:val="en-US" w:eastAsia="zh-CN" w:bidi="ar-SA"/>
              </w:rPr>
              <w:t>成交</w:t>
            </w:r>
            <w:r>
              <w:rPr>
                <w:rFonts w:hint="eastAsia"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通知书时支付</w:t>
            </w:r>
            <w:r>
              <w:rPr>
                <w:rFonts w:hint="eastAsia" w:ascii="宋体" w:hAnsi="宋体" w:eastAsia="宋体" w:cs="宋体"/>
                <w:color w:val="auto"/>
                <w:sz w:val="24"/>
                <w:szCs w:val="24"/>
                <w:highlight w:val="none"/>
                <w:lang w:val="zh-CN"/>
              </w:rPr>
              <w:t>。汇入以下账户 ：</w:t>
            </w:r>
          </w:p>
          <w:p>
            <w:pPr>
              <w:keepNext w:val="0"/>
              <w:keepLines w:val="0"/>
              <w:pageBreakBefore w:val="0"/>
              <w:widowControl w:val="0"/>
              <w:kinsoku/>
              <w:wordWrap/>
              <w:overflowPunct/>
              <w:topLinePunct w:val="0"/>
              <w:autoSpaceDE w:val="0"/>
              <w:autoSpaceDN w:val="0"/>
              <w:bidi w:val="0"/>
              <w:adjustRightInd w:val="0"/>
              <w:spacing w:line="460" w:lineRule="exact"/>
              <w:ind w:left="480" w:leftChars="200" w:firstLine="0" w:firstLineChars="0"/>
              <w:textAlignment w:val="auto"/>
              <w:rPr>
                <w:rFonts w:hint="eastAsia" w:ascii="宋体" w:hAnsi="宋体" w:cs="宋体"/>
                <w:color w:val="auto"/>
                <w:highlight w:val="none"/>
                <w:lang w:val="zh-CN"/>
              </w:rPr>
            </w:pPr>
            <w:r>
              <w:rPr>
                <w:rFonts w:hint="eastAsia" w:ascii="宋体" w:hAnsi="宋体" w:cs="宋体"/>
                <w:color w:val="auto"/>
                <w:highlight w:val="none"/>
                <w:lang w:val="zh-CN"/>
              </w:rPr>
              <w:t>收款单位（户名）：嵊州市中天工程建设招标代理有限公司 </w:t>
            </w:r>
          </w:p>
          <w:p>
            <w:pPr>
              <w:keepNext w:val="0"/>
              <w:keepLines w:val="0"/>
              <w:pageBreakBefore w:val="0"/>
              <w:widowControl w:val="0"/>
              <w:kinsoku/>
              <w:wordWrap/>
              <w:overflowPunct/>
              <w:topLinePunct w:val="0"/>
              <w:autoSpaceDE w:val="0"/>
              <w:autoSpaceDN w:val="0"/>
              <w:bidi w:val="0"/>
              <w:adjustRightInd w:val="0"/>
              <w:spacing w:line="460" w:lineRule="exact"/>
              <w:ind w:left="480" w:leftChars="200" w:firstLine="0" w:firstLineChars="0"/>
              <w:textAlignment w:val="auto"/>
              <w:rPr>
                <w:rFonts w:hint="eastAsia" w:ascii="宋体" w:hAnsi="宋体" w:cs="宋体"/>
                <w:color w:val="auto"/>
                <w:highlight w:val="none"/>
                <w:lang w:val="zh-CN"/>
              </w:rPr>
            </w:pPr>
            <w:r>
              <w:rPr>
                <w:rFonts w:hint="eastAsia" w:ascii="宋体" w:hAnsi="宋体" w:cs="宋体"/>
                <w:color w:val="auto"/>
                <w:highlight w:val="none"/>
                <w:lang w:val="zh-CN"/>
              </w:rPr>
              <w:t>开  户：交通银行嵊州支行</w:t>
            </w:r>
          </w:p>
          <w:p>
            <w:pPr>
              <w:keepNext w:val="0"/>
              <w:keepLines w:val="0"/>
              <w:pageBreakBefore w:val="0"/>
              <w:widowControl w:val="0"/>
              <w:kinsoku/>
              <w:wordWrap/>
              <w:overflowPunct/>
              <w:topLinePunct w:val="0"/>
              <w:autoSpaceDE w:val="0"/>
              <w:autoSpaceDN w:val="0"/>
              <w:bidi w:val="0"/>
              <w:adjustRightInd w:val="0"/>
              <w:spacing w:line="460" w:lineRule="exact"/>
              <w:ind w:left="480" w:leftChars="200" w:firstLine="0" w:firstLineChars="0"/>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highlight w:val="none"/>
                <w:lang w:val="zh-CN"/>
              </w:rPr>
              <w:t xml:space="preserve">账  号：291026105012017002449 </w:t>
            </w:r>
          </w:p>
        </w:tc>
      </w:tr>
      <w:tr>
        <w:tblPrEx>
          <w:tblCellMar>
            <w:top w:w="0" w:type="dxa"/>
            <w:left w:w="108" w:type="dxa"/>
            <w:bottom w:w="0" w:type="dxa"/>
            <w:right w:w="108" w:type="dxa"/>
          </w:tblCellMar>
        </w:tblPrEx>
        <w:trPr>
          <w:trHeight w:val="469"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ascii="宋体" w:hAnsi="宋体" w:cs="宋体"/>
                <w:color w:val="auto"/>
                <w:highlight w:val="none"/>
              </w:rPr>
            </w:pPr>
            <w:r>
              <w:rPr>
                <w:rFonts w:hint="eastAsia" w:ascii="宋体" w:hAnsi="宋体" w:cs="宋体"/>
                <w:color w:val="auto"/>
                <w:highlight w:val="none"/>
              </w:rPr>
              <w:t>25</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highlight w:val="none"/>
                <w:lang w:val="zh-CN"/>
              </w:rPr>
              <w:t>现场组织实施</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highlight w:val="none"/>
                <w:lang w:val="zh-CN"/>
              </w:rPr>
              <w:t>本项目现场组织按照《浙江省政府采购活动现场组织管理办法》浙财采监〔2015〕13号文件执行。</w:t>
            </w:r>
          </w:p>
        </w:tc>
      </w:tr>
      <w:tr>
        <w:tblPrEx>
          <w:tblCellMar>
            <w:top w:w="0" w:type="dxa"/>
            <w:left w:w="108" w:type="dxa"/>
            <w:bottom w:w="0" w:type="dxa"/>
            <w:right w:w="108" w:type="dxa"/>
          </w:tblCellMar>
        </w:tblPrEx>
        <w:trPr>
          <w:trHeight w:val="560"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ascii="宋体" w:hAnsi="宋体" w:cs="宋体"/>
                <w:color w:val="auto"/>
                <w:highlight w:val="none"/>
              </w:rPr>
            </w:pPr>
            <w:r>
              <w:rPr>
                <w:rFonts w:hint="eastAsia" w:ascii="宋体" w:hAnsi="宋体" w:cs="宋体"/>
                <w:color w:val="auto"/>
                <w:highlight w:val="none"/>
              </w:rPr>
              <w:t>26</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highlight w:val="none"/>
                <w:lang w:val="zh-CN"/>
              </w:rPr>
              <w:t>中标公告及中标通知书</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highlight w:val="none"/>
                <w:lang w:val="zh-CN"/>
              </w:rPr>
              <w:t>评标结束后5个工作日内，中标公告发布于浙江省政府采购网(</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"http://www.zjzfcg.gov.cn)，中标公示期1" </w:instrText>
            </w:r>
            <w:r>
              <w:rPr>
                <w:rFonts w:hint="eastAsia" w:ascii="宋体" w:hAnsi="宋体" w:cs="宋体"/>
                <w:color w:val="auto"/>
                <w:highlight w:val="none"/>
              </w:rPr>
              <w:fldChar w:fldCharType="separate"/>
            </w:r>
            <w:r>
              <w:rPr>
                <w:rFonts w:hint="eastAsia" w:ascii="宋体" w:hAnsi="宋体" w:cs="宋体"/>
                <w:color w:val="auto"/>
                <w:highlight w:val="none"/>
                <w:lang w:val="zh-CN"/>
              </w:rPr>
              <w:t>http://www.zjzfcg.gov.cn)，中标公示期1</w:t>
            </w:r>
            <w:r>
              <w:rPr>
                <w:rFonts w:hint="eastAsia" w:ascii="宋体" w:hAnsi="宋体" w:cs="宋体"/>
                <w:color w:val="auto"/>
                <w:highlight w:val="none"/>
                <w:lang w:val="zh-CN"/>
              </w:rPr>
              <w:fldChar w:fldCharType="end"/>
            </w:r>
            <w:r>
              <w:rPr>
                <w:rFonts w:hint="eastAsia" w:ascii="宋体" w:hAnsi="宋体" w:cs="宋体"/>
                <w:color w:val="auto"/>
                <w:highlight w:val="none"/>
                <w:lang w:val="zh-CN"/>
              </w:rPr>
              <w:t>个工作日。</w:t>
            </w:r>
          </w:p>
        </w:tc>
      </w:tr>
      <w:tr>
        <w:tblPrEx>
          <w:tblCellMar>
            <w:top w:w="0" w:type="dxa"/>
            <w:left w:w="108" w:type="dxa"/>
            <w:bottom w:w="0" w:type="dxa"/>
            <w:right w:w="108" w:type="dxa"/>
          </w:tblCellMar>
        </w:tblPrEx>
        <w:trPr>
          <w:trHeight w:val="908"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ascii="宋体" w:hAnsi="宋体" w:cs="宋体"/>
                <w:color w:val="auto"/>
                <w:highlight w:val="none"/>
              </w:rPr>
            </w:pPr>
            <w:r>
              <w:rPr>
                <w:rFonts w:hint="eastAsia" w:ascii="宋体" w:hAnsi="宋体" w:cs="宋体"/>
                <w:color w:val="auto"/>
                <w:highlight w:val="none"/>
              </w:rPr>
              <w:t>27</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highlight w:val="none"/>
                <w:lang w:val="zh-CN"/>
              </w:rPr>
              <w:t>供应商信用信息事项</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480"/>
              <w:textAlignment w:val="auto"/>
              <w:rPr>
                <w:rFonts w:hint="eastAsia" w:ascii="宋体" w:hAnsi="宋体" w:cs="宋体"/>
                <w:color w:val="auto"/>
                <w:highlight w:val="none"/>
                <w:lang w:val="zh-CN"/>
              </w:rPr>
            </w:pPr>
            <w:r>
              <w:rPr>
                <w:rFonts w:hint="eastAsia" w:ascii="宋体" w:hAnsi="宋体" w:cs="宋体"/>
                <w:color w:val="auto"/>
                <w:highlight w:val="none"/>
                <w:lang w:val="zh-CN"/>
              </w:rPr>
              <w:t>信用记录查询：依据财库[2016]125号文件执行</w:t>
            </w:r>
          </w:p>
          <w:p>
            <w:pPr>
              <w:keepNext w:val="0"/>
              <w:keepLines w:val="0"/>
              <w:pageBreakBefore w:val="0"/>
              <w:widowControl w:val="0"/>
              <w:kinsoku/>
              <w:wordWrap/>
              <w:overflowPunct/>
              <w:topLinePunct w:val="0"/>
              <w:autoSpaceDE w:val="0"/>
              <w:autoSpaceDN w:val="0"/>
              <w:bidi w:val="0"/>
              <w:adjustRightInd w:val="0"/>
              <w:spacing w:line="460" w:lineRule="exact"/>
              <w:ind w:firstLine="480"/>
              <w:textAlignment w:val="auto"/>
              <w:rPr>
                <w:rFonts w:hint="eastAsia" w:ascii="宋体" w:hAnsi="宋体" w:cs="宋体"/>
                <w:color w:val="auto"/>
                <w:highlight w:val="none"/>
                <w:lang w:val="zh-CN"/>
              </w:rPr>
            </w:pPr>
            <w:r>
              <w:rPr>
                <w:rFonts w:hint="eastAsia" w:ascii="宋体" w:hAnsi="宋体" w:cs="宋体"/>
                <w:color w:val="auto"/>
                <w:highlight w:val="none"/>
                <w:lang w:val="zh-CN"/>
              </w:rPr>
              <w:t>查询渠道：信用中国（www.creditchina.gov.cn）、中国政府采购网（www.ccgp.gov.cn）；</w:t>
            </w:r>
          </w:p>
          <w:p>
            <w:pPr>
              <w:keepNext w:val="0"/>
              <w:keepLines w:val="0"/>
              <w:pageBreakBefore w:val="0"/>
              <w:widowControl w:val="0"/>
              <w:kinsoku/>
              <w:wordWrap/>
              <w:overflowPunct/>
              <w:topLinePunct w:val="0"/>
              <w:autoSpaceDE w:val="0"/>
              <w:autoSpaceDN w:val="0"/>
              <w:bidi w:val="0"/>
              <w:adjustRightInd w:val="0"/>
              <w:spacing w:line="460" w:lineRule="exact"/>
              <w:ind w:firstLine="480"/>
              <w:textAlignment w:val="auto"/>
              <w:rPr>
                <w:rFonts w:hint="eastAsia" w:ascii="宋体" w:hAnsi="宋体" w:cs="宋体"/>
                <w:color w:val="auto"/>
                <w:highlight w:val="none"/>
                <w:lang w:val="zh-CN"/>
              </w:rPr>
            </w:pPr>
            <w:r>
              <w:rPr>
                <w:rFonts w:hint="eastAsia" w:ascii="宋体" w:hAnsi="宋体" w:cs="宋体"/>
                <w:color w:val="auto"/>
                <w:highlight w:val="none"/>
                <w:lang w:val="zh-CN"/>
              </w:rPr>
              <w:t>截止时点：招标公告发布之日至投标截止时间前；</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highlight w:val="none"/>
                <w:lang w:val="zh-CN"/>
              </w:rPr>
              <w:t>使用规则：被列入失信被执行人、重大税收违法案件当事人名单、政府采购严重违法失信行为记录名单及其它不符合《中华人民共和国政府采购法》第二十二条规定条件的，其投标将被拒绝。</w:t>
            </w:r>
          </w:p>
        </w:tc>
      </w:tr>
      <w:tr>
        <w:tblPrEx>
          <w:tblCellMar>
            <w:top w:w="0" w:type="dxa"/>
            <w:left w:w="108" w:type="dxa"/>
            <w:bottom w:w="0" w:type="dxa"/>
            <w:right w:w="108" w:type="dxa"/>
          </w:tblCellMar>
        </w:tblPrEx>
        <w:trPr>
          <w:trHeight w:val="823"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ascii="宋体" w:hAnsi="宋体" w:cs="宋体"/>
                <w:color w:val="auto"/>
                <w:highlight w:val="none"/>
              </w:rPr>
            </w:pPr>
            <w:r>
              <w:rPr>
                <w:rFonts w:hint="eastAsia" w:ascii="宋体" w:hAnsi="宋体" w:cs="宋体"/>
                <w:color w:val="auto"/>
                <w:highlight w:val="none"/>
              </w:rPr>
              <w:t>28</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highlight w:val="none"/>
                <w:lang w:val="zh-CN"/>
              </w:rPr>
              <w:t>特别说明</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hint="eastAsia"/>
                <w:color w:val="auto"/>
                <w:highlight w:val="none"/>
                <w:lang w:val="zh-CN"/>
              </w:rPr>
            </w:pPr>
            <w:r>
              <w:rPr>
                <w:rFonts w:hint="eastAsia"/>
                <w:color w:val="auto"/>
                <w:highlight w:val="none"/>
                <w:lang w:val="en-US" w:eastAsia="zh-CN"/>
              </w:rPr>
              <w:t>1、</w:t>
            </w:r>
            <w:r>
              <w:rPr>
                <w:rFonts w:hint="eastAsia"/>
                <w:color w:val="auto"/>
                <w:highlight w:val="none"/>
                <w:lang w:val="zh-CN"/>
              </w:rPr>
              <w:t>本表与采购文件其他部分内容不一致的，以本表为准。</w:t>
            </w:r>
          </w:p>
          <w:p>
            <w:pPr>
              <w:pStyle w:val="15"/>
              <w:keepNext w:val="0"/>
              <w:keepLines w:val="0"/>
              <w:pageBreakBefore w:val="0"/>
              <w:widowControl w:val="0"/>
              <w:kinsoku/>
              <w:wordWrap/>
              <w:overflowPunct/>
              <w:topLinePunct w:val="0"/>
              <w:bidi w:val="0"/>
              <w:snapToGrid/>
              <w:spacing w:line="460" w:lineRule="exact"/>
              <w:ind w:firstLine="480" w:firstLineChars="200"/>
              <w:textAlignment w:val="auto"/>
              <w:rPr>
                <w:rFonts w:hint="eastAsia"/>
                <w:color w:val="auto"/>
                <w:kern w:val="2"/>
                <w:sz w:val="24"/>
                <w:szCs w:val="24"/>
                <w:highlight w:val="none"/>
                <w:lang w:val="zh-CN" w:eastAsia="zh-CN" w:bidi="ar-SA"/>
              </w:rPr>
            </w:pPr>
            <w:r>
              <w:rPr>
                <w:rFonts w:hint="eastAsia" w:ascii="宋体" w:hAnsi="宋体" w:eastAsia="宋体" w:cs="宋体"/>
                <w:b/>
                <w:bCs w:val="0"/>
                <w:color w:val="auto"/>
                <w:sz w:val="24"/>
                <w:szCs w:val="24"/>
                <w:highlight w:val="none"/>
                <w:lang w:val="en-US" w:eastAsia="zh-CN"/>
              </w:rPr>
              <w:t>2、政采云公司如对电子化开标及评审程序有调整的，按调整后的程序操作。</w:t>
            </w:r>
          </w:p>
        </w:tc>
      </w:tr>
      <w:tr>
        <w:tblPrEx>
          <w:tblCellMar>
            <w:top w:w="0" w:type="dxa"/>
            <w:left w:w="108" w:type="dxa"/>
            <w:bottom w:w="0" w:type="dxa"/>
            <w:right w:w="108" w:type="dxa"/>
          </w:tblCellMar>
        </w:tblPrEx>
        <w:trPr>
          <w:trHeight w:val="522"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ascii="宋体" w:hAnsi="宋体" w:cs="宋体"/>
                <w:color w:val="auto"/>
                <w:highlight w:val="none"/>
              </w:rPr>
            </w:pPr>
            <w:r>
              <w:rPr>
                <w:rFonts w:hint="eastAsia" w:ascii="宋体" w:hAnsi="宋体" w:cs="宋体"/>
                <w:color w:val="auto"/>
                <w:highlight w:val="none"/>
              </w:rPr>
              <w:t>29</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pacing w:line="460" w:lineRule="exact"/>
              <w:ind w:firstLine="0" w:firstLineChars="0"/>
              <w:jc w:val="center"/>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highlight w:val="none"/>
              </w:rPr>
              <w:t>解释权</w:t>
            </w:r>
          </w:p>
        </w:tc>
        <w:tc>
          <w:tcPr>
            <w:tcW w:w="75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highlight w:val="none"/>
                <w:lang w:val="zh-CN"/>
              </w:rPr>
              <w:t>本采购文件的解释权属于采购人和采购代理机构。</w:t>
            </w:r>
          </w:p>
        </w:tc>
      </w:tr>
      <w:tr>
        <w:tblPrEx>
          <w:tblCellMar>
            <w:top w:w="0" w:type="dxa"/>
            <w:left w:w="108" w:type="dxa"/>
            <w:bottom w:w="0" w:type="dxa"/>
            <w:right w:w="108" w:type="dxa"/>
          </w:tblCellMar>
        </w:tblPrEx>
        <w:trPr>
          <w:trHeight w:val="447"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ascii="宋体" w:hAnsi="宋体" w:cs="宋体"/>
                <w:color w:val="auto"/>
                <w:highlight w:val="none"/>
              </w:rPr>
            </w:pPr>
            <w:r>
              <w:rPr>
                <w:rFonts w:hint="eastAsia" w:ascii="宋体" w:hAnsi="宋体" w:cs="宋体"/>
                <w:color w:val="auto"/>
                <w:highlight w:val="none"/>
              </w:rPr>
              <w:t>30</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69"/>
              <w:keepNext w:val="0"/>
              <w:keepLines w:val="0"/>
              <w:pageBreakBefore w:val="0"/>
              <w:widowControl w:val="0"/>
              <w:kinsoku/>
              <w:wordWrap/>
              <w:overflowPunct/>
              <w:topLinePunct w:val="0"/>
              <w:bidi w:val="0"/>
              <w:spacing w:line="460" w:lineRule="exact"/>
              <w:ind w:firstLine="0" w:firstLineChars="0"/>
              <w:jc w:val="center"/>
              <w:textAlignment w:val="auto"/>
              <w:rPr>
                <w:rFonts w:hint="eastAsia" w:ascii="宋体" w:hAnsi="宋体" w:cs="宋体"/>
                <w:color w:val="auto"/>
                <w:kern w:val="2"/>
                <w:sz w:val="24"/>
                <w:szCs w:val="24"/>
                <w:highlight w:val="none"/>
                <w:lang w:val="zh-CN" w:eastAsia="zh-CN" w:bidi="ar-SA"/>
              </w:rPr>
            </w:pPr>
            <w:r>
              <w:rPr>
                <w:rFonts w:ascii="宋体" w:hAnsi="宋体" w:cs="宋体"/>
                <w:color w:val="auto"/>
                <w:sz w:val="24"/>
                <w:highlight w:val="none"/>
              </w:rPr>
              <w:t>其他说明</w:t>
            </w:r>
          </w:p>
        </w:tc>
        <w:tc>
          <w:tcPr>
            <w:tcW w:w="7564" w:type="dxa"/>
            <w:tcBorders>
              <w:top w:val="single" w:color="auto" w:sz="6" w:space="0"/>
              <w:left w:val="single" w:color="auto" w:sz="6" w:space="0"/>
              <w:bottom w:val="single" w:color="auto" w:sz="6" w:space="0"/>
              <w:right w:val="single" w:color="auto" w:sz="6" w:space="0"/>
            </w:tcBorders>
            <w:noWrap w:val="0"/>
            <w:vAlign w:val="top"/>
          </w:tcPr>
          <w:p>
            <w:pPr>
              <w:pStyle w:val="69"/>
              <w:keepNext w:val="0"/>
              <w:keepLines w:val="0"/>
              <w:pageBreakBefore w:val="0"/>
              <w:widowControl w:val="0"/>
              <w:numPr>
                <w:ilvl w:val="0"/>
                <w:numId w:val="8"/>
              </w:numPr>
              <w:kinsoku/>
              <w:wordWrap/>
              <w:overflowPunct/>
              <w:topLinePunct w:val="0"/>
              <w:bidi w:val="0"/>
              <w:spacing w:line="460" w:lineRule="exact"/>
              <w:ind w:firstLine="480"/>
              <w:jc w:val="left"/>
              <w:textAlignment w:val="auto"/>
              <w:rPr>
                <w:rFonts w:ascii="宋体" w:hAnsi="宋体" w:cs="宋体"/>
                <w:color w:val="auto"/>
                <w:sz w:val="24"/>
                <w:highlight w:val="none"/>
              </w:rPr>
            </w:pPr>
            <w:r>
              <w:rPr>
                <w:rFonts w:ascii="宋体" w:hAnsi="宋体" w:cs="宋体"/>
                <w:color w:val="auto"/>
                <w:sz w:val="24"/>
                <w:highlight w:val="none"/>
              </w:rPr>
              <w:t>根据《浙江省财政厅关于规范政府采购供应商资格设定及资格审查的通知》浙财采监〔2013〕24 号文件，金融、保险、通讯等特定行业的全国性企业所设立的区域性分支机构投标时应提供该单位负责人签署的相关文件材料，与其他法人单位法定代表人签署的文件材料具有同等效力。</w:t>
            </w:r>
          </w:p>
          <w:p>
            <w:pPr>
              <w:pStyle w:val="69"/>
              <w:keepNext w:val="0"/>
              <w:keepLines w:val="0"/>
              <w:pageBreakBefore w:val="0"/>
              <w:widowControl w:val="0"/>
              <w:numPr>
                <w:ilvl w:val="0"/>
                <w:numId w:val="8"/>
              </w:numPr>
              <w:kinsoku/>
              <w:wordWrap/>
              <w:overflowPunct/>
              <w:topLinePunct w:val="0"/>
              <w:bidi w:val="0"/>
              <w:spacing w:line="460" w:lineRule="exact"/>
              <w:ind w:firstLine="480" w:firstLineChars="200"/>
              <w:jc w:val="left"/>
              <w:textAlignment w:val="auto"/>
              <w:rPr>
                <w:rFonts w:hint="eastAsia" w:ascii="宋体" w:hAnsi="宋体" w:cs="宋体"/>
                <w:color w:val="auto"/>
                <w:kern w:val="2"/>
                <w:sz w:val="24"/>
                <w:szCs w:val="24"/>
                <w:highlight w:val="none"/>
                <w:lang w:val="zh-CN" w:eastAsia="zh-CN" w:bidi="ar-SA"/>
              </w:rPr>
            </w:pPr>
            <w:r>
              <w:rPr>
                <w:rFonts w:hint="eastAsia" w:ascii="宋体" w:hAnsi="Courier New"/>
                <w:color w:val="auto"/>
                <w:sz w:val="24"/>
                <w:highlight w:val="none"/>
              </w:rPr>
              <w:t>联合体投标的，只需盖联合体牵头人的</w:t>
            </w:r>
            <w:r>
              <w:rPr>
                <w:rFonts w:hint="eastAsia" w:ascii="宋体" w:hAnsi="Courier New"/>
                <w:color w:val="auto"/>
                <w:sz w:val="24"/>
                <w:highlight w:val="none"/>
                <w:lang w:val="en-US" w:eastAsia="zh-CN"/>
              </w:rPr>
              <w:t>CA签章</w:t>
            </w:r>
            <w:r>
              <w:rPr>
                <w:rFonts w:hint="eastAsia" w:ascii="宋体" w:hAnsi="Courier New"/>
                <w:color w:val="auto"/>
                <w:sz w:val="24"/>
                <w:highlight w:val="none"/>
              </w:rPr>
              <w:t>。招标文件中涉及法定代表人或其委托代理人的签字（或盖章或印章）是指投标单位的法定代表人签字（或盖章）或其委托代理人签字（或盖章）；联合体投标的，仅需联合体牵头人的法定代表人签字（或盖章）或其委托代理人签字（或盖章）。</w:t>
            </w:r>
          </w:p>
        </w:tc>
      </w:tr>
      <w:tr>
        <w:tblPrEx>
          <w:tblCellMar>
            <w:top w:w="0" w:type="dxa"/>
            <w:left w:w="108" w:type="dxa"/>
            <w:bottom w:w="0" w:type="dxa"/>
            <w:right w:w="108" w:type="dxa"/>
          </w:tblCellMar>
        </w:tblPrEx>
        <w:trPr>
          <w:trHeight w:val="507" w:hRule="atLeast"/>
          <w:jc w:val="center"/>
        </w:trPr>
        <w:tc>
          <w:tcPr>
            <w:tcW w:w="7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ind w:firstLine="0" w:firstLineChars="0"/>
              <w:jc w:val="center"/>
              <w:textAlignment w:val="auto"/>
              <w:rPr>
                <w:rFonts w:ascii="宋体" w:hAnsi="宋体" w:cs="宋体"/>
                <w:color w:val="auto"/>
                <w:highlight w:val="none"/>
              </w:rPr>
            </w:pPr>
            <w:r>
              <w:rPr>
                <w:rFonts w:hint="eastAsia" w:ascii="宋体" w:hAnsi="宋体" w:cs="宋体"/>
                <w:color w:val="auto"/>
                <w:highlight w:val="none"/>
              </w:rPr>
              <w:t>31</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69"/>
              <w:keepNext w:val="0"/>
              <w:keepLines w:val="0"/>
              <w:pageBreakBefore w:val="0"/>
              <w:widowControl w:val="0"/>
              <w:kinsoku/>
              <w:wordWrap/>
              <w:overflowPunct/>
              <w:topLinePunct w:val="0"/>
              <w:bidi w:val="0"/>
              <w:spacing w:line="460" w:lineRule="exact"/>
              <w:ind w:firstLine="0" w:firstLineChars="0"/>
              <w:jc w:val="center"/>
              <w:textAlignment w:val="auto"/>
              <w:rPr>
                <w:rFonts w:hint="eastAsia" w:ascii="宋体" w:hAnsi="宋体" w:cs="宋体"/>
                <w:color w:val="auto"/>
                <w:kern w:val="2"/>
                <w:sz w:val="24"/>
                <w:szCs w:val="24"/>
                <w:highlight w:val="none"/>
                <w:lang w:val="zh-CN" w:eastAsia="zh-CN" w:bidi="ar-SA"/>
              </w:rPr>
            </w:pPr>
            <w:r>
              <w:rPr>
                <w:rFonts w:ascii="宋体" w:hAnsi="宋体" w:cs="宋体"/>
                <w:color w:val="auto"/>
                <w:sz w:val="24"/>
                <w:highlight w:val="none"/>
              </w:rPr>
              <w:t>注意事项</w:t>
            </w:r>
          </w:p>
        </w:tc>
        <w:tc>
          <w:tcPr>
            <w:tcW w:w="756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pacing w:line="460" w:lineRule="exact"/>
              <w:ind w:firstLine="480"/>
              <w:jc w:val="left"/>
              <w:textAlignment w:val="auto"/>
              <w:rPr>
                <w:rFonts w:hint="eastAsia" w:ascii="宋体" w:hAnsi="宋体" w:cs="宋体"/>
                <w:color w:val="auto"/>
                <w:highlight w:val="none"/>
              </w:rPr>
            </w:pPr>
            <w:r>
              <w:rPr>
                <w:rFonts w:hint="eastAsia" w:ascii="宋体" w:hAnsi="宋体" w:cs="宋体"/>
                <w:color w:val="auto"/>
                <w:highlight w:val="none"/>
              </w:rPr>
              <w:t>1.请务必确保投标文件制作客户端为最新版本，旧版本可能导致投标文件解密失败。</w:t>
            </w:r>
          </w:p>
          <w:p>
            <w:pPr>
              <w:pStyle w:val="69"/>
              <w:keepNext w:val="0"/>
              <w:keepLines w:val="0"/>
              <w:pageBreakBefore w:val="0"/>
              <w:widowControl w:val="0"/>
              <w:kinsoku/>
              <w:wordWrap/>
              <w:overflowPunct/>
              <w:topLinePunct w:val="0"/>
              <w:bidi w:val="0"/>
              <w:spacing w:line="460" w:lineRule="exact"/>
              <w:ind w:firstLine="480" w:firstLineChars="200"/>
              <w:jc w:val="left"/>
              <w:textAlignment w:val="auto"/>
              <w:rPr>
                <w:rFonts w:hint="eastAsia" w:ascii="宋体" w:hAnsi="宋体" w:cs="宋体"/>
                <w:color w:val="auto"/>
                <w:kern w:val="2"/>
                <w:sz w:val="24"/>
                <w:szCs w:val="24"/>
                <w:highlight w:val="none"/>
                <w:lang w:val="zh-CN" w:eastAsia="zh-CN" w:bidi="ar-SA"/>
              </w:rPr>
            </w:pPr>
            <w:r>
              <w:rPr>
                <w:rFonts w:ascii="宋体" w:hAnsi="宋体" w:cs="宋体"/>
                <w:color w:val="auto"/>
                <w:sz w:val="24"/>
                <w:highlight w:val="none"/>
              </w:rPr>
              <w:t>2.请务必确保投标文件制作时所用的 CA 锁与投标文件解密时的 CA 锁为同一把，否则可能导致投标文件解密失败。</w:t>
            </w:r>
          </w:p>
        </w:tc>
      </w:tr>
      <w:tr>
        <w:tblPrEx>
          <w:tblCellMar>
            <w:top w:w="0" w:type="dxa"/>
            <w:left w:w="108" w:type="dxa"/>
            <w:bottom w:w="0" w:type="dxa"/>
            <w:right w:w="108" w:type="dxa"/>
          </w:tblCellMar>
        </w:tblPrEx>
        <w:trPr>
          <w:trHeight w:val="507" w:hRule="atLeast"/>
          <w:jc w:val="center"/>
        </w:trPr>
        <w:tc>
          <w:tcPr>
            <w:tcW w:w="10064" w:type="dxa"/>
            <w:gridSpan w:val="3"/>
            <w:tcBorders>
              <w:top w:val="single" w:color="auto" w:sz="6" w:space="0"/>
              <w:left w:val="single" w:color="auto" w:sz="6" w:space="0"/>
              <w:bottom w:val="single" w:color="auto" w:sz="6" w:space="0"/>
              <w:right w:val="single" w:color="auto" w:sz="6" w:space="0"/>
            </w:tcBorders>
            <w:noWrap w:val="0"/>
            <w:vAlign w:val="center"/>
          </w:tcPr>
          <w:p>
            <w:pPr>
              <w:pStyle w:val="69"/>
              <w:keepNext w:val="0"/>
              <w:keepLines w:val="0"/>
              <w:pageBreakBefore w:val="0"/>
              <w:widowControl w:val="0"/>
              <w:kinsoku/>
              <w:wordWrap/>
              <w:overflowPunct/>
              <w:topLinePunct w:val="0"/>
              <w:bidi w:val="0"/>
              <w:spacing w:line="460" w:lineRule="exact"/>
              <w:ind w:firstLine="480"/>
              <w:jc w:val="left"/>
              <w:textAlignment w:val="auto"/>
              <w:rPr>
                <w:rFonts w:ascii="宋体" w:hAnsi="宋体" w:cs="宋体"/>
                <w:color w:val="auto"/>
                <w:sz w:val="24"/>
                <w:highlight w:val="none"/>
              </w:rPr>
            </w:pPr>
            <w:r>
              <w:rPr>
                <w:rFonts w:hAnsi="宋体" w:cs="宋体"/>
                <w:color w:val="auto"/>
                <w:sz w:val="24"/>
                <w:highlight w:val="none"/>
              </w:rPr>
              <w:t>注：排名第一的预中标候选人放弃中标资格或因质疑、投诉被取消预中标资格或不能履行合同的，招标人可以按照评标委员会提出的中标候选人名单排序依次确定其他中标候选人为中标人，也可以重新招标。</w:t>
            </w:r>
          </w:p>
        </w:tc>
      </w:tr>
      <w:tr>
        <w:tblPrEx>
          <w:tblCellMar>
            <w:top w:w="0" w:type="dxa"/>
            <w:left w:w="108" w:type="dxa"/>
            <w:bottom w:w="0" w:type="dxa"/>
            <w:right w:w="108" w:type="dxa"/>
          </w:tblCellMar>
        </w:tblPrEx>
        <w:trPr>
          <w:trHeight w:val="507" w:hRule="atLeast"/>
          <w:jc w:val="center"/>
        </w:trPr>
        <w:tc>
          <w:tcPr>
            <w:tcW w:w="10064" w:type="dxa"/>
            <w:gridSpan w:val="3"/>
            <w:tcBorders>
              <w:top w:val="single" w:color="auto" w:sz="6" w:space="0"/>
              <w:left w:val="single" w:color="auto" w:sz="6" w:space="0"/>
              <w:bottom w:val="single" w:color="auto" w:sz="6" w:space="0"/>
              <w:right w:val="single" w:color="auto" w:sz="6" w:space="0"/>
            </w:tcBorders>
            <w:noWrap w:val="0"/>
            <w:vAlign w:val="center"/>
          </w:tcPr>
          <w:p>
            <w:pPr>
              <w:pStyle w:val="69"/>
              <w:keepNext w:val="0"/>
              <w:keepLines w:val="0"/>
              <w:pageBreakBefore w:val="0"/>
              <w:widowControl w:val="0"/>
              <w:kinsoku/>
              <w:wordWrap/>
              <w:overflowPunct/>
              <w:topLinePunct w:val="0"/>
              <w:bidi w:val="0"/>
              <w:spacing w:line="460" w:lineRule="exact"/>
              <w:ind w:left="0" w:leftChars="0" w:firstLine="480" w:firstLineChars="200"/>
              <w:jc w:val="left"/>
              <w:textAlignment w:val="auto"/>
              <w:rPr>
                <w:rFonts w:hint="default" w:hAnsi="宋体" w:eastAsia="宋体" w:cs="宋体"/>
                <w:color w:val="auto"/>
                <w:sz w:val="24"/>
                <w:highlight w:val="none"/>
                <w:lang w:val="en-US" w:eastAsia="zh-CN"/>
              </w:rPr>
            </w:pPr>
            <w:bookmarkStart w:id="61" w:name="_Toc33718203"/>
            <w:bookmarkStart w:id="62" w:name="_Toc31545"/>
            <w:bookmarkStart w:id="63" w:name="_Toc30043"/>
            <w:bookmarkStart w:id="64" w:name="_Toc22171"/>
            <w:bookmarkStart w:id="65" w:name="_Toc31767"/>
            <w:bookmarkStart w:id="66" w:name="_Toc5497"/>
            <w:bookmarkStart w:id="67" w:name="_Toc361434464"/>
            <w:bookmarkStart w:id="68" w:name="_Toc9728"/>
            <w:bookmarkStart w:id="69" w:name="_Toc12657"/>
            <w:bookmarkStart w:id="70" w:name="_Toc30263"/>
            <w:bookmarkStart w:id="71" w:name="_Toc11241"/>
            <w:bookmarkStart w:id="72" w:name="_Toc361437149"/>
            <w:bookmarkStart w:id="73" w:name="_Toc17608"/>
            <w:bookmarkStart w:id="74" w:name="_Toc5260"/>
            <w:bookmarkStart w:id="75" w:name="_Toc8751"/>
            <w:bookmarkStart w:id="76" w:name="_Toc361434899"/>
            <w:bookmarkStart w:id="77" w:name="_Toc366144039"/>
            <w:bookmarkStart w:id="78" w:name="_Toc356371440"/>
            <w:bookmarkStart w:id="79" w:name="_Toc25554"/>
            <w:bookmarkStart w:id="80" w:name="_Toc2607"/>
            <w:bookmarkStart w:id="81" w:name="_Toc11992"/>
            <w:bookmarkStart w:id="82" w:name="_Toc361434563"/>
            <w:bookmarkStart w:id="83" w:name="_Toc20093"/>
            <w:bookmarkStart w:id="84" w:name="_Toc2156"/>
            <w:bookmarkStart w:id="85" w:name="_Toc10605"/>
            <w:bookmarkStart w:id="86" w:name="_Toc9090"/>
            <w:bookmarkStart w:id="87" w:name="_Toc28901"/>
            <w:bookmarkStart w:id="88" w:name="_Toc20055"/>
            <w:bookmarkStart w:id="89" w:name="_Toc18521"/>
            <w:bookmarkStart w:id="90" w:name="_Toc17767"/>
            <w:bookmarkStart w:id="91" w:name="_Toc21872"/>
            <w:bookmarkStart w:id="92" w:name="_Toc31271"/>
            <w:bookmarkStart w:id="93" w:name="_Toc361434803"/>
            <w:bookmarkStart w:id="94" w:name="_Toc28870"/>
            <w:bookmarkStart w:id="95" w:name="_Toc17364"/>
            <w:bookmarkStart w:id="96" w:name="_Toc14601"/>
            <w:r>
              <w:rPr>
                <w:rFonts w:hint="eastAsia" w:hAnsi="宋体" w:cs="宋体"/>
                <w:color w:val="auto"/>
                <w:sz w:val="24"/>
                <w:highlight w:val="none"/>
                <w:lang w:eastAsia="zh-CN"/>
              </w:rPr>
              <w:t>其他</w:t>
            </w:r>
            <w:r>
              <w:rPr>
                <w:rFonts w:hint="eastAsia" w:hAnsi="宋体" w:cs="宋体"/>
                <w:color w:val="auto"/>
                <w:sz w:val="24"/>
                <w:highlight w:val="none"/>
                <w:lang w:val="en-US" w:eastAsia="zh-CN"/>
              </w:rPr>
              <w:t xml:space="preserve"> ：</w:t>
            </w:r>
            <w:r>
              <w:rPr>
                <w:rFonts w:hint="eastAsia" w:ascii="宋体" w:hAnsi="宋体" w:cs="宋体"/>
                <w:b/>
                <w:bCs/>
                <w:color w:val="auto"/>
                <w:sz w:val="24"/>
                <w:highlight w:val="none"/>
              </w:rPr>
              <w:t>为提高采购效率，节省采购成本，已获取招标文件的供应商若放弃参加投标的，请在开标前3天之前以书面形式（或加盖单位公章的电子扫描件）通知招标代理机构</w:t>
            </w:r>
            <w:r>
              <w:rPr>
                <w:rFonts w:hint="eastAsia" w:ascii="宋体" w:hAnsi="宋体" w:cs="宋体"/>
                <w:b/>
                <w:bCs/>
                <w:color w:val="auto"/>
                <w:sz w:val="24"/>
                <w:highlight w:val="none"/>
                <w:lang w:eastAsia="zh-CN"/>
              </w:rPr>
              <w:t>（格式附后）</w:t>
            </w:r>
            <w:r>
              <w:rPr>
                <w:rFonts w:hint="eastAsia" w:ascii="宋体" w:hAnsi="宋体" w:cs="宋体"/>
                <w:b/>
                <w:bCs/>
                <w:color w:val="auto"/>
                <w:sz w:val="24"/>
                <w:highlight w:val="none"/>
              </w:rPr>
              <w:t>。</w:t>
            </w:r>
          </w:p>
        </w:tc>
      </w:t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tbl>
    <w:p>
      <w:pPr>
        <w:pStyle w:val="3"/>
        <w:pageBreakBefore w:val="0"/>
        <w:kinsoku/>
        <w:wordWrap/>
        <w:overflowPunct/>
        <w:topLinePunct w:val="0"/>
        <w:bidi w:val="0"/>
        <w:spacing w:beforeLines="0" w:afterLines="0" w:line="440" w:lineRule="exact"/>
        <w:jc w:val="center"/>
        <w:textAlignment w:val="auto"/>
        <w:rPr>
          <w:color w:val="auto"/>
          <w:sz w:val="32"/>
          <w:highlight w:val="none"/>
        </w:rPr>
      </w:pPr>
      <w:r>
        <w:rPr>
          <w:rFonts w:hint="eastAsia"/>
          <w:color w:val="auto"/>
          <w:sz w:val="32"/>
          <w:highlight w:val="none"/>
        </w:rPr>
        <w:t>一、总则</w:t>
      </w:r>
      <w:bookmarkEnd w:id="61"/>
    </w:p>
    <w:p>
      <w:pPr>
        <w:pStyle w:val="4"/>
        <w:pageBreakBefore w:val="0"/>
        <w:kinsoku/>
        <w:wordWrap/>
        <w:overflowPunct/>
        <w:topLinePunct w:val="0"/>
        <w:bidi w:val="0"/>
        <w:spacing w:line="440" w:lineRule="exact"/>
        <w:ind w:firstLine="480" w:firstLineChars="200"/>
        <w:jc w:val="both"/>
        <w:textAlignment w:val="auto"/>
        <w:rPr>
          <w:color w:val="auto"/>
          <w:highlight w:val="none"/>
        </w:rPr>
      </w:pPr>
      <w:bookmarkStart w:id="97" w:name="_Hlt74714665"/>
      <w:bookmarkEnd w:id="97"/>
      <w:bookmarkStart w:id="98" w:name="_Hlt74730295"/>
      <w:bookmarkEnd w:id="98"/>
      <w:bookmarkStart w:id="99" w:name="_Toc91899879"/>
      <w:r>
        <w:rPr>
          <w:rFonts w:hint="eastAsia"/>
          <w:color w:val="auto"/>
          <w:highlight w:val="none"/>
        </w:rPr>
        <w:t>1．项目说明</w:t>
      </w:r>
    </w:p>
    <w:p>
      <w:pPr>
        <w:pStyle w:val="86"/>
        <w:pageBreakBefore w:val="0"/>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1.1项目说明见前附表第1项所述。</w:t>
      </w:r>
    </w:p>
    <w:p>
      <w:pPr>
        <w:pageBreakBefore w:val="0"/>
        <w:tabs>
          <w:tab w:val="left" w:pos="3780"/>
        </w:tabs>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1.2供应商一旦参与本次招标活动，即被视为接受了本采购文件的所有内容，如有任何异议，均已在提疑截止时间前提出。</w:t>
      </w:r>
    </w:p>
    <w:p>
      <w:pPr>
        <w:pageBreakBefore w:val="0"/>
        <w:tabs>
          <w:tab w:val="left" w:pos="3780"/>
        </w:tabs>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1.3供应商须对所投方案、技术、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w:t>
      </w:r>
      <w:r>
        <w:rPr>
          <w:rFonts w:hint="eastAsia" w:ascii="宋体" w:hAnsi="宋体" w:cs="宋体"/>
          <w:color w:val="auto"/>
          <w:kern w:val="0"/>
          <w:highlight w:val="none"/>
          <w:lang w:val="zh-CN"/>
        </w:rPr>
        <w:t>供应商</w:t>
      </w:r>
      <w:r>
        <w:rPr>
          <w:rFonts w:hint="eastAsia" w:ascii="宋体" w:hAnsi="宋体" w:cs="宋体"/>
          <w:color w:val="auto"/>
          <w:highlight w:val="none"/>
        </w:rPr>
        <w:t>应承担相应后果，</w:t>
      </w:r>
      <w:r>
        <w:rPr>
          <w:rFonts w:hint="eastAsia" w:ascii="宋体" w:hAnsi="宋体" w:cs="宋体"/>
          <w:color w:val="auto"/>
          <w:kern w:val="0"/>
          <w:highlight w:val="none"/>
          <w:lang w:val="zh-CN"/>
        </w:rPr>
        <w:t>并负责赔偿。</w:t>
      </w:r>
      <w:r>
        <w:rPr>
          <w:rFonts w:hint="eastAsia" w:ascii="宋体" w:hAnsi="宋体" w:cs="宋体"/>
          <w:color w:val="auto"/>
          <w:highlight w:val="none"/>
        </w:rPr>
        <w:t>供应商为执行本项目合同而提供的技术资料等归甲方所有。</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2. 合格供应商</w:t>
      </w:r>
    </w:p>
    <w:p>
      <w:pPr>
        <w:pageBreakBefore w:val="0"/>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2.1详见</w:t>
      </w:r>
      <w:r>
        <w:rPr>
          <w:rFonts w:hint="eastAsia" w:ascii="宋体" w:hAnsi="宋体" w:cs="宋体"/>
          <w:bCs/>
          <w:color w:val="auto"/>
          <w:highlight w:val="none"/>
        </w:rPr>
        <w:t>编制和提交投标文件须知前附表</w:t>
      </w:r>
      <w:r>
        <w:rPr>
          <w:rFonts w:hint="eastAsia" w:ascii="宋体" w:hAnsi="宋体" w:cs="宋体"/>
          <w:color w:val="auto"/>
          <w:highlight w:val="none"/>
        </w:rPr>
        <w:t>的“供应商资格要求”。</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3. 定义</w:t>
      </w:r>
    </w:p>
    <w:p>
      <w:pPr>
        <w:pageBreakBefore w:val="0"/>
        <w:tabs>
          <w:tab w:val="left" w:pos="3780"/>
        </w:tabs>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3.1“甲方”系指采购人。</w:t>
      </w:r>
    </w:p>
    <w:p>
      <w:pPr>
        <w:pageBreakBefore w:val="0"/>
        <w:tabs>
          <w:tab w:val="left" w:pos="3780"/>
        </w:tabs>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3.2“招标代理”系指嵊州市中天工程建设招标代理有限公司。</w:t>
      </w:r>
    </w:p>
    <w:p>
      <w:pPr>
        <w:pageBreakBefore w:val="0"/>
        <w:tabs>
          <w:tab w:val="left" w:pos="3780"/>
        </w:tabs>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3.3“供应商”系指向甲方提供采购文件所叙述的货物及服务的独立法人。</w:t>
      </w:r>
    </w:p>
    <w:p>
      <w:pPr>
        <w:pageBreakBefore w:val="0"/>
        <w:tabs>
          <w:tab w:val="left" w:pos="3780"/>
        </w:tabs>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3.4“服务”系指合同规定卖方须承担的安装、调试、技术协助、校准、培训、售后服务及其他义务。</w:t>
      </w:r>
    </w:p>
    <w:p>
      <w:pPr>
        <w:pageBreakBefore w:val="0"/>
        <w:tabs>
          <w:tab w:val="left" w:pos="3780"/>
        </w:tabs>
        <w:kinsoku/>
        <w:wordWrap/>
        <w:overflowPunct/>
        <w:topLinePunct w:val="0"/>
        <w:bidi w:val="0"/>
        <w:spacing w:line="440" w:lineRule="exact"/>
        <w:ind w:firstLine="480"/>
        <w:textAlignment w:val="auto"/>
        <w:rPr>
          <w:rFonts w:hint="eastAsia" w:ascii="宋体" w:hAnsi="宋体" w:cs="宋体"/>
          <w:color w:val="auto"/>
          <w:highlight w:val="none"/>
        </w:rPr>
      </w:pPr>
      <w:r>
        <w:rPr>
          <w:rFonts w:hint="eastAsia" w:ascii="宋体" w:hAnsi="宋体" w:cs="宋体"/>
          <w:color w:val="auto"/>
          <w:highlight w:val="none"/>
        </w:rPr>
        <w:t>3.5“货物”系指卖方按合同要求，须向买方提供的一切材料、设备、机械、仪器、备件、配件、工具、手册及其他技术资料和文字资料。</w:t>
      </w:r>
    </w:p>
    <w:p>
      <w:pPr>
        <w:pageBreakBefore w:val="0"/>
        <w:tabs>
          <w:tab w:val="left" w:pos="3780"/>
        </w:tabs>
        <w:kinsoku/>
        <w:wordWrap/>
        <w:overflowPunct/>
        <w:topLinePunct w:val="0"/>
        <w:bidi w:val="0"/>
        <w:spacing w:line="440" w:lineRule="exact"/>
        <w:ind w:firstLine="480"/>
        <w:textAlignment w:val="auto"/>
        <w:rPr>
          <w:rFonts w:hint="eastAsia" w:ascii="宋体" w:hAnsi="宋体" w:cs="宋体"/>
          <w:color w:val="auto"/>
          <w:highlight w:val="none"/>
        </w:rPr>
      </w:pPr>
      <w:r>
        <w:rPr>
          <w:rFonts w:hint="eastAsia" w:ascii="宋体" w:hAnsi="宋体" w:cs="宋体"/>
          <w:color w:val="auto"/>
          <w:highlight w:val="none"/>
        </w:rPr>
        <w:t>3.6“书面形式”包括信函、传真等。</w:t>
      </w:r>
    </w:p>
    <w:p>
      <w:pPr>
        <w:pageBreakBefore w:val="0"/>
        <w:tabs>
          <w:tab w:val="left" w:pos="3780"/>
        </w:tabs>
        <w:kinsoku/>
        <w:wordWrap/>
        <w:overflowPunct/>
        <w:topLinePunct w:val="0"/>
        <w:bidi w:val="0"/>
        <w:spacing w:line="440" w:lineRule="exact"/>
        <w:ind w:firstLine="480"/>
        <w:textAlignment w:val="auto"/>
        <w:rPr>
          <w:rFonts w:hint="eastAsia" w:ascii="宋体" w:hAnsi="宋体" w:cs="宋体"/>
          <w:color w:val="auto"/>
          <w:highlight w:val="none"/>
        </w:rPr>
      </w:pPr>
      <w:r>
        <w:rPr>
          <w:rFonts w:hint="eastAsia" w:ascii="宋体" w:hAnsi="宋体" w:cs="宋体"/>
          <w:color w:val="auto"/>
          <w:highlight w:val="none"/>
        </w:rPr>
        <w:t>3.7“</w:t>
      </w:r>
      <w:r>
        <w:rPr>
          <w:rFonts w:ascii="宋体" w:hAnsi="宋体"/>
          <w:bCs/>
          <w:color w:val="auto"/>
          <w:sz w:val="24"/>
          <w:highlight w:val="none"/>
        </w:rPr>
        <w:t>★</w:t>
      </w:r>
      <w:r>
        <w:rPr>
          <w:rFonts w:hint="eastAsia" w:ascii="宋体" w:hAnsi="宋体" w:cs="宋体"/>
          <w:color w:val="auto"/>
          <w:highlight w:val="none"/>
        </w:rPr>
        <w:t>”系指实质性要求条款。</w:t>
      </w:r>
    </w:p>
    <w:p>
      <w:pPr>
        <w:pStyle w:val="4"/>
        <w:pageBreakBefore w:val="0"/>
        <w:kinsoku/>
        <w:wordWrap/>
        <w:overflowPunct/>
        <w:topLinePunct w:val="0"/>
        <w:bidi w:val="0"/>
        <w:spacing w:line="440" w:lineRule="exact"/>
        <w:ind w:firstLine="480" w:firstLineChars="200"/>
        <w:jc w:val="both"/>
        <w:textAlignment w:val="auto"/>
        <w:rPr>
          <w:rFonts w:hint="eastAsia" w:ascii="宋体" w:hAnsi="宋体" w:eastAsia="宋体" w:cs="宋体"/>
          <w:b w:val="0"/>
          <w:bCs w:val="0"/>
          <w:color w:val="auto"/>
          <w:highlight w:val="none"/>
          <w:lang w:val="en-US" w:eastAsia="zh-CN"/>
        </w:rPr>
      </w:pPr>
      <w:bookmarkStart w:id="100" w:name="_Toc91899873"/>
      <w:r>
        <w:rPr>
          <w:rFonts w:hint="eastAsia" w:ascii="宋体" w:hAnsi="宋体" w:eastAsia="宋体" w:cs="宋体"/>
          <w:b w:val="0"/>
          <w:bCs w:val="0"/>
          <w:color w:val="auto"/>
          <w:highlight w:val="none"/>
          <w:lang w:val="en-US" w:eastAsia="zh-CN"/>
        </w:rPr>
        <w:t>3.8</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szCs w:val="24"/>
          <w:highlight w:val="none"/>
          <w:shd w:val="clear" w:color="auto" w:fill="FFFFFF"/>
        </w:rPr>
        <w:t>▲</w:t>
      </w:r>
      <w:r>
        <w:rPr>
          <w:rFonts w:hint="eastAsia" w:ascii="宋体" w:hAnsi="宋体" w:eastAsia="宋体" w:cs="宋体"/>
          <w:b w:val="0"/>
          <w:bCs w:val="0"/>
          <w:color w:val="auto"/>
          <w:sz w:val="24"/>
          <w:highlight w:val="none"/>
        </w:rPr>
        <w:t>”的为重要指标。</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4．采购方式</w:t>
      </w:r>
      <w:bookmarkEnd w:id="100"/>
    </w:p>
    <w:p>
      <w:pPr>
        <w:pageBreakBefore w:val="0"/>
        <w:tabs>
          <w:tab w:val="left" w:pos="3780"/>
        </w:tabs>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公开招标。</w:t>
      </w:r>
      <w:bookmarkStart w:id="101" w:name="_Hlt68516771"/>
      <w:bookmarkEnd w:id="101"/>
      <w:bookmarkStart w:id="102" w:name="_Hlt74388212"/>
      <w:bookmarkEnd w:id="102"/>
    </w:p>
    <w:p>
      <w:pPr>
        <w:pStyle w:val="4"/>
        <w:pageBreakBefore w:val="0"/>
        <w:kinsoku/>
        <w:wordWrap/>
        <w:overflowPunct/>
        <w:topLinePunct w:val="0"/>
        <w:bidi w:val="0"/>
        <w:spacing w:line="440" w:lineRule="exact"/>
        <w:ind w:firstLine="480" w:firstLineChars="200"/>
        <w:jc w:val="both"/>
        <w:textAlignment w:val="auto"/>
        <w:rPr>
          <w:color w:val="auto"/>
          <w:highlight w:val="none"/>
        </w:rPr>
      </w:pPr>
      <w:bookmarkStart w:id="103" w:name="_Toc91899877"/>
      <w:bookmarkStart w:id="104" w:name="_Hlt74730303"/>
      <w:r>
        <w:rPr>
          <w:rFonts w:hint="eastAsia"/>
          <w:color w:val="auto"/>
          <w:highlight w:val="none"/>
        </w:rPr>
        <w:t>5．投标费用</w:t>
      </w:r>
      <w:bookmarkEnd w:id="103"/>
    </w:p>
    <w:bookmarkEnd w:id="104"/>
    <w:p>
      <w:pPr>
        <w:pageBreakBefore w:val="0"/>
        <w:tabs>
          <w:tab w:val="left" w:pos="3780"/>
        </w:tabs>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供应商应承担其编制投标文件与递交投标文件所涉及的一切费用。无论投标过程和结果如何，供应商需自行承担涉及投标的一切费用。</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6．联合体投标</w:t>
      </w:r>
    </w:p>
    <w:p>
      <w:pPr>
        <w:pageBreakBefore w:val="0"/>
        <w:tabs>
          <w:tab w:val="left" w:pos="3780"/>
        </w:tabs>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lang w:eastAsia="zh-CN"/>
        </w:rPr>
        <w:t>不</w:t>
      </w:r>
      <w:r>
        <w:rPr>
          <w:rFonts w:hint="eastAsia" w:ascii="宋体" w:hAnsi="宋体" w:cs="宋体"/>
          <w:color w:val="auto"/>
          <w:highlight w:val="none"/>
        </w:rPr>
        <w:t>接受联合体投标。</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7．转包与分包</w:t>
      </w:r>
    </w:p>
    <w:p>
      <w:pPr>
        <w:pageBreakBefore w:val="0"/>
        <w:tabs>
          <w:tab w:val="left" w:pos="3780"/>
        </w:tabs>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本项目不允许转包、分包。</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8．特别说明：</w:t>
      </w:r>
    </w:p>
    <w:p>
      <w:pPr>
        <w:pageBreakBefore w:val="0"/>
        <w:widowControl/>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 xml:space="preserve">8.1 </w:t>
      </w:r>
      <w:r>
        <w:rPr>
          <w:rFonts w:hint="eastAsia" w:ascii="宋体" w:hAnsi="宋体" w:cs="宋体"/>
          <w:color w:val="auto"/>
          <w:highlight w:val="none"/>
        </w:rPr>
        <w:t>所称关联供应商,是指存在“关联关系”的企业</w:t>
      </w:r>
      <w:r>
        <w:rPr>
          <w:rFonts w:hint="eastAsia" w:ascii="宋体" w:hAnsi="宋体" w:cs="宋体"/>
          <w:color w:val="auto"/>
          <w:highlight w:val="none"/>
          <w:lang w:eastAsia="zh-CN"/>
        </w:rPr>
        <w:t>；</w:t>
      </w:r>
      <w:r>
        <w:rPr>
          <w:rFonts w:hint="eastAsia" w:ascii="宋体" w:hAnsi="宋体" w:cs="宋体"/>
          <w:color w:val="auto"/>
          <w:highlight w:val="none"/>
        </w:rPr>
        <w:t>“关联关系”的界定适用《中华人民共和国公司法》217条之规定。</w:t>
      </w:r>
      <w:r>
        <w:rPr>
          <w:rFonts w:ascii="宋体" w:hAnsi="宋体"/>
          <w:bCs/>
          <w:color w:val="auto"/>
          <w:sz w:val="24"/>
          <w:highlight w:val="none"/>
        </w:rPr>
        <w:t>★</w:t>
      </w:r>
      <w:r>
        <w:rPr>
          <w:rFonts w:hint="eastAsia" w:ascii="宋体" w:hAnsi="宋体" w:cs="宋体"/>
          <w:color w:val="auto"/>
          <w:highlight w:val="none"/>
        </w:rPr>
        <w:t>关联企业中，法定代表人为同一个的两个及以上的供应商，母公司、全资子公司及其控股公司，都不得同时投标，一经发现，将导致投标同时被拒绝。</w:t>
      </w:r>
    </w:p>
    <w:p>
      <w:pPr>
        <w:pageBreakBefore w:val="0"/>
        <w:widowControl/>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8.2供应商投标所使用的资格、信誉、荣誉、业绩与企业认证必须为本法人所拥有。供应商投标所使用的采购项目实施人员必须为本法人员工（或必须为本法人或其控股公司的工作人员）。</w:t>
      </w:r>
    </w:p>
    <w:p>
      <w:pPr>
        <w:pageBreakBefore w:val="0"/>
        <w:widowControl/>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8.3供应商在投标活动中提供任何虚假材料或从事其他违法活动的,其投标无效，并报监管部门查处；中标后发现的,中标供应商须依照《中华人民共和国消费者权益保护法》第49条之规定双倍赔偿甲方。且民事赔偿并不免除违法供应商的行政与刑事责任。</w:t>
      </w:r>
    </w:p>
    <w:p>
      <w:pPr>
        <w:pageBreakBefore w:val="0"/>
        <w:kinsoku/>
        <w:wordWrap/>
        <w:overflowPunct/>
        <w:topLinePunct w:val="0"/>
        <w:autoSpaceDE w:val="0"/>
        <w:autoSpaceDN w:val="0"/>
        <w:bidi w:val="0"/>
        <w:spacing w:line="440" w:lineRule="exact"/>
        <w:ind w:firstLine="480"/>
        <w:textAlignment w:val="auto"/>
        <w:rPr>
          <w:rFonts w:ascii="宋体" w:hAnsi="宋体" w:cs="宋体"/>
          <w:color w:val="auto"/>
          <w:highlight w:val="none"/>
        </w:rPr>
      </w:pPr>
      <w:r>
        <w:rPr>
          <w:rFonts w:hint="eastAsia" w:ascii="宋体" w:hAnsi="宋体" w:cs="宋体"/>
          <w:color w:val="auto"/>
          <w:kern w:val="0"/>
          <w:highlight w:val="none"/>
        </w:rPr>
        <w:t>8.4 供应商应仔细阅读采购文件的所有内容，按照采购文件的要求提交投标文件。投标文件应对采购文件的要求作出实质性响应，并对所提供的全部资料的真实性承担法律责任。</w:t>
      </w:r>
      <w:r>
        <w:rPr>
          <w:rFonts w:hint="eastAsia" w:ascii="宋体" w:hAnsi="宋体" w:cs="宋体"/>
          <w:color w:val="auto"/>
          <w:highlight w:val="none"/>
        </w:rPr>
        <w:t xml:space="preserve"> </w:t>
      </w:r>
      <w:bookmarkStart w:id="105" w:name="_Hlt74729768"/>
      <w:bookmarkEnd w:id="105"/>
      <w:bookmarkStart w:id="106" w:name="_Hlt68057669"/>
      <w:bookmarkEnd w:id="106"/>
      <w:bookmarkStart w:id="107" w:name="_Hlt75236290"/>
      <w:bookmarkEnd w:id="107"/>
      <w:bookmarkStart w:id="108" w:name="_Hlt68072990"/>
      <w:bookmarkEnd w:id="108"/>
      <w:bookmarkStart w:id="109" w:name="_Hlt74707468"/>
      <w:bookmarkEnd w:id="109"/>
    </w:p>
    <w:p>
      <w:pPr>
        <w:pStyle w:val="68"/>
        <w:pageBreakBefore w:val="0"/>
        <w:kinsoku/>
        <w:wordWrap/>
        <w:overflowPunct/>
        <w:topLinePunct w:val="0"/>
        <w:bidi w:val="0"/>
        <w:spacing w:line="440" w:lineRule="exact"/>
        <w:ind w:firstLine="480" w:firstLineChars="200"/>
        <w:textAlignment w:val="auto"/>
        <w:rPr>
          <w:color w:val="auto"/>
          <w:sz w:val="24"/>
          <w:szCs w:val="24"/>
          <w:highlight w:val="none"/>
        </w:rPr>
      </w:pPr>
      <w:r>
        <w:rPr>
          <w:rFonts w:hint="eastAsia" w:hAnsi="宋体" w:cs="宋体"/>
          <w:color w:val="auto"/>
          <w:sz w:val="24"/>
          <w:szCs w:val="24"/>
          <w:highlight w:val="none"/>
        </w:rPr>
        <w:t>8.5 多家供应商同一品牌参加投标，评审时，取其中通过资格审查后的报价最低一家为有效供应商；当报价相同时，则以技术标最优为有效供应商；均相同时，由比选评审小组集体决定。</w:t>
      </w:r>
    </w:p>
    <w:p>
      <w:pPr>
        <w:pStyle w:val="3"/>
        <w:pageBreakBefore w:val="0"/>
        <w:kinsoku/>
        <w:wordWrap/>
        <w:overflowPunct/>
        <w:topLinePunct w:val="0"/>
        <w:bidi w:val="0"/>
        <w:spacing w:beforeLines="0" w:afterLines="0" w:line="440" w:lineRule="exact"/>
        <w:jc w:val="center"/>
        <w:textAlignment w:val="auto"/>
        <w:rPr>
          <w:color w:val="auto"/>
          <w:sz w:val="32"/>
          <w:highlight w:val="none"/>
        </w:rPr>
      </w:pPr>
      <w:bookmarkStart w:id="110" w:name="_Toc33718204"/>
      <w:r>
        <w:rPr>
          <w:rFonts w:hint="eastAsia"/>
          <w:color w:val="auto"/>
          <w:sz w:val="32"/>
          <w:highlight w:val="none"/>
        </w:rPr>
        <w:t>二、采购文件</w:t>
      </w:r>
      <w:bookmarkEnd w:id="99"/>
      <w:bookmarkEnd w:id="110"/>
    </w:p>
    <w:p>
      <w:pPr>
        <w:pStyle w:val="4"/>
        <w:pageBreakBefore w:val="0"/>
        <w:kinsoku/>
        <w:wordWrap/>
        <w:overflowPunct/>
        <w:topLinePunct w:val="0"/>
        <w:bidi w:val="0"/>
        <w:spacing w:line="440" w:lineRule="exact"/>
        <w:ind w:firstLine="480" w:firstLineChars="200"/>
        <w:jc w:val="both"/>
        <w:textAlignment w:val="auto"/>
        <w:rPr>
          <w:color w:val="auto"/>
          <w:highlight w:val="none"/>
        </w:rPr>
      </w:pPr>
      <w:bookmarkStart w:id="111" w:name="_Toc91899880"/>
      <w:bookmarkStart w:id="112" w:name="_Hlt74730307"/>
      <w:r>
        <w:rPr>
          <w:rFonts w:hint="eastAsia"/>
          <w:color w:val="auto"/>
          <w:highlight w:val="none"/>
        </w:rPr>
        <w:t>9.采购文件的构成</w:t>
      </w:r>
      <w:bookmarkEnd w:id="111"/>
    </w:p>
    <w:bookmarkEnd w:id="112"/>
    <w:p>
      <w:pPr>
        <w:pStyle w:val="21"/>
        <w:pageBreakBefore w:val="0"/>
        <w:kinsoku/>
        <w:wordWrap/>
        <w:overflowPunct/>
        <w:topLinePunct w:val="0"/>
        <w:bidi w:val="0"/>
        <w:spacing w:line="440" w:lineRule="exact"/>
        <w:ind w:firstLine="480"/>
        <w:textAlignment w:val="auto"/>
        <w:rPr>
          <w:rFonts w:cs="宋体"/>
          <w:color w:val="auto"/>
          <w:szCs w:val="24"/>
          <w:highlight w:val="none"/>
        </w:rPr>
      </w:pPr>
      <w:r>
        <w:rPr>
          <w:rFonts w:hint="eastAsia" w:cs="宋体"/>
          <w:color w:val="auto"/>
          <w:szCs w:val="24"/>
          <w:highlight w:val="none"/>
        </w:rPr>
        <w:t>9.1 采购文件包括下列文件及附件</w:t>
      </w:r>
    </w:p>
    <w:p>
      <w:pPr>
        <w:pStyle w:val="21"/>
        <w:pageBreakBefore w:val="0"/>
        <w:numPr>
          <w:ilvl w:val="0"/>
          <w:numId w:val="9"/>
        </w:numPr>
        <w:kinsoku/>
        <w:wordWrap/>
        <w:overflowPunct/>
        <w:topLinePunct w:val="0"/>
        <w:bidi w:val="0"/>
        <w:spacing w:line="440" w:lineRule="exact"/>
        <w:ind w:left="0" w:firstLine="480"/>
        <w:textAlignment w:val="auto"/>
        <w:rPr>
          <w:rFonts w:cs="宋体"/>
          <w:color w:val="auto"/>
          <w:szCs w:val="24"/>
          <w:highlight w:val="none"/>
        </w:rPr>
      </w:pPr>
      <w:r>
        <w:rPr>
          <w:rFonts w:hint="eastAsia" w:cs="宋体"/>
          <w:color w:val="auto"/>
          <w:szCs w:val="24"/>
          <w:highlight w:val="none"/>
        </w:rPr>
        <w:t>第一章 招标公告</w:t>
      </w:r>
    </w:p>
    <w:p>
      <w:pPr>
        <w:pStyle w:val="21"/>
        <w:pageBreakBefore w:val="0"/>
        <w:numPr>
          <w:ilvl w:val="0"/>
          <w:numId w:val="9"/>
        </w:numPr>
        <w:kinsoku/>
        <w:wordWrap/>
        <w:overflowPunct/>
        <w:topLinePunct w:val="0"/>
        <w:bidi w:val="0"/>
        <w:spacing w:line="440" w:lineRule="exact"/>
        <w:ind w:left="0" w:firstLine="480"/>
        <w:textAlignment w:val="auto"/>
        <w:rPr>
          <w:rFonts w:cs="宋体"/>
          <w:color w:val="auto"/>
          <w:szCs w:val="24"/>
          <w:highlight w:val="none"/>
        </w:rPr>
      </w:pPr>
      <w:r>
        <w:rPr>
          <w:rFonts w:hint="eastAsia" w:cs="宋体"/>
          <w:color w:val="auto"/>
          <w:szCs w:val="24"/>
          <w:highlight w:val="none"/>
        </w:rPr>
        <w:t>第二章 编制和提交采购响应文件须知</w:t>
      </w:r>
    </w:p>
    <w:p>
      <w:pPr>
        <w:pStyle w:val="21"/>
        <w:pageBreakBefore w:val="0"/>
        <w:numPr>
          <w:ilvl w:val="0"/>
          <w:numId w:val="9"/>
        </w:numPr>
        <w:kinsoku/>
        <w:wordWrap/>
        <w:overflowPunct/>
        <w:topLinePunct w:val="0"/>
        <w:bidi w:val="0"/>
        <w:spacing w:line="440" w:lineRule="exact"/>
        <w:ind w:left="0" w:firstLine="480"/>
        <w:textAlignment w:val="auto"/>
        <w:rPr>
          <w:rFonts w:cs="宋体"/>
          <w:color w:val="auto"/>
          <w:szCs w:val="24"/>
          <w:highlight w:val="none"/>
        </w:rPr>
      </w:pPr>
      <w:r>
        <w:rPr>
          <w:rFonts w:hint="eastAsia" w:cs="宋体"/>
          <w:color w:val="auto"/>
          <w:szCs w:val="24"/>
          <w:highlight w:val="none"/>
        </w:rPr>
        <w:t>第三章 项目技术规范和服务要求</w:t>
      </w:r>
    </w:p>
    <w:p>
      <w:pPr>
        <w:pStyle w:val="21"/>
        <w:pageBreakBefore w:val="0"/>
        <w:numPr>
          <w:ilvl w:val="0"/>
          <w:numId w:val="9"/>
        </w:numPr>
        <w:kinsoku/>
        <w:wordWrap/>
        <w:overflowPunct/>
        <w:topLinePunct w:val="0"/>
        <w:bidi w:val="0"/>
        <w:spacing w:line="440" w:lineRule="exact"/>
        <w:ind w:left="0" w:firstLine="480"/>
        <w:textAlignment w:val="auto"/>
        <w:rPr>
          <w:rFonts w:cs="宋体"/>
          <w:color w:val="auto"/>
          <w:szCs w:val="24"/>
          <w:highlight w:val="none"/>
        </w:rPr>
      </w:pPr>
      <w:r>
        <w:rPr>
          <w:rFonts w:hint="eastAsia" w:cs="宋体"/>
          <w:color w:val="auto"/>
          <w:szCs w:val="24"/>
          <w:highlight w:val="none"/>
        </w:rPr>
        <w:t>第四章 合同主要条款</w:t>
      </w:r>
    </w:p>
    <w:p>
      <w:pPr>
        <w:pStyle w:val="21"/>
        <w:pageBreakBefore w:val="0"/>
        <w:numPr>
          <w:ilvl w:val="0"/>
          <w:numId w:val="9"/>
        </w:numPr>
        <w:kinsoku/>
        <w:wordWrap/>
        <w:overflowPunct/>
        <w:topLinePunct w:val="0"/>
        <w:bidi w:val="0"/>
        <w:spacing w:line="440" w:lineRule="exact"/>
        <w:ind w:left="0" w:firstLine="480"/>
        <w:textAlignment w:val="auto"/>
        <w:rPr>
          <w:rFonts w:cs="宋体"/>
          <w:color w:val="auto"/>
          <w:szCs w:val="24"/>
          <w:highlight w:val="none"/>
        </w:rPr>
      </w:pPr>
      <w:r>
        <w:rPr>
          <w:rFonts w:hint="eastAsia" w:cs="宋体"/>
          <w:color w:val="auto"/>
          <w:szCs w:val="24"/>
          <w:highlight w:val="none"/>
        </w:rPr>
        <w:t>第五章 投标文件格式</w:t>
      </w:r>
    </w:p>
    <w:p>
      <w:pPr>
        <w:pStyle w:val="21"/>
        <w:pageBreakBefore w:val="0"/>
        <w:kinsoku/>
        <w:wordWrap/>
        <w:overflowPunct/>
        <w:topLinePunct w:val="0"/>
        <w:bidi w:val="0"/>
        <w:spacing w:line="440" w:lineRule="exact"/>
        <w:ind w:firstLine="480"/>
        <w:textAlignment w:val="auto"/>
        <w:rPr>
          <w:rFonts w:cs="宋体"/>
          <w:color w:val="auto"/>
          <w:szCs w:val="24"/>
          <w:highlight w:val="none"/>
        </w:rPr>
      </w:pPr>
      <w:r>
        <w:rPr>
          <w:rFonts w:hint="eastAsia" w:cs="宋体"/>
          <w:color w:val="auto"/>
          <w:szCs w:val="24"/>
          <w:highlight w:val="none"/>
        </w:rPr>
        <w:t>9.2  供应商应认真审阅采购文件中所有的内容，包括编制和提交采购响应文件须知、项目技术规范和服务要求、采购合同的一般和特殊条款、应提交的有关格式范例等。如果供应商编制的投标文件没有从实质上响应采购文件的要求，其投标文件将被采购人拒绝。</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10.采购文件的解释</w:t>
      </w:r>
    </w:p>
    <w:p>
      <w:pPr>
        <w:pStyle w:val="86"/>
        <w:pageBreakBefore w:val="0"/>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10.1供应商如认为采购文件表述不清晰、存在歧视性、排他性或者其他违法内容的，自收到采购文件之日（发售截止日之后收到采购文件的，以发售截止日为准）或者采购文件公告期限届满之日（采购公告为公告发布后的第6个工作日）起7个工作日内，以书面形式向甲方和采购代理机构提出质疑。代理公司按法规规定的时间内进行回复。</w:t>
      </w:r>
    </w:p>
    <w:p>
      <w:pPr>
        <w:pStyle w:val="86"/>
        <w:pageBreakBefore w:val="0"/>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10.2可以对已发出的招标文件进行必要的澄清或者修改，澄清或者修改应当在原公告发布媒体上发布澄清公告。澄清或者修改的内容为招标文件的组成部分。</w:t>
      </w:r>
    </w:p>
    <w:p>
      <w:pPr>
        <w:pStyle w:val="86"/>
        <w:pageBreakBefore w:val="0"/>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10.3不论采购人向供应商发送的资料文件，还是供应商提出的问题，均采用书面形式，任何口头提问及答复一律无效。</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11.采购文件的修改</w:t>
      </w:r>
    </w:p>
    <w:p>
      <w:pPr>
        <w:pStyle w:val="86"/>
        <w:pageBreakBefore w:val="0"/>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11.1 从采购文件发出至投标截止日期，采购人可能会以补充通知的方式修改采购文件。补充通知作为采购文件的组成部分，以书面形式同时发给所有采购文件的收受人。</w:t>
      </w:r>
    </w:p>
    <w:p>
      <w:pPr>
        <w:pageBreakBefore w:val="0"/>
        <w:kinsoku/>
        <w:wordWrap/>
        <w:overflowPunct/>
        <w:topLinePunct w:val="0"/>
        <w:autoSpaceDE w:val="0"/>
        <w:autoSpaceDN w:val="0"/>
        <w:bidi w:val="0"/>
        <w:adjustRightInd w:val="0"/>
        <w:spacing w:line="440" w:lineRule="exact"/>
        <w:ind w:firstLine="480"/>
        <w:textAlignment w:val="auto"/>
        <w:rPr>
          <w:rFonts w:ascii="宋体" w:hAnsi="宋体" w:cs="宋体"/>
          <w:color w:val="auto"/>
          <w:highlight w:val="none"/>
          <w:lang w:val="zh-CN"/>
        </w:rPr>
      </w:pPr>
      <w:r>
        <w:rPr>
          <w:rFonts w:hint="eastAsia" w:ascii="宋体" w:hAnsi="宋体" w:cs="宋体"/>
          <w:color w:val="auto"/>
          <w:highlight w:val="none"/>
        </w:rPr>
        <w:t>11.2 若有必要，采购人将酌情延长递交投标文件的截止日期。</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12.投标报价</w:t>
      </w:r>
    </w:p>
    <w:p>
      <w:pPr>
        <w:pageBreakBefore w:val="0"/>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12.1费用</w:t>
      </w:r>
    </w:p>
    <w:p>
      <w:pPr>
        <w:pageBreakBefore w:val="0"/>
        <w:kinsoku/>
        <w:wordWrap/>
        <w:overflowPunct/>
        <w:topLinePunct w:val="0"/>
        <w:bidi w:val="0"/>
        <w:snapToGrid w:val="0"/>
        <w:spacing w:line="440" w:lineRule="exact"/>
        <w:ind w:firstLine="480"/>
        <w:jc w:val="left"/>
        <w:textAlignment w:val="auto"/>
        <w:rPr>
          <w:rFonts w:hint="eastAsia" w:ascii="宋体" w:hAnsi="宋体"/>
          <w:color w:val="auto"/>
          <w:highlight w:val="none"/>
        </w:rPr>
      </w:pPr>
      <w:r>
        <w:rPr>
          <w:rFonts w:hint="eastAsia" w:ascii="宋体" w:hAnsi="宋体"/>
          <w:color w:val="auto"/>
          <w:highlight w:val="none"/>
        </w:rPr>
        <w:t>投标报价是履行合同的最终价格，即完成本项目服务内容和要求所产生的所有费用。</w:t>
      </w:r>
    </w:p>
    <w:p>
      <w:pPr>
        <w:pStyle w:val="86"/>
        <w:pageBreakBefore w:val="0"/>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12.2投标货币</w:t>
      </w:r>
    </w:p>
    <w:p>
      <w:pPr>
        <w:pStyle w:val="86"/>
        <w:pageBreakBefore w:val="0"/>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投标文件中价格全部采用人民币报价。报价应是唯一的, 采购人将不接受有选择的报价。</w:t>
      </w:r>
    </w:p>
    <w:p>
      <w:pPr>
        <w:pStyle w:val="86"/>
        <w:pageBreakBefore w:val="0"/>
        <w:kinsoku/>
        <w:wordWrap/>
        <w:overflowPunct/>
        <w:topLinePunct w:val="0"/>
        <w:bidi w:val="0"/>
        <w:spacing w:line="440" w:lineRule="exact"/>
        <w:ind w:firstLine="480"/>
        <w:textAlignment w:val="auto"/>
        <w:rPr>
          <w:rFonts w:hint="eastAsia" w:ascii="宋体" w:hAnsi="宋体" w:cs="宋体"/>
          <w:color w:val="auto"/>
          <w:highlight w:val="none"/>
        </w:rPr>
      </w:pPr>
      <w:r>
        <w:rPr>
          <w:rFonts w:hint="eastAsia" w:ascii="宋体" w:hAnsi="宋体" w:cs="宋体"/>
          <w:color w:val="auto"/>
          <w:highlight w:val="none"/>
        </w:rPr>
        <w:t>12.3供应商对在合同执行中，除有关费用及采购文件规定的由中标人负责的工作范围以外需要采购人协调或提供便利的工作应当在投标文件中说明。</w:t>
      </w:r>
    </w:p>
    <w:p>
      <w:pPr>
        <w:pageBreakBefore w:val="0"/>
        <w:kinsoku/>
        <w:wordWrap/>
        <w:overflowPunct/>
        <w:topLinePunct w:val="0"/>
        <w:bidi w:val="0"/>
        <w:snapToGrid w:val="0"/>
        <w:spacing w:line="440" w:lineRule="exact"/>
        <w:ind w:firstLine="480"/>
        <w:jc w:val="left"/>
        <w:textAlignment w:val="auto"/>
        <w:rPr>
          <w:rFonts w:hint="eastAsia" w:ascii="宋体" w:hAnsi="宋体"/>
          <w:color w:val="auto"/>
          <w:highlight w:val="none"/>
        </w:rPr>
      </w:pPr>
      <w:r>
        <w:rPr>
          <w:rFonts w:hint="eastAsia" w:ascii="宋体" w:hAnsi="宋体" w:cs="宋体"/>
          <w:color w:val="auto"/>
          <w:highlight w:val="none"/>
        </w:rPr>
        <w:t>12.4</w:t>
      </w:r>
      <w:r>
        <w:rPr>
          <w:rFonts w:hint="eastAsia" w:ascii="宋体" w:hAnsi="宋体"/>
          <w:color w:val="auto"/>
          <w:highlight w:val="none"/>
        </w:rPr>
        <w:t>投标人应充分考虑因各种原因可能发生的费用。对没有填报的费用，招标人认为所有费用已包含在总价中，除合同条款另有规定外，不得进行调整。</w:t>
      </w:r>
    </w:p>
    <w:p>
      <w:pPr>
        <w:pStyle w:val="3"/>
        <w:pageBreakBefore w:val="0"/>
        <w:kinsoku/>
        <w:wordWrap/>
        <w:overflowPunct/>
        <w:topLinePunct w:val="0"/>
        <w:bidi w:val="0"/>
        <w:spacing w:beforeLines="0" w:afterLines="0" w:line="440" w:lineRule="exact"/>
        <w:jc w:val="center"/>
        <w:textAlignment w:val="auto"/>
        <w:rPr>
          <w:color w:val="auto"/>
          <w:sz w:val="32"/>
          <w:highlight w:val="none"/>
        </w:rPr>
      </w:pPr>
      <w:bookmarkStart w:id="113" w:name="_Hlt75236011"/>
      <w:bookmarkEnd w:id="113"/>
      <w:bookmarkStart w:id="114" w:name="_Toc33718205"/>
      <w:bookmarkStart w:id="115" w:name="_Toc91899884"/>
      <w:r>
        <w:rPr>
          <w:rFonts w:hint="eastAsia"/>
          <w:color w:val="auto"/>
          <w:sz w:val="32"/>
          <w:highlight w:val="none"/>
        </w:rPr>
        <w:t>三、投标文件的编制</w:t>
      </w:r>
      <w:bookmarkEnd w:id="114"/>
      <w:bookmarkEnd w:id="115"/>
    </w:p>
    <w:p>
      <w:pPr>
        <w:pStyle w:val="86"/>
        <w:pageBreakBefore w:val="0"/>
        <w:kinsoku/>
        <w:wordWrap/>
        <w:overflowPunct/>
        <w:topLinePunct w:val="0"/>
        <w:bidi w:val="0"/>
        <w:spacing w:line="440" w:lineRule="exact"/>
        <w:ind w:firstLine="482"/>
        <w:textAlignment w:val="auto"/>
        <w:rPr>
          <w:rFonts w:ascii="宋体" w:hAnsi="宋体" w:cs="宋体"/>
          <w:b/>
          <w:color w:val="auto"/>
          <w:highlight w:val="none"/>
        </w:rPr>
      </w:pPr>
      <w:r>
        <w:rPr>
          <w:rFonts w:hint="eastAsia" w:ascii="仿宋_GB2312" w:hAnsi="仿宋_GB2312"/>
          <w:b/>
          <w:bCs/>
          <w:color w:val="auto"/>
          <w:kern w:val="0"/>
          <w:szCs w:val="20"/>
          <w:highlight w:val="none"/>
        </w:rPr>
        <w:t>13.</w:t>
      </w:r>
      <w:r>
        <w:rPr>
          <w:rFonts w:hint="eastAsia" w:ascii="宋体" w:hAnsi="宋体" w:cs="宋体"/>
          <w:b/>
          <w:color w:val="auto"/>
          <w:highlight w:val="none"/>
        </w:rPr>
        <w:t xml:space="preserve"> 投标文件的语言</w:t>
      </w:r>
    </w:p>
    <w:p>
      <w:pPr>
        <w:pageBreakBefore w:val="0"/>
        <w:kinsoku/>
        <w:wordWrap/>
        <w:overflowPunct/>
        <w:topLinePunct w:val="0"/>
        <w:autoSpaceDE w:val="0"/>
        <w:autoSpaceDN w:val="0"/>
        <w:bidi w:val="0"/>
        <w:adjustRightInd w:val="0"/>
        <w:spacing w:line="440" w:lineRule="exact"/>
        <w:ind w:firstLine="480"/>
        <w:textAlignment w:val="auto"/>
        <w:rPr>
          <w:rFonts w:ascii="宋体" w:hAnsi="宋体" w:cs="宋体"/>
          <w:color w:val="auto"/>
          <w:highlight w:val="none"/>
          <w:lang w:val="zh-CN"/>
        </w:rPr>
      </w:pPr>
      <w:r>
        <w:rPr>
          <w:rFonts w:hint="eastAsia" w:ascii="宋体" w:hAnsi="宋体" w:cs="宋体"/>
          <w:color w:val="auto"/>
          <w:highlight w:val="none"/>
        </w:rPr>
        <w:t>投标文件及供应商与采购有关的来往通知、函件和文件均应使用中文。</w:t>
      </w:r>
    </w:p>
    <w:p>
      <w:pPr>
        <w:pStyle w:val="4"/>
        <w:pageBreakBefore w:val="0"/>
        <w:kinsoku/>
        <w:wordWrap/>
        <w:overflowPunct/>
        <w:topLinePunct w:val="0"/>
        <w:bidi w:val="0"/>
        <w:spacing w:line="440" w:lineRule="exact"/>
        <w:ind w:firstLine="480" w:firstLineChars="200"/>
        <w:jc w:val="both"/>
        <w:textAlignment w:val="auto"/>
        <w:rPr>
          <w:color w:val="auto"/>
          <w:highlight w:val="none"/>
          <w:lang w:val="zh-CN"/>
        </w:rPr>
      </w:pPr>
      <w:r>
        <w:rPr>
          <w:rFonts w:hint="eastAsia"/>
          <w:color w:val="auto"/>
          <w:highlight w:val="none"/>
          <w:lang w:val="zh-CN"/>
        </w:rPr>
        <w:t>14.投标文件的组成</w:t>
      </w:r>
    </w:p>
    <w:p>
      <w:pPr>
        <w:pageBreakBefore w:val="0"/>
        <w:kinsoku/>
        <w:wordWrap/>
        <w:overflowPunct/>
        <w:topLinePunct w:val="0"/>
        <w:autoSpaceDE w:val="0"/>
        <w:autoSpaceDN w:val="0"/>
        <w:bidi w:val="0"/>
        <w:adjustRightInd w:val="0"/>
        <w:spacing w:line="440" w:lineRule="exact"/>
        <w:ind w:firstLine="480"/>
        <w:textAlignment w:val="auto"/>
        <w:rPr>
          <w:color w:val="auto"/>
          <w:highlight w:val="none"/>
        </w:rPr>
      </w:pPr>
      <w:r>
        <w:rPr>
          <w:rFonts w:hint="eastAsia" w:ascii="宋体" w:hAnsi="宋体" w:cs="宋体"/>
          <w:color w:val="auto"/>
          <w:highlight w:val="none"/>
          <w:lang w:val="zh-CN"/>
        </w:rPr>
        <w:t>投标文件由</w:t>
      </w:r>
      <w:r>
        <w:rPr>
          <w:rFonts w:hint="eastAsia" w:ascii="宋体" w:hAnsi="宋体" w:cs="宋体"/>
          <w:b/>
          <w:color w:val="auto"/>
          <w:highlight w:val="none"/>
          <w:lang w:val="zh-CN"/>
        </w:rPr>
        <w:t>资格文件、资信技术文件、报价文件三部分</w:t>
      </w:r>
      <w:r>
        <w:rPr>
          <w:rFonts w:hint="eastAsia" w:ascii="宋体" w:hAnsi="宋体" w:cs="宋体"/>
          <w:color w:val="auto"/>
          <w:highlight w:val="none"/>
          <w:lang w:val="zh-CN"/>
        </w:rPr>
        <w:t>组成。以下列出的为投标文件的详细组成部分，请供应商按照以下要求制作投标文件。</w:t>
      </w:r>
    </w:p>
    <w:p>
      <w:pPr>
        <w:pageBreakBefore w:val="0"/>
        <w:kinsoku/>
        <w:wordWrap/>
        <w:overflowPunct/>
        <w:topLinePunct w:val="0"/>
        <w:bidi w:val="0"/>
        <w:snapToGrid w:val="0"/>
        <w:spacing w:line="440" w:lineRule="exact"/>
        <w:ind w:firstLine="482"/>
        <w:textAlignment w:val="auto"/>
        <w:rPr>
          <w:color w:val="auto"/>
          <w:highlight w:val="none"/>
        </w:rPr>
      </w:pPr>
      <w:r>
        <w:rPr>
          <w:rFonts w:hint="eastAsia" w:ascii="宋体" w:hAnsi="宋体" w:cs="宋体"/>
          <w:b/>
          <w:color w:val="auto"/>
          <w:highlight w:val="none"/>
        </w:rPr>
        <w:t>14.1资格文件的组成</w:t>
      </w:r>
      <w:r>
        <w:rPr>
          <w:rFonts w:hint="eastAsia" w:ascii="宋体" w:hAnsi="宋体" w:cs="宋体"/>
          <w:b/>
          <w:bCs/>
          <w:color w:val="auto"/>
          <w:highlight w:val="none"/>
        </w:rPr>
        <w:t>（均需加盖公章）</w:t>
      </w:r>
      <w:r>
        <w:rPr>
          <w:rFonts w:hint="eastAsia" w:ascii="宋体" w:hAnsi="宋体" w:cs="宋体"/>
          <w:b/>
          <w:color w:val="auto"/>
          <w:highlight w:val="none"/>
        </w:rPr>
        <w:t>：</w:t>
      </w:r>
    </w:p>
    <w:tbl>
      <w:tblPr>
        <w:tblStyle w:val="37"/>
        <w:tblW w:w="10003" w:type="dxa"/>
        <w:tblInd w:w="-245" w:type="dxa"/>
        <w:tblLayout w:type="fixed"/>
        <w:tblCellMar>
          <w:top w:w="0" w:type="dxa"/>
          <w:left w:w="0" w:type="dxa"/>
          <w:bottom w:w="0" w:type="dxa"/>
          <w:right w:w="0" w:type="dxa"/>
        </w:tblCellMar>
      </w:tblPr>
      <w:tblGrid>
        <w:gridCol w:w="780"/>
        <w:gridCol w:w="7246"/>
        <w:gridCol w:w="1977"/>
      </w:tblGrid>
      <w:tr>
        <w:tblPrEx>
          <w:tblCellMar>
            <w:top w:w="0" w:type="dxa"/>
            <w:left w:w="0" w:type="dxa"/>
            <w:bottom w:w="0" w:type="dxa"/>
            <w:right w:w="0" w:type="dxa"/>
          </w:tblCellMar>
        </w:tblPrEx>
        <w:trPr>
          <w:trHeight w:val="87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序号</w:t>
            </w:r>
          </w:p>
        </w:tc>
        <w:tc>
          <w:tcPr>
            <w:tcW w:w="7246" w:type="dxa"/>
            <w:tcBorders>
              <w:top w:val="single" w:color="000000" w:sz="4" w:space="0"/>
              <w:left w:val="single" w:color="000000" w:sz="4" w:space="0"/>
              <w:bottom w:val="single" w:color="000000" w:sz="4" w:space="0"/>
              <w:right w:val="single" w:color="000000" w:sz="4" w:space="0"/>
            </w:tcBorders>
            <w:noWrap w:val="0"/>
            <w:vAlign w:val="top"/>
          </w:tcPr>
          <w:p>
            <w:pPr>
              <w:pStyle w:val="69"/>
              <w:pageBreakBefore w:val="0"/>
              <w:kinsoku/>
              <w:wordWrap/>
              <w:overflowPunct/>
              <w:topLinePunct w:val="0"/>
              <w:bidi w:val="0"/>
              <w:spacing w:line="440" w:lineRule="exact"/>
              <w:ind w:right="1" w:firstLine="0" w:firstLineChars="0"/>
              <w:textAlignment w:val="auto"/>
              <w:rPr>
                <w:rFonts w:ascii="宋体" w:hAnsi="宋体" w:cs="宋体"/>
                <w:color w:val="auto"/>
                <w:sz w:val="24"/>
                <w:highlight w:val="none"/>
              </w:rPr>
            </w:pPr>
            <w:r>
              <w:rPr>
                <w:rFonts w:ascii="宋体" w:hAnsi="宋体" w:cs="宋体"/>
                <w:color w:val="auto"/>
                <w:sz w:val="24"/>
                <w:highlight w:val="none"/>
              </w:rPr>
              <w:t>内容</w:t>
            </w:r>
            <w:r>
              <w:rPr>
                <w:rFonts w:ascii="宋体" w:hAnsi="宋体" w:cs="宋体"/>
                <w:b/>
                <w:bCs/>
                <w:color w:val="auto"/>
                <w:sz w:val="24"/>
                <w:highlight w:val="none"/>
              </w:rPr>
              <w:t>（以下3-</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lang w:val="en-US" w:eastAsia="zh-CN"/>
              </w:rPr>
              <w:t>2</w:t>
            </w:r>
            <w:r>
              <w:rPr>
                <w:rFonts w:ascii="宋体" w:hAnsi="宋体" w:cs="宋体"/>
                <w:b/>
                <w:bCs/>
                <w:color w:val="auto"/>
                <w:sz w:val="24"/>
                <w:highlight w:val="none"/>
              </w:rPr>
              <w:t>项内容投标供应商必须提供，否则不能通过资格审查，责任自负。）</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备注</w:t>
            </w:r>
          </w:p>
        </w:tc>
      </w:tr>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szCs w:val="24"/>
                <w:highlight w:val="none"/>
              </w:rPr>
            </w:pPr>
            <w:r>
              <w:rPr>
                <w:rFonts w:ascii="宋体" w:hAnsi="宋体" w:cs="宋体"/>
                <w:color w:val="auto"/>
                <w:sz w:val="24"/>
                <w:szCs w:val="24"/>
                <w:highlight w:val="none"/>
              </w:rPr>
              <w:t>1</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ascii="宋体" w:hAnsi="宋体" w:cs="宋体"/>
                <w:color w:val="auto"/>
                <w:sz w:val="24"/>
                <w:szCs w:val="24"/>
                <w:highlight w:val="none"/>
              </w:rPr>
            </w:pPr>
            <w:r>
              <w:rPr>
                <w:rFonts w:ascii="宋体" w:hAnsi="宋体" w:cs="宋体"/>
                <w:color w:val="auto"/>
                <w:sz w:val="24"/>
                <w:szCs w:val="24"/>
                <w:highlight w:val="none"/>
              </w:rPr>
              <w:t>封面</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格式附后</w:t>
            </w:r>
          </w:p>
        </w:tc>
      </w:tr>
      <w:tr>
        <w:tblPrEx>
          <w:tblCellMar>
            <w:top w:w="0" w:type="dxa"/>
            <w:left w:w="0" w:type="dxa"/>
            <w:bottom w:w="0" w:type="dxa"/>
            <w:right w:w="0" w:type="dxa"/>
          </w:tblCellMar>
        </w:tblPrEx>
        <w:trPr>
          <w:trHeight w:val="46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szCs w:val="24"/>
                <w:highlight w:val="none"/>
              </w:rPr>
            </w:pPr>
            <w:r>
              <w:rPr>
                <w:rFonts w:ascii="宋体" w:hAnsi="宋体" w:cs="宋体"/>
                <w:color w:val="auto"/>
                <w:sz w:val="24"/>
                <w:szCs w:val="24"/>
                <w:highlight w:val="none"/>
              </w:rPr>
              <w:t>2</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ascii="宋体" w:hAnsi="宋体" w:cs="宋体"/>
                <w:color w:val="auto"/>
                <w:sz w:val="24"/>
                <w:szCs w:val="24"/>
                <w:highlight w:val="none"/>
              </w:rPr>
            </w:pPr>
            <w:r>
              <w:rPr>
                <w:rFonts w:ascii="宋体" w:hAnsi="宋体" w:cs="宋体"/>
                <w:color w:val="auto"/>
                <w:sz w:val="24"/>
                <w:szCs w:val="24"/>
                <w:highlight w:val="none"/>
              </w:rPr>
              <w:t>目录</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格式、内容自拟</w:t>
            </w:r>
          </w:p>
        </w:tc>
      </w:tr>
      <w:tr>
        <w:tblPrEx>
          <w:tblCellMar>
            <w:top w:w="0" w:type="dxa"/>
            <w:left w:w="0" w:type="dxa"/>
            <w:bottom w:w="0" w:type="dxa"/>
            <w:right w:w="0" w:type="dxa"/>
          </w:tblCellMar>
        </w:tblPrEx>
        <w:trPr>
          <w:trHeight w:val="447"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szCs w:val="24"/>
                <w:highlight w:val="none"/>
              </w:rPr>
            </w:pPr>
            <w:r>
              <w:rPr>
                <w:rFonts w:ascii="宋体" w:hAnsi="宋体" w:cs="宋体"/>
                <w:color w:val="auto"/>
                <w:sz w:val="24"/>
                <w:szCs w:val="24"/>
                <w:highlight w:val="none"/>
              </w:rPr>
              <w:t>3</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ascii="宋体" w:hAnsi="宋体" w:cs="宋体"/>
                <w:color w:val="auto"/>
                <w:sz w:val="24"/>
                <w:szCs w:val="24"/>
                <w:highlight w:val="none"/>
              </w:rPr>
            </w:pPr>
            <w:r>
              <w:rPr>
                <w:rFonts w:ascii="宋体" w:hAnsi="宋体" w:cs="宋体"/>
                <w:color w:val="auto"/>
                <w:sz w:val="24"/>
                <w:szCs w:val="24"/>
                <w:highlight w:val="none"/>
              </w:rPr>
              <w:t>投标资格声明书</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格式附后</w:t>
            </w:r>
          </w:p>
        </w:tc>
      </w:tr>
      <w:tr>
        <w:tblPrEx>
          <w:tblCellMar>
            <w:top w:w="0" w:type="dxa"/>
            <w:left w:w="0" w:type="dxa"/>
            <w:bottom w:w="0" w:type="dxa"/>
            <w:right w:w="0" w:type="dxa"/>
          </w:tblCellMar>
        </w:tblPrEx>
        <w:trPr>
          <w:trHeight w:val="488"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szCs w:val="24"/>
                <w:highlight w:val="none"/>
              </w:rPr>
            </w:pPr>
            <w:r>
              <w:rPr>
                <w:rFonts w:ascii="宋体" w:hAnsi="宋体" w:cs="宋体"/>
                <w:color w:val="auto"/>
                <w:sz w:val="24"/>
                <w:szCs w:val="24"/>
                <w:highlight w:val="none"/>
              </w:rPr>
              <w:t>4</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ascii="宋体" w:hAnsi="宋体" w:cs="宋体"/>
                <w:color w:val="auto"/>
                <w:sz w:val="24"/>
                <w:szCs w:val="24"/>
                <w:highlight w:val="none"/>
              </w:rPr>
            </w:pPr>
            <w:r>
              <w:rPr>
                <w:rFonts w:ascii="宋体" w:hAnsi="宋体" w:cs="宋体"/>
                <w:color w:val="auto"/>
                <w:sz w:val="24"/>
                <w:szCs w:val="24"/>
                <w:highlight w:val="none"/>
              </w:rPr>
              <w:t>营业执照(或事业法人登记证或其他工商等登记证明材料)复印件</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格式、内容自拟</w:t>
            </w:r>
          </w:p>
        </w:tc>
      </w:tr>
      <w:tr>
        <w:tblPrEx>
          <w:tblCellMar>
            <w:top w:w="0" w:type="dxa"/>
            <w:left w:w="0" w:type="dxa"/>
            <w:bottom w:w="0" w:type="dxa"/>
            <w:right w:w="0" w:type="dxa"/>
          </w:tblCellMar>
        </w:tblPrEx>
        <w:trPr>
          <w:trHeight w:val="90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5</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ascii="宋体" w:hAnsi="宋体" w:cs="宋体"/>
                <w:color w:val="auto"/>
                <w:sz w:val="24"/>
                <w:szCs w:val="24"/>
                <w:highlight w:val="none"/>
              </w:rPr>
            </w:pPr>
            <w:r>
              <w:rPr>
                <w:rFonts w:ascii="宋体" w:hAnsi="宋体" w:cs="宋体"/>
                <w:color w:val="auto"/>
                <w:sz w:val="24"/>
                <w:szCs w:val="24"/>
                <w:highlight w:val="none"/>
              </w:rPr>
              <w:t>法定代表人授权委托书及身份证复印件；投标代表是法定代表人不需提供</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格式附后</w:t>
            </w:r>
          </w:p>
        </w:tc>
      </w:tr>
      <w:tr>
        <w:tblPrEx>
          <w:tblCellMar>
            <w:top w:w="0" w:type="dxa"/>
            <w:left w:w="0" w:type="dxa"/>
            <w:bottom w:w="0" w:type="dxa"/>
            <w:right w:w="0" w:type="dxa"/>
          </w:tblCellMar>
        </w:tblPrEx>
        <w:trPr>
          <w:trHeight w:val="1017"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6</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rPr>
              <w:t>投标人具有有效期内实验室相关认证证书（医疗机构执行许可证，实验室认证， PCR实验室技术验收合格证书）</w:t>
            </w:r>
            <w:r>
              <w:rPr>
                <w:rFonts w:hint="eastAsia" w:ascii="宋体" w:hAnsi="宋体" w:eastAsia="宋体" w:cs="宋体"/>
                <w:color w:val="auto"/>
                <w:sz w:val="24"/>
                <w:szCs w:val="24"/>
                <w:highlight w:val="none"/>
                <w:lang w:eastAsia="zh-CN"/>
              </w:rPr>
              <w:t>。</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40" w:lineRule="exact"/>
              <w:ind w:left="0" w:leftChars="0"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格式、内容自拟</w:t>
            </w:r>
          </w:p>
        </w:tc>
      </w:tr>
      <w:tr>
        <w:tblPrEx>
          <w:tblCellMar>
            <w:top w:w="0" w:type="dxa"/>
            <w:left w:w="0" w:type="dxa"/>
            <w:bottom w:w="0" w:type="dxa"/>
            <w:right w:w="0" w:type="dxa"/>
          </w:tblCellMar>
        </w:tblPrEx>
        <w:trPr>
          <w:trHeight w:val="560"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7</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最近</w:t>
            </w: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个月中任意1个月的税务缴纳证明材料复印件</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40" w:lineRule="exact"/>
              <w:ind w:left="0" w:leftChars="0"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格式、内容自拟</w:t>
            </w:r>
          </w:p>
        </w:tc>
      </w:tr>
      <w:tr>
        <w:tblPrEx>
          <w:tblCellMar>
            <w:top w:w="0" w:type="dxa"/>
            <w:left w:w="0" w:type="dxa"/>
            <w:bottom w:w="0" w:type="dxa"/>
            <w:right w:w="0" w:type="dxa"/>
          </w:tblCellMar>
        </w:tblPrEx>
        <w:trPr>
          <w:trHeight w:val="544"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8</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最近</w:t>
            </w: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个月中任意1个月的社保缴纳证明材料复印件</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格式、内容自拟</w:t>
            </w:r>
          </w:p>
        </w:tc>
      </w:tr>
      <w:tr>
        <w:tblPrEx>
          <w:tblCellMar>
            <w:top w:w="0" w:type="dxa"/>
            <w:left w:w="0" w:type="dxa"/>
            <w:bottom w:w="0" w:type="dxa"/>
            <w:right w:w="0" w:type="dxa"/>
          </w:tblCellMar>
        </w:tblPrEx>
        <w:trPr>
          <w:trHeight w:val="905"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9</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left"/>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最近</w:t>
            </w: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个月中任意1个月的财务报表资料文件(新成立的公司请提供情况说明)</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格式、内容自拟</w:t>
            </w:r>
          </w:p>
        </w:tc>
      </w:tr>
      <w:tr>
        <w:tblPrEx>
          <w:tblCellMar>
            <w:top w:w="0" w:type="dxa"/>
            <w:left w:w="0" w:type="dxa"/>
            <w:bottom w:w="0" w:type="dxa"/>
            <w:right w:w="0" w:type="dxa"/>
          </w:tblCellMar>
        </w:tblPrEx>
        <w:trPr>
          <w:trHeight w:val="580"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10</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具有履行合同所必需的设备和专业技术能力的承诺函</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格式、内容自拟</w:t>
            </w:r>
          </w:p>
        </w:tc>
      </w:tr>
      <w:tr>
        <w:tblPrEx>
          <w:tblCellMar>
            <w:top w:w="0" w:type="dxa"/>
            <w:left w:w="0" w:type="dxa"/>
            <w:bottom w:w="0" w:type="dxa"/>
            <w:right w:w="0" w:type="dxa"/>
          </w:tblCellMar>
        </w:tblPrEx>
        <w:trPr>
          <w:trHeight w:val="654"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hint="default" w:ascii="宋体" w:hAnsi="宋体" w:cs="宋体"/>
                <w:color w:val="auto"/>
                <w:kern w:val="2"/>
                <w:sz w:val="24"/>
                <w:szCs w:val="24"/>
                <w:highlight w:val="none"/>
                <w:lang w:val="en-US" w:eastAsia="zh-CN" w:bidi="ar-SA"/>
              </w:rPr>
            </w:pPr>
            <w:r>
              <w:rPr>
                <w:rFonts w:ascii="宋体" w:hAnsi="宋体" w:cs="宋体"/>
                <w:color w:val="auto"/>
                <w:sz w:val="24"/>
                <w:szCs w:val="24"/>
                <w:highlight w:val="none"/>
              </w:rPr>
              <w:t>11</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参加政府采购活动前三年内</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在经营活动中没有重大违法记录的声明</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格式、内容自拟</w:t>
            </w:r>
          </w:p>
        </w:tc>
      </w:tr>
      <w:tr>
        <w:tblPrEx>
          <w:tblCellMar>
            <w:top w:w="0" w:type="dxa"/>
            <w:left w:w="0" w:type="dxa"/>
            <w:bottom w:w="0" w:type="dxa"/>
            <w:right w:w="0" w:type="dxa"/>
          </w:tblCellMar>
        </w:tblPrEx>
        <w:trPr>
          <w:trHeight w:val="1371"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lang w:val="zh-CN"/>
              </w:rPr>
              <w:t>投标供应商</w:t>
            </w:r>
            <w:r>
              <w:rPr>
                <w:rFonts w:ascii="宋体" w:hAnsi="宋体" w:cs="宋体"/>
                <w:color w:val="auto"/>
                <w:sz w:val="24"/>
                <w:szCs w:val="24"/>
                <w:highlight w:val="none"/>
              </w:rPr>
              <w:t>“</w:t>
            </w:r>
            <w:r>
              <w:rPr>
                <w:rFonts w:ascii="宋体" w:hAnsi="宋体" w:cs="宋体"/>
                <w:color w:val="auto"/>
                <w:sz w:val="24"/>
                <w:szCs w:val="24"/>
                <w:highlight w:val="none"/>
                <w:lang w:val="zh-CN"/>
              </w:rPr>
              <w:t>信用中国</w:t>
            </w:r>
            <w:r>
              <w:rPr>
                <w:rFonts w:ascii="宋体" w:hAnsi="宋体" w:cs="宋体"/>
                <w:color w:val="auto"/>
                <w:sz w:val="24"/>
                <w:szCs w:val="24"/>
                <w:highlight w:val="none"/>
              </w:rPr>
              <w:t>”(www.creditchina.gov.cn)；“</w:t>
            </w:r>
            <w:r>
              <w:rPr>
                <w:rFonts w:ascii="宋体" w:hAnsi="宋体" w:cs="宋体"/>
                <w:color w:val="auto"/>
                <w:sz w:val="24"/>
                <w:szCs w:val="24"/>
                <w:highlight w:val="none"/>
                <w:lang w:val="zh-CN"/>
              </w:rPr>
              <w:t>中国政府采购网</w:t>
            </w:r>
            <w:r>
              <w:rPr>
                <w:rFonts w:ascii="宋体" w:hAnsi="宋体" w:cs="宋体"/>
                <w:color w:val="auto"/>
                <w:sz w:val="24"/>
                <w:szCs w:val="24"/>
                <w:highlight w:val="none"/>
              </w:rPr>
              <w:t>”（www.ccgp.gov.cn）</w:t>
            </w:r>
            <w:r>
              <w:rPr>
                <w:rFonts w:ascii="宋体" w:hAnsi="宋体" w:cs="宋体"/>
                <w:color w:val="auto"/>
                <w:sz w:val="24"/>
                <w:szCs w:val="24"/>
                <w:highlight w:val="none"/>
                <w:lang w:val="zh-CN"/>
              </w:rPr>
              <w:t>信用记录查询网页截图</w:t>
            </w:r>
            <w:r>
              <w:rPr>
                <w:rFonts w:ascii="宋体" w:hAnsi="宋体" w:cs="宋体"/>
                <w:color w:val="auto"/>
                <w:sz w:val="24"/>
                <w:szCs w:val="24"/>
                <w:highlight w:val="none"/>
              </w:rPr>
              <w:t>（</w:t>
            </w:r>
            <w:r>
              <w:rPr>
                <w:rFonts w:ascii="宋体" w:hAnsi="宋体" w:cs="宋体"/>
                <w:color w:val="auto"/>
                <w:sz w:val="24"/>
                <w:szCs w:val="24"/>
                <w:highlight w:val="none"/>
                <w:lang w:val="zh-CN"/>
              </w:rPr>
              <w:t>采购公告发布之日至响应文件递交截止时间前</w:t>
            </w:r>
            <w:r>
              <w:rPr>
                <w:rFonts w:ascii="宋体" w:hAnsi="宋体" w:cs="宋体"/>
                <w:color w:val="auto"/>
                <w:sz w:val="24"/>
                <w:szCs w:val="24"/>
                <w:highlight w:val="none"/>
              </w:rPr>
              <w:t>）</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40" w:lineRule="exact"/>
              <w:ind w:firstLine="0" w:firstLineChars="0"/>
              <w:jc w:val="center"/>
              <w:textAlignment w:val="auto"/>
              <w:rPr>
                <w:rFonts w:hint="eastAsia" w:ascii="宋体" w:hAnsi="宋体" w:cs="宋体"/>
                <w:color w:val="auto"/>
                <w:highlight w:val="none"/>
              </w:rPr>
            </w:pPr>
            <w:r>
              <w:rPr>
                <w:rFonts w:ascii="宋体" w:hAnsi="宋体" w:cs="宋体"/>
                <w:color w:val="auto"/>
                <w:sz w:val="24"/>
                <w:highlight w:val="none"/>
              </w:rPr>
              <w:t>格式、内容自拟</w:t>
            </w:r>
          </w:p>
        </w:tc>
      </w:tr>
    </w:tbl>
    <w:p>
      <w:pPr>
        <w:pageBreakBefore w:val="0"/>
        <w:kinsoku/>
        <w:wordWrap/>
        <w:overflowPunct/>
        <w:topLinePunct w:val="0"/>
        <w:bidi w:val="0"/>
        <w:snapToGrid w:val="0"/>
        <w:spacing w:line="440" w:lineRule="exact"/>
        <w:ind w:firstLine="482"/>
        <w:textAlignment w:val="auto"/>
        <w:rPr>
          <w:rFonts w:ascii="宋体" w:hAnsi="宋体" w:cs="宋体"/>
          <w:b/>
          <w:color w:val="auto"/>
          <w:highlight w:val="none"/>
        </w:rPr>
      </w:pPr>
      <w:r>
        <w:rPr>
          <w:rFonts w:hint="eastAsia" w:ascii="宋体" w:hAnsi="宋体" w:cs="宋体"/>
          <w:b/>
          <w:color w:val="auto"/>
          <w:highlight w:val="none"/>
        </w:rPr>
        <w:t>14.2资信技术文件的组成：</w:t>
      </w:r>
    </w:p>
    <w:tbl>
      <w:tblPr>
        <w:tblStyle w:val="37"/>
        <w:tblW w:w="10030" w:type="dxa"/>
        <w:tblInd w:w="-245" w:type="dxa"/>
        <w:tblLayout w:type="fixed"/>
        <w:tblCellMar>
          <w:top w:w="0" w:type="dxa"/>
          <w:left w:w="0" w:type="dxa"/>
          <w:bottom w:w="0" w:type="dxa"/>
          <w:right w:w="0" w:type="dxa"/>
        </w:tblCellMar>
      </w:tblPr>
      <w:tblGrid>
        <w:gridCol w:w="780"/>
        <w:gridCol w:w="7246"/>
        <w:gridCol w:w="2004"/>
      </w:tblGrid>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top"/>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序号</w:t>
            </w:r>
          </w:p>
        </w:tc>
        <w:tc>
          <w:tcPr>
            <w:tcW w:w="7246" w:type="dxa"/>
            <w:tcBorders>
              <w:top w:val="single" w:color="000000" w:sz="4" w:space="0"/>
              <w:left w:val="single" w:color="000000" w:sz="4" w:space="0"/>
              <w:bottom w:val="single" w:color="000000" w:sz="4" w:space="0"/>
              <w:right w:val="single" w:color="000000" w:sz="4" w:space="0"/>
            </w:tcBorders>
            <w:noWrap w:val="0"/>
            <w:vAlign w:val="top"/>
          </w:tcPr>
          <w:p>
            <w:pPr>
              <w:pStyle w:val="69"/>
              <w:pageBreakBefore w:val="0"/>
              <w:kinsoku/>
              <w:wordWrap/>
              <w:overflowPunct/>
              <w:topLinePunct w:val="0"/>
              <w:bidi w:val="0"/>
              <w:spacing w:line="440" w:lineRule="exact"/>
              <w:ind w:right="1"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内容</w:t>
            </w:r>
          </w:p>
        </w:tc>
        <w:tc>
          <w:tcPr>
            <w:tcW w:w="2004" w:type="dxa"/>
            <w:tcBorders>
              <w:top w:val="single" w:color="000000" w:sz="4" w:space="0"/>
              <w:left w:val="single" w:color="000000" w:sz="4" w:space="0"/>
              <w:bottom w:val="single" w:color="000000" w:sz="4" w:space="0"/>
              <w:right w:val="single" w:color="000000" w:sz="4" w:space="0"/>
            </w:tcBorders>
            <w:noWrap w:val="0"/>
            <w:vAlign w:val="top"/>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备注</w:t>
            </w:r>
          </w:p>
        </w:tc>
      </w:tr>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szCs w:val="24"/>
                <w:highlight w:val="none"/>
              </w:rPr>
            </w:pPr>
            <w:r>
              <w:rPr>
                <w:rFonts w:ascii="宋体" w:hAnsi="宋体" w:cs="宋体"/>
                <w:color w:val="auto"/>
                <w:sz w:val="24"/>
                <w:szCs w:val="24"/>
                <w:highlight w:val="none"/>
              </w:rPr>
              <w:t>1</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ascii="宋体" w:hAnsi="宋体" w:cs="宋体"/>
                <w:color w:val="auto"/>
                <w:sz w:val="24"/>
                <w:szCs w:val="24"/>
                <w:highlight w:val="none"/>
              </w:rPr>
            </w:pPr>
            <w:r>
              <w:rPr>
                <w:rFonts w:ascii="宋体" w:hAnsi="宋体" w:cs="宋体"/>
                <w:color w:val="auto"/>
                <w:sz w:val="24"/>
                <w:szCs w:val="24"/>
                <w:highlight w:val="none"/>
              </w:rPr>
              <w:t>封面</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格式附后</w:t>
            </w:r>
          </w:p>
        </w:tc>
      </w:tr>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szCs w:val="24"/>
                <w:highlight w:val="none"/>
              </w:rPr>
            </w:pPr>
            <w:r>
              <w:rPr>
                <w:rFonts w:ascii="宋体" w:hAnsi="宋体" w:cs="宋体"/>
                <w:color w:val="auto"/>
                <w:sz w:val="24"/>
                <w:szCs w:val="24"/>
                <w:highlight w:val="none"/>
              </w:rPr>
              <w:t>2</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ascii="宋体" w:hAnsi="宋体" w:cs="宋体"/>
                <w:color w:val="auto"/>
                <w:sz w:val="24"/>
                <w:szCs w:val="24"/>
                <w:highlight w:val="none"/>
              </w:rPr>
            </w:pPr>
            <w:r>
              <w:rPr>
                <w:rFonts w:ascii="宋体" w:hAnsi="宋体" w:cs="宋体"/>
                <w:color w:val="auto"/>
                <w:sz w:val="24"/>
                <w:szCs w:val="24"/>
                <w:highlight w:val="none"/>
              </w:rPr>
              <w:t>目录</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格式、内容自拟</w:t>
            </w:r>
          </w:p>
        </w:tc>
      </w:tr>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3</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ascii="宋体" w:hAnsi="宋体" w:cs="宋体"/>
                <w:color w:val="auto"/>
                <w:sz w:val="24"/>
                <w:szCs w:val="24"/>
                <w:highlight w:val="none"/>
              </w:rPr>
            </w:pPr>
            <w:r>
              <w:rPr>
                <w:rFonts w:ascii="宋体" w:hAnsi="宋体" w:cs="宋体"/>
                <w:color w:val="auto"/>
                <w:sz w:val="24"/>
                <w:szCs w:val="24"/>
                <w:highlight w:val="none"/>
              </w:rPr>
              <w:t>投标声明书</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格式附后</w:t>
            </w:r>
          </w:p>
        </w:tc>
      </w:tr>
      <w:tr>
        <w:tblPrEx>
          <w:tblCellMar>
            <w:top w:w="0" w:type="dxa"/>
            <w:left w:w="0" w:type="dxa"/>
            <w:bottom w:w="0" w:type="dxa"/>
            <w:right w:w="0" w:type="dxa"/>
          </w:tblCellMar>
        </w:tblPrEx>
        <w:trPr>
          <w:trHeight w:val="484"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4</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ascii="宋体" w:hAnsi="宋体" w:cs="宋体"/>
                <w:color w:val="auto"/>
                <w:sz w:val="24"/>
                <w:szCs w:val="24"/>
                <w:highlight w:val="none"/>
              </w:rPr>
            </w:pPr>
            <w:r>
              <w:rPr>
                <w:rFonts w:ascii="宋体" w:hAnsi="宋体" w:cs="宋体"/>
                <w:color w:val="auto"/>
                <w:sz w:val="24"/>
                <w:szCs w:val="24"/>
                <w:highlight w:val="none"/>
              </w:rPr>
              <w:t>营业执照(或事业法人登记证或其他工商等登记证明材料)复印件</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格式、内容自拟</w:t>
            </w:r>
          </w:p>
        </w:tc>
      </w:tr>
      <w:tr>
        <w:tblPrEx>
          <w:tblCellMar>
            <w:top w:w="0" w:type="dxa"/>
            <w:left w:w="0" w:type="dxa"/>
            <w:bottom w:w="0" w:type="dxa"/>
            <w:right w:w="0" w:type="dxa"/>
          </w:tblCellMar>
        </w:tblPrEx>
        <w:trPr>
          <w:trHeight w:val="1194"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5</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投标人具有有效期内实验室相关认证证书（医疗机构执行许可证，实验室认证， PCR实验室技术验收合格证书）</w:t>
            </w:r>
            <w:r>
              <w:rPr>
                <w:rFonts w:hint="eastAsia" w:ascii="宋体" w:hAnsi="宋体" w:eastAsia="宋体" w:cs="宋体"/>
                <w:color w:val="auto"/>
                <w:sz w:val="24"/>
                <w:szCs w:val="24"/>
                <w:highlight w:val="none"/>
                <w:lang w:eastAsia="zh-CN"/>
              </w:rPr>
              <w:t>。</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40" w:lineRule="exact"/>
              <w:ind w:left="0" w:leftChars="0" w:firstLine="0" w:firstLineChars="0"/>
              <w:jc w:val="center"/>
              <w:textAlignment w:val="auto"/>
              <w:rPr>
                <w:rFonts w:ascii="宋体" w:hAnsi="宋体" w:cs="宋体"/>
                <w:color w:val="auto"/>
                <w:kern w:val="2"/>
                <w:sz w:val="24"/>
                <w:szCs w:val="24"/>
                <w:highlight w:val="none"/>
                <w:lang w:val="en-US" w:eastAsia="zh-CN" w:bidi="ar-SA"/>
              </w:rPr>
            </w:pPr>
            <w:r>
              <w:rPr>
                <w:rFonts w:ascii="宋体" w:hAnsi="宋体" w:cs="宋体"/>
                <w:color w:val="auto"/>
                <w:sz w:val="24"/>
                <w:highlight w:val="none"/>
              </w:rPr>
              <w:t>格式、内容自拟</w:t>
            </w:r>
          </w:p>
        </w:tc>
      </w:tr>
      <w:tr>
        <w:tblPrEx>
          <w:tblCellMar>
            <w:top w:w="0" w:type="dxa"/>
            <w:left w:w="0" w:type="dxa"/>
            <w:bottom w:w="0" w:type="dxa"/>
            <w:right w:w="0" w:type="dxa"/>
          </w:tblCellMar>
        </w:tblPrEx>
        <w:trPr>
          <w:trHeight w:val="92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6</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法定代表人授权委托书及身份证复印件；投标代表是法定代表人不需提供</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40" w:lineRule="exact"/>
              <w:jc w:val="both"/>
              <w:textAlignment w:val="auto"/>
              <w:rPr>
                <w:rFonts w:ascii="宋体" w:hAnsi="宋体" w:cs="宋体"/>
                <w:color w:val="auto"/>
                <w:sz w:val="24"/>
                <w:highlight w:val="none"/>
              </w:rPr>
            </w:pPr>
            <w:r>
              <w:rPr>
                <w:rFonts w:ascii="宋体" w:hAnsi="宋体" w:cs="宋体"/>
                <w:color w:val="auto"/>
                <w:sz w:val="24"/>
                <w:highlight w:val="none"/>
              </w:rPr>
              <w:t>格式附后</w:t>
            </w:r>
          </w:p>
        </w:tc>
      </w:tr>
      <w:tr>
        <w:tblPrEx>
          <w:tblCellMar>
            <w:top w:w="0" w:type="dxa"/>
            <w:left w:w="0" w:type="dxa"/>
            <w:bottom w:w="0" w:type="dxa"/>
            <w:right w:w="0" w:type="dxa"/>
          </w:tblCellMar>
        </w:tblPrEx>
        <w:trPr>
          <w:trHeight w:val="46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7</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投标人基本情况表</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40" w:lineRule="exact"/>
              <w:ind w:firstLine="480" w:firstLineChars="200"/>
              <w:jc w:val="both"/>
              <w:textAlignment w:val="auto"/>
              <w:rPr>
                <w:rFonts w:ascii="宋体" w:hAnsi="宋体" w:cs="宋体"/>
                <w:color w:val="auto"/>
                <w:sz w:val="24"/>
                <w:highlight w:val="none"/>
              </w:rPr>
            </w:pPr>
            <w:r>
              <w:rPr>
                <w:rFonts w:ascii="宋体" w:hAnsi="宋体" w:cs="宋体"/>
                <w:color w:val="auto"/>
                <w:sz w:val="24"/>
                <w:highlight w:val="none"/>
              </w:rPr>
              <w:t>格式附后</w:t>
            </w:r>
          </w:p>
        </w:tc>
      </w:tr>
      <w:tr>
        <w:tblPrEx>
          <w:tblCellMar>
            <w:top w:w="0" w:type="dxa"/>
            <w:left w:w="0" w:type="dxa"/>
            <w:bottom w:w="0" w:type="dxa"/>
            <w:right w:w="0" w:type="dxa"/>
          </w:tblCellMar>
        </w:tblPrEx>
        <w:trPr>
          <w:trHeight w:val="507"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8</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项目实施人员一览表</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40" w:lineRule="exact"/>
              <w:ind w:firstLine="480" w:firstLineChars="200"/>
              <w:jc w:val="both"/>
              <w:textAlignment w:val="auto"/>
              <w:rPr>
                <w:rFonts w:ascii="宋体" w:hAnsi="宋体" w:cs="宋体"/>
                <w:color w:val="auto"/>
                <w:sz w:val="24"/>
                <w:highlight w:val="none"/>
              </w:rPr>
            </w:pPr>
            <w:r>
              <w:rPr>
                <w:rFonts w:ascii="宋体" w:hAnsi="宋体" w:cs="宋体"/>
                <w:color w:val="auto"/>
                <w:sz w:val="24"/>
                <w:highlight w:val="none"/>
              </w:rPr>
              <w:t>格式附后</w:t>
            </w:r>
          </w:p>
        </w:tc>
      </w:tr>
      <w:tr>
        <w:tblPrEx>
          <w:tblCellMar>
            <w:top w:w="0" w:type="dxa"/>
            <w:left w:w="0" w:type="dxa"/>
            <w:bottom w:w="0" w:type="dxa"/>
            <w:right w:w="0" w:type="dxa"/>
          </w:tblCellMar>
        </w:tblPrEx>
        <w:trPr>
          <w:trHeight w:val="46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9</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项目负责人情况表</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格式附后</w:t>
            </w:r>
          </w:p>
        </w:tc>
      </w:tr>
      <w:tr>
        <w:tblPrEx>
          <w:tblCellMar>
            <w:top w:w="0" w:type="dxa"/>
            <w:left w:w="0" w:type="dxa"/>
            <w:bottom w:w="0" w:type="dxa"/>
            <w:right w:w="0" w:type="dxa"/>
          </w:tblCellMar>
        </w:tblPrEx>
        <w:trPr>
          <w:trHeight w:val="520"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资信及商务响应表</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格式附后</w:t>
            </w:r>
          </w:p>
        </w:tc>
      </w:tr>
      <w:tr>
        <w:tblPrEx>
          <w:tblCellMar>
            <w:top w:w="0" w:type="dxa"/>
            <w:left w:w="0" w:type="dxa"/>
            <w:bottom w:w="0" w:type="dxa"/>
            <w:right w:w="0" w:type="dxa"/>
          </w:tblCellMar>
        </w:tblPrEx>
        <w:trPr>
          <w:trHeight w:val="469"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11</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技术响应表</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格式附后</w:t>
            </w:r>
          </w:p>
        </w:tc>
      </w:tr>
      <w:tr>
        <w:tblPrEx>
          <w:tblCellMar>
            <w:top w:w="0" w:type="dxa"/>
            <w:left w:w="0" w:type="dxa"/>
            <w:bottom w:w="0" w:type="dxa"/>
            <w:right w:w="0" w:type="dxa"/>
          </w:tblCellMar>
        </w:tblPrEx>
        <w:trPr>
          <w:trHeight w:val="585"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szCs w:val="24"/>
                <w:highlight w:val="none"/>
              </w:rPr>
              <w:t>类似项目实施情况一览表</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格式附后</w:t>
            </w:r>
          </w:p>
        </w:tc>
      </w:tr>
      <w:tr>
        <w:tblPrEx>
          <w:tblCellMar>
            <w:top w:w="0" w:type="dxa"/>
            <w:left w:w="0" w:type="dxa"/>
            <w:bottom w:w="0" w:type="dxa"/>
            <w:right w:w="0" w:type="dxa"/>
          </w:tblCellMar>
        </w:tblPrEx>
        <w:trPr>
          <w:trHeight w:val="1015"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13</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rPr>
                <w:rFonts w:ascii="宋体" w:hAnsi="宋体" w:cs="宋体"/>
                <w:color w:val="auto"/>
                <w:sz w:val="24"/>
                <w:szCs w:val="24"/>
                <w:highlight w:val="none"/>
              </w:rPr>
            </w:pPr>
            <w:r>
              <w:rPr>
                <w:rFonts w:ascii="宋体" w:hAnsi="宋体" w:cs="宋体"/>
                <w:color w:val="auto"/>
                <w:highlight w:val="none"/>
              </w:rPr>
              <w:t>可根据评分项所涉及的内容进行编制</w:t>
            </w:r>
            <w:r>
              <w:rPr>
                <w:rFonts w:hint="eastAsia" w:ascii="宋体" w:hAnsi="宋体" w:cs="宋体"/>
                <w:color w:val="auto"/>
                <w:highlight w:val="none"/>
              </w:rPr>
              <w:t>等详细内容</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可根据评分项所涉及的内容进行编制</w:t>
            </w:r>
          </w:p>
        </w:tc>
      </w:tr>
      <w:tr>
        <w:tblPrEx>
          <w:tblCellMar>
            <w:top w:w="0" w:type="dxa"/>
            <w:left w:w="0" w:type="dxa"/>
            <w:bottom w:w="0" w:type="dxa"/>
            <w:right w:w="0" w:type="dxa"/>
          </w:tblCellMar>
        </w:tblPrEx>
        <w:trPr>
          <w:trHeight w:val="886"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7246"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ascii="宋体" w:hAnsi="宋体" w:cs="宋体"/>
                <w:color w:val="auto"/>
                <w:sz w:val="24"/>
                <w:szCs w:val="24"/>
                <w:highlight w:val="none"/>
              </w:rPr>
            </w:pPr>
            <w:r>
              <w:rPr>
                <w:rFonts w:ascii="宋体" w:hAnsi="宋体" w:cs="宋体"/>
                <w:color w:val="auto"/>
                <w:sz w:val="24"/>
                <w:szCs w:val="24"/>
                <w:highlight w:val="none"/>
              </w:rPr>
              <w:t>投标人认为需要提供的其它文件和资料，包括可能影</w:t>
            </w:r>
            <w:r>
              <w:rPr>
                <w:rFonts w:ascii="宋体" w:hAnsi="宋体" w:cs="宋体"/>
                <w:color w:val="auto"/>
                <w:spacing w:val="-38"/>
                <w:sz w:val="24"/>
                <w:szCs w:val="24"/>
                <w:highlight w:val="none"/>
              </w:rPr>
              <w:t xml:space="preserve"> </w:t>
            </w:r>
            <w:r>
              <w:rPr>
                <w:rFonts w:ascii="宋体" w:hAnsi="宋体" w:cs="宋体"/>
                <w:color w:val="auto"/>
                <w:sz w:val="24"/>
                <w:szCs w:val="24"/>
                <w:highlight w:val="none"/>
              </w:rPr>
              <w:t>响投标人商务技术文件评分的各类证明材料</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40" w:lineRule="exact"/>
              <w:ind w:firstLine="0" w:firstLineChars="0"/>
              <w:jc w:val="center"/>
              <w:textAlignment w:val="auto"/>
              <w:rPr>
                <w:rFonts w:hint="eastAsia" w:ascii="宋体" w:hAnsi="宋体" w:cs="宋体"/>
                <w:color w:val="auto"/>
                <w:highlight w:val="none"/>
              </w:rPr>
            </w:pPr>
            <w:r>
              <w:rPr>
                <w:rFonts w:hint="eastAsia" w:ascii="宋体" w:hAnsi="宋体" w:cs="宋体"/>
                <w:color w:val="auto"/>
                <w:highlight w:val="none"/>
              </w:rPr>
              <w:t>内容自拟（可选择性提供）</w:t>
            </w:r>
          </w:p>
        </w:tc>
      </w:tr>
    </w:tbl>
    <w:p>
      <w:pPr>
        <w:pageBreakBefore w:val="0"/>
        <w:tabs>
          <w:tab w:val="left" w:pos="720"/>
          <w:tab w:val="left" w:pos="1140"/>
        </w:tabs>
        <w:kinsoku/>
        <w:wordWrap/>
        <w:overflowPunct/>
        <w:topLinePunct w:val="0"/>
        <w:autoSpaceDE w:val="0"/>
        <w:autoSpaceDN w:val="0"/>
        <w:bidi w:val="0"/>
        <w:adjustRightInd w:val="0"/>
        <w:spacing w:line="440" w:lineRule="exact"/>
        <w:ind w:firstLineChars="0"/>
        <w:textAlignment w:val="auto"/>
        <w:rPr>
          <w:rFonts w:ascii="宋体" w:hAnsi="宋体" w:cs="宋体"/>
          <w:b/>
          <w:color w:val="auto"/>
          <w:highlight w:val="none"/>
          <w:lang w:val="zh-CN"/>
        </w:rPr>
      </w:pPr>
      <w:r>
        <w:rPr>
          <w:rFonts w:hint="eastAsia" w:ascii="宋体" w:hAnsi="宋体" w:cs="宋体"/>
          <w:b/>
          <w:color w:val="auto"/>
          <w:highlight w:val="none"/>
          <w:lang w:val="zh-CN"/>
        </w:rPr>
        <w:t>14.3报价文件</w:t>
      </w:r>
    </w:p>
    <w:tbl>
      <w:tblPr>
        <w:tblStyle w:val="37"/>
        <w:tblW w:w="10017" w:type="dxa"/>
        <w:tblInd w:w="-245" w:type="dxa"/>
        <w:tblLayout w:type="fixed"/>
        <w:tblCellMar>
          <w:top w:w="0" w:type="dxa"/>
          <w:left w:w="0" w:type="dxa"/>
          <w:bottom w:w="0" w:type="dxa"/>
          <w:right w:w="0" w:type="dxa"/>
        </w:tblCellMar>
      </w:tblPr>
      <w:tblGrid>
        <w:gridCol w:w="780"/>
        <w:gridCol w:w="7260"/>
        <w:gridCol w:w="1977"/>
      </w:tblGrid>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top"/>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序号</w:t>
            </w:r>
          </w:p>
        </w:tc>
        <w:tc>
          <w:tcPr>
            <w:tcW w:w="7260" w:type="dxa"/>
            <w:tcBorders>
              <w:top w:val="single" w:color="000000" w:sz="4" w:space="0"/>
              <w:left w:val="single" w:color="000000" w:sz="4" w:space="0"/>
              <w:bottom w:val="single" w:color="000000" w:sz="4" w:space="0"/>
              <w:right w:val="single" w:color="000000" w:sz="4" w:space="0"/>
            </w:tcBorders>
            <w:noWrap w:val="0"/>
            <w:vAlign w:val="top"/>
          </w:tcPr>
          <w:p>
            <w:pPr>
              <w:pStyle w:val="69"/>
              <w:pageBreakBefore w:val="0"/>
              <w:kinsoku/>
              <w:wordWrap/>
              <w:overflowPunct/>
              <w:topLinePunct w:val="0"/>
              <w:bidi w:val="0"/>
              <w:spacing w:line="440" w:lineRule="exact"/>
              <w:ind w:right="1"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内容</w:t>
            </w:r>
          </w:p>
        </w:tc>
        <w:tc>
          <w:tcPr>
            <w:tcW w:w="1977" w:type="dxa"/>
            <w:tcBorders>
              <w:top w:val="single" w:color="000000" w:sz="4" w:space="0"/>
              <w:left w:val="single" w:color="000000" w:sz="4" w:space="0"/>
              <w:bottom w:val="single" w:color="000000" w:sz="4" w:space="0"/>
              <w:right w:val="single" w:color="000000" w:sz="4" w:space="0"/>
            </w:tcBorders>
            <w:noWrap w:val="0"/>
            <w:vAlign w:val="top"/>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备注</w:t>
            </w:r>
          </w:p>
        </w:tc>
      </w:tr>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1</w:t>
            </w:r>
          </w:p>
        </w:tc>
        <w:tc>
          <w:tcPr>
            <w:tcW w:w="726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ascii="宋体" w:hAnsi="宋体" w:cs="宋体"/>
                <w:color w:val="auto"/>
                <w:sz w:val="24"/>
                <w:highlight w:val="none"/>
              </w:rPr>
            </w:pPr>
            <w:r>
              <w:rPr>
                <w:rFonts w:ascii="宋体" w:hAnsi="宋体" w:cs="宋体"/>
                <w:color w:val="auto"/>
                <w:sz w:val="24"/>
                <w:highlight w:val="none"/>
              </w:rPr>
              <w:t>封面</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格式附后</w:t>
            </w:r>
          </w:p>
        </w:tc>
      </w:tr>
      <w:tr>
        <w:tblPrEx>
          <w:tblCellMar>
            <w:top w:w="0" w:type="dxa"/>
            <w:left w:w="0" w:type="dxa"/>
            <w:bottom w:w="0" w:type="dxa"/>
            <w:right w:w="0" w:type="dxa"/>
          </w:tblCellMar>
        </w:tblPrEx>
        <w:trPr>
          <w:trHeight w:val="567"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2</w:t>
            </w:r>
          </w:p>
        </w:tc>
        <w:tc>
          <w:tcPr>
            <w:tcW w:w="726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ascii="宋体" w:hAnsi="宋体" w:cs="宋体"/>
                <w:color w:val="auto"/>
                <w:sz w:val="24"/>
                <w:highlight w:val="none"/>
              </w:rPr>
            </w:pPr>
            <w:r>
              <w:rPr>
                <w:rFonts w:ascii="宋体" w:hAnsi="宋体" w:cs="宋体"/>
                <w:color w:val="auto"/>
                <w:sz w:val="24"/>
                <w:highlight w:val="none"/>
              </w:rPr>
              <w:t>目录</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格式、内容自拟</w:t>
            </w:r>
          </w:p>
        </w:tc>
      </w:tr>
      <w:tr>
        <w:tblPrEx>
          <w:tblCellMar>
            <w:top w:w="0" w:type="dxa"/>
            <w:left w:w="0" w:type="dxa"/>
            <w:bottom w:w="0" w:type="dxa"/>
            <w:right w:w="0" w:type="dxa"/>
          </w:tblCellMar>
        </w:tblPrEx>
        <w:trPr>
          <w:trHeight w:val="58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3</w:t>
            </w:r>
          </w:p>
        </w:tc>
        <w:tc>
          <w:tcPr>
            <w:tcW w:w="726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ascii="宋体" w:hAnsi="宋体" w:cs="宋体"/>
                <w:color w:val="auto"/>
                <w:sz w:val="24"/>
                <w:highlight w:val="none"/>
              </w:rPr>
            </w:pPr>
            <w:r>
              <w:rPr>
                <w:rFonts w:ascii="宋体" w:hAnsi="宋体" w:cs="宋体"/>
                <w:color w:val="auto"/>
                <w:sz w:val="24"/>
                <w:highlight w:val="none"/>
              </w:rPr>
              <w:t>开标一览表</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格式附后</w:t>
            </w:r>
          </w:p>
        </w:tc>
      </w:tr>
      <w:tr>
        <w:tblPrEx>
          <w:tblCellMar>
            <w:top w:w="0" w:type="dxa"/>
            <w:left w:w="0" w:type="dxa"/>
            <w:bottom w:w="0" w:type="dxa"/>
            <w:right w:w="0" w:type="dxa"/>
          </w:tblCellMar>
        </w:tblPrEx>
        <w:trPr>
          <w:trHeight w:val="567"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highlight w:val="none"/>
              </w:rPr>
              <w:t>4</w:t>
            </w:r>
          </w:p>
        </w:tc>
        <w:tc>
          <w:tcPr>
            <w:tcW w:w="726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ascii="宋体" w:hAnsi="宋体" w:cs="宋体"/>
                <w:color w:val="auto"/>
                <w:sz w:val="24"/>
                <w:highlight w:val="none"/>
              </w:rPr>
            </w:pPr>
            <w:r>
              <w:rPr>
                <w:rFonts w:hint="eastAsia" w:ascii="宋体" w:hAnsi="宋体" w:cs="宋体"/>
                <w:color w:val="auto"/>
                <w:sz w:val="24"/>
                <w:szCs w:val="20"/>
                <w:highlight w:val="none"/>
              </w:rPr>
              <w:t>投标报价明细表</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ascii="宋体" w:hAnsi="宋体" w:cs="宋体"/>
                <w:color w:val="auto"/>
                <w:sz w:val="24"/>
                <w:highlight w:val="none"/>
              </w:rPr>
            </w:pPr>
            <w:r>
              <w:rPr>
                <w:rFonts w:ascii="宋体" w:hAnsi="宋体" w:cs="宋体"/>
                <w:color w:val="auto"/>
                <w:sz w:val="24"/>
                <w:highlight w:val="none"/>
              </w:rPr>
              <w:t>格式附后</w:t>
            </w:r>
          </w:p>
        </w:tc>
      </w:tr>
      <w:tr>
        <w:tblPrEx>
          <w:tblCellMar>
            <w:top w:w="0" w:type="dxa"/>
            <w:left w:w="0" w:type="dxa"/>
            <w:bottom w:w="0" w:type="dxa"/>
            <w:right w:w="0" w:type="dxa"/>
          </w:tblCellMar>
        </w:tblPrEx>
        <w:trPr>
          <w:trHeight w:val="880"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hint="eastAsia" w:ascii="宋体" w:hAnsi="宋体" w:cs="宋体"/>
                <w:color w:val="auto"/>
                <w:kern w:val="2"/>
                <w:sz w:val="24"/>
                <w:szCs w:val="24"/>
                <w:highlight w:val="none"/>
                <w:lang w:val="en-US" w:eastAsia="zh-CN" w:bidi="ar-SA"/>
              </w:rPr>
            </w:pPr>
            <w:r>
              <w:rPr>
                <w:rFonts w:ascii="宋体" w:hAnsi="宋体" w:cs="宋体"/>
                <w:color w:val="auto"/>
                <w:sz w:val="24"/>
                <w:highlight w:val="none"/>
              </w:rPr>
              <w:t>5</w:t>
            </w:r>
          </w:p>
        </w:tc>
        <w:tc>
          <w:tcPr>
            <w:tcW w:w="726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中小</w:t>
            </w:r>
            <w:r>
              <w:rPr>
                <w:rFonts w:ascii="宋体" w:hAnsi="宋体" w:cs="宋体"/>
                <w:color w:val="auto"/>
                <w:sz w:val="24"/>
                <w:highlight w:val="none"/>
              </w:rPr>
              <w:t>企业声明函</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left"/>
              <w:textAlignment w:val="auto"/>
              <w:rPr>
                <w:rFonts w:ascii="宋体" w:hAnsi="宋体" w:cs="宋体"/>
                <w:color w:val="auto"/>
                <w:sz w:val="24"/>
                <w:highlight w:val="none"/>
              </w:rPr>
            </w:pPr>
            <w:r>
              <w:rPr>
                <w:rFonts w:ascii="宋体" w:hAnsi="宋体" w:cs="宋体"/>
                <w:color w:val="auto"/>
                <w:sz w:val="24"/>
                <w:highlight w:val="none"/>
              </w:rPr>
              <w:t>格式附后（可选择性提供）</w:t>
            </w:r>
          </w:p>
        </w:tc>
      </w:tr>
      <w:tr>
        <w:tblPrEx>
          <w:tblCellMar>
            <w:top w:w="0" w:type="dxa"/>
            <w:left w:w="0" w:type="dxa"/>
            <w:bottom w:w="0" w:type="dxa"/>
            <w:right w:w="0" w:type="dxa"/>
          </w:tblCellMar>
        </w:tblPrEx>
        <w:trPr>
          <w:trHeight w:val="95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7260" w:type="dxa"/>
            <w:tcBorders>
              <w:top w:val="single" w:color="000000" w:sz="4" w:space="0"/>
              <w:left w:val="single" w:color="000000" w:sz="4" w:space="0"/>
              <w:bottom w:val="single" w:color="000000" w:sz="4" w:space="0"/>
              <w:right w:val="single" w:color="000000" w:sz="4" w:space="0"/>
            </w:tcBorders>
            <w:noWrap w:val="0"/>
            <w:vAlign w:val="center"/>
          </w:tcPr>
          <w:p>
            <w:pPr>
              <w:pStyle w:val="69"/>
              <w:pageBreakBefore w:val="0"/>
              <w:kinsoku/>
              <w:wordWrap/>
              <w:overflowPunct/>
              <w:topLinePunct w:val="0"/>
              <w:bidi w:val="0"/>
              <w:spacing w:line="440" w:lineRule="exact"/>
              <w:ind w:firstLine="0" w:firstLineChars="0"/>
              <w:textAlignment w:val="auto"/>
              <w:rPr>
                <w:rFonts w:ascii="宋体" w:hAnsi="宋体" w:cs="宋体"/>
                <w:color w:val="auto"/>
                <w:sz w:val="24"/>
                <w:highlight w:val="none"/>
              </w:rPr>
            </w:pPr>
            <w:r>
              <w:rPr>
                <w:rFonts w:ascii="宋体" w:hAnsi="宋体" w:cs="宋体"/>
                <w:color w:val="auto"/>
                <w:sz w:val="24"/>
                <w:highlight w:val="none"/>
              </w:rPr>
              <w:t>投标人认为需要提供的其它文件和资料</w:t>
            </w:r>
          </w:p>
        </w:tc>
        <w:tc>
          <w:tcPr>
            <w:tcW w:w="1977" w:type="dxa"/>
            <w:tcBorders>
              <w:top w:val="single" w:color="000000" w:sz="4" w:space="0"/>
              <w:left w:val="single" w:color="000000" w:sz="4" w:space="0"/>
              <w:bottom w:val="single" w:color="000000" w:sz="4" w:space="0"/>
              <w:right w:val="single" w:color="000000" w:sz="4" w:space="0"/>
            </w:tcBorders>
            <w:noWrap w:val="0"/>
            <w:vAlign w:val="top"/>
          </w:tcPr>
          <w:p>
            <w:pPr>
              <w:pStyle w:val="69"/>
              <w:pageBreakBefore w:val="0"/>
              <w:kinsoku/>
              <w:wordWrap/>
              <w:overflowPunct/>
              <w:topLinePunct w:val="0"/>
              <w:bidi w:val="0"/>
              <w:spacing w:line="440" w:lineRule="exact"/>
              <w:ind w:firstLine="0" w:firstLineChars="0"/>
              <w:textAlignment w:val="auto"/>
              <w:rPr>
                <w:rFonts w:ascii="宋体" w:hAnsi="宋体" w:cs="宋体"/>
                <w:color w:val="auto"/>
                <w:sz w:val="24"/>
                <w:highlight w:val="none"/>
              </w:rPr>
            </w:pPr>
            <w:r>
              <w:rPr>
                <w:rFonts w:ascii="宋体" w:hAnsi="宋体" w:cs="宋体"/>
                <w:color w:val="auto"/>
                <w:sz w:val="24"/>
                <w:highlight w:val="none"/>
              </w:rPr>
              <w:t>内容自拟（可选择性提供）</w:t>
            </w:r>
          </w:p>
        </w:tc>
      </w:tr>
    </w:tbl>
    <w:p>
      <w:pPr>
        <w:pageBreakBefore w:val="0"/>
        <w:kinsoku/>
        <w:wordWrap/>
        <w:overflowPunct/>
        <w:topLinePunct w:val="0"/>
        <w:bidi w:val="0"/>
        <w:spacing w:line="440" w:lineRule="exact"/>
        <w:ind w:firstLine="480"/>
        <w:textAlignment w:val="auto"/>
        <w:rPr>
          <w:color w:val="auto"/>
          <w:highlight w:val="none"/>
          <w:lang w:val="zh-CN"/>
        </w:rPr>
      </w:pPr>
      <w:r>
        <w:rPr>
          <w:rFonts w:hint="eastAsia"/>
          <w:color w:val="auto"/>
          <w:highlight w:val="none"/>
          <w:lang w:val="zh-CN"/>
        </w:rPr>
        <w:t>供应商提供以上资料复印件（加盖单位公章）。供应商应保证以上资料真实有效，必要时须提供原件进行核验，如发现弄虚作假，将取消投标资格，已中标的取消中标资格，并按有关规定处罚。</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bookmarkStart w:id="116" w:name="_Toc91899887"/>
      <w:r>
        <w:rPr>
          <w:rFonts w:hint="eastAsia"/>
          <w:color w:val="auto"/>
          <w:highlight w:val="none"/>
        </w:rPr>
        <w:t>15. 投标保证金</w:t>
      </w:r>
    </w:p>
    <w:p>
      <w:pPr>
        <w:pStyle w:val="21"/>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无。</w:t>
      </w:r>
    </w:p>
    <w:bookmarkEnd w:id="116"/>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16. 投标文件编制</w:t>
      </w:r>
    </w:p>
    <w:p>
      <w:pPr>
        <w:pageBreakBefore w:val="0"/>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kern w:val="0"/>
          <w:highlight w:val="none"/>
        </w:rPr>
        <w:t>16.1</w:t>
      </w:r>
      <w:r>
        <w:rPr>
          <w:rFonts w:hint="eastAsia" w:ascii="宋体" w:hAnsi="宋体" w:cs="宋体"/>
          <w:color w:val="auto"/>
          <w:highlight w:val="none"/>
        </w:rPr>
        <w:t>本项目通过“政府采购云平台（www.zcygov.cn）”实行在线投标响应（电子投标）。供应商应通过“政采云电子交易客户端”，并按照本采购文件和“政府采购云平台”的要求编制并加密投标文件。</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16.2供应商应当按照本章节 “投标文件组成”规定的内容及顺序在“政采云电子交易客户端”编制投标文件。其中《资格文件》和《资信、技术文件》中不得出现本项目投标报价，如因供应商原因提前泄露投标报价，是供应商的责任。</w:t>
      </w:r>
    </w:p>
    <w:p>
      <w:pPr>
        <w:pageBreakBefore w:val="0"/>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16.3本采购文件中有提供格式的，供应商须参照格式进行编制（格式中要求提供相关证明材料的还需后附相关证明材料），并按格式要求在指定位置根据要求进行签章，未提供格式的，请各供应商自行拟定格式，并加盖单位公章并由法定代表人或其授权代表签署（签字或盖章），否则视为未提供。</w:t>
      </w:r>
    </w:p>
    <w:p>
      <w:pPr>
        <w:pageBreakBefore w:val="0"/>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16.4 《投标文件》内容不完整、编排混乱导致《投标文件》被误读、漏读或者查找不到相关内容的，是供应商的责任。</w:t>
      </w:r>
    </w:p>
    <w:p>
      <w:pPr>
        <w:pageBreakBefore w:val="0"/>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16.5 《投标文件》因字迹潦草或表达不清所引起的后果由供应商负责。</w:t>
      </w:r>
    </w:p>
    <w:p>
      <w:pPr>
        <w:pageBreakBefore w:val="0"/>
        <w:kinsoku/>
        <w:wordWrap/>
        <w:overflowPunct/>
        <w:topLinePunct w:val="0"/>
        <w:bidi w:val="0"/>
        <w:spacing w:line="440" w:lineRule="exact"/>
        <w:ind w:firstLine="480"/>
        <w:textAlignment w:val="auto"/>
        <w:rPr>
          <w:color w:val="auto"/>
          <w:highlight w:val="none"/>
        </w:rPr>
      </w:pPr>
      <w:r>
        <w:rPr>
          <w:rFonts w:hint="eastAsia" w:ascii="宋体" w:hAnsi="宋体" w:cs="宋体"/>
          <w:color w:val="auto"/>
          <w:highlight w:val="none"/>
        </w:rPr>
        <w:t>16.6供应商没有按照本采购文件内 “投标文件组成”要求提供全部资料，或者没有</w:t>
      </w:r>
      <w:r>
        <w:rPr>
          <w:rFonts w:hint="eastAsia"/>
          <w:color w:val="auto"/>
          <w:highlight w:val="none"/>
        </w:rPr>
        <w:t>仔细阅读采购文件，或者没有对采购文件在各方面的要求作出实质性响应是供应商的风险，由此造成的一切后果由供应商自行承担。</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17.投标文件的签章</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17.1 《投标文件》的签章：</w:t>
      </w:r>
      <w:r>
        <w:rPr>
          <w:rFonts w:hint="eastAsia" w:ascii="宋体" w:hAnsi="宋体" w:cs="宋体"/>
          <w:color w:val="auto"/>
          <w:highlight w:val="none"/>
        </w:rPr>
        <w:t>见《前附表》。</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17.2 《投标文件》应由供应商法定代表人或其授权代表签字（或盖章），并时加盖供应商公章。</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17.3 参与在线投标时如遇平台技术问题详询400-881-7190。</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18.投标文件的形式</w:t>
      </w:r>
    </w:p>
    <w:p>
      <w:pPr>
        <w:pageBreakBefore w:val="0"/>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18.1投标文件的形式：见《前附表》。</w:t>
      </w:r>
    </w:p>
    <w:p>
      <w:pPr>
        <w:pageBreakBefore w:val="0"/>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18.2“电子加密投标文件”：“电子加密投标文件”是指通过“政采云电子交易客户端”完成投标文件编制后生成并加密的数据电文形式的投标文件。</w:t>
      </w:r>
    </w:p>
    <w:p>
      <w:pPr>
        <w:pageBreakBefore w:val="0"/>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18.3“备份投标文件”：“备份投标文件”是指与“电子加密投标文件”同时生成的数据电文形式的电子文件（备份标书），其他方式编制的“备份投标文件”视为无效的“备份投标文件”。</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19．投标文件的份数</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highlight w:val="none"/>
        </w:rPr>
        <w:t>19.1 投标文件的份数：见《前附表》。</w:t>
      </w:r>
    </w:p>
    <w:p>
      <w:pPr>
        <w:pStyle w:val="3"/>
        <w:pageBreakBefore w:val="0"/>
        <w:kinsoku/>
        <w:wordWrap/>
        <w:overflowPunct/>
        <w:topLinePunct w:val="0"/>
        <w:bidi w:val="0"/>
        <w:spacing w:beforeLines="0" w:afterLines="0" w:line="440" w:lineRule="exact"/>
        <w:jc w:val="center"/>
        <w:textAlignment w:val="auto"/>
        <w:rPr>
          <w:color w:val="auto"/>
          <w:sz w:val="32"/>
          <w:highlight w:val="none"/>
        </w:rPr>
      </w:pPr>
      <w:bookmarkStart w:id="117" w:name="_Toc33718206"/>
      <w:bookmarkStart w:id="118" w:name="_Toc86216991"/>
      <w:bookmarkStart w:id="119" w:name="_Toc91899892"/>
      <w:r>
        <w:rPr>
          <w:rFonts w:hint="eastAsia"/>
          <w:color w:val="auto"/>
          <w:sz w:val="32"/>
          <w:highlight w:val="none"/>
        </w:rPr>
        <w:t>四、投标文件的递交</w:t>
      </w:r>
      <w:bookmarkEnd w:id="117"/>
      <w:bookmarkEnd w:id="118"/>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 xml:space="preserve">20. </w:t>
      </w:r>
      <w:r>
        <w:rPr>
          <w:rFonts w:hint="eastAsia"/>
          <w:color w:val="auto"/>
          <w:highlight w:val="none"/>
          <w:lang w:bidi="ar"/>
        </w:rPr>
        <w:t>投标文件的上传、递交</w:t>
      </w:r>
    </w:p>
    <w:p>
      <w:pPr>
        <w:pageBreakBefore w:val="0"/>
        <w:kinsoku/>
        <w:wordWrap/>
        <w:overflowPunct/>
        <w:topLinePunct w:val="0"/>
        <w:bidi w:val="0"/>
        <w:spacing w:line="440" w:lineRule="exact"/>
        <w:ind w:firstLine="480"/>
        <w:textAlignment w:val="auto"/>
        <w:rPr>
          <w:color w:val="auto"/>
          <w:highlight w:val="none"/>
        </w:rPr>
      </w:pPr>
      <w:r>
        <w:rPr>
          <w:rFonts w:hint="eastAsia" w:ascii="宋体" w:hAnsi="宋体" w:cs="宋体"/>
          <w:color w:val="auto"/>
          <w:kern w:val="0"/>
          <w:highlight w:val="none"/>
        </w:rPr>
        <w:t>20.1 “投标</w:t>
      </w:r>
      <w:r>
        <w:rPr>
          <w:rFonts w:hint="eastAsia"/>
          <w:color w:val="auto"/>
          <w:highlight w:val="none"/>
        </w:rPr>
        <w:t>文件”的上传、递交：见《前附表》。</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21.“电子加密投标文件”解密和异常情况处理</w:t>
      </w:r>
    </w:p>
    <w:p>
      <w:pPr>
        <w:pageBreakBefore w:val="0"/>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kern w:val="0"/>
          <w:highlight w:val="none"/>
        </w:rPr>
        <w:t>21.1“电子加密投标文件”解密：</w:t>
      </w:r>
      <w:r>
        <w:rPr>
          <w:rFonts w:hint="eastAsia" w:ascii="宋体" w:hAnsi="宋体" w:cs="宋体"/>
          <w:color w:val="auto"/>
          <w:highlight w:val="none"/>
        </w:rPr>
        <w:t>见《前附表》。</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22.投标文件的补充、修改或撤回</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22.1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22.2投标截止时间后，供应商不得撤回、修改《投标文件》。</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23.投标文件的备选方案</w:t>
      </w:r>
    </w:p>
    <w:p>
      <w:pPr>
        <w:pageBreakBefore w:val="0"/>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23.1供应商不得递交任何的</w:t>
      </w:r>
      <w:r>
        <w:rPr>
          <w:rFonts w:hint="eastAsia" w:ascii="宋体" w:hAnsi="宋体" w:cs="宋体"/>
          <w:color w:val="auto"/>
          <w:kern w:val="0"/>
          <w:highlight w:val="none"/>
        </w:rPr>
        <w:t>投标备选（替代）方案</w:t>
      </w:r>
      <w:r>
        <w:rPr>
          <w:rFonts w:hint="eastAsia" w:ascii="宋体" w:hAnsi="宋体" w:cs="宋体"/>
          <w:color w:val="auto"/>
          <w:highlight w:val="none"/>
        </w:rPr>
        <w:t>，否则其投标文件将作无效标处理。与“电子加密投标文件”同时生成的“备份投标文件”不是投标备选（替代）方案。</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24. 投标截止期</w:t>
      </w:r>
    </w:p>
    <w:p>
      <w:pPr>
        <w:pStyle w:val="86"/>
        <w:pageBreakBefore w:val="0"/>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24.1供应商应按前附表第</w:t>
      </w:r>
      <w:r>
        <w:rPr>
          <w:rFonts w:hint="eastAsia" w:ascii="宋体" w:hAnsi="宋体" w:cs="宋体"/>
          <w:color w:val="auto"/>
          <w:highlight w:val="none"/>
          <w:lang w:val="en-US" w:eastAsia="zh-CN"/>
        </w:rPr>
        <w:t>23、24</w:t>
      </w:r>
      <w:r>
        <w:rPr>
          <w:rFonts w:hint="eastAsia" w:ascii="宋体" w:hAnsi="宋体" w:cs="宋体"/>
          <w:color w:val="auto"/>
          <w:highlight w:val="none"/>
        </w:rPr>
        <w:t>两项规定的时间、地点将投标文件递交给采购人，采购人将拒绝接受逾期送达的投标文件。</w:t>
      </w:r>
    </w:p>
    <w:p>
      <w:pPr>
        <w:pStyle w:val="86"/>
        <w:pageBreakBefore w:val="0"/>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24.2采购人可以按本须知规定以补充通知的方式，酌情延长递交投标文件的截止日期。在上述情况下，采购人与供应商以前在投标截止期方面的全部权利、责任和义务，将适用于延长至新的投标截止期。</w:t>
      </w:r>
    </w:p>
    <w:bookmarkEnd w:id="119"/>
    <w:p>
      <w:pPr>
        <w:pStyle w:val="3"/>
        <w:pageBreakBefore w:val="0"/>
        <w:kinsoku/>
        <w:wordWrap/>
        <w:overflowPunct/>
        <w:topLinePunct w:val="0"/>
        <w:bidi w:val="0"/>
        <w:spacing w:beforeLines="0" w:afterLines="0" w:line="440" w:lineRule="exact"/>
        <w:jc w:val="center"/>
        <w:textAlignment w:val="auto"/>
        <w:rPr>
          <w:color w:val="auto"/>
          <w:sz w:val="32"/>
          <w:highlight w:val="none"/>
        </w:rPr>
      </w:pPr>
      <w:bookmarkStart w:id="120" w:name="_Toc91899897"/>
      <w:bookmarkStart w:id="121" w:name="_Toc33718207"/>
      <w:r>
        <w:rPr>
          <w:rFonts w:hint="eastAsia"/>
          <w:color w:val="auto"/>
          <w:sz w:val="32"/>
          <w:highlight w:val="none"/>
        </w:rPr>
        <w:t>五、开标</w:t>
      </w:r>
      <w:bookmarkEnd w:id="120"/>
      <w:bookmarkEnd w:id="121"/>
    </w:p>
    <w:p>
      <w:pPr>
        <w:pStyle w:val="4"/>
        <w:pageBreakBefore w:val="0"/>
        <w:kinsoku/>
        <w:wordWrap/>
        <w:overflowPunct/>
        <w:topLinePunct w:val="0"/>
        <w:bidi w:val="0"/>
        <w:spacing w:line="440" w:lineRule="exact"/>
        <w:ind w:firstLine="480" w:firstLineChars="200"/>
        <w:jc w:val="both"/>
        <w:textAlignment w:val="auto"/>
        <w:rPr>
          <w:color w:val="auto"/>
          <w:highlight w:val="none"/>
          <w:lang w:val="zh-CN"/>
        </w:rPr>
      </w:pPr>
      <w:bookmarkStart w:id="122" w:name="_Hlt75236101"/>
      <w:bookmarkEnd w:id="122"/>
      <w:bookmarkStart w:id="123" w:name="_Toc91899902"/>
      <w:r>
        <w:rPr>
          <w:rFonts w:hint="eastAsia"/>
          <w:color w:val="auto"/>
          <w:highlight w:val="none"/>
        </w:rPr>
        <w:t>25</w:t>
      </w:r>
      <w:r>
        <w:rPr>
          <w:rFonts w:hint="eastAsia"/>
          <w:color w:val="auto"/>
          <w:highlight w:val="none"/>
          <w:lang w:val="zh-CN"/>
        </w:rPr>
        <w:t>.开标</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（一）开标形式</w:t>
      </w:r>
    </w:p>
    <w:p>
      <w:pPr>
        <w:pageBreakBefore w:val="0"/>
        <w:kinsoku/>
        <w:wordWrap/>
        <w:overflowPunct/>
        <w:topLinePunct w:val="0"/>
        <w:bidi w:val="0"/>
        <w:spacing w:line="440" w:lineRule="exact"/>
        <w:ind w:firstLine="482"/>
        <w:textAlignment w:val="auto"/>
        <w:rPr>
          <w:color w:val="auto"/>
          <w:highlight w:val="none"/>
        </w:rPr>
      </w:pPr>
      <w:r>
        <w:rPr>
          <w:rFonts w:hint="eastAsia" w:ascii="宋体" w:hAnsi="宋体" w:cs="宋体"/>
          <w:b/>
          <w:color w:val="auto"/>
          <w:highlight w:val="none"/>
        </w:rPr>
        <w:t xml:space="preserve">1.1 </w:t>
      </w:r>
      <w:r>
        <w:rPr>
          <w:rFonts w:hint="eastAsia"/>
          <w:color w:val="auto"/>
          <w:highlight w:val="none"/>
        </w:rPr>
        <w:t>采购组织机构将按照采购文件规定的时间通过“政府采购云平台”组织开标、开启投标文件，所有供应商均应当准时在线参加。</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（二） 开标准备</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2.1开标的准备工作由采购组织机构负责落实；</w:t>
      </w:r>
    </w:p>
    <w:p>
      <w:pPr>
        <w:pageBreakBefore w:val="0"/>
        <w:kinsoku/>
        <w:wordWrap/>
        <w:overflowPunct/>
        <w:topLinePunct w:val="0"/>
        <w:bidi w:val="0"/>
        <w:spacing w:line="440" w:lineRule="exact"/>
        <w:ind w:firstLine="480"/>
        <w:textAlignment w:val="auto"/>
        <w:rPr>
          <w:color w:val="auto"/>
          <w:highlight w:val="none"/>
        </w:rPr>
      </w:pPr>
      <w:r>
        <w:rPr>
          <w:rFonts w:hint="eastAsia" w:ascii="宋体" w:hAnsi="宋体" w:cs="宋体"/>
          <w:color w:val="auto"/>
          <w:kern w:val="0"/>
          <w:highlight w:val="none"/>
        </w:rPr>
        <w:t>2.2</w:t>
      </w:r>
      <w:r>
        <w:rPr>
          <w:rFonts w:hint="eastAsia"/>
          <w:color w:val="auto"/>
          <w:highlight w:val="none"/>
        </w:rPr>
        <w:t>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（三）开标流程（两阶段）</w:t>
      </w:r>
    </w:p>
    <w:p>
      <w:pPr>
        <w:pStyle w:val="5"/>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3.1开标第一阶段</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ageBreakBefore w:val="0"/>
        <w:kinsoku/>
        <w:wordWrap/>
        <w:overflowPunct/>
        <w:topLinePunct w:val="0"/>
        <w:bidi w:val="0"/>
        <w:spacing w:line="440" w:lineRule="exact"/>
        <w:ind w:left="480" w:leftChars="200" w:firstLine="0" w:firstLineChars="0"/>
        <w:textAlignment w:val="auto"/>
        <w:rPr>
          <w:rFonts w:hint="eastAsia"/>
          <w:color w:val="auto"/>
          <w:highlight w:val="none"/>
        </w:rPr>
      </w:pPr>
      <w:r>
        <w:rPr>
          <w:rFonts w:hint="eastAsia" w:ascii="宋体" w:hAnsi="宋体" w:cs="宋体"/>
          <w:color w:val="auto"/>
          <w:kern w:val="0"/>
          <w:highlight w:val="none"/>
        </w:rPr>
        <w:t>（2）</w:t>
      </w:r>
      <w:r>
        <w:rPr>
          <w:color w:val="auto"/>
          <w:highlight w:val="none"/>
        </w:rPr>
        <w:t>投标文件解密结束，各投标人组织签署《政府采购活动现场确认声明书》</w:t>
      </w:r>
      <w:r>
        <w:rPr>
          <w:rFonts w:hint="eastAsia"/>
          <w:color w:val="auto"/>
          <w:highlight w:val="none"/>
        </w:rPr>
        <w:t>；</w:t>
      </w:r>
    </w:p>
    <w:p>
      <w:pPr>
        <w:pageBreakBefore w:val="0"/>
        <w:kinsoku/>
        <w:wordWrap/>
        <w:overflowPunct/>
        <w:topLinePunct w:val="0"/>
        <w:bidi w:val="0"/>
        <w:spacing w:line="440" w:lineRule="exact"/>
        <w:ind w:left="480" w:leftChars="200" w:firstLine="0" w:firstLineChars="0"/>
        <w:textAlignment w:val="auto"/>
        <w:rPr>
          <w:rFonts w:ascii="宋体" w:hAnsi="宋体" w:cs="宋体"/>
          <w:color w:val="auto"/>
          <w:kern w:val="0"/>
          <w:highlight w:val="none"/>
        </w:rPr>
      </w:pPr>
      <w:r>
        <w:rPr>
          <w:rFonts w:hint="eastAsia" w:ascii="宋体" w:hAnsi="宋体" w:cs="宋体"/>
          <w:color w:val="auto"/>
          <w:kern w:val="0"/>
          <w:highlight w:val="none"/>
        </w:rPr>
        <w:t>（3）开启投标文件，进入资格审查；</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（4）开启资格审查通过的供应商的商务技术文件进入符合性审查、商务技术评审；</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（5）第一阶段开标结束。</w:t>
      </w:r>
    </w:p>
    <w:p>
      <w:pPr>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备注：开标大会的第一阶段结束后，采购人或采购代理机构将对依法对供应商的资格进行审查，资格审查结束后进入符合性审查和资信技术的评审工作。</w:t>
      </w:r>
    </w:p>
    <w:p>
      <w:pPr>
        <w:pStyle w:val="5"/>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3.2开标大会第二阶段</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1）符合性审查、资信技术评审结束后，举行开标大会第二阶段会议。首先通过发送邮件形式公布符合性审查、资信技术评审无效供应商名称及理由；公布经资信技术评审后有效供应商的名单，同时公布其资信技术得分情况。</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2）开启符合性审查、资信技术评审有效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（3）评审结束后，通过发送邮件形式公布中标（成交）候选供应商名单，及采购人最终确定中标或成交供应商名单的时间和公告方式等。</w:t>
      </w:r>
    </w:p>
    <w:p>
      <w:pPr>
        <w:pageBreakBefore w:val="0"/>
        <w:kinsoku/>
        <w:wordWrap/>
        <w:overflowPunct/>
        <w:topLinePunct w:val="0"/>
        <w:bidi w:val="0"/>
        <w:spacing w:line="440" w:lineRule="exact"/>
        <w:ind w:firstLine="480"/>
        <w:textAlignment w:val="auto"/>
        <w:rPr>
          <w:rFonts w:ascii="宋体" w:hAnsi="宋体" w:cs="宋体"/>
          <w:b/>
          <w:color w:val="auto"/>
          <w:kern w:val="0"/>
          <w:highlight w:val="none"/>
        </w:rPr>
      </w:pPr>
      <w:r>
        <w:rPr>
          <w:rFonts w:hint="eastAsia"/>
          <w:color w:val="auto"/>
          <w:highlight w:val="none"/>
        </w:rPr>
        <w:t>特</w:t>
      </w:r>
      <w:r>
        <w:rPr>
          <w:rFonts w:hint="eastAsia" w:ascii="宋体" w:hAnsi="宋体" w:cs="宋体"/>
          <w:bCs/>
          <w:color w:val="auto"/>
          <w:kern w:val="0"/>
          <w:highlight w:val="none"/>
        </w:rPr>
        <w:t>别说明：如遇“政府采购云平台”电子化开标或评审程序调整的，按调整后程序执行。</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bookmarkStart w:id="124" w:name="_Toc24550037"/>
      <w:bookmarkStart w:id="125" w:name="_Toc33194393"/>
      <w:r>
        <w:rPr>
          <w:rFonts w:hint="eastAsia"/>
          <w:color w:val="auto"/>
          <w:highlight w:val="none"/>
        </w:rPr>
        <w:t>（四）供应商资格审查</w:t>
      </w:r>
      <w:bookmarkEnd w:id="124"/>
      <w:bookmarkEnd w:id="125"/>
    </w:p>
    <w:p>
      <w:pPr>
        <w:pageBreakBefore w:val="0"/>
        <w:kinsoku/>
        <w:wordWrap/>
        <w:overflowPunct/>
        <w:topLinePunct w:val="0"/>
        <w:bidi w:val="0"/>
        <w:spacing w:line="440" w:lineRule="exact"/>
        <w:ind w:firstLine="480"/>
        <w:textAlignment w:val="auto"/>
        <w:rPr>
          <w:rFonts w:ascii="宋体" w:hAnsi="宋体" w:cs="宋体"/>
          <w:bCs/>
          <w:color w:val="auto"/>
          <w:highlight w:val="none"/>
        </w:rPr>
      </w:pPr>
      <w:r>
        <w:rPr>
          <w:rFonts w:hint="eastAsia" w:ascii="宋体" w:hAnsi="宋体" w:cs="宋体"/>
          <w:bCs/>
          <w:color w:val="auto"/>
          <w:highlight w:val="none"/>
        </w:rPr>
        <w:t>4.1开标大会第一阶段结束后，采购人或采购代理机构首先依法对各供应商的资格进行审查，审查各供应商的资格是否满足采购文件的要求。采购人或采购代理机构对供应商所提交的资格证明材料仅负审核的责任。如发现供应商所提交的资格证明材料不合法或与事实不符，采购人可取消其中标资格并追究供应商的法律责任。</w:t>
      </w:r>
    </w:p>
    <w:p>
      <w:pPr>
        <w:pageBreakBefore w:val="0"/>
        <w:kinsoku/>
        <w:wordWrap/>
        <w:overflowPunct/>
        <w:topLinePunct w:val="0"/>
        <w:bidi w:val="0"/>
        <w:spacing w:line="440" w:lineRule="exact"/>
        <w:ind w:firstLine="480"/>
        <w:textAlignment w:val="auto"/>
        <w:rPr>
          <w:rFonts w:ascii="宋体" w:hAnsi="宋体" w:cs="宋体"/>
          <w:bCs/>
          <w:color w:val="auto"/>
          <w:kern w:val="0"/>
          <w:highlight w:val="none"/>
        </w:rPr>
      </w:pPr>
      <w:r>
        <w:rPr>
          <w:rFonts w:hint="eastAsia" w:ascii="宋体" w:hAnsi="宋体" w:cs="宋体"/>
          <w:bCs/>
          <w:color w:val="auto"/>
          <w:highlight w:val="none"/>
        </w:rPr>
        <w:t>4.2供应商提交的资格证明材料无法证明其符合采购文件规定的“供应商资格要求”的，采购人或采购代理机构</w:t>
      </w:r>
      <w:r>
        <w:rPr>
          <w:rFonts w:hint="eastAsia" w:ascii="宋体" w:hAnsi="宋体" w:cs="宋体"/>
          <w:bCs/>
          <w:color w:val="auto"/>
          <w:kern w:val="0"/>
          <w:highlight w:val="none"/>
        </w:rPr>
        <w:t>将对其作资格审查不通过处理（无效投标），并不再将其投标提交评标委员会进行后续评审。</w:t>
      </w:r>
    </w:p>
    <w:p>
      <w:pPr>
        <w:pageBreakBefore w:val="0"/>
        <w:kinsoku/>
        <w:wordWrap/>
        <w:overflowPunct/>
        <w:topLinePunct w:val="0"/>
        <w:bidi w:val="0"/>
        <w:spacing w:line="440" w:lineRule="exact"/>
        <w:ind w:firstLine="480"/>
        <w:textAlignment w:val="auto"/>
        <w:rPr>
          <w:rFonts w:ascii="宋体" w:hAnsi="宋体" w:cs="宋体"/>
          <w:bCs/>
          <w:color w:val="auto"/>
          <w:kern w:val="0"/>
          <w:highlight w:val="none"/>
        </w:rPr>
      </w:pPr>
      <w:r>
        <w:rPr>
          <w:rFonts w:hint="eastAsia" w:ascii="宋体" w:hAnsi="宋体" w:cs="宋体"/>
          <w:bCs/>
          <w:color w:val="auto"/>
          <w:highlight w:val="none"/>
        </w:rPr>
        <w:t>4</w:t>
      </w:r>
      <w:r>
        <w:rPr>
          <w:rFonts w:hint="eastAsia" w:ascii="宋体" w:hAnsi="宋体" w:cs="宋体"/>
          <w:bCs/>
          <w:color w:val="auto"/>
          <w:kern w:val="0"/>
          <w:highlight w:val="none"/>
        </w:rPr>
        <w:t>.3单位负责人为同一人或者存在直接控股、管理关系的不同供应商参加同一合同项下的政府采购活动的，相关供应商均作资格无效处理。</w:t>
      </w:r>
    </w:p>
    <w:p>
      <w:pPr>
        <w:pStyle w:val="3"/>
        <w:pageBreakBefore w:val="0"/>
        <w:kinsoku/>
        <w:wordWrap/>
        <w:overflowPunct/>
        <w:topLinePunct w:val="0"/>
        <w:bidi w:val="0"/>
        <w:spacing w:beforeLines="0" w:afterLines="0" w:line="440" w:lineRule="exact"/>
        <w:jc w:val="center"/>
        <w:textAlignment w:val="auto"/>
        <w:rPr>
          <w:color w:val="auto"/>
          <w:sz w:val="32"/>
          <w:highlight w:val="none"/>
        </w:rPr>
      </w:pPr>
      <w:bookmarkStart w:id="126" w:name="_Toc33718208"/>
      <w:r>
        <w:rPr>
          <w:rFonts w:hint="eastAsia"/>
          <w:color w:val="auto"/>
          <w:sz w:val="32"/>
          <w:highlight w:val="none"/>
        </w:rPr>
        <w:t>六、评标</w:t>
      </w:r>
      <w:bookmarkEnd w:id="123"/>
      <w:bookmarkEnd w:id="126"/>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lang w:val="zh-CN"/>
        </w:rPr>
        <w:t>2</w:t>
      </w:r>
      <w:r>
        <w:rPr>
          <w:rFonts w:hint="eastAsia"/>
          <w:color w:val="auto"/>
          <w:highlight w:val="none"/>
        </w:rPr>
        <w:t>6</w:t>
      </w:r>
      <w:r>
        <w:rPr>
          <w:rFonts w:hint="eastAsia"/>
          <w:color w:val="auto"/>
          <w:highlight w:val="none"/>
          <w:lang w:val="zh-CN"/>
        </w:rPr>
        <w:t>.评标会议</w:t>
      </w:r>
    </w:p>
    <w:p>
      <w:pPr>
        <w:pStyle w:val="5"/>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（一）评审工作的组织</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1.1采购人或采购代理机构负责组织本项目的评审工作，并依据《政府采购货物和服务招标投标管理办法（财政部第87号令）》第四十五条的相关规定履行职责。</w:t>
      </w:r>
    </w:p>
    <w:p>
      <w:pPr>
        <w:pStyle w:val="5"/>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（二）评标委员会的组建</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2.1评标委员会由采购人或采购代理机构依法组建，成员包括采购人代表和评审专家，成员人数为五人或以上单数，其中评审专家不少于成员总数的三分之二。</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2.2 评标委员会成员名单在评审结果（采购结果）公告前保密。</w:t>
      </w:r>
    </w:p>
    <w:p>
      <w:pPr>
        <w:pStyle w:val="5"/>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（三）评标委员会的职责</w:t>
      </w:r>
    </w:p>
    <w:p>
      <w:pPr>
        <w:pageBreakBefore w:val="0"/>
        <w:kinsoku/>
        <w:wordWrap/>
        <w:overflowPunct/>
        <w:topLinePunct w:val="0"/>
        <w:bidi w:val="0"/>
        <w:spacing w:line="440" w:lineRule="exact"/>
        <w:ind w:firstLine="482"/>
        <w:textAlignment w:val="auto"/>
        <w:rPr>
          <w:rFonts w:ascii="宋体" w:hAnsi="宋体" w:cs="宋体"/>
          <w:b/>
          <w:color w:val="auto"/>
          <w:kern w:val="0"/>
          <w:highlight w:val="none"/>
        </w:rPr>
      </w:pPr>
      <w:r>
        <w:rPr>
          <w:rFonts w:hint="eastAsia" w:ascii="宋体" w:hAnsi="宋体" w:cs="宋体"/>
          <w:b/>
          <w:color w:val="auto"/>
          <w:kern w:val="0"/>
          <w:highlight w:val="none"/>
        </w:rPr>
        <w:t>3.1评标委员会负责具体评审事务，并独立履行下列职责：</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（1）审查、评价投标文件是否符合采购文件的资信、技术等实质性要求；</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（2）要求供应商对投标文件有关事项作出澄清或者说明；</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（3）对投标文件进行比较和评价；</w:t>
      </w:r>
    </w:p>
    <w:p>
      <w:pPr>
        <w:pageBreakBefore w:val="0"/>
        <w:kinsoku/>
        <w:wordWrap/>
        <w:overflowPunct/>
        <w:topLinePunct w:val="0"/>
        <w:bidi w:val="0"/>
        <w:spacing w:line="440" w:lineRule="exact"/>
        <w:ind w:left="480" w:leftChars="200" w:firstLine="0" w:firstLineChars="0"/>
        <w:textAlignment w:val="auto"/>
        <w:rPr>
          <w:rFonts w:hint="eastAsia" w:ascii="宋体" w:hAnsi="宋体" w:cs="宋体"/>
          <w:color w:val="auto"/>
          <w:kern w:val="0"/>
          <w:highlight w:val="none"/>
        </w:rPr>
      </w:pPr>
      <w:r>
        <w:rPr>
          <w:rFonts w:hint="eastAsia" w:ascii="宋体" w:hAnsi="宋体" w:cs="宋体"/>
          <w:color w:val="auto"/>
          <w:kern w:val="0"/>
          <w:highlight w:val="none"/>
        </w:rPr>
        <w:t>（4）确定中标候选人名单，以及根据采购人委托直接确定中标人；</w:t>
      </w:r>
    </w:p>
    <w:p>
      <w:pPr>
        <w:pageBreakBefore w:val="0"/>
        <w:kinsoku/>
        <w:wordWrap/>
        <w:overflowPunct/>
        <w:topLinePunct w:val="0"/>
        <w:bidi w:val="0"/>
        <w:spacing w:line="440" w:lineRule="exact"/>
        <w:ind w:left="480" w:leftChars="200" w:firstLine="0" w:firstLineChars="0"/>
        <w:textAlignment w:val="auto"/>
        <w:rPr>
          <w:rFonts w:ascii="宋体" w:hAnsi="宋体" w:cs="宋体"/>
          <w:color w:val="auto"/>
          <w:kern w:val="0"/>
          <w:highlight w:val="none"/>
        </w:rPr>
      </w:pPr>
      <w:r>
        <w:rPr>
          <w:rFonts w:hint="eastAsia" w:ascii="宋体" w:hAnsi="宋体" w:cs="宋体"/>
          <w:color w:val="auto"/>
          <w:kern w:val="0"/>
          <w:highlight w:val="none"/>
        </w:rPr>
        <w:t>（5）向采购人、采购代理机构或者有关部门报告评审中发现的违法行为。</w:t>
      </w:r>
    </w:p>
    <w:p>
      <w:pPr>
        <w:pStyle w:val="5"/>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（四）评审原则</w:t>
      </w:r>
    </w:p>
    <w:p>
      <w:pPr>
        <w:pageBreakBefore w:val="0"/>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4.1评审原则：</w:t>
      </w:r>
      <w:r>
        <w:rPr>
          <w:rFonts w:hint="eastAsia" w:ascii="宋体" w:hAnsi="宋体" w:cs="宋体"/>
          <w:color w:val="auto"/>
          <w:kern w:val="0"/>
          <w:highlight w:val="none"/>
        </w:rPr>
        <w:t>评标委员会</w:t>
      </w:r>
      <w:r>
        <w:rPr>
          <w:rFonts w:hint="eastAsia" w:ascii="宋体" w:hAnsi="宋体" w:cs="宋体"/>
          <w:color w:val="auto"/>
          <w:highlight w:val="none"/>
        </w:rPr>
        <w:t>按照客观、公正、审慎、择优的原则，根据采购文件规定的评审程序、评审方法和评审标准进行独立评审。</w:t>
      </w:r>
    </w:p>
    <w:p>
      <w:pPr>
        <w:pageBreakBefore w:val="0"/>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4.2评审工作将依据</w:t>
      </w:r>
      <w:r>
        <w:rPr>
          <w:rFonts w:hint="eastAsia" w:ascii="宋体" w:hAnsi="宋体" w:cs="宋体"/>
          <w:color w:val="auto"/>
          <w:kern w:val="0"/>
          <w:highlight w:val="none"/>
        </w:rPr>
        <w:t>采购文件、投标文件及采购文件中事先已列明的内容进行。</w:t>
      </w:r>
    </w:p>
    <w:p>
      <w:pPr>
        <w:pStyle w:val="5"/>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（五）评审意见的争议处理</w:t>
      </w:r>
    </w:p>
    <w:p>
      <w:pPr>
        <w:pageBreakBefore w:val="0"/>
        <w:kinsoku/>
        <w:wordWrap/>
        <w:overflowPunct/>
        <w:topLinePunct w:val="0"/>
        <w:bidi w:val="0"/>
        <w:spacing w:line="440" w:lineRule="exact"/>
        <w:ind w:firstLine="480"/>
        <w:textAlignment w:val="auto"/>
        <w:rPr>
          <w:rFonts w:ascii="宋体" w:hAnsi="宋体" w:cs="宋体"/>
          <w:bCs/>
          <w:color w:val="auto"/>
          <w:highlight w:val="none"/>
        </w:rPr>
      </w:pPr>
      <w:r>
        <w:rPr>
          <w:rFonts w:hint="eastAsia" w:ascii="宋体" w:hAnsi="宋体" w:cs="宋体"/>
          <w:bCs/>
          <w:color w:val="auto"/>
          <w:highlight w:val="none"/>
        </w:rPr>
        <w:t>5.1评标委员会成员对需要共同认定的事项存在争议的，按照少数服从多数的原则作出结论。持不同意见的评标委员会成员应当在评审报告上签署不同意见及理由，否则视为同意评审报告。</w:t>
      </w:r>
    </w:p>
    <w:p>
      <w:pPr>
        <w:pStyle w:val="5"/>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（六）评委纪律</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highlight w:val="none"/>
        </w:rPr>
        <w:t>6.1评标委员会成员必须严格遵守保密规定，不得泄露评审的有关情况</w:t>
      </w:r>
      <w:r>
        <w:rPr>
          <w:rFonts w:hint="eastAsia" w:ascii="宋体" w:hAnsi="宋体" w:cs="宋体"/>
          <w:color w:val="auto"/>
          <w:kern w:val="0"/>
          <w:highlight w:val="none"/>
        </w:rPr>
        <w:t>，任何单位和个人不得干扰、影响评标的正常进行，评标委员会成员不得私下与供应商接触，不得出现浙江省政府采购活动现场组织管理办法中规定的其他禁止行为。</w:t>
      </w:r>
    </w:p>
    <w:p>
      <w:pPr>
        <w:pStyle w:val="5"/>
        <w:pageBreakBefore w:val="0"/>
        <w:kinsoku/>
        <w:wordWrap/>
        <w:overflowPunct/>
        <w:topLinePunct w:val="0"/>
        <w:bidi w:val="0"/>
        <w:spacing w:line="440" w:lineRule="exact"/>
        <w:ind w:firstLine="480"/>
        <w:textAlignment w:val="auto"/>
        <w:rPr>
          <w:color w:val="auto"/>
          <w:highlight w:val="none"/>
        </w:rPr>
      </w:pPr>
      <w:bookmarkStart w:id="127" w:name="_Toc33194395"/>
      <w:bookmarkStart w:id="128" w:name="_Toc24550044"/>
      <w:r>
        <w:rPr>
          <w:rFonts w:hint="eastAsia"/>
          <w:color w:val="auto"/>
          <w:highlight w:val="none"/>
        </w:rPr>
        <w:t>（七）评审流程及内容</w:t>
      </w:r>
      <w:bookmarkEnd w:id="127"/>
      <w:bookmarkEnd w:id="128"/>
    </w:p>
    <w:p>
      <w:pPr>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本项目具体的评审事务由评标委员会负责，评审流程及内容如下：</w:t>
      </w:r>
    </w:p>
    <w:p>
      <w:pPr>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7.1 评审前准备</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7.1.1 由评审专家推选评审小组组长，采购人代表不得担任评审小组组长。</w:t>
      </w:r>
    </w:p>
    <w:p>
      <w:pPr>
        <w:pageBreakBefore w:val="0"/>
        <w:kinsoku/>
        <w:wordWrap/>
        <w:overflowPunct/>
        <w:topLinePunct w:val="0"/>
        <w:bidi w:val="0"/>
        <w:spacing w:line="440" w:lineRule="exact"/>
        <w:ind w:firstLine="480"/>
        <w:textAlignment w:val="auto"/>
        <w:rPr>
          <w:rFonts w:ascii="宋体" w:hAnsi="宋体" w:cs="宋体"/>
          <w:b/>
          <w:color w:val="auto"/>
          <w:kern w:val="0"/>
          <w:highlight w:val="none"/>
        </w:rPr>
      </w:pPr>
      <w:r>
        <w:rPr>
          <w:rFonts w:hint="eastAsia" w:ascii="宋体" w:hAnsi="宋体" w:cs="宋体"/>
          <w:color w:val="auto"/>
          <w:kern w:val="0"/>
          <w:highlight w:val="none"/>
        </w:rPr>
        <w:t>7.1.2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pPr>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7.2投标文件的初步审查、符合性审查</w:t>
      </w:r>
    </w:p>
    <w:p>
      <w:pPr>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对所有通过资格审查的供应商的投标文件进行初步审查，审查、评价投标文件是否符合采购文件的资信、技术、服务等实质性要求。</w:t>
      </w:r>
    </w:p>
    <w:p>
      <w:pPr>
        <w:pageBreakBefore w:val="0"/>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7.2.1评标委员会首先对所有通过资格审查的供应商的投标文件进行符合性审查，审查每份投标文件是否实质上响应了采购文件的要求（实质性响应的投标文件是指投标文件符合采购文件规定的实质性内容、条件和规定）。</w:t>
      </w:r>
    </w:p>
    <w:p>
      <w:pPr>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7.3 投标文件的澄清、说明或补正</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7.3.1对于投标文件中含义不明确、同类问题表述不一致或者有明显文字和计算错误的内容，评标委员会将以书面形式（或通过“政府采购云平台”在线询标）的形式要求供应商在规定的时间内作出必要的澄清、说明或者补正，供应商澄清、说明或补正时间为30分钟。</w:t>
      </w:r>
    </w:p>
    <w:p>
      <w:pPr>
        <w:pageBreakBefore w:val="0"/>
        <w:kinsoku/>
        <w:wordWrap/>
        <w:overflowPunct/>
        <w:topLinePunct w:val="0"/>
        <w:autoSpaceDE w:val="0"/>
        <w:autoSpaceDN w:val="0"/>
        <w:bidi w:val="0"/>
        <w:adjustRightInd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7.3.2 评标过程中评标委员会对供应商提出质询或要求供应商书面确认的（或通过“政府采购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pPr>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7.4 投标文件的错误修正</w:t>
      </w:r>
    </w:p>
    <w:p>
      <w:pPr>
        <w:pStyle w:val="21"/>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7.4.1 《投标文件》如果出现计算或表达上的错误，修正错误的原则如下：</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（1）投标文件中开标一览表（报价表）内容与投标文件中相应内容不一致的，以开标一览表（报价表）为准。</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（2）《投标文件》的大写金额和小写金额不一致的，以大写金额为准；</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（3）单价金额小数点或者百分比有明显错位的，应以开标一览表（报价表）的总价为准，并修改单价；</w:t>
      </w:r>
    </w:p>
    <w:p>
      <w:pPr>
        <w:pageBreakBefore w:val="0"/>
        <w:kinsoku/>
        <w:wordWrap/>
        <w:overflowPunct/>
        <w:topLinePunct w:val="0"/>
        <w:bidi w:val="0"/>
        <w:spacing w:line="440" w:lineRule="exact"/>
        <w:ind w:firstLine="480"/>
        <w:textAlignment w:val="auto"/>
        <w:rPr>
          <w:rFonts w:hint="eastAsia" w:ascii="宋体" w:hAnsi="宋体" w:cs="宋体"/>
          <w:color w:val="auto"/>
          <w:kern w:val="0"/>
          <w:highlight w:val="none"/>
        </w:rPr>
      </w:pPr>
      <w:r>
        <w:rPr>
          <w:rFonts w:hint="eastAsia" w:ascii="宋体" w:hAnsi="宋体" w:cs="宋体"/>
          <w:color w:val="auto"/>
          <w:kern w:val="0"/>
          <w:highlight w:val="none"/>
        </w:rPr>
        <w:t>（4）总价金额与按单价汇总金额不一致的，以单价金额计算结果为准。</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7.4.2对不同文字文本《投标文件》的解释发生异议的，以中文文本为准。</w:t>
      </w:r>
    </w:p>
    <w:p>
      <w:pPr>
        <w:pStyle w:val="5"/>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（八）投标文件有下列情况之一者将视为无效：</w:t>
      </w:r>
    </w:p>
    <w:p>
      <w:pPr>
        <w:pageBreakBefore w:val="0"/>
        <w:kinsoku/>
        <w:wordWrap/>
        <w:overflowPunct/>
        <w:topLinePunct w:val="0"/>
        <w:bidi w:val="0"/>
        <w:spacing w:line="440" w:lineRule="exact"/>
        <w:ind w:firstLine="480"/>
        <w:textAlignment w:val="auto"/>
        <w:rPr>
          <w:rFonts w:ascii="宋体" w:hAnsi="宋体" w:cs="宋体"/>
          <w:bCs/>
          <w:color w:val="auto"/>
          <w:kern w:val="0"/>
          <w:highlight w:val="none"/>
        </w:rPr>
      </w:pPr>
      <w:bookmarkStart w:id="129" w:name="_Hlk33211013"/>
      <w:r>
        <w:rPr>
          <w:rFonts w:hint="eastAsia" w:ascii="宋体" w:hAnsi="宋体" w:cs="宋体"/>
          <w:bCs/>
          <w:color w:val="auto"/>
          <w:kern w:val="0"/>
          <w:highlight w:val="none"/>
        </w:rPr>
        <w:t>8.1资信、技术文件符合性审查中，存在下列情形之一的，经评标委员会认定后作无效标处理：</w:t>
      </w:r>
    </w:p>
    <w:p>
      <w:pPr>
        <w:pStyle w:val="21"/>
        <w:pageBreakBefore w:val="0"/>
        <w:kinsoku/>
        <w:wordWrap/>
        <w:overflowPunct/>
        <w:topLinePunct w:val="0"/>
        <w:bidi w:val="0"/>
        <w:spacing w:line="440" w:lineRule="exact"/>
        <w:ind w:firstLine="480"/>
        <w:textAlignment w:val="auto"/>
        <w:rPr>
          <w:color w:val="auto"/>
          <w:highlight w:val="none"/>
        </w:rPr>
      </w:pPr>
      <w:bookmarkStart w:id="130" w:name="_Toc33194396"/>
      <w:r>
        <w:rPr>
          <w:rFonts w:hint="eastAsia"/>
          <w:color w:val="auto"/>
          <w:highlight w:val="none"/>
        </w:rPr>
        <w:t>（1）投标文件未有效授权，法定代表人授权委托书等填写不完整或有涂改的；</w:t>
      </w:r>
      <w:bookmarkEnd w:id="130"/>
    </w:p>
    <w:p>
      <w:pPr>
        <w:pageBreakBefore w:val="0"/>
        <w:kinsoku/>
        <w:wordWrap/>
        <w:overflowPunct/>
        <w:topLinePunct w:val="0"/>
        <w:bidi w:val="0"/>
        <w:spacing w:line="440" w:lineRule="exact"/>
        <w:ind w:firstLine="480"/>
        <w:textAlignment w:val="auto"/>
        <w:rPr>
          <w:rFonts w:ascii="宋体" w:hAnsi="宋体" w:cs="宋体"/>
          <w:bCs/>
          <w:color w:val="auto"/>
          <w:highlight w:val="none"/>
        </w:rPr>
      </w:pPr>
      <w:r>
        <w:rPr>
          <w:rFonts w:hint="eastAsia" w:ascii="宋体" w:hAnsi="宋体" w:cs="宋体"/>
          <w:bCs/>
          <w:color w:val="auto"/>
          <w:highlight w:val="none"/>
        </w:rPr>
        <w:t>（2）投标文件没有对本采购文件作出实质性响应的，或不满足（不响应）本采购文件中标注“</w:t>
      </w:r>
      <w:r>
        <w:rPr>
          <w:rFonts w:ascii="宋体" w:hAnsi="宋体"/>
          <w:bCs/>
          <w:color w:val="auto"/>
          <w:sz w:val="24"/>
          <w:highlight w:val="none"/>
        </w:rPr>
        <w:t>★</w:t>
      </w:r>
      <w:r>
        <w:rPr>
          <w:rFonts w:hint="eastAsia" w:ascii="宋体" w:hAnsi="宋体" w:cs="宋体"/>
          <w:bCs/>
          <w:color w:val="auto"/>
          <w:highlight w:val="none"/>
        </w:rPr>
        <w:t>”的实质性要求条款的，或存在采购文件中明确规定的其他无效标情形的；</w:t>
      </w:r>
    </w:p>
    <w:p>
      <w:pPr>
        <w:pageBreakBefore w:val="0"/>
        <w:kinsoku/>
        <w:wordWrap/>
        <w:overflowPunct/>
        <w:topLinePunct w:val="0"/>
        <w:bidi w:val="0"/>
        <w:spacing w:line="440" w:lineRule="exact"/>
        <w:ind w:firstLine="480"/>
        <w:textAlignment w:val="auto"/>
        <w:rPr>
          <w:rFonts w:ascii="宋体" w:hAnsi="宋体" w:cs="宋体"/>
          <w:bCs/>
          <w:color w:val="auto"/>
          <w:highlight w:val="none"/>
        </w:rPr>
      </w:pPr>
      <w:r>
        <w:rPr>
          <w:rFonts w:hint="eastAsia" w:ascii="宋体" w:hAnsi="宋体" w:cs="宋体"/>
          <w:bCs/>
          <w:color w:val="auto"/>
          <w:highlight w:val="none"/>
        </w:rPr>
        <w:t>（3）投标文件存在一个或一个以上备选（替代）投标方案的；</w:t>
      </w:r>
    </w:p>
    <w:p>
      <w:pPr>
        <w:pageBreakBefore w:val="0"/>
        <w:kinsoku/>
        <w:wordWrap/>
        <w:overflowPunct/>
        <w:topLinePunct w:val="0"/>
        <w:bidi w:val="0"/>
        <w:spacing w:line="440" w:lineRule="exact"/>
        <w:ind w:firstLine="480"/>
        <w:textAlignment w:val="auto"/>
        <w:rPr>
          <w:rFonts w:ascii="宋体" w:hAnsi="宋体" w:cs="宋体"/>
          <w:bCs/>
          <w:color w:val="auto"/>
          <w:highlight w:val="none"/>
        </w:rPr>
      </w:pPr>
      <w:r>
        <w:rPr>
          <w:rFonts w:hint="eastAsia" w:ascii="宋体" w:hAnsi="宋体" w:cs="宋体"/>
          <w:bCs/>
          <w:color w:val="auto"/>
          <w:highlight w:val="none"/>
        </w:rPr>
        <w:t>（4）仅提交“备份投标文件”的；</w:t>
      </w:r>
    </w:p>
    <w:p>
      <w:pPr>
        <w:pageBreakBefore w:val="0"/>
        <w:kinsoku/>
        <w:wordWrap/>
        <w:overflowPunct/>
        <w:topLinePunct w:val="0"/>
        <w:bidi w:val="0"/>
        <w:spacing w:line="440" w:lineRule="exact"/>
        <w:ind w:firstLine="480"/>
        <w:textAlignment w:val="auto"/>
        <w:rPr>
          <w:rFonts w:ascii="宋体" w:hAnsi="宋体" w:cs="宋体"/>
          <w:bCs/>
          <w:color w:val="auto"/>
          <w:highlight w:val="none"/>
        </w:rPr>
      </w:pPr>
      <w:r>
        <w:rPr>
          <w:rFonts w:hint="eastAsia" w:ascii="宋体" w:hAnsi="宋体" w:cs="宋体"/>
          <w:bCs/>
          <w:color w:val="auto"/>
          <w:highlight w:val="none"/>
        </w:rPr>
        <w:t>（5）文件组成内容不齐全，本采购文件规定必须提供而未提供的（属于资格审查范围的除外）；</w:t>
      </w:r>
    </w:p>
    <w:p>
      <w:pPr>
        <w:pageBreakBefore w:val="0"/>
        <w:kinsoku/>
        <w:wordWrap/>
        <w:overflowPunct/>
        <w:topLinePunct w:val="0"/>
        <w:bidi w:val="0"/>
        <w:spacing w:line="440" w:lineRule="exact"/>
        <w:ind w:firstLine="480"/>
        <w:textAlignment w:val="auto"/>
        <w:rPr>
          <w:rFonts w:ascii="宋体" w:hAnsi="宋体" w:cs="宋体"/>
          <w:bCs/>
          <w:color w:val="auto"/>
          <w:highlight w:val="none"/>
        </w:rPr>
      </w:pPr>
      <w:r>
        <w:rPr>
          <w:rFonts w:hint="eastAsia" w:ascii="宋体" w:hAnsi="宋体" w:cs="宋体"/>
          <w:bCs/>
          <w:color w:val="auto"/>
          <w:highlight w:val="none"/>
        </w:rPr>
        <w:t>（6）投标文件标注的响应或偏离情况与事实不符，或提供了虚假材料的；</w:t>
      </w:r>
    </w:p>
    <w:p>
      <w:pPr>
        <w:pageBreakBefore w:val="0"/>
        <w:kinsoku/>
        <w:wordWrap/>
        <w:overflowPunct/>
        <w:topLinePunct w:val="0"/>
        <w:bidi w:val="0"/>
        <w:spacing w:line="440" w:lineRule="exact"/>
        <w:ind w:firstLine="480"/>
        <w:textAlignment w:val="auto"/>
        <w:rPr>
          <w:rFonts w:ascii="宋体" w:hAnsi="宋体" w:cs="宋体"/>
          <w:bCs/>
          <w:color w:val="auto"/>
          <w:highlight w:val="none"/>
        </w:rPr>
      </w:pPr>
      <w:r>
        <w:rPr>
          <w:rFonts w:hint="eastAsia" w:ascii="宋体" w:hAnsi="宋体" w:cs="宋体"/>
          <w:bCs/>
          <w:color w:val="auto"/>
          <w:highlight w:val="none"/>
        </w:rPr>
        <w:t>（7）不响应或擅自改变本采购文件要求或投标文件有采购人不能接受的附加条件的；</w:t>
      </w:r>
    </w:p>
    <w:p>
      <w:pPr>
        <w:pageBreakBefore w:val="0"/>
        <w:kinsoku/>
        <w:wordWrap/>
        <w:overflowPunct/>
        <w:topLinePunct w:val="0"/>
        <w:bidi w:val="0"/>
        <w:spacing w:line="440" w:lineRule="exact"/>
        <w:ind w:firstLine="480"/>
        <w:textAlignment w:val="auto"/>
        <w:rPr>
          <w:rFonts w:ascii="宋体" w:hAnsi="宋体" w:cs="宋体"/>
          <w:bCs/>
          <w:color w:val="auto"/>
          <w:highlight w:val="none"/>
        </w:rPr>
      </w:pPr>
      <w:r>
        <w:rPr>
          <w:rFonts w:hint="eastAsia" w:ascii="宋体" w:hAnsi="宋体" w:cs="宋体"/>
          <w:bCs/>
          <w:color w:val="auto"/>
          <w:highlight w:val="none"/>
        </w:rPr>
        <w:t>（8）参加同一合同项下政府采购活动的不同供应商之间存在利害关系并且存在影响政府采购公平竞争行为的；</w:t>
      </w:r>
    </w:p>
    <w:p>
      <w:pPr>
        <w:pageBreakBefore w:val="0"/>
        <w:kinsoku/>
        <w:wordWrap/>
        <w:overflowPunct/>
        <w:topLinePunct w:val="0"/>
        <w:bidi w:val="0"/>
        <w:spacing w:line="440" w:lineRule="exact"/>
        <w:ind w:firstLine="480"/>
        <w:textAlignment w:val="auto"/>
        <w:rPr>
          <w:rFonts w:ascii="宋体" w:hAnsi="宋体" w:cs="宋体"/>
          <w:bCs/>
          <w:color w:val="auto"/>
          <w:highlight w:val="none"/>
        </w:rPr>
      </w:pPr>
      <w:bookmarkStart w:id="131" w:name="_Toc33194397"/>
      <w:r>
        <w:rPr>
          <w:rFonts w:hint="eastAsia" w:ascii="宋体" w:hAnsi="宋体" w:cs="宋体"/>
          <w:bCs/>
          <w:color w:val="auto"/>
          <w:highlight w:val="none"/>
        </w:rPr>
        <w:t>（9）采购人拟采购的产品如属于品目清单范围内的强制采购品目的，供应商未</w:t>
      </w:r>
      <w:bookmarkEnd w:id="131"/>
    </w:p>
    <w:p>
      <w:pPr>
        <w:pageBreakBefore w:val="0"/>
        <w:kinsoku/>
        <w:wordWrap/>
        <w:overflowPunct/>
        <w:topLinePunct w:val="0"/>
        <w:bidi w:val="0"/>
        <w:spacing w:line="440" w:lineRule="exact"/>
        <w:ind w:firstLine="480"/>
        <w:textAlignment w:val="auto"/>
        <w:rPr>
          <w:rFonts w:ascii="宋体" w:hAnsi="宋体" w:cs="宋体"/>
          <w:bCs/>
          <w:color w:val="auto"/>
          <w:highlight w:val="none"/>
        </w:rPr>
      </w:pPr>
      <w:bookmarkStart w:id="132" w:name="_Toc33194398"/>
      <w:r>
        <w:rPr>
          <w:rFonts w:hint="eastAsia" w:ascii="宋体" w:hAnsi="宋体" w:cs="宋体"/>
          <w:bCs/>
          <w:color w:val="auto"/>
          <w:highlight w:val="none"/>
        </w:rPr>
        <w:t>能在响应文件中提供国家确定的认证机构出具的、处于有效期之内的该产品节能产品、环境标志产品认证证书；</w:t>
      </w:r>
      <w:bookmarkEnd w:id="132"/>
    </w:p>
    <w:p>
      <w:pPr>
        <w:pageBreakBefore w:val="0"/>
        <w:kinsoku/>
        <w:wordWrap/>
        <w:overflowPunct/>
        <w:topLinePunct w:val="0"/>
        <w:bidi w:val="0"/>
        <w:spacing w:line="440" w:lineRule="exact"/>
        <w:ind w:firstLine="480"/>
        <w:textAlignment w:val="auto"/>
        <w:rPr>
          <w:rFonts w:ascii="宋体" w:hAnsi="宋体" w:cs="宋体"/>
          <w:bCs/>
          <w:color w:val="auto"/>
          <w:highlight w:val="none"/>
        </w:rPr>
      </w:pPr>
      <w:r>
        <w:rPr>
          <w:rFonts w:hint="eastAsia" w:ascii="宋体" w:hAnsi="宋体" w:cs="宋体"/>
          <w:bCs/>
          <w:color w:val="auto"/>
          <w:highlight w:val="none"/>
        </w:rPr>
        <w:t>（10）违反国家或政府部门相关法律、法规、文件规定的。</w:t>
      </w:r>
      <w:bookmarkEnd w:id="129"/>
    </w:p>
    <w:p>
      <w:pPr>
        <w:pageBreakBefore w:val="0"/>
        <w:kinsoku/>
        <w:wordWrap/>
        <w:overflowPunct/>
        <w:topLinePunct w:val="0"/>
        <w:bidi w:val="0"/>
        <w:spacing w:line="440" w:lineRule="exact"/>
        <w:ind w:firstLine="480"/>
        <w:textAlignment w:val="auto"/>
        <w:rPr>
          <w:rFonts w:ascii="宋体" w:hAnsi="宋体" w:cs="宋体"/>
          <w:bCs/>
          <w:color w:val="auto"/>
          <w:kern w:val="0"/>
          <w:highlight w:val="none"/>
        </w:rPr>
      </w:pPr>
      <w:r>
        <w:rPr>
          <w:rFonts w:hint="eastAsia" w:ascii="宋体" w:hAnsi="宋体" w:cs="宋体"/>
          <w:bCs/>
          <w:color w:val="auto"/>
          <w:kern w:val="0"/>
          <w:highlight w:val="none"/>
        </w:rPr>
        <w:t>8.2报价文件符合性审查中，存在下列情形之一的，经评标委员会认定后作无效标处理：</w:t>
      </w:r>
    </w:p>
    <w:p>
      <w:pPr>
        <w:pageBreakBefore w:val="0"/>
        <w:kinsoku/>
        <w:wordWrap/>
        <w:overflowPunct/>
        <w:topLinePunct w:val="0"/>
        <w:bidi w:val="0"/>
        <w:spacing w:line="440" w:lineRule="exact"/>
        <w:ind w:firstLine="480"/>
        <w:textAlignment w:val="auto"/>
        <w:rPr>
          <w:rFonts w:ascii="宋体" w:hAnsi="宋体" w:cs="宋体"/>
          <w:bCs/>
          <w:color w:val="auto"/>
          <w:highlight w:val="none"/>
        </w:rPr>
      </w:pPr>
      <w:r>
        <w:rPr>
          <w:rFonts w:hint="eastAsia" w:ascii="宋体" w:hAnsi="宋体" w:cs="宋体"/>
          <w:bCs/>
          <w:color w:val="auto"/>
          <w:highlight w:val="none"/>
        </w:rPr>
        <w:t>（1）投标文件没有对本采购文件作出实质性响应的，或不满足（不响应）本采购文件中标注“</w:t>
      </w:r>
      <w:r>
        <w:rPr>
          <w:rFonts w:ascii="宋体" w:hAnsi="宋体"/>
          <w:bCs/>
          <w:color w:val="auto"/>
          <w:sz w:val="24"/>
          <w:highlight w:val="none"/>
        </w:rPr>
        <w:t>★</w:t>
      </w:r>
      <w:r>
        <w:rPr>
          <w:rFonts w:hint="eastAsia" w:ascii="宋体" w:hAnsi="宋体" w:cs="宋体"/>
          <w:bCs/>
          <w:color w:val="auto"/>
          <w:highlight w:val="none"/>
        </w:rPr>
        <w:t>”的实质性要求条款的，或存在采购文件中明确规定的其他无效标情形的；</w:t>
      </w:r>
    </w:p>
    <w:p>
      <w:pPr>
        <w:pageBreakBefore w:val="0"/>
        <w:kinsoku/>
        <w:wordWrap/>
        <w:overflowPunct/>
        <w:topLinePunct w:val="0"/>
        <w:bidi w:val="0"/>
        <w:spacing w:line="440" w:lineRule="exact"/>
        <w:ind w:firstLine="480"/>
        <w:textAlignment w:val="auto"/>
        <w:rPr>
          <w:rFonts w:ascii="宋体" w:hAnsi="宋体" w:cs="宋体"/>
          <w:bCs/>
          <w:color w:val="auto"/>
          <w:highlight w:val="none"/>
        </w:rPr>
      </w:pPr>
      <w:r>
        <w:rPr>
          <w:rFonts w:hint="eastAsia" w:ascii="宋体" w:hAnsi="宋体" w:cs="宋体"/>
          <w:bCs/>
          <w:color w:val="auto"/>
          <w:highlight w:val="none"/>
        </w:rPr>
        <w:t>（2）投标文件存在一个或一个以上备选（替代）投标方案的；</w:t>
      </w:r>
    </w:p>
    <w:p>
      <w:pPr>
        <w:pageBreakBefore w:val="0"/>
        <w:kinsoku/>
        <w:wordWrap/>
        <w:overflowPunct/>
        <w:topLinePunct w:val="0"/>
        <w:bidi w:val="0"/>
        <w:spacing w:line="440" w:lineRule="exact"/>
        <w:ind w:firstLine="480"/>
        <w:textAlignment w:val="auto"/>
        <w:rPr>
          <w:rFonts w:ascii="宋体" w:hAnsi="宋体" w:cs="宋体"/>
          <w:bCs/>
          <w:color w:val="auto"/>
          <w:highlight w:val="none"/>
        </w:rPr>
      </w:pPr>
      <w:r>
        <w:rPr>
          <w:rFonts w:hint="eastAsia" w:ascii="宋体" w:hAnsi="宋体" w:cs="宋体"/>
          <w:bCs/>
          <w:color w:val="auto"/>
          <w:highlight w:val="none"/>
        </w:rPr>
        <w:t>（3）未按照采购文件标明的币种报价的，或者投标报价涵盖的内容不符合采购文件要求的；</w:t>
      </w:r>
    </w:p>
    <w:p>
      <w:pPr>
        <w:pageBreakBefore w:val="0"/>
        <w:kinsoku/>
        <w:wordWrap/>
        <w:overflowPunct/>
        <w:topLinePunct w:val="0"/>
        <w:bidi w:val="0"/>
        <w:spacing w:line="440" w:lineRule="exact"/>
        <w:ind w:firstLine="480"/>
        <w:textAlignment w:val="auto"/>
        <w:rPr>
          <w:rFonts w:ascii="宋体" w:hAnsi="宋体" w:cs="宋体"/>
          <w:bCs/>
          <w:color w:val="auto"/>
          <w:highlight w:val="none"/>
        </w:rPr>
      </w:pPr>
      <w:r>
        <w:rPr>
          <w:rFonts w:hint="eastAsia" w:ascii="宋体" w:hAnsi="宋体" w:cs="宋体"/>
          <w:bCs/>
          <w:color w:val="auto"/>
          <w:highlight w:val="none"/>
        </w:rPr>
        <w:t>（4）《开标一览表》内容与《投标报价明细表》内容不一致且拒不接受修正的；</w:t>
      </w:r>
    </w:p>
    <w:p>
      <w:pPr>
        <w:pageBreakBefore w:val="0"/>
        <w:kinsoku/>
        <w:wordWrap/>
        <w:overflowPunct/>
        <w:topLinePunct w:val="0"/>
        <w:bidi w:val="0"/>
        <w:spacing w:line="440" w:lineRule="exact"/>
        <w:ind w:firstLine="480"/>
        <w:textAlignment w:val="auto"/>
        <w:rPr>
          <w:rFonts w:ascii="宋体" w:hAnsi="宋体" w:cs="宋体"/>
          <w:bCs/>
          <w:color w:val="auto"/>
          <w:highlight w:val="none"/>
        </w:rPr>
      </w:pPr>
      <w:r>
        <w:rPr>
          <w:rFonts w:hint="eastAsia" w:ascii="宋体" w:hAnsi="宋体" w:cs="宋体"/>
          <w:bCs/>
          <w:color w:val="auto"/>
          <w:highlight w:val="none"/>
        </w:rPr>
        <w:t>（5）投标报价具有选择性，唱标价格与《投标文件》承诺的优惠（折扣）后价格不一致的；</w:t>
      </w:r>
    </w:p>
    <w:p>
      <w:pPr>
        <w:pageBreakBefore w:val="0"/>
        <w:kinsoku/>
        <w:wordWrap/>
        <w:overflowPunct/>
        <w:topLinePunct w:val="0"/>
        <w:bidi w:val="0"/>
        <w:spacing w:line="440" w:lineRule="exact"/>
        <w:ind w:firstLine="480"/>
        <w:textAlignment w:val="auto"/>
        <w:rPr>
          <w:rFonts w:ascii="宋体" w:hAnsi="宋体" w:cs="宋体"/>
          <w:bCs/>
          <w:color w:val="auto"/>
          <w:highlight w:val="none"/>
        </w:rPr>
      </w:pPr>
      <w:r>
        <w:rPr>
          <w:rFonts w:hint="eastAsia" w:ascii="宋体" w:hAnsi="宋体" w:cs="宋体"/>
          <w:bCs/>
          <w:color w:val="auto"/>
          <w:highlight w:val="none"/>
        </w:rPr>
        <w:t>（6）投标报价超过采购预算（或最高限价）的；</w:t>
      </w:r>
    </w:p>
    <w:p>
      <w:pPr>
        <w:pageBreakBefore w:val="0"/>
        <w:kinsoku/>
        <w:wordWrap/>
        <w:overflowPunct/>
        <w:topLinePunct w:val="0"/>
        <w:bidi w:val="0"/>
        <w:spacing w:line="440" w:lineRule="exact"/>
        <w:ind w:firstLine="480"/>
        <w:textAlignment w:val="auto"/>
        <w:rPr>
          <w:rFonts w:ascii="宋体" w:hAnsi="宋体" w:cs="宋体"/>
          <w:bCs/>
          <w:color w:val="auto"/>
          <w:highlight w:val="none"/>
        </w:rPr>
      </w:pPr>
      <w:r>
        <w:rPr>
          <w:rFonts w:hint="eastAsia" w:ascii="宋体" w:hAnsi="宋体" w:cs="宋体"/>
          <w:bCs/>
          <w:color w:val="auto"/>
          <w:highlight w:val="none"/>
        </w:rPr>
        <w:t>（7）仅提交“备份投标文件”的；</w:t>
      </w:r>
    </w:p>
    <w:p>
      <w:pPr>
        <w:pageBreakBefore w:val="0"/>
        <w:kinsoku/>
        <w:wordWrap/>
        <w:overflowPunct/>
        <w:topLinePunct w:val="0"/>
        <w:bidi w:val="0"/>
        <w:spacing w:line="440" w:lineRule="exact"/>
        <w:ind w:firstLine="480"/>
        <w:textAlignment w:val="auto"/>
        <w:rPr>
          <w:rFonts w:ascii="宋体" w:hAnsi="宋体" w:cs="宋体"/>
          <w:bCs/>
          <w:color w:val="auto"/>
          <w:highlight w:val="none"/>
        </w:rPr>
      </w:pPr>
      <w:r>
        <w:rPr>
          <w:rFonts w:hint="eastAsia" w:ascii="宋体" w:hAnsi="宋体" w:cs="宋体"/>
          <w:bCs/>
          <w:color w:val="auto"/>
          <w:highlight w:val="none"/>
        </w:rPr>
        <w:t>（8）投标文件组成内容不齐全，本采购文件规定必须提供而未提供的（属于资格审查范围的除外）；</w:t>
      </w:r>
    </w:p>
    <w:p>
      <w:pPr>
        <w:pageBreakBefore w:val="0"/>
        <w:kinsoku/>
        <w:wordWrap/>
        <w:overflowPunct/>
        <w:topLinePunct w:val="0"/>
        <w:bidi w:val="0"/>
        <w:spacing w:line="440" w:lineRule="exact"/>
        <w:ind w:firstLine="480"/>
        <w:textAlignment w:val="auto"/>
        <w:rPr>
          <w:rFonts w:ascii="宋体" w:hAnsi="宋体" w:cs="宋体"/>
          <w:bCs/>
          <w:color w:val="auto"/>
          <w:highlight w:val="none"/>
        </w:rPr>
      </w:pPr>
      <w:r>
        <w:rPr>
          <w:rFonts w:hint="eastAsia" w:ascii="宋体" w:hAnsi="宋体" w:cs="宋体"/>
          <w:bCs/>
          <w:color w:val="auto"/>
          <w:highlight w:val="none"/>
        </w:rPr>
        <w:t>（9）投标文件标注的响应或偏离情况与事实不符，或提供了虚假材料的；</w:t>
      </w:r>
    </w:p>
    <w:p>
      <w:pPr>
        <w:pageBreakBefore w:val="0"/>
        <w:kinsoku/>
        <w:wordWrap/>
        <w:overflowPunct/>
        <w:topLinePunct w:val="0"/>
        <w:bidi w:val="0"/>
        <w:spacing w:line="440" w:lineRule="exact"/>
        <w:ind w:firstLine="480"/>
        <w:textAlignment w:val="auto"/>
        <w:rPr>
          <w:rFonts w:ascii="宋体" w:hAnsi="宋体" w:cs="宋体"/>
          <w:bCs/>
          <w:color w:val="auto"/>
          <w:highlight w:val="none"/>
        </w:rPr>
      </w:pPr>
      <w:r>
        <w:rPr>
          <w:rFonts w:hint="eastAsia" w:ascii="宋体" w:hAnsi="宋体" w:cs="宋体"/>
          <w:bCs/>
          <w:color w:val="auto"/>
          <w:highlight w:val="none"/>
        </w:rPr>
        <w:t>（10）不响应或擅自改变本采购文件要求或投标文件有采购人不能接受的附加条件的；</w:t>
      </w:r>
    </w:p>
    <w:p>
      <w:pPr>
        <w:pageBreakBefore w:val="0"/>
        <w:kinsoku/>
        <w:wordWrap/>
        <w:overflowPunct/>
        <w:topLinePunct w:val="0"/>
        <w:bidi w:val="0"/>
        <w:spacing w:line="440" w:lineRule="exact"/>
        <w:ind w:firstLine="480"/>
        <w:textAlignment w:val="auto"/>
        <w:rPr>
          <w:rFonts w:ascii="宋体" w:hAnsi="宋体" w:cs="宋体"/>
          <w:bCs/>
          <w:color w:val="auto"/>
          <w:highlight w:val="none"/>
        </w:rPr>
      </w:pPr>
      <w:r>
        <w:rPr>
          <w:rFonts w:hint="eastAsia" w:ascii="宋体" w:hAnsi="宋体" w:cs="宋体"/>
          <w:bCs/>
          <w:color w:val="auto"/>
          <w:highlight w:val="none"/>
        </w:rPr>
        <w:t>（11）评审委员会认为供应商报价明显低于其他合格供应商的报价，有可能影响产品质量或者不能诚信履约的，应当要求其在合理时间内提供书面说明，必要时提供相关证明材料；供应商不能证明其报价合理性的，评审委员会应当将其作为无效投标或者无效响应处理；</w:t>
      </w:r>
    </w:p>
    <w:p>
      <w:pPr>
        <w:pageBreakBefore w:val="0"/>
        <w:kinsoku/>
        <w:wordWrap/>
        <w:overflowPunct/>
        <w:topLinePunct w:val="0"/>
        <w:bidi w:val="0"/>
        <w:spacing w:line="440" w:lineRule="exact"/>
        <w:ind w:firstLine="480"/>
        <w:textAlignment w:val="auto"/>
        <w:rPr>
          <w:rFonts w:hint="eastAsia" w:ascii="宋体" w:hAnsi="宋体" w:cs="宋体"/>
          <w:bCs/>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投标报价中出现赠送、免费或返还形式的；</w:t>
      </w:r>
    </w:p>
    <w:p>
      <w:pPr>
        <w:pageBreakBefore w:val="0"/>
        <w:kinsoku/>
        <w:wordWrap/>
        <w:overflowPunct/>
        <w:topLinePunct w:val="0"/>
        <w:bidi w:val="0"/>
        <w:spacing w:line="440" w:lineRule="exact"/>
        <w:ind w:firstLine="480"/>
        <w:textAlignment w:val="auto"/>
        <w:rPr>
          <w:rFonts w:ascii="宋体" w:hAnsi="宋体" w:cs="宋体"/>
          <w:bCs/>
          <w:color w:val="auto"/>
          <w:highlight w:val="none"/>
        </w:rPr>
      </w:pPr>
      <w:r>
        <w:rPr>
          <w:rFonts w:hint="eastAsia" w:ascii="宋体" w:hAnsi="宋体" w:cs="宋体"/>
          <w:bCs/>
          <w:color w:val="auto"/>
          <w:highlight w:val="none"/>
        </w:rPr>
        <w:t>（1</w:t>
      </w:r>
      <w:r>
        <w:rPr>
          <w:rFonts w:hint="eastAsia" w:ascii="宋体" w:hAnsi="宋体" w:cs="宋体"/>
          <w:bCs/>
          <w:color w:val="auto"/>
          <w:highlight w:val="none"/>
          <w:lang w:val="en-US" w:eastAsia="zh-CN"/>
        </w:rPr>
        <w:t>3</w:t>
      </w:r>
      <w:r>
        <w:rPr>
          <w:rFonts w:hint="eastAsia" w:ascii="宋体" w:hAnsi="宋体" w:cs="宋体"/>
          <w:bCs/>
          <w:color w:val="auto"/>
          <w:highlight w:val="none"/>
        </w:rPr>
        <w:t>）违反国家或政府部门相关法律、法规、文件规定的。</w:t>
      </w:r>
    </w:p>
    <w:p>
      <w:pPr>
        <w:pStyle w:val="5"/>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（九）投标文件的评估、比较、评分</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9.1评标委员会应当按照采购文件中规定的评审方法和标准，对符合性审查合格的投标文件进行商务和技术评估，综合比较与评价。评标时，评标委员会各成员将独立对每个供应商的投标文件进行评价，并汇总每个供应商的得分。评审细则详见“评标办法”。</w:t>
      </w:r>
    </w:p>
    <w:p>
      <w:pPr>
        <w:pageBreakBefore w:val="0"/>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rPr>
        <w:t>9.2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5"/>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（十）修改评审结果</w:t>
      </w:r>
    </w:p>
    <w:p>
      <w:pPr>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10.1评标结果汇总完成后，除下列情形外，任何人不得修改评标结果：</w:t>
      </w:r>
    </w:p>
    <w:p>
      <w:pPr>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（1）分值汇总计算错误的；</w:t>
      </w:r>
    </w:p>
    <w:p>
      <w:pPr>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（2）分项评分超出评分标准范围的；</w:t>
      </w:r>
    </w:p>
    <w:p>
      <w:pPr>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（3）评标委员会成员对客观评审因素评分不一致的；</w:t>
      </w:r>
    </w:p>
    <w:p>
      <w:pPr>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（4）经评标委员会认定评分畸高、畸低的。</w:t>
      </w:r>
    </w:p>
    <w:p>
      <w:pPr>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10.2评标报告签署前，经复核发现存在以上情形之一的，评标委员会将当场修改评标结果，并在评标报告中记载。</w:t>
      </w:r>
    </w:p>
    <w:p>
      <w:pPr>
        <w:pStyle w:val="5"/>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（十一）供应商排序及推荐中标（成交）候选供应商</w:t>
      </w:r>
    </w:p>
    <w:p>
      <w:pPr>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评标委员会根据以下规定确定供应商排名并推荐中标（成交）候选供应商。</w:t>
      </w:r>
    </w:p>
    <w:p>
      <w:pPr>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11.1评标委员会根据各供应商的综合得分（商务技术分与报价得分之和）从高到低依次进行排名排序。特殊情形按以下原则处理：</w:t>
      </w:r>
    </w:p>
    <w:p>
      <w:pPr>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（1）综合得分相同的，按投标报价低的优先原则确定排名；</w:t>
      </w:r>
    </w:p>
    <w:p>
      <w:pPr>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（2）综合得分和投标报价均相同的，按技术资信得分从高到低确定排名；</w:t>
      </w:r>
    </w:p>
    <w:p>
      <w:pPr>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（3）综合得分、投标报价和技术资信得分均相同的由评标委员会全体成员记名投票按少数服从多数的原则确定排名。</w:t>
      </w:r>
    </w:p>
    <w:p>
      <w:pPr>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11.2根据最终得分排序，通过书面评审报告的形式，向采购人推荐</w:t>
      </w:r>
      <w:r>
        <w:rPr>
          <w:rFonts w:hint="eastAsia"/>
          <w:color w:val="auto"/>
          <w:kern w:val="0"/>
          <w:highlight w:val="none"/>
        </w:rPr>
        <w:t>排名第一的供应商为中标（成交）候选供应商</w:t>
      </w:r>
      <w:r>
        <w:rPr>
          <w:rFonts w:hint="eastAsia"/>
          <w:color w:val="auto"/>
          <w:highlight w:val="none"/>
        </w:rPr>
        <w:t>。</w:t>
      </w:r>
    </w:p>
    <w:p>
      <w:pPr>
        <w:pStyle w:val="5"/>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rPr>
        <w:t>（十二）起草、签署评审报告</w:t>
      </w:r>
    </w:p>
    <w:p>
      <w:pPr>
        <w:pageBreakBefore w:val="0"/>
        <w:kinsoku/>
        <w:wordWrap/>
        <w:overflowPunct/>
        <w:topLinePunct w:val="0"/>
        <w:autoSpaceDE w:val="0"/>
        <w:autoSpaceDN w:val="0"/>
        <w:bidi w:val="0"/>
        <w:adjustRightInd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Pr>
        <w:pStyle w:val="4"/>
        <w:pageBreakBefore w:val="0"/>
        <w:kinsoku/>
        <w:wordWrap/>
        <w:overflowPunct/>
        <w:topLinePunct w:val="0"/>
        <w:bidi w:val="0"/>
        <w:spacing w:line="440" w:lineRule="exact"/>
        <w:ind w:firstLine="480" w:firstLineChars="200"/>
        <w:jc w:val="both"/>
        <w:textAlignment w:val="auto"/>
        <w:rPr>
          <w:color w:val="auto"/>
          <w:highlight w:val="none"/>
        </w:rPr>
      </w:pPr>
      <w:bookmarkStart w:id="133" w:name="_Toc23134"/>
      <w:bookmarkStart w:id="134" w:name="_Toc18560"/>
      <w:bookmarkStart w:id="135" w:name="_Toc8776"/>
      <w:bookmarkStart w:id="136" w:name="_Toc15961"/>
      <w:bookmarkStart w:id="137" w:name="_Toc9277"/>
      <w:bookmarkStart w:id="138" w:name="_Toc29730"/>
      <w:r>
        <w:rPr>
          <w:rFonts w:hint="eastAsia"/>
          <w:color w:val="auto"/>
          <w:highlight w:val="none"/>
        </w:rPr>
        <w:t>27.评标细则：</w:t>
      </w:r>
    </w:p>
    <w:p>
      <w:pPr>
        <w:pStyle w:val="5"/>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lang w:bidi="ar"/>
        </w:rPr>
        <w:t>（一）总则</w:t>
      </w:r>
    </w:p>
    <w:p>
      <w:pPr>
        <w:pageBreakBefore w:val="0"/>
        <w:kinsoku/>
        <w:wordWrap/>
        <w:overflowPunct/>
        <w:topLinePunct w:val="0"/>
        <w:bidi w:val="0"/>
        <w:spacing w:line="440" w:lineRule="exact"/>
        <w:ind w:firstLine="480"/>
        <w:textAlignment w:val="auto"/>
        <w:rPr>
          <w:rFonts w:ascii="宋体" w:hAnsi="宋体" w:cs="宋体"/>
          <w:color w:val="auto"/>
          <w:kern w:val="1"/>
          <w:highlight w:val="none"/>
        </w:rPr>
      </w:pPr>
      <w:r>
        <w:rPr>
          <w:rFonts w:hint="eastAsia" w:ascii="宋体" w:hAnsi="宋体" w:cs="宋体"/>
          <w:color w:val="auto"/>
          <w:kern w:val="1"/>
          <w:highlight w:val="none"/>
          <w:lang w:bidi="ar"/>
        </w:rPr>
        <w:t>本次评标采用综合评分法，总分为100分。合格投标人的评标得分为各项目汇总得分，中标候选资格按评标得分由高到低顺序排列，得分相同的，按投标报价由低到高顺序排列；得分且投标报价相同的，按商务得分由高到低顺序排列。评分过程中采用四舍五入法，并保留小数2位。</w:t>
      </w:r>
    </w:p>
    <w:p>
      <w:pPr>
        <w:pStyle w:val="5"/>
        <w:pageBreakBefore w:val="0"/>
        <w:kinsoku/>
        <w:wordWrap/>
        <w:overflowPunct/>
        <w:topLinePunct w:val="0"/>
        <w:bidi w:val="0"/>
        <w:spacing w:line="440" w:lineRule="exact"/>
        <w:ind w:firstLine="480"/>
        <w:textAlignment w:val="auto"/>
        <w:rPr>
          <w:color w:val="auto"/>
          <w:highlight w:val="none"/>
        </w:rPr>
      </w:pPr>
      <w:r>
        <w:rPr>
          <w:rFonts w:hint="eastAsia"/>
          <w:color w:val="auto"/>
          <w:highlight w:val="none"/>
          <w:lang w:bidi="ar"/>
        </w:rPr>
        <w:t>（二）分值的计算</w:t>
      </w:r>
    </w:p>
    <w:p>
      <w:pPr>
        <w:pageBreakBefore w:val="0"/>
        <w:kinsoku/>
        <w:wordWrap/>
        <w:overflowPunct/>
        <w:topLinePunct w:val="0"/>
        <w:bidi w:val="0"/>
        <w:spacing w:line="440" w:lineRule="exact"/>
        <w:ind w:firstLine="480"/>
        <w:textAlignment w:val="auto"/>
        <w:rPr>
          <w:rFonts w:ascii="宋体" w:hAnsi="宋体" w:cs="宋体"/>
          <w:color w:val="auto"/>
          <w:kern w:val="1"/>
          <w:highlight w:val="none"/>
        </w:rPr>
      </w:pPr>
      <w:r>
        <w:rPr>
          <w:rFonts w:hint="eastAsia" w:ascii="宋体" w:hAnsi="宋体" w:cs="宋体"/>
          <w:color w:val="auto"/>
          <w:kern w:val="1"/>
          <w:highlight w:val="none"/>
          <w:lang w:bidi="ar"/>
        </w:rPr>
        <w:t>技术分按照评标委员会成员的独立评分结果汇总后的算术平均分计算，计算公式为：</w:t>
      </w:r>
    </w:p>
    <w:p>
      <w:pPr>
        <w:pageBreakBefore w:val="0"/>
        <w:kinsoku/>
        <w:wordWrap/>
        <w:overflowPunct/>
        <w:topLinePunct w:val="0"/>
        <w:bidi w:val="0"/>
        <w:spacing w:line="440" w:lineRule="exact"/>
        <w:ind w:firstLine="480"/>
        <w:textAlignment w:val="auto"/>
        <w:rPr>
          <w:rFonts w:ascii="宋体" w:hAnsi="宋体" w:cs="宋体"/>
          <w:color w:val="auto"/>
          <w:kern w:val="1"/>
          <w:highlight w:val="none"/>
        </w:rPr>
      </w:pPr>
      <w:r>
        <w:rPr>
          <w:rFonts w:hint="eastAsia" w:ascii="宋体" w:hAnsi="宋体" w:cs="宋体"/>
          <w:color w:val="auto"/>
          <w:kern w:val="1"/>
          <w:highlight w:val="none"/>
          <w:lang w:bidi="ar"/>
        </w:rPr>
        <w:t>商务资信、技术分=（评标委员会所有成员评分合计数/评标委员会组成人员数）</w:t>
      </w:r>
    </w:p>
    <w:p>
      <w:pPr>
        <w:pageBreakBefore w:val="0"/>
        <w:kinsoku/>
        <w:wordWrap/>
        <w:overflowPunct/>
        <w:topLinePunct w:val="0"/>
        <w:bidi w:val="0"/>
        <w:spacing w:line="440" w:lineRule="exact"/>
        <w:ind w:firstLine="480"/>
        <w:textAlignment w:val="auto"/>
        <w:rPr>
          <w:rFonts w:ascii="宋体" w:hAnsi="宋体" w:cs="宋体"/>
          <w:color w:val="auto"/>
          <w:kern w:val="1"/>
          <w:highlight w:val="none"/>
        </w:rPr>
      </w:pPr>
      <w:r>
        <w:rPr>
          <w:rFonts w:hint="eastAsia" w:ascii="宋体" w:hAnsi="宋体" w:cs="宋体"/>
          <w:color w:val="auto"/>
          <w:kern w:val="1"/>
          <w:highlight w:val="none"/>
          <w:lang w:bidi="ar"/>
        </w:rPr>
        <w:t>投标人评标综合得分=价格分+商务资信、技术分</w:t>
      </w:r>
    </w:p>
    <w:p>
      <w:pPr>
        <w:pStyle w:val="5"/>
        <w:pageBreakBefore w:val="0"/>
        <w:numPr>
          <w:ilvl w:val="0"/>
          <w:numId w:val="4"/>
        </w:numPr>
        <w:kinsoku/>
        <w:wordWrap/>
        <w:overflowPunct/>
        <w:topLinePunct w:val="0"/>
        <w:bidi w:val="0"/>
        <w:spacing w:line="440" w:lineRule="exact"/>
        <w:ind w:left="0" w:leftChars="0" w:firstLine="480" w:firstLineChars="200"/>
        <w:textAlignment w:val="auto"/>
        <w:rPr>
          <w:rFonts w:hint="eastAsia"/>
          <w:color w:val="auto"/>
          <w:highlight w:val="none"/>
        </w:rPr>
      </w:pPr>
      <w:r>
        <w:rPr>
          <w:rFonts w:hint="eastAsia"/>
          <w:color w:val="auto"/>
          <w:highlight w:val="none"/>
        </w:rPr>
        <w:t>评分细则</w:t>
      </w:r>
    </w:p>
    <w:p>
      <w:pPr>
        <w:pageBreakBefore w:val="0"/>
        <w:kinsoku/>
        <w:wordWrap/>
        <w:overflowPunct/>
        <w:topLinePunct w:val="0"/>
        <w:bidi w:val="0"/>
        <w:spacing w:line="440" w:lineRule="exact"/>
        <w:ind w:firstLine="482"/>
        <w:textAlignment w:val="auto"/>
        <w:rPr>
          <w:rFonts w:hint="eastAsia" w:ascii="宋体" w:hAnsi="宋体" w:cs="宋体"/>
          <w:b/>
          <w:bCs/>
          <w:color w:val="auto"/>
          <w:highlight w:val="none"/>
          <w:lang w:bidi="ar"/>
        </w:rPr>
      </w:pPr>
      <w:r>
        <w:rPr>
          <w:rFonts w:hint="eastAsia"/>
          <w:b/>
          <w:bCs/>
          <w:color w:val="auto"/>
          <w:highlight w:val="none"/>
          <w:lang w:bidi="ar"/>
        </w:rPr>
        <w:t>3.1资信技术分</w:t>
      </w:r>
      <w:r>
        <w:rPr>
          <w:rFonts w:hint="eastAsia"/>
          <w:b/>
          <w:bCs/>
          <w:color w:val="auto"/>
          <w:highlight w:val="none"/>
          <w:lang w:eastAsia="zh-CN" w:bidi="ar"/>
        </w:rPr>
        <w:t>（</w:t>
      </w:r>
      <w:r>
        <w:rPr>
          <w:rFonts w:hint="eastAsia" w:ascii="宋体" w:hAnsi="宋体" w:cs="宋体"/>
          <w:b/>
          <w:bCs/>
          <w:color w:val="auto"/>
          <w:highlight w:val="none"/>
          <w:lang w:val="en-US" w:eastAsia="zh-CN" w:bidi="ar"/>
        </w:rPr>
        <w:t>7</w:t>
      </w:r>
      <w:r>
        <w:rPr>
          <w:rFonts w:hint="eastAsia" w:ascii="宋体" w:hAnsi="宋体" w:cs="宋体"/>
          <w:b/>
          <w:bCs/>
          <w:color w:val="auto"/>
          <w:highlight w:val="none"/>
          <w:lang w:val="en-US" w:eastAsia="zh-CN" w:bidi="ar"/>
        </w:rPr>
        <w:t>0</w:t>
      </w:r>
      <w:r>
        <w:rPr>
          <w:rFonts w:hint="eastAsia" w:ascii="宋体" w:hAnsi="宋体" w:cs="宋体"/>
          <w:b/>
          <w:bCs/>
          <w:color w:val="auto"/>
          <w:highlight w:val="none"/>
          <w:lang w:bidi="ar"/>
        </w:rPr>
        <w:t>分)</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b/>
          <w:bCs/>
          <w:color w:val="auto"/>
          <w:highlight w:val="none"/>
          <w:lang w:val="en-US" w:eastAsia="zh-CN"/>
        </w:rPr>
      </w:pPr>
      <w:r>
        <w:rPr>
          <w:rFonts w:hint="eastAsia" w:ascii="宋体" w:hAnsi="宋体" w:cs="宋体"/>
          <w:b/>
          <w:bCs/>
          <w:color w:val="auto"/>
          <w:highlight w:val="none"/>
          <w:lang w:val="en-US" w:eastAsia="zh-CN" w:bidi="ar"/>
        </w:rPr>
        <w:t>评分细则</w:t>
      </w:r>
      <w:r>
        <w:rPr>
          <w:rFonts w:hint="eastAsia"/>
          <w:b/>
          <w:bCs/>
          <w:color w:val="auto"/>
          <w:highlight w:val="none"/>
          <w:lang w:val="en-US" w:eastAsia="zh-CN"/>
        </w:rPr>
        <w:t>：</w:t>
      </w:r>
    </w:p>
    <w:tbl>
      <w:tblPr>
        <w:tblStyle w:val="37"/>
        <w:tblpPr w:leftFromText="180" w:rightFromText="180" w:vertAnchor="text" w:horzAnchor="page" w:tblpX="1180" w:tblpY="306"/>
        <w:tblOverlap w:val="never"/>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455"/>
        <w:gridCol w:w="6616"/>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评分内容</w:t>
            </w:r>
          </w:p>
        </w:tc>
        <w:tc>
          <w:tcPr>
            <w:tcW w:w="66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评分细则</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投标人综合实力</w:t>
            </w:r>
          </w:p>
        </w:tc>
        <w:tc>
          <w:tcPr>
            <w:tcW w:w="66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根据投标人的基本情况、信誉等进行打分。（提供相关证明材料并加盖CA签章）</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同类业绩</w:t>
            </w:r>
          </w:p>
        </w:tc>
        <w:tc>
          <w:tcPr>
            <w:tcW w:w="66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提供2020年1月1日开始至今浙江省三级医院成功实施案例，每提供1份同类委托服务项目的得0.5分，最高得3分。提供证明材料（提供合同复印件并加盖CA签章。）</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投标人相关证书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p>
        </w:tc>
        <w:tc>
          <w:tcPr>
            <w:tcW w:w="66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1.投标公司具有ISO15189认证证书的得1分；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2.投标公司具有临床基因扩增检验实验室技术验收合格证书得1分；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3.投标公司具有2021年度室间质评成绩优秀证书及合格证书总数≥120份得2分，80份≤总数≤119份的得1分，80份以下的不得分。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（提供证书复印件并加盖CA签章）</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ISO15189认可项目</w:t>
            </w:r>
          </w:p>
        </w:tc>
        <w:tc>
          <w:tcPr>
            <w:tcW w:w="66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投标公司通过ISO15189认可项目大于145项的得6分，130-144项得3分，小于130项得1分，没有通过ISO15189认可项目得0分。</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基因测序资质</w:t>
            </w:r>
          </w:p>
        </w:tc>
        <w:tc>
          <w:tcPr>
            <w:tcW w:w="66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提供高通量基因测序证明的得5分，不提供不得分。（提供证明文件并加盖CA签章）</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项目检测能力</w:t>
            </w:r>
          </w:p>
        </w:tc>
        <w:tc>
          <w:tcPr>
            <w:tcW w:w="66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根据针对采购文件中开展的检测项目清单所提供的检测仪器设备、试剂、检测方法学等情况进行打分。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1.检测项目清单、检测仪器设备、试剂、检测方法学等情况优于采购人要求的得7-10分；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2.检测项目清单、检测仪器设备、试剂、检测方法学等情况满足采购人要求的得3-6分；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3.检测项目清单、检测仪器设备、试剂、检测方法学等情况偏离采购人要求的得1-2分。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4.不提供的不得分。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（提供相关承诺、证明材料等并加盖CA签章）</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配送能力</w:t>
            </w:r>
          </w:p>
        </w:tc>
        <w:tc>
          <w:tcPr>
            <w:tcW w:w="66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公司或母公司下属公司或同一法人关联公司自有冷链物流配送公司的得8分，自有冷链配送车辆的得5分，委托第三方冷链配送的得2分。（投标人自有冷链配送公司的须提供营业执照复印件，自有车辆的须提供冷链车购买合同或发票，车辆行驶证等相关证明；委托第三冷链配送的须提供相关证明文件，以上证明资料均须加盖CA签章。）</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实验室技术人员资质</w:t>
            </w:r>
          </w:p>
        </w:tc>
        <w:tc>
          <w:tcPr>
            <w:tcW w:w="66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本项目配备副主任技师、医师及以上人员达到7名的得1分，每增加1名加1分，最高得8分。（以上人员需提供近三个月在职社保缴纳证明或反聘证明，职称证书复印件并加盖CA签章）</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项目配送方案</w:t>
            </w:r>
          </w:p>
        </w:tc>
        <w:tc>
          <w:tcPr>
            <w:tcW w:w="66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根据投标提供的项目配送方案（包括配置车辆，冷链车数量，冷链箱数量，物流运送路线和车次安排，如何保障样本每天的及时送达，安全措施等）的全面性、合理性进行打分：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1.项目配送方案全面合理，完全满足采购要求的得7-10分；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2.项目配送方案较为全面合理，基本满足采购要求的得3-6分；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3.项目配送方案存在缺项漏项，部分满足采购要求的得1-2分。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4.不提供项目实施方案的不得分。</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应急预案</w:t>
            </w:r>
          </w:p>
        </w:tc>
        <w:tc>
          <w:tcPr>
            <w:tcW w:w="66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根据投标公司提供的应急预案（包括标本运输紧急预案）的全面性、科学性进行打分。</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服务和承诺</w:t>
            </w:r>
          </w:p>
        </w:tc>
        <w:tc>
          <w:tcPr>
            <w:tcW w:w="66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根据投标公司提供的相关服务和承诺进行打分。</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综合评价</w:t>
            </w:r>
          </w:p>
        </w:tc>
        <w:tc>
          <w:tcPr>
            <w:tcW w:w="66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评委根据投标文件的条理性、完整性、对采购文件要求的响应情况等方面综合打分。</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0-2分</w:t>
            </w:r>
          </w:p>
        </w:tc>
      </w:tr>
    </w:tbl>
    <w:p>
      <w:pPr>
        <w:pageBreakBefore w:val="0"/>
        <w:kinsoku/>
        <w:wordWrap/>
        <w:overflowPunct/>
        <w:topLinePunct w:val="0"/>
        <w:bidi w:val="0"/>
        <w:spacing w:line="440" w:lineRule="exact"/>
        <w:ind w:firstLine="480" w:firstLineChars="200"/>
        <w:textAlignment w:val="auto"/>
        <w:rPr>
          <w:rFonts w:ascii="宋体" w:hAnsi="宋体"/>
          <w:b/>
          <w:bCs/>
          <w:color w:val="auto"/>
          <w:highlight w:val="none"/>
        </w:rPr>
      </w:pPr>
      <w:r>
        <w:rPr>
          <w:rFonts w:hint="eastAsia" w:ascii="宋体" w:hAnsi="宋体"/>
          <w:b/>
          <w:bCs/>
          <w:color w:val="auto"/>
          <w:highlight w:val="none"/>
          <w:lang w:bidi="ar"/>
        </w:rPr>
        <w:t>3.2报价分(</w:t>
      </w:r>
      <w:r>
        <w:rPr>
          <w:rFonts w:hint="eastAsia" w:ascii="宋体" w:hAnsi="宋体"/>
          <w:b/>
          <w:bCs/>
          <w:color w:val="auto"/>
          <w:highlight w:val="none"/>
          <w:lang w:val="en-US" w:eastAsia="zh-CN" w:bidi="ar"/>
        </w:rPr>
        <w:t>30</w:t>
      </w:r>
      <w:r>
        <w:rPr>
          <w:rFonts w:hint="eastAsia" w:ascii="宋体" w:hAnsi="宋体"/>
          <w:b/>
          <w:bCs/>
          <w:color w:val="auto"/>
          <w:highlight w:val="none"/>
          <w:lang w:bidi="ar"/>
        </w:rPr>
        <w:t>分)</w:t>
      </w:r>
    </w:p>
    <w:p>
      <w:pPr>
        <w:keepNext w:val="0"/>
        <w:keepLines w:val="0"/>
        <w:pageBreakBefore w:val="0"/>
        <w:kinsoku/>
        <w:wordWrap/>
        <w:overflowPunct/>
        <w:topLinePunct w:val="0"/>
        <w:bidi w:val="0"/>
        <w:adjustRightInd/>
        <w:snapToGrid/>
        <w:spacing w:line="440" w:lineRule="exact"/>
        <w:ind w:firstLine="480"/>
        <w:textAlignment w:val="auto"/>
        <w:rPr>
          <w:rFonts w:ascii="宋体" w:hAnsi="宋体"/>
          <w:color w:val="auto"/>
          <w:highlight w:val="none"/>
          <w:lang w:bidi="ar"/>
        </w:rPr>
      </w:pPr>
      <w:r>
        <w:rPr>
          <w:rFonts w:hint="eastAsia" w:ascii="宋体" w:hAnsi="宋体"/>
          <w:color w:val="auto"/>
          <w:highlight w:val="none"/>
          <w:lang w:bidi="ar"/>
        </w:rPr>
        <w:t>3.2.1价格评分采用低价优先法计算，即</w:t>
      </w:r>
      <w:r>
        <w:rPr>
          <w:rFonts w:hint="eastAsia" w:ascii="宋体" w:hAnsi="宋体"/>
          <w:color w:val="auto"/>
          <w:highlight w:val="none"/>
          <w:lang w:eastAsia="zh-CN" w:bidi="ar"/>
        </w:rPr>
        <w:t>在有效报价中，</w:t>
      </w:r>
      <w:r>
        <w:rPr>
          <w:rFonts w:hint="eastAsia" w:ascii="宋体" w:hAnsi="宋体"/>
          <w:color w:val="auto"/>
          <w:highlight w:val="none"/>
          <w:lang w:bidi="ar"/>
        </w:rPr>
        <w:t>满足采购文件要求且投标</w:t>
      </w:r>
      <w:r>
        <w:rPr>
          <w:rFonts w:hint="eastAsia" w:ascii="宋体" w:hAnsi="宋体"/>
          <w:color w:val="auto"/>
          <w:highlight w:val="none"/>
          <w:lang w:eastAsia="zh-CN" w:bidi="ar"/>
        </w:rPr>
        <w:t>价格</w:t>
      </w:r>
      <w:r>
        <w:rPr>
          <w:rFonts w:hint="eastAsia" w:ascii="宋体" w:hAnsi="宋体"/>
          <w:color w:val="auto"/>
          <w:highlight w:val="none"/>
          <w:lang w:eastAsia="zh-CN" w:bidi="ar"/>
        </w:rPr>
        <w:t>（</w:t>
      </w:r>
      <w:r>
        <w:rPr>
          <w:rFonts w:hint="eastAsia" w:ascii="宋体" w:hAnsi="宋体"/>
          <w:color w:val="auto"/>
          <w:highlight w:val="none"/>
          <w:lang w:val="en-US" w:eastAsia="zh-CN" w:bidi="ar"/>
        </w:rPr>
        <w:t>折扣率</w:t>
      </w:r>
      <w:r>
        <w:rPr>
          <w:rFonts w:hint="eastAsia" w:ascii="宋体" w:hAnsi="宋体"/>
          <w:color w:val="auto"/>
          <w:highlight w:val="none"/>
          <w:lang w:eastAsia="zh-CN" w:bidi="ar"/>
        </w:rPr>
        <w:t>）</w:t>
      </w:r>
      <w:r>
        <w:rPr>
          <w:rFonts w:hint="eastAsia" w:ascii="宋体" w:hAnsi="宋体"/>
          <w:color w:val="auto"/>
          <w:highlight w:val="none"/>
          <w:lang w:bidi="ar"/>
        </w:rPr>
        <w:t>最</w:t>
      </w:r>
      <w:r>
        <w:rPr>
          <w:rFonts w:hint="eastAsia" w:ascii="宋体" w:hAnsi="宋体"/>
          <w:color w:val="auto"/>
          <w:highlight w:val="none"/>
          <w:lang w:eastAsia="zh-CN" w:bidi="ar"/>
        </w:rPr>
        <w:t>低</w:t>
      </w:r>
      <w:r>
        <w:rPr>
          <w:rFonts w:hint="eastAsia" w:ascii="宋体" w:hAnsi="宋体"/>
          <w:color w:val="auto"/>
          <w:highlight w:val="none"/>
          <w:lang w:bidi="ar"/>
        </w:rPr>
        <w:t>的投标</w:t>
      </w:r>
      <w:r>
        <w:rPr>
          <w:rFonts w:hint="eastAsia" w:ascii="宋体" w:hAnsi="宋体"/>
          <w:color w:val="auto"/>
          <w:highlight w:val="none"/>
          <w:lang w:eastAsia="zh-CN" w:bidi="ar"/>
        </w:rPr>
        <w:t>报价</w:t>
      </w:r>
      <w:r>
        <w:rPr>
          <w:rFonts w:hint="eastAsia" w:ascii="宋体" w:hAnsi="宋体"/>
          <w:color w:val="auto"/>
          <w:highlight w:val="none"/>
          <w:lang w:bidi="ar"/>
        </w:rPr>
        <w:t>为评标基准</w:t>
      </w:r>
      <w:r>
        <w:rPr>
          <w:rFonts w:hint="eastAsia" w:ascii="宋体" w:hAnsi="宋体"/>
          <w:color w:val="auto"/>
          <w:highlight w:val="none"/>
          <w:lang w:eastAsia="zh-CN" w:bidi="ar"/>
        </w:rPr>
        <w:t>价</w:t>
      </w:r>
      <w:r>
        <w:rPr>
          <w:rFonts w:hint="eastAsia" w:ascii="宋体" w:hAnsi="宋体"/>
          <w:color w:val="auto"/>
          <w:highlight w:val="none"/>
          <w:lang w:bidi="ar"/>
        </w:rPr>
        <w:t>，其报价分为满分</w:t>
      </w:r>
      <w:r>
        <w:rPr>
          <w:rFonts w:hint="eastAsia" w:ascii="宋体" w:hAnsi="宋体"/>
          <w:color w:val="auto"/>
          <w:highlight w:val="none"/>
          <w:lang w:val="en-US" w:eastAsia="zh-CN" w:bidi="ar"/>
        </w:rPr>
        <w:t>30</w:t>
      </w:r>
      <w:r>
        <w:rPr>
          <w:rFonts w:hint="eastAsia" w:ascii="宋体" w:hAnsi="宋体"/>
          <w:color w:val="auto"/>
          <w:highlight w:val="none"/>
          <w:lang w:bidi="ar"/>
        </w:rPr>
        <w:t>分。其他投标人的报价分统一按照下列公式计算：投标报价得分=（评标基准价/投标报价</w:t>
      </w:r>
      <w:r>
        <w:rPr>
          <w:rFonts w:hint="eastAsia" w:ascii="宋体" w:hAnsi="宋体"/>
          <w:color w:val="auto"/>
          <w:highlight w:val="none"/>
          <w:lang w:bidi="ar"/>
        </w:rPr>
        <w:t>（折扣率）</w:t>
      </w:r>
      <w:r>
        <w:rPr>
          <w:rFonts w:hint="eastAsia" w:ascii="宋体" w:hAnsi="宋体"/>
          <w:color w:val="auto"/>
          <w:highlight w:val="none"/>
          <w:lang w:bidi="ar"/>
        </w:rPr>
        <w:t>）×</w:t>
      </w:r>
      <w:r>
        <w:rPr>
          <w:rFonts w:hint="eastAsia" w:ascii="宋体" w:hAnsi="宋体"/>
          <w:color w:val="auto"/>
          <w:highlight w:val="none"/>
          <w:lang w:val="en-US" w:eastAsia="zh-CN" w:bidi="ar"/>
        </w:rPr>
        <w:t>30</w:t>
      </w:r>
      <w:r>
        <w:rPr>
          <w:rFonts w:hint="eastAsia" w:ascii="宋体" w:hAnsi="宋体"/>
          <w:color w:val="auto"/>
          <w:highlight w:val="none"/>
          <w:lang w:bidi="ar"/>
        </w:rPr>
        <w:t>%×100（保留到小数点后两位，第三位四舍五入）。</w:t>
      </w:r>
    </w:p>
    <w:p>
      <w:pPr>
        <w:pageBreakBefore w:val="0"/>
        <w:kinsoku/>
        <w:wordWrap/>
        <w:overflowPunct/>
        <w:topLinePunct w:val="0"/>
        <w:bidi w:val="0"/>
        <w:spacing w:line="440" w:lineRule="exact"/>
        <w:ind w:firstLine="480"/>
        <w:textAlignment w:val="auto"/>
        <w:rPr>
          <w:rFonts w:ascii="宋体" w:hAnsi="宋体"/>
          <w:b/>
          <w:bCs/>
          <w:color w:val="auto"/>
          <w:highlight w:val="none"/>
          <w:lang w:bidi="ar"/>
        </w:rPr>
      </w:pPr>
      <w:r>
        <w:rPr>
          <w:rFonts w:hint="eastAsia" w:ascii="宋体" w:hAnsi="宋体"/>
          <w:color w:val="auto"/>
          <w:highlight w:val="none"/>
          <w:lang w:bidi="ar"/>
        </w:rPr>
        <w:t>3.2.</w:t>
      </w:r>
      <w:r>
        <w:rPr>
          <w:rFonts w:hint="eastAsia" w:ascii="宋体" w:hAnsi="宋体"/>
          <w:color w:val="auto"/>
          <w:highlight w:val="none"/>
          <w:lang w:val="zh-CN" w:bidi="ar"/>
        </w:rPr>
        <w:t>2</w:t>
      </w:r>
      <w:r>
        <w:rPr>
          <w:rFonts w:hint="eastAsia" w:ascii="宋体" w:hAnsi="宋体"/>
          <w:b/>
          <w:bCs/>
          <w:color w:val="auto"/>
          <w:highlight w:val="none"/>
          <w:lang w:val="zh-CN" w:bidi="ar"/>
        </w:rPr>
        <w:t>根据财政部87号令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b/>
          <w:bCs/>
          <w:color w:val="auto"/>
          <w:highlight w:val="none"/>
          <w:lang w:bidi="ar"/>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bookmarkStart w:id="139" w:name="_Toc86216994"/>
      <w:r>
        <w:rPr>
          <w:rFonts w:hint="eastAsia" w:ascii="宋体" w:hAnsi="宋体" w:eastAsia="宋体" w:cs="宋体"/>
          <w:color w:val="auto"/>
          <w:sz w:val="24"/>
          <w:szCs w:val="24"/>
          <w:highlight w:val="none"/>
          <w:lang w:val="en-US" w:eastAsia="zh-CN" w:bidi="ar"/>
        </w:rPr>
        <w:t>3.3</w:t>
      </w:r>
      <w:r>
        <w:rPr>
          <w:rFonts w:hint="eastAsia" w:ascii="宋体" w:hAnsi="宋体" w:eastAsia="宋体" w:cs="宋体"/>
          <w:color w:val="auto"/>
          <w:sz w:val="24"/>
          <w:szCs w:val="24"/>
          <w:highlight w:val="none"/>
        </w:rPr>
        <w:t>支持中小企业发展</w:t>
      </w:r>
    </w:p>
    <w:p>
      <w:pPr>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6"/>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3.3.2.1在货物采购项目中，货物由中小企业制造，即货物由中小企业生产且使用该中小企业商号或者注册商标；</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3.3.2.2在工程采购项目中，工程由中小企业承建，即工程施工单位为中小企业；</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3.3.2.3在服务采购项目中，服务由中小企业承接，即提供服务的人员为中小企业依照《中华人民共和国劳动合同法》订立劳动合同的从业人员。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3.3.4符合《关于促进残疾人就业政府采购政策的通知》（财库〔2017〕141号）规定的条件并提供《残疾人福利性单位声明函》的残疾人福利性单位视同小型、微型企业；</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pPr>
        <w:pStyle w:val="90"/>
        <w:keepNext w:val="0"/>
        <w:keepLines w:val="0"/>
        <w:pageBreakBefore w:val="0"/>
        <w:kinsoku/>
        <w:wordWrap/>
        <w:overflowPunct/>
        <w:topLinePunct w:val="0"/>
        <w:autoSpaceDE/>
        <w:autoSpaceDN/>
        <w:bidi w:val="0"/>
        <w:adjustRightInd/>
        <w:snapToGrid/>
        <w:spacing w:line="500" w:lineRule="exact"/>
        <w:ind w:left="0" w:leftChars="0" w:firstLine="464"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olor w:val="auto"/>
          <w:highlight w:val="none"/>
        </w:rPr>
      </w:pPr>
      <w:r>
        <w:rPr>
          <w:rFonts w:hint="eastAsia" w:ascii="宋体" w:hAnsi="宋体"/>
          <w:color w:val="auto"/>
          <w:highlight w:val="none"/>
        </w:rPr>
        <w:t>28. 评标内容的保密</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olor w:val="auto"/>
          <w:highlight w:val="none"/>
        </w:rPr>
      </w:pPr>
      <w:r>
        <w:rPr>
          <w:rFonts w:hint="eastAsia" w:ascii="宋体" w:hAnsi="宋体"/>
          <w:color w:val="auto"/>
          <w:highlight w:val="none"/>
        </w:rPr>
        <w:t>28.1 公开开标后，直到宣布中标单位止，凡属于审查、澄清、评价和比较投标的所有资料，都不应向供应商或与评标无关的其他人泄露。</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olor w:val="auto"/>
          <w:highlight w:val="none"/>
        </w:rPr>
      </w:pPr>
      <w:r>
        <w:rPr>
          <w:rFonts w:hint="eastAsia" w:ascii="宋体" w:hAnsi="宋体"/>
          <w:color w:val="auto"/>
          <w:highlight w:val="none"/>
        </w:rPr>
        <w:t>28.2 在投标文件的审查、澄清、评价和比较以及确定中标人过程中，供应商对采购人和评标机构施加影响的任何行为，都将导致取消资格。</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olor w:val="auto"/>
          <w:highlight w:val="none"/>
        </w:rPr>
      </w:pPr>
      <w:r>
        <w:rPr>
          <w:rFonts w:hint="eastAsia" w:ascii="宋体" w:hAnsi="宋体"/>
          <w:color w:val="auto"/>
          <w:highlight w:val="none"/>
        </w:rPr>
        <w:t>29. 投标文件的澄清</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olor w:val="auto"/>
          <w:highlight w:val="none"/>
        </w:rPr>
      </w:pPr>
      <w:r>
        <w:rPr>
          <w:rFonts w:hint="eastAsia" w:ascii="宋体" w:hAnsi="宋体"/>
          <w:color w:val="auto"/>
          <w:highlight w:val="none"/>
        </w:rPr>
        <w:t>29.1公开开标后，直到宣布中标单位止，凡属于审查、澄清、评价和比较投标的所有资料，都不应向供应商或与评标无关的其他人泄露。</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olor w:val="auto"/>
          <w:highlight w:val="none"/>
        </w:rPr>
      </w:pPr>
      <w:r>
        <w:rPr>
          <w:rFonts w:hint="eastAsia" w:ascii="宋体" w:hAnsi="宋体"/>
          <w:color w:val="auto"/>
          <w:highlight w:val="none"/>
        </w:rPr>
        <w:t>29.2在投标文件的审查、澄清、评价和比较以及确定中标人过程中，供应商对采购人、招标代理机构和评标委员会施加影响的任何行为，都将导致取消资格。</w:t>
      </w:r>
    </w:p>
    <w:p>
      <w:pPr>
        <w:pageBreakBefore w:val="0"/>
        <w:kinsoku/>
        <w:wordWrap/>
        <w:overflowPunct/>
        <w:topLinePunct w:val="0"/>
        <w:bidi w:val="0"/>
        <w:spacing w:line="440" w:lineRule="exact"/>
        <w:ind w:firstLine="480"/>
        <w:textAlignment w:val="auto"/>
        <w:rPr>
          <w:rFonts w:ascii="宋体" w:hAnsi="宋体"/>
          <w:color w:val="auto"/>
          <w:highlight w:val="none"/>
        </w:rPr>
      </w:pPr>
      <w:r>
        <w:rPr>
          <w:rFonts w:hint="eastAsia" w:ascii="宋体" w:hAnsi="宋体"/>
          <w:color w:val="auto"/>
          <w:highlight w:val="none"/>
        </w:rPr>
        <w:t>30. 废标</w:t>
      </w:r>
    </w:p>
    <w:p>
      <w:pPr>
        <w:pageBreakBefore w:val="0"/>
        <w:kinsoku/>
        <w:wordWrap/>
        <w:overflowPunct/>
        <w:topLinePunct w:val="0"/>
        <w:bidi w:val="0"/>
        <w:spacing w:line="440" w:lineRule="exact"/>
        <w:ind w:firstLine="480"/>
        <w:textAlignment w:val="auto"/>
        <w:rPr>
          <w:rFonts w:ascii="宋体" w:hAnsi="宋体"/>
          <w:color w:val="auto"/>
          <w:highlight w:val="none"/>
        </w:rPr>
      </w:pPr>
      <w:r>
        <w:rPr>
          <w:rFonts w:hint="eastAsia" w:ascii="宋体" w:hAnsi="宋体"/>
          <w:color w:val="auto"/>
          <w:highlight w:val="none"/>
        </w:rPr>
        <w:t>在采购中，出现下列情形之一的，应予废标：</w:t>
      </w:r>
    </w:p>
    <w:p>
      <w:pPr>
        <w:pageBreakBefore w:val="0"/>
        <w:kinsoku/>
        <w:wordWrap/>
        <w:overflowPunct/>
        <w:topLinePunct w:val="0"/>
        <w:bidi w:val="0"/>
        <w:spacing w:line="440" w:lineRule="exact"/>
        <w:ind w:firstLine="480"/>
        <w:textAlignment w:val="auto"/>
        <w:rPr>
          <w:rFonts w:ascii="宋体" w:hAnsi="宋体"/>
          <w:color w:val="auto"/>
          <w:highlight w:val="none"/>
        </w:rPr>
      </w:pPr>
      <w:r>
        <w:rPr>
          <w:rFonts w:hint="eastAsia" w:ascii="宋体" w:hAnsi="宋体"/>
          <w:color w:val="auto"/>
          <w:highlight w:val="none"/>
        </w:rPr>
        <w:t>(1)符合专业条件的供应商或者对采购文件作实质响应的供应商不足3家的；</w:t>
      </w:r>
    </w:p>
    <w:p>
      <w:pPr>
        <w:pageBreakBefore w:val="0"/>
        <w:kinsoku/>
        <w:wordWrap/>
        <w:overflowPunct/>
        <w:topLinePunct w:val="0"/>
        <w:bidi w:val="0"/>
        <w:spacing w:line="440" w:lineRule="exact"/>
        <w:ind w:firstLine="480"/>
        <w:textAlignment w:val="auto"/>
        <w:rPr>
          <w:rFonts w:ascii="宋体" w:hAnsi="宋体"/>
          <w:color w:val="auto"/>
          <w:highlight w:val="none"/>
        </w:rPr>
      </w:pPr>
      <w:r>
        <w:rPr>
          <w:rFonts w:hint="eastAsia" w:ascii="宋体" w:hAnsi="宋体"/>
          <w:color w:val="auto"/>
          <w:highlight w:val="none"/>
        </w:rPr>
        <w:t>(2)出现影响采购公正的违法、违规行为的；</w:t>
      </w:r>
    </w:p>
    <w:p>
      <w:pPr>
        <w:pageBreakBefore w:val="0"/>
        <w:kinsoku/>
        <w:wordWrap/>
        <w:overflowPunct/>
        <w:topLinePunct w:val="0"/>
        <w:bidi w:val="0"/>
        <w:spacing w:line="440" w:lineRule="exact"/>
        <w:ind w:firstLine="480"/>
        <w:textAlignment w:val="auto"/>
        <w:rPr>
          <w:rFonts w:ascii="宋体" w:hAnsi="宋体"/>
          <w:color w:val="auto"/>
          <w:highlight w:val="none"/>
        </w:rPr>
      </w:pPr>
      <w:r>
        <w:rPr>
          <w:rFonts w:hint="eastAsia" w:ascii="宋体" w:hAnsi="宋体"/>
          <w:color w:val="auto"/>
          <w:highlight w:val="none"/>
        </w:rPr>
        <w:t>(3)报价均超过预算，不能支付的；</w:t>
      </w:r>
    </w:p>
    <w:p>
      <w:pPr>
        <w:pageBreakBefore w:val="0"/>
        <w:kinsoku/>
        <w:wordWrap/>
        <w:overflowPunct/>
        <w:topLinePunct w:val="0"/>
        <w:bidi w:val="0"/>
        <w:spacing w:line="440" w:lineRule="exact"/>
        <w:ind w:firstLine="480"/>
        <w:textAlignment w:val="auto"/>
        <w:rPr>
          <w:rFonts w:ascii="宋体" w:hAnsi="宋体"/>
          <w:bCs/>
          <w:color w:val="auto"/>
          <w:highlight w:val="none"/>
        </w:rPr>
      </w:pPr>
      <w:r>
        <w:rPr>
          <w:rFonts w:hint="eastAsia" w:ascii="宋体" w:hAnsi="宋体"/>
          <w:color w:val="auto"/>
          <w:highlight w:val="none"/>
        </w:rPr>
        <w:t>(4)因重大变故，采购任务取消的。</w:t>
      </w:r>
    </w:p>
    <w:p>
      <w:pPr>
        <w:pageBreakBefore w:val="0"/>
        <w:kinsoku/>
        <w:wordWrap/>
        <w:overflowPunct/>
        <w:topLinePunct w:val="0"/>
        <w:bidi w:val="0"/>
        <w:spacing w:line="440" w:lineRule="exact"/>
        <w:ind w:firstLine="480"/>
        <w:textAlignment w:val="auto"/>
        <w:rPr>
          <w:rFonts w:ascii="宋体" w:hAnsi="宋体"/>
          <w:color w:val="auto"/>
          <w:highlight w:val="none"/>
        </w:rPr>
      </w:pPr>
      <w:r>
        <w:rPr>
          <w:rFonts w:hint="eastAsia" w:ascii="宋体" w:hAnsi="宋体"/>
          <w:color w:val="auto"/>
          <w:highlight w:val="none"/>
        </w:rPr>
        <w:t>31.可中止电子交易活动的情形</w:t>
      </w:r>
    </w:p>
    <w:p>
      <w:pPr>
        <w:pageBreakBefore w:val="0"/>
        <w:kinsoku/>
        <w:wordWrap/>
        <w:overflowPunct/>
        <w:topLinePunct w:val="0"/>
        <w:bidi w:val="0"/>
        <w:spacing w:line="440" w:lineRule="exact"/>
        <w:ind w:firstLine="480"/>
        <w:textAlignment w:val="auto"/>
        <w:rPr>
          <w:rFonts w:ascii="宋体" w:hAnsi="宋体"/>
          <w:color w:val="auto"/>
          <w:highlight w:val="none"/>
        </w:rPr>
      </w:pPr>
      <w:r>
        <w:rPr>
          <w:rFonts w:hint="eastAsia" w:ascii="宋体" w:hAnsi="宋体"/>
          <w:color w:val="auto"/>
          <w:highlight w:val="none"/>
        </w:rPr>
        <w:t>采购过程中出现以下情形，导致电子交易平台无法正常运行，或者无法保证电子交易的公平、公正和安全时，采购组织机构可中止电子交易活动：</w:t>
      </w:r>
    </w:p>
    <w:p>
      <w:pPr>
        <w:pageBreakBefore w:val="0"/>
        <w:kinsoku/>
        <w:wordWrap/>
        <w:overflowPunct/>
        <w:topLinePunct w:val="0"/>
        <w:bidi w:val="0"/>
        <w:spacing w:line="440" w:lineRule="exact"/>
        <w:ind w:firstLine="480"/>
        <w:textAlignment w:val="auto"/>
        <w:rPr>
          <w:rFonts w:ascii="宋体" w:hAnsi="宋体"/>
          <w:color w:val="auto"/>
          <w:highlight w:val="none"/>
        </w:rPr>
      </w:pPr>
      <w:r>
        <w:rPr>
          <w:rFonts w:hint="eastAsia" w:ascii="宋体" w:hAnsi="宋体"/>
          <w:color w:val="auto"/>
          <w:highlight w:val="none"/>
        </w:rPr>
        <w:t>31.1电子交易平台发生故障而无法登录访问的；</w:t>
      </w:r>
    </w:p>
    <w:p>
      <w:pPr>
        <w:pageBreakBefore w:val="0"/>
        <w:kinsoku/>
        <w:wordWrap/>
        <w:overflowPunct/>
        <w:topLinePunct w:val="0"/>
        <w:bidi w:val="0"/>
        <w:spacing w:line="440" w:lineRule="exact"/>
        <w:ind w:firstLine="480"/>
        <w:textAlignment w:val="auto"/>
        <w:rPr>
          <w:rFonts w:ascii="宋体" w:hAnsi="宋体"/>
          <w:color w:val="auto"/>
          <w:highlight w:val="none"/>
        </w:rPr>
      </w:pPr>
      <w:r>
        <w:rPr>
          <w:rFonts w:hint="eastAsia" w:ascii="宋体" w:hAnsi="宋体"/>
          <w:color w:val="auto"/>
          <w:highlight w:val="none"/>
        </w:rPr>
        <w:t>31.2电子交易平台应用或数据库出现错误，不能进行正常操作的；</w:t>
      </w:r>
    </w:p>
    <w:p>
      <w:pPr>
        <w:pageBreakBefore w:val="0"/>
        <w:kinsoku/>
        <w:wordWrap/>
        <w:overflowPunct/>
        <w:topLinePunct w:val="0"/>
        <w:bidi w:val="0"/>
        <w:spacing w:line="440" w:lineRule="exact"/>
        <w:ind w:firstLine="480"/>
        <w:textAlignment w:val="auto"/>
        <w:rPr>
          <w:rFonts w:ascii="宋体" w:hAnsi="宋体"/>
          <w:color w:val="auto"/>
          <w:highlight w:val="none"/>
        </w:rPr>
      </w:pPr>
      <w:r>
        <w:rPr>
          <w:rFonts w:hint="eastAsia" w:ascii="宋体" w:hAnsi="宋体"/>
          <w:color w:val="auto"/>
          <w:highlight w:val="none"/>
        </w:rPr>
        <w:t>31.3电子交易平台发现严重安全漏洞，有潜在泄密危险的；</w:t>
      </w:r>
    </w:p>
    <w:p>
      <w:pPr>
        <w:pageBreakBefore w:val="0"/>
        <w:kinsoku/>
        <w:wordWrap/>
        <w:overflowPunct/>
        <w:topLinePunct w:val="0"/>
        <w:bidi w:val="0"/>
        <w:spacing w:line="440" w:lineRule="exact"/>
        <w:ind w:firstLine="480"/>
        <w:textAlignment w:val="auto"/>
        <w:rPr>
          <w:rFonts w:ascii="宋体" w:hAnsi="宋体"/>
          <w:color w:val="auto"/>
          <w:highlight w:val="none"/>
        </w:rPr>
      </w:pPr>
      <w:r>
        <w:rPr>
          <w:rFonts w:hint="eastAsia" w:ascii="宋体" w:hAnsi="宋体"/>
          <w:color w:val="auto"/>
          <w:highlight w:val="none"/>
        </w:rPr>
        <w:t>31.4病毒发作导致不能进行正常操作的；</w:t>
      </w:r>
    </w:p>
    <w:p>
      <w:pPr>
        <w:pageBreakBefore w:val="0"/>
        <w:kinsoku/>
        <w:wordWrap/>
        <w:overflowPunct/>
        <w:topLinePunct w:val="0"/>
        <w:bidi w:val="0"/>
        <w:spacing w:line="440" w:lineRule="exact"/>
        <w:ind w:firstLine="480"/>
        <w:textAlignment w:val="auto"/>
        <w:rPr>
          <w:rFonts w:ascii="宋体" w:hAnsi="宋体"/>
          <w:color w:val="auto"/>
          <w:highlight w:val="none"/>
        </w:rPr>
      </w:pPr>
      <w:r>
        <w:rPr>
          <w:rFonts w:hint="eastAsia" w:ascii="宋体" w:hAnsi="宋体"/>
          <w:color w:val="auto"/>
          <w:highlight w:val="none"/>
        </w:rPr>
        <w:t>31.5其他无法保证电子交易的公平、公正和安全的情况。</w:t>
      </w:r>
    </w:p>
    <w:p>
      <w:pPr>
        <w:pageBreakBefore w:val="0"/>
        <w:kinsoku/>
        <w:wordWrap/>
        <w:overflowPunct/>
        <w:topLinePunct w:val="0"/>
        <w:bidi w:val="0"/>
        <w:spacing w:line="440" w:lineRule="exact"/>
        <w:ind w:firstLine="480"/>
        <w:textAlignment w:val="auto"/>
        <w:rPr>
          <w:rFonts w:ascii="宋体" w:hAnsi="宋体"/>
          <w:color w:val="auto"/>
          <w:highlight w:val="none"/>
        </w:rPr>
      </w:pPr>
      <w:r>
        <w:rPr>
          <w:rFonts w:hint="eastAsia" w:ascii="宋体" w:hAnsi="宋体"/>
          <w:color w:val="auto"/>
          <w:highlight w:val="none"/>
        </w:rPr>
        <w:t>32.出现第31款规定以内的情形，不影响采购公平、公正性的，采购组织机构可以待上述情形消除后继续组织电子交易活动；影响或可能影响采购公平、公正性的，应当重新采购。</w:t>
      </w:r>
    </w:p>
    <w:p>
      <w:pPr>
        <w:pStyle w:val="68"/>
        <w:pageBreakBefore w:val="0"/>
        <w:kinsoku/>
        <w:wordWrap/>
        <w:overflowPunct/>
        <w:topLinePunct w:val="0"/>
        <w:bidi w:val="0"/>
        <w:spacing w:line="440" w:lineRule="exact"/>
        <w:ind w:firstLine="0"/>
        <w:jc w:val="center"/>
        <w:textAlignment w:val="auto"/>
        <w:outlineLvl w:val="1"/>
        <w:rPr>
          <w:rFonts w:hAnsi="宋体" w:cs="宋体"/>
          <w:b/>
          <w:bCs/>
          <w:color w:val="auto"/>
          <w:sz w:val="32"/>
          <w:szCs w:val="32"/>
          <w:highlight w:val="none"/>
        </w:rPr>
      </w:pPr>
      <w:r>
        <w:rPr>
          <w:rFonts w:hint="eastAsia" w:hAnsi="宋体" w:cs="宋体"/>
          <w:b/>
          <w:bCs/>
          <w:color w:val="auto"/>
          <w:sz w:val="32"/>
          <w:szCs w:val="32"/>
          <w:highlight w:val="none"/>
        </w:rPr>
        <w:t>七、定标</w:t>
      </w:r>
    </w:p>
    <w:p>
      <w:pPr>
        <w:pStyle w:val="4"/>
        <w:pageBreakBefore w:val="0"/>
        <w:kinsoku/>
        <w:wordWrap/>
        <w:overflowPunct/>
        <w:topLinePunct w:val="0"/>
        <w:bidi w:val="0"/>
        <w:spacing w:line="440" w:lineRule="exact"/>
        <w:ind w:firstLine="480" w:firstLineChars="200"/>
        <w:jc w:val="both"/>
        <w:textAlignment w:val="auto"/>
        <w:rPr>
          <w:rFonts w:hint="eastAsia"/>
          <w:color w:val="auto"/>
          <w:highlight w:val="none"/>
        </w:rPr>
      </w:pPr>
      <w:r>
        <w:rPr>
          <w:rFonts w:hint="eastAsia"/>
          <w:color w:val="auto"/>
          <w:highlight w:val="none"/>
        </w:rPr>
        <w:t>33. 定标</w:t>
      </w:r>
    </w:p>
    <w:p>
      <w:pPr>
        <w:pageBreakBefore w:val="0"/>
        <w:shd w:val="clear" w:color="auto" w:fill="FFFFFF"/>
        <w:kinsoku/>
        <w:wordWrap/>
        <w:overflowPunct/>
        <w:topLinePunct w:val="0"/>
        <w:bidi w:val="0"/>
        <w:snapToGrid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33.1确定中标人后，招标代理机构将在发布招标公告的网站上公布评标结果。</w:t>
      </w:r>
    </w:p>
    <w:p>
      <w:pPr>
        <w:pageBreakBefore w:val="0"/>
        <w:shd w:val="clear" w:color="auto" w:fill="FFFFFF"/>
        <w:tabs>
          <w:tab w:val="left" w:pos="0"/>
        </w:tabs>
        <w:kinsoku/>
        <w:wordWrap/>
        <w:overflowPunct/>
        <w:topLinePunct w:val="0"/>
        <w:bidi w:val="0"/>
        <w:snapToGrid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33.2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pPr>
        <w:pageBreakBefore w:val="0"/>
        <w:shd w:val="clear" w:color="auto" w:fill="FFFFFF"/>
        <w:kinsoku/>
        <w:wordWrap/>
        <w:overflowPunct/>
        <w:topLinePunct w:val="0"/>
        <w:bidi w:val="0"/>
        <w:snapToGrid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33.3在中标人签订合同并生效后，招标代理机构及时将未中标的结果通知其他供应商。</w:t>
      </w:r>
    </w:p>
    <w:p>
      <w:pPr>
        <w:pStyle w:val="21"/>
        <w:pageBreakBefore w:val="0"/>
        <w:kinsoku/>
        <w:wordWrap/>
        <w:overflowPunct/>
        <w:topLinePunct w:val="0"/>
        <w:bidi w:val="0"/>
        <w:spacing w:line="440" w:lineRule="exact"/>
        <w:ind w:firstLine="480"/>
        <w:textAlignment w:val="auto"/>
        <w:rPr>
          <w:b/>
          <w:color w:val="auto"/>
          <w:highlight w:val="none"/>
        </w:rPr>
      </w:pPr>
      <w:r>
        <w:rPr>
          <w:rFonts w:hint="eastAsia"/>
          <w:color w:val="auto"/>
          <w:highlight w:val="none"/>
        </w:rPr>
        <w:t>33.4如签订合同并生效后，供应商无故拒绝或延期，除按照合同条款处罚外，列入不良行为记录一次，并给予通报。</w:t>
      </w:r>
    </w:p>
    <w:bookmarkEnd w:id="139"/>
    <w:p>
      <w:pPr>
        <w:pStyle w:val="3"/>
        <w:pageBreakBefore w:val="0"/>
        <w:kinsoku/>
        <w:wordWrap/>
        <w:overflowPunct/>
        <w:topLinePunct w:val="0"/>
        <w:bidi w:val="0"/>
        <w:spacing w:beforeLines="0" w:afterLines="0" w:line="440" w:lineRule="exact"/>
        <w:jc w:val="center"/>
        <w:textAlignment w:val="auto"/>
        <w:rPr>
          <w:color w:val="auto"/>
          <w:sz w:val="32"/>
          <w:highlight w:val="none"/>
        </w:rPr>
      </w:pPr>
      <w:bookmarkStart w:id="140" w:name="_Toc86216995"/>
      <w:bookmarkStart w:id="141" w:name="_Toc33718209"/>
      <w:bookmarkStart w:id="142" w:name="_Toc91899910"/>
      <w:r>
        <w:rPr>
          <w:rFonts w:hint="eastAsia"/>
          <w:color w:val="auto"/>
          <w:sz w:val="32"/>
          <w:highlight w:val="none"/>
        </w:rPr>
        <w:t>八、</w:t>
      </w:r>
      <w:bookmarkEnd w:id="140"/>
      <w:r>
        <w:rPr>
          <w:rFonts w:hint="eastAsia"/>
          <w:color w:val="auto"/>
          <w:sz w:val="32"/>
          <w:highlight w:val="none"/>
        </w:rPr>
        <w:t>合同签订及其他</w:t>
      </w:r>
      <w:bookmarkEnd w:id="141"/>
    </w:p>
    <w:bookmarkEnd w:id="142"/>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34．中标通知书</w:t>
      </w:r>
    </w:p>
    <w:p>
      <w:pPr>
        <w:pStyle w:val="86"/>
        <w:pageBreakBefore w:val="0"/>
        <w:tabs>
          <w:tab w:val="left" w:pos="0"/>
        </w:tabs>
        <w:kinsoku/>
        <w:wordWrap/>
        <w:overflowPunct/>
        <w:topLinePunct w:val="0"/>
        <w:bidi w:val="0"/>
        <w:spacing w:line="440" w:lineRule="exact"/>
        <w:ind w:firstLine="480"/>
        <w:textAlignment w:val="auto"/>
        <w:rPr>
          <w:rFonts w:ascii="宋体" w:hAnsi="宋体" w:cs="宋体"/>
          <w:color w:val="auto"/>
          <w:kern w:val="0"/>
          <w:highlight w:val="none"/>
        </w:rPr>
      </w:pPr>
      <w:r>
        <w:rPr>
          <w:rFonts w:hint="eastAsia" w:ascii="宋体" w:hAnsi="宋体" w:cs="宋体"/>
          <w:color w:val="auto"/>
          <w:highlight w:val="none"/>
        </w:rPr>
        <w:t>34.1确定中标供应商后，采购人将在发布招标公告的网站上公布中标结果，在发布公告的同时，采购代理机构将通知中标候选供应商</w:t>
      </w:r>
      <w:r>
        <w:rPr>
          <w:rFonts w:hint="eastAsia" w:ascii="宋体" w:hAnsi="宋体" w:cs="宋体"/>
          <w:color w:val="auto"/>
          <w:kern w:val="0"/>
          <w:highlight w:val="none"/>
        </w:rPr>
        <w:t>按《关于印发浙江省政府采购供应商注册及诚信管理暂行办法的通知》（浙江省财政厅文件 浙财采监字[2009]28号）的要求注册并登记加入政府采购供应商库。</w:t>
      </w:r>
    </w:p>
    <w:p>
      <w:pPr>
        <w:pStyle w:val="86"/>
        <w:pageBreakBefore w:val="0"/>
        <w:tabs>
          <w:tab w:val="left" w:pos="0"/>
        </w:tabs>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34.2中标通知书对采购人和中标供应商具有同等法律效力。供应商对中标公告有异议的，应当在中标公告发布之日起七个工作日内，</w:t>
      </w:r>
      <w:r>
        <w:rPr>
          <w:rFonts w:hint="eastAsia" w:ascii="宋体" w:hAnsi="宋体" w:cs="宋体"/>
          <w:color w:val="auto"/>
          <w:highlight w:val="none"/>
          <w:lang w:eastAsia="zh-CN"/>
        </w:rPr>
        <w:t>以书面形式向采购代理机构提出质疑</w:t>
      </w:r>
      <w:r>
        <w:rPr>
          <w:rFonts w:hint="eastAsia" w:ascii="宋体" w:hAnsi="宋体" w:cs="宋体"/>
          <w:color w:val="auto"/>
          <w:highlight w:val="none"/>
        </w:rPr>
        <w:t>。</w:t>
      </w:r>
    </w:p>
    <w:p>
      <w:pPr>
        <w:pStyle w:val="86"/>
        <w:pageBreakBefore w:val="0"/>
        <w:tabs>
          <w:tab w:val="left" w:pos="0"/>
        </w:tabs>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34.3供应商全部接受合同条件并签订合同后，中标通知书亦成为合同的组成部分。</w:t>
      </w:r>
    </w:p>
    <w:p>
      <w:pPr>
        <w:pageBreakBefore w:val="0"/>
        <w:kinsoku/>
        <w:wordWrap/>
        <w:overflowPunct/>
        <w:topLinePunct w:val="0"/>
        <w:bidi w:val="0"/>
        <w:spacing w:line="440" w:lineRule="exact"/>
        <w:ind w:firstLine="480"/>
        <w:textAlignment w:val="auto"/>
        <w:rPr>
          <w:color w:val="auto"/>
          <w:highlight w:val="none"/>
        </w:rPr>
      </w:pPr>
      <w:r>
        <w:rPr>
          <w:rFonts w:hint="eastAsia" w:ascii="宋体" w:hAnsi="宋体" w:eastAsia="宋体" w:cs="宋体"/>
          <w:color w:val="auto"/>
          <w:highlight w:val="none"/>
        </w:rPr>
        <w:t>34.4如中标供应</w:t>
      </w:r>
      <w:r>
        <w:rPr>
          <w:rFonts w:hint="eastAsia"/>
          <w:color w:val="auto"/>
          <w:highlight w:val="none"/>
        </w:rPr>
        <w:t>商拒绝承担中标的项目，或提出采购人、采购代理机构不能接受的条件，致使合同无法签订，采购人将取消其中标资格，可以考虑与下一次序中标候选人进行签订合同或另行组织采购。</w:t>
      </w:r>
    </w:p>
    <w:p>
      <w:pPr>
        <w:pStyle w:val="86"/>
        <w:pageBreakBefore w:val="0"/>
        <w:tabs>
          <w:tab w:val="left" w:pos="0"/>
        </w:tabs>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34.5如签</w:t>
      </w:r>
      <w:r>
        <w:rPr>
          <w:rFonts w:hint="eastAsia" w:ascii="宋体" w:hAnsi="宋体" w:cs="宋体"/>
          <w:color w:val="auto"/>
          <w:highlight w:val="none"/>
          <w:lang w:val="zh-CN"/>
        </w:rPr>
        <w:t>订合同并生效后，供应商无故拒绝或延期，将按照合同条款处罚。</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35．合同的签订</w:t>
      </w:r>
    </w:p>
    <w:p>
      <w:pPr>
        <w:pStyle w:val="86"/>
        <w:pageBreakBefore w:val="0"/>
        <w:kinsoku/>
        <w:wordWrap/>
        <w:overflowPunct/>
        <w:topLinePunct w:val="0"/>
        <w:bidi w:val="0"/>
        <w:spacing w:line="440" w:lineRule="exact"/>
        <w:ind w:firstLine="480"/>
        <w:textAlignment w:val="auto"/>
        <w:rPr>
          <w:rFonts w:hint="eastAsia" w:ascii="宋体" w:hAnsi="宋体" w:cs="宋体"/>
          <w:color w:val="auto"/>
          <w:highlight w:val="none"/>
        </w:rPr>
      </w:pPr>
      <w:r>
        <w:rPr>
          <w:rFonts w:hint="eastAsia" w:ascii="宋体" w:hAnsi="宋体" w:cs="宋体"/>
          <w:color w:val="auto"/>
          <w:highlight w:val="none"/>
        </w:rPr>
        <w:t>35.1中标供应商接到中标通知后30日内，与采购人签订合同，签订后送一份至招标代理机构备案。</w:t>
      </w:r>
    </w:p>
    <w:p>
      <w:pPr>
        <w:pStyle w:val="86"/>
        <w:pageBreakBefore w:val="0"/>
        <w:numPr>
          <w:ilvl w:val="0"/>
          <w:numId w:val="0"/>
        </w:numPr>
        <w:kinsoku/>
        <w:wordWrap/>
        <w:overflowPunct/>
        <w:topLinePunct w:val="0"/>
        <w:bidi w:val="0"/>
        <w:spacing w:line="440" w:lineRule="exact"/>
        <w:ind w:firstLine="480" w:firstLineChars="200"/>
        <w:textAlignment w:val="auto"/>
        <w:rPr>
          <w:rFonts w:hint="default" w:eastAsia="宋体"/>
          <w:b/>
          <w:bCs/>
          <w:color w:val="auto"/>
          <w:highlight w:val="none"/>
          <w:lang w:val="en-US" w:eastAsia="zh-CN"/>
        </w:rPr>
      </w:pPr>
      <w:r>
        <w:rPr>
          <w:rFonts w:hint="eastAsia" w:ascii="仿宋_GB2312" w:hAnsi="仿宋_GB2312" w:eastAsia="宋体" w:cs="Times New Roman"/>
          <w:b/>
          <w:bCs/>
          <w:color w:val="auto"/>
          <w:kern w:val="0"/>
          <w:sz w:val="24"/>
          <w:szCs w:val="20"/>
          <w:highlight w:val="none"/>
          <w:lang w:val="en-US" w:eastAsia="zh-CN" w:bidi="ar-SA"/>
        </w:rPr>
        <w:t>36.</w:t>
      </w:r>
      <w:r>
        <w:rPr>
          <w:rFonts w:hint="eastAsia"/>
          <w:b/>
          <w:bCs/>
          <w:color w:val="auto"/>
          <w:highlight w:val="none"/>
        </w:rPr>
        <w:t>履约保证金</w:t>
      </w:r>
      <w:r>
        <w:rPr>
          <w:rFonts w:hint="eastAsia"/>
          <w:b/>
          <w:bCs/>
          <w:color w:val="auto"/>
          <w:highlight w:val="none"/>
          <w:lang w:eastAsia="zh-CN"/>
        </w:rPr>
        <w:t>：</w:t>
      </w:r>
      <w:r>
        <w:rPr>
          <w:rFonts w:hint="eastAsia"/>
          <w:b/>
          <w:bCs/>
          <w:color w:val="auto"/>
          <w:highlight w:val="none"/>
          <w:lang w:val="en-US" w:eastAsia="zh-CN"/>
        </w:rPr>
        <w:t>/</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37.采购方式改变</w:t>
      </w:r>
      <w:r>
        <w:rPr>
          <w:rFonts w:hint="eastAsia"/>
          <w:color w:val="auto"/>
          <w:highlight w:val="none"/>
        </w:rPr>
        <w:tab/>
      </w:r>
    </w:p>
    <w:p>
      <w:pPr>
        <w:pStyle w:val="86"/>
        <w:pageBreakBefore w:val="0"/>
        <w:kinsoku/>
        <w:wordWrap/>
        <w:overflowPunct/>
        <w:topLinePunct w:val="0"/>
        <w:bidi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在符合资格的供应商不足规定数量或供应商提供的服务及其报价等不能满足采购人要求，以及招标过程中出现其他不正常情况时，经批准，采购人</w:t>
      </w:r>
      <w:r>
        <w:rPr>
          <w:rFonts w:hint="eastAsia" w:ascii="宋体" w:hAnsi="宋体" w:cs="宋体"/>
          <w:color w:val="auto"/>
          <w:highlight w:val="none"/>
          <w:lang w:val="zh-CN"/>
        </w:rPr>
        <w:t>将根据中华人民共和国财政部第87号令《政府采购货物和服务招标投标管理办法》的规定，</w:t>
      </w:r>
      <w:r>
        <w:rPr>
          <w:rFonts w:hint="eastAsia" w:ascii="宋体" w:hAnsi="宋体" w:cs="宋体"/>
          <w:color w:val="auto"/>
          <w:highlight w:val="none"/>
        </w:rPr>
        <w:t>重新选择合适的方式进行采购。</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38.质疑与投诉</w:t>
      </w:r>
    </w:p>
    <w:p>
      <w:pPr>
        <w:pageBreakBefore w:val="0"/>
        <w:kinsoku/>
        <w:wordWrap/>
        <w:overflowPunct/>
        <w:topLinePunct w:val="0"/>
        <w:bidi w:val="0"/>
        <w:snapToGrid w:val="0"/>
        <w:spacing w:line="440" w:lineRule="exact"/>
        <w:ind w:firstLine="480"/>
        <w:textAlignment w:val="auto"/>
        <w:rPr>
          <w:rFonts w:ascii="宋体" w:hAnsi="宋体" w:cs="宋体"/>
          <w:snapToGrid w:val="0"/>
          <w:color w:val="auto"/>
          <w:kern w:val="0"/>
          <w:highlight w:val="none"/>
        </w:rPr>
      </w:pPr>
      <w:r>
        <w:rPr>
          <w:rFonts w:hint="eastAsia" w:ascii="宋体" w:hAnsi="宋体" w:cs="宋体"/>
          <w:snapToGrid w:val="0"/>
          <w:color w:val="auto"/>
          <w:kern w:val="0"/>
          <w:highlight w:val="none"/>
        </w:rPr>
        <w:t>根据《中华人民共和国政府采购法》和《政府采购质疑和投诉办法》(财政部令第94号)的规定，供应商对政府采购活动事项有疑问的，可以向招标代理机构提出询问，</w:t>
      </w:r>
      <w:r>
        <w:rPr>
          <w:rFonts w:hint="eastAsia" w:ascii="宋体" w:hAnsi="宋体" w:cs="宋体"/>
          <w:snapToGrid w:val="0"/>
          <w:color w:val="auto"/>
          <w:kern w:val="0"/>
          <w:highlight w:val="none"/>
          <w:lang w:eastAsia="zh-CN"/>
        </w:rPr>
        <w:t>招标代理机构</w:t>
      </w:r>
      <w:r>
        <w:rPr>
          <w:rFonts w:hint="eastAsia" w:ascii="宋体" w:hAnsi="宋体" w:cs="宋体"/>
          <w:snapToGrid w:val="0"/>
          <w:color w:val="auto"/>
          <w:kern w:val="0"/>
          <w:highlight w:val="none"/>
        </w:rPr>
        <w:t xml:space="preserve">应当及时作出答复，但答复的内容不得涉及商业秘密。  </w:t>
      </w:r>
    </w:p>
    <w:p>
      <w:pPr>
        <w:pageBreakBefore w:val="0"/>
        <w:kinsoku/>
        <w:wordWrap/>
        <w:overflowPunct/>
        <w:topLinePunct w:val="0"/>
        <w:bidi w:val="0"/>
        <w:snapToGrid w:val="0"/>
        <w:spacing w:line="440" w:lineRule="exact"/>
        <w:ind w:firstLine="480"/>
        <w:textAlignment w:val="auto"/>
        <w:rPr>
          <w:rFonts w:ascii="宋体" w:hAnsi="宋体" w:cs="宋体"/>
          <w:color w:val="auto"/>
          <w:highlight w:val="none"/>
        </w:rPr>
      </w:pPr>
      <w:r>
        <w:rPr>
          <w:rFonts w:hint="eastAsia" w:ascii="宋体" w:hAnsi="宋体" w:cs="宋体"/>
          <w:snapToGrid w:val="0"/>
          <w:color w:val="auto"/>
          <w:kern w:val="0"/>
          <w:highlight w:val="none"/>
        </w:rPr>
        <w:t>1、</w:t>
      </w:r>
      <w:r>
        <w:rPr>
          <w:rFonts w:hint="eastAsia" w:ascii="宋体" w:hAnsi="宋体" w:cs="宋体"/>
          <w:color w:val="auto"/>
          <w:highlight w:val="none"/>
        </w:rPr>
        <w:t>供应商认为采购文件、采购过程和成交、成交结果使自己的权益受到损害的，可以在知道或者应知其权益受到损害之日起七个工作日内，以书面形式向采购人、采购代理机构提出质疑。</w:t>
      </w:r>
    </w:p>
    <w:p>
      <w:pPr>
        <w:pageBreakBefore w:val="0"/>
        <w:kinsoku/>
        <w:wordWrap/>
        <w:overflowPunct/>
        <w:topLinePunct w:val="0"/>
        <w:bidi w:val="0"/>
        <w:snapToGrid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（1）对可以质疑的采购文件提出质疑的，为收到采购文件之日或者采购文件公告期限届满之日；</w:t>
      </w:r>
    </w:p>
    <w:p>
      <w:pPr>
        <w:pageBreakBefore w:val="0"/>
        <w:kinsoku/>
        <w:wordWrap/>
        <w:overflowPunct/>
        <w:topLinePunct w:val="0"/>
        <w:bidi w:val="0"/>
        <w:snapToGrid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pPr>
        <w:pageBreakBefore w:val="0"/>
        <w:kinsoku/>
        <w:wordWrap/>
        <w:overflowPunct/>
        <w:topLinePunct w:val="0"/>
        <w:bidi w:val="0"/>
        <w:snapToGrid w:val="0"/>
        <w:spacing w:line="440" w:lineRule="exact"/>
        <w:ind w:firstLine="480"/>
        <w:textAlignment w:val="auto"/>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pPr>
        <w:pageBreakBefore w:val="0"/>
        <w:kinsoku/>
        <w:wordWrap/>
        <w:overflowPunct/>
        <w:topLinePunct w:val="0"/>
        <w:bidi w:val="0"/>
        <w:snapToGrid w:val="0"/>
        <w:spacing w:line="440" w:lineRule="exact"/>
        <w:ind w:firstLine="480"/>
        <w:textAlignment w:val="auto"/>
        <w:rPr>
          <w:rFonts w:ascii="宋体" w:hAnsi="宋体" w:cs="宋体"/>
          <w:snapToGrid w:val="0"/>
          <w:color w:val="auto"/>
          <w:kern w:val="0"/>
          <w:highlight w:val="none"/>
        </w:rPr>
      </w:pPr>
      <w:r>
        <w:rPr>
          <w:rFonts w:hint="eastAsia" w:ascii="宋体" w:hAnsi="宋体" w:cs="宋体"/>
          <w:snapToGrid w:val="0"/>
          <w:color w:val="auto"/>
          <w:kern w:val="0"/>
          <w:highlight w:val="none"/>
        </w:rPr>
        <w:t>2、采购人或者采购代理机构应当在3个工作日内对供应商依法提出的询问作出答复。</w:t>
      </w:r>
    </w:p>
    <w:p>
      <w:pPr>
        <w:pageBreakBefore w:val="0"/>
        <w:kinsoku/>
        <w:wordWrap/>
        <w:overflowPunct/>
        <w:topLinePunct w:val="0"/>
        <w:bidi w:val="0"/>
        <w:snapToGrid w:val="0"/>
        <w:spacing w:line="440" w:lineRule="exact"/>
        <w:ind w:firstLine="480"/>
        <w:textAlignment w:val="auto"/>
        <w:rPr>
          <w:rFonts w:ascii="宋体" w:hAnsi="宋体" w:cs="宋体"/>
          <w:snapToGrid w:val="0"/>
          <w:color w:val="auto"/>
          <w:kern w:val="0"/>
          <w:highlight w:val="none"/>
        </w:rPr>
      </w:pPr>
      <w:r>
        <w:rPr>
          <w:rFonts w:hint="eastAsia" w:ascii="宋体" w:hAnsi="宋体" w:cs="宋体"/>
          <w:snapToGrid w:val="0"/>
          <w:color w:val="auto"/>
          <w:kern w:val="0"/>
          <w:highlight w:val="none"/>
        </w:rPr>
        <w:t>供应商提出的询问或者质疑超出采购人对采购代理机构委托授权范围的，采购代理机构应当告知供应商向采购人提出。</w:t>
      </w:r>
    </w:p>
    <w:p>
      <w:pPr>
        <w:pageBreakBefore w:val="0"/>
        <w:kinsoku/>
        <w:wordWrap/>
        <w:overflowPunct/>
        <w:topLinePunct w:val="0"/>
        <w:bidi w:val="0"/>
        <w:snapToGrid w:val="0"/>
        <w:spacing w:line="440" w:lineRule="exact"/>
        <w:ind w:firstLine="480"/>
        <w:textAlignment w:val="auto"/>
        <w:rPr>
          <w:rFonts w:ascii="宋体" w:hAnsi="宋体" w:cs="宋体"/>
          <w:snapToGrid w:val="0"/>
          <w:color w:val="auto"/>
          <w:kern w:val="0"/>
          <w:highlight w:val="none"/>
        </w:rPr>
      </w:pPr>
      <w:r>
        <w:rPr>
          <w:rFonts w:hint="eastAsia" w:ascii="宋体" w:hAnsi="宋体" w:cs="宋体"/>
          <w:snapToGrid w:val="0"/>
          <w:color w:val="auto"/>
          <w:kern w:val="0"/>
          <w:highlight w:val="none"/>
        </w:rPr>
        <w:t>政府采购评审专家应当配合采购人或者采购代理机构答复供应商的询问和质疑。</w:t>
      </w:r>
    </w:p>
    <w:p>
      <w:pPr>
        <w:pageBreakBefore w:val="0"/>
        <w:shd w:val="clear" w:color="auto" w:fill="FFFFFF"/>
        <w:kinsoku/>
        <w:wordWrap/>
        <w:overflowPunct/>
        <w:topLinePunct w:val="0"/>
        <w:bidi w:val="0"/>
        <w:snapToGrid w:val="0"/>
        <w:spacing w:line="440" w:lineRule="exact"/>
        <w:ind w:firstLine="480"/>
        <w:textAlignment w:val="auto"/>
        <w:rPr>
          <w:rFonts w:ascii="宋体" w:hAnsi="宋体" w:cs="宋体"/>
          <w:color w:val="auto"/>
          <w:highlight w:val="none"/>
        </w:rPr>
      </w:pPr>
      <w:r>
        <w:rPr>
          <w:rFonts w:hint="eastAsia" w:ascii="宋体" w:hAnsi="宋体" w:cs="宋体"/>
          <w:snapToGrid w:val="0"/>
          <w:color w:val="auto"/>
          <w:kern w:val="0"/>
          <w:highlight w:val="none"/>
        </w:rPr>
        <w:t>3、</w:t>
      </w:r>
      <w:r>
        <w:rPr>
          <w:rFonts w:hint="eastAsia" w:ascii="宋体" w:hAnsi="宋体" w:cs="宋体"/>
          <w:color w:val="auto"/>
          <w:highlight w:val="none"/>
        </w:rPr>
        <w:t>质疑供应商对采购人、采购代理机构的答复不满意或者采购人、采购代理机构未在规定时间内作出答复的，可以在答复期满后十五个工作日内向同级政府采购监管部门投诉。</w:t>
      </w:r>
    </w:p>
    <w:p>
      <w:pPr>
        <w:pageBreakBefore w:val="0"/>
        <w:shd w:val="clear" w:color="auto" w:fill="FFFFFF"/>
        <w:kinsoku/>
        <w:wordWrap/>
        <w:overflowPunct/>
        <w:topLinePunct w:val="0"/>
        <w:bidi w:val="0"/>
        <w:snapToGrid w:val="0"/>
        <w:spacing w:line="440" w:lineRule="exact"/>
        <w:ind w:firstLine="480"/>
        <w:textAlignment w:val="auto"/>
        <w:rPr>
          <w:rFonts w:hint="eastAsia" w:ascii="宋体" w:hAnsi="宋体" w:cs="宋体"/>
          <w:color w:val="auto"/>
          <w:highlight w:val="none"/>
        </w:rPr>
      </w:pPr>
      <w:r>
        <w:rPr>
          <w:rFonts w:hint="eastAsia" w:ascii="宋体" w:hAnsi="宋体" w:cs="宋体"/>
          <w:color w:val="auto"/>
          <w:highlight w:val="none"/>
        </w:rPr>
        <w:t>4、要求供应商在法定质疑期内一次性提出针对同一招标程序环节的质疑。</w:t>
      </w:r>
    </w:p>
    <w:p>
      <w:pPr>
        <w:pStyle w:val="4"/>
        <w:pageBreakBefore w:val="0"/>
        <w:kinsoku/>
        <w:wordWrap/>
        <w:overflowPunct/>
        <w:topLinePunct w:val="0"/>
        <w:bidi w:val="0"/>
        <w:spacing w:line="440" w:lineRule="exact"/>
        <w:ind w:firstLine="480" w:firstLineChars="200"/>
        <w:jc w:val="both"/>
        <w:textAlignment w:val="auto"/>
        <w:rPr>
          <w:color w:val="auto"/>
          <w:highlight w:val="none"/>
        </w:rPr>
      </w:pPr>
      <w:r>
        <w:rPr>
          <w:rFonts w:hint="eastAsia"/>
          <w:color w:val="auto"/>
          <w:highlight w:val="none"/>
        </w:rPr>
        <w:t>39．解释权</w:t>
      </w:r>
    </w:p>
    <w:p>
      <w:pPr>
        <w:pageBreakBefore w:val="0"/>
        <w:kinsoku/>
        <w:wordWrap/>
        <w:overflowPunct/>
        <w:topLinePunct w:val="0"/>
        <w:autoSpaceDE w:val="0"/>
        <w:autoSpaceDN w:val="0"/>
        <w:bidi w:val="0"/>
        <w:adjustRightInd w:val="0"/>
        <w:spacing w:line="440" w:lineRule="exact"/>
        <w:ind w:firstLine="480"/>
        <w:textAlignment w:val="auto"/>
        <w:rPr>
          <w:rStyle w:val="45"/>
          <w:rFonts w:hint="eastAsia" w:ascii="宋体" w:hAnsi="宋体" w:cs="宋体"/>
          <w:b w:val="0"/>
          <w:color w:val="auto"/>
          <w:sz w:val="24"/>
          <w:szCs w:val="24"/>
          <w:highlight w:val="none"/>
        </w:rPr>
      </w:pPr>
      <w:r>
        <w:rPr>
          <w:rFonts w:hint="eastAsia" w:ascii="宋体" w:hAnsi="宋体" w:cs="宋体"/>
          <w:color w:val="auto"/>
          <w:highlight w:val="none"/>
        </w:rPr>
        <w:t>凡涉及本次采购文件的解释权均属于</w:t>
      </w:r>
      <w:r>
        <w:rPr>
          <w:rFonts w:hint="eastAsia" w:ascii="宋体" w:hAnsi="宋体" w:cs="宋体"/>
          <w:color w:val="auto"/>
          <w:highlight w:val="none"/>
          <w:lang w:eastAsia="zh-CN"/>
        </w:rPr>
        <w:t>招标代理机构</w:t>
      </w:r>
      <w:r>
        <w:rPr>
          <w:rFonts w:hint="eastAsia" w:ascii="宋体" w:hAnsi="宋体" w:cs="宋体"/>
          <w:color w:val="auto"/>
          <w:highlight w:val="none"/>
        </w:rPr>
        <w:t>。</w:t>
      </w:r>
    </w:p>
    <w:bookmarkEnd w:id="133"/>
    <w:bookmarkEnd w:id="134"/>
    <w:bookmarkEnd w:id="135"/>
    <w:bookmarkEnd w:id="136"/>
    <w:bookmarkEnd w:id="137"/>
    <w:bookmarkEnd w:id="138"/>
    <w:p>
      <w:pPr>
        <w:pStyle w:val="2"/>
        <w:spacing w:beforeLines="0" w:afterLines="0" w:line="440" w:lineRule="exact"/>
        <w:rPr>
          <w:rFonts w:ascii="宋体" w:cs="宋体"/>
          <w:color w:val="auto"/>
          <w:szCs w:val="36"/>
          <w:highlight w:val="none"/>
        </w:rPr>
      </w:pPr>
      <w:bookmarkStart w:id="143" w:name="_Toc361435893"/>
      <w:bookmarkStart w:id="144" w:name="_Toc361433283"/>
      <w:bookmarkStart w:id="145" w:name="_Toc361433090"/>
      <w:bookmarkStart w:id="146" w:name="_Toc84325930"/>
      <w:bookmarkStart w:id="147" w:name="_Toc361434052"/>
      <w:bookmarkStart w:id="148" w:name="_Toc361437173"/>
      <w:bookmarkStart w:id="149" w:name="_Toc363052661"/>
      <w:bookmarkStart w:id="150" w:name="_Toc361434250"/>
      <w:bookmarkStart w:id="151" w:name="_Toc361433768"/>
      <w:bookmarkStart w:id="152" w:name="_Toc361436980"/>
      <w:bookmarkStart w:id="153" w:name="_Toc101321796"/>
      <w:bookmarkStart w:id="154" w:name="_Toc361437247"/>
      <w:bookmarkStart w:id="155" w:name="_Toc361433695"/>
      <w:bookmarkStart w:id="156" w:name="_Toc361433601"/>
      <w:bookmarkStart w:id="157" w:name="_Toc361433420"/>
      <w:bookmarkStart w:id="158" w:name="_Toc361432660"/>
      <w:bookmarkStart w:id="159" w:name="_Toc81372954"/>
      <w:bookmarkStart w:id="160" w:name="_Toc361432200"/>
      <w:bookmarkStart w:id="161" w:name="_Toc361433873"/>
      <w:bookmarkStart w:id="162" w:name="_Toc81372777"/>
      <w:bookmarkStart w:id="163" w:name="_Toc361437572"/>
      <w:r>
        <w:rPr>
          <w:rFonts w:ascii="宋体" w:cs="宋体"/>
          <w:color w:val="auto"/>
          <w:highlight w:val="none"/>
        </w:rPr>
        <w:br w:type="page"/>
      </w:r>
      <w:bookmarkStart w:id="164" w:name="_Toc327"/>
      <w:bookmarkStart w:id="165" w:name="_Toc27730"/>
      <w:bookmarkStart w:id="166" w:name="_Toc24970"/>
      <w:bookmarkStart w:id="167" w:name="_Toc33718210"/>
      <w:r>
        <w:rPr>
          <w:rFonts w:hint="eastAsia" w:ascii="宋体" w:hAnsi="宋体" w:cs="宋体"/>
          <w:color w:val="auto"/>
          <w:szCs w:val="36"/>
          <w:highlight w:val="none"/>
        </w:rPr>
        <w:t>第三章</w:t>
      </w:r>
      <w:r>
        <w:rPr>
          <w:rFonts w:ascii="宋体" w:hAnsi="宋体" w:cs="宋体"/>
          <w:color w:val="auto"/>
          <w:szCs w:val="36"/>
          <w:highlight w:val="none"/>
        </w:rPr>
        <w:t xml:space="preserve"> </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Start w:id="168" w:name="_Toc41446717"/>
      <w:r>
        <w:rPr>
          <w:rFonts w:hint="eastAsia" w:ascii="宋体" w:hAnsi="宋体" w:cs="宋体"/>
          <w:color w:val="auto"/>
          <w:szCs w:val="36"/>
          <w:highlight w:val="none"/>
        </w:rPr>
        <w:t>技术规范和服务要求</w:t>
      </w:r>
      <w:bookmarkEnd w:id="167"/>
    </w:p>
    <w:bookmarkEnd w:id="168"/>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hAnsi="宋体" w:cs="宋体"/>
          <w:b/>
          <w:color w:val="auto"/>
          <w:sz w:val="24"/>
          <w:szCs w:val="24"/>
          <w:highlight w:val="none"/>
        </w:rPr>
      </w:pPr>
      <w:bookmarkStart w:id="169" w:name="_Toc361435894"/>
      <w:bookmarkStart w:id="170" w:name="_Toc81372964"/>
      <w:bookmarkStart w:id="171" w:name="_Toc361433874"/>
      <w:bookmarkStart w:id="172" w:name="_Toc361433091"/>
      <w:bookmarkStart w:id="173" w:name="_Toc361434053"/>
      <w:bookmarkStart w:id="174" w:name="_Toc80157775"/>
      <w:bookmarkStart w:id="175" w:name="_Toc361437174"/>
      <w:bookmarkStart w:id="176" w:name="_Toc15927"/>
      <w:bookmarkStart w:id="177" w:name="_Toc177202003"/>
      <w:bookmarkStart w:id="178" w:name="_Toc7569"/>
      <w:bookmarkStart w:id="179" w:name="_Toc81372787"/>
      <w:bookmarkStart w:id="180" w:name="_Toc101321800"/>
      <w:bookmarkStart w:id="181" w:name="_Toc361436981"/>
      <w:bookmarkStart w:id="182" w:name="_Toc361437248"/>
      <w:bookmarkStart w:id="183" w:name="_Toc361434251"/>
      <w:bookmarkStart w:id="184" w:name="_Toc28526"/>
      <w:bookmarkStart w:id="185" w:name="_Toc363052662"/>
      <w:bookmarkStart w:id="186" w:name="_Toc153441912"/>
      <w:bookmarkStart w:id="187" w:name="_Toc361433284"/>
      <w:bookmarkStart w:id="188" w:name="_Toc361433769"/>
      <w:bookmarkStart w:id="189" w:name="_Toc361433696"/>
      <w:bookmarkStart w:id="190" w:name="_Toc361437573"/>
      <w:bookmarkStart w:id="191" w:name="_Toc361433602"/>
      <w:bookmarkStart w:id="192" w:name="_Toc84325981"/>
      <w:bookmarkStart w:id="193" w:name="_Toc361433421"/>
      <w:bookmarkStart w:id="194" w:name="_Toc33718215"/>
      <w:r>
        <w:rPr>
          <w:rFonts w:hint="eastAsia" w:hAnsi="宋体" w:cs="宋体"/>
          <w:b/>
          <w:color w:val="auto"/>
          <w:sz w:val="24"/>
          <w:szCs w:val="24"/>
          <w:highlight w:val="none"/>
        </w:rPr>
        <w:t>一、项目概况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为方便病人就诊、给临床提供辅助诊断开展的一些特殊项目，因检测标本量少或无相应检测设备，需要送第三方临床实验检测中心检测。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本次采购内容为嵊州市人民医院检验科标本外送检验服务，包括但不限于提供运输服务，配套车辆设备，配备服务人员，设备维护保养，外送标本检测等全部工作。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二、部分外送检验项目列表</w:t>
      </w:r>
    </w:p>
    <w:tbl>
      <w:tblPr>
        <w:tblStyle w:val="37"/>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6375"/>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预估送检量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乙肝DNA(HBV-DNA)</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抗中性粒细胞胞浆抗体两项</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柯萨奇病毒IgM抗体(COX-IgM)</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免疫球蛋白G亚型4(IgG4)</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抗心磷脂抗体IgG(ACL-IgG)</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TBNK淋巴细胞亚群</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解脲支原体DNA定性检测(UU-DNA)</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沙眼衣原体DNA定性检测(CT-DNA)</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真菌(1、3)-β-D-葡聚糖检测</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糖尿病自身抗体两项（ICA+GADA）</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EB病毒抗体测定</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戊肝抗体(HEV-IgM)</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甲肝抗体(HAV-IgM)</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丁肝抗体(HDV-IgM)</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丙肝两项</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人类白细胞抗原B27(HLA-B27)</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总铁结合力组合套餐</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免疫固定电泳</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轻链组合</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微量元素六项</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尿轻链LAMBDA定量</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尿轻链KAPPA定量</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白细胞介素6[IL6]</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血皮质醇(CORT8am)</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胰岛素样生长因子-1(IGF-1)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抗肾小球基底膜抗体IgG(GBM-IgG)检测+间接免疫荧光法</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尿免疫固定电泳(G-A-M-к-λ)</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类胰岛素样生长因子结合蛋白3(IGF-BP3)</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淋球菌DNA定性检测(NG-DNA)</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抗角蛋白抗体(AKA)</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TORCH五项检测</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血促肾上腺皮质激素(ACTH9AM左右)</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恶性肿瘤特异生长因子(TSGF)</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结核感染T细胞检测(TB-IGRA)</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血皮质醇(CORT4pm)+化学发光法</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单纯疱疹病毒I型抗体测定</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单纯疱疹病毒II型抗体测定</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巨细胞病毒抗体测定</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结核杆菌抗体(TB-Ab)</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抗缪勒氏管激素(AMH)</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肥达氏反应(WR)</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他克莫司(**-506)浓度检测+LC-MS/MS</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汉坦病毒抗体(HV-IgG、HV-IgM)检测+金标法</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血液肿瘤CD系列检测(30个CD)(流式细胞术)</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骨髓染色体核型分析(G带)</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血促肾上腺皮质激素(ACTH4PM)</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高血压三项(立位)</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醛固酮(ALD)(立位)</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高血压三项(卧位)</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血皮质醇(CORT夜12点)+化学发光法</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醛固酮(ALD)(卧位)</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血清生长激素(GH)</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丙戊酸(VPA)</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血促肾上腺皮质激素(ACTH夜12时)</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诺如病毒核酸检测+PCR荧光探针法</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自身免疫性肝病抗体七项</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人类乳头瘤病毒(6、11型)</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丙肝RNA(HCV-RNA)</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BCR-ABL(p210)(融合基因/荧光定量PCR)</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环孢霉素A(CsA)浓度检测+LC-MS/MS</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地高辛(Dig)</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17α-羟孕酮(全血)+质谱法</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BCR-ABL(p190)(融合基因/荧光定量PCR)</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胃泌素(Gastrin)</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JAK2 V617F突变(荧光定量PCR)</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外周血染色体550带检测</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血清生长激素(GH90min)</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血清生长激素(GH60min)</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血清生长激素(GH45min)</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血清生长激素(GH30min)</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乙肝病毒P区耐药测序</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维生素ADEK群+质谱法</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抗BIgG</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抗AIgG</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糖类抗原242(CA242)</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糖类抗原50(CA50)</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残留病灶检测(10个CD)(流式细胞术)</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平滑肌抗体</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抗线粒体抗体-Ⅱ型</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抗可溶性肝抗原/肝-胰抗原抗体[SLA/LP]</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抗肝肾微粒体抗体(LKM)</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肝细胞质抗体-Ⅰ型</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抗环瓜氨酸肽抗体(CCP)</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弓形体抗体测定</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风疹病毒抗体测定</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骨髓形态学常规</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麻疹病毒抗体IgM(MV-IgM)</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麻疹病毒抗体IgG(MV-IgG)</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抗精子抗体IgG(ASAb-IgG)</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卡马西平片浓度</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丙肝病毒基因分型检测</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抗子宫内膜抗体IgG(EMAb-IgG)</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24小时尿皮质醇(游离皮质醇)</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总Ⅰ型胶原氨基酸延长肽(t-P1NP)</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外周血染色体400带检测</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生殖支原体(MG-RNA)核酸检测</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解脲脲原体(UU-RNA)核酸检测</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苯妥英钠浓度</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β-胶原特殊序列(β-CTx)</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PML-RARα-L长型(融合基因/荧光定量PCR)</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N-端骨钙素(N-MID)</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新生儿溶血病检测</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沙眼衣原体(CT-RNA)核酸检测</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PML-RARα-S短型(融合基因/荧光定量PCR)</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血清总蛋白(TP)检测+比色法</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血清蛋白电泳检测+琼脂糖凝胶电泳法</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促红细胞生成素(EPO)</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免疫球蛋白五项</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残留病灶15个CD(骨髓)</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白血病免疫分型CD分子</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PML-RARα-V融合基因定量检测</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一般细菌培养及鉴定+药敏试验</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血清生长激素(GH120min)</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戊肝RNA(HEV-RNA)</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维生素B族8项检测+质谱法</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全血铅</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尿微量蛋白六项</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巨细胞病毒DNA定量测定(CMV-DNA)</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不孕不育四项</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Y染色体AZF微缺失检测</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highlight w:val="none"/>
                <w:u w:val="none"/>
              </w:rPr>
            </w:pPr>
          </w:p>
        </w:tc>
        <w:tc>
          <w:tcPr>
            <w:tcW w:w="6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0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注：1、检验列表项目需满足临床需求，可随临床需求变动而临时增添。</w:t>
            </w:r>
          </w:p>
          <w:p>
            <w:pPr>
              <w:pStyle w:val="2"/>
              <w:keepLines w:val="0"/>
              <w:pageBreakBefore w:val="0"/>
              <w:widowControl w:val="0"/>
              <w:kinsoku/>
              <w:wordWrap/>
              <w:overflowPunct/>
              <w:topLinePunct w:val="0"/>
              <w:autoSpaceDE/>
              <w:autoSpaceDN/>
              <w:bidi w:val="0"/>
              <w:adjustRightInd/>
              <w:snapToGrid/>
              <w:spacing w:beforeLines="0" w:afterLines="0" w:line="500" w:lineRule="exact"/>
              <w:jc w:val="left"/>
              <w:textAlignment w:val="auto"/>
              <w:rPr>
                <w:rFonts w:hint="default"/>
                <w:color w:val="auto"/>
                <w:highlight w:val="none"/>
                <w:lang w:val="en-US"/>
              </w:rPr>
            </w:pPr>
            <w:r>
              <w:rPr>
                <w:rFonts w:hint="eastAsia" w:ascii="宋体" w:hAnsi="宋体" w:eastAsia="宋体" w:cs="宋体"/>
                <w:b/>
                <w:bCs/>
                <w:color w:val="auto"/>
                <w:kern w:val="2"/>
                <w:sz w:val="24"/>
                <w:szCs w:val="24"/>
                <w:highlight w:val="none"/>
                <w:lang w:val="en-US" w:eastAsia="zh-CN" w:bidi="ar-SA"/>
              </w:rPr>
              <w:t xml:space="preserve">     2、在合同期内采购人需增加检测项目可按临床要求选择《浙江省医疗服务价格手册》内的项目，费用在《浙江省医疗服务价格手册》基础上按计算公式“《浙江省医疗服务价格手册》价格×中标折扣率”结算。</w:t>
            </w:r>
          </w:p>
        </w:tc>
      </w:tr>
    </w:tbl>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rPr>
        <w:t>服务要求</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1、检验要求   </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cs="宋体"/>
          <w:color w:val="auto"/>
          <w:kern w:val="1"/>
          <w:sz w:val="24"/>
          <w:szCs w:val="24"/>
          <w:highlight w:val="none"/>
        </w:rPr>
      </w:pPr>
      <w:r>
        <w:rPr>
          <w:rFonts w:ascii="宋体" w:hAnsi="宋体" w:cs="宋体"/>
          <w:color w:val="auto"/>
          <w:kern w:val="1"/>
          <w:sz w:val="24"/>
          <w:szCs w:val="24"/>
          <w:highlight w:val="none"/>
        </w:rPr>
        <w:t>（1）提供相应的《项目总汇与采样手册》，开展项目能满足临床需求。</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cs="宋体"/>
          <w:color w:val="auto"/>
          <w:kern w:val="1"/>
          <w:sz w:val="24"/>
          <w:szCs w:val="24"/>
          <w:highlight w:val="none"/>
        </w:rPr>
      </w:pPr>
      <w:r>
        <w:rPr>
          <w:rFonts w:ascii="宋体" w:hAnsi="宋体" w:cs="宋体"/>
          <w:color w:val="auto"/>
          <w:kern w:val="1"/>
          <w:sz w:val="24"/>
          <w:szCs w:val="24"/>
          <w:highlight w:val="none"/>
        </w:rPr>
        <w:t>（2）所有样本的运送必须符合样本温度的管理要求，采用相应的冷链运送技术，特殊标本运输过程中需干冰冻存。</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cs="宋体"/>
          <w:color w:val="auto"/>
          <w:kern w:val="1"/>
          <w:sz w:val="24"/>
          <w:szCs w:val="24"/>
          <w:highlight w:val="none"/>
        </w:rPr>
      </w:pPr>
      <w:r>
        <w:rPr>
          <w:rFonts w:ascii="宋体" w:hAnsi="宋体" w:cs="宋体"/>
          <w:color w:val="auto"/>
          <w:kern w:val="1"/>
          <w:sz w:val="24"/>
          <w:szCs w:val="24"/>
          <w:highlight w:val="none"/>
        </w:rPr>
        <w:t>所有样本运送必须采用符合相关标准的冷链物流车或转送车辆及冷链物流箱，冷链物流车或转送车辆及冷链物流箱配备数量满足标本转送要求。</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cs="宋体"/>
          <w:color w:val="auto"/>
          <w:kern w:val="1"/>
          <w:sz w:val="24"/>
          <w:szCs w:val="24"/>
          <w:highlight w:val="none"/>
        </w:rPr>
      </w:pPr>
      <w:r>
        <w:rPr>
          <w:rFonts w:ascii="宋体" w:hAnsi="宋体" w:cs="宋体"/>
          <w:color w:val="auto"/>
          <w:kern w:val="1"/>
          <w:sz w:val="24"/>
          <w:szCs w:val="24"/>
          <w:highlight w:val="none"/>
        </w:rPr>
        <w:t>（3）样本交接及运送过程必须符合样本的安全管理要求，符合《病原微生物实验室生物安全管理条例》、《可感染人类的高致病性病原微生物菌（毒）种或样本运输管理规定》、《浙江省病原微生物实验室生物安全管理办法（试行）》等相关法律法规规章涉及的生物安全规定。</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cs="宋体"/>
          <w:color w:val="auto"/>
          <w:kern w:val="1"/>
          <w:sz w:val="24"/>
          <w:szCs w:val="24"/>
          <w:highlight w:val="none"/>
        </w:rPr>
      </w:pPr>
      <w:r>
        <w:rPr>
          <w:rFonts w:ascii="宋体" w:hAnsi="宋体" w:cs="宋体"/>
          <w:color w:val="auto"/>
          <w:kern w:val="1"/>
          <w:sz w:val="24"/>
          <w:szCs w:val="24"/>
          <w:highlight w:val="none"/>
        </w:rPr>
        <w:t>（4）运输车辆拥有运输标本专业设备如生物安全转运箱，并装有处置生物安全应急事件的应急箱及消毒用喷壶,可以应对突发生物安全事件的现场处置。</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cs="宋体"/>
          <w:color w:val="auto"/>
          <w:kern w:val="1"/>
          <w:sz w:val="24"/>
          <w:szCs w:val="24"/>
          <w:highlight w:val="none"/>
        </w:rPr>
      </w:pPr>
      <w:r>
        <w:rPr>
          <w:rFonts w:ascii="宋体" w:hAnsi="宋体" w:cs="宋体"/>
          <w:color w:val="auto"/>
          <w:kern w:val="1"/>
          <w:sz w:val="24"/>
          <w:szCs w:val="24"/>
          <w:highlight w:val="none"/>
        </w:rPr>
        <w:t>（5）标本转运物流流程规章制度（包括标本运输紧急预案）及工作各环节操作说明书。</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cs="宋体"/>
          <w:color w:val="auto"/>
          <w:kern w:val="1"/>
          <w:sz w:val="24"/>
          <w:szCs w:val="24"/>
          <w:highlight w:val="none"/>
        </w:rPr>
      </w:pPr>
      <w:r>
        <w:rPr>
          <w:rFonts w:ascii="宋体" w:hAnsi="宋体" w:cs="宋体"/>
          <w:color w:val="auto"/>
          <w:kern w:val="1"/>
          <w:sz w:val="24"/>
          <w:szCs w:val="24"/>
          <w:highlight w:val="none"/>
        </w:rPr>
        <w:t>（6）提供整个物流的完整书面规划方案，如配置的车辆多少，冷链车的数量，冷链箱的数量，每天物流运送的路线和车次的安排，如何保障样本每天的及时送达，安全措施、应急预案等等。</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cs="宋体"/>
          <w:color w:val="auto"/>
          <w:kern w:val="1"/>
          <w:sz w:val="24"/>
          <w:szCs w:val="24"/>
          <w:highlight w:val="none"/>
        </w:rPr>
      </w:pPr>
      <w:r>
        <w:rPr>
          <w:rFonts w:ascii="宋体" w:hAnsi="宋体" w:cs="宋体"/>
          <w:color w:val="auto"/>
          <w:kern w:val="1"/>
          <w:sz w:val="24"/>
          <w:szCs w:val="24"/>
          <w:highlight w:val="none"/>
        </w:rPr>
        <w:t>（7）</w:t>
      </w:r>
      <w:r>
        <w:rPr>
          <w:rFonts w:hint="eastAsia" w:ascii="宋体" w:hAnsi="宋体" w:cs="宋体"/>
          <w:color w:val="auto"/>
          <w:kern w:val="1"/>
          <w:sz w:val="24"/>
          <w:szCs w:val="24"/>
          <w:highlight w:val="none"/>
          <w:lang w:eastAsia="zh-CN"/>
        </w:rPr>
        <w:t>长期提供一位相对固定的技术人员进行标本接收，另外</w:t>
      </w:r>
      <w:r>
        <w:rPr>
          <w:rFonts w:ascii="宋体" w:hAnsi="宋体" w:cs="宋体"/>
          <w:color w:val="auto"/>
          <w:kern w:val="1"/>
          <w:sz w:val="24"/>
          <w:szCs w:val="24"/>
          <w:highlight w:val="none"/>
        </w:rPr>
        <w:t>每周一至周六工作时间内派工作人员在我院实时收取标本，合理处理，每日多批接收，每批实时做好登记，同时与我院LIS（北京智方公司）做好核对。按标本保存条件进行运输，对保证标本的可靠性和有效性负责，并按《项目总汇与采样手册》中的规定“报告时间”内，准时发放报告，保证检验报告的准确性和及时性。必须做好与我院LIS（北京智方公司）的对接，提供的报告在我院LIS（北京智方公司）系统里按我院的报告格式发放。我院可实时通过网络接收外送标本已完成的报告。当外送标本报告不能在我院LIS上查询时，应立即派人员妥善处理。如检测结果为危急值，应立即报告给送检单位。</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cs="宋体"/>
          <w:color w:val="auto"/>
          <w:kern w:val="1"/>
          <w:sz w:val="24"/>
          <w:szCs w:val="24"/>
          <w:highlight w:val="none"/>
        </w:rPr>
      </w:pPr>
      <w:r>
        <w:rPr>
          <w:rFonts w:ascii="宋体" w:hAnsi="宋体" w:cs="宋体"/>
          <w:color w:val="auto"/>
          <w:kern w:val="1"/>
          <w:sz w:val="24"/>
          <w:szCs w:val="24"/>
          <w:highlight w:val="none"/>
        </w:rPr>
        <w:t>（8）对检验后的标本进行妥善保存，以便检验结果有疑义时进行免费复查或再委托第三方检验，</w:t>
      </w:r>
      <w:r>
        <w:rPr>
          <w:rFonts w:hint="eastAsia" w:ascii="宋体" w:hAnsi="宋体" w:cs="宋体"/>
          <w:color w:val="auto"/>
          <w:kern w:val="1"/>
          <w:sz w:val="24"/>
          <w:szCs w:val="24"/>
          <w:highlight w:val="none"/>
          <w:lang w:eastAsia="zh-CN"/>
        </w:rPr>
        <w:t>因此产生</w:t>
      </w:r>
      <w:r>
        <w:rPr>
          <w:rFonts w:ascii="宋体" w:hAnsi="宋体" w:cs="宋体"/>
          <w:color w:val="auto"/>
          <w:kern w:val="1"/>
          <w:sz w:val="24"/>
          <w:szCs w:val="24"/>
          <w:highlight w:val="none"/>
        </w:rPr>
        <w:t>的费用由</w:t>
      </w:r>
      <w:r>
        <w:rPr>
          <w:rFonts w:hint="eastAsia" w:ascii="宋体" w:hAnsi="宋体" w:cs="宋体"/>
          <w:color w:val="auto"/>
          <w:kern w:val="1"/>
          <w:sz w:val="24"/>
          <w:szCs w:val="24"/>
          <w:highlight w:val="none"/>
          <w:lang w:eastAsia="zh-CN"/>
        </w:rPr>
        <w:t>中标供应商</w:t>
      </w:r>
      <w:r>
        <w:rPr>
          <w:rFonts w:ascii="宋体" w:hAnsi="宋体" w:cs="宋体"/>
          <w:color w:val="auto"/>
          <w:kern w:val="1"/>
          <w:sz w:val="24"/>
          <w:szCs w:val="24"/>
          <w:highlight w:val="none"/>
        </w:rPr>
        <w:t>承担。</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cs="宋体"/>
          <w:color w:val="auto"/>
          <w:kern w:val="1"/>
          <w:sz w:val="24"/>
          <w:szCs w:val="24"/>
          <w:highlight w:val="none"/>
        </w:rPr>
      </w:pPr>
      <w:r>
        <w:rPr>
          <w:rFonts w:ascii="宋体" w:hAnsi="宋体" w:cs="宋体"/>
          <w:color w:val="auto"/>
          <w:kern w:val="1"/>
          <w:sz w:val="24"/>
          <w:szCs w:val="24"/>
          <w:highlight w:val="none"/>
        </w:rPr>
        <w:t>（9）对于因标本丢失、未在规定时间内出具报告或检验项目检测结果不准确等造成的医疗事故（医疗事件）或医疗纠纷，</w:t>
      </w:r>
      <w:r>
        <w:rPr>
          <w:rFonts w:hint="eastAsia" w:ascii="宋体" w:hAnsi="宋体" w:cs="宋体"/>
          <w:color w:val="auto"/>
          <w:kern w:val="1"/>
          <w:sz w:val="24"/>
          <w:szCs w:val="24"/>
          <w:highlight w:val="none"/>
          <w:lang w:eastAsia="zh-CN"/>
        </w:rPr>
        <w:t>中标供应商</w:t>
      </w:r>
      <w:r>
        <w:rPr>
          <w:rFonts w:ascii="宋体" w:hAnsi="宋体" w:cs="宋体"/>
          <w:color w:val="auto"/>
          <w:kern w:val="1"/>
          <w:sz w:val="24"/>
          <w:szCs w:val="24"/>
          <w:highlight w:val="none"/>
        </w:rPr>
        <w:t>承担全部经济及法律责任，并提出书面承诺。投标人对</w:t>
      </w:r>
      <w:r>
        <w:rPr>
          <w:rFonts w:hint="eastAsia" w:ascii="宋体" w:hAnsi="宋体" w:cs="宋体"/>
          <w:color w:val="auto"/>
          <w:kern w:val="1"/>
          <w:sz w:val="24"/>
          <w:szCs w:val="24"/>
          <w:highlight w:val="none"/>
          <w:lang w:eastAsia="zh-CN"/>
        </w:rPr>
        <w:t>采购人</w:t>
      </w:r>
      <w:r>
        <w:rPr>
          <w:rFonts w:ascii="宋体" w:hAnsi="宋体" w:cs="宋体"/>
          <w:color w:val="auto"/>
          <w:kern w:val="1"/>
          <w:sz w:val="24"/>
          <w:szCs w:val="24"/>
          <w:highlight w:val="none"/>
        </w:rPr>
        <w:t>不明原因（非院方及患者原因或产品质量问题）引起的医疗投诉、纠纷，能协助</w:t>
      </w:r>
      <w:r>
        <w:rPr>
          <w:rFonts w:hint="eastAsia" w:ascii="宋体" w:hAnsi="宋体" w:cs="宋体"/>
          <w:color w:val="auto"/>
          <w:kern w:val="1"/>
          <w:sz w:val="24"/>
          <w:szCs w:val="24"/>
          <w:highlight w:val="none"/>
          <w:lang w:eastAsia="zh-CN"/>
        </w:rPr>
        <w:t>采购人</w:t>
      </w:r>
      <w:r>
        <w:rPr>
          <w:rFonts w:ascii="宋体" w:hAnsi="宋体" w:cs="宋体"/>
          <w:color w:val="auto"/>
          <w:kern w:val="1"/>
          <w:sz w:val="24"/>
          <w:szCs w:val="24"/>
          <w:highlight w:val="none"/>
        </w:rPr>
        <w:t>做好患者的协调工作，并承担一定的处理费用。若不能积极配合者，下次</w:t>
      </w:r>
      <w:r>
        <w:rPr>
          <w:rFonts w:hint="eastAsia" w:ascii="宋体" w:hAnsi="宋体" w:cs="宋体"/>
          <w:color w:val="auto"/>
          <w:kern w:val="1"/>
          <w:sz w:val="24"/>
          <w:szCs w:val="24"/>
          <w:highlight w:val="none"/>
          <w:lang w:eastAsia="zh-CN"/>
        </w:rPr>
        <w:t>采购</w:t>
      </w:r>
      <w:r>
        <w:rPr>
          <w:rFonts w:ascii="宋体" w:hAnsi="宋体" w:cs="宋体"/>
          <w:color w:val="auto"/>
          <w:kern w:val="1"/>
          <w:sz w:val="24"/>
          <w:szCs w:val="24"/>
          <w:highlight w:val="none"/>
        </w:rPr>
        <w:t>不予考虑。</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cs="宋体"/>
          <w:color w:val="auto"/>
          <w:kern w:val="1"/>
          <w:sz w:val="24"/>
          <w:szCs w:val="24"/>
          <w:highlight w:val="none"/>
        </w:rPr>
      </w:pPr>
      <w:r>
        <w:rPr>
          <w:rFonts w:ascii="宋体" w:hAnsi="宋体" w:cs="宋体"/>
          <w:color w:val="auto"/>
          <w:kern w:val="1"/>
          <w:sz w:val="24"/>
          <w:szCs w:val="24"/>
          <w:highlight w:val="none"/>
        </w:rPr>
        <w:t>（10）遵守保密制度，保护受检者的秘密，不得向无关人员泄露受检者的检测情况，如有传染病阳性的报告，应负责及时报告给送检单位。</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cs="宋体"/>
          <w:color w:val="auto"/>
          <w:kern w:val="1"/>
          <w:sz w:val="24"/>
          <w:szCs w:val="24"/>
          <w:highlight w:val="none"/>
        </w:rPr>
      </w:pPr>
      <w:r>
        <w:rPr>
          <w:rFonts w:ascii="宋体" w:hAnsi="宋体" w:cs="宋体"/>
          <w:color w:val="auto"/>
          <w:kern w:val="1"/>
          <w:sz w:val="24"/>
          <w:szCs w:val="24"/>
          <w:highlight w:val="none"/>
        </w:rPr>
        <w:t>（11）外送软件与</w:t>
      </w:r>
      <w:r>
        <w:rPr>
          <w:rFonts w:hint="eastAsia" w:ascii="宋体" w:hAnsi="宋体" w:cs="宋体"/>
          <w:color w:val="auto"/>
          <w:kern w:val="1"/>
          <w:sz w:val="24"/>
          <w:szCs w:val="24"/>
          <w:highlight w:val="none"/>
          <w:lang w:eastAsia="zh-CN"/>
        </w:rPr>
        <w:t>采购</w:t>
      </w:r>
      <w:r>
        <w:rPr>
          <w:rFonts w:ascii="宋体" w:hAnsi="宋体" w:cs="宋体"/>
          <w:color w:val="auto"/>
          <w:kern w:val="1"/>
          <w:sz w:val="24"/>
          <w:szCs w:val="24"/>
          <w:highlight w:val="none"/>
        </w:rPr>
        <w:t>单位LIS（北京智方公司）系统做好接口，结果实时自动准确导入，</w:t>
      </w:r>
      <w:r>
        <w:rPr>
          <w:rFonts w:hint="eastAsia" w:ascii="宋体" w:hAnsi="宋体" w:cs="宋体"/>
          <w:color w:val="auto"/>
          <w:kern w:val="1"/>
          <w:sz w:val="24"/>
          <w:szCs w:val="24"/>
          <w:highlight w:val="none"/>
          <w:lang w:eastAsia="zh-CN"/>
        </w:rPr>
        <w:t>须内外网隔离，</w:t>
      </w:r>
      <w:r>
        <w:rPr>
          <w:rFonts w:ascii="宋体" w:hAnsi="宋体" w:cs="宋体"/>
          <w:color w:val="auto"/>
          <w:kern w:val="1"/>
          <w:sz w:val="24"/>
          <w:szCs w:val="24"/>
          <w:highlight w:val="none"/>
        </w:rPr>
        <w:t>接口费用由中标</w:t>
      </w:r>
      <w:r>
        <w:rPr>
          <w:rFonts w:hint="eastAsia" w:ascii="宋体" w:hAnsi="宋体" w:cs="宋体"/>
          <w:color w:val="auto"/>
          <w:kern w:val="1"/>
          <w:sz w:val="24"/>
          <w:szCs w:val="24"/>
          <w:highlight w:val="none"/>
          <w:lang w:eastAsia="zh-CN"/>
        </w:rPr>
        <w:t>供应商</w:t>
      </w:r>
      <w:r>
        <w:rPr>
          <w:rFonts w:ascii="宋体" w:hAnsi="宋体" w:cs="宋体"/>
          <w:color w:val="auto"/>
          <w:kern w:val="1"/>
          <w:sz w:val="24"/>
          <w:szCs w:val="24"/>
          <w:highlight w:val="none"/>
        </w:rPr>
        <w:t>承担。</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cs="宋体"/>
          <w:color w:val="auto"/>
          <w:kern w:val="1"/>
          <w:sz w:val="24"/>
          <w:szCs w:val="24"/>
          <w:highlight w:val="none"/>
        </w:rPr>
      </w:pPr>
      <w:r>
        <w:rPr>
          <w:rFonts w:ascii="宋体" w:hAnsi="宋体" w:cs="宋体"/>
          <w:color w:val="auto"/>
          <w:kern w:val="1"/>
          <w:sz w:val="24"/>
          <w:szCs w:val="24"/>
          <w:highlight w:val="none"/>
        </w:rPr>
        <w:t>（12）检测者需有检验资质，复核者需为中级及以上职称，检验诊断性报告需检验医师签名。</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宋体" w:hAnsi="宋体" w:cs="宋体"/>
          <w:color w:val="auto"/>
          <w:kern w:val="1"/>
          <w:sz w:val="24"/>
          <w:szCs w:val="24"/>
          <w:highlight w:val="none"/>
          <w:lang w:val="en-US" w:eastAsia="zh-CN"/>
        </w:rPr>
      </w:pPr>
      <w:r>
        <w:rPr>
          <w:rFonts w:hint="eastAsia" w:ascii="宋体" w:hAnsi="宋体" w:cs="宋体"/>
          <w:color w:val="auto"/>
          <w:kern w:val="1"/>
          <w:sz w:val="24"/>
          <w:szCs w:val="24"/>
          <w:highlight w:val="none"/>
          <w:lang w:eastAsia="zh-CN"/>
        </w:rPr>
        <w:t>（</w:t>
      </w:r>
      <w:r>
        <w:rPr>
          <w:rFonts w:hint="eastAsia" w:ascii="宋体" w:hAnsi="宋体" w:cs="宋体"/>
          <w:color w:val="auto"/>
          <w:kern w:val="1"/>
          <w:sz w:val="24"/>
          <w:szCs w:val="24"/>
          <w:highlight w:val="none"/>
          <w:lang w:val="en-US" w:eastAsia="zh-CN"/>
        </w:rPr>
        <w:t>13）若方法学参考范围等改变须提前以书面形式告知采购人，如未告知产生不良后果由中标供应商承担。</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lang w:val="en-US" w:eastAsia="zh-CN"/>
        </w:rPr>
        <w:t>2、</w:t>
      </w:r>
      <w:r>
        <w:rPr>
          <w:rFonts w:hint="eastAsia" w:ascii="宋体" w:hAnsi="宋体" w:cs="宋体"/>
          <w:color w:val="auto"/>
          <w:kern w:val="1"/>
          <w:sz w:val="24"/>
          <w:szCs w:val="24"/>
          <w:highlight w:val="none"/>
        </w:rPr>
        <w:t>受委托实验室需有满足质量保证各种措施，</w:t>
      </w:r>
      <w:r>
        <w:rPr>
          <w:rFonts w:hint="eastAsia" w:ascii="宋体" w:hAnsi="宋体" w:cs="宋体"/>
          <w:color w:val="auto"/>
          <w:kern w:val="1"/>
          <w:sz w:val="24"/>
          <w:szCs w:val="24"/>
          <w:highlight w:val="none"/>
          <w:lang w:eastAsia="zh-CN"/>
        </w:rPr>
        <w:t>采购人</w:t>
      </w:r>
      <w:r>
        <w:rPr>
          <w:rFonts w:hint="eastAsia" w:ascii="宋体" w:hAnsi="宋体" w:cs="宋体"/>
          <w:color w:val="auto"/>
          <w:kern w:val="1"/>
          <w:sz w:val="24"/>
          <w:szCs w:val="24"/>
          <w:highlight w:val="none"/>
        </w:rPr>
        <w:t>不定期对受委托实验室进行质量保证能力进行调查和评估。</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en-US" w:eastAsia="zh-CN"/>
        </w:rPr>
        <w:t>3</w:t>
      </w:r>
      <w:r>
        <w:rPr>
          <w:rFonts w:ascii="宋体" w:hAnsi="宋体" w:cs="宋体"/>
          <w:color w:val="auto"/>
          <w:kern w:val="1"/>
          <w:sz w:val="24"/>
          <w:szCs w:val="24"/>
          <w:highlight w:val="none"/>
        </w:rPr>
        <w:t>、如中标</w:t>
      </w:r>
      <w:r>
        <w:rPr>
          <w:rFonts w:hint="eastAsia" w:ascii="宋体" w:hAnsi="宋体" w:cs="宋体"/>
          <w:color w:val="auto"/>
          <w:kern w:val="1"/>
          <w:sz w:val="24"/>
          <w:szCs w:val="24"/>
          <w:highlight w:val="none"/>
          <w:lang w:eastAsia="zh-CN"/>
        </w:rPr>
        <w:t>供应商</w:t>
      </w:r>
      <w:r>
        <w:rPr>
          <w:rFonts w:ascii="宋体" w:hAnsi="宋体" w:cs="宋体"/>
          <w:color w:val="auto"/>
          <w:kern w:val="1"/>
          <w:sz w:val="24"/>
          <w:szCs w:val="24"/>
          <w:highlight w:val="none"/>
        </w:rPr>
        <w:t>质量或服务不能达到规定要求，</w:t>
      </w:r>
      <w:r>
        <w:rPr>
          <w:rFonts w:hint="eastAsia" w:ascii="宋体" w:hAnsi="宋体" w:cs="宋体"/>
          <w:color w:val="auto"/>
          <w:kern w:val="1"/>
          <w:sz w:val="24"/>
          <w:szCs w:val="24"/>
          <w:highlight w:val="none"/>
          <w:lang w:eastAsia="zh-CN"/>
        </w:rPr>
        <w:t>采购</w:t>
      </w:r>
      <w:r>
        <w:rPr>
          <w:rFonts w:ascii="宋体" w:hAnsi="宋体" w:cs="宋体"/>
          <w:color w:val="auto"/>
          <w:kern w:val="1"/>
          <w:sz w:val="24"/>
          <w:szCs w:val="24"/>
          <w:highlight w:val="none"/>
        </w:rPr>
        <w:t>人将取消该单位的中标资格，重新组织招标。</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en-US" w:eastAsia="zh-CN"/>
        </w:rPr>
        <w:t>4</w:t>
      </w:r>
      <w:r>
        <w:rPr>
          <w:rFonts w:ascii="宋体" w:hAnsi="宋体" w:cs="宋体"/>
          <w:color w:val="auto"/>
          <w:kern w:val="1"/>
          <w:sz w:val="24"/>
          <w:szCs w:val="24"/>
          <w:highlight w:val="none"/>
        </w:rPr>
        <w:t>、省、市出台新的政策需要配合时</w:t>
      </w:r>
      <w:r>
        <w:rPr>
          <w:rFonts w:hint="eastAsia" w:ascii="宋体" w:hAnsi="宋体" w:cs="宋体"/>
          <w:color w:val="auto"/>
          <w:kern w:val="1"/>
          <w:sz w:val="24"/>
          <w:szCs w:val="24"/>
          <w:highlight w:val="none"/>
          <w:lang w:eastAsia="zh-CN"/>
        </w:rPr>
        <w:t>中标供应商</w:t>
      </w:r>
      <w:r>
        <w:rPr>
          <w:rFonts w:ascii="宋体" w:hAnsi="宋体" w:cs="宋体"/>
          <w:color w:val="auto"/>
          <w:kern w:val="1"/>
          <w:sz w:val="24"/>
          <w:szCs w:val="24"/>
          <w:highlight w:val="none"/>
        </w:rPr>
        <w:t>必须无条件服从，否则本合同自动终止，费用按实际数量清算。</w:t>
      </w:r>
    </w:p>
    <w:p>
      <w:pPr>
        <w:keepNext w:val="0"/>
        <w:keepLines w:val="0"/>
        <w:pageBreakBefore w:val="0"/>
        <w:widowControl w:val="0"/>
        <w:kinsoku/>
        <w:wordWrap/>
        <w:overflowPunct/>
        <w:topLinePunct w:val="0"/>
        <w:autoSpaceDE/>
        <w:autoSpaceDN/>
        <w:bidi w:val="0"/>
        <w:spacing w:line="500" w:lineRule="exact"/>
        <w:ind w:firstLine="480"/>
        <w:textAlignment w:val="auto"/>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en-US" w:eastAsia="zh-CN"/>
        </w:rPr>
        <w:t>5</w:t>
      </w:r>
      <w:r>
        <w:rPr>
          <w:rFonts w:hint="eastAsia" w:ascii="宋体" w:hAnsi="宋体" w:cs="宋体"/>
          <w:color w:val="auto"/>
          <w:kern w:val="1"/>
          <w:sz w:val="24"/>
          <w:szCs w:val="24"/>
          <w:highlight w:val="none"/>
          <w:lang w:eastAsia="zh-CN"/>
        </w:rPr>
        <w:t>、</w:t>
      </w:r>
      <w:r>
        <w:rPr>
          <w:rFonts w:ascii="宋体" w:hAnsi="宋体" w:cs="宋体"/>
          <w:color w:val="auto"/>
          <w:kern w:val="1"/>
          <w:sz w:val="24"/>
          <w:szCs w:val="24"/>
          <w:highlight w:val="none"/>
        </w:rPr>
        <w:t>在供货合同期满后，</w:t>
      </w:r>
      <w:r>
        <w:rPr>
          <w:rFonts w:hint="eastAsia" w:ascii="宋体" w:hAnsi="宋体" w:cs="宋体"/>
          <w:color w:val="auto"/>
          <w:kern w:val="1"/>
          <w:sz w:val="24"/>
          <w:szCs w:val="24"/>
          <w:highlight w:val="none"/>
          <w:lang w:eastAsia="zh-CN"/>
        </w:rPr>
        <w:t>采购人</w:t>
      </w:r>
      <w:r>
        <w:rPr>
          <w:rFonts w:ascii="宋体" w:hAnsi="宋体" w:cs="宋体"/>
          <w:color w:val="auto"/>
          <w:kern w:val="1"/>
          <w:sz w:val="24"/>
          <w:szCs w:val="24"/>
          <w:highlight w:val="none"/>
        </w:rPr>
        <w:t>没有举行再次招标活动或再次招标至</w:t>
      </w:r>
      <w:r>
        <w:rPr>
          <w:rFonts w:hint="eastAsia" w:ascii="宋体" w:hAnsi="宋体" w:cs="宋体"/>
          <w:color w:val="auto"/>
          <w:kern w:val="1"/>
          <w:sz w:val="24"/>
          <w:szCs w:val="24"/>
          <w:highlight w:val="none"/>
          <w:lang w:eastAsia="zh-CN"/>
        </w:rPr>
        <w:t>中标人</w:t>
      </w:r>
      <w:r>
        <w:rPr>
          <w:rFonts w:ascii="宋体" w:hAnsi="宋体" w:cs="宋体"/>
          <w:color w:val="auto"/>
          <w:kern w:val="1"/>
          <w:sz w:val="24"/>
          <w:szCs w:val="24"/>
          <w:highlight w:val="none"/>
        </w:rPr>
        <w:t>改变，</w:t>
      </w:r>
      <w:r>
        <w:rPr>
          <w:rFonts w:hint="eastAsia" w:ascii="宋体" w:hAnsi="宋体" w:cs="宋体"/>
          <w:color w:val="auto"/>
          <w:kern w:val="1"/>
          <w:sz w:val="24"/>
          <w:szCs w:val="24"/>
          <w:highlight w:val="none"/>
          <w:lang w:eastAsia="zh-CN"/>
        </w:rPr>
        <w:t>供应商</w:t>
      </w:r>
      <w:r>
        <w:rPr>
          <w:rFonts w:ascii="宋体" w:hAnsi="宋体" w:cs="宋体"/>
          <w:color w:val="auto"/>
          <w:kern w:val="1"/>
          <w:sz w:val="24"/>
          <w:szCs w:val="24"/>
          <w:highlight w:val="none"/>
        </w:rPr>
        <w:t>必须协助</w:t>
      </w:r>
      <w:r>
        <w:rPr>
          <w:rFonts w:hint="eastAsia" w:ascii="宋体" w:hAnsi="宋体" w:cs="宋体"/>
          <w:color w:val="auto"/>
          <w:kern w:val="1"/>
          <w:sz w:val="24"/>
          <w:szCs w:val="24"/>
          <w:highlight w:val="none"/>
          <w:lang w:eastAsia="zh-CN"/>
        </w:rPr>
        <w:t>采购人</w:t>
      </w:r>
      <w:r>
        <w:rPr>
          <w:rFonts w:ascii="宋体" w:hAnsi="宋体" w:cs="宋体"/>
          <w:color w:val="auto"/>
          <w:kern w:val="1"/>
          <w:sz w:val="24"/>
          <w:szCs w:val="24"/>
          <w:highlight w:val="none"/>
        </w:rPr>
        <w:t>做好衔接工作且保证供应价不变，特殊情况，协商解决。</w:t>
      </w:r>
    </w:p>
    <w:p>
      <w:pPr>
        <w:pageBreakBefore w:val="0"/>
        <w:numPr>
          <w:ilvl w:val="0"/>
          <w:numId w:val="0"/>
        </w:numPr>
        <w:kinsoku/>
        <w:wordWrap/>
        <w:overflowPunct/>
        <w:topLinePunct w:val="0"/>
        <w:autoSpaceDE/>
        <w:autoSpaceDN/>
        <w:bidi w:val="0"/>
        <w:snapToGrid w:val="0"/>
        <w:spacing w:line="440" w:lineRule="exact"/>
        <w:ind w:firstLine="480" w:firstLineChars="200"/>
        <w:textAlignment w:val="auto"/>
        <w:rPr>
          <w:rFonts w:hint="eastAsia" w:ascii="Arial" w:hAnsi="Arial"/>
          <w:b/>
          <w:bCs/>
          <w:color w:val="auto"/>
          <w:highlight w:val="none"/>
        </w:rPr>
      </w:pPr>
      <w:r>
        <w:rPr>
          <w:rFonts w:hint="eastAsia" w:ascii="Arial" w:hAnsi="Arial"/>
          <w:b/>
          <w:bCs/>
          <w:color w:val="auto"/>
          <w:highlight w:val="none"/>
          <w:lang w:val="en-US" w:eastAsia="zh-CN"/>
        </w:rPr>
        <w:t>四、</w:t>
      </w:r>
      <w:r>
        <w:rPr>
          <w:rFonts w:hint="eastAsia" w:ascii="Arial" w:hAnsi="Arial"/>
          <w:b/>
          <w:bCs/>
          <w:color w:val="auto"/>
          <w:highlight w:val="none"/>
        </w:rPr>
        <w:t>资信及商务要求表</w:t>
      </w:r>
    </w:p>
    <w:tbl>
      <w:tblPr>
        <w:tblStyle w:val="37"/>
        <w:tblW w:w="99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04"/>
        <w:gridCol w:w="77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220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napToGrid w:val="0"/>
              <w:spacing w:line="50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p>
        </w:tc>
        <w:tc>
          <w:tcPr>
            <w:tcW w:w="775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5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220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napToGrid w:val="0"/>
              <w:spacing w:line="50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服务地点</w:t>
            </w:r>
          </w:p>
        </w:tc>
        <w:tc>
          <w:tcPr>
            <w:tcW w:w="775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500" w:lineRule="exact"/>
              <w:ind w:left="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服务地点：嵊州市人民医院。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220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napToGrid w:val="0"/>
              <w:spacing w:line="50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报告单接受和审核</w:t>
            </w:r>
          </w:p>
        </w:tc>
        <w:tc>
          <w:tcPr>
            <w:tcW w:w="775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5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检验报告实时自动准确导入。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8" w:hRule="atLeast"/>
          <w:jc w:val="center"/>
        </w:trPr>
        <w:tc>
          <w:tcPr>
            <w:tcW w:w="220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napToGrid w:val="0"/>
              <w:spacing w:line="50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结算依据</w:t>
            </w:r>
          </w:p>
        </w:tc>
        <w:tc>
          <w:tcPr>
            <w:tcW w:w="775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500" w:lineRule="exact"/>
              <w:ind w:lef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1、本项目按</w:t>
            </w:r>
            <w:r>
              <w:rPr>
                <w:rFonts w:hint="eastAsia" w:ascii="宋体" w:hAnsi="宋体" w:eastAsia="宋体" w:cs="宋体"/>
                <w:b w:val="0"/>
                <w:bCs w:val="0"/>
                <w:color w:val="auto"/>
                <w:kern w:val="2"/>
                <w:sz w:val="24"/>
                <w:szCs w:val="24"/>
                <w:highlight w:val="none"/>
              </w:rPr>
              <w:t>《浙江省医疗服务价格手册》</w:t>
            </w:r>
            <w:r>
              <w:rPr>
                <w:rFonts w:hint="eastAsia" w:ascii="宋体" w:hAnsi="宋体" w:eastAsia="宋体" w:cs="宋体"/>
                <w:b w:val="0"/>
                <w:bCs w:val="0"/>
                <w:color w:val="auto"/>
                <w:kern w:val="2"/>
                <w:sz w:val="24"/>
                <w:szCs w:val="24"/>
                <w:highlight w:val="none"/>
                <w:lang w:eastAsia="zh-CN"/>
              </w:rPr>
              <w:t>价格标准</w:t>
            </w:r>
            <w:r>
              <w:rPr>
                <w:rFonts w:hint="eastAsia" w:ascii="宋体" w:hAnsi="宋体" w:eastAsia="宋体" w:cs="宋体"/>
                <w:color w:val="auto"/>
                <w:sz w:val="24"/>
                <w:szCs w:val="24"/>
                <w:highlight w:val="none"/>
                <w:lang w:eastAsia="zh-CN"/>
              </w:rPr>
              <w:t>进行下浮</w:t>
            </w:r>
            <w:r>
              <w:rPr>
                <w:rFonts w:hint="eastAsia" w:ascii="宋体" w:hAnsi="宋体" w:eastAsia="宋体" w:cs="宋体"/>
                <w:color w:val="auto"/>
                <w:sz w:val="24"/>
                <w:szCs w:val="24"/>
                <w:highlight w:val="none"/>
              </w:rPr>
              <w:t>，数量按实结算（数量由</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单位根据需求临时通知中标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pPr>
              <w:pStyle w:val="2"/>
              <w:keepLines w:val="0"/>
              <w:pageBreakBefore w:val="0"/>
              <w:tabs>
                <w:tab w:val="left" w:pos="240"/>
                <w:tab w:val="clear" w:pos="480"/>
              </w:tabs>
              <w:kinsoku/>
              <w:wordWrap/>
              <w:overflowPunct/>
              <w:topLinePunct w:val="0"/>
              <w:autoSpaceDE/>
              <w:autoSpaceDN/>
              <w:bidi w:val="0"/>
              <w:adjustRightInd/>
              <w:spacing w:beforeLines="0" w:afterLines="0" w:line="500" w:lineRule="exac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rPr>
              <w:t>2、结算价=《浙江省医疗服务价格手册》价格×</w:t>
            </w:r>
            <w:r>
              <w:rPr>
                <w:rFonts w:hint="eastAsia" w:hAnsi="宋体" w:eastAsia="宋体" w:cs="宋体"/>
                <w:b/>
                <w:bCs/>
                <w:color w:val="auto"/>
                <w:kern w:val="2"/>
                <w:sz w:val="24"/>
                <w:szCs w:val="24"/>
                <w:highlight w:val="none"/>
                <w:lang w:val="en-US" w:eastAsia="zh-CN"/>
              </w:rPr>
              <w:t>中标折扣率</w:t>
            </w:r>
            <w:r>
              <w:rPr>
                <w:rFonts w:hint="eastAsia" w:ascii="宋体" w:hAnsi="宋体" w:eastAsia="宋体" w:cs="宋体"/>
                <w:b w:val="0"/>
                <w:bCs w:val="0"/>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220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napToGrid w:val="0"/>
              <w:spacing w:line="50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7755" w:type="dxa"/>
            <w:tcBorders>
              <w:top w:val="single" w:color="auto" w:sz="4" w:space="0"/>
              <w:left w:val="single" w:color="auto" w:sz="4" w:space="0"/>
              <w:bottom w:val="single" w:color="auto" w:sz="4" w:space="0"/>
              <w:right w:val="single" w:color="auto" w:sz="4" w:space="0"/>
            </w:tcBorders>
            <w:noWrap w:val="0"/>
            <w:vAlign w:val="center"/>
          </w:tcPr>
          <w:p>
            <w:pPr>
              <w:pStyle w:val="21"/>
              <w:keepLines w:val="0"/>
              <w:pageBreakBefore w:val="0"/>
              <w:kinsoku/>
              <w:wordWrap/>
              <w:overflowPunct/>
              <w:topLinePunct w:val="0"/>
              <w:autoSpaceDE/>
              <w:autoSpaceDN/>
              <w:bidi w:val="0"/>
              <w:adjustRightInd/>
              <w:snapToGrid w:val="0"/>
              <w:spacing w:line="500" w:lineRule="exact"/>
              <w:ind w:left="0" w:firstLine="0" w:firstLineChars="0"/>
              <w:jc w:val="left"/>
              <w:textAlignment w:val="auto"/>
              <w:rPr>
                <w:rFonts w:hint="eastAsia"/>
                <w:color w:val="auto"/>
                <w:highlight w:val="none"/>
              </w:rPr>
            </w:pPr>
            <w:r>
              <w:rPr>
                <w:rFonts w:hint="eastAsia"/>
                <w:color w:val="auto"/>
                <w:highlight w:val="none"/>
              </w:rPr>
              <w:t xml:space="preserve"> 检测费用按月结算，业务量的结算以当月项目检测清单或外送标本登记的签收记录为准</w:t>
            </w:r>
            <w:r>
              <w:rPr>
                <w:rFonts w:hint="eastAsia"/>
                <w:color w:val="auto"/>
                <w:highlight w:val="none"/>
                <w:lang w:eastAsia="zh-CN"/>
              </w:rPr>
              <w:t>，</w:t>
            </w:r>
            <w:r>
              <w:rPr>
                <w:rFonts w:hint="eastAsia"/>
                <w:color w:val="auto"/>
                <w:highlight w:val="none"/>
              </w:rPr>
              <w:t>经双方共同确认检测数量无异议后90个工作日后支付。</w:t>
            </w:r>
          </w:p>
          <w:p>
            <w:pPr>
              <w:ind w:left="0" w:leftChars="0" w:firstLine="0" w:firstLineChars="0"/>
              <w:rPr>
                <w:rFonts w:hint="eastAsia" w:eastAsia="宋体"/>
                <w:color w:val="auto"/>
                <w:highlight w:val="none"/>
                <w:lang w:val="en-US" w:eastAsia="zh-CN"/>
              </w:rPr>
            </w:pPr>
            <w:r>
              <w:rPr>
                <w:rFonts w:hint="eastAsia"/>
                <w:color w:val="auto"/>
                <w:highlight w:val="none"/>
                <w:lang w:val="en-US" w:eastAsia="zh-CN"/>
              </w:rPr>
              <w:t>若中标单位为小微企业，支付方式按（浙财采监[2022]3号）文件执行。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4" w:hRule="atLeast"/>
          <w:jc w:val="center"/>
        </w:trPr>
        <w:tc>
          <w:tcPr>
            <w:tcW w:w="220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50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考核要求</w:t>
            </w:r>
          </w:p>
        </w:tc>
        <w:tc>
          <w:tcPr>
            <w:tcW w:w="775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500" w:lineRule="exact"/>
              <w:ind w:left="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报告时间延迟一天扣检测费的20%，延迟二天扣检测费的50%，延迟三天检测费减免，如造成投诉纠纷中标方需承担相应的经济和法律责任。五次以上延迟报告的，甲方有权利提前解除合同。</w:t>
            </w:r>
          </w:p>
          <w:p>
            <w:pPr>
              <w:keepLines w:val="0"/>
              <w:pageBreakBefore w:val="0"/>
              <w:widowControl/>
              <w:kinsoku/>
              <w:wordWrap/>
              <w:overflowPunct/>
              <w:topLinePunct w:val="0"/>
              <w:autoSpaceDE/>
              <w:autoSpaceDN/>
              <w:bidi w:val="0"/>
              <w:adjustRightInd/>
              <w:spacing w:line="5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结果的准确性：对结果明显有差异的，要求复查，如因该诊断报告引起医疗纠纷，中标方需承担全部的经济和法律责任。</w:t>
            </w:r>
          </w:p>
        </w:tc>
      </w:tr>
    </w:tbl>
    <w:p>
      <w:pPr>
        <w:pStyle w:val="11"/>
        <w:numPr>
          <w:ilvl w:val="0"/>
          <w:numId w:val="0"/>
        </w:numPr>
        <w:rPr>
          <w:rFonts w:hint="eastAsia"/>
          <w:color w:val="auto"/>
          <w:highlight w:val="none"/>
        </w:rPr>
      </w:pPr>
    </w:p>
    <w:p>
      <w:pPr>
        <w:pStyle w:val="11"/>
        <w:numPr>
          <w:ilvl w:val="0"/>
          <w:numId w:val="0"/>
        </w:numPr>
        <w:rPr>
          <w:rFonts w:hint="eastAsia"/>
          <w:color w:val="auto"/>
          <w:highlight w:val="none"/>
        </w:rPr>
      </w:pPr>
    </w:p>
    <w:p>
      <w:pPr>
        <w:pStyle w:val="11"/>
        <w:numPr>
          <w:ilvl w:val="0"/>
          <w:numId w:val="0"/>
        </w:numPr>
        <w:rPr>
          <w:rFonts w:hint="eastAsia"/>
          <w:color w:val="auto"/>
          <w:highlight w:val="none"/>
        </w:rPr>
      </w:pPr>
    </w:p>
    <w:p>
      <w:pPr>
        <w:pStyle w:val="11"/>
        <w:numPr>
          <w:ilvl w:val="0"/>
          <w:numId w:val="0"/>
        </w:numPr>
        <w:rPr>
          <w:rFonts w:hint="eastAsia"/>
          <w:color w:val="auto"/>
          <w:highlight w:val="none"/>
        </w:rPr>
      </w:pPr>
    </w:p>
    <w:p>
      <w:pPr>
        <w:spacing w:before="120" w:line="460" w:lineRule="exact"/>
        <w:ind w:left="0" w:leftChars="0" w:firstLine="0" w:firstLineChars="0"/>
        <w:jc w:val="center"/>
        <w:outlineLvl w:val="0"/>
        <w:rPr>
          <w:b/>
          <w:bCs w:val="0"/>
          <w:color w:val="auto"/>
          <w:szCs w:val="36"/>
          <w:highlight w:val="none"/>
        </w:rPr>
      </w:pPr>
      <w:r>
        <w:rPr>
          <w:rFonts w:hint="eastAsia" w:ascii="宋体" w:hAnsi="宋体" w:cs="宋体"/>
          <w:b/>
          <w:bCs w:val="0"/>
          <w:color w:val="auto"/>
          <w:kern w:val="2"/>
          <w:sz w:val="36"/>
          <w:szCs w:val="36"/>
          <w:highlight w:val="none"/>
        </w:rPr>
        <w:br w:type="page"/>
      </w:r>
      <w:r>
        <w:rPr>
          <w:rFonts w:hint="eastAsia" w:ascii="宋体" w:hAnsi="宋体" w:cs="宋体"/>
          <w:b/>
          <w:bCs w:val="0"/>
          <w:color w:val="auto"/>
          <w:kern w:val="2"/>
          <w:sz w:val="36"/>
          <w:szCs w:val="36"/>
          <w:highlight w:val="none"/>
        </w:rPr>
        <w:t xml:space="preserve">第四章 </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Start w:id="195" w:name="_Toc3678"/>
      <w:bookmarkStart w:id="196" w:name="_Toc25"/>
      <w:bookmarkStart w:id="197" w:name="_Toc111"/>
      <w:bookmarkStart w:id="198" w:name="_Toc3951"/>
      <w:bookmarkStart w:id="199" w:name="_Toc17746"/>
      <w:bookmarkStart w:id="200" w:name="_Toc3870"/>
      <w:bookmarkStart w:id="201" w:name="_Toc167"/>
      <w:bookmarkStart w:id="202" w:name="_Toc11829"/>
      <w:bookmarkStart w:id="203" w:name="_Toc9054"/>
      <w:bookmarkStart w:id="204" w:name="_Toc16921"/>
      <w:bookmarkStart w:id="205" w:name="_Toc32642"/>
      <w:bookmarkStart w:id="206" w:name="_Toc2932"/>
      <w:bookmarkStart w:id="207" w:name="_Toc3734"/>
      <w:bookmarkStart w:id="208" w:name="_Toc24526"/>
      <w:bookmarkStart w:id="209" w:name="_Toc433917284"/>
      <w:bookmarkStart w:id="210" w:name="_Toc446318353"/>
      <w:r>
        <w:rPr>
          <w:rFonts w:hint="eastAsia" w:ascii="宋体" w:hAnsi="宋体" w:cs="宋体"/>
          <w:b/>
          <w:bCs w:val="0"/>
          <w:color w:val="auto"/>
          <w:kern w:val="2"/>
          <w:sz w:val="36"/>
          <w:szCs w:val="36"/>
          <w:highlight w:val="none"/>
        </w:rPr>
        <w:t>合同格式及合同条款</w:t>
      </w:r>
      <w:bookmarkEnd w:id="194"/>
    </w:p>
    <w:bookmarkEnd w:id="195"/>
    <w:bookmarkEnd w:id="196"/>
    <w:bookmarkEnd w:id="197"/>
    <w:bookmarkEnd w:id="198"/>
    <w:bookmarkEnd w:id="199"/>
    <w:bookmarkEnd w:id="200"/>
    <w:bookmarkEnd w:id="201"/>
    <w:bookmarkEnd w:id="202"/>
    <w:bookmarkEnd w:id="203"/>
    <w:bookmarkEnd w:id="204"/>
    <w:bookmarkEnd w:id="205"/>
    <w:bookmarkEnd w:id="206"/>
    <w:bookmarkEnd w:id="207"/>
    <w:p>
      <w:pPr>
        <w:spacing w:line="440" w:lineRule="exact"/>
        <w:jc w:val="right"/>
        <w:rPr>
          <w:rFonts w:hint="eastAsia" w:ascii="宋体" w:hAnsi="宋体" w:cs="宋体"/>
          <w:color w:val="auto"/>
          <w:sz w:val="24"/>
          <w:szCs w:val="24"/>
          <w:highlight w:val="none"/>
        </w:rPr>
      </w:pPr>
      <w:bookmarkStart w:id="211" w:name="_Toc27777"/>
      <w:bookmarkStart w:id="212" w:name="_Toc33718216"/>
      <w:bookmarkStart w:id="213" w:name="_Toc18256"/>
      <w:r>
        <w:rPr>
          <w:rFonts w:hint="eastAsia" w:ascii="宋体" w:hAnsi="宋体" w:cs="宋体"/>
          <w:color w:val="auto"/>
          <w:sz w:val="24"/>
          <w:szCs w:val="24"/>
          <w:highlight w:val="none"/>
        </w:rPr>
        <w:t>（合同编号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w:t>
      </w:r>
    </w:p>
    <w:p>
      <w:pPr>
        <w:keepNext w:val="0"/>
        <w:keepLines w:val="0"/>
        <w:pageBreakBefore w:val="0"/>
        <w:kinsoku/>
        <w:wordWrap/>
        <w:overflowPunct/>
        <w:topLinePunct w:val="0"/>
        <w:autoSpaceDE/>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嵊州市人民医院</w:t>
      </w:r>
    </w:p>
    <w:p>
      <w:pPr>
        <w:keepNext w:val="0"/>
        <w:keepLines w:val="0"/>
        <w:pageBreakBefore w:val="0"/>
        <w:kinsoku/>
        <w:wordWrap/>
        <w:overflowPunct/>
        <w:topLinePunct w:val="0"/>
        <w:autoSpaceDE/>
        <w:bidi w:val="0"/>
        <w:spacing w:line="50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autoSpaceDE/>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采购文件（项目编号：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）评议结果，现就嵊州市人民医院采购内容，经双方协商，拟订以下条款：</w:t>
      </w:r>
    </w:p>
    <w:p>
      <w:pPr>
        <w:pStyle w:val="21"/>
        <w:keepNext w:val="0"/>
        <w:keepLines w:val="0"/>
        <w:pageBreakBefore w:val="0"/>
        <w:tabs>
          <w:tab w:val="left" w:pos="180"/>
        </w:tabs>
        <w:kinsoku/>
        <w:wordWrap/>
        <w:overflowPunct/>
        <w:topLinePunct w:val="0"/>
        <w:autoSpaceDE/>
        <w:bidi w:val="0"/>
        <w:snapToGrid w:val="0"/>
        <w:spacing w:before="0" w:line="5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一、服务内容及要求</w:t>
      </w:r>
    </w:p>
    <w:p>
      <w:pPr>
        <w:pStyle w:val="21"/>
        <w:keepNext w:val="0"/>
        <w:keepLines w:val="0"/>
        <w:pageBreakBefore w:val="0"/>
        <w:tabs>
          <w:tab w:val="left" w:pos="180"/>
        </w:tabs>
        <w:kinsoku/>
        <w:wordWrap/>
        <w:overflowPunct/>
        <w:topLinePunct w:val="0"/>
        <w:autoSpaceDE/>
        <w:bidi w:val="0"/>
        <w:snapToGrid w:val="0"/>
        <w:spacing w:before="0"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1.1服务内容</w:t>
      </w:r>
    </w:p>
    <w:p>
      <w:pPr>
        <w:pStyle w:val="21"/>
        <w:keepNext w:val="0"/>
        <w:keepLines w:val="0"/>
        <w:pageBreakBefore w:val="0"/>
        <w:tabs>
          <w:tab w:val="left" w:pos="180"/>
        </w:tabs>
        <w:kinsoku/>
        <w:wordWrap/>
        <w:overflowPunct/>
        <w:topLinePunct w:val="0"/>
        <w:autoSpaceDE/>
        <w:bidi w:val="0"/>
        <w:snapToGrid w:val="0"/>
        <w:spacing w:before="0"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见附件（检验科标本外送检验项目内容）</w:t>
      </w:r>
    </w:p>
    <w:p>
      <w:pPr>
        <w:pStyle w:val="21"/>
        <w:keepNext w:val="0"/>
        <w:keepLines w:val="0"/>
        <w:pageBreakBefore w:val="0"/>
        <w:tabs>
          <w:tab w:val="left" w:pos="180"/>
        </w:tabs>
        <w:kinsoku/>
        <w:wordWrap/>
        <w:overflowPunct/>
        <w:topLinePunct w:val="0"/>
        <w:autoSpaceDE/>
        <w:bidi w:val="0"/>
        <w:snapToGrid w:val="0"/>
        <w:spacing w:before="0" w:line="500" w:lineRule="exact"/>
        <w:ind w:firstLine="480" w:firstLineChars="200"/>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1.2服务要求</w:t>
      </w:r>
    </w:p>
    <w:p>
      <w:pPr>
        <w:pStyle w:val="21"/>
        <w:keepNext w:val="0"/>
        <w:keepLines w:val="0"/>
        <w:pageBreakBefore w:val="0"/>
        <w:tabs>
          <w:tab w:val="left" w:pos="180"/>
        </w:tabs>
        <w:kinsoku/>
        <w:wordWrap/>
        <w:overflowPunct/>
        <w:topLinePunct w:val="0"/>
        <w:autoSpaceDE/>
        <w:bidi w:val="0"/>
        <w:snapToGrid w:val="0"/>
        <w:spacing w:before="0" w:line="500" w:lineRule="exact"/>
        <w:ind w:firstLine="480" w:firstLineChars="20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1、检测要求  </w:t>
      </w:r>
    </w:p>
    <w:p>
      <w:pPr>
        <w:keepNext w:val="0"/>
        <w:keepLines w:val="0"/>
        <w:pageBreakBefore w:val="0"/>
        <w:kinsoku/>
        <w:wordWrap/>
        <w:overflowPunct/>
        <w:topLinePunct w:val="0"/>
        <w:autoSpaceDE/>
        <w:bidi w:val="0"/>
        <w:spacing w:line="500" w:lineRule="exact"/>
        <w:ind w:firstLine="48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（1）提供相应的《项目总汇与采样手册》，开展项目能满足临床需求。</w:t>
      </w:r>
    </w:p>
    <w:p>
      <w:pPr>
        <w:keepNext w:val="0"/>
        <w:keepLines w:val="0"/>
        <w:pageBreakBefore w:val="0"/>
        <w:kinsoku/>
        <w:wordWrap/>
        <w:overflowPunct/>
        <w:topLinePunct w:val="0"/>
        <w:autoSpaceDE/>
        <w:bidi w:val="0"/>
        <w:spacing w:line="500" w:lineRule="exact"/>
        <w:ind w:firstLine="48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（2）所有样本的运送必须符合样本温度的管理要求，采用相应的冷链运送技术，特殊标本运输过程中需干冰冻存。</w:t>
      </w:r>
    </w:p>
    <w:p>
      <w:pPr>
        <w:keepNext w:val="0"/>
        <w:keepLines w:val="0"/>
        <w:pageBreakBefore w:val="0"/>
        <w:kinsoku/>
        <w:wordWrap/>
        <w:overflowPunct/>
        <w:topLinePunct w:val="0"/>
        <w:autoSpaceDE/>
        <w:bidi w:val="0"/>
        <w:spacing w:line="500" w:lineRule="exact"/>
        <w:ind w:firstLine="48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所有样本运送必须采用符合相关标准的冷链物流车或转送车辆及冷链物流箱，冷链物流车或转送车辆及冷链物流箱配备数量满足标本转送要求。</w:t>
      </w:r>
    </w:p>
    <w:p>
      <w:pPr>
        <w:keepNext w:val="0"/>
        <w:keepLines w:val="0"/>
        <w:pageBreakBefore w:val="0"/>
        <w:kinsoku/>
        <w:wordWrap/>
        <w:overflowPunct/>
        <w:topLinePunct w:val="0"/>
        <w:autoSpaceDE/>
        <w:bidi w:val="0"/>
        <w:spacing w:line="500" w:lineRule="exact"/>
        <w:ind w:firstLine="48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样本交接及运送过程必须符合样本的安全管理要求，符合《病原微生物实验室生物安全管理条例》、《可感染人类的高致病性病原微生物菌（毒）种或样本运输管理规定》、《浙江省病原微生物实验室生物安全管理办法（试行）》等相关法律法规规章涉及的生物安全规定。</w:t>
      </w:r>
    </w:p>
    <w:p>
      <w:pPr>
        <w:keepNext w:val="0"/>
        <w:keepLines w:val="0"/>
        <w:pageBreakBefore w:val="0"/>
        <w:kinsoku/>
        <w:wordWrap/>
        <w:overflowPunct/>
        <w:topLinePunct w:val="0"/>
        <w:autoSpaceDE/>
        <w:bidi w:val="0"/>
        <w:spacing w:line="500" w:lineRule="exact"/>
        <w:ind w:firstLine="48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（4）运输车辆拥有运输标本专业设备如生物安全转运箱，并装有处置生物安全应急事件的应急箱及消毒用喷壶,可以应对突发生物安全事件的现场处置。</w:t>
      </w:r>
    </w:p>
    <w:p>
      <w:pPr>
        <w:keepNext w:val="0"/>
        <w:keepLines w:val="0"/>
        <w:pageBreakBefore w:val="0"/>
        <w:kinsoku/>
        <w:wordWrap/>
        <w:overflowPunct/>
        <w:topLinePunct w:val="0"/>
        <w:autoSpaceDE/>
        <w:bidi w:val="0"/>
        <w:spacing w:line="500" w:lineRule="exact"/>
        <w:ind w:firstLine="48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（5）标本转运物流流程规章制度（包括标本运输紧急预案）及工作各环节操作说明书。</w:t>
      </w:r>
    </w:p>
    <w:p>
      <w:pPr>
        <w:keepNext w:val="0"/>
        <w:keepLines w:val="0"/>
        <w:pageBreakBefore w:val="0"/>
        <w:kinsoku/>
        <w:wordWrap/>
        <w:overflowPunct/>
        <w:topLinePunct w:val="0"/>
        <w:autoSpaceDE/>
        <w:bidi w:val="0"/>
        <w:spacing w:line="500" w:lineRule="exact"/>
        <w:ind w:firstLine="48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（6）提供整个物流的完整书面规划方案，如配置的车辆多少，冷链车的数量，冷链箱的数量，每天物流运送的路线和车次的安排，如何保障样本每天的及时送达，安全措施、应急预案等等。</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cs="宋体"/>
          <w:color w:val="auto"/>
          <w:kern w:val="1"/>
          <w:sz w:val="24"/>
          <w:szCs w:val="24"/>
          <w:highlight w:val="none"/>
        </w:rPr>
      </w:pPr>
      <w:r>
        <w:rPr>
          <w:rFonts w:hint="eastAsia" w:ascii="宋体" w:hAnsi="宋体" w:eastAsia="宋体" w:cs="宋体"/>
          <w:color w:val="auto"/>
          <w:kern w:val="1"/>
          <w:sz w:val="24"/>
          <w:szCs w:val="24"/>
          <w:highlight w:val="none"/>
        </w:rPr>
        <w:t xml:space="preserve">（7） </w:t>
      </w:r>
      <w:r>
        <w:rPr>
          <w:rFonts w:hint="eastAsia" w:ascii="宋体" w:hAnsi="宋体" w:cs="宋体"/>
          <w:color w:val="auto"/>
          <w:kern w:val="1"/>
          <w:sz w:val="24"/>
          <w:szCs w:val="24"/>
          <w:highlight w:val="none"/>
          <w:lang w:eastAsia="zh-CN"/>
        </w:rPr>
        <w:t>长期提供一位相对固定的技术人员进行标本接收，另外</w:t>
      </w:r>
      <w:r>
        <w:rPr>
          <w:rFonts w:ascii="宋体" w:hAnsi="宋体" w:cs="宋体"/>
          <w:color w:val="auto"/>
          <w:kern w:val="1"/>
          <w:sz w:val="24"/>
          <w:szCs w:val="24"/>
          <w:highlight w:val="none"/>
        </w:rPr>
        <w:t>每周一至周六工作时间内派工作人员在我院实时收取标本，合理处理，每日多批接收，每批实时做好登记，同时与我院LIS（北京智方公司）做好核对。按标本保存条件进行运输，对保证标本的可靠性和有效性负责，并按《项目总汇与采样手册》中的规定“报告时间”内，准时发放报告，保证检验报告的准确性和及时性。必须做好与我院LIS（北京智方公司）的对接，提供的报告在我院LIS（北京智方公司）系统里按我院的报告格式发放。我院可实时通过网络接收外送标本已完成的报告。当外送标本报告不能在我院LIS上查询时，应立即派人员妥善处理。如检测结果为危急值，应立即报告给送检单位。</w:t>
      </w:r>
    </w:p>
    <w:p>
      <w:pPr>
        <w:keepNext w:val="0"/>
        <w:keepLines w:val="0"/>
        <w:pageBreakBefore w:val="0"/>
        <w:kinsoku/>
        <w:wordWrap/>
        <w:overflowPunct/>
        <w:topLinePunct w:val="0"/>
        <w:autoSpaceDE/>
        <w:bidi w:val="0"/>
        <w:spacing w:line="500" w:lineRule="exact"/>
        <w:ind w:firstLine="48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（8）对检验后的标本进行妥善保存，以便检验结果有疑义时进行免费复查或再委托第三方检验，</w:t>
      </w:r>
      <w:r>
        <w:rPr>
          <w:rFonts w:hint="eastAsia" w:ascii="宋体" w:hAnsi="宋体" w:eastAsia="宋体" w:cs="宋体"/>
          <w:color w:val="auto"/>
          <w:kern w:val="1"/>
          <w:sz w:val="24"/>
          <w:szCs w:val="24"/>
          <w:highlight w:val="none"/>
          <w:lang w:eastAsia="zh-CN"/>
        </w:rPr>
        <w:t>由此产生的一切费用</w:t>
      </w:r>
      <w:r>
        <w:rPr>
          <w:rFonts w:hint="eastAsia" w:ascii="宋体" w:hAnsi="宋体" w:eastAsia="宋体" w:cs="宋体"/>
          <w:color w:val="auto"/>
          <w:kern w:val="1"/>
          <w:sz w:val="24"/>
          <w:szCs w:val="24"/>
          <w:highlight w:val="none"/>
        </w:rPr>
        <w:t>由</w:t>
      </w:r>
      <w:r>
        <w:rPr>
          <w:rFonts w:hint="eastAsia" w:ascii="宋体" w:hAnsi="宋体" w:eastAsia="宋体" w:cs="宋体"/>
          <w:color w:val="auto"/>
          <w:kern w:val="1"/>
          <w:sz w:val="24"/>
          <w:szCs w:val="24"/>
          <w:highlight w:val="none"/>
          <w:lang w:eastAsia="zh-CN"/>
        </w:rPr>
        <w:t>乙方</w:t>
      </w:r>
      <w:r>
        <w:rPr>
          <w:rFonts w:hint="eastAsia" w:ascii="宋体" w:hAnsi="宋体" w:eastAsia="宋体" w:cs="宋体"/>
          <w:color w:val="auto"/>
          <w:kern w:val="1"/>
          <w:sz w:val="24"/>
          <w:szCs w:val="24"/>
          <w:highlight w:val="none"/>
        </w:rPr>
        <w:t>承担。</w:t>
      </w:r>
    </w:p>
    <w:p>
      <w:pPr>
        <w:keepNext w:val="0"/>
        <w:keepLines w:val="0"/>
        <w:pageBreakBefore w:val="0"/>
        <w:kinsoku/>
        <w:wordWrap/>
        <w:overflowPunct/>
        <w:topLinePunct w:val="0"/>
        <w:autoSpaceDE/>
        <w:bidi w:val="0"/>
        <w:spacing w:line="500" w:lineRule="exact"/>
        <w:ind w:firstLine="48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（9）对于因标本丢失、未在规定时间内出具报告或检验项目检测结果不准确等造成的医疗事故（医疗事件）或医疗纠纷，乙方承担全部经济及法律责任，并提出书面承诺。乙方对</w:t>
      </w:r>
      <w:r>
        <w:rPr>
          <w:rFonts w:hint="eastAsia" w:ascii="宋体" w:hAnsi="宋体" w:eastAsia="宋体" w:cs="宋体"/>
          <w:color w:val="auto"/>
          <w:kern w:val="1"/>
          <w:sz w:val="24"/>
          <w:szCs w:val="24"/>
          <w:highlight w:val="none"/>
          <w:lang w:eastAsia="zh-CN"/>
        </w:rPr>
        <w:t>甲方</w:t>
      </w:r>
      <w:r>
        <w:rPr>
          <w:rFonts w:hint="eastAsia" w:ascii="宋体" w:hAnsi="宋体" w:eastAsia="宋体" w:cs="宋体"/>
          <w:color w:val="auto"/>
          <w:kern w:val="1"/>
          <w:sz w:val="24"/>
          <w:szCs w:val="24"/>
          <w:highlight w:val="none"/>
        </w:rPr>
        <w:t>不明原因（非院方及患者原因或产品质量问题）引起的医疗投诉、纠纷，能协助</w:t>
      </w:r>
      <w:r>
        <w:rPr>
          <w:rFonts w:hint="eastAsia" w:ascii="宋体" w:hAnsi="宋体" w:eastAsia="宋体" w:cs="宋体"/>
          <w:color w:val="auto"/>
          <w:kern w:val="1"/>
          <w:sz w:val="24"/>
          <w:szCs w:val="24"/>
          <w:highlight w:val="none"/>
          <w:lang w:eastAsia="zh-CN"/>
        </w:rPr>
        <w:t>甲方</w:t>
      </w:r>
      <w:r>
        <w:rPr>
          <w:rFonts w:hint="eastAsia" w:ascii="宋体" w:hAnsi="宋体" w:eastAsia="宋体" w:cs="宋体"/>
          <w:color w:val="auto"/>
          <w:kern w:val="1"/>
          <w:sz w:val="24"/>
          <w:szCs w:val="24"/>
          <w:highlight w:val="none"/>
        </w:rPr>
        <w:t>做好患者的协调工作，并承担一定的处理费用。若不能积极配合者，下次招标不予考虑。</w:t>
      </w:r>
    </w:p>
    <w:p>
      <w:pPr>
        <w:keepNext w:val="0"/>
        <w:keepLines w:val="0"/>
        <w:pageBreakBefore w:val="0"/>
        <w:kinsoku/>
        <w:wordWrap/>
        <w:overflowPunct/>
        <w:topLinePunct w:val="0"/>
        <w:autoSpaceDE/>
        <w:bidi w:val="0"/>
        <w:spacing w:line="500" w:lineRule="exact"/>
        <w:ind w:firstLine="48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（10）遵守保密制度，保护受检者的秘密，不得向无关人员泄露受检者的检测情况，如有传染病阳性的报告，应负责及时报告给送检单位。</w:t>
      </w:r>
    </w:p>
    <w:p>
      <w:pPr>
        <w:keepNext w:val="0"/>
        <w:keepLines w:val="0"/>
        <w:pageBreakBefore w:val="0"/>
        <w:kinsoku/>
        <w:wordWrap/>
        <w:overflowPunct/>
        <w:topLinePunct w:val="0"/>
        <w:autoSpaceDE/>
        <w:bidi w:val="0"/>
        <w:spacing w:line="500" w:lineRule="exact"/>
        <w:ind w:firstLine="48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（11）外送软件与</w:t>
      </w:r>
      <w:r>
        <w:rPr>
          <w:rFonts w:hint="eastAsia" w:ascii="宋体" w:hAnsi="宋体" w:eastAsia="宋体" w:cs="宋体"/>
          <w:color w:val="auto"/>
          <w:kern w:val="1"/>
          <w:sz w:val="24"/>
          <w:szCs w:val="24"/>
          <w:highlight w:val="none"/>
          <w:lang w:eastAsia="zh-CN"/>
        </w:rPr>
        <w:t>甲方</w:t>
      </w:r>
      <w:r>
        <w:rPr>
          <w:rFonts w:hint="eastAsia" w:ascii="宋体" w:hAnsi="宋体" w:eastAsia="宋体" w:cs="宋体"/>
          <w:color w:val="auto"/>
          <w:kern w:val="1"/>
          <w:sz w:val="24"/>
          <w:szCs w:val="24"/>
          <w:highlight w:val="none"/>
        </w:rPr>
        <w:t>LIS（北京智方公司）系统做好接口，结果实时自动准确导入，</w:t>
      </w:r>
      <w:r>
        <w:rPr>
          <w:rFonts w:hint="eastAsia" w:ascii="宋体" w:hAnsi="宋体" w:eastAsia="宋体" w:cs="宋体"/>
          <w:color w:val="auto"/>
          <w:kern w:val="1"/>
          <w:sz w:val="24"/>
          <w:szCs w:val="24"/>
          <w:highlight w:val="none"/>
          <w:lang w:eastAsia="zh-CN"/>
        </w:rPr>
        <w:t>须内外网隔离，</w:t>
      </w:r>
      <w:r>
        <w:rPr>
          <w:rFonts w:hint="eastAsia" w:ascii="宋体" w:hAnsi="宋体" w:eastAsia="宋体" w:cs="宋体"/>
          <w:color w:val="auto"/>
          <w:kern w:val="1"/>
          <w:sz w:val="24"/>
          <w:szCs w:val="24"/>
          <w:highlight w:val="none"/>
        </w:rPr>
        <w:t>接口费用由乙方承担。</w:t>
      </w:r>
    </w:p>
    <w:p>
      <w:pPr>
        <w:keepNext w:val="0"/>
        <w:keepLines w:val="0"/>
        <w:pageBreakBefore w:val="0"/>
        <w:kinsoku/>
        <w:wordWrap/>
        <w:overflowPunct/>
        <w:topLinePunct w:val="0"/>
        <w:autoSpaceDE/>
        <w:bidi w:val="0"/>
        <w:spacing w:line="500" w:lineRule="exact"/>
        <w:ind w:firstLine="48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（12）检测者需有检验资质，复核者需为中级及以上职称，检验诊断性报告需检验医师签名。</w:t>
      </w:r>
    </w:p>
    <w:p>
      <w:pPr>
        <w:keepNext w:val="0"/>
        <w:keepLines w:val="0"/>
        <w:pageBreakBefore w:val="0"/>
        <w:kinsoku/>
        <w:wordWrap/>
        <w:overflowPunct/>
        <w:topLinePunct w:val="0"/>
        <w:autoSpaceDE/>
        <w:bidi w:val="0"/>
        <w:spacing w:line="500" w:lineRule="exact"/>
        <w:ind w:firstLine="600" w:firstLineChars="25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(13)报告单接受和审核：检验报告实时自动准确导入。</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14）若方法学参考范围等改变须提前以书面形式告知采购人，如未告知产生不良后果由中标供应商承担。</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2、</w:t>
      </w:r>
      <w:r>
        <w:rPr>
          <w:rFonts w:hint="eastAsia" w:ascii="宋体" w:hAnsi="宋体" w:eastAsia="宋体" w:cs="宋体"/>
          <w:color w:val="auto"/>
          <w:kern w:val="1"/>
          <w:sz w:val="24"/>
          <w:szCs w:val="24"/>
          <w:highlight w:val="none"/>
        </w:rPr>
        <w:t>受委托实验室需有满足质量保证各种措施，</w:t>
      </w:r>
      <w:r>
        <w:rPr>
          <w:rFonts w:hint="eastAsia" w:ascii="宋体" w:hAnsi="宋体" w:eastAsia="宋体" w:cs="宋体"/>
          <w:color w:val="auto"/>
          <w:kern w:val="1"/>
          <w:sz w:val="24"/>
          <w:szCs w:val="24"/>
          <w:highlight w:val="none"/>
          <w:lang w:eastAsia="zh-CN"/>
        </w:rPr>
        <w:t>甲方</w:t>
      </w:r>
      <w:r>
        <w:rPr>
          <w:rFonts w:hint="eastAsia" w:ascii="宋体" w:hAnsi="宋体" w:eastAsia="宋体" w:cs="宋体"/>
          <w:color w:val="auto"/>
          <w:kern w:val="1"/>
          <w:sz w:val="24"/>
          <w:szCs w:val="24"/>
          <w:highlight w:val="none"/>
        </w:rPr>
        <w:t>不定期对受委托实验室进行质量保证能力进行调查和评估。</w:t>
      </w:r>
    </w:p>
    <w:p>
      <w:pPr>
        <w:keepNext w:val="0"/>
        <w:keepLines w:val="0"/>
        <w:pageBreakBefore w:val="0"/>
        <w:kinsoku/>
        <w:wordWrap/>
        <w:overflowPunct/>
        <w:topLinePunct w:val="0"/>
        <w:autoSpaceDE/>
        <w:bidi w:val="0"/>
        <w:spacing w:line="500" w:lineRule="exact"/>
        <w:ind w:firstLine="48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3</w:t>
      </w:r>
      <w:r>
        <w:rPr>
          <w:rFonts w:hint="eastAsia" w:ascii="宋体" w:hAnsi="宋体" w:eastAsia="宋体" w:cs="宋体"/>
          <w:color w:val="auto"/>
          <w:kern w:val="1"/>
          <w:sz w:val="24"/>
          <w:szCs w:val="24"/>
          <w:highlight w:val="none"/>
        </w:rPr>
        <w:t>、如乙方质量或服务不能达到规定要求，甲方有权单方解除合同。</w:t>
      </w:r>
    </w:p>
    <w:p>
      <w:pPr>
        <w:keepNext w:val="0"/>
        <w:keepLines w:val="0"/>
        <w:pageBreakBefore w:val="0"/>
        <w:kinsoku/>
        <w:wordWrap/>
        <w:overflowPunct/>
        <w:topLinePunct w:val="0"/>
        <w:autoSpaceDE/>
        <w:bidi w:val="0"/>
        <w:spacing w:line="500" w:lineRule="exact"/>
        <w:ind w:firstLine="360" w:firstLineChars="15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color w:val="auto"/>
          <w:kern w:val="1"/>
          <w:sz w:val="24"/>
          <w:szCs w:val="24"/>
          <w:highlight w:val="none"/>
          <w:lang w:val="en-US" w:eastAsia="zh-CN"/>
        </w:rPr>
        <w:t>4</w:t>
      </w:r>
      <w:r>
        <w:rPr>
          <w:rFonts w:hint="eastAsia" w:ascii="宋体" w:hAnsi="宋体" w:eastAsia="宋体" w:cs="宋体"/>
          <w:color w:val="auto"/>
          <w:kern w:val="1"/>
          <w:sz w:val="24"/>
          <w:szCs w:val="24"/>
          <w:highlight w:val="none"/>
        </w:rPr>
        <w:t>、省、市出台新的政策需要配合时乙方必须无条件服从，否则本合同自动终止，费用按实际数量清算。</w:t>
      </w:r>
    </w:p>
    <w:p>
      <w:pPr>
        <w:keepNext w:val="0"/>
        <w:keepLines w:val="0"/>
        <w:pageBreakBefore w:val="0"/>
        <w:kinsoku/>
        <w:wordWrap/>
        <w:overflowPunct/>
        <w:topLinePunct w:val="0"/>
        <w:autoSpaceDE/>
        <w:bidi w:val="0"/>
        <w:spacing w:line="500" w:lineRule="exact"/>
        <w:ind w:firstLine="48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5</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在供货合同期满后，甲方没有举行再次招标活动或再次招标至中标人改变，乙方必须协助医院方做好衔接工作且保证供应价不变，特殊情况，协商解决。</w:t>
      </w:r>
    </w:p>
    <w:p>
      <w:pPr>
        <w:keepNext w:val="0"/>
        <w:keepLines w:val="0"/>
        <w:pageBreakBefore w:val="0"/>
        <w:widowControl/>
        <w:kinsoku/>
        <w:wordWrap/>
        <w:overflowPunct/>
        <w:topLinePunct w:val="0"/>
        <w:autoSpaceDE/>
        <w:bidi w:val="0"/>
        <w:spacing w:line="500" w:lineRule="exact"/>
        <w:ind w:firstLine="470"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二、考核要求及违约责任</w:t>
      </w:r>
    </w:p>
    <w:p>
      <w:pPr>
        <w:keepNext w:val="0"/>
        <w:keepLines w:val="0"/>
        <w:pageBreakBefore w:val="0"/>
        <w:kinsoku/>
        <w:wordWrap/>
        <w:overflowPunct/>
        <w:topLinePunct w:val="0"/>
        <w:autoSpaceDE/>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乙方应按本合同要求、招标文件、投标规定向甲方提供服务。</w:t>
      </w:r>
    </w:p>
    <w:p>
      <w:pPr>
        <w:keepNext w:val="0"/>
        <w:keepLines w:val="0"/>
        <w:pageBreakBefore w:val="0"/>
        <w:kinsoku/>
        <w:wordWrap/>
        <w:overflowPunct/>
        <w:topLinePunct w:val="0"/>
        <w:autoSpaceDE/>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2、报告时间延迟一天扣检测费的20%，延迟二天扣检测费的50</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，延迟三天检测费减免，如造成投诉纠纷中标方需承担全部责任。五次以上延迟报告的，甲方有权利提前解除合同。</w:t>
      </w:r>
    </w:p>
    <w:p>
      <w:pPr>
        <w:keepNext w:val="0"/>
        <w:keepLines w:val="0"/>
        <w:pageBreakBefore w:val="0"/>
        <w:kinsoku/>
        <w:wordWrap/>
        <w:overflowPunct/>
        <w:topLinePunct w:val="0"/>
        <w:autoSpaceDE/>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3、结果的准确性：对结果明显有差异的，要求免费复查，如因该诊断报告引起医疗纠纷，</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须承担全部经济及法律责任。</w:t>
      </w:r>
    </w:p>
    <w:p>
      <w:pPr>
        <w:keepNext w:val="0"/>
        <w:keepLines w:val="0"/>
        <w:pageBreakBefore w:val="0"/>
        <w:kinsoku/>
        <w:wordWrap/>
        <w:overflowPunct/>
        <w:topLinePunct w:val="0"/>
        <w:autoSpaceDE/>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4、如乙方质量或服务不能达到规定要求，甲方有权单方解除合同</w:t>
      </w:r>
      <w:r>
        <w:rPr>
          <w:rFonts w:hint="eastAsia" w:ascii="宋体" w:hAnsi="宋体" w:eastAsia="宋体" w:cs="宋体"/>
          <w:color w:val="auto"/>
          <w:sz w:val="24"/>
          <w:szCs w:val="24"/>
          <w:highlight w:val="none"/>
          <w:lang w:eastAsia="zh-CN"/>
        </w:rPr>
        <w:t>。若给甲方造成的经济损失的，甲方的损失由乙方承担。</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5、甲方下达整改通知书三次仍不整改的，甲方有权提前终止合同。</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bidi w:val="0"/>
        <w:spacing w:line="500" w:lineRule="exact"/>
        <w:ind w:firstLine="480" w:firstLineChars="200"/>
        <w:textAlignment w:val="auto"/>
        <w:rPr>
          <w:rFonts w:hint="eastAsia" w:ascii="宋体" w:hAnsi="宋体" w:eastAsia="宋体" w:cs="宋体"/>
          <w:color w:val="auto"/>
          <w:kern w:val="1"/>
          <w:sz w:val="24"/>
          <w:szCs w:val="24"/>
          <w:highlight w:val="none"/>
        </w:rPr>
      </w:pPr>
      <w:r>
        <w:rPr>
          <w:rFonts w:hint="eastAsia" w:ascii="宋体" w:hAnsi="宋体" w:eastAsia="宋体" w:cs="宋体"/>
          <w:b/>
          <w:bCs/>
          <w:color w:val="auto"/>
          <w:sz w:val="24"/>
          <w:szCs w:val="24"/>
          <w:highlight w:val="none"/>
        </w:rPr>
        <w:t>三、 结算依据</w:t>
      </w:r>
    </w:p>
    <w:p>
      <w:pPr>
        <w:keepNext w:val="0"/>
        <w:keepLines w:val="0"/>
        <w:pageBreakBefore w:val="0"/>
        <w:kinsoku/>
        <w:wordWrap/>
        <w:overflowPunct/>
        <w:topLinePunct w:val="0"/>
        <w:autoSpaceDE/>
        <w:bidi w:val="0"/>
        <w:spacing w:line="50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1、本项目按标准收费</w:t>
      </w:r>
      <w:r>
        <w:rPr>
          <w:rFonts w:hint="eastAsia" w:ascii="宋体" w:hAnsi="宋体" w:eastAsia="宋体" w:cs="宋体"/>
          <w:color w:val="auto"/>
          <w:sz w:val="24"/>
          <w:szCs w:val="24"/>
          <w:highlight w:val="none"/>
          <w:lang w:val="en-US" w:eastAsia="zh-CN"/>
        </w:rPr>
        <w:t>折扣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折扣</w:t>
      </w:r>
      <w:r>
        <w:rPr>
          <w:rFonts w:hint="eastAsia" w:ascii="宋体" w:hAnsi="宋体" w:eastAsia="宋体" w:cs="宋体"/>
          <w:color w:val="auto"/>
          <w:sz w:val="24"/>
          <w:szCs w:val="24"/>
          <w:highlight w:val="none"/>
          <w:lang w:eastAsia="zh-CN"/>
        </w:rPr>
        <w:t>率为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%，数量按实结算（数量由甲方根据需求临时通知乙方）。</w:t>
      </w:r>
    </w:p>
    <w:p>
      <w:pPr>
        <w:keepNext w:val="0"/>
        <w:keepLines w:val="0"/>
        <w:pageBreakBefore w:val="0"/>
        <w:kinsoku/>
        <w:wordWrap/>
        <w:overflowPunct/>
        <w:topLinePunct w:val="0"/>
        <w:autoSpaceDE/>
        <w:bidi w:val="0"/>
        <w:spacing w:line="5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2、检测服务费。按《浙江省医疗服务价格手册》价格收费标准</w:t>
      </w:r>
      <w:r>
        <w:rPr>
          <w:rFonts w:hint="eastAsia" w:ascii="宋体" w:hAnsi="宋体" w:eastAsia="宋体" w:cs="宋体"/>
          <w:color w:val="auto"/>
          <w:sz w:val="24"/>
          <w:szCs w:val="24"/>
          <w:highlight w:val="none"/>
          <w:lang w:eastAsia="zh-CN"/>
        </w:rPr>
        <w:t>进行</w:t>
      </w:r>
      <w:r>
        <w:rPr>
          <w:rFonts w:hint="eastAsia" w:ascii="宋体" w:hAnsi="宋体" w:eastAsia="宋体" w:cs="宋体"/>
          <w:color w:val="auto"/>
          <w:sz w:val="24"/>
          <w:szCs w:val="24"/>
          <w:highlight w:val="none"/>
          <w:lang w:val="en-US" w:eastAsia="zh-CN"/>
        </w:rPr>
        <w:t>折扣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折扣</w:t>
      </w:r>
      <w:r>
        <w:rPr>
          <w:rFonts w:hint="eastAsia" w:ascii="宋体" w:hAnsi="宋体" w:eastAsia="宋体" w:cs="宋体"/>
          <w:color w:val="auto"/>
          <w:sz w:val="24"/>
          <w:szCs w:val="24"/>
          <w:highlight w:val="none"/>
          <w:lang w:eastAsia="zh-CN"/>
        </w:rPr>
        <w:t>率为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bidi w:val="0"/>
        <w:spacing w:line="5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检测服务费包括但不限于提供运输服务，配套车辆设备，配备服务人员，售后服务，质量监控信息，微生物消毒，外送标本检测等及其涉及的运费、油费、保险费、工资、水电费、设备折旧费、管理费、税费和招标代理服务费等招标文件已提到和招标文件虽未提到的但应该包括的完成本项目所产生的一切费用。</w:t>
      </w:r>
    </w:p>
    <w:p>
      <w:pPr>
        <w:pStyle w:val="21"/>
        <w:keepNext w:val="0"/>
        <w:keepLines w:val="0"/>
        <w:pageBreakBefore w:val="0"/>
        <w:tabs>
          <w:tab w:val="left" w:pos="180"/>
        </w:tabs>
        <w:kinsoku/>
        <w:wordWrap/>
        <w:overflowPunct/>
        <w:topLinePunct w:val="0"/>
        <w:autoSpaceDE/>
        <w:bidi w:val="0"/>
        <w:snapToGrid w:val="0"/>
        <w:spacing w:before="0"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eastAsia="宋体" w:cs="宋体"/>
          <w:b/>
          <w:color w:val="auto"/>
          <w:sz w:val="24"/>
          <w:szCs w:val="24"/>
          <w:highlight w:val="none"/>
          <w:lang w:eastAsia="zh-CN"/>
        </w:rPr>
        <w:t>四</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付款方式</w:t>
      </w:r>
    </w:p>
    <w:p>
      <w:pPr>
        <w:keepNext w:val="0"/>
        <w:keepLines w:val="0"/>
        <w:pageBreakBefore w:val="0"/>
        <w:tabs>
          <w:tab w:val="left" w:pos="180"/>
        </w:tabs>
        <w:kinsoku/>
        <w:wordWrap/>
        <w:overflowPunct/>
        <w:topLinePunct w:val="0"/>
        <w:autoSpaceDE/>
        <w:bidi w:val="0"/>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检测费用按月结算，业务量的结算以当月项目检测清单或外送标本登记的签收记录为准，经双方共同确认检测数量无异议后90个工作日后支付。</w:t>
      </w:r>
      <w:r>
        <w:rPr>
          <w:rFonts w:hint="eastAsia"/>
          <w:color w:val="auto"/>
          <w:highlight w:val="none"/>
          <w:lang w:val="en-US" w:eastAsia="zh-CN"/>
        </w:rPr>
        <w:t>若中标单位为小微企业，支付方式按（浙财采监[2022]3号）文件执行。</w:t>
      </w:r>
    </w:p>
    <w:p>
      <w:pPr>
        <w:pStyle w:val="21"/>
        <w:keepNext w:val="0"/>
        <w:keepLines w:val="0"/>
        <w:pageBreakBefore w:val="0"/>
        <w:kinsoku/>
        <w:wordWrap/>
        <w:overflowPunct/>
        <w:topLinePunct w:val="0"/>
        <w:autoSpaceDE/>
        <w:bidi w:val="0"/>
        <w:adjustRightInd w:val="0"/>
        <w:snapToGrid w:val="0"/>
        <w:spacing w:before="0" w:line="500" w:lineRule="exact"/>
        <w:ind w:firstLine="588" w:firstLineChars="245"/>
        <w:textAlignment w:val="auto"/>
        <w:rPr>
          <w:rFonts w:hint="eastAsia" w:ascii="宋体" w:hAnsi="宋体" w:eastAsia="宋体" w:cs="宋体"/>
          <w:b/>
          <w:snapToGrid w:val="0"/>
          <w:color w:val="auto"/>
          <w:kern w:val="0"/>
          <w:sz w:val="24"/>
          <w:szCs w:val="24"/>
          <w:highlight w:val="none"/>
        </w:rPr>
      </w:pPr>
      <w:r>
        <w:rPr>
          <w:rFonts w:hint="eastAsia" w:eastAsia="宋体" w:cs="宋体"/>
          <w:b/>
          <w:color w:val="auto"/>
          <w:sz w:val="24"/>
          <w:szCs w:val="24"/>
          <w:highlight w:val="none"/>
          <w:lang w:eastAsia="zh-CN"/>
        </w:rPr>
        <w:t>五</w:t>
      </w:r>
      <w:r>
        <w:rPr>
          <w:rFonts w:hint="eastAsia" w:ascii="宋体" w:hAnsi="宋体" w:eastAsia="宋体" w:cs="宋体"/>
          <w:b/>
          <w:color w:val="auto"/>
          <w:sz w:val="24"/>
          <w:szCs w:val="24"/>
          <w:highlight w:val="none"/>
        </w:rPr>
        <w:t>、</w:t>
      </w:r>
      <w:r>
        <w:rPr>
          <w:rFonts w:hint="eastAsia" w:ascii="宋体" w:hAnsi="宋体" w:eastAsia="宋体" w:cs="宋体"/>
          <w:b/>
          <w:snapToGrid w:val="0"/>
          <w:color w:val="auto"/>
          <w:kern w:val="0"/>
          <w:sz w:val="24"/>
          <w:szCs w:val="24"/>
          <w:highlight w:val="none"/>
        </w:rPr>
        <w:t>不可抗力事件处理</w:t>
      </w:r>
    </w:p>
    <w:p>
      <w:pPr>
        <w:pStyle w:val="21"/>
        <w:keepNext w:val="0"/>
        <w:keepLines w:val="0"/>
        <w:pageBreakBefore w:val="0"/>
        <w:kinsoku/>
        <w:wordWrap/>
        <w:overflowPunct/>
        <w:topLinePunct w:val="0"/>
        <w:autoSpaceDE/>
        <w:bidi w:val="0"/>
        <w:adjustRightInd w:val="0"/>
        <w:snapToGrid w:val="0"/>
        <w:spacing w:before="0" w:line="500" w:lineRule="exact"/>
        <w:ind w:firstLine="511" w:firstLineChars="213"/>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 在合同有效期内，任何一方因不可抗力事件导致不能履行合同，则合同履行期可延长，其延长期与不可抗力影响期相同。</w:t>
      </w:r>
    </w:p>
    <w:p>
      <w:pPr>
        <w:pStyle w:val="21"/>
        <w:keepNext w:val="0"/>
        <w:keepLines w:val="0"/>
        <w:pageBreakBefore w:val="0"/>
        <w:kinsoku/>
        <w:wordWrap/>
        <w:overflowPunct/>
        <w:topLinePunct w:val="0"/>
        <w:autoSpaceDE/>
        <w:bidi w:val="0"/>
        <w:adjustRightInd w:val="0"/>
        <w:snapToGrid w:val="0"/>
        <w:spacing w:before="0" w:line="500" w:lineRule="exact"/>
        <w:ind w:firstLine="511" w:firstLineChars="213"/>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 不可抗力事件发生后，应立即通知对方，并寄送有关权威机构出具的证明。</w:t>
      </w:r>
    </w:p>
    <w:p>
      <w:pPr>
        <w:pStyle w:val="21"/>
        <w:keepNext w:val="0"/>
        <w:keepLines w:val="0"/>
        <w:pageBreakBefore w:val="0"/>
        <w:kinsoku/>
        <w:wordWrap/>
        <w:overflowPunct/>
        <w:topLinePunct w:val="0"/>
        <w:autoSpaceDE/>
        <w:bidi w:val="0"/>
        <w:adjustRightInd w:val="0"/>
        <w:snapToGrid w:val="0"/>
        <w:spacing w:before="0" w:line="500" w:lineRule="exact"/>
        <w:ind w:firstLine="511" w:firstLineChars="213"/>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 不可抗力事件延续120天以上，双方应通过友好协商，确定是否继续履行合同。</w:t>
      </w:r>
    </w:p>
    <w:p>
      <w:pPr>
        <w:pStyle w:val="21"/>
        <w:keepNext w:val="0"/>
        <w:keepLines w:val="0"/>
        <w:pageBreakBefore w:val="0"/>
        <w:kinsoku/>
        <w:wordWrap/>
        <w:overflowPunct/>
        <w:topLinePunct w:val="0"/>
        <w:autoSpaceDE/>
        <w:bidi w:val="0"/>
        <w:adjustRightInd w:val="0"/>
        <w:snapToGrid w:val="0"/>
        <w:spacing w:before="0" w:line="500" w:lineRule="exact"/>
        <w:ind w:firstLine="470" w:firstLineChars="196"/>
        <w:textAlignment w:val="auto"/>
        <w:rPr>
          <w:rFonts w:hint="eastAsia" w:ascii="宋体" w:hAnsi="宋体" w:eastAsia="宋体" w:cs="宋体"/>
          <w:b/>
          <w:color w:val="auto"/>
          <w:sz w:val="24"/>
          <w:szCs w:val="24"/>
          <w:highlight w:val="none"/>
        </w:rPr>
      </w:pPr>
      <w:r>
        <w:rPr>
          <w:rFonts w:hint="eastAsia" w:eastAsia="宋体" w:cs="宋体"/>
          <w:b/>
          <w:color w:val="auto"/>
          <w:sz w:val="24"/>
          <w:szCs w:val="24"/>
          <w:highlight w:val="none"/>
          <w:lang w:eastAsia="zh-CN"/>
        </w:rPr>
        <w:t>六</w:t>
      </w:r>
      <w:r>
        <w:rPr>
          <w:rFonts w:hint="eastAsia" w:ascii="宋体" w:hAnsi="宋体" w:eastAsia="宋体" w:cs="宋体"/>
          <w:b/>
          <w:color w:val="auto"/>
          <w:sz w:val="24"/>
          <w:szCs w:val="24"/>
          <w:highlight w:val="none"/>
        </w:rPr>
        <w:t>、争议处理</w:t>
      </w:r>
    </w:p>
    <w:p>
      <w:pPr>
        <w:keepNext w:val="0"/>
        <w:keepLines w:val="0"/>
        <w:pageBreakBefore w:val="0"/>
        <w:kinsoku/>
        <w:wordWrap/>
        <w:overflowPunct/>
        <w:topLinePunct w:val="0"/>
        <w:autoSpaceDE/>
        <w:autoSpaceDN w:val="0"/>
        <w:bidi w:val="0"/>
        <w:spacing w:line="500" w:lineRule="exact"/>
        <w:ind w:firstLine="48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1．合同在履行过程中发生争议时，甲方与乙方及时协商解决。</w:t>
      </w:r>
    </w:p>
    <w:p>
      <w:pPr>
        <w:keepNext w:val="0"/>
        <w:keepLines w:val="0"/>
        <w:pageBreakBefore w:val="0"/>
        <w:kinsoku/>
        <w:wordWrap/>
        <w:overflowPunct/>
        <w:topLinePunct w:val="0"/>
        <w:autoSpaceDE/>
        <w:autoSpaceDN w:val="0"/>
        <w:bidi w:val="0"/>
        <w:spacing w:line="500" w:lineRule="exact"/>
        <w:ind w:firstLine="48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2．对于因违反或终止合同而引起的损失、损害的赔偿，由甲方与乙方友好协商解决，经协商仍未能达成一致的，提交绍兴仲裁委员会嵊州联络站。</w:t>
      </w:r>
    </w:p>
    <w:p>
      <w:pPr>
        <w:pStyle w:val="21"/>
        <w:keepNext w:val="0"/>
        <w:keepLines w:val="0"/>
        <w:pageBreakBefore w:val="0"/>
        <w:kinsoku/>
        <w:wordWrap/>
        <w:overflowPunct/>
        <w:topLinePunct w:val="0"/>
        <w:autoSpaceDE/>
        <w:bidi w:val="0"/>
        <w:adjustRightInd w:val="0"/>
        <w:snapToGrid w:val="0"/>
        <w:spacing w:before="0" w:line="500" w:lineRule="exact"/>
        <w:ind w:firstLine="470" w:firstLineChars="196"/>
        <w:textAlignment w:val="auto"/>
        <w:rPr>
          <w:rFonts w:hint="eastAsia" w:ascii="宋体" w:hAnsi="宋体" w:eastAsia="宋体" w:cs="宋体"/>
          <w:b/>
          <w:snapToGrid w:val="0"/>
          <w:color w:val="auto"/>
          <w:kern w:val="0"/>
          <w:sz w:val="24"/>
          <w:szCs w:val="24"/>
          <w:highlight w:val="none"/>
        </w:rPr>
      </w:pPr>
      <w:r>
        <w:rPr>
          <w:rFonts w:hint="eastAsia" w:eastAsia="宋体" w:cs="宋体"/>
          <w:b/>
          <w:color w:val="auto"/>
          <w:sz w:val="24"/>
          <w:szCs w:val="24"/>
          <w:highlight w:val="none"/>
          <w:lang w:eastAsia="zh-CN"/>
        </w:rPr>
        <w:t>七</w:t>
      </w:r>
      <w:r>
        <w:rPr>
          <w:rFonts w:hint="eastAsia" w:ascii="宋体" w:hAnsi="宋体" w:eastAsia="宋体" w:cs="宋体"/>
          <w:b/>
          <w:snapToGrid w:val="0"/>
          <w:color w:val="auto"/>
          <w:kern w:val="0"/>
          <w:sz w:val="24"/>
          <w:szCs w:val="24"/>
          <w:highlight w:val="none"/>
        </w:rPr>
        <w:t>、合同生效及其它</w:t>
      </w:r>
    </w:p>
    <w:p>
      <w:pPr>
        <w:keepNext w:val="0"/>
        <w:keepLines w:val="0"/>
        <w:pageBreakBefore w:val="0"/>
        <w:kinsoku/>
        <w:wordWrap/>
        <w:overflowPunct/>
        <w:topLinePunct w:val="0"/>
        <w:autoSpaceDE/>
        <w:bidi w:val="0"/>
        <w:spacing w:line="500" w:lineRule="exact"/>
        <w:ind w:firstLine="571"/>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供货合同</w:t>
      </w:r>
      <w:r>
        <w:rPr>
          <w:rFonts w:hint="eastAsia" w:ascii="宋体" w:hAnsi="宋体" w:eastAsia="宋体" w:cs="宋体"/>
          <w:snapToGrid w:val="0"/>
          <w:color w:val="auto"/>
          <w:kern w:val="0"/>
          <w:sz w:val="24"/>
          <w:szCs w:val="24"/>
          <w:highlight w:val="none"/>
          <w:lang w:val="en-US" w:eastAsia="zh-CN"/>
        </w:rPr>
        <w:t>三</w:t>
      </w:r>
      <w:r>
        <w:rPr>
          <w:rFonts w:hint="eastAsia" w:ascii="宋体" w:hAnsi="宋体" w:eastAsia="宋体" w:cs="宋体"/>
          <w:snapToGrid w:val="0"/>
          <w:color w:val="auto"/>
          <w:kern w:val="0"/>
          <w:sz w:val="24"/>
          <w:szCs w:val="24"/>
          <w:highlight w:val="none"/>
        </w:rPr>
        <w:t>年，即自   年   月  日至    年   月   日止。如甲方对乙方服务质量满意，在双方协商一致的基础上可再续约。本合同一式伍份，甲方执叁份，乙方执贰份。经双方法定代表人或授权委托代理人签字盖章之日起生效。本合同与甲方招标文件、合同附件、乙方投标文件、承诺书等为一个整体，是不可分割的部分，具有同等法律效力。</w:t>
      </w:r>
    </w:p>
    <w:p>
      <w:pPr>
        <w:pStyle w:val="21"/>
        <w:keepNext w:val="0"/>
        <w:keepLines w:val="0"/>
        <w:pageBreakBefore w:val="0"/>
        <w:kinsoku/>
        <w:wordWrap/>
        <w:overflowPunct/>
        <w:topLinePunct w:val="0"/>
        <w:autoSpaceDE/>
        <w:bidi w:val="0"/>
        <w:adjustRightInd w:val="0"/>
        <w:snapToGrid w:val="0"/>
        <w:spacing w:before="0" w:line="500" w:lineRule="exact"/>
        <w:ind w:firstLine="511" w:firstLineChars="213"/>
        <w:textAlignment w:val="auto"/>
        <w:rPr>
          <w:rFonts w:hint="eastAsia" w:ascii="宋体" w:hAnsi="宋体" w:eastAsia="宋体" w:cs="宋体"/>
          <w:snapToGrid w:val="0"/>
          <w:color w:val="auto"/>
          <w:kern w:val="0"/>
          <w:sz w:val="24"/>
          <w:szCs w:val="24"/>
          <w:highlight w:val="none"/>
        </w:rPr>
      </w:pPr>
    </w:p>
    <w:p>
      <w:pPr>
        <w:pStyle w:val="21"/>
        <w:keepNext w:val="0"/>
        <w:keepLines w:val="0"/>
        <w:pageBreakBefore w:val="0"/>
        <w:kinsoku/>
        <w:wordWrap/>
        <w:overflowPunct/>
        <w:topLinePunct w:val="0"/>
        <w:autoSpaceDE/>
        <w:bidi w:val="0"/>
        <w:snapToGrid w:val="0"/>
        <w:spacing w:line="500" w:lineRule="exact"/>
        <w:ind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                    　　乙方（盖章）：</w:t>
      </w:r>
    </w:p>
    <w:p>
      <w:pPr>
        <w:pStyle w:val="21"/>
        <w:keepNext w:val="0"/>
        <w:keepLines w:val="0"/>
        <w:pageBreakBefore w:val="0"/>
        <w:kinsoku/>
        <w:wordWrap/>
        <w:overflowPunct/>
        <w:topLinePunct w:val="0"/>
        <w:autoSpaceDE/>
        <w:bidi w:val="0"/>
        <w:snapToGrid w:val="0"/>
        <w:spacing w:line="500" w:lineRule="exact"/>
        <w:ind w:left="-24" w:leftChars="-85" w:hanging="180" w:hangingChars="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法定代表人或受委托人（签字）：        法定代表人或受委托人（签字） ：                            </w:t>
      </w:r>
    </w:p>
    <w:p>
      <w:pPr>
        <w:pStyle w:val="21"/>
        <w:keepNext w:val="0"/>
        <w:keepLines w:val="0"/>
        <w:pageBreakBefore w:val="0"/>
        <w:kinsoku/>
        <w:wordWrap/>
        <w:overflowPunct/>
        <w:topLinePunct w:val="0"/>
        <w:autoSpaceDE/>
        <w:bidi w:val="0"/>
        <w:snapToGrid w:val="0"/>
        <w:spacing w:line="500" w:lineRule="exact"/>
        <w:ind w:left="-24" w:leftChars="-85" w:hanging="180" w:hangingChars="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                               地址：　　</w:t>
      </w:r>
    </w:p>
    <w:p>
      <w:pPr>
        <w:pStyle w:val="21"/>
        <w:keepNext w:val="0"/>
        <w:keepLines w:val="0"/>
        <w:pageBreakBefore w:val="0"/>
        <w:kinsoku/>
        <w:wordWrap/>
        <w:overflowPunct/>
        <w:topLinePunct w:val="0"/>
        <w:autoSpaceDE/>
        <w:bidi w:val="0"/>
        <w:snapToGrid w:val="0"/>
        <w:spacing w:line="500" w:lineRule="exact"/>
        <w:ind w:left="-24" w:leftChars="-85" w:hanging="180" w:hangingChars="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邮编：                               邮编：　</w:t>
      </w:r>
    </w:p>
    <w:p>
      <w:pPr>
        <w:pStyle w:val="21"/>
        <w:keepNext w:val="0"/>
        <w:keepLines w:val="0"/>
        <w:pageBreakBefore w:val="0"/>
        <w:kinsoku/>
        <w:wordWrap/>
        <w:overflowPunct/>
        <w:topLinePunct w:val="0"/>
        <w:autoSpaceDE/>
        <w:bidi w:val="0"/>
        <w:snapToGrid w:val="0"/>
        <w:spacing w:line="500" w:lineRule="exact"/>
        <w:ind w:left="-24" w:leftChars="-85" w:hanging="180" w:hangingChars="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                               电话：　</w:t>
      </w:r>
    </w:p>
    <w:p>
      <w:pPr>
        <w:pStyle w:val="21"/>
        <w:keepNext w:val="0"/>
        <w:keepLines w:val="0"/>
        <w:pageBreakBefore w:val="0"/>
        <w:kinsoku/>
        <w:wordWrap/>
        <w:overflowPunct/>
        <w:topLinePunct w:val="0"/>
        <w:autoSpaceDE/>
        <w:bidi w:val="0"/>
        <w:snapToGrid w:val="0"/>
        <w:spacing w:line="500" w:lineRule="exact"/>
        <w:ind w:left="-24" w:leftChars="-85" w:hanging="180" w:hangingChars="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传真：                               传真：　</w:t>
      </w:r>
    </w:p>
    <w:p>
      <w:pPr>
        <w:pStyle w:val="21"/>
        <w:keepNext w:val="0"/>
        <w:keepLines w:val="0"/>
        <w:pageBreakBefore w:val="0"/>
        <w:kinsoku/>
        <w:wordWrap/>
        <w:overflowPunct/>
        <w:topLinePunct w:val="0"/>
        <w:autoSpaceDE/>
        <w:bidi w:val="0"/>
        <w:snapToGrid w:val="0"/>
        <w:spacing w:line="500" w:lineRule="exact"/>
        <w:ind w:left="-24" w:leftChars="-85" w:hanging="180" w:hangingChars="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                           开户银行：</w:t>
      </w:r>
    </w:p>
    <w:p>
      <w:pPr>
        <w:pStyle w:val="21"/>
        <w:keepNext w:val="0"/>
        <w:keepLines w:val="0"/>
        <w:pageBreakBefore w:val="0"/>
        <w:kinsoku/>
        <w:wordWrap/>
        <w:overflowPunct/>
        <w:topLinePunct w:val="0"/>
        <w:autoSpaceDE/>
        <w:bidi w:val="0"/>
        <w:snapToGrid w:val="0"/>
        <w:spacing w:line="500" w:lineRule="exact"/>
        <w:ind w:left="33" w:leftChars="14" w:firstLine="1260" w:firstLineChars="5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                               帐号：</w:t>
      </w:r>
    </w:p>
    <w:p>
      <w:pPr>
        <w:keepNext w:val="0"/>
        <w:keepLines w:val="0"/>
        <w:pageBreakBefore w:val="0"/>
        <w:kinsoku/>
        <w:wordWrap/>
        <w:overflowPunct/>
        <w:topLinePunct w:val="0"/>
        <w:autoSpaceDE/>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注：具体以双方签定的正式合同为准，合同内容不得违背本采购文件实质性要求。</w:t>
      </w:r>
    </w:p>
    <w:p>
      <w:pPr>
        <w:pStyle w:val="4"/>
        <w:rPr>
          <w:rFonts w:hint="eastAsia"/>
          <w:color w:val="auto"/>
          <w:highlight w:val="none"/>
        </w:rPr>
      </w:pPr>
    </w:p>
    <w:p>
      <w:pPr>
        <w:rPr>
          <w:rFonts w:hint="eastAsia"/>
          <w:color w:val="auto"/>
          <w:highlight w:val="none"/>
        </w:rPr>
      </w:pPr>
    </w:p>
    <w:p>
      <w:pPr>
        <w:pStyle w:val="4"/>
        <w:rPr>
          <w:rFonts w:hint="eastAsia"/>
          <w:color w:val="auto"/>
          <w:highlight w:val="none"/>
        </w:rPr>
      </w:pPr>
    </w:p>
    <w:p>
      <w:pPr>
        <w:rPr>
          <w:rFonts w:hint="eastAsia"/>
          <w:color w:val="auto"/>
          <w:highlight w:val="none"/>
        </w:rPr>
      </w:pPr>
    </w:p>
    <w:p>
      <w:pPr>
        <w:pStyle w:val="4"/>
        <w:rPr>
          <w:rFonts w:hint="eastAsia"/>
          <w:color w:val="auto"/>
          <w:highlight w:val="none"/>
        </w:rPr>
      </w:pPr>
    </w:p>
    <w:p>
      <w:pPr>
        <w:rPr>
          <w:rFonts w:hint="eastAsia"/>
          <w:color w:val="auto"/>
          <w:highlight w:val="none"/>
        </w:rPr>
      </w:pPr>
    </w:p>
    <w:p>
      <w:pPr>
        <w:pStyle w:val="2"/>
        <w:rPr>
          <w:rFonts w:hint="eastAsia"/>
          <w:color w:val="auto"/>
          <w:highlight w:val="none"/>
        </w:rPr>
      </w:pPr>
    </w:p>
    <w:p>
      <w:pPr>
        <w:pStyle w:val="4"/>
        <w:rPr>
          <w:rFonts w:hint="eastAsia"/>
          <w:color w:val="auto"/>
          <w:highlight w:val="none"/>
        </w:rPr>
      </w:pPr>
    </w:p>
    <w:p>
      <w:pPr>
        <w:rPr>
          <w:rFonts w:hint="eastAsia"/>
          <w:color w:val="auto"/>
          <w:highlight w:val="none"/>
        </w:rPr>
      </w:pPr>
    </w:p>
    <w:p>
      <w:pPr>
        <w:bidi w:val="0"/>
        <w:rPr>
          <w:rFonts w:hint="eastAsia"/>
          <w:color w:val="auto"/>
          <w:highlight w:val="none"/>
        </w:rPr>
      </w:pPr>
    </w:p>
    <w:p>
      <w:pPr>
        <w:pStyle w:val="2"/>
        <w:spacing w:beforeLines="0" w:afterLines="0" w:line="360" w:lineRule="auto"/>
        <w:rPr>
          <w:color w:val="auto"/>
          <w:highlight w:val="none"/>
        </w:rPr>
      </w:pPr>
      <w:r>
        <w:rPr>
          <w:rFonts w:hint="eastAsia"/>
          <w:color w:val="auto"/>
          <w:highlight w:val="none"/>
        </w:rPr>
        <w:t>第五章</w:t>
      </w:r>
      <w:r>
        <w:rPr>
          <w:color w:val="auto"/>
          <w:highlight w:val="none"/>
        </w:rPr>
        <w:t xml:space="preserve">  </w:t>
      </w:r>
      <w:r>
        <w:rPr>
          <w:rFonts w:hint="eastAsia"/>
          <w:color w:val="auto"/>
          <w:highlight w:val="none"/>
        </w:rPr>
        <w:t>投标文件格式</w:t>
      </w:r>
      <w:bookmarkEnd w:id="208"/>
      <w:bookmarkEnd w:id="209"/>
      <w:bookmarkEnd w:id="210"/>
      <w:bookmarkEnd w:id="211"/>
      <w:bookmarkEnd w:id="212"/>
      <w:bookmarkEnd w:id="213"/>
    </w:p>
    <w:p>
      <w:pPr>
        <w:spacing w:line="360" w:lineRule="auto"/>
        <w:ind w:firstLine="480"/>
        <w:rPr>
          <w:rFonts w:ascii="宋体" w:cs="宋体"/>
          <w:bCs/>
          <w:color w:val="auto"/>
          <w:highlight w:val="none"/>
        </w:rPr>
      </w:pPr>
      <w:bookmarkStart w:id="214" w:name="_Toc27510_WPSOffice_Level1"/>
      <w:bookmarkStart w:id="215" w:name="_Toc29520_WPSOffice_Level1"/>
      <w:bookmarkStart w:id="216" w:name="_Toc5353_WPSOffice_Level1"/>
      <w:r>
        <w:rPr>
          <w:rFonts w:hint="eastAsia" w:ascii="宋体" w:hAnsi="宋体" w:cs="宋体"/>
          <w:bCs/>
          <w:color w:val="auto"/>
          <w:highlight w:val="none"/>
        </w:rPr>
        <w:t>本附件所有格式仅供制作投标文件时参考，供应商应根据行业特点，结合本项目的相关要求，对有关内容、表格可进行补充或修改，但不得对实质性内容做出变动。</w:t>
      </w:r>
    </w:p>
    <w:bookmarkEnd w:id="214"/>
    <w:bookmarkEnd w:id="215"/>
    <w:bookmarkEnd w:id="216"/>
    <w:p>
      <w:pPr>
        <w:pStyle w:val="5"/>
        <w:spacing w:line="360" w:lineRule="auto"/>
        <w:ind w:firstLine="480"/>
        <w:rPr>
          <w:rStyle w:val="46"/>
          <w:rFonts w:hint="eastAsia"/>
          <w:b w:val="0"/>
          <w:bCs w:val="0"/>
          <w:color w:val="auto"/>
          <w:highlight w:val="none"/>
        </w:rPr>
      </w:pPr>
      <w:bookmarkStart w:id="217" w:name="_Toc5472_WPSOffice_Level1"/>
      <w:bookmarkStart w:id="218" w:name="_Toc2956_WPSOffice_Level1"/>
      <w:bookmarkStart w:id="219" w:name="_Toc183_WPSOffice_Level1"/>
      <w:r>
        <w:rPr>
          <w:rFonts w:hint="eastAsia"/>
          <w:color w:val="auto"/>
          <w:highlight w:val="none"/>
        </w:rPr>
        <w:t>资格文件/资信技术文件/报价文件封面格式</w:t>
      </w:r>
      <w:bookmarkEnd w:id="217"/>
      <w:bookmarkEnd w:id="218"/>
      <w:bookmarkEnd w:id="219"/>
    </w:p>
    <w:p>
      <w:pPr>
        <w:pStyle w:val="23"/>
        <w:spacing w:line="420" w:lineRule="exact"/>
        <w:ind w:firstLine="198" w:firstLineChars="62"/>
        <w:jc w:val="left"/>
        <w:rPr>
          <w:rFonts w:hint="eastAsia" w:ascii="宋体" w:hAnsi="宋体" w:eastAsia="宋体" w:cs="宋体"/>
          <w:color w:val="auto"/>
          <w:sz w:val="32"/>
          <w:highlight w:val="none"/>
        </w:rPr>
      </w:pPr>
    </w:p>
    <w:p>
      <w:pPr>
        <w:spacing w:line="420" w:lineRule="exact"/>
        <w:ind w:firstLine="640"/>
        <w:jc w:val="center"/>
        <w:rPr>
          <w:rFonts w:ascii="宋体" w:hAnsi="宋体" w:cs="宋体"/>
          <w:color w:val="auto"/>
          <w:sz w:val="32"/>
          <w:szCs w:val="32"/>
          <w:highlight w:val="none"/>
        </w:rPr>
      </w:pPr>
      <w:r>
        <w:rPr>
          <w:rFonts w:ascii="宋体" w:hAnsi="宋体" w:cs="宋体"/>
          <w:color w:val="auto"/>
          <w:sz w:val="32"/>
          <w:szCs w:val="32"/>
          <w:highlight w:val="none"/>
        </w:rPr>
        <w:t xml:space="preserve">                                    </w:t>
      </w:r>
    </w:p>
    <w:p>
      <w:pPr>
        <w:spacing w:line="420" w:lineRule="exact"/>
        <w:ind w:firstLine="640"/>
        <w:jc w:val="right"/>
        <w:rPr>
          <w:rFonts w:ascii="宋体" w:cs="宋体"/>
          <w:color w:val="auto"/>
          <w:sz w:val="84"/>
          <w:highlight w:val="none"/>
        </w:rPr>
      </w:pPr>
      <w:r>
        <w:rPr>
          <w:rFonts w:ascii="宋体" w:hAnsi="宋体" w:cs="宋体"/>
          <w:color w:val="auto"/>
          <w:sz w:val="32"/>
          <w:szCs w:val="32"/>
          <w:highlight w:val="none"/>
        </w:rPr>
        <w:t xml:space="preserve">    </w:t>
      </w:r>
      <w:r>
        <w:rPr>
          <w:rFonts w:hint="eastAsia" w:ascii="宋体" w:hAnsi="宋体" w:cs="宋体"/>
          <w:color w:val="auto"/>
          <w:sz w:val="32"/>
          <w:szCs w:val="32"/>
          <w:highlight w:val="none"/>
        </w:rPr>
        <w:t>正本或副本</w:t>
      </w:r>
    </w:p>
    <w:p>
      <w:pPr>
        <w:ind w:firstLine="0" w:firstLineChars="0"/>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pStyle w:val="68"/>
        <w:rPr>
          <w:color w:val="auto"/>
          <w:highlight w:val="none"/>
        </w:rPr>
      </w:pPr>
    </w:p>
    <w:p>
      <w:pPr>
        <w:spacing w:line="240" w:lineRule="auto"/>
        <w:ind w:firstLine="964"/>
        <w:jc w:val="center"/>
        <w:rPr>
          <w:rFonts w:ascii="宋体" w:cs="宋体"/>
          <w:b/>
          <w:bCs/>
          <w:color w:val="auto"/>
          <w:sz w:val="52"/>
          <w:szCs w:val="52"/>
          <w:highlight w:val="none"/>
        </w:rPr>
      </w:pPr>
      <w:r>
        <w:rPr>
          <w:rFonts w:hint="eastAsia" w:ascii="宋体" w:cs="宋体"/>
          <w:b/>
          <w:bCs/>
          <w:color w:val="auto"/>
          <w:sz w:val="48"/>
          <w:szCs w:val="48"/>
          <w:highlight w:val="none"/>
        </w:rPr>
        <w:t>资格文件/资信技术文件/报价文件</w:t>
      </w:r>
    </w:p>
    <w:p>
      <w:pPr>
        <w:ind w:firstLine="0" w:firstLineChars="0"/>
        <w:rPr>
          <w:rFonts w:ascii="宋体" w:cs="宋体"/>
          <w:color w:val="auto"/>
          <w:highlight w:val="none"/>
        </w:rPr>
      </w:pPr>
    </w:p>
    <w:p>
      <w:pPr>
        <w:ind w:firstLine="0" w:firstLineChars="0"/>
        <w:rPr>
          <w:rFonts w:ascii="宋体" w:cs="宋体"/>
          <w:color w:val="auto"/>
          <w:highlight w:val="none"/>
        </w:rPr>
      </w:pPr>
    </w:p>
    <w:p>
      <w:pPr>
        <w:ind w:firstLine="0" w:firstLineChars="0"/>
        <w:rPr>
          <w:rFonts w:ascii="宋体" w:cs="宋体"/>
          <w:color w:val="auto"/>
          <w:highlight w:val="none"/>
        </w:rPr>
      </w:pPr>
    </w:p>
    <w:p>
      <w:pPr>
        <w:pStyle w:val="68"/>
        <w:rPr>
          <w:rFonts w:cs="宋体"/>
          <w:color w:val="auto"/>
          <w:highlight w:val="none"/>
        </w:rPr>
      </w:pPr>
    </w:p>
    <w:p>
      <w:pPr>
        <w:pStyle w:val="68"/>
        <w:rPr>
          <w:rFonts w:cs="宋体"/>
          <w:color w:val="auto"/>
          <w:highlight w:val="none"/>
        </w:rPr>
      </w:pPr>
    </w:p>
    <w:p>
      <w:pPr>
        <w:pStyle w:val="14"/>
        <w:ind w:firstLine="0" w:firstLineChars="0"/>
        <w:rPr>
          <w:color w:val="auto"/>
          <w:highlight w:val="none"/>
        </w:rPr>
      </w:pPr>
    </w:p>
    <w:p>
      <w:pPr>
        <w:ind w:firstLine="480"/>
        <w:rPr>
          <w:rFonts w:ascii="宋体" w:cs="宋体"/>
          <w:color w:val="auto"/>
          <w:highlight w:val="none"/>
        </w:rPr>
      </w:pPr>
    </w:p>
    <w:p>
      <w:pPr>
        <w:spacing w:line="360" w:lineRule="auto"/>
        <w:ind w:left="2238" w:leftChars="266" w:hanging="1600" w:hangingChars="500"/>
        <w:rPr>
          <w:rFonts w:hint="default" w:ascii="宋体" w:eastAsia="宋体" w:cs="宋体"/>
          <w:color w:val="auto"/>
          <w:sz w:val="32"/>
          <w:highlight w:val="none"/>
          <w:u w:val="single"/>
          <w:lang w:val="en-US" w:eastAsia="zh-CN"/>
        </w:rPr>
      </w:pPr>
      <w:r>
        <w:rPr>
          <w:rFonts w:hint="eastAsia" w:ascii="宋体" w:hAnsi="宋体" w:cs="宋体"/>
          <w:color w:val="auto"/>
          <w:sz w:val="32"/>
          <w:highlight w:val="none"/>
        </w:rPr>
        <w:t>项目名称：</w:t>
      </w:r>
      <w:r>
        <w:rPr>
          <w:rFonts w:hint="eastAsia" w:ascii="宋体" w:hAnsi="宋体" w:cs="宋体"/>
          <w:color w:val="auto"/>
          <w:sz w:val="32"/>
          <w:highlight w:val="none"/>
          <w:u w:val="single"/>
          <w:lang w:val="zh-CN"/>
        </w:rPr>
        <w:t>嵊州市人民医院检验科标本外送定点服务采购项目</w:t>
      </w:r>
      <w:r>
        <w:rPr>
          <w:rFonts w:hint="eastAsia" w:ascii="宋体" w:hAnsi="宋体" w:cs="宋体"/>
          <w:color w:val="auto"/>
          <w:sz w:val="32"/>
          <w:highlight w:val="none"/>
          <w:u w:val="single"/>
          <w:lang w:val="en-US" w:eastAsia="zh-CN"/>
        </w:rPr>
        <w:t xml:space="preserve">               </w:t>
      </w:r>
    </w:p>
    <w:p>
      <w:pPr>
        <w:spacing w:line="360" w:lineRule="auto"/>
        <w:ind w:firstLine="640"/>
        <w:rPr>
          <w:rFonts w:hint="eastAsia" w:ascii="宋体" w:eastAsia="宋体" w:cs="宋体"/>
          <w:color w:val="auto"/>
          <w:sz w:val="32"/>
          <w:highlight w:val="none"/>
          <w:lang w:val="en-US" w:eastAsia="zh-CN"/>
        </w:rPr>
      </w:pPr>
      <w:r>
        <w:rPr>
          <w:rFonts w:hint="eastAsia" w:ascii="宋体" w:hAnsi="宋体" w:cs="宋体"/>
          <w:color w:val="auto"/>
          <w:sz w:val="32"/>
          <w:highlight w:val="none"/>
        </w:rPr>
        <w:t>项目编号：</w:t>
      </w:r>
      <w:r>
        <w:rPr>
          <w:rFonts w:ascii="宋体" w:hAnsi="宋体" w:cs="宋体"/>
          <w:color w:val="auto"/>
          <w:sz w:val="32"/>
          <w:highlight w:val="none"/>
          <w:u w:val="single"/>
        </w:rPr>
        <w:t xml:space="preserve">      </w:t>
      </w:r>
      <w:r>
        <w:rPr>
          <w:rFonts w:hint="eastAsia" w:ascii="宋体" w:hAnsi="宋体" w:cs="宋体"/>
          <w:color w:val="auto"/>
          <w:sz w:val="32"/>
          <w:highlight w:val="none"/>
          <w:u w:val="single"/>
          <w:lang w:eastAsia="zh-CN"/>
        </w:rPr>
        <w:t xml:space="preserve">SZZT-F230113RZJ </w:t>
      </w:r>
      <w:r>
        <w:rPr>
          <w:rFonts w:hint="eastAsia" w:ascii="宋体" w:hAnsi="宋体" w:cs="宋体"/>
          <w:color w:val="auto"/>
          <w:sz w:val="32"/>
          <w:highlight w:val="none"/>
          <w:u w:val="single"/>
        </w:rPr>
        <w:t xml:space="preserve">     </w:t>
      </w:r>
      <w:r>
        <w:rPr>
          <w:rFonts w:ascii="宋体" w:hAnsi="宋体" w:cs="宋体"/>
          <w:color w:val="auto"/>
          <w:sz w:val="32"/>
          <w:highlight w:val="none"/>
          <w:u w:val="single"/>
        </w:rPr>
        <w:t xml:space="preserve">                </w:t>
      </w:r>
      <w:r>
        <w:rPr>
          <w:rFonts w:hint="eastAsia" w:ascii="宋体" w:hAnsi="宋体" w:cs="宋体"/>
          <w:color w:val="auto"/>
          <w:sz w:val="32"/>
          <w:highlight w:val="none"/>
          <w:u w:val="single"/>
          <w:lang w:val="en-US" w:eastAsia="zh-CN"/>
        </w:rPr>
        <w:t xml:space="preserve"> </w:t>
      </w:r>
    </w:p>
    <w:p>
      <w:pP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投</w:t>
      </w:r>
      <w:r>
        <w:rPr>
          <w:rFonts w:ascii="宋体" w:hAnsi="宋体" w:cs="宋体"/>
          <w:color w:val="auto"/>
          <w:sz w:val="32"/>
          <w:highlight w:val="none"/>
        </w:rPr>
        <w:t xml:space="preserve"> </w:t>
      </w:r>
      <w:r>
        <w:rPr>
          <w:rFonts w:hint="eastAsia" w:ascii="宋体" w:hAnsi="宋体" w:cs="宋体"/>
          <w:color w:val="auto"/>
          <w:sz w:val="32"/>
          <w:highlight w:val="none"/>
        </w:rPr>
        <w:t>标</w:t>
      </w:r>
      <w:r>
        <w:rPr>
          <w:rFonts w:ascii="宋体" w:hAnsi="宋体" w:cs="宋体"/>
          <w:color w:val="auto"/>
          <w:sz w:val="32"/>
          <w:highlight w:val="none"/>
        </w:rPr>
        <w:t xml:space="preserve"> </w:t>
      </w:r>
      <w:r>
        <w:rPr>
          <w:rFonts w:hint="eastAsia" w:ascii="宋体" w:hAnsi="宋体" w:cs="宋体"/>
          <w:color w:val="auto"/>
          <w:sz w:val="32"/>
          <w:highlight w:val="none"/>
        </w:rPr>
        <w:t>人：</w:t>
      </w:r>
      <w:r>
        <w:rPr>
          <w:rFonts w:ascii="宋体" w:hAnsi="宋体" w:cs="宋体"/>
          <w:color w:val="auto"/>
          <w:sz w:val="32"/>
          <w:highlight w:val="none"/>
          <w:u w:val="single"/>
        </w:rPr>
        <w:t xml:space="preserve">     </w:t>
      </w:r>
      <w:r>
        <w:rPr>
          <w:rFonts w:hint="eastAsia" w:ascii="宋体" w:hAnsi="宋体" w:cs="宋体"/>
          <w:color w:val="auto"/>
          <w:sz w:val="32"/>
          <w:highlight w:val="none"/>
          <w:u w:val="single"/>
        </w:rPr>
        <w:t>（全称）（加盖公章）</w:t>
      </w:r>
      <w:r>
        <w:rPr>
          <w:rFonts w:ascii="宋体" w:hAnsi="宋体" w:cs="宋体"/>
          <w:color w:val="auto"/>
          <w:sz w:val="32"/>
          <w:highlight w:val="none"/>
          <w:u w:val="single"/>
        </w:rPr>
        <w:t xml:space="preserve">                   </w:t>
      </w:r>
    </w:p>
    <w:p>
      <w:pPr>
        <w:spacing w:line="360" w:lineRule="auto"/>
        <w:ind w:firstLine="640"/>
        <w:rPr>
          <w:rFonts w:ascii="宋体" w:hAnsi="宋体" w:cs="宋体"/>
          <w:color w:val="auto"/>
          <w:sz w:val="32"/>
          <w:highlight w:val="none"/>
          <w:u w:val="single"/>
        </w:rPr>
      </w:pPr>
      <w:r>
        <w:rPr>
          <w:rFonts w:hint="eastAsia" w:ascii="宋体" w:hAnsi="宋体" w:cs="宋体"/>
          <w:color w:val="auto"/>
          <w:sz w:val="32"/>
          <w:highlight w:val="none"/>
        </w:rPr>
        <w:t>投标人地址：</w:t>
      </w:r>
      <w:r>
        <w:rPr>
          <w:rFonts w:ascii="宋体" w:hAnsi="宋体" w:cs="宋体"/>
          <w:color w:val="auto"/>
          <w:sz w:val="32"/>
          <w:highlight w:val="none"/>
          <w:u w:val="single"/>
        </w:rPr>
        <w:t xml:space="preserve">                                      </w:t>
      </w:r>
      <w:r>
        <w:rPr>
          <w:rFonts w:hint="eastAsia" w:ascii="宋体" w:hAnsi="宋体" w:cs="宋体"/>
          <w:color w:val="auto"/>
          <w:sz w:val="32"/>
          <w:highlight w:val="none"/>
          <w:u w:val="single"/>
          <w:lang w:val="en-US" w:eastAsia="zh-CN"/>
        </w:rPr>
        <w:t xml:space="preserve">  </w:t>
      </w:r>
      <w:r>
        <w:rPr>
          <w:rFonts w:ascii="宋体" w:hAnsi="宋体" w:cs="宋体"/>
          <w:color w:val="auto"/>
          <w:sz w:val="32"/>
          <w:highlight w:val="none"/>
          <w:u w:val="single"/>
        </w:rPr>
        <w:t xml:space="preserve">  </w:t>
      </w:r>
    </w:p>
    <w:p>
      <w:pPr>
        <w:spacing w:line="360" w:lineRule="auto"/>
        <w:ind w:firstLine="0" w:firstLineChars="0"/>
        <w:rPr>
          <w:rFonts w:hint="eastAsia" w:ascii="宋体" w:cs="宋体"/>
          <w:color w:val="auto"/>
          <w:sz w:val="32"/>
          <w:highlight w:val="none"/>
          <w:u w:val="single"/>
        </w:rPr>
      </w:pPr>
    </w:p>
    <w:p>
      <w:pPr>
        <w:spacing w:line="360" w:lineRule="auto"/>
        <w:ind w:firstLine="0" w:firstLineChars="0"/>
        <w:jc w:val="center"/>
        <w:rPr>
          <w:rFonts w:ascii="宋体" w:hAnsi="宋体" w:cs="宋体"/>
          <w:color w:val="auto"/>
          <w:sz w:val="32"/>
          <w:highlight w:val="none"/>
        </w:rPr>
      </w:pPr>
      <w:bookmarkStart w:id="220" w:name="_Toc5625_WPSOffice_Level1"/>
      <w:bookmarkStart w:id="221" w:name="_Toc10313_WPSOffice_Level1"/>
      <w:bookmarkStart w:id="222" w:name="_Toc16735_WPSOffice_Level1"/>
      <w:r>
        <w:rPr>
          <w:rFonts w:hint="eastAsia" w:ascii="宋体" w:hAnsi="宋体" w:cs="宋体"/>
          <w:color w:val="auto"/>
          <w:sz w:val="32"/>
          <w:highlight w:val="none"/>
        </w:rPr>
        <w:t>二〇二</w:t>
      </w:r>
      <w:r>
        <w:rPr>
          <w:rFonts w:hint="eastAsia" w:ascii="宋体" w:hAnsi="宋体" w:cs="宋体"/>
          <w:color w:val="auto"/>
          <w:sz w:val="32"/>
          <w:highlight w:val="none"/>
          <w:lang w:val="en-US" w:eastAsia="zh-CN"/>
        </w:rPr>
        <w:t>三</w:t>
      </w:r>
      <w:r>
        <w:rPr>
          <w:rFonts w:hint="eastAsia" w:ascii="宋体" w:hAnsi="宋体" w:cs="宋体"/>
          <w:color w:val="auto"/>
          <w:sz w:val="32"/>
          <w:highlight w:val="none"/>
        </w:rPr>
        <w:t xml:space="preserve"> 年</w:t>
      </w:r>
      <w:r>
        <w:rPr>
          <w:rFonts w:ascii="宋体" w:hAnsi="宋体" w:cs="宋体"/>
          <w:color w:val="auto"/>
          <w:sz w:val="32"/>
          <w:highlight w:val="none"/>
        </w:rPr>
        <w:t xml:space="preserve">    </w:t>
      </w:r>
      <w:r>
        <w:rPr>
          <w:rFonts w:hint="eastAsia" w:ascii="宋体" w:hAnsi="宋体" w:cs="宋体"/>
          <w:color w:val="auto"/>
          <w:sz w:val="32"/>
          <w:highlight w:val="none"/>
        </w:rPr>
        <w:t>月</w:t>
      </w:r>
      <w:r>
        <w:rPr>
          <w:rFonts w:ascii="宋体" w:hAnsi="宋体" w:cs="宋体"/>
          <w:color w:val="auto"/>
          <w:sz w:val="32"/>
          <w:highlight w:val="none"/>
        </w:rPr>
        <w:t xml:space="preserve">    </w:t>
      </w:r>
      <w:r>
        <w:rPr>
          <w:rFonts w:hint="eastAsia" w:ascii="宋体" w:hAnsi="宋体" w:cs="宋体"/>
          <w:color w:val="auto"/>
          <w:sz w:val="32"/>
          <w:highlight w:val="none"/>
        </w:rPr>
        <w:t>日</w:t>
      </w:r>
      <w:bookmarkEnd w:id="220"/>
      <w:bookmarkEnd w:id="221"/>
      <w:bookmarkEnd w:id="222"/>
    </w:p>
    <w:p>
      <w:pPr>
        <w:spacing w:line="420" w:lineRule="exact"/>
        <w:ind w:firstLine="0" w:firstLineChars="0"/>
        <w:rPr>
          <w:rFonts w:hint="eastAsia" w:ascii="宋体" w:hAnsi="宋体" w:cs="宋体"/>
          <w:b/>
          <w:bCs/>
          <w:color w:val="auto"/>
          <w:highlight w:val="none"/>
        </w:rPr>
      </w:pPr>
    </w:p>
    <w:p>
      <w:pPr>
        <w:spacing w:line="420" w:lineRule="exact"/>
        <w:ind w:firstLine="0" w:firstLineChars="0"/>
        <w:rPr>
          <w:rFonts w:hint="eastAsia" w:ascii="宋体" w:hAnsi="宋体" w:cs="宋体"/>
          <w:b/>
          <w:bCs/>
          <w:color w:val="auto"/>
          <w:highlight w:val="none"/>
        </w:rPr>
      </w:pPr>
    </w:p>
    <w:p>
      <w:pPr>
        <w:spacing w:line="420" w:lineRule="exact"/>
        <w:ind w:firstLine="0" w:firstLineChars="0"/>
        <w:rPr>
          <w:rFonts w:hint="eastAsia" w:ascii="宋体" w:hAnsi="宋体" w:cs="宋体"/>
          <w:b/>
          <w:bCs/>
          <w:color w:val="auto"/>
          <w:highlight w:val="none"/>
        </w:rPr>
      </w:pPr>
    </w:p>
    <w:p>
      <w:pPr>
        <w:spacing w:line="420" w:lineRule="exact"/>
        <w:ind w:firstLine="0" w:firstLineChars="0"/>
        <w:rPr>
          <w:rFonts w:ascii="宋体" w:cs="宋体"/>
          <w:b/>
          <w:bCs/>
          <w:color w:val="auto"/>
          <w:highlight w:val="none"/>
        </w:rPr>
      </w:pPr>
      <w:r>
        <w:rPr>
          <w:rFonts w:hint="eastAsia" w:ascii="宋体" w:hAnsi="宋体" w:cs="宋体"/>
          <w:b/>
          <w:bCs/>
          <w:color w:val="auto"/>
          <w:highlight w:val="none"/>
        </w:rPr>
        <w:t>附件</w:t>
      </w:r>
    </w:p>
    <w:p>
      <w:pPr>
        <w:adjustRightInd w:val="0"/>
        <w:snapToGrid w:val="0"/>
        <w:spacing w:line="420" w:lineRule="exact"/>
        <w:ind w:firstLine="723"/>
        <w:jc w:val="center"/>
        <w:rPr>
          <w:rFonts w:ascii="宋体" w:cs="宋体"/>
          <w:b/>
          <w:color w:val="auto"/>
          <w:sz w:val="36"/>
          <w:szCs w:val="36"/>
          <w:highlight w:val="none"/>
        </w:rPr>
      </w:pPr>
      <w:bookmarkStart w:id="223" w:name="_Toc354859551"/>
      <w:bookmarkStart w:id="224" w:name="_Toc354859475"/>
      <w:bookmarkStart w:id="225" w:name="_Toc233618991"/>
      <w:bookmarkStart w:id="226" w:name="_Toc354859632"/>
      <w:r>
        <w:rPr>
          <w:rFonts w:hint="eastAsia" w:ascii="宋体" w:hAnsi="宋体" w:cs="宋体"/>
          <w:b/>
          <w:color w:val="auto"/>
          <w:sz w:val="36"/>
          <w:szCs w:val="36"/>
          <w:highlight w:val="none"/>
        </w:rPr>
        <w:t>投标资格声明书</w:t>
      </w:r>
    </w:p>
    <w:p>
      <w:pPr>
        <w:spacing w:line="420" w:lineRule="exact"/>
        <w:ind w:firstLine="480"/>
        <w:rPr>
          <w:rFonts w:ascii="宋体" w:hAnsi="宋体" w:cs="宋体"/>
          <w:color w:val="auto"/>
          <w:highlight w:val="none"/>
        </w:rPr>
      </w:pPr>
    </w:p>
    <w:p>
      <w:pPr>
        <w:spacing w:line="420" w:lineRule="exact"/>
        <w:ind w:firstLine="480"/>
        <w:rPr>
          <w:rFonts w:ascii="宋体" w:cs="宋体"/>
          <w:color w:val="auto"/>
          <w:highlight w:val="none"/>
        </w:rPr>
      </w:pPr>
      <w:r>
        <w:rPr>
          <w:rFonts w:hint="eastAsia" w:ascii="宋体" w:hAnsi="宋体" w:cs="宋体"/>
          <w:color w:val="auto"/>
          <w:highlight w:val="none"/>
        </w:rPr>
        <w:t>致：</w:t>
      </w:r>
      <w:r>
        <w:rPr>
          <w:rFonts w:ascii="宋体" w:hAnsi="宋体" w:cs="宋体"/>
          <w:color w:val="auto"/>
          <w:highlight w:val="none"/>
          <w:u w:val="single"/>
        </w:rPr>
        <w:t xml:space="preserve">          </w:t>
      </w:r>
      <w:r>
        <w:rPr>
          <w:rFonts w:hint="eastAsia" w:ascii="宋体" w:hAnsi="宋体" w:cs="宋体"/>
          <w:color w:val="auto"/>
          <w:highlight w:val="none"/>
        </w:rPr>
        <w:t>（采购人名称）</w:t>
      </w:r>
    </w:p>
    <w:p>
      <w:pPr>
        <w:tabs>
          <w:tab w:val="left" w:pos="1418"/>
        </w:tabs>
        <w:snapToGrid w:val="0"/>
        <w:spacing w:line="420" w:lineRule="exact"/>
        <w:ind w:firstLine="480"/>
        <w:rPr>
          <w:rFonts w:ascii="宋体" w:cs="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（投标人名称）系中华人民共和国合法企业，经营地址</w:t>
      </w:r>
      <w:r>
        <w:rPr>
          <w:rFonts w:ascii="宋体" w:hAnsi="宋体" w:cs="宋体"/>
          <w:color w:val="auto"/>
          <w:highlight w:val="none"/>
          <w:u w:val="single"/>
        </w:rPr>
        <w:t xml:space="preserve">                        </w:t>
      </w:r>
      <w:r>
        <w:rPr>
          <w:rFonts w:hint="eastAsia" w:ascii="宋体" w:hAnsi="宋体" w:cs="宋体"/>
          <w:color w:val="auto"/>
          <w:highlight w:val="none"/>
        </w:rPr>
        <w:t>。</w:t>
      </w:r>
    </w:p>
    <w:p>
      <w:pPr>
        <w:tabs>
          <w:tab w:val="left" w:pos="1418"/>
        </w:tabs>
        <w:snapToGrid w:val="0"/>
        <w:spacing w:line="420" w:lineRule="exact"/>
        <w:ind w:firstLine="480"/>
        <w:rPr>
          <w:rFonts w:ascii="宋体" w:cs="宋体"/>
          <w:color w:val="auto"/>
          <w:highlight w:val="none"/>
        </w:rPr>
      </w:pPr>
      <w:r>
        <w:rPr>
          <w:rFonts w:hint="eastAsia" w:ascii="宋体" w:hAnsi="宋体" w:cs="宋体"/>
          <w:color w:val="auto"/>
          <w:highlight w:val="none"/>
        </w:rPr>
        <w:t>我</w:t>
      </w:r>
      <w:r>
        <w:rPr>
          <w:rFonts w:ascii="宋体" w:hAnsi="宋体" w:cs="宋体"/>
          <w:color w:val="auto"/>
          <w:highlight w:val="none"/>
          <w:u w:val="single"/>
        </w:rPr>
        <w:t xml:space="preserve">                  </w:t>
      </w:r>
      <w:r>
        <w:rPr>
          <w:rFonts w:hint="eastAsia" w:ascii="宋体" w:hAnsi="宋体" w:cs="宋体"/>
          <w:color w:val="auto"/>
          <w:highlight w:val="none"/>
        </w:rPr>
        <w:t>（姓名）系</w:t>
      </w:r>
      <w:r>
        <w:rPr>
          <w:rFonts w:ascii="宋体" w:hAnsi="宋体" w:cs="宋体"/>
          <w:color w:val="auto"/>
          <w:highlight w:val="none"/>
          <w:u w:val="single"/>
        </w:rPr>
        <w:t xml:space="preserve">                  </w:t>
      </w:r>
      <w:r>
        <w:rPr>
          <w:rFonts w:hint="eastAsia" w:ascii="宋体" w:hAnsi="宋体" w:cs="宋体"/>
          <w:color w:val="auto"/>
          <w:highlight w:val="none"/>
        </w:rPr>
        <w:t>（投标人名称）的法定代表人，我方愿意参加贵方组织的</w:t>
      </w:r>
      <w:r>
        <w:rPr>
          <w:rFonts w:ascii="宋体" w:hAnsi="宋体" w:cs="宋体"/>
          <w:color w:val="auto"/>
          <w:highlight w:val="none"/>
          <w:u w:val="single"/>
        </w:rPr>
        <w:t xml:space="preserve">             </w:t>
      </w:r>
      <w:r>
        <w:rPr>
          <w:rFonts w:hint="eastAsia" w:ascii="宋体" w:hAnsi="宋体" w:cs="宋体"/>
          <w:color w:val="auto"/>
          <w:highlight w:val="none"/>
        </w:rPr>
        <w:t>项目的投标，为便于贵方公正、择优地确定中标供应商及其投标项目的服务，我方就本次投标有关事项郑重声明如下：</w:t>
      </w:r>
    </w:p>
    <w:p>
      <w:pPr>
        <w:adjustRightInd w:val="0"/>
        <w:snapToGrid w:val="0"/>
        <w:spacing w:line="420" w:lineRule="exact"/>
        <w:ind w:firstLine="48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、我方向贵方提交的所有投标文件、资料都是准确的和真实的；</w:t>
      </w:r>
    </w:p>
    <w:p>
      <w:pPr>
        <w:adjustRightInd w:val="0"/>
        <w:snapToGrid w:val="0"/>
        <w:spacing w:line="420" w:lineRule="exact"/>
        <w:ind w:firstLine="48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、我方不是采购人的附属机构；在获知本项目采购信息后，与采购人聘请的为此项目提供咨询服务的公司及其附属机构没有任何联系。</w:t>
      </w:r>
    </w:p>
    <w:p>
      <w:pPr>
        <w:adjustRightInd w:val="0"/>
        <w:snapToGrid w:val="0"/>
        <w:spacing w:line="420" w:lineRule="exact"/>
        <w:ind w:firstLine="48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、我方承诺已经具备采购文件规定的参加本项目政府采购活动的供应商应当具备的条件：</w:t>
      </w:r>
    </w:p>
    <w:p>
      <w:pPr>
        <w:spacing w:line="420" w:lineRule="exact"/>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）具有独立承担民事责任的能力；</w:t>
      </w:r>
    </w:p>
    <w:p>
      <w:pPr>
        <w:spacing w:line="420" w:lineRule="exact"/>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）具有良好的商业信誉和健全的财务会计制度；</w:t>
      </w:r>
    </w:p>
    <w:p>
      <w:pPr>
        <w:spacing w:line="420" w:lineRule="exact"/>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）具有履行合同所必需的设备和专业技术能力；</w:t>
      </w:r>
    </w:p>
    <w:p>
      <w:pPr>
        <w:spacing w:line="420" w:lineRule="exact"/>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）有依法缴纳税收和社会保障资金的良好记录；</w:t>
      </w:r>
    </w:p>
    <w:p>
      <w:pPr>
        <w:spacing w:line="420" w:lineRule="exact"/>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）参加本次政府采购活动前三年内，在经营活动中没有重大违法记录；</w:t>
      </w:r>
    </w:p>
    <w:p>
      <w:pPr>
        <w:spacing w:line="420" w:lineRule="exact"/>
        <w:ind w:firstLine="480"/>
        <w:rPr>
          <w:rFonts w:ascii="宋体" w:cs="宋体"/>
          <w:color w:val="auto"/>
          <w:highlight w:val="none"/>
          <w:shd w:val="clear" w:color="auto" w:fill="FFFFFF"/>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w:t>
      </w:r>
      <w:r>
        <w:rPr>
          <w:rFonts w:hint="eastAsia" w:ascii="宋体" w:hAnsi="宋体" w:cs="宋体"/>
          <w:color w:val="auto"/>
          <w:highlight w:val="none"/>
          <w:shd w:val="clear" w:color="auto" w:fill="FFFFFF"/>
        </w:rPr>
        <w:t>至本项目投标截止时间前，我方未列入失信被执行人、重大税收违法案件当事人名单、政府采购严重违法失信行为记录名单；</w:t>
      </w:r>
    </w:p>
    <w:p>
      <w:pPr>
        <w:spacing w:line="420" w:lineRule="exact"/>
        <w:ind w:firstLine="480"/>
        <w:rPr>
          <w:rFonts w:ascii="宋体" w:cs="宋体"/>
          <w:color w:val="auto"/>
          <w:highlight w:val="none"/>
        </w:rPr>
      </w:pPr>
      <w:r>
        <w:rPr>
          <w:rFonts w:hint="eastAsia" w:ascii="宋体" w:hAnsi="宋体" w:cs="宋体"/>
          <w:color w:val="auto"/>
          <w:highlight w:val="none"/>
          <w:shd w:val="clear" w:color="auto" w:fill="FFFFFF"/>
        </w:rPr>
        <w:t>（</w:t>
      </w:r>
      <w:r>
        <w:rPr>
          <w:rFonts w:ascii="宋体" w:hAnsi="宋体" w:cs="宋体"/>
          <w:color w:val="auto"/>
          <w:highlight w:val="none"/>
          <w:shd w:val="clear" w:color="auto" w:fill="FFFFFF"/>
        </w:rPr>
        <w:t>7</w:t>
      </w:r>
      <w:r>
        <w:rPr>
          <w:rFonts w:hint="eastAsia" w:ascii="宋体" w:hAnsi="宋体" w:cs="宋体"/>
          <w:color w:val="auto"/>
          <w:highlight w:val="none"/>
          <w:shd w:val="clear" w:color="auto" w:fill="FFFFFF"/>
        </w:rPr>
        <w:t>）我单位（投标人）</w:t>
      </w:r>
      <w:r>
        <w:rPr>
          <w:rFonts w:hint="eastAsia" w:ascii="宋体" w:hAnsi="宋体" w:cs="宋体"/>
          <w:color w:val="auto"/>
          <w:highlight w:val="none"/>
        </w:rPr>
        <w:t>具有</w:t>
      </w:r>
      <w:r>
        <w:rPr>
          <w:rFonts w:ascii="宋体" w:hAnsi="宋体" w:cs="宋体"/>
          <w:color w:val="auto"/>
          <w:highlight w:val="none"/>
          <w:u w:val="single"/>
        </w:rPr>
        <w:t xml:space="preserve">           </w:t>
      </w:r>
      <w:r>
        <w:rPr>
          <w:rFonts w:hint="eastAsia" w:ascii="宋体" w:hAnsi="宋体" w:cs="宋体"/>
          <w:color w:val="auto"/>
          <w:highlight w:val="none"/>
        </w:rPr>
        <w:t>资质；</w:t>
      </w:r>
    </w:p>
    <w:p>
      <w:pPr>
        <w:spacing w:line="420" w:lineRule="exact"/>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8</w:t>
      </w:r>
      <w:r>
        <w:rPr>
          <w:rFonts w:hint="eastAsia" w:ascii="宋体" w:hAnsi="宋体" w:cs="宋体"/>
          <w:color w:val="auto"/>
          <w:highlight w:val="none"/>
        </w:rPr>
        <w:t>）项目负责人具有</w:t>
      </w:r>
      <w:r>
        <w:rPr>
          <w:rFonts w:ascii="宋体" w:hAnsi="宋体" w:cs="宋体"/>
          <w:color w:val="auto"/>
          <w:highlight w:val="none"/>
          <w:u w:val="single"/>
        </w:rPr>
        <w:t xml:space="preserve">     </w:t>
      </w:r>
      <w:r>
        <w:rPr>
          <w:rFonts w:hint="eastAsia" w:ascii="宋体" w:hAnsi="宋体" w:cs="宋体"/>
          <w:color w:val="auto"/>
          <w:highlight w:val="none"/>
        </w:rPr>
        <w:t>专业</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ascii="宋体" w:hAnsi="宋体" w:cs="宋体"/>
          <w:color w:val="auto"/>
          <w:highlight w:val="none"/>
          <w:u w:val="single"/>
        </w:rPr>
        <w:t xml:space="preserve"> </w:t>
      </w:r>
      <w:r>
        <w:rPr>
          <w:rFonts w:hint="eastAsia" w:ascii="宋体" w:hAnsi="宋体" w:cs="宋体"/>
          <w:color w:val="auto"/>
          <w:highlight w:val="none"/>
        </w:rPr>
        <w:t>级职称。</w:t>
      </w:r>
    </w:p>
    <w:p>
      <w:pPr>
        <w:spacing w:line="420" w:lineRule="exact"/>
        <w:ind w:firstLine="48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、我方承诺：最近三年我方无行贿犯罪行为，若我方中标，愿意接受社会监督和检察院调查。</w:t>
      </w:r>
      <w:r>
        <w:rPr>
          <w:rFonts w:ascii="宋体" w:hAnsi="宋体" w:cs="宋体"/>
          <w:color w:val="auto"/>
          <w:highlight w:val="none"/>
        </w:rPr>
        <w:t xml:space="preserve">                                                  </w:t>
      </w:r>
    </w:p>
    <w:p>
      <w:pPr>
        <w:spacing w:line="420" w:lineRule="exact"/>
        <w:ind w:firstLine="48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、以上事项如有虚假或隐瞒，我方愿意承担一切后果和责任。</w:t>
      </w:r>
    </w:p>
    <w:p>
      <w:pPr>
        <w:spacing w:line="420" w:lineRule="exact"/>
        <w:ind w:firstLine="480"/>
        <w:rPr>
          <w:rFonts w:ascii="宋体" w:cs="宋体"/>
          <w:color w:val="auto"/>
          <w:highlight w:val="none"/>
        </w:rPr>
      </w:pPr>
      <w:r>
        <w:rPr>
          <w:rFonts w:ascii="宋体" w:hAnsi="宋体" w:cs="宋体"/>
          <w:color w:val="auto"/>
          <w:highlight w:val="none"/>
        </w:rPr>
        <w:t xml:space="preserve">           </w:t>
      </w:r>
    </w:p>
    <w:p>
      <w:pPr>
        <w:spacing w:line="420" w:lineRule="exact"/>
        <w:ind w:firstLine="480"/>
        <w:rPr>
          <w:rFonts w:ascii="宋体" w:cs="宋体"/>
          <w:color w:val="auto"/>
          <w:highlight w:val="none"/>
        </w:rPr>
      </w:pPr>
      <w:r>
        <w:rPr>
          <w:rFonts w:hint="eastAsia" w:ascii="宋体" w:hAnsi="宋体" w:cs="宋体"/>
          <w:color w:val="auto"/>
          <w:highlight w:val="none"/>
        </w:rPr>
        <w:t>授权代表人签字或盖章：</w:t>
      </w:r>
      <w:r>
        <w:rPr>
          <w:rFonts w:ascii="宋体" w:hAnsi="宋体" w:cs="宋体"/>
          <w:color w:val="auto"/>
          <w:highlight w:val="none"/>
        </w:rPr>
        <w:t xml:space="preserve"> </w:t>
      </w:r>
      <w:r>
        <w:rPr>
          <w:rFonts w:ascii="宋体" w:hAnsi="宋体" w:cs="宋体"/>
          <w:color w:val="auto"/>
          <w:highlight w:val="none"/>
          <w:u w:val="single"/>
        </w:rPr>
        <w:t xml:space="preserve">               </w:t>
      </w:r>
      <w:r>
        <w:rPr>
          <w:rFonts w:ascii="宋体" w:hAnsi="宋体" w:cs="宋体"/>
          <w:color w:val="auto"/>
          <w:highlight w:val="none"/>
        </w:rPr>
        <w:t xml:space="preserve">              </w:t>
      </w:r>
    </w:p>
    <w:p>
      <w:pPr>
        <w:adjustRightInd w:val="0"/>
        <w:snapToGrid w:val="0"/>
        <w:spacing w:line="420" w:lineRule="exact"/>
        <w:ind w:firstLine="480"/>
        <w:rPr>
          <w:rFonts w:ascii="宋体" w:cs="宋体"/>
          <w:color w:val="auto"/>
          <w:highlight w:val="none"/>
          <w:u w:val="single"/>
        </w:rPr>
      </w:pPr>
      <w:r>
        <w:rPr>
          <w:rFonts w:hint="eastAsia" w:ascii="宋体" w:hAnsi="宋体" w:cs="宋体"/>
          <w:color w:val="auto"/>
          <w:highlight w:val="none"/>
        </w:rPr>
        <w:t>投标人全称（盖章）：</w:t>
      </w:r>
      <w:r>
        <w:rPr>
          <w:rFonts w:ascii="宋体" w:hAnsi="宋体" w:cs="宋体"/>
          <w:color w:val="auto"/>
          <w:highlight w:val="none"/>
          <w:u w:val="single"/>
        </w:rPr>
        <w:t xml:space="preserve">               </w:t>
      </w:r>
      <w:r>
        <w:rPr>
          <w:rFonts w:ascii="宋体" w:hAnsi="宋体" w:cs="宋体"/>
          <w:color w:val="auto"/>
          <w:highlight w:val="none"/>
        </w:rPr>
        <w:t xml:space="preserve">                      </w:t>
      </w:r>
    </w:p>
    <w:p>
      <w:pPr>
        <w:adjustRightInd w:val="0"/>
        <w:snapToGrid w:val="0"/>
        <w:spacing w:line="420" w:lineRule="exact"/>
        <w:ind w:firstLine="480"/>
        <w:rPr>
          <w:rFonts w:ascii="宋体" w:cs="宋体"/>
          <w:color w:val="auto"/>
          <w:highlight w:val="none"/>
        </w:rPr>
      </w:pPr>
      <w:r>
        <w:rPr>
          <w:rFonts w:hint="eastAsia" w:ascii="宋体" w:hAnsi="宋体" w:cs="宋体"/>
          <w:color w:val="auto"/>
          <w:highlight w:val="none"/>
        </w:rPr>
        <w:t>202</w:t>
      </w:r>
      <w:r>
        <w:rPr>
          <w:rFonts w:hint="eastAsia" w:ascii="宋体" w:hAnsi="宋体" w:cs="宋体"/>
          <w:color w:val="auto"/>
          <w:highlight w:val="none"/>
          <w:lang w:val="en-US" w:eastAsia="zh-CN"/>
        </w:rPr>
        <w:t>3</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pPr>
        <w:adjustRightInd w:val="0"/>
        <w:snapToGrid w:val="0"/>
        <w:spacing w:line="420" w:lineRule="exact"/>
        <w:ind w:firstLine="482"/>
        <w:rPr>
          <w:rFonts w:ascii="宋体" w:hAnsi="宋体" w:cs="宋体"/>
          <w:b/>
          <w:bCs/>
          <w:color w:val="auto"/>
          <w:highlight w:val="none"/>
        </w:rPr>
      </w:pPr>
    </w:p>
    <w:p>
      <w:pPr>
        <w:adjustRightInd w:val="0"/>
        <w:snapToGrid w:val="0"/>
        <w:spacing w:line="420" w:lineRule="exact"/>
        <w:ind w:firstLine="482"/>
        <w:rPr>
          <w:rFonts w:ascii="宋体" w:cs="宋体"/>
          <w:b/>
          <w:bCs/>
          <w:color w:val="auto"/>
          <w:highlight w:val="none"/>
        </w:rPr>
      </w:pPr>
      <w:r>
        <w:rPr>
          <w:rFonts w:hint="eastAsia" w:ascii="宋体" w:hAnsi="宋体" w:cs="宋体"/>
          <w:b/>
          <w:bCs/>
          <w:color w:val="auto"/>
          <w:highlight w:val="none"/>
        </w:rPr>
        <w:t>说明：重大违法记录是指因违法经营受到刑事处罚或者责令停产停业、吊销许可证或者执照、较大数额罚款等行政处罚。</w:t>
      </w:r>
    </w:p>
    <w:p>
      <w:pPr>
        <w:adjustRightInd w:val="0"/>
        <w:snapToGrid w:val="0"/>
        <w:ind w:firstLine="0" w:firstLineChars="0"/>
        <w:rPr>
          <w:rFonts w:ascii="宋体" w:cs="宋体"/>
          <w:b/>
          <w:bCs/>
          <w:color w:val="auto"/>
          <w:highlight w:val="none"/>
        </w:rPr>
      </w:pPr>
      <w:r>
        <w:rPr>
          <w:rFonts w:hint="eastAsia" w:ascii="宋体" w:hAnsi="宋体" w:cs="宋体"/>
          <w:b/>
          <w:bCs/>
          <w:color w:val="auto"/>
          <w:highlight w:val="none"/>
        </w:rPr>
        <w:t>附件</w:t>
      </w:r>
    </w:p>
    <w:p>
      <w:pPr>
        <w:jc w:val="center"/>
        <w:rPr>
          <w:rFonts w:hint="eastAsia"/>
          <w:b/>
          <w:color w:val="auto"/>
          <w:sz w:val="36"/>
          <w:szCs w:val="36"/>
          <w:highlight w:val="none"/>
        </w:rPr>
      </w:pPr>
    </w:p>
    <w:p>
      <w:pPr>
        <w:jc w:val="center"/>
        <w:rPr>
          <w:rFonts w:hint="eastAsia"/>
          <w:b/>
          <w:color w:val="auto"/>
          <w:sz w:val="36"/>
          <w:szCs w:val="36"/>
          <w:highlight w:val="none"/>
        </w:rPr>
      </w:pPr>
      <w:r>
        <w:rPr>
          <w:rFonts w:hint="eastAsia"/>
          <w:b/>
          <w:color w:val="auto"/>
          <w:sz w:val="36"/>
          <w:szCs w:val="36"/>
          <w:highlight w:val="none"/>
        </w:rPr>
        <w:t>投 标 声 明 书</w:t>
      </w:r>
    </w:p>
    <w:p>
      <w:pPr>
        <w:snapToGrid w:val="0"/>
        <w:spacing w:line="360" w:lineRule="auto"/>
        <w:rPr>
          <w:rFonts w:hint="eastAsia" w:ascii="宋体" w:hAnsi="宋体" w:cs="宋体"/>
          <w:color w:val="auto"/>
          <w:kern w:val="0"/>
          <w:sz w:val="24"/>
          <w:highlight w:val="none"/>
          <w:u w:val="single"/>
        </w:rPr>
      </w:pPr>
      <w:r>
        <w:rPr>
          <w:rFonts w:hint="eastAsia" w:ascii="宋体" w:hAnsi="宋体"/>
          <w:color w:val="auto"/>
          <w:sz w:val="24"/>
          <w:highlight w:val="none"/>
        </w:rPr>
        <w:t>致：</w:t>
      </w:r>
      <w:r>
        <w:rPr>
          <w:rFonts w:hint="eastAsia" w:cs="宋体"/>
          <w:color w:val="auto"/>
          <w:kern w:val="0"/>
          <w:sz w:val="24"/>
          <w:highlight w:val="none"/>
          <w:u w:val="single"/>
        </w:rPr>
        <w:t>（招标人名称）</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u w:val="single"/>
        </w:rPr>
        <w:t>（投标人名称）</w:t>
      </w:r>
      <w:r>
        <w:rPr>
          <w:rFonts w:hint="eastAsia" w:ascii="宋体" w:hAnsi="宋体"/>
          <w:color w:val="auto"/>
          <w:sz w:val="24"/>
          <w:highlight w:val="none"/>
        </w:rPr>
        <w:t>系中华人民共和国合法企业，经营地址</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（姓名）</w:t>
      </w:r>
      <w:r>
        <w:rPr>
          <w:rFonts w:hint="eastAsia" w:ascii="宋体" w:hAnsi="宋体"/>
          <w:color w:val="auto"/>
          <w:sz w:val="24"/>
          <w:highlight w:val="none"/>
        </w:rPr>
        <w:t>系</w:t>
      </w:r>
      <w:r>
        <w:rPr>
          <w:rFonts w:hint="eastAsia" w:ascii="宋体" w:hAnsi="宋体"/>
          <w:color w:val="auto"/>
          <w:sz w:val="24"/>
          <w:highlight w:val="none"/>
          <w:u w:val="single"/>
        </w:rPr>
        <w:t>（投标人名称）</w:t>
      </w:r>
      <w:r>
        <w:rPr>
          <w:rFonts w:hint="eastAsia" w:ascii="宋体" w:hAnsi="宋体"/>
          <w:color w:val="auto"/>
          <w:sz w:val="24"/>
          <w:highlight w:val="none"/>
        </w:rPr>
        <w:t>的法定代表人，我方愿意参加贵方组织的</w:t>
      </w:r>
      <w:r>
        <w:rPr>
          <w:rFonts w:hint="eastAsia" w:ascii="宋体" w:hAnsi="宋体"/>
          <w:color w:val="auto"/>
          <w:sz w:val="24"/>
          <w:highlight w:val="none"/>
          <w:u w:val="single"/>
        </w:rPr>
        <w:t>（招标项目名称）（编号为*********）</w:t>
      </w:r>
      <w:r>
        <w:rPr>
          <w:rFonts w:hint="eastAsia" w:ascii="宋体" w:hAnsi="宋体"/>
          <w:color w:val="auto"/>
          <w:sz w:val="24"/>
          <w:highlight w:val="none"/>
        </w:rPr>
        <w:t>的投标，为此，我方就本次投标有关事项郑重声明如下：</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1、投标方已详细审查全部招标文件，同意招标文件的各项要求。</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2、我方向贵方提交的所有投标文件、资料都是准确的和真实的。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3、若中标，我方将按招标文件规定履行合同责任和义务。</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5、投标书自开标日起有效期为</w:t>
      </w:r>
      <w:r>
        <w:rPr>
          <w:rFonts w:hint="eastAsia" w:ascii="宋体" w:hAnsi="宋体"/>
          <w:color w:val="auto"/>
          <w:sz w:val="24"/>
          <w:highlight w:val="none"/>
          <w:u w:val="single"/>
        </w:rPr>
        <w:t xml:space="preserve">  90  </w:t>
      </w:r>
      <w:r>
        <w:rPr>
          <w:rFonts w:hint="eastAsia" w:ascii="宋体" w:hAnsi="宋体"/>
          <w:color w:val="auto"/>
          <w:sz w:val="24"/>
          <w:highlight w:val="none"/>
        </w:rPr>
        <w:t>个工作日。</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6.以上事项如有虚假或隐瞒，我方愿意承担一切后果，并不再寻求任何旨在减轻或免除法律责任的辩解。</w:t>
      </w:r>
    </w:p>
    <w:p>
      <w:pPr>
        <w:pStyle w:val="17"/>
        <w:tabs>
          <w:tab w:val="left" w:pos="939"/>
        </w:tabs>
        <w:snapToGrid w:val="0"/>
        <w:spacing w:line="360" w:lineRule="auto"/>
        <w:ind w:left="480" w:leftChars="0" w:hanging="480"/>
        <w:rPr>
          <w:rFonts w:ascii="宋体" w:hAnsi="宋体"/>
          <w:color w:val="auto"/>
          <w:sz w:val="24"/>
          <w:highlight w:val="none"/>
        </w:rPr>
      </w:pPr>
    </w:p>
    <w:p>
      <w:pPr>
        <w:pStyle w:val="17"/>
        <w:tabs>
          <w:tab w:val="left" w:pos="939"/>
        </w:tabs>
        <w:snapToGrid w:val="0"/>
        <w:spacing w:line="360" w:lineRule="auto"/>
        <w:ind w:left="480" w:leftChars="0" w:hanging="480"/>
        <w:rPr>
          <w:rFonts w:ascii="宋体" w:hAnsi="宋体"/>
          <w:color w:val="auto"/>
          <w:sz w:val="24"/>
          <w:highlight w:val="none"/>
        </w:rPr>
      </w:pPr>
    </w:p>
    <w:p>
      <w:pPr>
        <w:snapToGrid w:val="0"/>
        <w:spacing w:line="360" w:lineRule="auto"/>
        <w:rPr>
          <w:rFonts w:ascii="宋体" w:hAnsi="宋体"/>
          <w:color w:val="auto"/>
          <w:sz w:val="24"/>
          <w:highlight w:val="none"/>
          <w:u w:val="single"/>
        </w:rPr>
      </w:pPr>
      <w:r>
        <w:rPr>
          <w:rFonts w:hint="eastAsia" w:ascii="宋体" w:hAnsi="宋体"/>
          <w:color w:val="auto"/>
          <w:sz w:val="24"/>
          <w:highlight w:val="none"/>
        </w:rPr>
        <w:t>法定代表人签字：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p>
    <w:p>
      <w:pPr>
        <w:snapToGrid w:val="0"/>
        <w:spacing w:line="360" w:lineRule="auto"/>
        <w:ind w:firstLine="200"/>
        <w:rPr>
          <w:rFonts w:ascii="宋体" w:hAnsi="宋体"/>
          <w:color w:val="auto"/>
          <w:sz w:val="24"/>
          <w:highlight w:val="none"/>
          <w:u w:val="single"/>
        </w:rPr>
      </w:pPr>
    </w:p>
    <w:p>
      <w:pPr>
        <w:snapToGrid w:val="0"/>
        <w:spacing w:line="360" w:lineRule="auto"/>
        <w:rPr>
          <w:rFonts w:ascii="宋体" w:hAnsi="宋体"/>
          <w:color w:val="auto"/>
          <w:sz w:val="24"/>
          <w:highlight w:val="none"/>
        </w:rPr>
      </w:pPr>
      <w:r>
        <w:rPr>
          <w:rFonts w:hint="eastAsia" w:ascii="宋体" w:hAnsi="宋体"/>
          <w:color w:val="auto"/>
          <w:sz w:val="24"/>
          <w:highlight w:val="none"/>
        </w:rPr>
        <w:t>单位全称（公章）：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tabs>
          <w:tab w:val="left" w:pos="606"/>
        </w:tabs>
        <w:rPr>
          <w:rFonts w:hint="eastAsia" w:ascii="宋体" w:hAnsi="宋体"/>
          <w:color w:val="auto"/>
          <w:sz w:val="24"/>
          <w:highlight w:val="none"/>
        </w:rPr>
      </w:pPr>
    </w:p>
    <w:p>
      <w:pPr>
        <w:adjustRightInd w:val="0"/>
        <w:snapToGrid w:val="0"/>
        <w:ind w:firstLine="0" w:firstLineChars="0"/>
        <w:rPr>
          <w:rFonts w:hint="eastAsia" w:ascii="宋体" w:hAnsi="宋体" w:cs="宋体"/>
          <w:b/>
          <w:bCs/>
          <w:color w:val="auto"/>
          <w:highlight w:val="none"/>
        </w:rPr>
      </w:pPr>
    </w:p>
    <w:p>
      <w:pPr>
        <w:adjustRightInd w:val="0"/>
        <w:snapToGrid w:val="0"/>
        <w:ind w:firstLine="0" w:firstLineChars="0"/>
        <w:rPr>
          <w:rFonts w:hint="eastAsia" w:ascii="宋体" w:hAnsi="宋体" w:cs="宋体"/>
          <w:b/>
          <w:bCs/>
          <w:color w:val="auto"/>
          <w:highlight w:val="none"/>
        </w:rPr>
      </w:pPr>
    </w:p>
    <w:p>
      <w:pPr>
        <w:adjustRightInd w:val="0"/>
        <w:snapToGrid w:val="0"/>
        <w:ind w:firstLine="0" w:firstLineChars="0"/>
        <w:rPr>
          <w:rFonts w:hint="eastAsia" w:ascii="宋体" w:hAnsi="宋体" w:cs="宋体"/>
          <w:b/>
          <w:bCs/>
          <w:color w:val="auto"/>
          <w:highlight w:val="none"/>
        </w:rPr>
      </w:pPr>
    </w:p>
    <w:p>
      <w:pPr>
        <w:adjustRightInd w:val="0"/>
        <w:snapToGrid w:val="0"/>
        <w:ind w:firstLine="0" w:firstLineChars="0"/>
        <w:rPr>
          <w:rFonts w:hint="eastAsia" w:ascii="宋体" w:hAnsi="宋体" w:cs="宋体"/>
          <w:b/>
          <w:bCs/>
          <w:color w:val="auto"/>
          <w:highlight w:val="none"/>
        </w:rPr>
      </w:pPr>
    </w:p>
    <w:p>
      <w:pPr>
        <w:adjustRightInd w:val="0"/>
        <w:snapToGrid w:val="0"/>
        <w:ind w:firstLine="0" w:firstLineChars="0"/>
        <w:rPr>
          <w:rFonts w:hint="eastAsia" w:ascii="宋体" w:hAnsi="宋体" w:cs="宋体"/>
          <w:b/>
          <w:bCs/>
          <w:color w:val="auto"/>
          <w:highlight w:val="none"/>
        </w:rPr>
      </w:pPr>
    </w:p>
    <w:p>
      <w:pPr>
        <w:adjustRightInd w:val="0"/>
        <w:snapToGrid w:val="0"/>
        <w:ind w:firstLine="0" w:firstLineChars="0"/>
        <w:rPr>
          <w:rFonts w:hint="eastAsia" w:ascii="宋体" w:hAnsi="宋体" w:cs="宋体"/>
          <w:b/>
          <w:bCs/>
          <w:color w:val="auto"/>
          <w:highlight w:val="none"/>
        </w:rPr>
      </w:pPr>
    </w:p>
    <w:p>
      <w:pPr>
        <w:adjustRightInd w:val="0"/>
        <w:snapToGrid w:val="0"/>
        <w:ind w:firstLine="0" w:firstLineChars="0"/>
        <w:rPr>
          <w:rFonts w:hint="eastAsia" w:ascii="宋体" w:hAnsi="宋体" w:cs="宋体"/>
          <w:b/>
          <w:bCs/>
          <w:color w:val="auto"/>
          <w:highlight w:val="none"/>
        </w:rPr>
      </w:pPr>
    </w:p>
    <w:p>
      <w:pPr>
        <w:adjustRightInd w:val="0"/>
        <w:snapToGrid w:val="0"/>
        <w:ind w:firstLine="0" w:firstLineChars="0"/>
        <w:rPr>
          <w:rFonts w:hint="eastAsia" w:ascii="宋体" w:hAnsi="宋体" w:cs="宋体"/>
          <w:b/>
          <w:bCs/>
          <w:color w:val="auto"/>
          <w:highlight w:val="none"/>
        </w:rPr>
      </w:pPr>
    </w:p>
    <w:p>
      <w:pPr>
        <w:adjustRightInd w:val="0"/>
        <w:snapToGrid w:val="0"/>
        <w:ind w:firstLine="0" w:firstLineChars="0"/>
        <w:rPr>
          <w:rFonts w:ascii="宋体" w:cs="宋体"/>
          <w:b/>
          <w:bCs/>
          <w:color w:val="auto"/>
          <w:highlight w:val="none"/>
        </w:rPr>
      </w:pPr>
      <w:r>
        <w:rPr>
          <w:rFonts w:hint="eastAsia" w:ascii="宋体" w:hAnsi="宋体" w:cs="宋体"/>
          <w:b/>
          <w:bCs/>
          <w:color w:val="auto"/>
          <w:highlight w:val="none"/>
        </w:rPr>
        <w:t>附件</w:t>
      </w:r>
    </w:p>
    <w:p>
      <w:pPr>
        <w:adjustRightInd w:val="0"/>
        <w:snapToGrid w:val="0"/>
        <w:ind w:firstLine="0" w:firstLineChars="0"/>
        <w:jc w:val="left"/>
        <w:rPr>
          <w:rFonts w:ascii="宋体" w:cs="宋体"/>
          <w:b/>
          <w:bCs/>
          <w:color w:val="auto"/>
          <w:highlight w:val="none"/>
        </w:rPr>
      </w:pPr>
    </w:p>
    <w:p>
      <w:pPr>
        <w:adjustRightInd w:val="0"/>
        <w:snapToGrid w:val="0"/>
        <w:spacing w:line="480" w:lineRule="auto"/>
        <w:ind w:firstLine="0" w:firstLineChars="0"/>
        <w:jc w:val="center"/>
        <w:rPr>
          <w:rFonts w:ascii="宋体" w:cs="宋体"/>
          <w:color w:val="auto"/>
          <w:sz w:val="32"/>
          <w:szCs w:val="32"/>
          <w:highlight w:val="none"/>
        </w:rPr>
      </w:pPr>
      <w:r>
        <w:rPr>
          <w:rFonts w:hint="eastAsia" w:ascii="宋体" w:hAnsi="宋体" w:cs="宋体"/>
          <w:b/>
          <w:color w:val="auto"/>
          <w:sz w:val="30"/>
          <w:szCs w:val="30"/>
          <w:highlight w:val="none"/>
          <w:lang w:val="en-GB"/>
        </w:rPr>
        <w:t>授权委托书</w:t>
      </w:r>
    </w:p>
    <w:p>
      <w:pPr>
        <w:snapToGrid w:val="0"/>
        <w:spacing w:line="480" w:lineRule="auto"/>
        <w:ind w:firstLine="482"/>
        <w:rPr>
          <w:b/>
          <w:color w:val="auto"/>
          <w:highlight w:val="none"/>
        </w:rPr>
      </w:pPr>
    </w:p>
    <w:p>
      <w:pPr>
        <w:spacing w:line="480" w:lineRule="auto"/>
        <w:ind w:firstLine="480"/>
        <w:rPr>
          <w:color w:val="auto"/>
          <w:highlight w:val="none"/>
          <w:lang w:val="zh-CN"/>
        </w:rPr>
      </w:pPr>
      <w:r>
        <w:rPr>
          <w:rFonts w:hint="eastAsia"/>
          <w:color w:val="auto"/>
          <w:highlight w:val="none"/>
          <w:lang w:val="zh-CN"/>
        </w:rPr>
        <w:t>本人</w:t>
      </w:r>
      <w:r>
        <w:rPr>
          <w:color w:val="auto"/>
          <w:highlight w:val="none"/>
          <w:lang w:val="zh-CN"/>
        </w:rPr>
        <w:t xml:space="preserve"> </w:t>
      </w:r>
      <w:r>
        <w:rPr>
          <w:color w:val="auto"/>
          <w:highlight w:val="none"/>
          <w:u w:val="single"/>
          <w:lang w:val="zh-CN"/>
        </w:rPr>
        <w:t xml:space="preserve">  </w:t>
      </w:r>
      <w:r>
        <w:rPr>
          <w:rFonts w:hint="eastAsia"/>
          <w:color w:val="auto"/>
          <w:highlight w:val="none"/>
          <w:u w:val="single"/>
          <w:lang w:val="zh-CN"/>
        </w:rPr>
        <w:t>（姓名）</w:t>
      </w:r>
      <w:r>
        <w:rPr>
          <w:color w:val="auto"/>
          <w:highlight w:val="none"/>
          <w:u w:val="single"/>
          <w:lang w:val="zh-CN"/>
        </w:rPr>
        <w:t xml:space="preserve">  </w:t>
      </w:r>
      <w:r>
        <w:rPr>
          <w:rFonts w:hint="eastAsia"/>
          <w:color w:val="auto"/>
          <w:highlight w:val="none"/>
          <w:lang w:val="zh-CN"/>
        </w:rPr>
        <w:t>系</w:t>
      </w:r>
      <w:r>
        <w:rPr>
          <w:color w:val="auto"/>
          <w:highlight w:val="none"/>
          <w:u w:val="single"/>
          <w:lang w:val="zh-CN"/>
        </w:rPr>
        <w:t xml:space="preserve">        </w:t>
      </w:r>
      <w:r>
        <w:rPr>
          <w:rFonts w:hint="eastAsia"/>
          <w:color w:val="auto"/>
          <w:highlight w:val="none"/>
          <w:u w:val="single"/>
          <w:lang w:val="zh-CN"/>
        </w:rPr>
        <w:t>（投标人名称）</w:t>
      </w:r>
      <w:r>
        <w:rPr>
          <w:color w:val="auto"/>
          <w:highlight w:val="none"/>
          <w:u w:val="single"/>
          <w:lang w:val="zh-CN"/>
        </w:rPr>
        <w:t xml:space="preserve">      </w:t>
      </w:r>
      <w:r>
        <w:rPr>
          <w:rFonts w:hint="eastAsia"/>
          <w:color w:val="auto"/>
          <w:highlight w:val="none"/>
          <w:lang w:val="zh-CN"/>
        </w:rPr>
        <w:t>的法定代表人，现授权</w:t>
      </w:r>
      <w:r>
        <w:rPr>
          <w:color w:val="auto"/>
          <w:highlight w:val="none"/>
          <w:u w:val="single"/>
          <w:lang w:val="zh-CN"/>
        </w:rPr>
        <w:t xml:space="preserve"> </w:t>
      </w:r>
      <w:r>
        <w:rPr>
          <w:rFonts w:hint="eastAsia"/>
          <w:color w:val="auto"/>
          <w:highlight w:val="none"/>
          <w:u w:val="single"/>
          <w:lang w:val="zh-CN"/>
        </w:rPr>
        <w:t xml:space="preserve">（姓名） </w:t>
      </w:r>
      <w:r>
        <w:rPr>
          <w:color w:val="auto"/>
          <w:highlight w:val="none"/>
          <w:u w:val="single"/>
          <w:lang w:val="zh-CN"/>
        </w:rPr>
        <w:t xml:space="preserve">  </w:t>
      </w:r>
      <w:r>
        <w:rPr>
          <w:rFonts w:hint="eastAsia"/>
          <w:color w:val="auto"/>
          <w:highlight w:val="none"/>
          <w:u w:val="single"/>
          <w:lang w:val="zh-CN"/>
        </w:rPr>
        <w:t>（</w:t>
      </w:r>
      <w:r>
        <w:rPr>
          <w:color w:val="auto"/>
          <w:highlight w:val="none"/>
          <w:u w:val="single"/>
          <w:lang w:val="zh-CN"/>
        </w:rPr>
        <w:t xml:space="preserve">   </w:t>
      </w:r>
      <w:r>
        <w:rPr>
          <w:rFonts w:hint="eastAsia"/>
          <w:color w:val="auto"/>
          <w:highlight w:val="none"/>
          <w:u w:val="single"/>
          <w:lang w:val="zh-CN"/>
        </w:rPr>
        <w:t>身份证号码</w:t>
      </w:r>
      <w:r>
        <w:rPr>
          <w:color w:val="auto"/>
          <w:highlight w:val="none"/>
          <w:u w:val="single"/>
          <w:lang w:val="zh-CN"/>
        </w:rPr>
        <w:t xml:space="preserve">   </w:t>
      </w:r>
      <w:r>
        <w:rPr>
          <w:rFonts w:hint="eastAsia"/>
          <w:color w:val="auto"/>
          <w:highlight w:val="none"/>
          <w:u w:val="single"/>
          <w:lang w:val="zh-CN"/>
        </w:rPr>
        <w:t xml:space="preserve">） </w:t>
      </w:r>
      <w:r>
        <w:rPr>
          <w:rFonts w:hint="eastAsia"/>
          <w:color w:val="auto"/>
          <w:highlight w:val="none"/>
          <w:lang w:val="zh-CN"/>
        </w:rPr>
        <w:t>为我方代理人。授权代理人根据授权对</w:t>
      </w:r>
      <w:r>
        <w:rPr>
          <w:color w:val="auto"/>
          <w:highlight w:val="none"/>
          <w:u w:val="single"/>
          <w:lang w:val="zh-CN"/>
        </w:rPr>
        <w:t xml:space="preserve">      </w:t>
      </w:r>
      <w:r>
        <w:rPr>
          <w:rFonts w:hint="eastAsia"/>
          <w:color w:val="auto"/>
          <w:highlight w:val="none"/>
          <w:u w:val="single"/>
          <w:lang w:val="zh-CN"/>
        </w:rPr>
        <w:t xml:space="preserve">（项目名称） </w:t>
      </w:r>
      <w:r>
        <w:rPr>
          <w:color w:val="auto"/>
          <w:highlight w:val="none"/>
          <w:u w:val="single"/>
          <w:lang w:val="zh-CN"/>
        </w:rPr>
        <w:t xml:space="preserve">   </w:t>
      </w:r>
      <w:r>
        <w:rPr>
          <w:rFonts w:hint="eastAsia"/>
          <w:color w:val="auto"/>
          <w:highlight w:val="none"/>
          <w:u w:val="single"/>
          <w:lang w:val="zh-CN"/>
        </w:rPr>
        <w:t>投</w:t>
      </w:r>
      <w:r>
        <w:rPr>
          <w:rFonts w:hint="eastAsia"/>
          <w:color w:val="auto"/>
          <w:highlight w:val="none"/>
          <w:lang w:val="zh-CN"/>
        </w:rPr>
        <w:t>标，以我方名义签署、澄清、说明、补正、提交、撤回、修改投标文件，签订合同和处理有关事宜，其法律后果由我方承担。</w:t>
      </w:r>
    </w:p>
    <w:p>
      <w:pPr>
        <w:spacing w:line="480" w:lineRule="auto"/>
        <w:ind w:firstLine="480"/>
        <w:rPr>
          <w:color w:val="auto"/>
          <w:highlight w:val="none"/>
          <w:lang w:val="zh-CN"/>
        </w:rPr>
      </w:pPr>
    </w:p>
    <w:p>
      <w:pPr>
        <w:spacing w:line="480" w:lineRule="auto"/>
        <w:ind w:firstLine="480"/>
        <w:rPr>
          <w:color w:val="auto"/>
          <w:highlight w:val="none"/>
          <w:lang w:val="zh-CN"/>
        </w:rPr>
      </w:pPr>
      <w:r>
        <w:rPr>
          <w:rFonts w:hint="eastAsia"/>
          <w:color w:val="auto"/>
          <w:highlight w:val="none"/>
          <w:lang w:val="zh-CN"/>
        </w:rPr>
        <w:t>委托期限：</w:t>
      </w:r>
      <w:r>
        <w:rPr>
          <w:rFonts w:hint="eastAsia" w:ascii="宋体" w:hAnsi="宋体" w:eastAsia="宋体" w:cs="宋体"/>
          <w:color w:val="auto"/>
          <w:highlight w:val="none"/>
          <w:lang w:val="zh-CN"/>
        </w:rPr>
        <w:t>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年  月  日—202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年  月  日止</w:t>
      </w:r>
    </w:p>
    <w:p>
      <w:pPr>
        <w:spacing w:line="480" w:lineRule="auto"/>
        <w:ind w:firstLine="480"/>
        <w:rPr>
          <w:color w:val="auto"/>
          <w:highlight w:val="none"/>
          <w:lang w:val="zh-CN"/>
        </w:rPr>
      </w:pPr>
      <w:r>
        <w:rPr>
          <w:rFonts w:hint="eastAsia"/>
          <w:color w:val="auto"/>
          <w:highlight w:val="none"/>
          <w:lang w:val="zh-CN"/>
        </w:rPr>
        <w:t>授权代理人无转委托权。</w:t>
      </w:r>
    </w:p>
    <w:p>
      <w:pPr>
        <w:snapToGrid w:val="0"/>
        <w:spacing w:line="312" w:lineRule="auto"/>
        <w:ind w:firstLine="480"/>
        <w:rPr>
          <w:color w:val="auto"/>
          <w:highlight w:val="none"/>
          <w:lang w:val="zh-CN"/>
        </w:rPr>
      </w:pPr>
    </w:p>
    <w:p>
      <w:pPr>
        <w:snapToGrid w:val="0"/>
        <w:spacing w:line="312" w:lineRule="auto"/>
        <w:ind w:firstLine="480"/>
        <w:rPr>
          <w:color w:val="auto"/>
          <w:highlight w:val="none"/>
          <w:lang w:val="zh-CN"/>
        </w:rPr>
      </w:pPr>
    </w:p>
    <w:p>
      <w:pPr>
        <w:snapToGrid w:val="0"/>
        <w:spacing w:line="312" w:lineRule="auto"/>
        <w:ind w:firstLine="480"/>
        <w:rPr>
          <w:color w:val="auto"/>
          <w:highlight w:val="none"/>
          <w:lang w:val="zh-CN"/>
        </w:rPr>
      </w:pPr>
    </w:p>
    <w:p>
      <w:pPr>
        <w:snapToGrid w:val="0"/>
        <w:spacing w:line="312" w:lineRule="auto"/>
        <w:ind w:firstLine="0" w:firstLineChars="0"/>
        <w:rPr>
          <w:color w:val="auto"/>
          <w:highlight w:val="none"/>
          <w:lang w:val="zh-CN"/>
        </w:rPr>
      </w:pPr>
    </w:p>
    <w:p>
      <w:pPr>
        <w:snapToGrid w:val="0"/>
        <w:spacing w:line="312" w:lineRule="auto"/>
        <w:ind w:firstLine="0" w:firstLineChars="0"/>
        <w:rPr>
          <w:color w:val="auto"/>
          <w:highlight w:val="none"/>
          <w:lang w:val="zh-CN"/>
        </w:rPr>
      </w:pPr>
    </w:p>
    <w:p>
      <w:pPr>
        <w:snapToGrid w:val="0"/>
        <w:spacing w:line="312" w:lineRule="auto"/>
        <w:ind w:firstLine="480"/>
        <w:rPr>
          <w:color w:val="auto"/>
          <w:highlight w:val="none"/>
          <w:lang w:val="zh-CN"/>
        </w:rPr>
      </w:pPr>
    </w:p>
    <w:p>
      <w:pPr>
        <w:adjustRightInd w:val="0"/>
        <w:snapToGrid w:val="0"/>
        <w:spacing w:line="360" w:lineRule="auto"/>
        <w:ind w:firstLine="4080" w:firstLineChars="1700"/>
        <w:textAlignment w:val="baseline"/>
        <w:rPr>
          <w:color w:val="auto"/>
          <w:highlight w:val="none"/>
        </w:rPr>
      </w:pPr>
      <w:r>
        <w:rPr>
          <w:rFonts w:hint="eastAsia"/>
          <w:color w:val="auto"/>
          <w:highlight w:val="none"/>
        </w:rPr>
        <w:t>投标人名称（盖章）：</w:t>
      </w:r>
      <w:r>
        <w:rPr>
          <w:color w:val="auto"/>
          <w:highlight w:val="none"/>
          <w:u w:val="single"/>
        </w:rPr>
        <w:t xml:space="preserve">                   </w:t>
      </w:r>
    </w:p>
    <w:p>
      <w:pPr>
        <w:adjustRightInd w:val="0"/>
        <w:snapToGrid w:val="0"/>
        <w:spacing w:line="360" w:lineRule="auto"/>
        <w:ind w:firstLine="4080" w:firstLineChars="1700"/>
        <w:textAlignment w:val="baseline"/>
        <w:rPr>
          <w:color w:val="auto"/>
          <w:highlight w:val="none"/>
          <w:u w:val="single"/>
        </w:rPr>
      </w:pPr>
      <w:r>
        <w:rPr>
          <w:rFonts w:hint="eastAsia"/>
          <w:color w:val="auto"/>
          <w:highlight w:val="none"/>
        </w:rPr>
        <w:t>法定代表人（签字）：</w:t>
      </w:r>
      <w:r>
        <w:rPr>
          <w:color w:val="auto"/>
          <w:highlight w:val="none"/>
          <w:u w:val="single"/>
        </w:rPr>
        <w:t xml:space="preserve">                   </w:t>
      </w:r>
    </w:p>
    <w:p>
      <w:pPr>
        <w:adjustRightInd w:val="0"/>
        <w:snapToGrid w:val="0"/>
        <w:spacing w:line="360" w:lineRule="auto"/>
        <w:ind w:firstLine="4080" w:firstLineChars="1700"/>
        <w:textAlignment w:val="baseline"/>
        <w:rPr>
          <w:color w:val="auto"/>
          <w:highlight w:val="none"/>
        </w:rPr>
      </w:pPr>
      <w:r>
        <w:rPr>
          <w:rFonts w:hint="eastAsia"/>
          <w:color w:val="auto"/>
          <w:highlight w:val="none"/>
        </w:rPr>
        <w:t>授权代理人（签字）：</w:t>
      </w:r>
      <w:r>
        <w:rPr>
          <w:color w:val="auto"/>
          <w:highlight w:val="none"/>
          <w:u w:val="single"/>
        </w:rPr>
        <w:t xml:space="preserve">                   </w:t>
      </w:r>
    </w:p>
    <w:p>
      <w:pPr>
        <w:widowControl/>
        <w:adjustRightInd w:val="0"/>
        <w:snapToGrid w:val="0"/>
        <w:spacing w:line="360" w:lineRule="auto"/>
        <w:ind w:firstLine="4080" w:firstLineChars="1700"/>
        <w:rPr>
          <w:color w:val="auto"/>
          <w:highlight w:val="none"/>
          <w:lang w:val="zh-CN"/>
        </w:rPr>
      </w:pPr>
      <w:r>
        <w:rPr>
          <w:rFonts w:hint="eastAsia"/>
          <w:color w:val="auto"/>
          <w:highlight w:val="none"/>
        </w:rPr>
        <w:t>日期：</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年   月   日</w:t>
      </w:r>
    </w:p>
    <w:p>
      <w:pPr>
        <w:tabs>
          <w:tab w:val="left" w:pos="1575"/>
        </w:tabs>
        <w:snapToGrid w:val="0"/>
        <w:ind w:firstLine="480"/>
        <w:rPr>
          <w:color w:val="auto"/>
          <w:highlight w:val="none"/>
          <w:lang w:val="zh-CN"/>
        </w:rPr>
      </w:pPr>
    </w:p>
    <w:p>
      <w:pPr>
        <w:spacing w:line="360" w:lineRule="auto"/>
        <w:ind w:firstLine="480"/>
        <w:rPr>
          <w:rFonts w:hint="eastAsia" w:ascii="宋体" w:cs="宋体"/>
          <w:color w:val="auto"/>
          <w:sz w:val="20"/>
          <w:highlight w:val="none"/>
        </w:rPr>
      </w:pPr>
      <w:r>
        <w:rPr>
          <w:rFonts w:hint="eastAsia" w:ascii="宋体" w:hAnsi="宋体" w:cs="宋体"/>
          <w:color w:val="auto"/>
          <w:szCs w:val="28"/>
          <w:highlight w:val="none"/>
        </w:rPr>
        <w:t>注：后附法定代表人和授权代理人的双面身份证复印件，若是法定代表人参加投标的及签署投标文件的则不需提供该授权书。</w:t>
      </w:r>
    </w:p>
    <w:p>
      <w:pPr>
        <w:ind w:firstLine="0" w:firstLineChars="0"/>
        <w:rPr>
          <w:rFonts w:ascii="宋体" w:hAnsi="宋体" w:cs="宋体"/>
          <w:b/>
          <w:bCs/>
          <w:color w:val="auto"/>
          <w:highlight w:val="none"/>
        </w:rPr>
      </w:pPr>
      <w:bookmarkStart w:id="227" w:name="_Toc19180_WPSOffice_Level1"/>
      <w:bookmarkStart w:id="228" w:name="_Toc29482_WPSOffice_Level1"/>
      <w:bookmarkStart w:id="229" w:name="_Toc32433_WPSOffice_Level1"/>
    </w:p>
    <w:p>
      <w:pPr>
        <w:ind w:firstLine="0" w:firstLineChars="0"/>
        <w:rPr>
          <w:rFonts w:hint="eastAsia" w:ascii="宋体" w:hAnsi="宋体" w:cs="宋体"/>
          <w:b/>
          <w:bCs/>
          <w:color w:val="auto"/>
          <w:highlight w:val="none"/>
        </w:rPr>
      </w:pPr>
    </w:p>
    <w:p>
      <w:pPr>
        <w:pStyle w:val="14"/>
        <w:rPr>
          <w:rFonts w:hint="eastAsia"/>
          <w:color w:val="auto"/>
          <w:highlight w:val="none"/>
        </w:rPr>
      </w:pPr>
    </w:p>
    <w:p>
      <w:pPr>
        <w:ind w:firstLine="0" w:firstLineChars="0"/>
        <w:rPr>
          <w:rFonts w:ascii="宋体" w:hAnsi="宋体" w:cs="宋体"/>
          <w:b/>
          <w:bCs/>
          <w:color w:val="auto"/>
          <w:highlight w:val="none"/>
        </w:rPr>
      </w:pPr>
      <w:r>
        <w:rPr>
          <w:rFonts w:hint="eastAsia" w:ascii="宋体" w:hAnsi="宋体" w:cs="宋体"/>
          <w:b/>
          <w:bCs/>
          <w:color w:val="auto"/>
          <w:highlight w:val="none"/>
        </w:rPr>
        <w:t xml:space="preserve">附件           </w:t>
      </w:r>
    </w:p>
    <w:p>
      <w:pPr>
        <w:spacing w:line="360" w:lineRule="auto"/>
        <w:ind w:firstLine="0" w:firstLineChars="0"/>
        <w:jc w:val="center"/>
        <w:rPr>
          <w:rFonts w:ascii="宋体" w:cs="宋体"/>
          <w:b/>
          <w:color w:val="auto"/>
          <w:sz w:val="32"/>
          <w:szCs w:val="32"/>
          <w:highlight w:val="none"/>
        </w:rPr>
      </w:pPr>
      <w:r>
        <w:rPr>
          <w:rFonts w:hint="eastAsia" w:ascii="宋体" w:hAnsi="宋体" w:cs="宋体"/>
          <w:b/>
          <w:color w:val="auto"/>
          <w:sz w:val="32"/>
          <w:szCs w:val="32"/>
          <w:highlight w:val="none"/>
        </w:rPr>
        <w:t>资 信 及 商</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务</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响</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应</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表</w:t>
      </w:r>
    </w:p>
    <w:p>
      <w:pPr>
        <w:spacing w:line="360" w:lineRule="auto"/>
        <w:ind w:firstLine="480"/>
        <w:rPr>
          <w:rFonts w:ascii="宋体" w:cs="宋体"/>
          <w:color w:val="auto"/>
          <w:highlight w:val="none"/>
          <w:u w:val="single"/>
        </w:rPr>
      </w:pPr>
      <w:r>
        <w:rPr>
          <w:rFonts w:hint="eastAsia" w:ascii="宋体" w:hAnsi="宋体" w:cs="宋体"/>
          <w:color w:val="auto"/>
          <w:highlight w:val="none"/>
        </w:rPr>
        <w:t>单位全称（公章）：</w:t>
      </w:r>
      <w:r>
        <w:rPr>
          <w:rFonts w:ascii="宋体" w:hAnsi="宋体" w:cs="宋体"/>
          <w:color w:val="auto"/>
          <w:highlight w:val="none"/>
        </w:rPr>
        <w:t xml:space="preserve">                 </w:t>
      </w:r>
    </w:p>
    <w:tbl>
      <w:tblPr>
        <w:tblStyle w:val="37"/>
        <w:tblW w:w="0" w:type="auto"/>
        <w:jc w:val="center"/>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2669"/>
        <w:gridCol w:w="2273"/>
        <w:gridCol w:w="2092"/>
        <w:gridCol w:w="2670"/>
      </w:tblGrid>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799" w:hRule="atLeast"/>
          <w:jc w:val="center"/>
        </w:trPr>
        <w:tc>
          <w:tcPr>
            <w:tcW w:w="2669" w:type="dxa"/>
            <w:tcBorders>
              <w:top w:val="thinThickLargeGap"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宋体"/>
                <w:color w:val="auto"/>
                <w:highlight w:val="none"/>
                <w:lang w:eastAsia="zh-CN"/>
              </w:rPr>
            </w:pPr>
            <w:r>
              <w:rPr>
                <w:rFonts w:hint="eastAsia"/>
                <w:color w:val="auto"/>
                <w:highlight w:val="none"/>
                <w:lang w:eastAsia="zh-CN"/>
              </w:rPr>
              <w:t>项目</w:t>
            </w:r>
          </w:p>
        </w:tc>
        <w:tc>
          <w:tcPr>
            <w:tcW w:w="2273" w:type="dxa"/>
            <w:tcBorders>
              <w:top w:val="thinThickLargeGap"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color w:val="auto"/>
                <w:highlight w:val="none"/>
              </w:rPr>
            </w:pPr>
            <w:r>
              <w:rPr>
                <w:rFonts w:hint="eastAsia" w:ascii="宋体" w:hAnsi="宋体"/>
                <w:color w:val="auto"/>
                <w:sz w:val="24"/>
                <w:highlight w:val="none"/>
              </w:rPr>
              <w:t>招标文件要求</w:t>
            </w:r>
          </w:p>
        </w:tc>
        <w:tc>
          <w:tcPr>
            <w:tcW w:w="2092" w:type="dxa"/>
            <w:tcBorders>
              <w:top w:val="thinThickLargeGap"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color w:val="auto"/>
                <w:highlight w:val="none"/>
              </w:rPr>
            </w:pPr>
            <w:r>
              <w:rPr>
                <w:rFonts w:hint="eastAsia" w:ascii="宋体" w:hAnsi="宋体"/>
                <w:color w:val="auto"/>
                <w:sz w:val="24"/>
                <w:highlight w:val="none"/>
              </w:rPr>
              <w:t>是否响应</w:t>
            </w:r>
          </w:p>
        </w:tc>
        <w:tc>
          <w:tcPr>
            <w:tcW w:w="2670" w:type="dxa"/>
            <w:tcBorders>
              <w:top w:val="thinThickLargeGap"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color w:val="auto"/>
                <w:highlight w:val="none"/>
              </w:rPr>
            </w:pPr>
            <w:r>
              <w:rPr>
                <w:rFonts w:hint="eastAsia" w:ascii="宋体" w:hAnsi="宋体"/>
                <w:color w:val="auto"/>
                <w:sz w:val="24"/>
                <w:highlight w:val="none"/>
              </w:rPr>
              <w:t>投标人的承诺或说明</w:t>
            </w: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2669" w:type="dxa"/>
            <w:noWrap w:val="0"/>
            <w:vAlign w:val="center"/>
          </w:tcPr>
          <w:p>
            <w:pPr>
              <w:keepLines w:val="0"/>
              <w:pageBreakBefore w:val="0"/>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服务期</w:t>
            </w:r>
          </w:p>
        </w:tc>
        <w:tc>
          <w:tcPr>
            <w:tcW w:w="2273" w:type="dxa"/>
            <w:noWrap w:val="0"/>
            <w:vAlign w:val="top"/>
          </w:tcPr>
          <w:p>
            <w:pPr>
              <w:spacing w:line="360" w:lineRule="auto"/>
              <w:ind w:firstLine="0" w:firstLineChars="0"/>
              <w:jc w:val="center"/>
              <w:rPr>
                <w:rFonts w:ascii="宋体" w:cs="宋体"/>
                <w:color w:val="auto"/>
                <w:highlight w:val="none"/>
              </w:rPr>
            </w:pPr>
          </w:p>
        </w:tc>
        <w:tc>
          <w:tcPr>
            <w:tcW w:w="2092" w:type="dxa"/>
            <w:noWrap w:val="0"/>
            <w:vAlign w:val="top"/>
          </w:tcPr>
          <w:p>
            <w:pPr>
              <w:spacing w:line="360" w:lineRule="auto"/>
              <w:ind w:firstLine="0" w:firstLineChars="0"/>
              <w:jc w:val="center"/>
              <w:rPr>
                <w:rFonts w:ascii="宋体" w:cs="宋体"/>
                <w:color w:val="auto"/>
                <w:highlight w:val="none"/>
              </w:rPr>
            </w:pPr>
          </w:p>
        </w:tc>
        <w:tc>
          <w:tcPr>
            <w:tcW w:w="2670" w:type="dxa"/>
            <w:noWrap w:val="0"/>
            <w:vAlign w:val="top"/>
          </w:tcPr>
          <w:p>
            <w:pPr>
              <w:spacing w:line="360" w:lineRule="auto"/>
              <w:ind w:firstLine="0" w:firstLineChars="0"/>
              <w:jc w:val="center"/>
              <w:rPr>
                <w:rFonts w:ascii="宋体" w:cs="宋体"/>
                <w:color w:val="auto"/>
                <w:highlight w:val="none"/>
              </w:rPr>
            </w:pP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2669" w:type="dxa"/>
            <w:noWrap w:val="0"/>
            <w:vAlign w:val="center"/>
          </w:tcPr>
          <w:p>
            <w:pPr>
              <w:keepLines w:val="0"/>
              <w:pageBreakBefore w:val="0"/>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服务地点</w:t>
            </w:r>
          </w:p>
        </w:tc>
        <w:tc>
          <w:tcPr>
            <w:tcW w:w="2273" w:type="dxa"/>
            <w:noWrap w:val="0"/>
            <w:vAlign w:val="top"/>
          </w:tcPr>
          <w:p>
            <w:pPr>
              <w:spacing w:line="360" w:lineRule="auto"/>
              <w:ind w:firstLine="0" w:firstLineChars="0"/>
              <w:jc w:val="center"/>
              <w:rPr>
                <w:rFonts w:ascii="宋体" w:cs="宋体"/>
                <w:color w:val="auto"/>
                <w:highlight w:val="none"/>
              </w:rPr>
            </w:pPr>
          </w:p>
        </w:tc>
        <w:tc>
          <w:tcPr>
            <w:tcW w:w="2092" w:type="dxa"/>
            <w:noWrap w:val="0"/>
            <w:vAlign w:val="top"/>
          </w:tcPr>
          <w:p>
            <w:pPr>
              <w:spacing w:line="360" w:lineRule="auto"/>
              <w:ind w:firstLine="0" w:firstLineChars="0"/>
              <w:jc w:val="center"/>
              <w:rPr>
                <w:rFonts w:ascii="宋体" w:cs="宋体"/>
                <w:color w:val="auto"/>
                <w:highlight w:val="none"/>
              </w:rPr>
            </w:pPr>
          </w:p>
        </w:tc>
        <w:tc>
          <w:tcPr>
            <w:tcW w:w="2670" w:type="dxa"/>
            <w:noWrap w:val="0"/>
            <w:vAlign w:val="top"/>
          </w:tcPr>
          <w:p>
            <w:pPr>
              <w:spacing w:line="360" w:lineRule="auto"/>
              <w:ind w:firstLine="0" w:firstLineChars="0"/>
              <w:jc w:val="center"/>
              <w:rPr>
                <w:rFonts w:ascii="宋体" w:cs="宋体"/>
                <w:color w:val="auto"/>
                <w:highlight w:val="none"/>
              </w:rPr>
            </w:pP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2669" w:type="dxa"/>
            <w:noWrap w:val="0"/>
            <w:vAlign w:val="center"/>
          </w:tcPr>
          <w:p>
            <w:pPr>
              <w:keepLines w:val="0"/>
              <w:pageBreakBefore w:val="0"/>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报告单接受和审核</w:t>
            </w:r>
          </w:p>
        </w:tc>
        <w:tc>
          <w:tcPr>
            <w:tcW w:w="2273" w:type="dxa"/>
            <w:noWrap w:val="0"/>
            <w:vAlign w:val="top"/>
          </w:tcPr>
          <w:p>
            <w:pPr>
              <w:spacing w:line="360" w:lineRule="auto"/>
              <w:ind w:firstLine="0" w:firstLineChars="0"/>
              <w:jc w:val="center"/>
              <w:rPr>
                <w:rFonts w:ascii="宋体" w:cs="宋体"/>
                <w:color w:val="auto"/>
                <w:highlight w:val="none"/>
              </w:rPr>
            </w:pPr>
          </w:p>
        </w:tc>
        <w:tc>
          <w:tcPr>
            <w:tcW w:w="2092" w:type="dxa"/>
            <w:noWrap w:val="0"/>
            <w:vAlign w:val="top"/>
          </w:tcPr>
          <w:p>
            <w:pPr>
              <w:spacing w:line="360" w:lineRule="auto"/>
              <w:ind w:firstLine="0" w:firstLineChars="0"/>
              <w:jc w:val="center"/>
              <w:rPr>
                <w:rFonts w:ascii="宋体" w:cs="宋体"/>
                <w:color w:val="auto"/>
                <w:highlight w:val="none"/>
              </w:rPr>
            </w:pPr>
          </w:p>
        </w:tc>
        <w:tc>
          <w:tcPr>
            <w:tcW w:w="2670" w:type="dxa"/>
            <w:noWrap w:val="0"/>
            <w:vAlign w:val="top"/>
          </w:tcPr>
          <w:p>
            <w:pPr>
              <w:spacing w:line="360" w:lineRule="auto"/>
              <w:ind w:firstLine="0" w:firstLineChars="0"/>
              <w:jc w:val="center"/>
              <w:rPr>
                <w:rFonts w:ascii="宋体" w:cs="宋体"/>
                <w:color w:val="auto"/>
                <w:highlight w:val="none"/>
              </w:rPr>
            </w:pP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141" w:hRule="atLeast"/>
          <w:jc w:val="center"/>
        </w:trPr>
        <w:tc>
          <w:tcPr>
            <w:tcW w:w="2669" w:type="dxa"/>
            <w:noWrap w:val="0"/>
            <w:vAlign w:val="center"/>
          </w:tcPr>
          <w:p>
            <w:pPr>
              <w:keepLines w:val="0"/>
              <w:pageBreakBefore w:val="0"/>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结算依据</w:t>
            </w:r>
          </w:p>
        </w:tc>
        <w:tc>
          <w:tcPr>
            <w:tcW w:w="2273" w:type="dxa"/>
            <w:noWrap w:val="0"/>
            <w:vAlign w:val="top"/>
          </w:tcPr>
          <w:p>
            <w:pPr>
              <w:spacing w:line="360" w:lineRule="auto"/>
              <w:ind w:firstLine="0" w:firstLineChars="0"/>
              <w:jc w:val="center"/>
              <w:rPr>
                <w:rFonts w:ascii="宋体" w:cs="宋体"/>
                <w:color w:val="auto"/>
                <w:highlight w:val="none"/>
              </w:rPr>
            </w:pPr>
          </w:p>
        </w:tc>
        <w:tc>
          <w:tcPr>
            <w:tcW w:w="2092" w:type="dxa"/>
            <w:noWrap w:val="0"/>
            <w:vAlign w:val="top"/>
          </w:tcPr>
          <w:p>
            <w:pPr>
              <w:spacing w:line="360" w:lineRule="auto"/>
              <w:ind w:firstLine="0" w:firstLineChars="0"/>
              <w:jc w:val="center"/>
              <w:rPr>
                <w:rFonts w:ascii="宋体" w:cs="宋体"/>
                <w:color w:val="auto"/>
                <w:highlight w:val="none"/>
              </w:rPr>
            </w:pPr>
          </w:p>
        </w:tc>
        <w:tc>
          <w:tcPr>
            <w:tcW w:w="2670" w:type="dxa"/>
            <w:noWrap w:val="0"/>
            <w:vAlign w:val="top"/>
          </w:tcPr>
          <w:p>
            <w:pPr>
              <w:spacing w:line="360" w:lineRule="auto"/>
              <w:ind w:firstLine="0" w:firstLineChars="0"/>
              <w:jc w:val="center"/>
              <w:rPr>
                <w:rFonts w:ascii="宋体" w:cs="宋体"/>
                <w:color w:val="auto"/>
                <w:highlight w:val="none"/>
              </w:rPr>
            </w:pP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2669" w:type="dxa"/>
            <w:noWrap w:val="0"/>
            <w:vAlign w:val="center"/>
          </w:tcPr>
          <w:p>
            <w:pPr>
              <w:keepLines w:val="0"/>
              <w:pageBreakBefore w:val="0"/>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付款方式</w:t>
            </w:r>
          </w:p>
        </w:tc>
        <w:tc>
          <w:tcPr>
            <w:tcW w:w="2273" w:type="dxa"/>
            <w:noWrap w:val="0"/>
            <w:vAlign w:val="top"/>
          </w:tcPr>
          <w:p>
            <w:pPr>
              <w:spacing w:line="360" w:lineRule="auto"/>
              <w:ind w:firstLine="0" w:firstLineChars="0"/>
              <w:jc w:val="center"/>
              <w:rPr>
                <w:rFonts w:ascii="宋体" w:cs="宋体"/>
                <w:color w:val="auto"/>
                <w:highlight w:val="none"/>
              </w:rPr>
            </w:pPr>
          </w:p>
        </w:tc>
        <w:tc>
          <w:tcPr>
            <w:tcW w:w="2092" w:type="dxa"/>
            <w:noWrap w:val="0"/>
            <w:vAlign w:val="top"/>
          </w:tcPr>
          <w:p>
            <w:pPr>
              <w:spacing w:line="360" w:lineRule="auto"/>
              <w:ind w:firstLine="0" w:firstLineChars="0"/>
              <w:jc w:val="center"/>
              <w:rPr>
                <w:rFonts w:ascii="宋体" w:cs="宋体"/>
                <w:color w:val="auto"/>
                <w:highlight w:val="none"/>
              </w:rPr>
            </w:pPr>
          </w:p>
        </w:tc>
        <w:tc>
          <w:tcPr>
            <w:tcW w:w="2670" w:type="dxa"/>
            <w:noWrap w:val="0"/>
            <w:vAlign w:val="top"/>
          </w:tcPr>
          <w:p>
            <w:pPr>
              <w:spacing w:line="360" w:lineRule="auto"/>
              <w:ind w:firstLine="0" w:firstLineChars="0"/>
              <w:jc w:val="center"/>
              <w:rPr>
                <w:rFonts w:ascii="宋体" w:cs="宋体"/>
                <w:color w:val="auto"/>
                <w:highlight w:val="none"/>
              </w:rPr>
            </w:pP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243" w:hRule="atLeast"/>
          <w:jc w:val="center"/>
        </w:trPr>
        <w:tc>
          <w:tcPr>
            <w:tcW w:w="2669" w:type="dxa"/>
            <w:noWrap w:val="0"/>
            <w:vAlign w:val="center"/>
          </w:tcPr>
          <w:p>
            <w:pPr>
              <w:keepLines w:val="0"/>
              <w:pageBreakBefore w:val="0"/>
              <w:widowControl/>
              <w:kinsoku/>
              <w:wordWrap/>
              <w:overflowPunct/>
              <w:topLinePunct w:val="0"/>
              <w:autoSpaceDE/>
              <w:autoSpaceDN/>
              <w:bidi w:val="0"/>
              <w:adjustRightInd/>
              <w:spacing w:line="500" w:lineRule="exact"/>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考核要求</w:t>
            </w:r>
          </w:p>
        </w:tc>
        <w:tc>
          <w:tcPr>
            <w:tcW w:w="2273" w:type="dxa"/>
            <w:noWrap w:val="0"/>
            <w:vAlign w:val="top"/>
          </w:tcPr>
          <w:p>
            <w:pPr>
              <w:spacing w:line="360" w:lineRule="auto"/>
              <w:ind w:firstLine="0" w:firstLineChars="0"/>
              <w:jc w:val="center"/>
              <w:rPr>
                <w:rFonts w:ascii="宋体" w:cs="宋体"/>
                <w:color w:val="auto"/>
                <w:highlight w:val="none"/>
              </w:rPr>
            </w:pPr>
          </w:p>
        </w:tc>
        <w:tc>
          <w:tcPr>
            <w:tcW w:w="2092" w:type="dxa"/>
            <w:noWrap w:val="0"/>
            <w:vAlign w:val="top"/>
          </w:tcPr>
          <w:p>
            <w:pPr>
              <w:spacing w:line="360" w:lineRule="auto"/>
              <w:ind w:firstLine="0" w:firstLineChars="0"/>
              <w:jc w:val="center"/>
              <w:rPr>
                <w:rFonts w:ascii="宋体" w:cs="宋体"/>
                <w:color w:val="auto"/>
                <w:highlight w:val="none"/>
              </w:rPr>
            </w:pPr>
          </w:p>
        </w:tc>
        <w:tc>
          <w:tcPr>
            <w:tcW w:w="2670" w:type="dxa"/>
            <w:noWrap w:val="0"/>
            <w:vAlign w:val="top"/>
          </w:tcPr>
          <w:p>
            <w:pPr>
              <w:spacing w:line="360" w:lineRule="auto"/>
              <w:ind w:firstLine="0" w:firstLineChars="0"/>
              <w:jc w:val="center"/>
              <w:rPr>
                <w:rFonts w:ascii="宋体" w:cs="宋体"/>
                <w:color w:val="auto"/>
                <w:highlight w:val="none"/>
              </w:rPr>
            </w:pP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311" w:hRule="atLeast"/>
          <w:jc w:val="center"/>
        </w:trPr>
        <w:tc>
          <w:tcPr>
            <w:tcW w:w="2669" w:type="dxa"/>
            <w:noWrap w:val="0"/>
            <w:vAlign w:val="center"/>
          </w:tcPr>
          <w:p>
            <w:pPr>
              <w:keepLines w:val="0"/>
              <w:pageBreakBefore w:val="0"/>
              <w:widowControl/>
              <w:kinsoku/>
              <w:wordWrap/>
              <w:overflowPunct/>
              <w:topLinePunct w:val="0"/>
              <w:autoSpaceDE/>
              <w:autoSpaceDN/>
              <w:bidi w:val="0"/>
              <w:adjustRightInd/>
              <w:spacing w:line="500" w:lineRule="exact"/>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c>
          <w:tcPr>
            <w:tcW w:w="2273" w:type="dxa"/>
            <w:noWrap w:val="0"/>
            <w:vAlign w:val="top"/>
          </w:tcPr>
          <w:p>
            <w:pPr>
              <w:spacing w:line="360" w:lineRule="auto"/>
              <w:ind w:firstLine="0" w:firstLineChars="0"/>
              <w:jc w:val="center"/>
              <w:rPr>
                <w:rFonts w:ascii="宋体" w:cs="宋体"/>
                <w:color w:val="auto"/>
                <w:highlight w:val="none"/>
              </w:rPr>
            </w:pPr>
          </w:p>
        </w:tc>
        <w:tc>
          <w:tcPr>
            <w:tcW w:w="2092" w:type="dxa"/>
            <w:noWrap w:val="0"/>
            <w:vAlign w:val="top"/>
          </w:tcPr>
          <w:p>
            <w:pPr>
              <w:spacing w:line="360" w:lineRule="auto"/>
              <w:ind w:firstLine="0" w:firstLineChars="0"/>
              <w:jc w:val="center"/>
              <w:rPr>
                <w:rFonts w:ascii="宋体" w:cs="宋体"/>
                <w:color w:val="auto"/>
                <w:highlight w:val="none"/>
              </w:rPr>
            </w:pPr>
          </w:p>
        </w:tc>
        <w:tc>
          <w:tcPr>
            <w:tcW w:w="2670" w:type="dxa"/>
            <w:noWrap w:val="0"/>
            <w:vAlign w:val="top"/>
          </w:tcPr>
          <w:p>
            <w:pPr>
              <w:spacing w:line="360" w:lineRule="auto"/>
              <w:ind w:firstLine="0" w:firstLineChars="0"/>
              <w:jc w:val="center"/>
              <w:rPr>
                <w:rFonts w:ascii="宋体" w:cs="宋体"/>
                <w:color w:val="auto"/>
                <w:highlight w:val="none"/>
              </w:rPr>
            </w:pP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365" w:hRule="atLeast"/>
          <w:jc w:val="center"/>
        </w:trPr>
        <w:tc>
          <w:tcPr>
            <w:tcW w:w="26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2273" w:type="dxa"/>
            <w:noWrap w:val="0"/>
            <w:vAlign w:val="top"/>
          </w:tcPr>
          <w:p>
            <w:pPr>
              <w:spacing w:line="360" w:lineRule="auto"/>
              <w:ind w:firstLine="0" w:firstLineChars="0"/>
              <w:jc w:val="center"/>
              <w:rPr>
                <w:rFonts w:ascii="宋体" w:cs="宋体"/>
                <w:color w:val="auto"/>
                <w:highlight w:val="none"/>
              </w:rPr>
            </w:pPr>
          </w:p>
        </w:tc>
        <w:tc>
          <w:tcPr>
            <w:tcW w:w="2092" w:type="dxa"/>
            <w:noWrap w:val="0"/>
            <w:vAlign w:val="top"/>
          </w:tcPr>
          <w:p>
            <w:pPr>
              <w:spacing w:line="360" w:lineRule="auto"/>
              <w:ind w:firstLine="0" w:firstLineChars="0"/>
              <w:jc w:val="center"/>
              <w:rPr>
                <w:rFonts w:ascii="宋体" w:cs="宋体"/>
                <w:color w:val="auto"/>
                <w:highlight w:val="none"/>
              </w:rPr>
            </w:pPr>
          </w:p>
        </w:tc>
        <w:tc>
          <w:tcPr>
            <w:tcW w:w="2670" w:type="dxa"/>
            <w:noWrap w:val="0"/>
            <w:vAlign w:val="top"/>
          </w:tcPr>
          <w:p>
            <w:pPr>
              <w:spacing w:line="360" w:lineRule="auto"/>
              <w:ind w:firstLine="0" w:firstLineChars="0"/>
              <w:jc w:val="center"/>
              <w:rPr>
                <w:rFonts w:ascii="宋体" w:cs="宋体"/>
                <w:color w:val="auto"/>
                <w:highlight w:val="none"/>
              </w:rPr>
            </w:pP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343" w:hRule="atLeast"/>
          <w:jc w:val="center"/>
        </w:trPr>
        <w:tc>
          <w:tcPr>
            <w:tcW w:w="26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2273" w:type="dxa"/>
            <w:noWrap w:val="0"/>
            <w:vAlign w:val="top"/>
          </w:tcPr>
          <w:p>
            <w:pPr>
              <w:spacing w:line="360" w:lineRule="auto"/>
              <w:ind w:firstLine="0" w:firstLineChars="0"/>
              <w:jc w:val="center"/>
              <w:rPr>
                <w:rFonts w:ascii="宋体" w:cs="宋体"/>
                <w:color w:val="auto"/>
                <w:highlight w:val="none"/>
              </w:rPr>
            </w:pPr>
          </w:p>
        </w:tc>
        <w:tc>
          <w:tcPr>
            <w:tcW w:w="2092" w:type="dxa"/>
            <w:noWrap w:val="0"/>
            <w:vAlign w:val="top"/>
          </w:tcPr>
          <w:p>
            <w:pPr>
              <w:spacing w:line="360" w:lineRule="auto"/>
              <w:ind w:firstLine="0" w:firstLineChars="0"/>
              <w:jc w:val="center"/>
              <w:rPr>
                <w:rFonts w:ascii="宋体" w:cs="宋体"/>
                <w:color w:val="auto"/>
                <w:highlight w:val="none"/>
              </w:rPr>
            </w:pPr>
          </w:p>
        </w:tc>
        <w:tc>
          <w:tcPr>
            <w:tcW w:w="2670" w:type="dxa"/>
            <w:noWrap w:val="0"/>
            <w:vAlign w:val="top"/>
          </w:tcPr>
          <w:p>
            <w:pPr>
              <w:spacing w:line="360" w:lineRule="auto"/>
              <w:ind w:firstLine="0" w:firstLineChars="0"/>
              <w:jc w:val="center"/>
              <w:rPr>
                <w:rFonts w:ascii="宋体" w:cs="宋体"/>
                <w:color w:val="auto"/>
                <w:highlight w:val="none"/>
              </w:rPr>
            </w:pP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335" w:hRule="atLeast"/>
          <w:jc w:val="center"/>
        </w:trPr>
        <w:tc>
          <w:tcPr>
            <w:tcW w:w="2669" w:type="dxa"/>
            <w:tcBorders>
              <w:bottom w:val="thinThickLargeGap" w:color="000000" w:sz="2" w:space="0"/>
            </w:tcBorders>
            <w:noWrap w:val="0"/>
            <w:vAlign w:val="center"/>
          </w:tcPr>
          <w:p>
            <w:pPr>
              <w:keepNext w:val="0"/>
              <w:keepLines w:val="0"/>
              <w:pageBreakBefore w:val="0"/>
              <w:widowControl w:val="0"/>
              <w:kinsoku/>
              <w:wordWrap/>
              <w:overflowPunct/>
              <w:topLinePunct w:val="0"/>
              <w:bidi w:val="0"/>
              <w:adjustRightInd/>
              <w:spacing w:line="5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2273" w:type="dxa"/>
            <w:tcBorders>
              <w:bottom w:val="thinThickLargeGap" w:color="000000" w:sz="2" w:space="0"/>
            </w:tcBorders>
            <w:noWrap w:val="0"/>
            <w:vAlign w:val="top"/>
          </w:tcPr>
          <w:p>
            <w:pPr>
              <w:spacing w:line="360" w:lineRule="auto"/>
              <w:ind w:firstLine="0" w:firstLineChars="0"/>
              <w:jc w:val="center"/>
              <w:rPr>
                <w:rFonts w:ascii="宋体" w:cs="宋体"/>
                <w:color w:val="auto"/>
                <w:highlight w:val="none"/>
              </w:rPr>
            </w:pPr>
          </w:p>
        </w:tc>
        <w:tc>
          <w:tcPr>
            <w:tcW w:w="2092" w:type="dxa"/>
            <w:tcBorders>
              <w:bottom w:val="thinThickLargeGap" w:color="000000" w:sz="2" w:space="0"/>
            </w:tcBorders>
            <w:noWrap w:val="0"/>
            <w:vAlign w:val="top"/>
          </w:tcPr>
          <w:p>
            <w:pPr>
              <w:spacing w:line="360" w:lineRule="auto"/>
              <w:ind w:firstLine="0" w:firstLineChars="0"/>
              <w:jc w:val="center"/>
              <w:rPr>
                <w:rFonts w:ascii="宋体" w:cs="宋体"/>
                <w:color w:val="auto"/>
                <w:highlight w:val="none"/>
              </w:rPr>
            </w:pPr>
          </w:p>
        </w:tc>
        <w:tc>
          <w:tcPr>
            <w:tcW w:w="2670" w:type="dxa"/>
            <w:tcBorders>
              <w:bottom w:val="thinThickLargeGap" w:color="000000" w:sz="2" w:space="0"/>
            </w:tcBorders>
            <w:noWrap w:val="0"/>
            <w:vAlign w:val="top"/>
          </w:tcPr>
          <w:p>
            <w:pPr>
              <w:spacing w:line="360" w:lineRule="auto"/>
              <w:ind w:firstLine="0" w:firstLineChars="0"/>
              <w:jc w:val="center"/>
              <w:rPr>
                <w:rFonts w:ascii="宋体" w:cs="宋体"/>
                <w:color w:val="auto"/>
                <w:highlight w:val="none"/>
              </w:rPr>
            </w:pP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335" w:hRule="atLeast"/>
          <w:jc w:val="center"/>
        </w:trPr>
        <w:tc>
          <w:tcPr>
            <w:tcW w:w="0" w:type="auto"/>
            <w:noWrap w:val="0"/>
            <w:vAlign w:val="center"/>
          </w:tcPr>
          <w:p>
            <w:pPr>
              <w:keepNext w:val="0"/>
              <w:keepLines w:val="0"/>
              <w:pageBreakBefore w:val="0"/>
              <w:widowControl w:val="0"/>
              <w:kinsoku/>
              <w:wordWrap/>
              <w:overflowPunct/>
              <w:topLinePunct w:val="0"/>
              <w:bidi w:val="0"/>
              <w:adjustRightInd/>
              <w:spacing w:line="5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2273" w:type="dxa"/>
            <w:noWrap w:val="0"/>
            <w:vAlign w:val="top"/>
          </w:tcPr>
          <w:p>
            <w:pPr>
              <w:spacing w:line="360" w:lineRule="auto"/>
              <w:ind w:firstLine="0" w:firstLineChars="0"/>
              <w:jc w:val="center"/>
              <w:rPr>
                <w:rFonts w:ascii="宋体" w:cs="宋体"/>
                <w:color w:val="auto"/>
                <w:highlight w:val="none"/>
              </w:rPr>
            </w:pPr>
          </w:p>
        </w:tc>
        <w:tc>
          <w:tcPr>
            <w:tcW w:w="2092" w:type="dxa"/>
            <w:noWrap w:val="0"/>
            <w:vAlign w:val="top"/>
          </w:tcPr>
          <w:p>
            <w:pPr>
              <w:spacing w:line="360" w:lineRule="auto"/>
              <w:ind w:firstLine="0" w:firstLineChars="0"/>
              <w:jc w:val="center"/>
              <w:rPr>
                <w:rFonts w:ascii="宋体" w:cs="宋体"/>
                <w:color w:val="auto"/>
                <w:highlight w:val="none"/>
              </w:rPr>
            </w:pPr>
          </w:p>
        </w:tc>
        <w:tc>
          <w:tcPr>
            <w:tcW w:w="0" w:type="auto"/>
            <w:noWrap w:val="0"/>
            <w:vAlign w:val="top"/>
          </w:tcPr>
          <w:p>
            <w:pPr>
              <w:spacing w:line="360" w:lineRule="auto"/>
              <w:ind w:firstLine="0" w:firstLineChars="0"/>
              <w:jc w:val="center"/>
              <w:rPr>
                <w:rFonts w:ascii="宋体" w:cs="宋体"/>
                <w:color w:val="auto"/>
                <w:highlight w:val="none"/>
              </w:rPr>
            </w:pP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335" w:hRule="atLeast"/>
          <w:jc w:val="center"/>
        </w:trPr>
        <w:tc>
          <w:tcPr>
            <w:tcW w:w="0" w:type="auto"/>
            <w:noWrap w:val="0"/>
            <w:vAlign w:val="center"/>
          </w:tcPr>
          <w:p>
            <w:pPr>
              <w:keepNext w:val="0"/>
              <w:keepLines w:val="0"/>
              <w:pageBreakBefore w:val="0"/>
              <w:widowControl w:val="0"/>
              <w:kinsoku/>
              <w:wordWrap/>
              <w:overflowPunct/>
              <w:topLinePunct w:val="0"/>
              <w:bidi w:val="0"/>
              <w:adjustRightInd/>
              <w:spacing w:line="5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2273" w:type="dxa"/>
            <w:noWrap w:val="0"/>
            <w:vAlign w:val="top"/>
          </w:tcPr>
          <w:p>
            <w:pPr>
              <w:spacing w:line="360" w:lineRule="auto"/>
              <w:ind w:firstLine="0" w:firstLineChars="0"/>
              <w:jc w:val="center"/>
              <w:rPr>
                <w:rFonts w:ascii="宋体" w:cs="宋体"/>
                <w:color w:val="auto"/>
                <w:highlight w:val="none"/>
              </w:rPr>
            </w:pPr>
          </w:p>
        </w:tc>
        <w:tc>
          <w:tcPr>
            <w:tcW w:w="2092" w:type="dxa"/>
            <w:noWrap w:val="0"/>
            <w:vAlign w:val="top"/>
          </w:tcPr>
          <w:p>
            <w:pPr>
              <w:spacing w:line="360" w:lineRule="auto"/>
              <w:ind w:firstLine="0" w:firstLineChars="0"/>
              <w:jc w:val="center"/>
              <w:rPr>
                <w:rFonts w:ascii="宋体" w:cs="宋体"/>
                <w:color w:val="auto"/>
                <w:highlight w:val="none"/>
              </w:rPr>
            </w:pPr>
          </w:p>
        </w:tc>
        <w:tc>
          <w:tcPr>
            <w:tcW w:w="0" w:type="auto"/>
            <w:noWrap w:val="0"/>
            <w:vAlign w:val="top"/>
          </w:tcPr>
          <w:p>
            <w:pPr>
              <w:spacing w:line="360" w:lineRule="auto"/>
              <w:ind w:firstLine="0" w:firstLineChars="0"/>
              <w:jc w:val="center"/>
              <w:rPr>
                <w:rFonts w:ascii="宋体" w:cs="宋体"/>
                <w:color w:val="auto"/>
                <w:highlight w:val="none"/>
              </w:rPr>
            </w:pP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335" w:hRule="atLeast"/>
          <w:jc w:val="center"/>
        </w:trPr>
        <w:tc>
          <w:tcPr>
            <w:tcW w:w="0" w:type="auto"/>
            <w:noWrap w:val="0"/>
            <w:vAlign w:val="center"/>
          </w:tcPr>
          <w:p>
            <w:pPr>
              <w:keepNext w:val="0"/>
              <w:keepLines w:val="0"/>
              <w:pageBreakBefore w:val="0"/>
              <w:widowControl w:val="0"/>
              <w:kinsoku/>
              <w:wordWrap/>
              <w:overflowPunct/>
              <w:topLinePunct w:val="0"/>
              <w:bidi w:val="0"/>
              <w:adjustRightInd/>
              <w:spacing w:line="5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2273" w:type="dxa"/>
            <w:noWrap w:val="0"/>
            <w:vAlign w:val="top"/>
          </w:tcPr>
          <w:p>
            <w:pPr>
              <w:spacing w:line="360" w:lineRule="auto"/>
              <w:ind w:firstLine="0" w:firstLineChars="0"/>
              <w:jc w:val="center"/>
              <w:rPr>
                <w:rFonts w:ascii="宋体" w:cs="宋体"/>
                <w:color w:val="auto"/>
                <w:highlight w:val="none"/>
              </w:rPr>
            </w:pPr>
          </w:p>
        </w:tc>
        <w:tc>
          <w:tcPr>
            <w:tcW w:w="2092" w:type="dxa"/>
            <w:noWrap w:val="0"/>
            <w:vAlign w:val="top"/>
          </w:tcPr>
          <w:p>
            <w:pPr>
              <w:spacing w:line="360" w:lineRule="auto"/>
              <w:ind w:firstLine="0" w:firstLineChars="0"/>
              <w:jc w:val="center"/>
              <w:rPr>
                <w:rFonts w:ascii="宋体" w:cs="宋体"/>
                <w:color w:val="auto"/>
                <w:highlight w:val="none"/>
              </w:rPr>
            </w:pPr>
          </w:p>
        </w:tc>
        <w:tc>
          <w:tcPr>
            <w:tcW w:w="0" w:type="auto"/>
            <w:noWrap w:val="0"/>
            <w:vAlign w:val="top"/>
          </w:tcPr>
          <w:p>
            <w:pPr>
              <w:spacing w:line="360" w:lineRule="auto"/>
              <w:ind w:firstLine="0" w:firstLineChars="0"/>
              <w:jc w:val="center"/>
              <w:rPr>
                <w:rFonts w:ascii="宋体" w:cs="宋体"/>
                <w:color w:val="auto"/>
                <w:highlight w:val="none"/>
              </w:rPr>
            </w:pP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335"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2273" w:type="dxa"/>
            <w:noWrap w:val="0"/>
            <w:vAlign w:val="top"/>
          </w:tcPr>
          <w:p>
            <w:pPr>
              <w:spacing w:line="360" w:lineRule="auto"/>
              <w:ind w:firstLine="0" w:firstLineChars="0"/>
              <w:jc w:val="center"/>
              <w:rPr>
                <w:rFonts w:ascii="宋体" w:cs="宋体"/>
                <w:color w:val="auto"/>
                <w:highlight w:val="none"/>
              </w:rPr>
            </w:pPr>
          </w:p>
        </w:tc>
        <w:tc>
          <w:tcPr>
            <w:tcW w:w="2092" w:type="dxa"/>
            <w:noWrap w:val="0"/>
            <w:vAlign w:val="top"/>
          </w:tcPr>
          <w:p>
            <w:pPr>
              <w:spacing w:line="360" w:lineRule="auto"/>
              <w:ind w:firstLine="0" w:firstLineChars="0"/>
              <w:jc w:val="center"/>
              <w:rPr>
                <w:rFonts w:ascii="宋体" w:cs="宋体"/>
                <w:color w:val="auto"/>
                <w:highlight w:val="none"/>
              </w:rPr>
            </w:pPr>
          </w:p>
        </w:tc>
        <w:tc>
          <w:tcPr>
            <w:tcW w:w="0" w:type="auto"/>
            <w:noWrap w:val="0"/>
            <w:vAlign w:val="top"/>
          </w:tcPr>
          <w:p>
            <w:pPr>
              <w:spacing w:line="360" w:lineRule="auto"/>
              <w:ind w:firstLine="0" w:firstLineChars="0"/>
              <w:jc w:val="center"/>
              <w:rPr>
                <w:rFonts w:ascii="宋体" w:cs="宋体"/>
                <w:color w:val="auto"/>
                <w:highlight w:val="none"/>
              </w:rPr>
            </w:pP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335"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2273" w:type="dxa"/>
            <w:noWrap w:val="0"/>
            <w:vAlign w:val="top"/>
          </w:tcPr>
          <w:p>
            <w:pPr>
              <w:spacing w:line="360" w:lineRule="auto"/>
              <w:ind w:firstLine="0" w:firstLineChars="0"/>
              <w:jc w:val="center"/>
              <w:rPr>
                <w:rFonts w:ascii="宋体" w:cs="宋体"/>
                <w:color w:val="auto"/>
                <w:highlight w:val="none"/>
              </w:rPr>
            </w:pPr>
          </w:p>
        </w:tc>
        <w:tc>
          <w:tcPr>
            <w:tcW w:w="2092" w:type="dxa"/>
            <w:noWrap w:val="0"/>
            <w:vAlign w:val="top"/>
          </w:tcPr>
          <w:p>
            <w:pPr>
              <w:spacing w:line="360" w:lineRule="auto"/>
              <w:ind w:firstLine="0" w:firstLineChars="0"/>
              <w:jc w:val="center"/>
              <w:rPr>
                <w:rFonts w:ascii="宋体" w:cs="宋体"/>
                <w:color w:val="auto"/>
                <w:highlight w:val="none"/>
              </w:rPr>
            </w:pPr>
          </w:p>
        </w:tc>
        <w:tc>
          <w:tcPr>
            <w:tcW w:w="0" w:type="auto"/>
            <w:noWrap w:val="0"/>
            <w:vAlign w:val="top"/>
          </w:tcPr>
          <w:p>
            <w:pPr>
              <w:spacing w:line="360" w:lineRule="auto"/>
              <w:ind w:firstLine="0" w:firstLineChars="0"/>
              <w:jc w:val="center"/>
              <w:rPr>
                <w:rFonts w:ascii="宋体" w:cs="宋体"/>
                <w:color w:val="auto"/>
                <w:highlight w:val="none"/>
              </w:rPr>
            </w:pPr>
          </w:p>
        </w:tc>
      </w:tr>
    </w:tbl>
    <w:p>
      <w:pPr>
        <w:spacing w:before="50" w:after="50" w:line="360" w:lineRule="auto"/>
        <w:ind w:firstLine="482"/>
        <w:rPr>
          <w:rFonts w:ascii="宋体" w:cs="宋体"/>
          <w:b/>
          <w:color w:val="auto"/>
          <w:highlight w:val="none"/>
        </w:rPr>
      </w:pPr>
      <w:r>
        <w:rPr>
          <w:rFonts w:hint="eastAsia" w:ascii="宋体" w:hAnsi="宋体" w:cs="宋体"/>
          <w:b/>
          <w:color w:val="auto"/>
          <w:highlight w:val="none"/>
        </w:rPr>
        <w:t>注：1、投标人应根据投标设备的性能指标、对照采购文件要求在“偏离情况”栏注明“正偏离”、“负偏离”或“无偏离”。</w:t>
      </w:r>
    </w:p>
    <w:p>
      <w:pPr>
        <w:pStyle w:val="2"/>
        <w:spacing w:beforeLines="0" w:afterLines="0" w:line="360" w:lineRule="auto"/>
        <w:ind w:firstLine="480" w:firstLine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2、投标人若不填写，则视为完全响应招标文件要求。</w:t>
      </w:r>
    </w:p>
    <w:p>
      <w:pPr>
        <w:adjustRightInd w:val="0"/>
        <w:snapToGrid w:val="0"/>
        <w:spacing w:line="360" w:lineRule="auto"/>
        <w:ind w:firstLine="3799" w:firstLineChars="1583"/>
        <w:jc w:val="left"/>
        <w:textAlignment w:val="baseline"/>
        <w:rPr>
          <w:color w:val="auto"/>
          <w:highlight w:val="none"/>
        </w:rPr>
      </w:pPr>
      <w:r>
        <w:rPr>
          <w:rFonts w:hint="eastAsia"/>
          <w:color w:val="auto"/>
          <w:highlight w:val="none"/>
        </w:rPr>
        <w:t>投标人名称（盖章）：</w:t>
      </w:r>
      <w:r>
        <w:rPr>
          <w:color w:val="auto"/>
          <w:highlight w:val="none"/>
          <w:u w:val="single"/>
        </w:rPr>
        <w:t xml:space="preserve">                   </w:t>
      </w:r>
    </w:p>
    <w:p>
      <w:pPr>
        <w:adjustRightInd w:val="0"/>
        <w:snapToGrid w:val="0"/>
        <w:spacing w:line="360" w:lineRule="auto"/>
        <w:ind w:firstLine="3840" w:firstLineChars="1600"/>
        <w:jc w:val="left"/>
        <w:textAlignment w:val="baseline"/>
        <w:rPr>
          <w:color w:val="auto"/>
          <w:highlight w:val="none"/>
        </w:rPr>
      </w:pPr>
      <w:r>
        <w:rPr>
          <w:rFonts w:hint="eastAsia"/>
          <w:color w:val="auto"/>
          <w:highlight w:val="none"/>
        </w:rPr>
        <w:t>法定代表人或授权代理人（签字或盖章）：</w:t>
      </w:r>
      <w:r>
        <w:rPr>
          <w:color w:val="auto"/>
          <w:highlight w:val="none"/>
          <w:u w:val="single"/>
        </w:rPr>
        <w:t xml:space="preserve">                   </w:t>
      </w:r>
    </w:p>
    <w:p>
      <w:pPr>
        <w:widowControl/>
        <w:adjustRightInd w:val="0"/>
        <w:snapToGrid w:val="0"/>
        <w:spacing w:line="360" w:lineRule="auto"/>
        <w:ind w:firstLine="3840" w:firstLineChars="1600"/>
        <w:jc w:val="left"/>
        <w:rPr>
          <w:rFonts w:hint="eastAsia" w:ascii="宋体" w:hAnsi="宋体" w:eastAsia="宋体" w:cs="宋体"/>
          <w:b/>
          <w:bCs/>
          <w:color w:val="auto"/>
          <w:highlight w:val="none"/>
        </w:rPr>
      </w:pPr>
      <w:r>
        <w:rPr>
          <w:rFonts w:hint="eastAsia" w:ascii="宋体" w:hAnsi="宋体" w:eastAsia="宋体" w:cs="宋体"/>
          <w:color w:val="auto"/>
          <w:highlight w:val="none"/>
        </w:rPr>
        <w:t>日  期：202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年   月   日</w:t>
      </w:r>
    </w:p>
    <w:p>
      <w:pPr>
        <w:snapToGrid w:val="0"/>
        <w:spacing w:line="360" w:lineRule="auto"/>
        <w:ind w:right="480" w:firstLine="0" w:firstLineChars="0"/>
        <w:rPr>
          <w:rFonts w:ascii="宋体" w:cs="宋体"/>
          <w:color w:val="auto"/>
          <w:highlight w:val="none"/>
          <w:lang w:val="zh-CN"/>
        </w:rPr>
      </w:pPr>
    </w:p>
    <w:p>
      <w:pPr>
        <w:ind w:firstLine="0" w:firstLineChars="0"/>
        <w:rPr>
          <w:rFonts w:hint="eastAsia" w:ascii="宋体" w:hAnsi="宋体" w:cs="宋体"/>
          <w:b/>
          <w:bCs/>
          <w:color w:val="auto"/>
          <w:highlight w:val="none"/>
        </w:rPr>
      </w:pPr>
      <w:bookmarkStart w:id="230" w:name="_Toc152045808"/>
      <w:bookmarkStart w:id="231" w:name="_Toc152042597"/>
      <w:bookmarkStart w:id="232" w:name="_Toc144974876"/>
      <w:bookmarkStart w:id="233" w:name="_Toc247527848"/>
      <w:bookmarkStart w:id="234" w:name="_Toc247514300"/>
    </w:p>
    <w:p>
      <w:pPr>
        <w:ind w:firstLine="0" w:firstLineChars="0"/>
        <w:rPr>
          <w:rFonts w:ascii="宋体" w:cs="宋体"/>
          <w:b/>
          <w:bCs/>
          <w:color w:val="auto"/>
          <w:highlight w:val="none"/>
        </w:rPr>
      </w:pPr>
      <w:r>
        <w:rPr>
          <w:rFonts w:hint="eastAsia" w:ascii="宋体" w:hAnsi="宋体" w:cs="宋体"/>
          <w:b/>
          <w:bCs/>
          <w:color w:val="auto"/>
          <w:highlight w:val="none"/>
        </w:rPr>
        <w:t xml:space="preserve">附件 </w:t>
      </w:r>
    </w:p>
    <w:p>
      <w:pPr>
        <w:pStyle w:val="72"/>
        <w:snapToGrid w:val="0"/>
        <w:ind w:right="0" w:firstLine="0" w:firstLineChars="0"/>
        <w:jc w:val="center"/>
        <w:rPr>
          <w:rFonts w:ascii="宋体" w:cs="宋体"/>
          <w:b/>
          <w:color w:val="auto"/>
          <w:sz w:val="30"/>
          <w:szCs w:val="30"/>
          <w:highlight w:val="none"/>
          <w:lang w:val="en-GB"/>
        </w:rPr>
      </w:pPr>
      <w:r>
        <w:rPr>
          <w:rFonts w:hint="eastAsia" w:ascii="宋体" w:hAnsi="宋体" w:cs="宋体"/>
          <w:b/>
          <w:color w:val="auto"/>
          <w:sz w:val="30"/>
          <w:szCs w:val="30"/>
          <w:highlight w:val="none"/>
          <w:lang w:val="en-GB"/>
        </w:rPr>
        <w:t>投标人基本情况表</w:t>
      </w:r>
      <w:bookmarkEnd w:id="230"/>
      <w:bookmarkEnd w:id="231"/>
      <w:bookmarkEnd w:id="232"/>
      <w:bookmarkEnd w:id="233"/>
      <w:bookmarkEnd w:id="234"/>
    </w:p>
    <w:tbl>
      <w:tblPr>
        <w:tblStyle w:val="37"/>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top w:val="thinThickSmallGap" w:color="auto" w:sz="12" w:space="0"/>
            </w:tcBorders>
            <w:noWrap w:val="0"/>
            <w:vAlign w:val="center"/>
          </w:tcPr>
          <w:p>
            <w:pPr>
              <w:snapToGrid w:val="0"/>
              <w:spacing w:line="460" w:lineRule="exact"/>
              <w:ind w:firstLine="0" w:firstLineChars="0"/>
              <w:jc w:val="center"/>
              <w:rPr>
                <w:color w:val="auto"/>
                <w:highlight w:val="none"/>
              </w:rPr>
            </w:pPr>
            <w:r>
              <w:rPr>
                <w:rFonts w:hint="eastAsia"/>
                <w:color w:val="auto"/>
                <w:highlight w:val="none"/>
              </w:rPr>
              <w:t>投标人信息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rPr>
                <w:color w:val="auto"/>
                <w:highlight w:val="none"/>
              </w:rPr>
            </w:pPr>
            <w:r>
              <w:rPr>
                <w:rFonts w:hint="eastAsia"/>
                <w:color w:val="auto"/>
                <w:highlight w:val="none"/>
              </w:rPr>
              <w:t>企业名称</w:t>
            </w:r>
          </w:p>
        </w:tc>
        <w:tc>
          <w:tcPr>
            <w:tcW w:w="7775" w:type="dxa"/>
            <w:gridSpan w:val="5"/>
            <w:noWrap w:val="0"/>
            <w:vAlign w:val="center"/>
          </w:tcPr>
          <w:p>
            <w:pPr>
              <w:snapToGrid w:val="0"/>
              <w:spacing w:line="460" w:lineRule="exact"/>
              <w:ind w:firstLine="0" w:firstLineChars="0"/>
              <w:rPr>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rPr>
                <w:color w:val="auto"/>
                <w:highlight w:val="none"/>
              </w:rPr>
            </w:pPr>
            <w:r>
              <w:rPr>
                <w:rFonts w:hint="eastAsia"/>
                <w:color w:val="auto"/>
                <w:highlight w:val="none"/>
              </w:rPr>
              <w:t>联合体投标</w:t>
            </w:r>
          </w:p>
        </w:tc>
        <w:tc>
          <w:tcPr>
            <w:tcW w:w="2358" w:type="dxa"/>
            <w:noWrap w:val="0"/>
            <w:vAlign w:val="center"/>
          </w:tcPr>
          <w:p>
            <w:pPr>
              <w:snapToGrid w:val="0"/>
              <w:spacing w:line="460" w:lineRule="exact"/>
              <w:ind w:firstLine="0" w:firstLineChars="0"/>
              <w:rPr>
                <w:color w:val="auto"/>
                <w:highlight w:val="none"/>
              </w:rPr>
            </w:pPr>
            <w:r>
              <w:rPr>
                <w:rFonts w:hint="eastAsia"/>
                <w:color w:val="auto"/>
                <w:highlight w:val="none"/>
              </w:rPr>
              <w:t>是□</w:t>
            </w:r>
            <w:r>
              <w:rPr>
                <w:color w:val="auto"/>
                <w:highlight w:val="none"/>
              </w:rPr>
              <w:t xml:space="preserve">    </w:t>
            </w:r>
            <w:r>
              <w:rPr>
                <w:rFonts w:hint="eastAsia"/>
                <w:color w:val="auto"/>
                <w:highlight w:val="none"/>
              </w:rPr>
              <w:t>否□</w:t>
            </w:r>
          </w:p>
        </w:tc>
        <w:tc>
          <w:tcPr>
            <w:tcW w:w="1957" w:type="dxa"/>
            <w:gridSpan w:val="2"/>
            <w:noWrap w:val="0"/>
            <w:vAlign w:val="center"/>
          </w:tcPr>
          <w:p>
            <w:pPr>
              <w:snapToGrid w:val="0"/>
              <w:spacing w:line="460" w:lineRule="exact"/>
              <w:ind w:firstLine="0" w:firstLineChars="0"/>
              <w:rPr>
                <w:color w:val="auto"/>
                <w:highlight w:val="none"/>
              </w:rPr>
            </w:pPr>
            <w:r>
              <w:rPr>
                <w:rFonts w:hint="eastAsia"/>
                <w:color w:val="auto"/>
                <w:highlight w:val="none"/>
              </w:rPr>
              <w:t>联合体成员单位</w:t>
            </w:r>
          </w:p>
        </w:tc>
        <w:tc>
          <w:tcPr>
            <w:tcW w:w="3460" w:type="dxa"/>
            <w:gridSpan w:val="2"/>
            <w:noWrap w:val="0"/>
            <w:vAlign w:val="center"/>
          </w:tcPr>
          <w:p>
            <w:pPr>
              <w:snapToGrid w:val="0"/>
              <w:spacing w:line="460" w:lineRule="exact"/>
              <w:ind w:firstLine="0" w:firstLineChars="0"/>
              <w:rPr>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rPr>
                <w:color w:val="auto"/>
                <w:highlight w:val="none"/>
              </w:rPr>
            </w:pPr>
            <w:r>
              <w:rPr>
                <w:rFonts w:hint="eastAsia"/>
                <w:color w:val="auto"/>
                <w:highlight w:val="none"/>
              </w:rPr>
              <w:t>性质</w:t>
            </w:r>
          </w:p>
        </w:tc>
        <w:tc>
          <w:tcPr>
            <w:tcW w:w="7775" w:type="dxa"/>
            <w:gridSpan w:val="5"/>
            <w:noWrap w:val="0"/>
            <w:vAlign w:val="center"/>
          </w:tcPr>
          <w:p>
            <w:pPr>
              <w:snapToGrid w:val="0"/>
              <w:spacing w:line="460" w:lineRule="exact"/>
              <w:ind w:firstLine="0" w:firstLineChars="0"/>
              <w:rPr>
                <w:color w:val="auto"/>
                <w:highlight w:val="none"/>
              </w:rPr>
            </w:pPr>
            <w:r>
              <w:rPr>
                <w:rFonts w:hint="eastAsia"/>
                <w:color w:val="auto"/>
                <w:highlight w:val="none"/>
              </w:rPr>
              <w:t>国有□</w:t>
            </w:r>
            <w:r>
              <w:rPr>
                <w:color w:val="auto"/>
                <w:highlight w:val="none"/>
              </w:rPr>
              <w:t xml:space="preserve">     </w:t>
            </w:r>
            <w:r>
              <w:rPr>
                <w:rFonts w:hint="eastAsia"/>
                <w:color w:val="auto"/>
                <w:highlight w:val="none"/>
              </w:rPr>
              <w:t>国有控股□</w:t>
            </w:r>
            <w:r>
              <w:rPr>
                <w:color w:val="auto"/>
                <w:highlight w:val="none"/>
              </w:rPr>
              <w:t xml:space="preserve">     </w:t>
            </w:r>
            <w:r>
              <w:rPr>
                <w:rFonts w:hint="eastAsia"/>
                <w:color w:val="auto"/>
                <w:highlight w:val="none"/>
              </w:rPr>
              <w:t>私营□</w:t>
            </w:r>
            <w:r>
              <w:rPr>
                <w:color w:val="auto"/>
                <w:highlight w:val="none"/>
              </w:rPr>
              <w:t xml:space="preserve">     </w:t>
            </w:r>
            <w:r>
              <w:rPr>
                <w:rFonts w:hint="eastAsia"/>
                <w:color w:val="auto"/>
                <w:highlight w:val="none"/>
              </w:rPr>
              <w:t>事业单位□</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jc w:val="left"/>
              <w:rPr>
                <w:color w:val="auto"/>
                <w:highlight w:val="none"/>
              </w:rPr>
            </w:pPr>
            <w:r>
              <w:rPr>
                <w:rFonts w:hint="eastAsia"/>
                <w:color w:val="auto"/>
                <w:highlight w:val="none"/>
              </w:rPr>
              <w:t>统一社会信用代码</w:t>
            </w:r>
          </w:p>
        </w:tc>
        <w:tc>
          <w:tcPr>
            <w:tcW w:w="3123" w:type="dxa"/>
            <w:gridSpan w:val="2"/>
            <w:noWrap w:val="0"/>
            <w:vAlign w:val="center"/>
          </w:tcPr>
          <w:p>
            <w:pPr>
              <w:snapToGrid w:val="0"/>
              <w:spacing w:line="460" w:lineRule="exact"/>
              <w:ind w:firstLine="0" w:firstLineChars="0"/>
              <w:rPr>
                <w:color w:val="auto"/>
                <w:highlight w:val="none"/>
              </w:rPr>
            </w:pPr>
          </w:p>
        </w:tc>
        <w:tc>
          <w:tcPr>
            <w:tcW w:w="1735" w:type="dxa"/>
            <w:gridSpan w:val="2"/>
            <w:noWrap w:val="0"/>
            <w:vAlign w:val="center"/>
          </w:tcPr>
          <w:p>
            <w:pPr>
              <w:snapToGrid w:val="0"/>
              <w:spacing w:line="460" w:lineRule="exact"/>
              <w:ind w:firstLine="0" w:firstLineChars="0"/>
              <w:rPr>
                <w:color w:val="auto"/>
                <w:highlight w:val="none"/>
              </w:rPr>
            </w:pPr>
            <w:r>
              <w:rPr>
                <w:rFonts w:hint="eastAsia"/>
                <w:color w:val="auto"/>
                <w:highlight w:val="none"/>
              </w:rPr>
              <w:t>注册资本</w:t>
            </w:r>
          </w:p>
        </w:tc>
        <w:tc>
          <w:tcPr>
            <w:tcW w:w="2917" w:type="dxa"/>
            <w:noWrap w:val="0"/>
            <w:vAlign w:val="center"/>
          </w:tcPr>
          <w:p>
            <w:pPr>
              <w:snapToGrid w:val="0"/>
              <w:spacing w:line="460" w:lineRule="exact"/>
              <w:ind w:firstLine="0" w:firstLineChars="0"/>
              <w:rPr>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rPr>
                <w:color w:val="auto"/>
                <w:highlight w:val="none"/>
              </w:rPr>
            </w:pPr>
            <w:r>
              <w:rPr>
                <w:rFonts w:hint="eastAsia"/>
                <w:color w:val="auto"/>
                <w:highlight w:val="none"/>
              </w:rPr>
              <w:t>法定代表人</w:t>
            </w:r>
          </w:p>
        </w:tc>
        <w:tc>
          <w:tcPr>
            <w:tcW w:w="3123" w:type="dxa"/>
            <w:gridSpan w:val="2"/>
            <w:noWrap w:val="0"/>
            <w:vAlign w:val="center"/>
          </w:tcPr>
          <w:p>
            <w:pPr>
              <w:snapToGrid w:val="0"/>
              <w:spacing w:line="460" w:lineRule="exact"/>
              <w:ind w:firstLine="0" w:firstLineChars="0"/>
              <w:rPr>
                <w:color w:val="auto"/>
                <w:highlight w:val="none"/>
              </w:rPr>
            </w:pPr>
          </w:p>
        </w:tc>
        <w:tc>
          <w:tcPr>
            <w:tcW w:w="1735" w:type="dxa"/>
            <w:gridSpan w:val="2"/>
            <w:noWrap w:val="0"/>
            <w:vAlign w:val="center"/>
          </w:tcPr>
          <w:p>
            <w:pPr>
              <w:snapToGrid w:val="0"/>
              <w:spacing w:line="460" w:lineRule="exact"/>
              <w:ind w:firstLine="0" w:firstLineChars="0"/>
              <w:rPr>
                <w:color w:val="auto"/>
                <w:highlight w:val="none"/>
              </w:rPr>
            </w:pPr>
            <w:r>
              <w:rPr>
                <w:rFonts w:hint="eastAsia"/>
                <w:color w:val="auto"/>
                <w:highlight w:val="none"/>
              </w:rPr>
              <w:t>身份证号码</w:t>
            </w:r>
          </w:p>
        </w:tc>
        <w:tc>
          <w:tcPr>
            <w:tcW w:w="2917" w:type="dxa"/>
            <w:noWrap w:val="0"/>
            <w:vAlign w:val="center"/>
          </w:tcPr>
          <w:p>
            <w:pPr>
              <w:snapToGrid w:val="0"/>
              <w:spacing w:line="460" w:lineRule="exact"/>
              <w:ind w:firstLine="0" w:firstLineChars="0"/>
              <w:rPr>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rPr>
                <w:color w:val="auto"/>
                <w:highlight w:val="none"/>
              </w:rPr>
            </w:pPr>
            <w:r>
              <w:rPr>
                <w:rFonts w:hint="eastAsia"/>
                <w:color w:val="auto"/>
                <w:highlight w:val="none"/>
              </w:rPr>
              <w:t>通信地址</w:t>
            </w:r>
          </w:p>
        </w:tc>
        <w:tc>
          <w:tcPr>
            <w:tcW w:w="3123" w:type="dxa"/>
            <w:gridSpan w:val="2"/>
            <w:noWrap w:val="0"/>
            <w:vAlign w:val="center"/>
          </w:tcPr>
          <w:p>
            <w:pPr>
              <w:snapToGrid w:val="0"/>
              <w:spacing w:line="460" w:lineRule="exact"/>
              <w:ind w:firstLine="0" w:firstLineChars="0"/>
              <w:rPr>
                <w:color w:val="auto"/>
                <w:highlight w:val="none"/>
              </w:rPr>
            </w:pPr>
          </w:p>
        </w:tc>
        <w:tc>
          <w:tcPr>
            <w:tcW w:w="1735" w:type="dxa"/>
            <w:gridSpan w:val="2"/>
            <w:noWrap w:val="0"/>
            <w:vAlign w:val="center"/>
          </w:tcPr>
          <w:p>
            <w:pPr>
              <w:snapToGrid w:val="0"/>
              <w:spacing w:line="460" w:lineRule="exact"/>
              <w:ind w:firstLine="0" w:firstLineChars="0"/>
              <w:rPr>
                <w:color w:val="auto"/>
                <w:highlight w:val="none"/>
              </w:rPr>
            </w:pPr>
            <w:r>
              <w:rPr>
                <w:rFonts w:hint="eastAsia"/>
                <w:color w:val="auto"/>
                <w:highlight w:val="none"/>
              </w:rPr>
              <w:t>邮政编码</w:t>
            </w:r>
          </w:p>
        </w:tc>
        <w:tc>
          <w:tcPr>
            <w:tcW w:w="2917" w:type="dxa"/>
            <w:noWrap w:val="0"/>
            <w:vAlign w:val="center"/>
          </w:tcPr>
          <w:p>
            <w:pPr>
              <w:snapToGrid w:val="0"/>
              <w:spacing w:line="460" w:lineRule="exact"/>
              <w:ind w:firstLine="0" w:firstLineChars="0"/>
              <w:rPr>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rPr>
                <w:color w:val="auto"/>
                <w:highlight w:val="none"/>
              </w:rPr>
            </w:pPr>
            <w:r>
              <w:rPr>
                <w:rFonts w:hint="eastAsia"/>
                <w:color w:val="auto"/>
                <w:highlight w:val="none"/>
              </w:rPr>
              <w:t>公司电话</w:t>
            </w:r>
          </w:p>
        </w:tc>
        <w:tc>
          <w:tcPr>
            <w:tcW w:w="3123" w:type="dxa"/>
            <w:gridSpan w:val="2"/>
            <w:noWrap w:val="0"/>
            <w:vAlign w:val="center"/>
          </w:tcPr>
          <w:p>
            <w:pPr>
              <w:snapToGrid w:val="0"/>
              <w:spacing w:line="460" w:lineRule="exact"/>
              <w:ind w:firstLine="0" w:firstLineChars="0"/>
              <w:rPr>
                <w:color w:val="auto"/>
                <w:highlight w:val="none"/>
              </w:rPr>
            </w:pPr>
          </w:p>
        </w:tc>
        <w:tc>
          <w:tcPr>
            <w:tcW w:w="1735" w:type="dxa"/>
            <w:gridSpan w:val="2"/>
            <w:noWrap w:val="0"/>
            <w:vAlign w:val="center"/>
          </w:tcPr>
          <w:p>
            <w:pPr>
              <w:snapToGrid w:val="0"/>
              <w:spacing w:line="460" w:lineRule="exact"/>
              <w:ind w:firstLine="0" w:firstLineChars="0"/>
              <w:rPr>
                <w:color w:val="auto"/>
                <w:highlight w:val="none"/>
              </w:rPr>
            </w:pPr>
            <w:r>
              <w:rPr>
                <w:rFonts w:hint="eastAsia"/>
                <w:color w:val="auto"/>
                <w:highlight w:val="none"/>
              </w:rPr>
              <w:t>传真</w:t>
            </w:r>
          </w:p>
        </w:tc>
        <w:tc>
          <w:tcPr>
            <w:tcW w:w="2917" w:type="dxa"/>
            <w:noWrap w:val="0"/>
            <w:vAlign w:val="center"/>
          </w:tcPr>
          <w:p>
            <w:pPr>
              <w:snapToGrid w:val="0"/>
              <w:spacing w:line="460" w:lineRule="exact"/>
              <w:ind w:firstLine="0" w:firstLineChars="0"/>
              <w:rPr>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rPr>
                <w:color w:val="auto"/>
                <w:highlight w:val="none"/>
              </w:rPr>
            </w:pPr>
            <w:r>
              <w:rPr>
                <w:rFonts w:hint="eastAsia"/>
                <w:color w:val="auto"/>
                <w:highlight w:val="none"/>
              </w:rPr>
              <w:t>公司网址</w:t>
            </w:r>
          </w:p>
        </w:tc>
        <w:tc>
          <w:tcPr>
            <w:tcW w:w="3123" w:type="dxa"/>
            <w:gridSpan w:val="2"/>
            <w:noWrap w:val="0"/>
            <w:vAlign w:val="center"/>
          </w:tcPr>
          <w:p>
            <w:pPr>
              <w:snapToGrid w:val="0"/>
              <w:spacing w:line="460" w:lineRule="exact"/>
              <w:ind w:firstLine="0" w:firstLineChars="0"/>
              <w:rPr>
                <w:color w:val="auto"/>
                <w:highlight w:val="none"/>
              </w:rPr>
            </w:pPr>
          </w:p>
        </w:tc>
        <w:tc>
          <w:tcPr>
            <w:tcW w:w="1735" w:type="dxa"/>
            <w:gridSpan w:val="2"/>
            <w:noWrap w:val="0"/>
            <w:vAlign w:val="center"/>
          </w:tcPr>
          <w:p>
            <w:pPr>
              <w:snapToGrid w:val="0"/>
              <w:spacing w:line="460" w:lineRule="exact"/>
              <w:ind w:firstLine="0" w:firstLineChars="0"/>
              <w:rPr>
                <w:color w:val="auto"/>
                <w:highlight w:val="none"/>
              </w:rPr>
            </w:pPr>
            <w:r>
              <w:rPr>
                <w:rFonts w:hint="eastAsia"/>
                <w:color w:val="auto"/>
                <w:highlight w:val="none"/>
              </w:rPr>
              <w:t>电子邮箱</w:t>
            </w:r>
          </w:p>
        </w:tc>
        <w:tc>
          <w:tcPr>
            <w:tcW w:w="2917" w:type="dxa"/>
            <w:noWrap w:val="0"/>
            <w:vAlign w:val="center"/>
          </w:tcPr>
          <w:p>
            <w:pPr>
              <w:snapToGrid w:val="0"/>
              <w:spacing w:line="460" w:lineRule="exact"/>
              <w:ind w:firstLine="0" w:firstLineChars="0"/>
              <w:rPr>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jc w:val="left"/>
              <w:rPr>
                <w:color w:val="auto"/>
                <w:highlight w:val="none"/>
              </w:rPr>
            </w:pPr>
            <w:r>
              <w:rPr>
                <w:rFonts w:hint="eastAsia"/>
                <w:color w:val="auto"/>
                <w:highlight w:val="none"/>
              </w:rPr>
              <w:t>开户银行及账号</w:t>
            </w:r>
          </w:p>
        </w:tc>
        <w:tc>
          <w:tcPr>
            <w:tcW w:w="7775" w:type="dxa"/>
            <w:gridSpan w:val="5"/>
            <w:noWrap w:val="0"/>
            <w:vAlign w:val="center"/>
          </w:tcPr>
          <w:p>
            <w:pPr>
              <w:snapToGrid w:val="0"/>
              <w:spacing w:line="460" w:lineRule="exact"/>
              <w:ind w:firstLine="0" w:firstLineChars="0"/>
              <w:rPr>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jc w:val="left"/>
              <w:rPr>
                <w:color w:val="auto"/>
                <w:highlight w:val="none"/>
              </w:rPr>
            </w:pPr>
            <w:r>
              <w:rPr>
                <w:rFonts w:hint="eastAsia"/>
                <w:color w:val="auto"/>
                <w:highlight w:val="none"/>
              </w:rPr>
              <w:t>人员情况</w:t>
            </w:r>
          </w:p>
        </w:tc>
        <w:tc>
          <w:tcPr>
            <w:tcW w:w="7775" w:type="dxa"/>
            <w:gridSpan w:val="5"/>
            <w:noWrap w:val="0"/>
            <w:vAlign w:val="center"/>
          </w:tcPr>
          <w:p>
            <w:pPr>
              <w:snapToGrid w:val="0"/>
              <w:spacing w:line="460" w:lineRule="exact"/>
              <w:ind w:firstLine="0" w:firstLineChars="0"/>
              <w:rPr>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jc w:val="left"/>
              <w:rPr>
                <w:color w:val="auto"/>
                <w:highlight w:val="none"/>
              </w:rPr>
            </w:pPr>
            <w:r>
              <w:rPr>
                <w:rFonts w:hint="eastAsia"/>
                <w:color w:val="auto"/>
                <w:highlight w:val="none"/>
              </w:rPr>
              <w:t>企业资质</w:t>
            </w:r>
          </w:p>
        </w:tc>
        <w:tc>
          <w:tcPr>
            <w:tcW w:w="7775" w:type="dxa"/>
            <w:gridSpan w:val="5"/>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460" w:lineRule="exact"/>
              <w:ind w:firstLine="0" w:firstLineChars="0"/>
              <w:jc w:val="left"/>
              <w:rPr>
                <w:rFonts w:cs="楷体"/>
                <w:b/>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jc w:val="left"/>
              <w:rPr>
                <w:color w:val="auto"/>
                <w:highlight w:val="none"/>
              </w:rPr>
            </w:pPr>
            <w:r>
              <w:rPr>
                <w:rFonts w:hint="eastAsia"/>
                <w:color w:val="auto"/>
                <w:highlight w:val="none"/>
              </w:rPr>
              <w:t>企业认证</w:t>
            </w:r>
          </w:p>
        </w:tc>
        <w:tc>
          <w:tcPr>
            <w:tcW w:w="7775" w:type="dxa"/>
            <w:gridSpan w:val="5"/>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460" w:lineRule="exact"/>
              <w:ind w:firstLine="0" w:firstLineChars="0"/>
              <w:jc w:val="left"/>
              <w:rPr>
                <w:rFonts w:cs="楷体"/>
                <w:b/>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jc w:val="left"/>
              <w:rPr>
                <w:color w:val="auto"/>
                <w:highlight w:val="none"/>
              </w:rPr>
            </w:pPr>
            <w:r>
              <w:rPr>
                <w:rFonts w:hint="eastAsia"/>
                <w:color w:val="auto"/>
                <w:highlight w:val="none"/>
              </w:rPr>
              <w:t>企业获奖（如有）</w:t>
            </w:r>
          </w:p>
        </w:tc>
        <w:tc>
          <w:tcPr>
            <w:tcW w:w="7775" w:type="dxa"/>
            <w:gridSpan w:val="5"/>
            <w:noWrap w:val="0"/>
            <w:vAlign w:val="center"/>
          </w:tcPr>
          <w:p>
            <w:pPr>
              <w:snapToGrid w:val="0"/>
              <w:spacing w:line="460" w:lineRule="exact"/>
              <w:ind w:firstLine="0" w:firstLineChars="0"/>
              <w:rPr>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rPr>
                <w:color w:val="auto"/>
                <w:highlight w:val="none"/>
              </w:rPr>
            </w:pPr>
            <w:r>
              <w:rPr>
                <w:rFonts w:hint="eastAsia"/>
                <w:color w:val="auto"/>
                <w:highlight w:val="none"/>
              </w:rPr>
              <w:t>备注</w:t>
            </w:r>
          </w:p>
        </w:tc>
        <w:tc>
          <w:tcPr>
            <w:tcW w:w="7775" w:type="dxa"/>
            <w:gridSpan w:val="5"/>
            <w:noWrap w:val="0"/>
            <w:vAlign w:val="center"/>
          </w:tcPr>
          <w:p>
            <w:pPr>
              <w:snapToGrid w:val="0"/>
              <w:spacing w:line="460" w:lineRule="exact"/>
              <w:ind w:firstLine="0" w:firstLineChars="0"/>
              <w:rPr>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noWrap w:val="0"/>
            <w:vAlign w:val="center"/>
          </w:tcPr>
          <w:p>
            <w:pPr>
              <w:snapToGrid w:val="0"/>
              <w:spacing w:line="460" w:lineRule="exact"/>
              <w:ind w:firstLine="0" w:firstLineChars="0"/>
              <w:jc w:val="center"/>
              <w:rPr>
                <w:color w:val="auto"/>
                <w:highlight w:val="none"/>
              </w:rPr>
            </w:pPr>
            <w:r>
              <w:rPr>
                <w:rFonts w:hint="eastAsia"/>
                <w:color w:val="auto"/>
                <w:highlight w:val="none"/>
              </w:rPr>
              <w:t>投标人联系人信息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rPr>
                <w:color w:val="auto"/>
                <w:highlight w:val="none"/>
              </w:rPr>
            </w:pPr>
            <w:r>
              <w:rPr>
                <w:rFonts w:hint="eastAsia"/>
                <w:color w:val="auto"/>
                <w:highlight w:val="none"/>
              </w:rPr>
              <w:t>姓名</w:t>
            </w:r>
          </w:p>
        </w:tc>
        <w:tc>
          <w:tcPr>
            <w:tcW w:w="3123" w:type="dxa"/>
            <w:gridSpan w:val="2"/>
            <w:noWrap w:val="0"/>
            <w:vAlign w:val="center"/>
          </w:tcPr>
          <w:p>
            <w:pPr>
              <w:snapToGrid w:val="0"/>
              <w:spacing w:line="460" w:lineRule="exact"/>
              <w:ind w:firstLine="0" w:firstLineChars="0"/>
              <w:rPr>
                <w:color w:val="auto"/>
                <w:highlight w:val="none"/>
              </w:rPr>
            </w:pPr>
          </w:p>
        </w:tc>
        <w:tc>
          <w:tcPr>
            <w:tcW w:w="1735" w:type="dxa"/>
            <w:gridSpan w:val="2"/>
            <w:noWrap w:val="0"/>
            <w:vAlign w:val="center"/>
          </w:tcPr>
          <w:p>
            <w:pPr>
              <w:snapToGrid w:val="0"/>
              <w:spacing w:line="460" w:lineRule="exact"/>
              <w:ind w:firstLine="0" w:firstLineChars="0"/>
              <w:rPr>
                <w:color w:val="auto"/>
                <w:highlight w:val="none"/>
              </w:rPr>
            </w:pPr>
            <w:r>
              <w:rPr>
                <w:rFonts w:hint="eastAsia"/>
                <w:color w:val="auto"/>
                <w:highlight w:val="none"/>
              </w:rPr>
              <w:t>移动电话</w:t>
            </w:r>
          </w:p>
        </w:tc>
        <w:tc>
          <w:tcPr>
            <w:tcW w:w="2917" w:type="dxa"/>
            <w:noWrap w:val="0"/>
            <w:vAlign w:val="center"/>
          </w:tcPr>
          <w:p>
            <w:pPr>
              <w:snapToGrid w:val="0"/>
              <w:spacing w:line="460" w:lineRule="exact"/>
              <w:ind w:firstLine="0" w:firstLineChars="0"/>
              <w:rPr>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snapToGrid w:val="0"/>
              <w:spacing w:line="460" w:lineRule="exact"/>
              <w:ind w:firstLine="0" w:firstLineChars="0"/>
              <w:rPr>
                <w:color w:val="auto"/>
                <w:highlight w:val="none"/>
              </w:rPr>
            </w:pPr>
            <w:r>
              <w:rPr>
                <w:rFonts w:hint="eastAsia"/>
                <w:color w:val="auto"/>
                <w:highlight w:val="none"/>
              </w:rPr>
              <w:t>固定电话</w:t>
            </w:r>
          </w:p>
        </w:tc>
        <w:tc>
          <w:tcPr>
            <w:tcW w:w="3123" w:type="dxa"/>
            <w:gridSpan w:val="2"/>
            <w:noWrap w:val="0"/>
            <w:vAlign w:val="center"/>
          </w:tcPr>
          <w:p>
            <w:pPr>
              <w:snapToGrid w:val="0"/>
              <w:spacing w:line="460" w:lineRule="exact"/>
              <w:ind w:firstLine="0" w:firstLineChars="0"/>
              <w:rPr>
                <w:color w:val="auto"/>
                <w:highlight w:val="none"/>
              </w:rPr>
            </w:pPr>
          </w:p>
        </w:tc>
        <w:tc>
          <w:tcPr>
            <w:tcW w:w="1735" w:type="dxa"/>
            <w:gridSpan w:val="2"/>
            <w:noWrap w:val="0"/>
            <w:vAlign w:val="center"/>
          </w:tcPr>
          <w:p>
            <w:pPr>
              <w:snapToGrid w:val="0"/>
              <w:spacing w:line="460" w:lineRule="exact"/>
              <w:ind w:firstLine="0" w:firstLineChars="0"/>
              <w:rPr>
                <w:color w:val="auto"/>
                <w:highlight w:val="none"/>
              </w:rPr>
            </w:pPr>
            <w:r>
              <w:rPr>
                <w:rFonts w:hint="eastAsia"/>
                <w:color w:val="auto"/>
                <w:highlight w:val="none"/>
              </w:rPr>
              <w:t>电子邮箱</w:t>
            </w:r>
          </w:p>
        </w:tc>
        <w:tc>
          <w:tcPr>
            <w:tcW w:w="2917" w:type="dxa"/>
            <w:noWrap w:val="0"/>
            <w:vAlign w:val="center"/>
          </w:tcPr>
          <w:p>
            <w:pPr>
              <w:snapToGrid w:val="0"/>
              <w:spacing w:line="460" w:lineRule="exact"/>
              <w:ind w:firstLine="0" w:firstLineChars="0"/>
              <w:rPr>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bottom w:val="thinThickSmallGap" w:color="auto" w:sz="12" w:space="0"/>
            </w:tcBorders>
            <w:noWrap w:val="0"/>
            <w:vAlign w:val="center"/>
          </w:tcPr>
          <w:p>
            <w:pPr>
              <w:snapToGrid w:val="0"/>
              <w:spacing w:line="460" w:lineRule="exact"/>
              <w:ind w:firstLine="0" w:firstLineChars="0"/>
              <w:rPr>
                <w:color w:val="auto"/>
                <w:highlight w:val="none"/>
              </w:rPr>
            </w:pPr>
            <w:r>
              <w:rPr>
                <w:rFonts w:hint="eastAsia"/>
                <w:color w:val="auto"/>
                <w:highlight w:val="none"/>
              </w:rPr>
              <w:t>企业简介：（可另附页或企业对外宣传手册，如有附后）</w:t>
            </w:r>
          </w:p>
        </w:tc>
      </w:tr>
    </w:tbl>
    <w:p>
      <w:pPr>
        <w:adjustRightInd w:val="0"/>
        <w:snapToGrid w:val="0"/>
        <w:spacing w:line="360" w:lineRule="auto"/>
        <w:ind w:firstLine="482"/>
        <w:textAlignment w:val="baseline"/>
        <w:rPr>
          <w:b/>
          <w:bCs/>
          <w:color w:val="auto"/>
          <w:highlight w:val="none"/>
        </w:rPr>
      </w:pPr>
      <w:r>
        <w:rPr>
          <w:rFonts w:hint="eastAsia"/>
          <w:b/>
          <w:bCs/>
          <w:color w:val="auto"/>
          <w:highlight w:val="none"/>
        </w:rPr>
        <w:t>（后附上与评标相关的投标人证书荣誉等相关证书复印件加盖公章）</w:t>
      </w:r>
    </w:p>
    <w:p>
      <w:pPr>
        <w:adjustRightInd w:val="0"/>
        <w:snapToGrid w:val="0"/>
        <w:spacing w:line="360" w:lineRule="auto"/>
        <w:ind w:firstLine="4080" w:firstLineChars="1700"/>
        <w:textAlignment w:val="baseline"/>
        <w:rPr>
          <w:color w:val="auto"/>
          <w:highlight w:val="none"/>
        </w:rPr>
      </w:pPr>
    </w:p>
    <w:p>
      <w:pPr>
        <w:adjustRightInd w:val="0"/>
        <w:snapToGrid w:val="0"/>
        <w:spacing w:line="360" w:lineRule="auto"/>
        <w:ind w:firstLine="4080" w:firstLineChars="1700"/>
        <w:textAlignment w:val="baseline"/>
        <w:rPr>
          <w:color w:val="auto"/>
          <w:highlight w:val="none"/>
        </w:rPr>
      </w:pPr>
      <w:r>
        <w:rPr>
          <w:rFonts w:hint="eastAsia"/>
          <w:color w:val="auto"/>
          <w:highlight w:val="none"/>
        </w:rPr>
        <w:t>投标人名称（盖章）：</w:t>
      </w:r>
      <w:r>
        <w:rPr>
          <w:color w:val="auto"/>
          <w:highlight w:val="none"/>
          <w:u w:val="single"/>
        </w:rPr>
        <w:t xml:space="preserve">                   </w:t>
      </w:r>
    </w:p>
    <w:p>
      <w:pPr>
        <w:adjustRightInd w:val="0"/>
        <w:snapToGrid w:val="0"/>
        <w:spacing w:line="360" w:lineRule="auto"/>
        <w:ind w:firstLine="4080" w:firstLineChars="1700"/>
        <w:textAlignment w:val="baseline"/>
        <w:rPr>
          <w:color w:val="auto"/>
          <w:highlight w:val="none"/>
        </w:rPr>
      </w:pPr>
      <w:r>
        <w:rPr>
          <w:rFonts w:hint="eastAsia"/>
          <w:color w:val="auto"/>
          <w:highlight w:val="none"/>
        </w:rPr>
        <w:t>法定代表人或授权代理人（签字或盖章）：</w:t>
      </w:r>
      <w:r>
        <w:rPr>
          <w:color w:val="auto"/>
          <w:highlight w:val="none"/>
          <w:u w:val="single"/>
        </w:rPr>
        <w:t xml:space="preserve">                  </w:t>
      </w:r>
    </w:p>
    <w:p>
      <w:pPr>
        <w:widowControl/>
        <w:adjustRightInd w:val="0"/>
        <w:snapToGrid w:val="0"/>
        <w:spacing w:line="360" w:lineRule="auto"/>
        <w:ind w:firstLine="4080" w:firstLineChars="1700"/>
        <w:rPr>
          <w:rFonts w:ascii="宋体" w:cs="宋体"/>
          <w:b/>
          <w:bCs/>
          <w:color w:val="auto"/>
          <w:highlight w:val="none"/>
        </w:rPr>
      </w:pPr>
      <w:r>
        <w:rPr>
          <w:rFonts w:hint="eastAsia"/>
          <w:color w:val="auto"/>
          <w:highlight w:val="none"/>
        </w:rPr>
        <w:t>日</w:t>
      </w:r>
      <w:r>
        <w:rPr>
          <w:rFonts w:hint="eastAsia" w:ascii="宋体" w:hAnsi="宋体" w:eastAsia="宋体" w:cs="宋体"/>
          <w:color w:val="auto"/>
          <w:highlight w:val="none"/>
        </w:rPr>
        <w:t>期：202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年   月   日</w:t>
      </w:r>
    </w:p>
    <w:p>
      <w:pPr>
        <w:pStyle w:val="29"/>
        <w:snapToGrid w:val="0"/>
        <w:ind w:left="0" w:firstLine="0" w:firstLineChars="0"/>
        <w:jc w:val="left"/>
        <w:rPr>
          <w:rFonts w:ascii="宋体" w:cs="宋体"/>
          <w:b/>
          <w:bCs/>
          <w:color w:val="auto"/>
          <w:highlight w:val="none"/>
        </w:rPr>
      </w:pPr>
      <w:r>
        <w:rPr>
          <w:rFonts w:hint="eastAsia" w:ascii="宋体" w:hAnsi="宋体" w:cs="宋体"/>
          <w:b/>
          <w:bCs/>
          <w:color w:val="auto"/>
          <w:highlight w:val="none"/>
        </w:rPr>
        <w:t xml:space="preserve">附件 </w:t>
      </w:r>
    </w:p>
    <w:p>
      <w:pPr>
        <w:pStyle w:val="29"/>
        <w:snapToGrid w:val="0"/>
        <w:spacing w:line="360" w:lineRule="auto"/>
        <w:ind w:left="0" w:firstLine="0" w:firstLineChars="0"/>
        <w:jc w:val="center"/>
        <w:rPr>
          <w:rFonts w:hint="eastAsia" w:ascii="宋体" w:hAnsi="宋体" w:cs="宋体"/>
          <w:b/>
          <w:color w:val="auto"/>
          <w:sz w:val="30"/>
          <w:szCs w:val="30"/>
          <w:highlight w:val="none"/>
          <w:lang w:val="en-GB"/>
        </w:rPr>
      </w:pPr>
      <w:r>
        <w:rPr>
          <w:rFonts w:hint="eastAsia" w:ascii="宋体" w:hAnsi="宋体" w:cs="宋体"/>
          <w:b/>
          <w:color w:val="auto"/>
          <w:sz w:val="30"/>
          <w:szCs w:val="30"/>
          <w:highlight w:val="none"/>
          <w:lang w:val="en-GB" w:eastAsia="zh-CN"/>
        </w:rPr>
        <w:t>同类</w:t>
      </w:r>
      <w:r>
        <w:rPr>
          <w:rFonts w:hint="eastAsia" w:ascii="宋体" w:hAnsi="宋体" w:cs="宋体"/>
          <w:b/>
          <w:color w:val="auto"/>
          <w:sz w:val="30"/>
          <w:szCs w:val="30"/>
          <w:highlight w:val="none"/>
          <w:lang w:val="en-GB"/>
        </w:rPr>
        <w:t>项目业绩一览表</w:t>
      </w:r>
    </w:p>
    <w:p>
      <w:pPr>
        <w:pStyle w:val="29"/>
        <w:snapToGrid w:val="0"/>
        <w:spacing w:line="360" w:lineRule="auto"/>
        <w:ind w:left="0" w:firstLine="480" w:firstLineChars="200"/>
        <w:rPr>
          <w:rFonts w:ascii="宋体" w:hAnsi="宋体"/>
          <w:color w:val="auto"/>
          <w:highlight w:val="none"/>
        </w:rPr>
      </w:pPr>
      <w:r>
        <w:rPr>
          <w:rFonts w:hint="eastAsia" w:ascii="宋体" w:hAnsi="宋体"/>
          <w:color w:val="auto"/>
          <w:highlight w:val="none"/>
        </w:rPr>
        <w:t>单位全称（公章）：</w:t>
      </w:r>
      <w:r>
        <w:rPr>
          <w:rFonts w:ascii="宋体" w:hAnsi="宋体"/>
          <w:color w:val="auto"/>
          <w:highlight w:val="none"/>
          <w:u w:val="single"/>
        </w:rPr>
        <w:t xml:space="preserve">          </w:t>
      </w:r>
      <w:r>
        <w:rPr>
          <w:rFonts w:ascii="宋体" w:hAnsi="宋体"/>
          <w:color w:val="auto"/>
          <w:highlight w:val="none"/>
        </w:rPr>
        <w:t xml:space="preserve">   </w:t>
      </w:r>
    </w:p>
    <w:p>
      <w:pPr>
        <w:pStyle w:val="29"/>
        <w:snapToGrid w:val="0"/>
        <w:spacing w:line="360" w:lineRule="auto"/>
        <w:ind w:left="0" w:firstLine="480" w:firstLineChars="200"/>
        <w:rPr>
          <w:rFonts w:ascii="宋体" w:hAnsi="宋体"/>
          <w:color w:val="auto"/>
          <w:highlight w:val="none"/>
        </w:rPr>
      </w:pPr>
      <w:r>
        <w:rPr>
          <w:rFonts w:ascii="宋体" w:hAnsi="宋体"/>
          <w:color w:val="auto"/>
          <w:highlight w:val="none"/>
        </w:rPr>
        <w:t xml:space="preserve"> </w:t>
      </w:r>
    </w:p>
    <w:tbl>
      <w:tblPr>
        <w:tblStyle w:val="37"/>
        <w:tblW w:w="9735"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093"/>
        <w:gridCol w:w="1332"/>
        <w:gridCol w:w="1332"/>
        <w:gridCol w:w="1334"/>
        <w:gridCol w:w="1809"/>
        <w:gridCol w:w="970"/>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65" w:type="dxa"/>
            <w:tcBorders>
              <w:top w:val="thinThickSmallGap" w:color="auto" w:sz="12" w:space="0"/>
            </w:tcBorders>
            <w:noWrap/>
            <w:vAlign w:val="center"/>
          </w:tcPr>
          <w:p>
            <w:pPr>
              <w:ind w:firstLine="0" w:firstLineChars="0"/>
              <w:jc w:val="center"/>
              <w:rPr>
                <w:rFonts w:ascii="宋体" w:cs="宋体"/>
                <w:color w:val="auto"/>
                <w:highlight w:val="none"/>
                <w:lang w:val="zh-CN"/>
              </w:rPr>
            </w:pPr>
            <w:r>
              <w:rPr>
                <w:rFonts w:hint="eastAsia" w:ascii="宋体" w:hAnsi="宋体" w:cs="宋体"/>
                <w:color w:val="auto"/>
                <w:highlight w:val="none"/>
                <w:lang w:val="zh-CN"/>
              </w:rPr>
              <w:t>序号</w:t>
            </w:r>
          </w:p>
        </w:tc>
        <w:tc>
          <w:tcPr>
            <w:tcW w:w="2093" w:type="dxa"/>
            <w:tcBorders>
              <w:top w:val="thinThickSmallGap" w:color="auto" w:sz="12" w:space="0"/>
            </w:tcBorders>
            <w:noWrap/>
            <w:vAlign w:val="center"/>
          </w:tcPr>
          <w:p>
            <w:pPr>
              <w:ind w:firstLine="0" w:firstLineChars="0"/>
              <w:jc w:val="center"/>
              <w:rPr>
                <w:rFonts w:ascii="宋体" w:cs="宋体"/>
                <w:color w:val="auto"/>
                <w:highlight w:val="none"/>
                <w:lang w:val="zh-CN"/>
              </w:rPr>
            </w:pPr>
            <w:r>
              <w:rPr>
                <w:rFonts w:hint="eastAsia" w:ascii="宋体" w:hAnsi="宋体" w:cs="宋体"/>
                <w:color w:val="auto"/>
                <w:highlight w:val="none"/>
                <w:lang w:val="zh-CN"/>
              </w:rPr>
              <w:t>项目名称</w:t>
            </w:r>
          </w:p>
        </w:tc>
        <w:tc>
          <w:tcPr>
            <w:tcW w:w="1332" w:type="dxa"/>
            <w:tcBorders>
              <w:top w:val="thinThickSmallGap" w:color="auto" w:sz="12" w:space="0"/>
            </w:tcBorders>
            <w:noWrap/>
            <w:vAlign w:val="center"/>
          </w:tcPr>
          <w:p>
            <w:pPr>
              <w:ind w:firstLine="0" w:firstLineChars="0"/>
              <w:jc w:val="center"/>
              <w:rPr>
                <w:rFonts w:ascii="宋体" w:cs="宋体"/>
                <w:color w:val="auto"/>
                <w:highlight w:val="none"/>
              </w:rPr>
            </w:pPr>
            <w:r>
              <w:rPr>
                <w:rFonts w:hint="eastAsia" w:ascii="宋体" w:hAnsi="宋体" w:cs="宋体"/>
                <w:color w:val="auto"/>
                <w:highlight w:val="none"/>
              </w:rPr>
              <w:t>数量</w:t>
            </w:r>
          </w:p>
        </w:tc>
        <w:tc>
          <w:tcPr>
            <w:tcW w:w="1332" w:type="dxa"/>
            <w:tcBorders>
              <w:top w:val="thinThickSmallGap" w:color="auto" w:sz="12" w:space="0"/>
            </w:tcBorders>
            <w:noWrap/>
            <w:vAlign w:val="center"/>
          </w:tcPr>
          <w:p>
            <w:pPr>
              <w:ind w:firstLine="0" w:firstLineChars="0"/>
              <w:jc w:val="center"/>
              <w:rPr>
                <w:rFonts w:ascii="宋体" w:cs="宋体"/>
                <w:color w:val="auto"/>
                <w:highlight w:val="none"/>
              </w:rPr>
            </w:pPr>
            <w:r>
              <w:rPr>
                <w:rFonts w:hint="eastAsia" w:ascii="宋体" w:hAnsi="宋体" w:cs="宋体"/>
                <w:color w:val="auto"/>
                <w:highlight w:val="none"/>
              </w:rPr>
              <w:t>单价</w:t>
            </w:r>
          </w:p>
        </w:tc>
        <w:tc>
          <w:tcPr>
            <w:tcW w:w="1334" w:type="dxa"/>
            <w:tcBorders>
              <w:top w:val="thinThickSmallGap" w:color="auto" w:sz="12" w:space="0"/>
            </w:tcBorders>
            <w:noWrap/>
            <w:vAlign w:val="center"/>
          </w:tcPr>
          <w:p>
            <w:pPr>
              <w:snapToGrid w:val="0"/>
              <w:ind w:firstLine="0" w:firstLineChars="0"/>
              <w:rPr>
                <w:rFonts w:ascii="宋体"/>
                <w:color w:val="auto"/>
                <w:highlight w:val="none"/>
              </w:rPr>
            </w:pPr>
            <w:r>
              <w:rPr>
                <w:rFonts w:hint="eastAsia" w:ascii="宋体" w:hAnsi="宋体"/>
                <w:color w:val="auto"/>
                <w:highlight w:val="none"/>
              </w:rPr>
              <w:t>合同金额</w:t>
            </w:r>
          </w:p>
          <w:p>
            <w:pPr>
              <w:ind w:firstLine="0" w:firstLineChars="0"/>
              <w:jc w:val="center"/>
              <w:rPr>
                <w:rFonts w:ascii="宋体" w:cs="宋体"/>
                <w:color w:val="auto"/>
                <w:highlight w:val="none"/>
                <w:lang w:val="zh-CN"/>
              </w:rPr>
            </w:pPr>
            <w:r>
              <w:rPr>
                <w:rFonts w:hint="eastAsia" w:ascii="宋体" w:hAnsi="宋体"/>
                <w:color w:val="auto"/>
                <w:highlight w:val="none"/>
              </w:rPr>
              <w:t>（万元）</w:t>
            </w:r>
          </w:p>
        </w:tc>
        <w:tc>
          <w:tcPr>
            <w:tcW w:w="1809" w:type="dxa"/>
            <w:tcBorders>
              <w:top w:val="thinThickSmallGap" w:color="auto" w:sz="12" w:space="0"/>
            </w:tcBorders>
            <w:noWrap/>
            <w:vAlign w:val="center"/>
          </w:tcPr>
          <w:p>
            <w:pPr>
              <w:ind w:firstLine="0" w:firstLineChars="0"/>
              <w:jc w:val="center"/>
              <w:rPr>
                <w:rFonts w:ascii="宋体" w:cs="宋体"/>
                <w:color w:val="auto"/>
                <w:highlight w:val="none"/>
                <w:lang w:val="zh-CN"/>
              </w:rPr>
            </w:pPr>
            <w:r>
              <w:rPr>
                <w:rFonts w:hint="eastAsia" w:ascii="宋体" w:hAnsi="宋体" w:cs="宋体"/>
                <w:color w:val="auto"/>
                <w:highlight w:val="none"/>
                <w:lang w:val="zh-CN"/>
              </w:rPr>
              <w:t>项目单位、联系人及电话</w:t>
            </w:r>
          </w:p>
        </w:tc>
        <w:tc>
          <w:tcPr>
            <w:tcW w:w="970" w:type="dxa"/>
            <w:tcBorders>
              <w:top w:val="thinThickSmallGap" w:color="auto" w:sz="12" w:space="0"/>
            </w:tcBorders>
            <w:noWrap/>
            <w:vAlign w:val="center"/>
          </w:tcPr>
          <w:p>
            <w:pPr>
              <w:ind w:firstLine="0" w:firstLineChars="0"/>
              <w:jc w:val="center"/>
              <w:rPr>
                <w:rFonts w:ascii="宋体" w:cs="宋体"/>
                <w:color w:val="auto"/>
                <w:highlight w:val="none"/>
                <w:lang w:val="zh-CN"/>
              </w:rPr>
            </w:pPr>
            <w:r>
              <w:rPr>
                <w:rFonts w:hint="eastAsia" w:ascii="宋体" w:hAnsi="宋体" w:cs="宋体"/>
                <w:color w:val="auto"/>
                <w:highlight w:val="none"/>
                <w:lang w:val="zh-CN"/>
              </w:rPr>
              <w:t>备注</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noWrap/>
            <w:vAlign w:val="center"/>
          </w:tcPr>
          <w:p>
            <w:pPr>
              <w:autoSpaceDE w:val="0"/>
              <w:autoSpaceDN w:val="0"/>
              <w:adjustRightInd w:val="0"/>
              <w:snapToGrid w:val="0"/>
              <w:ind w:firstLine="0" w:firstLineChars="0"/>
              <w:jc w:val="center"/>
              <w:rPr>
                <w:rFonts w:ascii="宋体" w:cs="宋体"/>
                <w:color w:val="auto"/>
                <w:highlight w:val="none"/>
              </w:rPr>
            </w:pPr>
            <w:r>
              <w:rPr>
                <w:rFonts w:ascii="宋体" w:hAnsi="宋体" w:cs="宋体"/>
                <w:color w:val="auto"/>
                <w:highlight w:val="none"/>
              </w:rPr>
              <w:t>1</w:t>
            </w:r>
          </w:p>
        </w:tc>
        <w:tc>
          <w:tcPr>
            <w:tcW w:w="2093"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1332"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1332"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1334"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1809"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970"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noWrap/>
            <w:vAlign w:val="center"/>
          </w:tcPr>
          <w:p>
            <w:pPr>
              <w:autoSpaceDE w:val="0"/>
              <w:autoSpaceDN w:val="0"/>
              <w:adjustRightInd w:val="0"/>
              <w:snapToGrid w:val="0"/>
              <w:ind w:firstLine="0" w:firstLineChars="0"/>
              <w:jc w:val="center"/>
              <w:rPr>
                <w:rFonts w:ascii="宋体" w:cs="宋体"/>
                <w:color w:val="auto"/>
                <w:highlight w:val="none"/>
              </w:rPr>
            </w:pPr>
            <w:r>
              <w:rPr>
                <w:rFonts w:ascii="宋体" w:hAnsi="宋体" w:cs="宋体"/>
                <w:color w:val="auto"/>
                <w:highlight w:val="none"/>
              </w:rPr>
              <w:t>2</w:t>
            </w:r>
          </w:p>
        </w:tc>
        <w:tc>
          <w:tcPr>
            <w:tcW w:w="2093"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1332"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1332"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1334"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1809"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970"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noWrap/>
            <w:vAlign w:val="center"/>
          </w:tcPr>
          <w:p>
            <w:pPr>
              <w:autoSpaceDE w:val="0"/>
              <w:autoSpaceDN w:val="0"/>
              <w:adjustRightInd w:val="0"/>
              <w:snapToGrid w:val="0"/>
              <w:ind w:firstLine="0" w:firstLineChars="0"/>
              <w:jc w:val="center"/>
              <w:rPr>
                <w:rFonts w:ascii="宋体" w:cs="宋体"/>
                <w:color w:val="auto"/>
                <w:highlight w:val="none"/>
              </w:rPr>
            </w:pPr>
            <w:r>
              <w:rPr>
                <w:rFonts w:ascii="宋体" w:hAnsi="宋体" w:cs="宋体"/>
                <w:color w:val="auto"/>
                <w:highlight w:val="none"/>
              </w:rPr>
              <w:t>3</w:t>
            </w:r>
          </w:p>
        </w:tc>
        <w:tc>
          <w:tcPr>
            <w:tcW w:w="2093"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1332"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1332"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1334"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1809"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970"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noWrap/>
            <w:vAlign w:val="center"/>
          </w:tcPr>
          <w:p>
            <w:pPr>
              <w:autoSpaceDE w:val="0"/>
              <w:autoSpaceDN w:val="0"/>
              <w:adjustRightInd w:val="0"/>
              <w:snapToGrid w:val="0"/>
              <w:ind w:firstLine="0" w:firstLineChars="0"/>
              <w:jc w:val="center"/>
              <w:rPr>
                <w:rFonts w:ascii="宋体" w:cs="宋体"/>
                <w:color w:val="auto"/>
                <w:highlight w:val="none"/>
              </w:rPr>
            </w:pPr>
            <w:r>
              <w:rPr>
                <w:rFonts w:ascii="宋体" w:hAnsi="宋体" w:cs="宋体"/>
                <w:color w:val="auto"/>
                <w:highlight w:val="none"/>
              </w:rPr>
              <w:t>4</w:t>
            </w:r>
          </w:p>
        </w:tc>
        <w:tc>
          <w:tcPr>
            <w:tcW w:w="2093"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1332"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1332"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1334"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1809"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970"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noWrap/>
            <w:vAlign w:val="center"/>
          </w:tcPr>
          <w:p>
            <w:pPr>
              <w:autoSpaceDE w:val="0"/>
              <w:autoSpaceDN w:val="0"/>
              <w:adjustRightInd w:val="0"/>
              <w:snapToGrid w:val="0"/>
              <w:ind w:firstLine="0" w:firstLineChars="0"/>
              <w:jc w:val="center"/>
              <w:rPr>
                <w:rFonts w:ascii="宋体" w:cs="宋体"/>
                <w:color w:val="auto"/>
                <w:highlight w:val="none"/>
              </w:rPr>
            </w:pPr>
            <w:r>
              <w:rPr>
                <w:rFonts w:ascii="宋体" w:hAnsi="宋体" w:cs="宋体"/>
                <w:color w:val="auto"/>
                <w:highlight w:val="none"/>
              </w:rPr>
              <w:t>5</w:t>
            </w:r>
          </w:p>
        </w:tc>
        <w:tc>
          <w:tcPr>
            <w:tcW w:w="2093"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1332"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1332"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1334"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1809"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970" w:type="dxa"/>
            <w:noWrap/>
            <w:vAlign w:val="center"/>
          </w:tcPr>
          <w:p>
            <w:pPr>
              <w:autoSpaceDE w:val="0"/>
              <w:autoSpaceDN w:val="0"/>
              <w:adjustRightInd w:val="0"/>
              <w:snapToGrid w:val="0"/>
              <w:ind w:firstLine="0" w:firstLineChars="0"/>
              <w:jc w:val="center"/>
              <w:rPr>
                <w:rFonts w:ascii="宋体" w:cs="宋体"/>
                <w:color w:val="auto"/>
                <w:highlight w:val="none"/>
                <w:lang w:val="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tcBorders>
              <w:bottom w:val="thinThickSmallGap" w:color="auto" w:sz="12" w:space="0"/>
            </w:tcBorders>
            <w:noWrap/>
            <w:vAlign w:val="center"/>
          </w:tcPr>
          <w:p>
            <w:pPr>
              <w:autoSpaceDE w:val="0"/>
              <w:autoSpaceDN w:val="0"/>
              <w:adjustRightInd w:val="0"/>
              <w:snapToGrid w:val="0"/>
              <w:ind w:firstLine="0" w:firstLineChars="0"/>
              <w:jc w:val="center"/>
              <w:rPr>
                <w:rFonts w:ascii="宋体" w:cs="宋体"/>
                <w:color w:val="auto"/>
                <w:highlight w:val="none"/>
              </w:rPr>
            </w:pPr>
            <w:r>
              <w:rPr>
                <w:rFonts w:hint="eastAsia" w:ascii="宋体" w:hAnsi="宋体" w:cs="宋体"/>
                <w:color w:val="auto"/>
                <w:highlight w:val="none"/>
              </w:rPr>
              <w:t>……</w:t>
            </w:r>
          </w:p>
        </w:tc>
        <w:tc>
          <w:tcPr>
            <w:tcW w:w="2093" w:type="dxa"/>
            <w:tcBorders>
              <w:bottom w:val="thinThickSmallGap" w:color="auto" w:sz="12" w:space="0"/>
            </w:tcBorders>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1332" w:type="dxa"/>
            <w:tcBorders>
              <w:bottom w:val="thinThickSmallGap" w:color="auto" w:sz="12" w:space="0"/>
            </w:tcBorders>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1332" w:type="dxa"/>
            <w:tcBorders>
              <w:bottom w:val="thinThickSmallGap" w:color="auto" w:sz="12" w:space="0"/>
            </w:tcBorders>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1334" w:type="dxa"/>
            <w:tcBorders>
              <w:bottom w:val="thinThickSmallGap" w:color="auto" w:sz="12" w:space="0"/>
            </w:tcBorders>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1809" w:type="dxa"/>
            <w:tcBorders>
              <w:bottom w:val="thinThickSmallGap" w:color="auto" w:sz="12" w:space="0"/>
            </w:tcBorders>
            <w:noWrap/>
            <w:vAlign w:val="center"/>
          </w:tcPr>
          <w:p>
            <w:pPr>
              <w:autoSpaceDE w:val="0"/>
              <w:autoSpaceDN w:val="0"/>
              <w:adjustRightInd w:val="0"/>
              <w:snapToGrid w:val="0"/>
              <w:ind w:firstLine="0" w:firstLineChars="0"/>
              <w:jc w:val="center"/>
              <w:rPr>
                <w:rFonts w:ascii="宋体" w:cs="宋体"/>
                <w:color w:val="auto"/>
                <w:highlight w:val="none"/>
                <w:lang w:val="zh-CN"/>
              </w:rPr>
            </w:pPr>
          </w:p>
        </w:tc>
        <w:tc>
          <w:tcPr>
            <w:tcW w:w="970" w:type="dxa"/>
            <w:tcBorders>
              <w:bottom w:val="thinThickSmallGap" w:color="auto" w:sz="12" w:space="0"/>
            </w:tcBorders>
            <w:noWrap/>
            <w:vAlign w:val="center"/>
          </w:tcPr>
          <w:p>
            <w:pPr>
              <w:autoSpaceDE w:val="0"/>
              <w:autoSpaceDN w:val="0"/>
              <w:adjustRightInd w:val="0"/>
              <w:snapToGrid w:val="0"/>
              <w:ind w:firstLine="0" w:firstLineChars="0"/>
              <w:jc w:val="center"/>
              <w:rPr>
                <w:rFonts w:ascii="宋体" w:cs="宋体"/>
                <w:color w:val="auto"/>
                <w:highlight w:val="none"/>
                <w:lang w:val="zh-CN"/>
              </w:rPr>
            </w:pPr>
          </w:p>
        </w:tc>
      </w:tr>
    </w:tbl>
    <w:p>
      <w:pPr>
        <w:adjustRightInd w:val="0"/>
        <w:snapToGrid w:val="0"/>
        <w:spacing w:before="163" w:beforeLines="50"/>
        <w:ind w:firstLine="480"/>
        <w:rPr>
          <w:rFonts w:cs="宋体"/>
          <w:color w:val="auto"/>
          <w:highlight w:val="none"/>
        </w:rPr>
      </w:pPr>
      <w:r>
        <w:rPr>
          <w:rFonts w:cs="宋体"/>
          <w:color w:val="auto"/>
          <w:highlight w:val="none"/>
        </w:rPr>
        <w:t>1.</w:t>
      </w:r>
      <w:r>
        <w:rPr>
          <w:rFonts w:hint="eastAsia" w:cs="宋体"/>
          <w:color w:val="auto"/>
          <w:highlight w:val="none"/>
        </w:rPr>
        <w:t>同类项目业绩出具相关证明文件复印件</w:t>
      </w:r>
      <w:r>
        <w:rPr>
          <w:rFonts w:hint="eastAsia" w:cs="宋体"/>
          <w:color w:val="auto"/>
          <w:highlight w:val="none"/>
          <w:lang w:val="zh-CN"/>
        </w:rPr>
        <w:t>附后</w:t>
      </w:r>
      <w:r>
        <w:rPr>
          <w:rFonts w:hint="eastAsia" w:cs="宋体"/>
          <w:color w:val="auto"/>
          <w:highlight w:val="none"/>
        </w:rPr>
        <w:t>；</w:t>
      </w:r>
    </w:p>
    <w:p>
      <w:pPr>
        <w:tabs>
          <w:tab w:val="left" w:pos="0"/>
        </w:tabs>
        <w:snapToGrid w:val="0"/>
        <w:ind w:firstLine="480"/>
        <w:jc w:val="left"/>
        <w:rPr>
          <w:rFonts w:cs="??_GB2312"/>
          <w:color w:val="auto"/>
          <w:highlight w:val="none"/>
        </w:rPr>
      </w:pPr>
      <w:r>
        <w:rPr>
          <w:rFonts w:cs="宋体"/>
          <w:color w:val="auto"/>
          <w:highlight w:val="none"/>
        </w:rPr>
        <w:t>2.</w:t>
      </w:r>
      <w:r>
        <w:rPr>
          <w:rFonts w:hint="eastAsia" w:cs="宋体"/>
          <w:color w:val="auto"/>
          <w:highlight w:val="none"/>
          <w:lang w:val="zh-CN"/>
        </w:rPr>
        <w:t>此表不够可自行添加。</w:t>
      </w:r>
    </w:p>
    <w:p>
      <w:pPr>
        <w:pStyle w:val="29"/>
        <w:snapToGrid w:val="0"/>
        <w:spacing w:line="360" w:lineRule="auto"/>
        <w:ind w:left="0" w:firstLine="480" w:firstLineChars="200"/>
        <w:rPr>
          <w:rFonts w:ascii="宋体"/>
          <w:b/>
          <w:color w:val="auto"/>
          <w:highlight w:val="none"/>
        </w:rPr>
      </w:pPr>
      <w:r>
        <w:rPr>
          <w:rFonts w:ascii="宋体" w:hAnsi="宋体"/>
          <w:color w:val="auto"/>
          <w:highlight w:val="none"/>
        </w:rPr>
        <w:t xml:space="preserve">                 </w:t>
      </w:r>
    </w:p>
    <w:p>
      <w:pPr>
        <w:ind w:firstLine="480"/>
        <w:jc w:val="right"/>
        <w:rPr>
          <w:rFonts w:ascii="宋体" w:hAnsi="宋体" w:cs="宋体"/>
          <w:color w:val="auto"/>
          <w:highlight w:val="none"/>
        </w:rPr>
      </w:pPr>
    </w:p>
    <w:p>
      <w:pPr>
        <w:ind w:firstLine="480"/>
        <w:jc w:val="right"/>
        <w:rPr>
          <w:rFonts w:ascii="宋体" w:hAnsi="宋体" w:cs="宋体"/>
          <w:color w:val="auto"/>
          <w:highlight w:val="none"/>
        </w:rPr>
      </w:pPr>
    </w:p>
    <w:p>
      <w:pPr>
        <w:ind w:firstLine="480"/>
        <w:jc w:val="right"/>
        <w:rPr>
          <w:rFonts w:ascii="宋体" w:hAnsi="宋体" w:cs="宋体"/>
          <w:color w:val="auto"/>
          <w:highlight w:val="none"/>
        </w:rPr>
      </w:pPr>
    </w:p>
    <w:p>
      <w:pPr>
        <w:ind w:firstLine="480"/>
        <w:jc w:val="right"/>
        <w:rPr>
          <w:rFonts w:ascii="宋体" w:hAnsi="宋体" w:cs="宋体"/>
          <w:color w:val="auto"/>
          <w:highlight w:val="none"/>
        </w:rPr>
      </w:pPr>
    </w:p>
    <w:p>
      <w:pPr>
        <w:spacing w:line="360" w:lineRule="auto"/>
        <w:ind w:firstLine="4039" w:firstLineChars="1683"/>
        <w:rPr>
          <w:rFonts w:ascii="宋体" w:hAnsi="宋体" w:cs="宋体"/>
          <w:color w:val="auto"/>
          <w:highlight w:val="none"/>
        </w:rPr>
      </w:pPr>
      <w:r>
        <w:rPr>
          <w:rFonts w:hint="eastAsia" w:ascii="宋体" w:hAnsi="宋体" w:cs="宋体"/>
          <w:color w:val="auto"/>
          <w:highlight w:val="none"/>
        </w:rPr>
        <w:t>投标人名称（盖章）</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pPr>
        <w:spacing w:line="360" w:lineRule="auto"/>
        <w:ind w:firstLine="4080" w:firstLineChars="1700"/>
        <w:rPr>
          <w:rFonts w:ascii="宋体" w:hAnsi="宋体" w:cs="宋体"/>
          <w:color w:val="auto"/>
          <w:highlight w:val="none"/>
        </w:rPr>
      </w:pPr>
      <w:r>
        <w:rPr>
          <w:rFonts w:hint="eastAsia" w:ascii="宋体" w:hAnsi="宋体" w:cs="宋体"/>
          <w:color w:val="auto"/>
          <w:highlight w:val="none"/>
        </w:rPr>
        <w:t>法定代表人或授权代理人（签字或盖章）</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pPr>
        <w:spacing w:line="360" w:lineRule="auto"/>
        <w:ind w:firstLine="4080" w:firstLineChars="1700"/>
        <w:rPr>
          <w:rFonts w:ascii="宋体" w:hAnsi="宋体" w:cs="宋体"/>
          <w:color w:val="auto"/>
          <w:highlight w:val="none"/>
        </w:rPr>
      </w:pPr>
      <w:r>
        <w:rPr>
          <w:rFonts w:hint="eastAsia" w:ascii="宋体" w:hAnsi="宋体" w:cs="宋体"/>
          <w:color w:val="auto"/>
          <w:highlight w:val="none"/>
        </w:rPr>
        <w:t>日 期：202</w:t>
      </w:r>
      <w:r>
        <w:rPr>
          <w:rFonts w:hint="eastAsia" w:ascii="宋体" w:hAnsi="宋体" w:cs="宋体"/>
          <w:color w:val="auto"/>
          <w:highlight w:val="none"/>
          <w:lang w:val="en-US" w:eastAsia="zh-CN"/>
        </w:rPr>
        <w:t>3</w:t>
      </w:r>
      <w:r>
        <w:rPr>
          <w:rFonts w:hint="eastAsia" w:ascii="宋体" w:hAnsi="宋体" w:cs="宋体"/>
          <w:color w:val="auto"/>
          <w:highlight w:val="none"/>
        </w:rPr>
        <w:t>年   月   日</w:t>
      </w:r>
    </w:p>
    <w:p>
      <w:pPr>
        <w:pStyle w:val="2"/>
        <w:spacing w:beforeLines="0" w:afterLines="0" w:line="360" w:lineRule="auto"/>
        <w:jc w:val="both"/>
        <w:rPr>
          <w:color w:val="auto"/>
          <w:highlight w:val="none"/>
        </w:rPr>
      </w:pPr>
    </w:p>
    <w:p>
      <w:pPr>
        <w:pStyle w:val="15"/>
        <w:spacing w:line="360" w:lineRule="auto"/>
        <w:ind w:firstLine="0" w:firstLineChars="0"/>
        <w:jc w:val="both"/>
        <w:rPr>
          <w:color w:val="auto"/>
          <w:highlight w:val="none"/>
        </w:rPr>
      </w:pPr>
    </w:p>
    <w:p>
      <w:pPr>
        <w:ind w:firstLine="0" w:firstLineChars="0"/>
        <w:rPr>
          <w:rFonts w:ascii="宋体" w:hAnsi="宋体" w:cs="宋体"/>
          <w:b/>
          <w:bCs/>
          <w:color w:val="auto"/>
          <w:highlight w:val="none"/>
        </w:rPr>
      </w:pPr>
    </w:p>
    <w:p>
      <w:pPr>
        <w:ind w:firstLine="0" w:firstLineChars="0"/>
        <w:rPr>
          <w:rFonts w:hint="eastAsia" w:ascii="宋体" w:hAnsi="宋体" w:cs="宋体"/>
          <w:b/>
          <w:bCs/>
          <w:color w:val="auto"/>
          <w:highlight w:val="none"/>
        </w:rPr>
      </w:pPr>
    </w:p>
    <w:p>
      <w:pPr>
        <w:ind w:firstLine="0" w:firstLineChars="0"/>
        <w:rPr>
          <w:rFonts w:ascii="宋体" w:cs="宋体"/>
          <w:b/>
          <w:bCs/>
          <w:color w:val="auto"/>
          <w:highlight w:val="none"/>
        </w:rPr>
      </w:pPr>
      <w:r>
        <w:rPr>
          <w:rFonts w:hint="eastAsia" w:ascii="宋体" w:hAnsi="宋体" w:cs="宋体"/>
          <w:b/>
          <w:bCs/>
          <w:color w:val="auto"/>
          <w:highlight w:val="none"/>
        </w:rPr>
        <w:t xml:space="preserve">附件 </w:t>
      </w:r>
    </w:p>
    <w:p>
      <w:pPr>
        <w:spacing w:before="50" w:after="120"/>
        <w:ind w:firstLine="0" w:firstLineChars="0"/>
        <w:jc w:val="center"/>
        <w:rPr>
          <w:rFonts w:ascii="宋体" w:cs="宋体"/>
          <w:b/>
          <w:color w:val="auto"/>
          <w:sz w:val="32"/>
          <w:szCs w:val="32"/>
          <w:highlight w:val="none"/>
        </w:rPr>
      </w:pPr>
      <w:r>
        <w:rPr>
          <w:rFonts w:hint="eastAsia" w:ascii="宋体" w:hAnsi="宋体" w:cs="宋体"/>
          <w:b/>
          <w:color w:val="auto"/>
          <w:sz w:val="32"/>
          <w:szCs w:val="32"/>
          <w:highlight w:val="none"/>
        </w:rPr>
        <w:t>技术响应表</w:t>
      </w:r>
    </w:p>
    <w:tbl>
      <w:tblPr>
        <w:tblStyle w:val="37"/>
        <w:tblW w:w="0" w:type="auto"/>
        <w:tblInd w:w="1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5"/>
        <w:gridCol w:w="2783"/>
        <w:gridCol w:w="2445"/>
        <w:gridCol w:w="2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hAnsi="宋体" w:cs="宋体"/>
                <w:color w:val="auto"/>
                <w:sz w:val="24"/>
                <w:highlight w:val="none"/>
                <w:lang w:val="en-US" w:eastAsia="zh-CN"/>
              </w:rPr>
            </w:pPr>
            <w:r>
              <w:rPr>
                <w:rFonts w:hint="eastAsia" w:hAnsi="宋体" w:cs="宋体"/>
                <w:color w:val="auto"/>
                <w:sz w:val="24"/>
                <w:highlight w:val="none"/>
                <w:lang w:val="en-US" w:eastAsia="zh-CN"/>
              </w:rPr>
              <w:t>序号</w:t>
            </w:r>
          </w:p>
        </w:tc>
        <w:tc>
          <w:tcPr>
            <w:tcW w:w="2783"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hAnsi="宋体" w:cs="宋体"/>
                <w:color w:val="auto"/>
                <w:sz w:val="24"/>
                <w:highlight w:val="none"/>
                <w:lang w:val="en-US" w:eastAsia="zh-CN"/>
              </w:rPr>
            </w:pPr>
            <w:r>
              <w:rPr>
                <w:rFonts w:hint="eastAsia" w:hAnsi="宋体" w:cs="宋体"/>
                <w:color w:val="auto"/>
                <w:sz w:val="24"/>
                <w:highlight w:val="none"/>
                <w:lang w:val="en-US" w:eastAsia="zh-CN"/>
              </w:rPr>
              <w:t>招标文件的指标</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hAnsi="宋体" w:cs="宋体"/>
                <w:color w:val="auto"/>
                <w:sz w:val="24"/>
                <w:highlight w:val="none"/>
                <w:lang w:val="en-US" w:eastAsia="zh-CN"/>
              </w:rPr>
            </w:pPr>
            <w:r>
              <w:rPr>
                <w:rFonts w:hint="eastAsia" w:hAnsi="宋体" w:cs="宋体"/>
                <w:color w:val="auto"/>
                <w:sz w:val="24"/>
                <w:highlight w:val="none"/>
                <w:lang w:val="en-US" w:eastAsia="zh-CN"/>
              </w:rPr>
              <w:t>投标文件的指标</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hAnsi="宋体" w:cs="宋体"/>
                <w:color w:val="auto"/>
                <w:sz w:val="24"/>
                <w:highlight w:val="none"/>
                <w:lang w:val="en-US" w:eastAsia="zh-CN"/>
              </w:rPr>
            </w:pPr>
            <w:r>
              <w:rPr>
                <w:rFonts w:hint="eastAsia" w:hAnsi="宋体" w:cs="宋体"/>
                <w:color w:val="auto"/>
                <w:sz w:val="24"/>
                <w:highlight w:val="none"/>
                <w:lang w:val="en-US" w:eastAsia="zh-CN"/>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noWrap w:val="0"/>
            <w:vAlign w:val="top"/>
          </w:tcPr>
          <w:p>
            <w:pPr>
              <w:pStyle w:val="16"/>
              <w:spacing w:line="240" w:lineRule="auto"/>
              <w:ind w:left="614" w:leftChars="256" w:firstLine="480"/>
              <w:jc w:val="center"/>
              <w:rPr>
                <w:rFonts w:hint="eastAsia" w:hAnsi="宋体" w:cs="宋体"/>
                <w:color w:val="auto"/>
                <w:sz w:val="24"/>
                <w:highlight w:val="none"/>
                <w:lang w:val="en-US" w:eastAsia="zh-CN"/>
              </w:rPr>
            </w:pPr>
          </w:p>
        </w:tc>
        <w:tc>
          <w:tcPr>
            <w:tcW w:w="2783" w:type="dxa"/>
            <w:tcBorders>
              <w:top w:val="single" w:color="auto" w:sz="4" w:space="0"/>
              <w:left w:val="single" w:color="auto" w:sz="4" w:space="0"/>
              <w:bottom w:val="single" w:color="auto" w:sz="4" w:space="0"/>
              <w:right w:val="single" w:color="auto" w:sz="4" w:space="0"/>
            </w:tcBorders>
            <w:noWrap w:val="0"/>
            <w:vAlign w:val="top"/>
          </w:tcPr>
          <w:p>
            <w:pPr>
              <w:pStyle w:val="16"/>
              <w:spacing w:line="240" w:lineRule="auto"/>
              <w:ind w:left="614" w:leftChars="256" w:firstLine="480"/>
              <w:jc w:val="center"/>
              <w:rPr>
                <w:rFonts w:hint="eastAsia" w:hAnsi="宋体" w:cs="宋体"/>
                <w:color w:val="auto"/>
                <w:sz w:val="24"/>
                <w:highlight w:val="none"/>
                <w:lang w:val="en-US" w:eastAsia="zh-CN"/>
              </w:rPr>
            </w:pPr>
          </w:p>
        </w:tc>
        <w:tc>
          <w:tcPr>
            <w:tcW w:w="2445" w:type="dxa"/>
            <w:tcBorders>
              <w:top w:val="single" w:color="auto" w:sz="4" w:space="0"/>
              <w:left w:val="single" w:color="auto" w:sz="4" w:space="0"/>
              <w:bottom w:val="single" w:color="auto" w:sz="4" w:space="0"/>
              <w:right w:val="single" w:color="auto" w:sz="4" w:space="0"/>
            </w:tcBorders>
            <w:noWrap w:val="0"/>
            <w:vAlign w:val="top"/>
          </w:tcPr>
          <w:p>
            <w:pPr>
              <w:pStyle w:val="16"/>
              <w:spacing w:line="240" w:lineRule="auto"/>
              <w:ind w:left="614" w:leftChars="256" w:firstLine="480"/>
              <w:jc w:val="center"/>
              <w:rPr>
                <w:rFonts w:hint="eastAsia" w:hAnsi="宋体" w:cs="宋体"/>
                <w:color w:val="auto"/>
                <w:sz w:val="24"/>
                <w:highlight w:val="none"/>
                <w:lang w:val="en-US" w:eastAsia="zh-CN"/>
              </w:rPr>
            </w:pPr>
          </w:p>
          <w:p>
            <w:pPr>
              <w:pStyle w:val="16"/>
              <w:spacing w:line="240" w:lineRule="auto"/>
              <w:ind w:left="614" w:leftChars="256" w:firstLine="480"/>
              <w:jc w:val="center"/>
              <w:rPr>
                <w:rFonts w:hint="eastAsia" w:hAnsi="宋体" w:cs="宋体"/>
                <w:color w:val="auto"/>
                <w:sz w:val="24"/>
                <w:highlight w:val="none"/>
                <w:lang w:val="en-US" w:eastAsia="zh-CN"/>
              </w:rPr>
            </w:pPr>
          </w:p>
        </w:tc>
        <w:tc>
          <w:tcPr>
            <w:tcW w:w="2985" w:type="dxa"/>
            <w:tcBorders>
              <w:top w:val="single" w:color="auto" w:sz="4" w:space="0"/>
              <w:left w:val="single" w:color="auto" w:sz="4" w:space="0"/>
              <w:bottom w:val="single" w:color="auto" w:sz="4" w:space="0"/>
              <w:right w:val="single" w:color="auto" w:sz="4" w:space="0"/>
            </w:tcBorders>
            <w:noWrap w:val="0"/>
            <w:vAlign w:val="top"/>
          </w:tcPr>
          <w:p>
            <w:pPr>
              <w:pStyle w:val="16"/>
              <w:spacing w:line="240" w:lineRule="auto"/>
              <w:ind w:left="614" w:leftChars="256" w:firstLine="480"/>
              <w:jc w:val="center"/>
              <w:rPr>
                <w:rFonts w:hint="eastAsia"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noWrap w:val="0"/>
            <w:vAlign w:val="top"/>
          </w:tcPr>
          <w:p>
            <w:pPr>
              <w:pStyle w:val="16"/>
              <w:spacing w:line="240" w:lineRule="auto"/>
              <w:ind w:left="614" w:leftChars="256" w:firstLine="480"/>
              <w:jc w:val="center"/>
              <w:rPr>
                <w:rFonts w:hint="eastAsia" w:hAnsi="宋体" w:cs="宋体"/>
                <w:color w:val="auto"/>
                <w:sz w:val="24"/>
                <w:highlight w:val="none"/>
                <w:lang w:val="en-US" w:eastAsia="zh-CN"/>
              </w:rPr>
            </w:pPr>
          </w:p>
        </w:tc>
        <w:tc>
          <w:tcPr>
            <w:tcW w:w="2783" w:type="dxa"/>
            <w:tcBorders>
              <w:top w:val="single" w:color="auto" w:sz="4" w:space="0"/>
              <w:left w:val="single" w:color="auto" w:sz="4" w:space="0"/>
              <w:bottom w:val="single" w:color="auto" w:sz="4" w:space="0"/>
              <w:right w:val="single" w:color="auto" w:sz="4" w:space="0"/>
            </w:tcBorders>
            <w:noWrap w:val="0"/>
            <w:vAlign w:val="top"/>
          </w:tcPr>
          <w:p>
            <w:pPr>
              <w:pStyle w:val="16"/>
              <w:spacing w:line="240" w:lineRule="auto"/>
              <w:ind w:left="614" w:leftChars="256" w:firstLine="480"/>
              <w:jc w:val="center"/>
              <w:rPr>
                <w:rFonts w:hint="eastAsia" w:hAnsi="宋体" w:cs="宋体"/>
                <w:color w:val="auto"/>
                <w:sz w:val="24"/>
                <w:highlight w:val="none"/>
                <w:lang w:val="en-US" w:eastAsia="zh-CN"/>
              </w:rPr>
            </w:pPr>
          </w:p>
        </w:tc>
        <w:tc>
          <w:tcPr>
            <w:tcW w:w="2445" w:type="dxa"/>
            <w:tcBorders>
              <w:top w:val="single" w:color="auto" w:sz="4" w:space="0"/>
              <w:left w:val="single" w:color="auto" w:sz="4" w:space="0"/>
              <w:bottom w:val="single" w:color="auto" w:sz="4" w:space="0"/>
              <w:right w:val="single" w:color="auto" w:sz="4" w:space="0"/>
            </w:tcBorders>
            <w:noWrap w:val="0"/>
            <w:vAlign w:val="top"/>
          </w:tcPr>
          <w:p>
            <w:pPr>
              <w:pStyle w:val="16"/>
              <w:spacing w:line="240" w:lineRule="auto"/>
              <w:ind w:left="614" w:leftChars="256" w:firstLine="480"/>
              <w:jc w:val="center"/>
              <w:rPr>
                <w:rFonts w:hint="eastAsia" w:hAnsi="宋体" w:cs="宋体"/>
                <w:color w:val="auto"/>
                <w:sz w:val="24"/>
                <w:highlight w:val="none"/>
                <w:lang w:val="en-US" w:eastAsia="zh-CN"/>
              </w:rPr>
            </w:pPr>
          </w:p>
        </w:tc>
        <w:tc>
          <w:tcPr>
            <w:tcW w:w="2985" w:type="dxa"/>
            <w:tcBorders>
              <w:top w:val="single" w:color="auto" w:sz="4" w:space="0"/>
              <w:left w:val="single" w:color="auto" w:sz="4" w:space="0"/>
              <w:bottom w:val="single" w:color="auto" w:sz="4" w:space="0"/>
              <w:right w:val="single" w:color="auto" w:sz="4" w:space="0"/>
            </w:tcBorders>
            <w:noWrap w:val="0"/>
            <w:vAlign w:val="top"/>
          </w:tcPr>
          <w:p>
            <w:pPr>
              <w:pStyle w:val="16"/>
              <w:spacing w:line="240" w:lineRule="auto"/>
              <w:ind w:left="614" w:leftChars="256" w:firstLine="480"/>
              <w:jc w:val="center"/>
              <w:rPr>
                <w:rFonts w:hint="eastAsia"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noWrap w:val="0"/>
            <w:vAlign w:val="top"/>
          </w:tcPr>
          <w:p>
            <w:pPr>
              <w:pStyle w:val="16"/>
              <w:spacing w:line="240" w:lineRule="auto"/>
              <w:ind w:left="614" w:leftChars="256" w:firstLine="480"/>
              <w:jc w:val="center"/>
              <w:rPr>
                <w:rFonts w:hint="eastAsia" w:hAnsi="宋体" w:cs="宋体"/>
                <w:color w:val="auto"/>
                <w:sz w:val="24"/>
                <w:highlight w:val="none"/>
                <w:lang w:val="en-US" w:eastAsia="zh-CN"/>
              </w:rPr>
            </w:pPr>
          </w:p>
        </w:tc>
        <w:tc>
          <w:tcPr>
            <w:tcW w:w="2783" w:type="dxa"/>
            <w:tcBorders>
              <w:top w:val="single" w:color="auto" w:sz="4" w:space="0"/>
              <w:left w:val="single" w:color="auto" w:sz="4" w:space="0"/>
              <w:bottom w:val="single" w:color="auto" w:sz="4" w:space="0"/>
              <w:right w:val="single" w:color="auto" w:sz="4" w:space="0"/>
            </w:tcBorders>
            <w:noWrap w:val="0"/>
            <w:vAlign w:val="top"/>
          </w:tcPr>
          <w:p>
            <w:pPr>
              <w:pStyle w:val="16"/>
              <w:spacing w:line="240" w:lineRule="auto"/>
              <w:ind w:left="614" w:leftChars="256" w:firstLine="480"/>
              <w:jc w:val="center"/>
              <w:rPr>
                <w:rFonts w:hint="eastAsia" w:hAnsi="宋体" w:cs="宋体"/>
                <w:color w:val="auto"/>
                <w:sz w:val="24"/>
                <w:highlight w:val="none"/>
                <w:lang w:val="en-US" w:eastAsia="zh-CN"/>
              </w:rPr>
            </w:pPr>
          </w:p>
        </w:tc>
        <w:tc>
          <w:tcPr>
            <w:tcW w:w="2445" w:type="dxa"/>
            <w:tcBorders>
              <w:top w:val="single" w:color="auto" w:sz="4" w:space="0"/>
              <w:left w:val="single" w:color="auto" w:sz="4" w:space="0"/>
              <w:bottom w:val="single" w:color="auto" w:sz="4" w:space="0"/>
              <w:right w:val="single" w:color="auto" w:sz="4" w:space="0"/>
            </w:tcBorders>
            <w:noWrap w:val="0"/>
            <w:vAlign w:val="top"/>
          </w:tcPr>
          <w:p>
            <w:pPr>
              <w:pStyle w:val="16"/>
              <w:spacing w:line="240" w:lineRule="auto"/>
              <w:ind w:left="614" w:leftChars="256" w:firstLine="480"/>
              <w:jc w:val="center"/>
              <w:rPr>
                <w:rFonts w:hint="eastAsia" w:hAnsi="宋体" w:cs="宋体"/>
                <w:color w:val="auto"/>
                <w:sz w:val="24"/>
                <w:highlight w:val="none"/>
                <w:lang w:val="en-US" w:eastAsia="zh-CN"/>
              </w:rPr>
            </w:pPr>
          </w:p>
        </w:tc>
        <w:tc>
          <w:tcPr>
            <w:tcW w:w="2985" w:type="dxa"/>
            <w:tcBorders>
              <w:top w:val="single" w:color="auto" w:sz="4" w:space="0"/>
              <w:left w:val="single" w:color="auto" w:sz="4" w:space="0"/>
              <w:bottom w:val="single" w:color="auto" w:sz="4" w:space="0"/>
              <w:right w:val="single" w:color="auto" w:sz="4" w:space="0"/>
            </w:tcBorders>
            <w:noWrap w:val="0"/>
            <w:vAlign w:val="top"/>
          </w:tcPr>
          <w:p>
            <w:pPr>
              <w:pStyle w:val="16"/>
              <w:spacing w:line="240" w:lineRule="auto"/>
              <w:ind w:left="614" w:leftChars="256" w:firstLine="480"/>
              <w:jc w:val="center"/>
              <w:rPr>
                <w:rFonts w:hint="eastAsia"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noWrap w:val="0"/>
            <w:vAlign w:val="top"/>
          </w:tcPr>
          <w:p>
            <w:pPr>
              <w:pStyle w:val="16"/>
              <w:spacing w:line="240" w:lineRule="auto"/>
              <w:ind w:left="614" w:leftChars="256" w:firstLine="480"/>
              <w:jc w:val="center"/>
              <w:rPr>
                <w:rFonts w:hint="eastAsia" w:hAnsi="宋体" w:cs="宋体"/>
                <w:color w:val="auto"/>
                <w:sz w:val="24"/>
                <w:highlight w:val="none"/>
                <w:lang w:val="en-US" w:eastAsia="zh-CN"/>
              </w:rPr>
            </w:pPr>
          </w:p>
        </w:tc>
        <w:tc>
          <w:tcPr>
            <w:tcW w:w="2783" w:type="dxa"/>
            <w:tcBorders>
              <w:top w:val="single" w:color="auto" w:sz="4" w:space="0"/>
              <w:left w:val="single" w:color="auto" w:sz="4" w:space="0"/>
              <w:bottom w:val="single" w:color="auto" w:sz="4" w:space="0"/>
              <w:right w:val="single" w:color="auto" w:sz="4" w:space="0"/>
            </w:tcBorders>
            <w:noWrap w:val="0"/>
            <w:vAlign w:val="top"/>
          </w:tcPr>
          <w:p>
            <w:pPr>
              <w:pStyle w:val="16"/>
              <w:spacing w:line="240" w:lineRule="auto"/>
              <w:ind w:left="614" w:leftChars="256" w:firstLine="480"/>
              <w:jc w:val="center"/>
              <w:rPr>
                <w:rFonts w:hint="eastAsia" w:hAnsi="宋体" w:cs="宋体"/>
                <w:color w:val="auto"/>
                <w:sz w:val="24"/>
                <w:highlight w:val="none"/>
                <w:lang w:val="en-US" w:eastAsia="zh-CN"/>
              </w:rPr>
            </w:pPr>
          </w:p>
        </w:tc>
        <w:tc>
          <w:tcPr>
            <w:tcW w:w="2445" w:type="dxa"/>
            <w:tcBorders>
              <w:top w:val="single" w:color="auto" w:sz="4" w:space="0"/>
              <w:left w:val="single" w:color="auto" w:sz="4" w:space="0"/>
              <w:bottom w:val="single" w:color="auto" w:sz="4" w:space="0"/>
              <w:right w:val="single" w:color="auto" w:sz="4" w:space="0"/>
            </w:tcBorders>
            <w:noWrap w:val="0"/>
            <w:vAlign w:val="top"/>
          </w:tcPr>
          <w:p>
            <w:pPr>
              <w:pStyle w:val="16"/>
              <w:spacing w:line="240" w:lineRule="auto"/>
              <w:ind w:left="614" w:leftChars="256" w:firstLine="480"/>
              <w:jc w:val="center"/>
              <w:rPr>
                <w:rFonts w:hint="eastAsia" w:hAnsi="宋体" w:cs="宋体"/>
                <w:color w:val="auto"/>
                <w:sz w:val="24"/>
                <w:highlight w:val="none"/>
                <w:lang w:val="en-US" w:eastAsia="zh-CN"/>
              </w:rPr>
            </w:pPr>
          </w:p>
        </w:tc>
        <w:tc>
          <w:tcPr>
            <w:tcW w:w="2985" w:type="dxa"/>
            <w:tcBorders>
              <w:top w:val="single" w:color="auto" w:sz="4" w:space="0"/>
              <w:left w:val="single" w:color="auto" w:sz="4" w:space="0"/>
              <w:bottom w:val="single" w:color="auto" w:sz="4" w:space="0"/>
              <w:right w:val="single" w:color="auto" w:sz="4" w:space="0"/>
            </w:tcBorders>
            <w:noWrap w:val="0"/>
            <w:vAlign w:val="top"/>
          </w:tcPr>
          <w:p>
            <w:pPr>
              <w:pStyle w:val="16"/>
              <w:spacing w:line="240" w:lineRule="auto"/>
              <w:ind w:left="614" w:leftChars="256" w:firstLine="480"/>
              <w:jc w:val="center"/>
              <w:rPr>
                <w:rFonts w:hint="eastAsia"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noWrap w:val="0"/>
            <w:vAlign w:val="top"/>
          </w:tcPr>
          <w:p>
            <w:pPr>
              <w:pStyle w:val="16"/>
              <w:spacing w:line="240" w:lineRule="auto"/>
              <w:ind w:left="614" w:leftChars="256" w:firstLine="480"/>
              <w:jc w:val="center"/>
              <w:rPr>
                <w:rFonts w:hint="eastAsia" w:hAnsi="宋体" w:cs="宋体"/>
                <w:color w:val="auto"/>
                <w:sz w:val="24"/>
                <w:highlight w:val="none"/>
                <w:lang w:val="en-US" w:eastAsia="zh-CN"/>
              </w:rPr>
            </w:pPr>
          </w:p>
        </w:tc>
        <w:tc>
          <w:tcPr>
            <w:tcW w:w="2783" w:type="dxa"/>
            <w:tcBorders>
              <w:top w:val="single" w:color="auto" w:sz="4" w:space="0"/>
              <w:left w:val="single" w:color="auto" w:sz="4" w:space="0"/>
              <w:bottom w:val="single" w:color="auto" w:sz="4" w:space="0"/>
              <w:right w:val="single" w:color="auto" w:sz="4" w:space="0"/>
            </w:tcBorders>
            <w:noWrap w:val="0"/>
            <w:vAlign w:val="top"/>
          </w:tcPr>
          <w:p>
            <w:pPr>
              <w:pStyle w:val="16"/>
              <w:spacing w:line="240" w:lineRule="auto"/>
              <w:ind w:left="614" w:leftChars="256" w:firstLine="480"/>
              <w:jc w:val="center"/>
              <w:rPr>
                <w:rFonts w:hint="eastAsia" w:hAnsi="宋体" w:cs="宋体"/>
                <w:color w:val="auto"/>
                <w:sz w:val="24"/>
                <w:highlight w:val="none"/>
                <w:lang w:val="en-US" w:eastAsia="zh-CN"/>
              </w:rPr>
            </w:pPr>
          </w:p>
        </w:tc>
        <w:tc>
          <w:tcPr>
            <w:tcW w:w="2445" w:type="dxa"/>
            <w:tcBorders>
              <w:top w:val="single" w:color="auto" w:sz="4" w:space="0"/>
              <w:left w:val="single" w:color="auto" w:sz="4" w:space="0"/>
              <w:bottom w:val="single" w:color="auto" w:sz="4" w:space="0"/>
              <w:right w:val="single" w:color="auto" w:sz="4" w:space="0"/>
            </w:tcBorders>
            <w:noWrap w:val="0"/>
            <w:vAlign w:val="top"/>
          </w:tcPr>
          <w:p>
            <w:pPr>
              <w:pStyle w:val="16"/>
              <w:spacing w:line="240" w:lineRule="auto"/>
              <w:ind w:left="614" w:leftChars="256" w:firstLine="480"/>
              <w:jc w:val="center"/>
              <w:rPr>
                <w:rFonts w:hint="eastAsia" w:hAnsi="宋体" w:cs="宋体"/>
                <w:color w:val="auto"/>
                <w:sz w:val="24"/>
                <w:highlight w:val="none"/>
                <w:lang w:val="en-US" w:eastAsia="zh-CN"/>
              </w:rPr>
            </w:pPr>
          </w:p>
        </w:tc>
        <w:tc>
          <w:tcPr>
            <w:tcW w:w="2985" w:type="dxa"/>
            <w:tcBorders>
              <w:top w:val="single" w:color="auto" w:sz="4" w:space="0"/>
              <w:left w:val="single" w:color="auto" w:sz="4" w:space="0"/>
              <w:bottom w:val="single" w:color="auto" w:sz="4" w:space="0"/>
              <w:right w:val="single" w:color="auto" w:sz="4" w:space="0"/>
            </w:tcBorders>
            <w:noWrap w:val="0"/>
            <w:vAlign w:val="top"/>
          </w:tcPr>
          <w:p>
            <w:pPr>
              <w:pStyle w:val="16"/>
              <w:spacing w:line="240" w:lineRule="auto"/>
              <w:ind w:left="614" w:leftChars="256" w:firstLine="480"/>
              <w:jc w:val="center"/>
              <w:rPr>
                <w:rFonts w:hint="eastAsia" w:hAnsi="宋体" w:cs="宋体"/>
                <w:color w:val="auto"/>
                <w:sz w:val="24"/>
                <w:highlight w:val="none"/>
                <w:lang w:val="en-US" w:eastAsia="zh-CN"/>
              </w:rPr>
            </w:pPr>
          </w:p>
        </w:tc>
      </w:tr>
    </w:tbl>
    <w:p>
      <w:pPr>
        <w:spacing w:before="50" w:after="50" w:line="360" w:lineRule="auto"/>
        <w:ind w:firstLine="482"/>
        <w:rPr>
          <w:rFonts w:ascii="宋体" w:cs="宋体"/>
          <w:b/>
          <w:color w:val="auto"/>
          <w:highlight w:val="none"/>
        </w:rPr>
      </w:pPr>
      <w:r>
        <w:rPr>
          <w:rFonts w:hint="eastAsia" w:ascii="宋体" w:hAnsi="宋体" w:cs="宋体"/>
          <w:b/>
          <w:color w:val="auto"/>
          <w:highlight w:val="none"/>
        </w:rPr>
        <w:t>注：1、投标人应根据投标设备的性能指标、对照采购文件要求在“偏离情况”栏注明“正偏离”、“负偏离”或“无偏离”。</w:t>
      </w:r>
    </w:p>
    <w:p>
      <w:pPr>
        <w:pStyle w:val="2"/>
        <w:spacing w:beforeLines="0" w:afterLines="0" w:line="360" w:lineRule="auto"/>
        <w:ind w:firstLine="480" w:firstLine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2、投标人若不填写，则视为完全响应招标文件要求。</w:t>
      </w:r>
    </w:p>
    <w:p>
      <w:pPr>
        <w:adjustRightInd w:val="0"/>
        <w:snapToGrid w:val="0"/>
        <w:spacing w:line="360" w:lineRule="auto"/>
        <w:ind w:left="0" w:leftChars="0" w:firstLine="0" w:firstLineChars="0"/>
        <w:textAlignment w:val="baseline"/>
        <w:rPr>
          <w:rFonts w:hint="eastAsia"/>
          <w:color w:val="auto"/>
          <w:highlight w:val="none"/>
        </w:rPr>
      </w:pPr>
    </w:p>
    <w:p>
      <w:pPr>
        <w:adjustRightInd w:val="0"/>
        <w:snapToGrid w:val="0"/>
        <w:spacing w:line="360" w:lineRule="auto"/>
        <w:ind w:firstLine="0" w:firstLineChars="0"/>
        <w:textAlignment w:val="baseline"/>
        <w:rPr>
          <w:color w:val="auto"/>
          <w:highlight w:val="none"/>
        </w:rPr>
      </w:pPr>
    </w:p>
    <w:p>
      <w:pPr>
        <w:adjustRightInd w:val="0"/>
        <w:snapToGrid w:val="0"/>
        <w:spacing w:line="360" w:lineRule="auto"/>
        <w:ind w:firstLine="4080" w:firstLineChars="1700"/>
        <w:textAlignment w:val="baseline"/>
        <w:rPr>
          <w:color w:val="auto"/>
          <w:highlight w:val="none"/>
        </w:rPr>
      </w:pPr>
      <w:r>
        <w:rPr>
          <w:rFonts w:hint="eastAsia"/>
          <w:color w:val="auto"/>
          <w:highlight w:val="none"/>
        </w:rPr>
        <w:t>投标人名称（盖章）：</w:t>
      </w:r>
      <w:r>
        <w:rPr>
          <w:color w:val="auto"/>
          <w:highlight w:val="none"/>
          <w:u w:val="single"/>
        </w:rPr>
        <w:t xml:space="preserve">                   </w:t>
      </w:r>
    </w:p>
    <w:p>
      <w:pPr>
        <w:adjustRightInd w:val="0"/>
        <w:snapToGrid w:val="0"/>
        <w:spacing w:line="360" w:lineRule="auto"/>
        <w:ind w:firstLine="4080" w:firstLineChars="1700"/>
        <w:textAlignment w:val="baseline"/>
        <w:rPr>
          <w:color w:val="auto"/>
          <w:highlight w:val="none"/>
        </w:rPr>
      </w:pPr>
      <w:r>
        <w:rPr>
          <w:rFonts w:hint="eastAsia"/>
          <w:color w:val="auto"/>
          <w:highlight w:val="none"/>
        </w:rPr>
        <w:t>法定代表人或授权代理人（签字或盖章）：</w:t>
      </w:r>
      <w:r>
        <w:rPr>
          <w:color w:val="auto"/>
          <w:highlight w:val="none"/>
          <w:u w:val="single"/>
        </w:rPr>
        <w:t xml:space="preserve">                   </w:t>
      </w:r>
    </w:p>
    <w:p>
      <w:pPr>
        <w:widowControl/>
        <w:adjustRightInd w:val="0"/>
        <w:snapToGrid w:val="0"/>
        <w:spacing w:line="360" w:lineRule="auto"/>
        <w:ind w:firstLine="4080" w:firstLineChars="1700"/>
        <w:rPr>
          <w:color w:val="auto"/>
          <w:highlight w:val="none"/>
        </w:rPr>
      </w:pPr>
      <w:r>
        <w:rPr>
          <w:rFonts w:hint="eastAsia"/>
          <w:color w:val="auto"/>
          <w:highlight w:val="none"/>
        </w:rPr>
        <w:t>日 期：202</w:t>
      </w:r>
      <w:r>
        <w:rPr>
          <w:rFonts w:hint="eastAsia"/>
          <w:color w:val="auto"/>
          <w:highlight w:val="none"/>
          <w:lang w:val="en-US" w:eastAsia="zh-CN"/>
        </w:rPr>
        <w:t>3</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pPr>
        <w:widowControl/>
        <w:adjustRightInd w:val="0"/>
        <w:snapToGrid w:val="0"/>
        <w:spacing w:line="360" w:lineRule="auto"/>
        <w:ind w:firstLine="4080" w:firstLineChars="1700"/>
        <w:rPr>
          <w:rFonts w:ascii="宋体" w:cs="宋体"/>
          <w:b/>
          <w:bCs/>
          <w:color w:val="auto"/>
          <w:highlight w:val="none"/>
        </w:rPr>
      </w:pPr>
    </w:p>
    <w:p>
      <w:pPr>
        <w:ind w:firstLine="0" w:firstLineChars="0"/>
        <w:rPr>
          <w:rFonts w:hint="eastAsia" w:ascii="宋体" w:hAnsi="宋体" w:cs="宋体"/>
          <w:b/>
          <w:bCs/>
          <w:color w:val="auto"/>
          <w:highlight w:val="none"/>
        </w:rPr>
      </w:pPr>
    </w:p>
    <w:p>
      <w:pPr>
        <w:ind w:firstLine="0" w:firstLineChars="0"/>
        <w:rPr>
          <w:rFonts w:hint="eastAsia"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附件</w:t>
      </w:r>
    </w:p>
    <w:p>
      <w:pPr>
        <w:spacing w:line="360" w:lineRule="auto"/>
        <w:ind w:firstLine="723"/>
        <w:jc w:val="center"/>
        <w:rPr>
          <w:rFonts w:hint="eastAsia" w:ascii="宋体" w:hAnsi="宋体" w:cs="宋体"/>
          <w:b/>
          <w:color w:val="auto"/>
          <w:sz w:val="36"/>
          <w:szCs w:val="36"/>
          <w:highlight w:val="none"/>
        </w:rPr>
      </w:pPr>
      <w:bookmarkStart w:id="235" w:name="_Toc278123615"/>
      <w:r>
        <w:rPr>
          <w:rFonts w:hint="eastAsia" w:ascii="宋体" w:hAnsi="宋体" w:cs="宋体"/>
          <w:b/>
          <w:color w:val="auto"/>
          <w:sz w:val="36"/>
          <w:szCs w:val="36"/>
          <w:highlight w:val="none"/>
          <w:lang w:eastAsia="zh-CN"/>
        </w:rPr>
        <w:t>拟派</w:t>
      </w:r>
      <w:r>
        <w:rPr>
          <w:rFonts w:hint="eastAsia" w:ascii="宋体" w:hAnsi="宋体" w:cs="宋体"/>
          <w:b/>
          <w:color w:val="auto"/>
          <w:sz w:val="36"/>
          <w:szCs w:val="36"/>
          <w:highlight w:val="none"/>
        </w:rPr>
        <w:t>项目负责人情况表</w:t>
      </w:r>
      <w:bookmarkEnd w:id="235"/>
    </w:p>
    <w:p>
      <w:pPr>
        <w:tabs>
          <w:tab w:val="left" w:pos="5903"/>
        </w:tabs>
        <w:ind w:left="232" w:firstLine="480"/>
        <w:jc w:val="left"/>
        <w:rPr>
          <w:rFonts w:hint="eastAsia" w:ascii="宋体" w:hAnsi="宋体" w:cs="宋体"/>
          <w:color w:val="auto"/>
          <w:highlight w:val="none"/>
        </w:rPr>
      </w:pPr>
      <w:r>
        <w:rPr>
          <w:rFonts w:hint="eastAsia" w:ascii="宋体" w:hAnsi="宋体" w:cs="宋体"/>
          <w:color w:val="auto"/>
          <w:highlight w:val="none"/>
        </w:rPr>
        <w:t xml:space="preserve">采购项目：  </w:t>
      </w:r>
      <w:r>
        <w:rPr>
          <w:rFonts w:hint="eastAsia" w:ascii="宋体" w:hAnsi="宋体" w:cs="宋体"/>
          <w:color w:val="auto"/>
          <w:w w:val="95"/>
          <w:highlight w:val="none"/>
        </w:rPr>
        <w:t xml:space="preserve">                          </w:t>
      </w:r>
      <w:r>
        <w:rPr>
          <w:rFonts w:hint="eastAsia" w:ascii="宋体" w:hAnsi="宋体" w:cs="宋体"/>
          <w:color w:val="auto"/>
          <w:highlight w:val="none"/>
        </w:rPr>
        <w:t>采购编号：</w:t>
      </w:r>
    </w:p>
    <w:p>
      <w:pPr>
        <w:spacing w:before="17" w:line="240" w:lineRule="auto"/>
        <w:ind w:firstLine="180"/>
        <w:rPr>
          <w:rFonts w:ascii="微软雅黑" w:hAnsi="微软雅黑" w:eastAsia="微软雅黑" w:cs="微软雅黑"/>
          <w:color w:val="auto"/>
          <w:sz w:val="9"/>
          <w:szCs w:val="9"/>
          <w:highlight w:val="none"/>
        </w:rPr>
      </w:pPr>
    </w:p>
    <w:tbl>
      <w:tblPr>
        <w:tblStyle w:val="37"/>
        <w:tblW w:w="9447" w:type="dxa"/>
        <w:tblInd w:w="113" w:type="dxa"/>
        <w:tblLayout w:type="fixed"/>
        <w:tblCellMar>
          <w:top w:w="0" w:type="dxa"/>
          <w:left w:w="0" w:type="dxa"/>
          <w:bottom w:w="0" w:type="dxa"/>
          <w:right w:w="0" w:type="dxa"/>
        </w:tblCellMar>
      </w:tblPr>
      <w:tblGrid>
        <w:gridCol w:w="2457"/>
        <w:gridCol w:w="2910"/>
        <w:gridCol w:w="4080"/>
      </w:tblGrid>
      <w:tr>
        <w:tblPrEx>
          <w:tblCellMar>
            <w:top w:w="0" w:type="dxa"/>
            <w:left w:w="0" w:type="dxa"/>
            <w:bottom w:w="0" w:type="dxa"/>
            <w:right w:w="0" w:type="dxa"/>
          </w:tblCellMar>
        </w:tblPrEx>
        <w:trPr>
          <w:trHeight w:val="883" w:hRule="exact"/>
        </w:trPr>
        <w:tc>
          <w:tcPr>
            <w:tcW w:w="2457" w:type="dxa"/>
            <w:tcBorders>
              <w:top w:val="single" w:color="000000" w:sz="12" w:space="0"/>
              <w:left w:val="single" w:color="000000" w:sz="12" w:space="0"/>
              <w:bottom w:val="single" w:color="000000" w:sz="4" w:space="0"/>
              <w:right w:val="single" w:color="000000" w:sz="4" w:space="0"/>
            </w:tcBorders>
            <w:noWrap w:val="0"/>
            <w:vAlign w:val="center"/>
          </w:tcPr>
          <w:p>
            <w:pPr>
              <w:pStyle w:val="69"/>
              <w:spacing w:before="118" w:line="240" w:lineRule="auto"/>
              <w:ind w:right="10" w:firstLine="0" w:firstLineChars="0"/>
              <w:jc w:val="center"/>
              <w:rPr>
                <w:rFonts w:ascii="宋体" w:hAnsi="宋体" w:cs="宋体"/>
                <w:color w:val="auto"/>
                <w:sz w:val="24"/>
                <w:highlight w:val="none"/>
              </w:rPr>
            </w:pPr>
            <w:r>
              <w:rPr>
                <w:rFonts w:ascii="宋体" w:hAnsi="宋体" w:cs="宋体"/>
                <w:b/>
                <w:bCs/>
                <w:color w:val="auto"/>
                <w:sz w:val="24"/>
                <w:highlight w:val="none"/>
              </w:rPr>
              <w:t>姓名</w:t>
            </w:r>
          </w:p>
        </w:tc>
        <w:tc>
          <w:tcPr>
            <w:tcW w:w="2910" w:type="dxa"/>
            <w:tcBorders>
              <w:top w:val="single" w:color="000000" w:sz="12" w:space="0"/>
              <w:left w:val="single" w:color="000000" w:sz="4" w:space="0"/>
              <w:bottom w:val="single" w:color="000000" w:sz="4" w:space="0"/>
              <w:right w:val="single" w:color="000000" w:sz="4" w:space="0"/>
            </w:tcBorders>
            <w:noWrap w:val="0"/>
            <w:vAlign w:val="top"/>
          </w:tcPr>
          <w:p>
            <w:pPr>
              <w:ind w:firstLine="480"/>
              <w:rPr>
                <w:rFonts w:hint="eastAsia" w:ascii="宋体" w:hAnsi="宋体" w:cs="宋体"/>
                <w:color w:val="auto"/>
                <w:highlight w:val="none"/>
              </w:rPr>
            </w:pPr>
          </w:p>
        </w:tc>
        <w:tc>
          <w:tcPr>
            <w:tcW w:w="4080" w:type="dxa"/>
            <w:tcBorders>
              <w:top w:val="single" w:color="000000" w:sz="12" w:space="0"/>
              <w:left w:val="single" w:color="000000" w:sz="4" w:space="0"/>
              <w:bottom w:val="single" w:color="000000" w:sz="4" w:space="0"/>
              <w:right w:val="single" w:color="000000" w:sz="12" w:space="0"/>
            </w:tcBorders>
            <w:noWrap w:val="0"/>
            <w:vAlign w:val="center"/>
          </w:tcPr>
          <w:p>
            <w:pPr>
              <w:pStyle w:val="69"/>
              <w:spacing w:before="118" w:line="240" w:lineRule="auto"/>
              <w:ind w:firstLine="0" w:firstLineChars="0"/>
              <w:jc w:val="center"/>
              <w:rPr>
                <w:rFonts w:ascii="宋体" w:hAnsi="宋体" w:cs="宋体"/>
                <w:color w:val="auto"/>
                <w:sz w:val="24"/>
                <w:highlight w:val="none"/>
              </w:rPr>
            </w:pPr>
            <w:r>
              <w:rPr>
                <w:rFonts w:ascii="宋体" w:hAnsi="宋体" w:cs="宋体"/>
                <w:b/>
                <w:bCs/>
                <w:color w:val="auto"/>
                <w:sz w:val="24"/>
                <w:highlight w:val="none"/>
              </w:rPr>
              <w:t>近年来主要工作业绩</w:t>
            </w:r>
          </w:p>
        </w:tc>
      </w:tr>
      <w:tr>
        <w:tblPrEx>
          <w:tblCellMar>
            <w:top w:w="0" w:type="dxa"/>
            <w:left w:w="0" w:type="dxa"/>
            <w:bottom w:w="0" w:type="dxa"/>
            <w:right w:w="0" w:type="dxa"/>
          </w:tblCellMar>
        </w:tblPrEx>
        <w:trPr>
          <w:trHeight w:val="873" w:hRule="exact"/>
        </w:trPr>
        <w:tc>
          <w:tcPr>
            <w:tcW w:w="2457" w:type="dxa"/>
            <w:tcBorders>
              <w:top w:val="single" w:color="000000" w:sz="4" w:space="0"/>
              <w:left w:val="single" w:color="000000" w:sz="12" w:space="0"/>
              <w:bottom w:val="single" w:color="000000" w:sz="4" w:space="0"/>
              <w:right w:val="single" w:color="000000" w:sz="4" w:space="0"/>
            </w:tcBorders>
            <w:noWrap w:val="0"/>
            <w:vAlign w:val="center"/>
          </w:tcPr>
          <w:p>
            <w:pPr>
              <w:pStyle w:val="69"/>
              <w:spacing w:before="118" w:line="240" w:lineRule="auto"/>
              <w:ind w:right="10" w:firstLine="0" w:firstLineChars="0"/>
              <w:jc w:val="center"/>
              <w:rPr>
                <w:rFonts w:ascii="宋体" w:hAnsi="宋体" w:cs="宋体"/>
                <w:color w:val="auto"/>
                <w:sz w:val="24"/>
                <w:highlight w:val="none"/>
              </w:rPr>
            </w:pPr>
            <w:r>
              <w:rPr>
                <w:rFonts w:ascii="宋体" w:hAnsi="宋体" w:cs="宋体"/>
                <w:b/>
                <w:bCs/>
                <w:color w:val="auto"/>
                <w:sz w:val="24"/>
                <w:highlight w:val="none"/>
              </w:rPr>
              <w:t>性别</w:t>
            </w:r>
          </w:p>
        </w:tc>
        <w:tc>
          <w:tcPr>
            <w:tcW w:w="291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cs="宋体"/>
                <w:color w:val="auto"/>
                <w:highlight w:val="none"/>
              </w:rPr>
            </w:pPr>
          </w:p>
        </w:tc>
        <w:tc>
          <w:tcPr>
            <w:tcW w:w="4080" w:type="dxa"/>
            <w:vMerge w:val="restart"/>
            <w:tcBorders>
              <w:top w:val="single" w:color="000000" w:sz="4" w:space="0"/>
              <w:left w:val="single" w:color="000000" w:sz="4" w:space="0"/>
              <w:right w:val="single" w:color="000000" w:sz="12" w:space="0"/>
            </w:tcBorders>
            <w:noWrap w:val="0"/>
            <w:vAlign w:val="top"/>
          </w:tcPr>
          <w:p>
            <w:pPr>
              <w:pStyle w:val="69"/>
              <w:spacing w:line="240" w:lineRule="auto"/>
              <w:ind w:firstLine="480"/>
              <w:jc w:val="left"/>
              <w:rPr>
                <w:rFonts w:ascii="宋体" w:hAnsi="宋体" w:cs="宋体"/>
                <w:color w:val="auto"/>
                <w:sz w:val="24"/>
                <w:highlight w:val="none"/>
              </w:rPr>
            </w:pPr>
          </w:p>
          <w:p>
            <w:pPr>
              <w:pStyle w:val="69"/>
              <w:spacing w:line="240" w:lineRule="auto"/>
              <w:ind w:firstLine="480"/>
              <w:jc w:val="left"/>
              <w:rPr>
                <w:rFonts w:ascii="宋体" w:hAnsi="宋体" w:cs="宋体"/>
                <w:color w:val="auto"/>
                <w:sz w:val="24"/>
                <w:highlight w:val="none"/>
              </w:rPr>
            </w:pPr>
          </w:p>
          <w:p>
            <w:pPr>
              <w:pStyle w:val="69"/>
              <w:spacing w:line="240" w:lineRule="auto"/>
              <w:ind w:firstLine="480"/>
              <w:jc w:val="left"/>
              <w:rPr>
                <w:rFonts w:ascii="宋体" w:hAnsi="宋体" w:cs="宋体"/>
                <w:color w:val="auto"/>
                <w:sz w:val="24"/>
                <w:highlight w:val="none"/>
              </w:rPr>
            </w:pPr>
          </w:p>
          <w:p>
            <w:pPr>
              <w:pStyle w:val="69"/>
              <w:spacing w:line="240" w:lineRule="auto"/>
              <w:ind w:firstLine="480"/>
              <w:jc w:val="left"/>
              <w:rPr>
                <w:rFonts w:ascii="宋体" w:hAnsi="宋体" w:cs="宋体"/>
                <w:color w:val="auto"/>
                <w:sz w:val="24"/>
                <w:highlight w:val="none"/>
              </w:rPr>
            </w:pPr>
          </w:p>
          <w:p>
            <w:pPr>
              <w:pStyle w:val="69"/>
              <w:spacing w:line="240" w:lineRule="auto"/>
              <w:ind w:firstLine="480"/>
              <w:jc w:val="left"/>
              <w:rPr>
                <w:rFonts w:ascii="宋体" w:hAnsi="宋体" w:cs="宋体"/>
                <w:color w:val="auto"/>
                <w:sz w:val="24"/>
                <w:highlight w:val="none"/>
              </w:rPr>
            </w:pPr>
          </w:p>
          <w:p>
            <w:pPr>
              <w:pStyle w:val="69"/>
              <w:spacing w:line="240" w:lineRule="auto"/>
              <w:ind w:firstLine="480"/>
              <w:jc w:val="left"/>
              <w:rPr>
                <w:rFonts w:ascii="宋体" w:hAnsi="宋体" w:cs="宋体"/>
                <w:color w:val="auto"/>
                <w:sz w:val="24"/>
                <w:highlight w:val="none"/>
              </w:rPr>
            </w:pPr>
          </w:p>
          <w:p>
            <w:pPr>
              <w:pStyle w:val="69"/>
              <w:spacing w:before="15" w:line="240" w:lineRule="auto"/>
              <w:ind w:firstLine="480"/>
              <w:jc w:val="left"/>
              <w:rPr>
                <w:rFonts w:ascii="宋体" w:hAnsi="宋体" w:cs="宋体"/>
                <w:color w:val="auto"/>
                <w:sz w:val="24"/>
                <w:highlight w:val="none"/>
              </w:rPr>
            </w:pPr>
          </w:p>
          <w:p>
            <w:pPr>
              <w:pStyle w:val="69"/>
              <w:spacing w:line="240" w:lineRule="auto"/>
              <w:ind w:firstLine="0" w:firstLineChars="0"/>
              <w:jc w:val="center"/>
              <w:rPr>
                <w:rFonts w:ascii="宋体" w:hAnsi="宋体" w:cs="宋体"/>
                <w:color w:val="auto"/>
                <w:sz w:val="24"/>
                <w:highlight w:val="none"/>
              </w:rPr>
            </w:pPr>
            <w:r>
              <w:rPr>
                <w:rFonts w:ascii="宋体" w:hAnsi="宋体" w:cs="宋体"/>
                <w:color w:val="auto"/>
                <w:sz w:val="24"/>
                <w:highlight w:val="none"/>
              </w:rPr>
              <w:t>注：业绩证明应提供旁证材料</w:t>
            </w:r>
          </w:p>
          <w:p>
            <w:pPr>
              <w:pStyle w:val="69"/>
              <w:spacing w:before="177" w:line="240" w:lineRule="auto"/>
              <w:ind w:firstLine="0" w:firstLineChars="0"/>
              <w:rPr>
                <w:rFonts w:ascii="宋体" w:hAnsi="宋体" w:cs="宋体"/>
                <w:color w:val="auto"/>
                <w:sz w:val="24"/>
                <w:highlight w:val="none"/>
              </w:rPr>
            </w:pPr>
            <w:r>
              <w:rPr>
                <w:rFonts w:ascii="宋体" w:hAnsi="宋体" w:cs="宋体"/>
                <w:color w:val="auto"/>
                <w:sz w:val="24"/>
                <w:highlight w:val="none"/>
              </w:rPr>
              <w:t>（合同或中标通知书）。</w:t>
            </w:r>
          </w:p>
        </w:tc>
      </w:tr>
      <w:tr>
        <w:tblPrEx>
          <w:tblCellMar>
            <w:top w:w="0" w:type="dxa"/>
            <w:left w:w="0" w:type="dxa"/>
            <w:bottom w:w="0" w:type="dxa"/>
            <w:right w:w="0" w:type="dxa"/>
          </w:tblCellMar>
        </w:tblPrEx>
        <w:trPr>
          <w:trHeight w:val="873" w:hRule="exact"/>
        </w:trPr>
        <w:tc>
          <w:tcPr>
            <w:tcW w:w="2457" w:type="dxa"/>
            <w:tcBorders>
              <w:top w:val="single" w:color="000000" w:sz="4" w:space="0"/>
              <w:left w:val="single" w:color="000000" w:sz="12" w:space="0"/>
              <w:bottom w:val="single" w:color="000000" w:sz="4" w:space="0"/>
              <w:right w:val="single" w:color="000000" w:sz="4" w:space="0"/>
            </w:tcBorders>
            <w:noWrap w:val="0"/>
            <w:vAlign w:val="center"/>
          </w:tcPr>
          <w:p>
            <w:pPr>
              <w:pStyle w:val="69"/>
              <w:spacing w:before="118" w:line="240" w:lineRule="auto"/>
              <w:ind w:right="10" w:firstLine="0" w:firstLineChars="0"/>
              <w:jc w:val="center"/>
              <w:rPr>
                <w:rFonts w:ascii="宋体" w:hAnsi="宋体" w:cs="宋体"/>
                <w:color w:val="auto"/>
                <w:sz w:val="24"/>
                <w:highlight w:val="none"/>
              </w:rPr>
            </w:pPr>
            <w:r>
              <w:rPr>
                <w:rFonts w:ascii="宋体" w:hAnsi="宋体" w:cs="宋体"/>
                <w:b/>
                <w:bCs/>
                <w:color w:val="auto"/>
                <w:sz w:val="24"/>
                <w:highlight w:val="none"/>
              </w:rPr>
              <w:t>年龄</w:t>
            </w:r>
          </w:p>
        </w:tc>
        <w:tc>
          <w:tcPr>
            <w:tcW w:w="291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cs="宋体"/>
                <w:color w:val="auto"/>
                <w:highlight w:val="none"/>
              </w:rPr>
            </w:pPr>
          </w:p>
        </w:tc>
        <w:tc>
          <w:tcPr>
            <w:tcW w:w="4080" w:type="dxa"/>
            <w:vMerge w:val="continue"/>
            <w:tcBorders>
              <w:left w:val="single" w:color="000000" w:sz="4" w:space="0"/>
              <w:right w:val="single" w:color="000000" w:sz="12" w:space="0"/>
            </w:tcBorders>
            <w:noWrap w:val="0"/>
            <w:vAlign w:val="top"/>
          </w:tcPr>
          <w:p>
            <w:pPr>
              <w:ind w:firstLine="480"/>
              <w:rPr>
                <w:rFonts w:hint="eastAsia" w:ascii="宋体" w:hAnsi="宋体" w:cs="宋体"/>
                <w:color w:val="auto"/>
                <w:highlight w:val="none"/>
              </w:rPr>
            </w:pPr>
          </w:p>
        </w:tc>
      </w:tr>
      <w:tr>
        <w:tblPrEx>
          <w:tblCellMar>
            <w:top w:w="0" w:type="dxa"/>
            <w:left w:w="0" w:type="dxa"/>
            <w:bottom w:w="0" w:type="dxa"/>
            <w:right w:w="0" w:type="dxa"/>
          </w:tblCellMar>
        </w:tblPrEx>
        <w:trPr>
          <w:trHeight w:val="873" w:hRule="exact"/>
        </w:trPr>
        <w:tc>
          <w:tcPr>
            <w:tcW w:w="2457" w:type="dxa"/>
            <w:tcBorders>
              <w:top w:val="single" w:color="000000" w:sz="4" w:space="0"/>
              <w:left w:val="single" w:color="000000" w:sz="12" w:space="0"/>
              <w:bottom w:val="single" w:color="000000" w:sz="4" w:space="0"/>
              <w:right w:val="single" w:color="000000" w:sz="4" w:space="0"/>
            </w:tcBorders>
            <w:noWrap w:val="0"/>
            <w:vAlign w:val="center"/>
          </w:tcPr>
          <w:p>
            <w:pPr>
              <w:pStyle w:val="69"/>
              <w:spacing w:before="116" w:line="240" w:lineRule="auto"/>
              <w:ind w:right="10" w:firstLine="0" w:firstLineChars="0"/>
              <w:jc w:val="center"/>
              <w:rPr>
                <w:rFonts w:ascii="宋体" w:hAnsi="宋体" w:cs="宋体"/>
                <w:color w:val="auto"/>
                <w:sz w:val="24"/>
                <w:highlight w:val="none"/>
              </w:rPr>
            </w:pPr>
            <w:r>
              <w:rPr>
                <w:rFonts w:ascii="宋体" w:hAnsi="宋体" w:cs="宋体"/>
                <w:b/>
                <w:bCs/>
                <w:color w:val="auto"/>
                <w:sz w:val="24"/>
                <w:highlight w:val="none"/>
              </w:rPr>
              <w:t>职称</w:t>
            </w:r>
          </w:p>
        </w:tc>
        <w:tc>
          <w:tcPr>
            <w:tcW w:w="291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cs="宋体"/>
                <w:color w:val="auto"/>
                <w:highlight w:val="none"/>
              </w:rPr>
            </w:pPr>
          </w:p>
        </w:tc>
        <w:tc>
          <w:tcPr>
            <w:tcW w:w="4080" w:type="dxa"/>
            <w:vMerge w:val="continue"/>
            <w:tcBorders>
              <w:left w:val="single" w:color="000000" w:sz="4" w:space="0"/>
              <w:right w:val="single" w:color="000000" w:sz="12" w:space="0"/>
            </w:tcBorders>
            <w:noWrap w:val="0"/>
            <w:vAlign w:val="top"/>
          </w:tcPr>
          <w:p>
            <w:pPr>
              <w:ind w:firstLine="480"/>
              <w:rPr>
                <w:rFonts w:hint="eastAsia" w:ascii="宋体" w:hAnsi="宋体" w:cs="宋体"/>
                <w:color w:val="auto"/>
                <w:highlight w:val="none"/>
              </w:rPr>
            </w:pPr>
          </w:p>
        </w:tc>
      </w:tr>
      <w:tr>
        <w:tblPrEx>
          <w:tblCellMar>
            <w:top w:w="0" w:type="dxa"/>
            <w:left w:w="0" w:type="dxa"/>
            <w:bottom w:w="0" w:type="dxa"/>
            <w:right w:w="0" w:type="dxa"/>
          </w:tblCellMar>
        </w:tblPrEx>
        <w:trPr>
          <w:trHeight w:val="873" w:hRule="exact"/>
        </w:trPr>
        <w:tc>
          <w:tcPr>
            <w:tcW w:w="2457" w:type="dxa"/>
            <w:tcBorders>
              <w:top w:val="single" w:color="000000" w:sz="4" w:space="0"/>
              <w:left w:val="single" w:color="000000" w:sz="12" w:space="0"/>
              <w:bottom w:val="single" w:color="000000" w:sz="4" w:space="0"/>
              <w:right w:val="single" w:color="000000" w:sz="4" w:space="0"/>
            </w:tcBorders>
            <w:noWrap w:val="0"/>
            <w:vAlign w:val="center"/>
          </w:tcPr>
          <w:p>
            <w:pPr>
              <w:pStyle w:val="69"/>
              <w:spacing w:before="117" w:line="240" w:lineRule="auto"/>
              <w:ind w:firstLine="0" w:firstLineChars="0"/>
              <w:jc w:val="center"/>
              <w:rPr>
                <w:rFonts w:ascii="宋体" w:hAnsi="宋体" w:cs="宋体"/>
                <w:color w:val="auto"/>
                <w:sz w:val="24"/>
                <w:highlight w:val="none"/>
              </w:rPr>
            </w:pPr>
            <w:r>
              <w:rPr>
                <w:rFonts w:ascii="宋体" w:hAnsi="宋体" w:cs="宋体"/>
                <w:b/>
                <w:bCs/>
                <w:color w:val="auto"/>
                <w:sz w:val="24"/>
                <w:highlight w:val="none"/>
              </w:rPr>
              <w:t>毕业时间</w:t>
            </w:r>
          </w:p>
        </w:tc>
        <w:tc>
          <w:tcPr>
            <w:tcW w:w="291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cs="宋体"/>
                <w:color w:val="auto"/>
                <w:highlight w:val="none"/>
              </w:rPr>
            </w:pPr>
          </w:p>
        </w:tc>
        <w:tc>
          <w:tcPr>
            <w:tcW w:w="4080" w:type="dxa"/>
            <w:vMerge w:val="continue"/>
            <w:tcBorders>
              <w:left w:val="single" w:color="000000" w:sz="4" w:space="0"/>
              <w:right w:val="single" w:color="000000" w:sz="12" w:space="0"/>
            </w:tcBorders>
            <w:noWrap w:val="0"/>
            <w:vAlign w:val="top"/>
          </w:tcPr>
          <w:p>
            <w:pPr>
              <w:ind w:firstLine="480"/>
              <w:rPr>
                <w:rFonts w:hint="eastAsia" w:ascii="宋体" w:hAnsi="宋体" w:cs="宋体"/>
                <w:color w:val="auto"/>
                <w:highlight w:val="none"/>
              </w:rPr>
            </w:pPr>
          </w:p>
        </w:tc>
      </w:tr>
      <w:tr>
        <w:tblPrEx>
          <w:tblCellMar>
            <w:top w:w="0" w:type="dxa"/>
            <w:left w:w="0" w:type="dxa"/>
            <w:bottom w:w="0" w:type="dxa"/>
            <w:right w:w="0" w:type="dxa"/>
          </w:tblCellMar>
        </w:tblPrEx>
        <w:trPr>
          <w:trHeight w:val="873" w:hRule="exact"/>
        </w:trPr>
        <w:tc>
          <w:tcPr>
            <w:tcW w:w="2457" w:type="dxa"/>
            <w:tcBorders>
              <w:top w:val="single" w:color="000000" w:sz="4" w:space="0"/>
              <w:left w:val="single" w:color="000000" w:sz="12" w:space="0"/>
              <w:bottom w:val="single" w:color="000000" w:sz="4" w:space="0"/>
              <w:right w:val="single" w:color="000000" w:sz="4" w:space="0"/>
            </w:tcBorders>
            <w:noWrap w:val="0"/>
            <w:vAlign w:val="center"/>
          </w:tcPr>
          <w:p>
            <w:pPr>
              <w:pStyle w:val="69"/>
              <w:spacing w:before="118" w:line="240" w:lineRule="auto"/>
              <w:ind w:firstLine="0" w:firstLineChars="0"/>
              <w:jc w:val="center"/>
              <w:rPr>
                <w:rFonts w:ascii="宋体" w:hAnsi="宋体" w:cs="宋体"/>
                <w:color w:val="auto"/>
                <w:sz w:val="24"/>
                <w:highlight w:val="none"/>
              </w:rPr>
            </w:pPr>
            <w:r>
              <w:rPr>
                <w:rFonts w:ascii="宋体" w:hAnsi="宋体" w:cs="宋体"/>
                <w:b/>
                <w:bCs/>
                <w:color w:val="auto"/>
                <w:sz w:val="24"/>
                <w:highlight w:val="none"/>
              </w:rPr>
              <w:t>学校专业</w:t>
            </w:r>
          </w:p>
        </w:tc>
        <w:tc>
          <w:tcPr>
            <w:tcW w:w="291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cs="宋体"/>
                <w:color w:val="auto"/>
                <w:highlight w:val="none"/>
              </w:rPr>
            </w:pPr>
          </w:p>
        </w:tc>
        <w:tc>
          <w:tcPr>
            <w:tcW w:w="4080" w:type="dxa"/>
            <w:vMerge w:val="continue"/>
            <w:tcBorders>
              <w:left w:val="single" w:color="000000" w:sz="4" w:space="0"/>
              <w:right w:val="single" w:color="000000" w:sz="12" w:space="0"/>
            </w:tcBorders>
            <w:noWrap w:val="0"/>
            <w:vAlign w:val="top"/>
          </w:tcPr>
          <w:p>
            <w:pPr>
              <w:ind w:firstLine="480"/>
              <w:rPr>
                <w:rFonts w:hint="eastAsia" w:ascii="宋体" w:hAnsi="宋体" w:cs="宋体"/>
                <w:color w:val="auto"/>
                <w:highlight w:val="none"/>
              </w:rPr>
            </w:pPr>
          </w:p>
        </w:tc>
      </w:tr>
      <w:tr>
        <w:tblPrEx>
          <w:tblCellMar>
            <w:top w:w="0" w:type="dxa"/>
            <w:left w:w="0" w:type="dxa"/>
            <w:bottom w:w="0" w:type="dxa"/>
            <w:right w:w="0" w:type="dxa"/>
          </w:tblCellMar>
        </w:tblPrEx>
        <w:trPr>
          <w:trHeight w:val="873" w:hRule="exact"/>
        </w:trPr>
        <w:tc>
          <w:tcPr>
            <w:tcW w:w="2457" w:type="dxa"/>
            <w:tcBorders>
              <w:top w:val="single" w:color="000000" w:sz="4" w:space="0"/>
              <w:left w:val="single" w:color="000000" w:sz="12" w:space="0"/>
              <w:bottom w:val="single" w:color="000000" w:sz="4" w:space="0"/>
              <w:right w:val="single" w:color="000000" w:sz="4" w:space="0"/>
            </w:tcBorders>
            <w:noWrap w:val="0"/>
            <w:vAlign w:val="center"/>
          </w:tcPr>
          <w:p>
            <w:pPr>
              <w:pStyle w:val="69"/>
              <w:spacing w:before="118" w:line="240" w:lineRule="auto"/>
              <w:ind w:firstLine="0" w:firstLineChars="0"/>
              <w:jc w:val="center"/>
              <w:rPr>
                <w:rFonts w:ascii="宋体" w:hAnsi="宋体" w:cs="宋体"/>
                <w:color w:val="auto"/>
                <w:sz w:val="24"/>
                <w:highlight w:val="none"/>
              </w:rPr>
            </w:pPr>
            <w:r>
              <w:rPr>
                <w:rFonts w:ascii="宋体" w:hAnsi="宋体" w:cs="宋体"/>
                <w:b/>
                <w:bCs/>
                <w:color w:val="auto"/>
                <w:sz w:val="24"/>
                <w:highlight w:val="none"/>
              </w:rPr>
              <w:t>联系电话</w:t>
            </w:r>
          </w:p>
        </w:tc>
        <w:tc>
          <w:tcPr>
            <w:tcW w:w="291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cs="宋体"/>
                <w:color w:val="auto"/>
                <w:highlight w:val="none"/>
              </w:rPr>
            </w:pPr>
          </w:p>
        </w:tc>
        <w:tc>
          <w:tcPr>
            <w:tcW w:w="4080" w:type="dxa"/>
            <w:vMerge w:val="continue"/>
            <w:tcBorders>
              <w:left w:val="single" w:color="000000" w:sz="4" w:space="0"/>
              <w:right w:val="single" w:color="000000" w:sz="12" w:space="0"/>
            </w:tcBorders>
            <w:noWrap w:val="0"/>
            <w:vAlign w:val="top"/>
          </w:tcPr>
          <w:p>
            <w:pPr>
              <w:ind w:firstLine="480"/>
              <w:rPr>
                <w:rFonts w:hint="eastAsia" w:ascii="宋体" w:hAnsi="宋体" w:cs="宋体"/>
                <w:color w:val="auto"/>
                <w:highlight w:val="none"/>
              </w:rPr>
            </w:pPr>
          </w:p>
        </w:tc>
      </w:tr>
      <w:tr>
        <w:tblPrEx>
          <w:tblCellMar>
            <w:top w:w="0" w:type="dxa"/>
            <w:left w:w="0" w:type="dxa"/>
            <w:bottom w:w="0" w:type="dxa"/>
            <w:right w:w="0" w:type="dxa"/>
          </w:tblCellMar>
        </w:tblPrEx>
        <w:trPr>
          <w:trHeight w:val="873" w:hRule="exact"/>
        </w:trPr>
        <w:tc>
          <w:tcPr>
            <w:tcW w:w="2457" w:type="dxa"/>
            <w:tcBorders>
              <w:top w:val="single" w:color="000000" w:sz="4" w:space="0"/>
              <w:left w:val="single" w:color="000000" w:sz="12" w:space="0"/>
              <w:bottom w:val="single" w:color="000000" w:sz="4" w:space="0"/>
              <w:right w:val="single" w:color="000000" w:sz="4" w:space="0"/>
            </w:tcBorders>
            <w:noWrap w:val="0"/>
            <w:vAlign w:val="center"/>
          </w:tcPr>
          <w:p>
            <w:pPr>
              <w:pStyle w:val="69"/>
              <w:spacing w:before="116" w:line="240" w:lineRule="auto"/>
              <w:ind w:firstLine="0" w:firstLineChars="0"/>
              <w:jc w:val="center"/>
              <w:rPr>
                <w:rFonts w:ascii="宋体" w:hAnsi="宋体" w:cs="宋体"/>
                <w:color w:val="auto"/>
                <w:sz w:val="24"/>
                <w:highlight w:val="none"/>
              </w:rPr>
            </w:pPr>
            <w:r>
              <w:rPr>
                <w:rFonts w:ascii="宋体" w:hAnsi="宋体" w:cs="宋体"/>
                <w:b/>
                <w:bCs/>
                <w:color w:val="auto"/>
                <w:sz w:val="24"/>
                <w:highlight w:val="none"/>
              </w:rPr>
              <w:t>最近一年工作状况</w:t>
            </w:r>
          </w:p>
        </w:tc>
        <w:tc>
          <w:tcPr>
            <w:tcW w:w="2910" w:type="dxa"/>
            <w:tcBorders>
              <w:top w:val="single" w:color="000000" w:sz="4" w:space="0"/>
              <w:left w:val="single" w:color="000000" w:sz="4" w:space="0"/>
              <w:bottom w:val="single" w:color="000000" w:sz="4" w:space="0"/>
              <w:right w:val="single" w:color="000000" w:sz="4" w:space="0"/>
            </w:tcBorders>
            <w:noWrap w:val="0"/>
            <w:vAlign w:val="top"/>
          </w:tcPr>
          <w:p>
            <w:pPr>
              <w:ind w:firstLine="480"/>
              <w:rPr>
                <w:rFonts w:hint="eastAsia" w:ascii="宋体" w:hAnsi="宋体" w:cs="宋体"/>
                <w:color w:val="auto"/>
                <w:highlight w:val="none"/>
              </w:rPr>
            </w:pPr>
          </w:p>
        </w:tc>
        <w:tc>
          <w:tcPr>
            <w:tcW w:w="4080" w:type="dxa"/>
            <w:vMerge w:val="continue"/>
            <w:tcBorders>
              <w:left w:val="single" w:color="000000" w:sz="4" w:space="0"/>
              <w:bottom w:val="single" w:color="000000" w:sz="4" w:space="0"/>
              <w:right w:val="single" w:color="000000" w:sz="12" w:space="0"/>
            </w:tcBorders>
            <w:noWrap w:val="0"/>
            <w:vAlign w:val="top"/>
          </w:tcPr>
          <w:p>
            <w:pPr>
              <w:ind w:firstLine="480"/>
              <w:rPr>
                <w:rFonts w:hint="eastAsia" w:ascii="宋体" w:hAnsi="宋体" w:cs="宋体"/>
                <w:color w:val="auto"/>
                <w:highlight w:val="none"/>
              </w:rPr>
            </w:pPr>
          </w:p>
        </w:tc>
      </w:tr>
      <w:tr>
        <w:tblPrEx>
          <w:tblCellMar>
            <w:top w:w="0" w:type="dxa"/>
            <w:left w:w="0" w:type="dxa"/>
            <w:bottom w:w="0" w:type="dxa"/>
            <w:right w:w="0" w:type="dxa"/>
          </w:tblCellMar>
        </w:tblPrEx>
        <w:trPr>
          <w:trHeight w:val="1101" w:hRule="exact"/>
        </w:trPr>
        <w:tc>
          <w:tcPr>
            <w:tcW w:w="2457" w:type="dxa"/>
            <w:tcBorders>
              <w:top w:val="single" w:color="000000" w:sz="4" w:space="0"/>
              <w:left w:val="single" w:color="000000" w:sz="12" w:space="0"/>
              <w:bottom w:val="single" w:color="000000" w:sz="4" w:space="0"/>
              <w:right w:val="single" w:color="000000" w:sz="4" w:space="0"/>
            </w:tcBorders>
            <w:noWrap w:val="0"/>
            <w:vAlign w:val="center"/>
          </w:tcPr>
          <w:p>
            <w:pPr>
              <w:pStyle w:val="69"/>
              <w:spacing w:line="319" w:lineRule="exact"/>
              <w:ind w:right="7" w:firstLine="0" w:firstLineChars="0"/>
              <w:jc w:val="center"/>
              <w:rPr>
                <w:rFonts w:ascii="宋体" w:hAnsi="宋体" w:cs="宋体"/>
                <w:color w:val="auto"/>
                <w:sz w:val="24"/>
                <w:highlight w:val="none"/>
              </w:rPr>
            </w:pPr>
            <w:r>
              <w:rPr>
                <w:rFonts w:ascii="宋体" w:hAnsi="宋体" w:cs="宋体"/>
                <w:b/>
                <w:bCs/>
                <w:color w:val="auto"/>
                <w:sz w:val="24"/>
                <w:highlight w:val="none"/>
              </w:rPr>
              <w:t>拟在本项目中担任</w:t>
            </w:r>
          </w:p>
          <w:p>
            <w:pPr>
              <w:pStyle w:val="69"/>
              <w:spacing w:before="177" w:line="240" w:lineRule="auto"/>
              <w:ind w:right="7" w:firstLine="0" w:firstLineChars="0"/>
              <w:jc w:val="center"/>
              <w:rPr>
                <w:rFonts w:ascii="宋体" w:hAnsi="宋体" w:cs="宋体"/>
                <w:color w:val="auto"/>
                <w:sz w:val="24"/>
                <w:highlight w:val="none"/>
              </w:rPr>
            </w:pPr>
            <w:r>
              <w:rPr>
                <w:rFonts w:ascii="宋体" w:hAnsi="宋体" w:cs="宋体"/>
                <w:b/>
                <w:bCs/>
                <w:color w:val="auto"/>
                <w:sz w:val="24"/>
                <w:highlight w:val="none"/>
              </w:rPr>
              <w:t>主要工作</w:t>
            </w:r>
          </w:p>
        </w:tc>
        <w:tc>
          <w:tcPr>
            <w:tcW w:w="6990" w:type="dxa"/>
            <w:gridSpan w:val="2"/>
            <w:tcBorders>
              <w:top w:val="single" w:color="000000" w:sz="4" w:space="0"/>
              <w:left w:val="single" w:color="000000" w:sz="4" w:space="0"/>
              <w:bottom w:val="single" w:color="000000" w:sz="4" w:space="0"/>
              <w:right w:val="single" w:color="000000" w:sz="12" w:space="0"/>
            </w:tcBorders>
            <w:noWrap w:val="0"/>
            <w:vAlign w:val="top"/>
          </w:tcPr>
          <w:p>
            <w:pPr>
              <w:ind w:firstLine="480"/>
              <w:rPr>
                <w:rFonts w:hint="eastAsia" w:ascii="宋体" w:hAnsi="宋体" w:cs="宋体"/>
                <w:color w:val="auto"/>
                <w:highlight w:val="none"/>
              </w:rPr>
            </w:pPr>
          </w:p>
        </w:tc>
      </w:tr>
    </w:tbl>
    <w:p>
      <w:pPr>
        <w:spacing w:before="11" w:line="240" w:lineRule="auto"/>
        <w:ind w:firstLine="120"/>
        <w:rPr>
          <w:rFonts w:ascii="微软雅黑" w:hAnsi="微软雅黑" w:eastAsia="微软雅黑" w:cs="微软雅黑"/>
          <w:color w:val="auto"/>
          <w:sz w:val="6"/>
          <w:szCs w:val="6"/>
          <w:highlight w:val="none"/>
        </w:rPr>
      </w:pPr>
    </w:p>
    <w:p>
      <w:pPr>
        <w:pStyle w:val="14"/>
        <w:spacing w:line="355" w:lineRule="exact"/>
        <w:rPr>
          <w:color w:val="auto"/>
          <w:highlight w:val="none"/>
        </w:rPr>
      </w:pPr>
      <w:r>
        <w:rPr>
          <w:color w:val="auto"/>
          <w:highlight w:val="none"/>
        </w:rPr>
        <w:t>投标人名称（盖公章）：</w:t>
      </w:r>
    </w:p>
    <w:p>
      <w:pPr>
        <w:pStyle w:val="14"/>
        <w:tabs>
          <w:tab w:val="left" w:pos="1869"/>
        </w:tabs>
        <w:spacing w:before="209" w:line="362" w:lineRule="auto"/>
        <w:ind w:right="5105"/>
        <w:rPr>
          <w:color w:val="auto"/>
          <w:highlight w:val="none"/>
        </w:rPr>
      </w:pPr>
      <w:r>
        <w:rPr>
          <w:color w:val="auto"/>
          <w:highlight w:val="none"/>
        </w:rPr>
        <w:t xml:space="preserve">法定代表人或代理人（签字或盖章）： </w:t>
      </w:r>
    </w:p>
    <w:p>
      <w:pPr>
        <w:pStyle w:val="14"/>
        <w:tabs>
          <w:tab w:val="left" w:pos="1869"/>
        </w:tabs>
        <w:spacing w:before="209" w:line="362" w:lineRule="auto"/>
        <w:ind w:right="5105"/>
        <w:rPr>
          <w:color w:val="auto"/>
          <w:highlight w:val="none"/>
        </w:rPr>
      </w:pPr>
      <w:r>
        <w:rPr>
          <w:color w:val="auto"/>
          <w:highlight w:val="none"/>
        </w:rPr>
        <w:t>日</w:t>
      </w:r>
      <w:r>
        <w:rPr>
          <w:color w:val="auto"/>
          <w:highlight w:val="none"/>
        </w:rPr>
        <w:tab/>
      </w:r>
      <w:r>
        <w:rPr>
          <w:color w:val="auto"/>
          <w:highlight w:val="none"/>
        </w:rPr>
        <w:t>期：</w:t>
      </w:r>
    </w:p>
    <w:p>
      <w:pPr>
        <w:tabs>
          <w:tab w:val="left" w:pos="720"/>
          <w:tab w:val="left" w:pos="1140"/>
        </w:tabs>
        <w:autoSpaceDE w:val="0"/>
        <w:autoSpaceDN w:val="0"/>
        <w:adjustRightInd w:val="0"/>
        <w:spacing w:line="360" w:lineRule="auto"/>
        <w:ind w:firstLine="0" w:firstLineChars="0"/>
        <w:rPr>
          <w:rFonts w:hint="eastAsia" w:ascii="宋体" w:hAnsi="宋体" w:cs="宋体"/>
          <w:b/>
          <w:bCs/>
          <w:color w:val="auto"/>
          <w:sz w:val="28"/>
          <w:szCs w:val="28"/>
          <w:highlight w:val="none"/>
          <w:lang w:val="zh-CN"/>
        </w:rPr>
      </w:pPr>
    </w:p>
    <w:p>
      <w:pPr>
        <w:spacing w:line="360" w:lineRule="auto"/>
        <w:ind w:firstLine="0" w:firstLineChars="0"/>
        <w:rPr>
          <w:rFonts w:hint="eastAsia" w:ascii="宋体" w:hAnsi="宋体" w:cs="宋体"/>
          <w:b/>
          <w:bCs/>
          <w:color w:val="auto"/>
          <w:highlight w:val="none"/>
        </w:rPr>
      </w:pPr>
    </w:p>
    <w:p>
      <w:pPr>
        <w:spacing w:line="360" w:lineRule="auto"/>
        <w:ind w:firstLine="0" w:firstLineChars="0"/>
        <w:rPr>
          <w:rFonts w:hint="eastAsia" w:ascii="宋体" w:hAnsi="宋体" w:cs="宋体"/>
          <w:b/>
          <w:bCs/>
          <w:color w:val="auto"/>
          <w:highlight w:val="none"/>
        </w:rPr>
      </w:pPr>
    </w:p>
    <w:p>
      <w:pPr>
        <w:spacing w:line="360" w:lineRule="auto"/>
        <w:ind w:firstLine="0" w:firstLineChars="0"/>
        <w:rPr>
          <w:rFonts w:hint="eastAsia" w:ascii="宋体" w:hAnsi="宋体" w:cs="宋体"/>
          <w:b/>
          <w:bCs/>
          <w:color w:val="auto"/>
          <w:highlight w:val="none"/>
        </w:rPr>
      </w:pPr>
    </w:p>
    <w:p>
      <w:pPr>
        <w:spacing w:line="360" w:lineRule="auto"/>
        <w:ind w:firstLine="0" w:firstLineChars="0"/>
        <w:rPr>
          <w:rFonts w:hint="eastAsia" w:ascii="宋体" w:hAnsi="宋体" w:cs="宋体"/>
          <w:b/>
          <w:bCs/>
          <w:color w:val="auto"/>
          <w:highlight w:val="none"/>
        </w:rPr>
      </w:pPr>
      <w:r>
        <w:rPr>
          <w:rFonts w:hint="eastAsia" w:ascii="宋体" w:hAnsi="宋体" w:cs="宋体"/>
          <w:b/>
          <w:bCs/>
          <w:color w:val="auto"/>
          <w:highlight w:val="none"/>
        </w:rPr>
        <w:t>附件</w:t>
      </w:r>
    </w:p>
    <w:p>
      <w:pPr>
        <w:spacing w:line="360" w:lineRule="auto"/>
        <w:ind w:firstLine="0" w:firstLineChars="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lang w:eastAsia="zh-CN"/>
        </w:rPr>
        <w:t>拟派</w:t>
      </w:r>
      <w:r>
        <w:rPr>
          <w:rFonts w:hint="eastAsia" w:ascii="宋体" w:hAnsi="宋体" w:cs="宋体"/>
          <w:b/>
          <w:color w:val="auto"/>
          <w:sz w:val="36"/>
          <w:szCs w:val="36"/>
          <w:highlight w:val="none"/>
        </w:rPr>
        <w:t>项目实施人员一览表</w:t>
      </w:r>
    </w:p>
    <w:tbl>
      <w:tblPr>
        <w:tblStyle w:val="37"/>
        <w:tblW w:w="10044" w:type="dxa"/>
        <w:tblInd w:w="-185" w:type="dxa"/>
        <w:tblLayout w:type="fixed"/>
        <w:tblCellMar>
          <w:top w:w="0" w:type="dxa"/>
          <w:left w:w="0" w:type="dxa"/>
          <w:bottom w:w="0" w:type="dxa"/>
          <w:right w:w="0" w:type="dxa"/>
        </w:tblCellMar>
      </w:tblPr>
      <w:tblGrid>
        <w:gridCol w:w="690"/>
        <w:gridCol w:w="1530"/>
        <w:gridCol w:w="819"/>
        <w:gridCol w:w="720"/>
        <w:gridCol w:w="1575"/>
        <w:gridCol w:w="1290"/>
        <w:gridCol w:w="1365"/>
        <w:gridCol w:w="2055"/>
      </w:tblGrid>
      <w:tr>
        <w:tblPrEx>
          <w:tblCellMar>
            <w:top w:w="0" w:type="dxa"/>
            <w:left w:w="0" w:type="dxa"/>
            <w:bottom w:w="0" w:type="dxa"/>
            <w:right w:w="0" w:type="dxa"/>
          </w:tblCellMar>
        </w:tblPrEx>
        <w:trPr>
          <w:trHeight w:val="1451" w:hRule="exac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pStyle w:val="69"/>
              <w:keepNext w:val="0"/>
              <w:keepLines w:val="0"/>
              <w:pageBreakBefore w:val="0"/>
              <w:widowControl w:val="0"/>
              <w:kinsoku/>
              <w:wordWrap/>
              <w:overflowPunct/>
              <w:topLinePunct w:val="0"/>
              <w:autoSpaceDE/>
              <w:autoSpaceDN/>
              <w:bidi w:val="0"/>
              <w:adjustRightInd/>
              <w:snapToGrid/>
              <w:spacing w:line="357" w:lineRule="auto"/>
              <w:ind w:left="0" w:leftChars="0" w:right="0" w:firstLine="0" w:firstLineChars="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序号</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pStyle w:val="69"/>
              <w:keepNext w:val="0"/>
              <w:keepLines w:val="0"/>
              <w:pageBreakBefore w:val="0"/>
              <w:widowControl w:val="0"/>
              <w:kinsoku/>
              <w:wordWrap/>
              <w:overflowPunct/>
              <w:topLinePunct w:val="0"/>
              <w:autoSpaceDE/>
              <w:autoSpaceDN/>
              <w:bidi w:val="0"/>
              <w:adjustRightInd/>
              <w:snapToGrid/>
              <w:spacing w:line="357" w:lineRule="auto"/>
              <w:ind w:left="0" w:leftChars="0" w:right="0" w:firstLine="0" w:firstLineChars="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姓名</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pStyle w:val="69"/>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职务</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Style w:val="69"/>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职责</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pStyle w:val="69"/>
              <w:keepNext w:val="0"/>
              <w:keepLines w:val="0"/>
              <w:pageBreakBefore w:val="0"/>
              <w:widowControl w:val="0"/>
              <w:kinsoku/>
              <w:wordWrap/>
              <w:overflowPunct/>
              <w:topLinePunct w:val="0"/>
              <w:autoSpaceDE/>
              <w:autoSpaceDN/>
              <w:bidi w:val="0"/>
              <w:adjustRightInd/>
              <w:snapToGrid/>
              <w:spacing w:line="357"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专业技术资格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pStyle w:val="69"/>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证书编号</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pStyle w:val="69"/>
              <w:keepNext w:val="0"/>
              <w:keepLines w:val="0"/>
              <w:pageBreakBefore w:val="0"/>
              <w:widowControl w:val="0"/>
              <w:kinsoku/>
              <w:wordWrap/>
              <w:overflowPunct/>
              <w:topLinePunct w:val="0"/>
              <w:autoSpaceDE/>
              <w:autoSpaceDN/>
              <w:bidi w:val="0"/>
              <w:adjustRightInd/>
              <w:snapToGrid/>
              <w:spacing w:line="357"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参加本单位工作时间</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pStyle w:val="69"/>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劳动合同编号</w:t>
            </w:r>
          </w:p>
        </w:tc>
      </w:tr>
      <w:tr>
        <w:tblPrEx>
          <w:tblCellMar>
            <w:top w:w="0" w:type="dxa"/>
            <w:left w:w="0" w:type="dxa"/>
            <w:bottom w:w="0" w:type="dxa"/>
            <w:right w:w="0" w:type="dxa"/>
          </w:tblCellMar>
        </w:tblPrEx>
        <w:trPr>
          <w:trHeight w:val="833" w:hRule="exact"/>
        </w:trPr>
        <w:tc>
          <w:tcPr>
            <w:tcW w:w="69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819"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055"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r>
      <w:tr>
        <w:tblPrEx>
          <w:tblCellMar>
            <w:top w:w="0" w:type="dxa"/>
            <w:left w:w="0" w:type="dxa"/>
            <w:bottom w:w="0" w:type="dxa"/>
            <w:right w:w="0" w:type="dxa"/>
          </w:tblCellMar>
        </w:tblPrEx>
        <w:trPr>
          <w:trHeight w:val="834" w:hRule="exact"/>
        </w:trPr>
        <w:tc>
          <w:tcPr>
            <w:tcW w:w="69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819"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055"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r>
      <w:tr>
        <w:tblPrEx>
          <w:tblCellMar>
            <w:top w:w="0" w:type="dxa"/>
            <w:left w:w="0" w:type="dxa"/>
            <w:bottom w:w="0" w:type="dxa"/>
            <w:right w:w="0" w:type="dxa"/>
          </w:tblCellMar>
        </w:tblPrEx>
        <w:trPr>
          <w:trHeight w:val="833" w:hRule="exact"/>
        </w:trPr>
        <w:tc>
          <w:tcPr>
            <w:tcW w:w="69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819"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055"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r>
      <w:tr>
        <w:tblPrEx>
          <w:tblCellMar>
            <w:top w:w="0" w:type="dxa"/>
            <w:left w:w="0" w:type="dxa"/>
            <w:bottom w:w="0" w:type="dxa"/>
            <w:right w:w="0" w:type="dxa"/>
          </w:tblCellMar>
        </w:tblPrEx>
        <w:trPr>
          <w:trHeight w:val="834" w:hRule="exact"/>
        </w:trPr>
        <w:tc>
          <w:tcPr>
            <w:tcW w:w="69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819"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055"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r>
      <w:tr>
        <w:tblPrEx>
          <w:tblCellMar>
            <w:top w:w="0" w:type="dxa"/>
            <w:left w:w="0" w:type="dxa"/>
            <w:bottom w:w="0" w:type="dxa"/>
            <w:right w:w="0" w:type="dxa"/>
          </w:tblCellMar>
        </w:tblPrEx>
        <w:trPr>
          <w:trHeight w:val="834" w:hRule="exact"/>
        </w:trPr>
        <w:tc>
          <w:tcPr>
            <w:tcW w:w="69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819"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055"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r>
      <w:tr>
        <w:tblPrEx>
          <w:tblCellMar>
            <w:top w:w="0" w:type="dxa"/>
            <w:left w:w="0" w:type="dxa"/>
            <w:bottom w:w="0" w:type="dxa"/>
            <w:right w:w="0" w:type="dxa"/>
          </w:tblCellMar>
        </w:tblPrEx>
        <w:trPr>
          <w:trHeight w:val="833" w:hRule="exact"/>
        </w:trPr>
        <w:tc>
          <w:tcPr>
            <w:tcW w:w="69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819"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055"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r>
    </w:tbl>
    <w:p>
      <w:pPr>
        <w:spacing w:line="323" w:lineRule="exact"/>
        <w:ind w:left="0" w:leftChars="0" w:right="345" w:firstLine="0" w:firstLineChars="0"/>
        <w:jc w:val="left"/>
        <w:rPr>
          <w:rFonts w:hint="eastAsia" w:ascii="宋体" w:hAnsi="宋体" w:cs="宋体"/>
          <w:b/>
          <w:bCs/>
          <w:color w:val="auto"/>
          <w:highlight w:val="none"/>
        </w:rPr>
      </w:pPr>
    </w:p>
    <w:p>
      <w:pPr>
        <w:spacing w:before="0"/>
        <w:ind w:left="651" w:right="345" w:firstLine="0"/>
        <w:jc w:val="left"/>
        <w:rPr>
          <w:rFonts w:hint="eastAsia" w:ascii="宋体" w:hAnsi="宋体" w:eastAsia="宋体" w:cs="宋体"/>
          <w:color w:val="auto"/>
          <w:sz w:val="24"/>
          <w:szCs w:val="24"/>
          <w:highlight w:val="none"/>
        </w:rPr>
      </w:pPr>
      <w:r>
        <w:rPr>
          <w:rFonts w:hint="eastAsia" w:ascii="宋体" w:hAnsi="宋体" w:cs="宋体"/>
          <w:b/>
          <w:bCs/>
          <w:color w:val="auto"/>
          <w:highlight w:val="none"/>
        </w:rPr>
        <w:t>注：</w:t>
      </w:r>
      <w:r>
        <w:rPr>
          <w:rFonts w:hint="eastAsia" w:ascii="宋体" w:hAnsi="宋体" w:eastAsia="宋体" w:cs="宋体"/>
          <w:b/>
          <w:bCs/>
          <w:color w:val="auto"/>
          <w:sz w:val="24"/>
          <w:szCs w:val="24"/>
          <w:highlight w:val="none"/>
        </w:rPr>
        <w:t>1.</w:t>
      </w:r>
      <w:r>
        <w:rPr>
          <w:rFonts w:hint="eastAsia" w:ascii="宋体" w:hAnsi="宋体" w:eastAsia="宋体" w:cs="宋体"/>
          <w:color w:val="auto"/>
          <w:sz w:val="24"/>
          <w:szCs w:val="24"/>
          <w:highlight w:val="none"/>
        </w:rPr>
        <w:t>在填写时，如本表格不适合投标人的实际情况，可根据本表格式自行划表填写。</w:t>
      </w:r>
    </w:p>
    <w:p>
      <w:pPr>
        <w:spacing w:before="0"/>
        <w:ind w:left="637" w:right="345"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2.附人员证书复印件；</w:t>
      </w:r>
    </w:p>
    <w:p>
      <w:pPr>
        <w:pStyle w:val="14"/>
        <w:tabs>
          <w:tab w:val="left" w:pos="1839"/>
        </w:tabs>
        <w:spacing w:line="363" w:lineRule="auto"/>
        <w:ind w:firstLine="5280" w:firstLineChars="2200"/>
        <w:rPr>
          <w:color w:val="auto"/>
          <w:highlight w:val="none"/>
        </w:rPr>
      </w:pPr>
      <w:r>
        <w:rPr>
          <w:color w:val="auto"/>
          <w:highlight w:val="none"/>
        </w:rPr>
        <w:t xml:space="preserve">投标人名称（盖公章）： </w:t>
      </w:r>
    </w:p>
    <w:p>
      <w:pPr>
        <w:pStyle w:val="14"/>
        <w:tabs>
          <w:tab w:val="left" w:pos="1839"/>
        </w:tabs>
        <w:spacing w:line="363" w:lineRule="auto"/>
        <w:ind w:left="640" w:firstLine="3360" w:firstLineChars="1400"/>
        <w:rPr>
          <w:color w:val="auto"/>
          <w:highlight w:val="none"/>
        </w:rPr>
      </w:pPr>
      <w:r>
        <w:rPr>
          <w:color w:val="auto"/>
          <w:highlight w:val="none"/>
        </w:rPr>
        <w:t>法定代表人或代理人（签字或盖章）：</w:t>
      </w:r>
    </w:p>
    <w:p>
      <w:pPr>
        <w:pStyle w:val="14"/>
        <w:tabs>
          <w:tab w:val="left" w:pos="1839"/>
        </w:tabs>
        <w:spacing w:line="363" w:lineRule="auto"/>
        <w:ind w:left="640" w:firstLine="5520" w:firstLineChars="2300"/>
        <w:rPr>
          <w:color w:val="auto"/>
          <w:highlight w:val="none"/>
        </w:rPr>
      </w:pPr>
      <w:r>
        <w:rPr>
          <w:color w:val="auto"/>
          <w:highlight w:val="none"/>
        </w:rPr>
        <w:t xml:space="preserve"> 日</w:t>
      </w:r>
      <w:r>
        <w:rPr>
          <w:color w:val="auto"/>
          <w:highlight w:val="none"/>
        </w:rPr>
        <w:tab/>
      </w:r>
      <w:r>
        <w:rPr>
          <w:color w:val="auto"/>
          <w:highlight w:val="none"/>
        </w:rPr>
        <w:t>期：</w:t>
      </w:r>
    </w:p>
    <w:p>
      <w:pPr>
        <w:tabs>
          <w:tab w:val="left" w:pos="720"/>
          <w:tab w:val="left" w:pos="1140"/>
        </w:tabs>
        <w:autoSpaceDE w:val="0"/>
        <w:autoSpaceDN w:val="0"/>
        <w:adjustRightInd w:val="0"/>
        <w:spacing w:line="360" w:lineRule="auto"/>
        <w:ind w:firstLine="0" w:firstLineChars="0"/>
        <w:rPr>
          <w:rFonts w:hint="eastAsia" w:ascii="宋体" w:hAnsi="宋体" w:cs="宋体"/>
          <w:b/>
          <w:bCs/>
          <w:color w:val="auto"/>
          <w:sz w:val="28"/>
          <w:szCs w:val="28"/>
          <w:highlight w:val="none"/>
          <w:lang w:val="zh-CN"/>
        </w:rPr>
      </w:pPr>
    </w:p>
    <w:p>
      <w:pPr>
        <w:tabs>
          <w:tab w:val="left" w:pos="720"/>
          <w:tab w:val="left" w:pos="1140"/>
        </w:tabs>
        <w:autoSpaceDE w:val="0"/>
        <w:autoSpaceDN w:val="0"/>
        <w:adjustRightInd w:val="0"/>
        <w:spacing w:line="360" w:lineRule="auto"/>
        <w:ind w:firstLine="0" w:firstLineChars="0"/>
        <w:rPr>
          <w:rFonts w:hint="eastAsia" w:ascii="宋体" w:hAnsi="宋体" w:cs="宋体"/>
          <w:b/>
          <w:bCs/>
          <w:color w:val="auto"/>
          <w:sz w:val="28"/>
          <w:szCs w:val="28"/>
          <w:highlight w:val="none"/>
          <w:lang w:val="zh-CN"/>
        </w:rPr>
      </w:pPr>
    </w:p>
    <w:p>
      <w:pPr>
        <w:pStyle w:val="2"/>
        <w:rPr>
          <w:rFonts w:hint="eastAsia"/>
          <w:color w:val="auto"/>
          <w:highlight w:val="none"/>
          <w:lang w:val="zh-CN"/>
        </w:rPr>
      </w:pPr>
    </w:p>
    <w:p>
      <w:pPr>
        <w:tabs>
          <w:tab w:val="left" w:pos="720"/>
          <w:tab w:val="left" w:pos="1140"/>
        </w:tabs>
        <w:autoSpaceDE w:val="0"/>
        <w:autoSpaceDN w:val="0"/>
        <w:adjustRightInd w:val="0"/>
        <w:spacing w:line="360" w:lineRule="auto"/>
        <w:ind w:firstLine="0" w:firstLineChars="0"/>
        <w:rPr>
          <w:rFonts w:hint="eastAsia" w:ascii="宋体" w:hAnsi="宋体" w:cs="宋体"/>
          <w:b/>
          <w:bCs/>
          <w:color w:val="auto"/>
          <w:sz w:val="28"/>
          <w:szCs w:val="28"/>
          <w:highlight w:val="none"/>
          <w:lang w:val="zh-CN"/>
        </w:rPr>
      </w:pPr>
    </w:p>
    <w:p>
      <w:pPr>
        <w:ind w:firstLine="0" w:firstLineChars="0"/>
        <w:rPr>
          <w:rFonts w:ascii="宋体" w:cs="宋体"/>
          <w:b/>
          <w:bCs/>
          <w:color w:val="auto"/>
          <w:highlight w:val="none"/>
        </w:rPr>
      </w:pPr>
      <w:r>
        <w:rPr>
          <w:rFonts w:hint="eastAsia" w:ascii="宋体" w:hAnsi="宋体" w:cs="宋体"/>
          <w:b/>
          <w:bCs/>
          <w:color w:val="auto"/>
          <w:highlight w:val="none"/>
        </w:rPr>
        <w:t>附件</w:t>
      </w:r>
    </w:p>
    <w:bookmarkEnd w:id="223"/>
    <w:bookmarkEnd w:id="224"/>
    <w:bookmarkEnd w:id="225"/>
    <w:bookmarkEnd w:id="226"/>
    <w:bookmarkEnd w:id="227"/>
    <w:bookmarkEnd w:id="228"/>
    <w:bookmarkEnd w:id="229"/>
    <w:p>
      <w:pPr>
        <w:pStyle w:val="15"/>
        <w:spacing w:line="360" w:lineRule="auto"/>
        <w:ind w:firstLine="0" w:firstLineChars="0"/>
        <w:jc w:val="center"/>
        <w:rPr>
          <w:rFonts w:ascii="宋体" w:cs="宋体"/>
          <w:b/>
          <w:color w:val="auto"/>
          <w:sz w:val="32"/>
          <w:szCs w:val="32"/>
          <w:highlight w:val="none"/>
        </w:rPr>
      </w:pPr>
      <w:r>
        <w:rPr>
          <w:rFonts w:hint="eastAsia" w:ascii="宋体" w:hAnsi="宋体" w:cs="宋体"/>
          <w:b/>
          <w:color w:val="auto"/>
          <w:sz w:val="32"/>
          <w:szCs w:val="32"/>
          <w:highlight w:val="none"/>
        </w:rPr>
        <w:t>开标一览表</w:t>
      </w:r>
    </w:p>
    <w:p>
      <w:pPr>
        <w:autoSpaceDE w:val="0"/>
        <w:autoSpaceDN w:val="0"/>
        <w:adjustRightInd w:val="0"/>
        <w:spacing w:line="440" w:lineRule="exact"/>
        <w:ind w:firstLine="480"/>
        <w:textAlignment w:val="baseline"/>
        <w:rPr>
          <w:rFonts w:ascii="宋体" w:hAnsi="宋体" w:cs="宋体"/>
          <w:snapToGrid w:val="0"/>
          <w:color w:val="auto"/>
          <w:kern w:val="0"/>
          <w:highlight w:val="none"/>
        </w:rPr>
      </w:pPr>
      <w:r>
        <w:rPr>
          <w:rFonts w:ascii="宋体" w:hAnsi="宋体" w:cs="宋体"/>
          <w:snapToGrid w:val="0"/>
          <w:color w:val="auto"/>
          <w:kern w:val="0"/>
          <w:highlight w:val="none"/>
        </w:rPr>
        <w:t xml:space="preserve">项目名称：                      </w:t>
      </w:r>
    </w:p>
    <w:p>
      <w:pPr>
        <w:spacing w:line="440" w:lineRule="exact"/>
        <w:ind w:firstLine="480"/>
        <w:rPr>
          <w:rFonts w:ascii="宋体" w:hAnsi="宋体" w:cs="宋体"/>
          <w:color w:val="auto"/>
          <w:highlight w:val="none"/>
        </w:rPr>
      </w:pPr>
      <w:r>
        <w:rPr>
          <w:rFonts w:ascii="宋体" w:hAnsi="宋体" w:cs="宋体"/>
          <w:snapToGrid w:val="0"/>
          <w:color w:val="auto"/>
          <w:kern w:val="0"/>
          <w:highlight w:val="none"/>
        </w:rPr>
        <w:t xml:space="preserve">项目编号：                                               </w:t>
      </w:r>
      <w:r>
        <w:rPr>
          <w:rFonts w:ascii="宋体" w:hAnsi="宋体" w:cs="宋体"/>
          <w:color w:val="auto"/>
          <w:highlight w:val="none"/>
        </w:rPr>
        <w:t>单位：元</w:t>
      </w:r>
    </w:p>
    <w:tbl>
      <w:tblPr>
        <w:tblStyle w:val="37"/>
        <w:tblW w:w="9990" w:type="dxa"/>
        <w:tblInd w:w="-349" w:type="dxa"/>
        <w:tblLayout w:type="fixed"/>
        <w:tblCellMar>
          <w:top w:w="0" w:type="dxa"/>
          <w:left w:w="0" w:type="dxa"/>
          <w:bottom w:w="0" w:type="dxa"/>
          <w:right w:w="0" w:type="dxa"/>
        </w:tblCellMar>
      </w:tblPr>
      <w:tblGrid>
        <w:gridCol w:w="780"/>
        <w:gridCol w:w="3038"/>
        <w:gridCol w:w="1155"/>
        <w:gridCol w:w="3120"/>
        <w:gridCol w:w="1897"/>
      </w:tblGrid>
      <w:tr>
        <w:tblPrEx>
          <w:tblCellMar>
            <w:top w:w="0" w:type="dxa"/>
            <w:left w:w="0" w:type="dxa"/>
            <w:bottom w:w="0" w:type="dxa"/>
            <w:right w:w="0" w:type="dxa"/>
          </w:tblCellMar>
        </w:tblPrEx>
        <w:trPr>
          <w:trHeight w:val="1362" w:hRule="exact"/>
        </w:trPr>
        <w:tc>
          <w:tcPr>
            <w:tcW w:w="780" w:type="dxa"/>
            <w:tcBorders>
              <w:top w:val="single" w:color="000000" w:sz="4" w:space="0"/>
              <w:left w:val="single" w:color="000000" w:sz="4" w:space="0"/>
              <w:bottom w:val="single" w:color="000000" w:sz="4" w:space="0"/>
              <w:right w:val="single" w:color="000000" w:sz="6" w:space="0"/>
            </w:tcBorders>
            <w:noWrap w:val="0"/>
            <w:vAlign w:val="center"/>
          </w:tcPr>
          <w:p>
            <w:pPr>
              <w:pStyle w:val="69"/>
              <w:spacing w:before="180" w:line="24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3038" w:type="dxa"/>
            <w:tcBorders>
              <w:top w:val="single" w:color="000000" w:sz="4" w:space="0"/>
              <w:left w:val="single" w:color="000000" w:sz="6" w:space="0"/>
              <w:bottom w:val="single" w:color="auto" w:sz="4" w:space="0"/>
              <w:right w:val="single" w:color="000000" w:sz="4" w:space="0"/>
            </w:tcBorders>
            <w:noWrap w:val="0"/>
            <w:vAlign w:val="center"/>
          </w:tcPr>
          <w:p>
            <w:pPr>
              <w:pStyle w:val="69"/>
              <w:spacing w:before="180" w:line="24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tc>
        <w:tc>
          <w:tcPr>
            <w:tcW w:w="1155" w:type="dxa"/>
            <w:tcBorders>
              <w:top w:val="single" w:color="000000" w:sz="4" w:space="0"/>
              <w:left w:val="single" w:color="000000" w:sz="4" w:space="0"/>
              <w:bottom w:val="single" w:color="auto" w:sz="4" w:space="0"/>
              <w:right w:val="single" w:color="000000" w:sz="4" w:space="0"/>
            </w:tcBorders>
            <w:noWrap w:val="0"/>
            <w:vAlign w:val="center"/>
          </w:tcPr>
          <w:p>
            <w:pPr>
              <w:pStyle w:val="69"/>
              <w:spacing w:before="180" w:line="24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3120" w:type="dxa"/>
            <w:tcBorders>
              <w:top w:val="single" w:color="000000" w:sz="4" w:space="0"/>
              <w:left w:val="single" w:color="000000" w:sz="4" w:space="0"/>
              <w:bottom w:val="single" w:color="auto" w:sz="4" w:space="0"/>
              <w:right w:val="single" w:color="000000" w:sz="4" w:space="0"/>
            </w:tcBorders>
            <w:noWrap w:val="0"/>
            <w:vAlign w:val="center"/>
          </w:tcPr>
          <w:p>
            <w:pPr>
              <w:pStyle w:val="69"/>
              <w:spacing w:before="180" w:line="24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按《浙江省医疗服务价格手册》价格收费标准折扣率</w:t>
            </w:r>
          </w:p>
        </w:tc>
        <w:tc>
          <w:tcPr>
            <w:tcW w:w="1897" w:type="dxa"/>
            <w:tcBorders>
              <w:top w:val="single" w:color="000000" w:sz="4" w:space="0"/>
              <w:left w:val="single" w:color="000000" w:sz="4" w:space="0"/>
              <w:bottom w:val="single" w:color="auto" w:sz="4" w:space="0"/>
              <w:right w:val="single" w:color="000000" w:sz="4" w:space="0"/>
            </w:tcBorders>
            <w:noWrap w:val="0"/>
            <w:vAlign w:val="center"/>
          </w:tcPr>
          <w:p>
            <w:pPr>
              <w:pStyle w:val="69"/>
              <w:spacing w:before="180" w:line="24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CellMar>
            <w:top w:w="0" w:type="dxa"/>
            <w:left w:w="0" w:type="dxa"/>
            <w:bottom w:w="0" w:type="dxa"/>
            <w:right w:w="0" w:type="dxa"/>
          </w:tblCellMar>
        </w:tblPrEx>
        <w:trPr>
          <w:trHeight w:val="1810" w:hRule="exact"/>
        </w:trPr>
        <w:tc>
          <w:tcPr>
            <w:tcW w:w="780" w:type="dxa"/>
            <w:tcBorders>
              <w:top w:val="single" w:color="000000" w:sz="4" w:space="0"/>
              <w:left w:val="single" w:color="000000" w:sz="4" w:space="0"/>
              <w:bottom w:val="single" w:color="000000" w:sz="4" w:space="0"/>
              <w:right w:val="single" w:color="auto" w:sz="4" w:space="0"/>
            </w:tcBorders>
            <w:noWrap w:val="0"/>
            <w:vAlign w:val="center"/>
          </w:tcPr>
          <w:p>
            <w:pPr>
              <w:pStyle w:val="69"/>
              <w:spacing w:before="180" w:line="240" w:lineRule="auto"/>
              <w:ind w:left="0" w:leftChars="0" w:right="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038" w:type="dxa"/>
            <w:tcBorders>
              <w:top w:val="single" w:color="auto" w:sz="4" w:space="0"/>
              <w:left w:val="single" w:color="auto" w:sz="4" w:space="0"/>
              <w:bottom w:val="single" w:color="auto" w:sz="4" w:space="0"/>
              <w:right w:val="single" w:color="auto" w:sz="4" w:space="0"/>
            </w:tcBorders>
            <w:noWrap w:val="0"/>
            <w:vAlign w:val="center"/>
          </w:tcPr>
          <w:p>
            <w:pPr>
              <w:pStyle w:val="69"/>
              <w:spacing w:before="180" w:line="24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嵊州市人民医院检验科标本外送定点服务采购项目</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69"/>
              <w:spacing w:before="180" w:line="240" w:lineRule="auto"/>
              <w:ind w:left="0" w:leftChars="0" w:right="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3年</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pStyle w:val="69"/>
              <w:spacing w:before="180" w:line="24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固定折扣率：</w:t>
            </w:r>
            <w:r>
              <w:rPr>
                <w:rFonts w:hint="eastAsia"/>
                <w:color w:val="auto"/>
                <w:highlight w:val="none"/>
                <w:u w:val="single"/>
              </w:rPr>
              <w:t xml:space="preserve">       </w:t>
            </w:r>
            <w:r>
              <w:rPr>
                <w:rFonts w:hint="eastAsia" w:ascii="宋体" w:hAnsi="宋体" w:eastAsia="宋体" w:cs="宋体"/>
                <w:color w:val="auto"/>
                <w:highlight w:val="none"/>
              </w:rPr>
              <w:t xml:space="preserve"> %</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pStyle w:val="69"/>
              <w:keepNext w:val="0"/>
              <w:keepLines w:val="0"/>
              <w:pageBreakBefore w:val="0"/>
              <w:widowControl w:val="0"/>
              <w:kinsoku/>
              <w:wordWrap/>
              <w:overflowPunct/>
              <w:topLinePunct w:val="0"/>
              <w:autoSpaceDE/>
              <w:autoSpaceDN/>
              <w:bidi w:val="0"/>
              <w:adjustRightInd/>
              <w:snapToGrid/>
              <w:spacing w:before="180" w:line="50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ind w:left="212" w:firstLine="48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注：</w:t>
      </w:r>
    </w:p>
    <w:p>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1.开标一览表中报价为符合采购文件要求的项目报价（含税等费用），招标代理费及其他需要的一切费用。</w:t>
      </w:r>
    </w:p>
    <w:p>
      <w:pPr>
        <w:pStyle w:val="1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2.不提供此表格的将视为没有实质性响应采购文件。</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500" w:lineRule="exact"/>
        <w:ind w:right="-374" w:rightChars="-156"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检测服务费包括但不限于提供运输服务，配套车辆设备，配备服务人员，售后服务，质量监控信息，微生物消毒，外送标本检测等及其涉及的运费、油费、保险费、工资、水电费、设备折旧费、管理费、税费和招标代理服务费等一切完成本项目所产生的费用。</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4.报价一经涂改，应在涂改处加盖单位公章，或者由法定代表人或授权代理人签字或盖章，否则其投 标作无效标处理。</w:t>
      </w:r>
    </w:p>
    <w:p>
      <w:pPr>
        <w:keepNext w:val="0"/>
        <w:keepLines w:val="0"/>
        <w:pageBreakBefore w:val="0"/>
        <w:widowControl w:val="0"/>
        <w:tabs>
          <w:tab w:val="left" w:pos="9180"/>
        </w:tabs>
        <w:kinsoku/>
        <w:wordWrap/>
        <w:overflowPunct/>
        <w:topLinePunct w:val="0"/>
        <w:autoSpaceDE/>
        <w:autoSpaceDN/>
        <w:bidi w:val="0"/>
        <w:adjustRightInd/>
        <w:spacing w:line="500" w:lineRule="exact"/>
        <w:ind w:firstLine="480" w:firstLineChars="200"/>
        <w:textAlignment w:val="auto"/>
        <w:rPr>
          <w:rFonts w:ascii="宋体" w:hAnsi="宋体"/>
          <w:color w:val="auto"/>
          <w:sz w:val="24"/>
          <w:szCs w:val="24"/>
          <w:highlight w:val="none"/>
        </w:rPr>
      </w:pPr>
      <w:r>
        <w:rPr>
          <w:rFonts w:hint="eastAsia" w:ascii="宋体" w:hAnsi="宋体"/>
          <w:b/>
          <w:color w:val="auto"/>
          <w:sz w:val="24"/>
          <w:szCs w:val="24"/>
          <w:highlight w:val="none"/>
          <w:lang w:val="en-US" w:eastAsia="zh-CN"/>
        </w:rPr>
        <w:t>5.</w:t>
      </w:r>
      <w:r>
        <w:rPr>
          <w:rFonts w:ascii="宋体" w:hAnsi="宋体"/>
          <w:b/>
          <w:color w:val="auto"/>
          <w:sz w:val="24"/>
          <w:szCs w:val="24"/>
          <w:highlight w:val="none"/>
          <w:u w:val="single"/>
        </w:rPr>
        <w:t>特别提醒：本表的投标报价内容不能出现在资信及技术文件的投标文件正副本中</w:t>
      </w:r>
      <w:r>
        <w:rPr>
          <w:rFonts w:ascii="宋体" w:hAnsi="宋体"/>
          <w:b/>
          <w:color w:val="auto"/>
          <w:sz w:val="24"/>
          <w:szCs w:val="24"/>
          <w:highlight w:val="none"/>
        </w:rPr>
        <w:t>。</w:t>
      </w:r>
    </w:p>
    <w:p>
      <w:pPr>
        <w:snapToGrid w:val="0"/>
        <w:spacing w:line="440" w:lineRule="exact"/>
        <w:ind w:left="26" w:leftChars="11" w:right="-933" w:rightChars="-389" w:firstLine="480"/>
        <w:rPr>
          <w:rFonts w:hint="eastAsia" w:ascii="宋体" w:hAnsi="宋体"/>
          <w:color w:val="auto"/>
          <w:highlight w:val="none"/>
        </w:rPr>
      </w:pPr>
    </w:p>
    <w:p>
      <w:pPr>
        <w:snapToGrid w:val="0"/>
        <w:spacing w:line="440" w:lineRule="exact"/>
        <w:ind w:left="26" w:leftChars="11" w:right="-933" w:rightChars="-389" w:firstLine="480"/>
        <w:rPr>
          <w:rFonts w:ascii="宋体" w:hAnsi="宋体"/>
          <w:color w:val="auto"/>
          <w:highlight w:val="none"/>
        </w:rPr>
      </w:pPr>
      <w:r>
        <w:rPr>
          <w:rFonts w:hint="eastAsia" w:ascii="宋体" w:hAnsi="宋体"/>
          <w:color w:val="auto"/>
          <w:highlight w:val="none"/>
        </w:rPr>
        <w:t>全权代表签字：</w:t>
      </w:r>
      <w:r>
        <w:rPr>
          <w:rFonts w:hint="eastAsia" w:ascii="宋体" w:hAnsi="宋体"/>
          <w:color w:val="auto"/>
          <w:highlight w:val="none"/>
          <w:u w:val="single"/>
        </w:rPr>
        <w:t xml:space="preserve">         </w:t>
      </w:r>
      <w:r>
        <w:rPr>
          <w:rFonts w:ascii="宋体" w:hAnsi="宋体"/>
          <w:color w:val="auto"/>
          <w:highlight w:val="none"/>
        </w:rPr>
        <w:t xml:space="preserve">                    </w:t>
      </w:r>
    </w:p>
    <w:p>
      <w:pPr>
        <w:spacing w:line="440" w:lineRule="exact"/>
        <w:ind w:firstLine="5040" w:firstLineChars="2100"/>
        <w:rPr>
          <w:rFonts w:hint="eastAsia" w:ascii="宋体" w:hAnsi="宋体"/>
          <w:color w:val="auto"/>
          <w:highlight w:val="none"/>
        </w:rPr>
      </w:pPr>
    </w:p>
    <w:p>
      <w:pPr>
        <w:spacing w:line="440" w:lineRule="exact"/>
        <w:ind w:firstLine="6240" w:firstLineChars="2600"/>
        <w:rPr>
          <w:rFonts w:hint="eastAsia" w:ascii="宋体" w:hAnsi="宋体"/>
          <w:color w:val="auto"/>
          <w:highlight w:val="none"/>
        </w:rPr>
      </w:pPr>
      <w:r>
        <w:rPr>
          <w:rFonts w:hint="eastAsia" w:ascii="宋体" w:hAnsi="宋体"/>
          <w:color w:val="auto"/>
          <w:highlight w:val="none"/>
        </w:rPr>
        <w:t>日期：</w:t>
      </w:r>
      <w:r>
        <w:rPr>
          <w:rFonts w:ascii="宋体" w:hAnsi="宋体"/>
          <w:color w:val="auto"/>
          <w:highlight w:val="none"/>
        </w:rPr>
        <w:t xml:space="preserve">   </w:t>
      </w:r>
      <w:r>
        <w:rPr>
          <w:rFonts w:hint="eastAsia" w:ascii="宋体" w:hAnsi="宋体"/>
          <w:color w:val="auto"/>
          <w:highlight w:val="none"/>
        </w:rPr>
        <w:t xml:space="preserve"> 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pPr>
        <w:spacing w:line="360" w:lineRule="auto"/>
        <w:ind w:left="0" w:leftChars="0" w:firstLine="0" w:firstLineChars="0"/>
        <w:jc w:val="both"/>
        <w:rPr>
          <w:rFonts w:hint="eastAsia" w:ascii="宋体" w:hAnsi="宋体" w:eastAsia="宋体" w:cs="宋体"/>
          <w:b/>
          <w:color w:val="auto"/>
          <w:sz w:val="24"/>
          <w:szCs w:val="24"/>
          <w:highlight w:val="none"/>
          <w:lang w:eastAsia="zh-CN"/>
        </w:rPr>
      </w:pPr>
    </w:p>
    <w:p>
      <w:pPr>
        <w:pStyle w:val="5"/>
        <w:rPr>
          <w:rFonts w:hint="eastAsia" w:ascii="宋体" w:hAnsi="宋体" w:eastAsia="宋体" w:cs="宋体"/>
          <w:b/>
          <w:color w:val="auto"/>
          <w:sz w:val="24"/>
          <w:szCs w:val="24"/>
          <w:highlight w:val="none"/>
          <w:lang w:eastAsia="zh-CN"/>
        </w:rPr>
      </w:pPr>
    </w:p>
    <w:p>
      <w:pPr>
        <w:rPr>
          <w:rFonts w:hint="eastAsia"/>
          <w:color w:val="auto"/>
          <w:highlight w:val="none"/>
          <w:lang w:eastAsia="zh-CN"/>
        </w:rPr>
      </w:pPr>
    </w:p>
    <w:p>
      <w:pPr>
        <w:pStyle w:val="15"/>
        <w:spacing w:line="360" w:lineRule="auto"/>
        <w:ind w:firstLine="0" w:firstLineChars="0"/>
        <w:jc w:val="center"/>
        <w:rPr>
          <w:rFonts w:hint="eastAsia" w:ascii="宋体" w:hAnsi="宋体" w:cs="宋体"/>
          <w:b/>
          <w:color w:val="auto"/>
          <w:sz w:val="32"/>
          <w:szCs w:val="32"/>
          <w:highlight w:val="none"/>
          <w:lang w:eastAsia="zh-CN"/>
        </w:rPr>
      </w:pPr>
    </w:p>
    <w:p>
      <w:pPr>
        <w:spacing w:line="360" w:lineRule="auto"/>
        <w:ind w:left="0" w:leftChars="0" w:firstLine="0" w:firstLineChars="0"/>
        <w:jc w:val="both"/>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附件</w:t>
      </w:r>
    </w:p>
    <w:p>
      <w:pPr>
        <w:widowControl/>
        <w:spacing w:line="52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（注：如投标人不是中小企业，无需提供以下材料。）</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w:t>
      </w:r>
      <w:r>
        <w:rPr>
          <w:rFonts w:hint="eastAsia" w:ascii="宋体" w:hAnsi="宋体" w:cs="宋体"/>
          <w:b/>
          <w:color w:val="auto"/>
          <w:sz w:val="32"/>
          <w:szCs w:val="32"/>
          <w:highlight w:val="none"/>
        </w:rPr>
        <w:t>工程、服务</w:t>
      </w:r>
      <w:r>
        <w:rPr>
          <w:rFonts w:hint="eastAsia" w:ascii="宋体" w:hAnsi="宋体" w:eastAsia="宋体" w:cs="宋体"/>
          <w:b/>
          <w:color w:val="auto"/>
          <w:sz w:val="32"/>
          <w:szCs w:val="32"/>
          <w:highlight w:val="none"/>
        </w:rPr>
        <w:t>）</w:t>
      </w:r>
    </w:p>
    <w:p>
      <w:pPr>
        <w:ind w:firstLine="480"/>
        <w:jc w:val="left"/>
        <w:rPr>
          <w:rFonts w:hint="eastAsia" w:ascii="宋体" w:hAnsi="宋体" w:cs="宋体"/>
          <w:color w:val="auto"/>
          <w:highlight w:val="none"/>
        </w:rPr>
      </w:pPr>
      <w:r>
        <w:rPr>
          <w:rFonts w:hint="eastAsia" w:ascii="宋体" w:hAnsi="宋体" w:cs="宋体"/>
          <w:color w:val="auto"/>
          <w:highlight w:val="none"/>
        </w:rPr>
        <w:t>本公司（联合体）郑重声明，根据《政府采购促进中小企业发展管理办法》 （财库﹝2020﹞46 号）的规定，本公司（联合体）参加</w:t>
      </w:r>
      <w:r>
        <w:rPr>
          <w:rFonts w:hint="eastAsia" w:ascii="宋体" w:hAnsi="宋体" w:cs="宋体"/>
          <w:color w:val="auto"/>
          <w:highlight w:val="none"/>
          <w:u w:val="single"/>
        </w:rPr>
        <w:t xml:space="preserve">            </w:t>
      </w:r>
      <w:r>
        <w:rPr>
          <w:rFonts w:hint="eastAsia" w:ascii="宋体" w:hAnsi="宋体" w:cs="宋体"/>
          <w:color w:val="auto"/>
          <w:highlight w:val="none"/>
        </w:rPr>
        <w:t>的</w:t>
      </w:r>
      <w:r>
        <w:rPr>
          <w:rFonts w:hint="eastAsia" w:ascii="宋体" w:hAnsi="宋体" w:cs="宋体"/>
          <w:color w:val="auto"/>
          <w:highlight w:val="none"/>
          <w:u w:val="single"/>
        </w:rPr>
        <w:t xml:space="preserve">                </w:t>
      </w:r>
      <w:r>
        <w:rPr>
          <w:rFonts w:hint="eastAsia" w:ascii="宋体" w:hAnsi="宋体" w:cs="宋体"/>
          <w:color w:val="auto"/>
          <w:highlight w:val="none"/>
        </w:rPr>
        <w:t>采购活动，提供的货物全部由符合政策要求的中小企业制造。相关企业（含联合体中的中小企业、签订分包意向协议的中小企业）的具体情况如下：</w:t>
      </w:r>
    </w:p>
    <w:p>
      <w:pPr>
        <w:ind w:firstLine="480"/>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 xml:space="preserve">        （标的名称）</w:t>
      </w:r>
      <w:r>
        <w:rPr>
          <w:rFonts w:hint="eastAsia" w:ascii="宋体" w:hAnsi="宋体" w:cs="宋体"/>
          <w:color w:val="auto"/>
          <w:highlight w:val="none"/>
        </w:rPr>
        <w:t>，属于</w:t>
      </w:r>
      <w:r>
        <w:rPr>
          <w:rFonts w:hint="eastAsia" w:ascii="宋体" w:hAnsi="宋体" w:cs="宋体"/>
          <w:color w:val="auto"/>
          <w:highlight w:val="none"/>
          <w:u w:val="single"/>
        </w:rPr>
        <w:t xml:space="preserve">                  （采购文件中明确的所属行业）</w:t>
      </w:r>
      <w:r>
        <w:rPr>
          <w:rFonts w:hint="eastAsia" w:ascii="宋体" w:hAnsi="宋体" w:cs="宋体"/>
          <w:color w:val="auto"/>
          <w:highlight w:val="none"/>
        </w:rPr>
        <w:t>行业 ；制造商为</w:t>
      </w:r>
      <w:r>
        <w:rPr>
          <w:rFonts w:hint="eastAsia" w:ascii="宋体" w:hAnsi="宋体" w:cs="宋体"/>
          <w:color w:val="auto"/>
          <w:highlight w:val="none"/>
          <w:u w:val="single"/>
        </w:rPr>
        <w:t xml:space="preserve">           （企业名称） </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 ，属于</w:t>
      </w:r>
      <w:r>
        <w:rPr>
          <w:rFonts w:hint="eastAsia" w:ascii="宋体" w:hAnsi="宋体" w:cs="宋体"/>
          <w:color w:val="auto"/>
          <w:highlight w:val="none"/>
          <w:u w:val="single"/>
        </w:rPr>
        <w:t xml:space="preserve">     （中型企业、小型企业、微型企业）</w:t>
      </w:r>
      <w:r>
        <w:rPr>
          <w:rFonts w:hint="eastAsia" w:ascii="宋体" w:hAnsi="宋体" w:cs="宋体"/>
          <w:color w:val="auto"/>
          <w:highlight w:val="none"/>
        </w:rPr>
        <w:t xml:space="preserve"> ；</w:t>
      </w:r>
    </w:p>
    <w:p>
      <w:pPr>
        <w:ind w:firstLine="480"/>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        （标的名称）</w:t>
      </w:r>
      <w:r>
        <w:rPr>
          <w:rFonts w:hint="eastAsia" w:ascii="宋体" w:hAnsi="宋体" w:cs="宋体"/>
          <w:color w:val="auto"/>
          <w:highlight w:val="none"/>
        </w:rPr>
        <w:t>，属于</w:t>
      </w:r>
      <w:r>
        <w:rPr>
          <w:rFonts w:hint="eastAsia" w:ascii="宋体" w:hAnsi="宋体" w:cs="宋体"/>
          <w:color w:val="auto"/>
          <w:highlight w:val="none"/>
          <w:u w:val="single"/>
        </w:rPr>
        <w:t xml:space="preserve">                  （采购文件中明确的所属行业）</w:t>
      </w:r>
      <w:r>
        <w:rPr>
          <w:rFonts w:hint="eastAsia" w:ascii="宋体" w:hAnsi="宋体" w:cs="宋体"/>
          <w:color w:val="auto"/>
          <w:highlight w:val="none"/>
        </w:rPr>
        <w:t>行业 ；制造商为</w:t>
      </w:r>
      <w:r>
        <w:rPr>
          <w:rFonts w:hint="eastAsia" w:ascii="宋体" w:hAnsi="宋体" w:cs="宋体"/>
          <w:color w:val="auto"/>
          <w:highlight w:val="none"/>
          <w:u w:val="single"/>
        </w:rPr>
        <w:t xml:space="preserve">           （企业名称） </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 ，属于</w:t>
      </w:r>
      <w:r>
        <w:rPr>
          <w:rFonts w:hint="eastAsia" w:ascii="宋体" w:hAnsi="宋体" w:cs="宋体"/>
          <w:color w:val="auto"/>
          <w:highlight w:val="none"/>
          <w:u w:val="single"/>
        </w:rPr>
        <w:t xml:space="preserve">     （中型企业、小型企业、微型企业）</w:t>
      </w:r>
      <w:r>
        <w:rPr>
          <w:rFonts w:hint="eastAsia" w:ascii="宋体" w:hAnsi="宋体" w:cs="宋体"/>
          <w:color w:val="auto"/>
          <w:highlight w:val="none"/>
        </w:rPr>
        <w:t xml:space="preserve"> ；</w:t>
      </w:r>
    </w:p>
    <w:p>
      <w:pPr>
        <w:spacing w:before="55" w:line="588" w:lineRule="exact"/>
        <w:ind w:left="594" w:right="-20" w:firstLine="480"/>
        <w:rPr>
          <w:rFonts w:hint="eastAsia" w:ascii="宋体" w:hAnsi="宋体" w:cs="宋体"/>
          <w:color w:val="auto"/>
          <w:highlight w:val="none"/>
        </w:rPr>
      </w:pPr>
      <w:r>
        <w:rPr>
          <w:rFonts w:hint="eastAsia" w:ascii="宋体" w:hAnsi="宋体" w:cs="宋体"/>
          <w:color w:val="auto"/>
          <w:highlight w:val="none"/>
        </w:rPr>
        <w:t>……</w:t>
      </w:r>
    </w:p>
    <w:p>
      <w:pPr>
        <w:spacing w:before="55" w:line="588" w:lineRule="exact"/>
        <w:ind w:right="-23" w:firstLine="480"/>
        <w:rPr>
          <w:rFonts w:hint="eastAsia"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pacing w:val="-6"/>
          <w:kern w:val="0"/>
          <w:sz w:val="24"/>
          <w:szCs w:val="24"/>
          <w:highlight w:val="none"/>
          <w:u w:val="single"/>
          <w:lang w:val="zh-CN"/>
        </w:rPr>
      </w:pPr>
      <w:r>
        <w:rPr>
          <w:rFonts w:hint="eastAsia" w:ascii="宋体" w:hAnsi="宋体" w:eastAsia="宋体" w:cs="宋体"/>
          <w:color w:val="auto"/>
          <w:spacing w:val="-6"/>
          <w:sz w:val="24"/>
          <w:szCs w:val="24"/>
          <w:highlight w:val="none"/>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520" w:lineRule="exact"/>
        <w:ind w:firstLine="480"/>
        <w:jc w:val="left"/>
        <w:rPr>
          <w:rFonts w:hint="eastAsia" w:ascii="宋体"/>
          <w:color w:val="auto"/>
          <w:highlight w:val="none"/>
        </w:rPr>
      </w:pPr>
    </w:p>
    <w:p>
      <w:pPr>
        <w:widowControl/>
        <w:spacing w:line="520" w:lineRule="exact"/>
        <w:ind w:firstLine="480"/>
        <w:jc w:val="left"/>
        <w:rPr>
          <w:rFonts w:hint="eastAsia" w:ascii="宋体"/>
          <w:color w:val="auto"/>
          <w:highlight w:val="none"/>
        </w:rPr>
      </w:pPr>
      <w:r>
        <w:rPr>
          <w:rFonts w:hint="eastAsia" w:ascii="宋体"/>
          <w:color w:val="auto"/>
          <w:highlight w:val="none"/>
        </w:rPr>
        <w:t>注：</w:t>
      </w:r>
    </w:p>
    <w:p>
      <w:pPr>
        <w:widowControl/>
        <w:spacing w:line="520" w:lineRule="exact"/>
        <w:ind w:firstLine="482"/>
        <w:jc w:val="left"/>
        <w:rPr>
          <w:rFonts w:hint="eastAsia" w:ascii="宋体"/>
          <w:b/>
          <w:bCs/>
          <w:color w:val="auto"/>
          <w:highlight w:val="none"/>
        </w:rPr>
      </w:pPr>
      <w:r>
        <w:rPr>
          <w:rFonts w:hint="eastAsia" w:ascii="宋体"/>
          <w:b/>
          <w:bCs/>
          <w:color w:val="auto"/>
          <w:highlight w:val="none"/>
        </w:rPr>
        <w:t>1.投标人提供的中小企业声明函与实际情况不符的，视为投标人提供虚假材料投标，投标无效。</w:t>
      </w:r>
    </w:p>
    <w:p>
      <w:pPr>
        <w:widowControl/>
        <w:spacing w:line="520" w:lineRule="exact"/>
        <w:ind w:firstLine="480"/>
        <w:jc w:val="left"/>
        <w:rPr>
          <w:rFonts w:hint="eastAsia" w:ascii="宋体"/>
          <w:b/>
          <w:bCs/>
          <w:color w:val="auto"/>
          <w:highlight w:val="none"/>
        </w:rPr>
      </w:pPr>
      <w:r>
        <w:rPr>
          <w:rFonts w:hint="eastAsia" w:ascii="宋体"/>
          <w:color w:val="auto"/>
          <w:highlight w:val="none"/>
        </w:rPr>
        <w:t>2.根据《政府采购促进中小企业发展管理办法》的通知（财库〔2020〕46号）规定，中标、成交供应商享受中小企业扶持政策的，</w:t>
      </w:r>
      <w:r>
        <w:rPr>
          <w:rFonts w:hint="eastAsia" w:ascii="宋体"/>
          <w:b/>
          <w:bCs/>
          <w:color w:val="auto"/>
          <w:highlight w:val="none"/>
        </w:rPr>
        <w:t>采购代理机构将随中标（成交）结果公开中标（成交）供应商的《中小企业声明函》。</w:t>
      </w:r>
    </w:p>
    <w:p>
      <w:pPr>
        <w:widowControl/>
        <w:spacing w:line="520" w:lineRule="exact"/>
        <w:ind w:firstLine="480"/>
        <w:jc w:val="left"/>
        <w:rPr>
          <w:rFonts w:hint="eastAsia" w:ascii="宋体"/>
          <w:color w:val="auto"/>
          <w:highlight w:val="none"/>
        </w:rPr>
      </w:pPr>
      <w:r>
        <w:rPr>
          <w:rFonts w:hint="eastAsia" w:ascii="宋体"/>
          <w:color w:val="auto"/>
          <w:highlight w:val="none"/>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pacing w:line="520" w:lineRule="exact"/>
        <w:ind w:firstLine="480"/>
        <w:jc w:val="left"/>
        <w:rPr>
          <w:rFonts w:hint="eastAsia" w:ascii="宋体" w:hAnsi="宋体" w:cs="宋体"/>
          <w:color w:val="auto"/>
          <w:highlight w:val="none"/>
        </w:rPr>
      </w:pPr>
      <w:r>
        <w:rPr>
          <w:rFonts w:hint="eastAsia" w:ascii="宋体" w:hAnsi="宋体" w:cs="宋体"/>
          <w:color w:val="auto"/>
          <w:highlight w:val="none"/>
        </w:rPr>
        <w:t>①中标供应商为残疾人福利性单位的，其《残疾人福利性单位声明函》随中标结果同时公告，接受社会监督。</w:t>
      </w:r>
    </w:p>
    <w:p>
      <w:pPr>
        <w:spacing w:line="588" w:lineRule="exact"/>
        <w:ind w:firstLine="480"/>
        <w:jc w:val="left"/>
        <w:rPr>
          <w:rFonts w:ascii="宋体" w:hAnsi="宋体"/>
          <w:b/>
          <w:color w:val="auto"/>
          <w:spacing w:val="6"/>
          <w:highlight w:val="none"/>
        </w:rPr>
      </w:pPr>
      <w:r>
        <w:rPr>
          <w:rFonts w:hint="eastAsia" w:ascii="宋体" w:hAnsi="宋体" w:cs="宋体"/>
          <w:color w:val="auto"/>
          <w:highlight w:val="none"/>
        </w:rPr>
        <w:t>②供</w:t>
      </w:r>
      <w:r>
        <w:rPr>
          <w:rFonts w:hint="eastAsia" w:ascii="宋体"/>
          <w:color w:val="auto"/>
          <w:highlight w:val="none"/>
        </w:rPr>
        <w:t>应商提供的《残疾人福利性单位声明函》与事实不符的，依照《政府采购法》第七十七条第一款的规定追究法律责任。</w:t>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pStyle w:val="4"/>
        <w:rPr>
          <w:rFonts w:hint="eastAsia" w:ascii="宋体" w:hAnsi="宋体" w:eastAsia="宋体" w:cs="宋体"/>
          <w:b/>
          <w:color w:val="auto"/>
          <w:sz w:val="32"/>
          <w:szCs w:val="32"/>
          <w:highlight w:val="none"/>
        </w:rPr>
      </w:pPr>
    </w:p>
    <w:p>
      <w:pPr>
        <w:rPr>
          <w:rFonts w:hint="eastAsia"/>
          <w:color w:val="auto"/>
          <w:highlight w:val="none"/>
        </w:rPr>
      </w:pPr>
    </w:p>
    <w:p>
      <w:pPr>
        <w:spacing w:line="360" w:lineRule="auto"/>
        <w:jc w:val="center"/>
        <w:rPr>
          <w:rFonts w:hint="eastAsia" w:ascii="宋体" w:hAnsi="宋体" w:eastAsia="宋体" w:cs="宋体"/>
          <w:b/>
          <w:color w:val="auto"/>
          <w:sz w:val="32"/>
          <w:szCs w:val="32"/>
          <w:highlight w:val="none"/>
        </w:rPr>
      </w:pPr>
    </w:p>
    <w:p>
      <w:pPr>
        <w:pStyle w:val="67"/>
        <w:rPr>
          <w:rFonts w:hint="eastAsia"/>
          <w:color w:val="auto"/>
          <w:highlight w:val="none"/>
        </w:rPr>
      </w:pPr>
    </w:p>
    <w:p>
      <w:pPr>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残疾人福利性单位声明函</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如是</w:t>
      </w:r>
      <w:r>
        <w:rPr>
          <w:rFonts w:hint="eastAsia" w:ascii="宋体" w:hAnsi="宋体" w:eastAsia="宋体" w:cs="宋体"/>
          <w:b/>
          <w:color w:val="auto"/>
          <w:sz w:val="32"/>
          <w:szCs w:val="32"/>
          <w:highlight w:val="none"/>
          <w:lang w:eastAsia="zh-CN"/>
        </w:rPr>
        <w:t>）</w:t>
      </w:r>
    </w:p>
    <w:p>
      <w:pPr>
        <w:spacing w:line="360" w:lineRule="auto"/>
        <w:jc w:val="center"/>
        <w:rPr>
          <w:rFonts w:ascii="仿宋_GB2312" w:eastAsia="仿宋_GB2312"/>
          <w:b/>
          <w:color w:val="auto"/>
          <w:spacing w:val="6"/>
          <w:sz w:val="32"/>
          <w:szCs w:val="32"/>
          <w:highlight w:val="none"/>
        </w:rPr>
      </w:pPr>
    </w:p>
    <w:p>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b/>
          <w:color w:val="auto"/>
          <w:kern w:val="0"/>
          <w:sz w:val="24"/>
          <w:szCs w:val="24"/>
          <w:highlight w:val="none"/>
        </w:rPr>
        <w:t>项目（项目编号：</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b/>
          <w:color w:val="auto"/>
          <w:kern w:val="0"/>
          <w:sz w:val="24"/>
          <w:szCs w:val="24"/>
          <w:highlight w:val="none"/>
        </w:rPr>
        <w:t>）</w:t>
      </w:r>
      <w:r>
        <w:rPr>
          <w:rFonts w:hint="eastAsia" w:ascii="宋体" w:hAnsi="宋体" w:eastAsia="宋体" w:cs="宋体"/>
          <w:color w:val="auto"/>
          <w:spacing w:val="6"/>
          <w:sz w:val="24"/>
          <w:szCs w:val="24"/>
          <w:highlight w:val="none"/>
        </w:rPr>
        <w:t>的采购活动提供本单位制造的货物（由本单位承担工程/提供服务），或者提供其他残疾人福利性单位制造的货物（不包括使用非残疾人福利性单位注册商标的货物）。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pPr>
        <w:spacing w:line="360" w:lineRule="auto"/>
        <w:ind w:firstLine="504" w:firstLineChars="200"/>
        <w:rPr>
          <w:rFonts w:hint="eastAsia" w:ascii="宋体" w:hAnsi="宋体" w:eastAsia="宋体" w:cs="宋体"/>
          <w:color w:val="auto"/>
          <w:spacing w:val="6"/>
          <w:sz w:val="24"/>
          <w:szCs w:val="24"/>
          <w:highlight w:val="none"/>
        </w:rPr>
      </w:pPr>
    </w:p>
    <w:p>
      <w:pPr>
        <w:spacing w:line="360" w:lineRule="auto"/>
        <w:ind w:firstLine="504" w:firstLineChars="200"/>
        <w:rPr>
          <w:rFonts w:hint="eastAsia" w:ascii="宋体" w:hAnsi="宋体" w:eastAsia="宋体" w:cs="宋体"/>
          <w:color w:val="auto"/>
          <w:spacing w:val="6"/>
          <w:sz w:val="24"/>
          <w:szCs w:val="24"/>
          <w:highlight w:val="none"/>
        </w:rPr>
      </w:pPr>
    </w:p>
    <w:p>
      <w:pPr>
        <w:tabs>
          <w:tab w:val="left" w:pos="4860"/>
        </w:tabs>
        <w:spacing w:line="360" w:lineRule="auto"/>
        <w:ind w:right="156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单位名称（盖章）：</w:t>
      </w:r>
      <w:r>
        <w:rPr>
          <w:rFonts w:hint="eastAsia" w:ascii="宋体" w:hAnsi="宋体" w:eastAsia="宋体" w:cs="宋体"/>
          <w:color w:val="auto"/>
          <w:w w:val="90"/>
          <w:kern w:val="0"/>
          <w:sz w:val="24"/>
          <w:szCs w:val="24"/>
          <w:highlight w:val="none"/>
        </w:rPr>
        <w:t>__________________________________</w:t>
      </w:r>
    </w:p>
    <w:p>
      <w:pPr>
        <w:tabs>
          <w:tab w:val="left" w:pos="4860"/>
        </w:tabs>
        <w:spacing w:line="360" w:lineRule="auto"/>
        <w:ind w:right="1560"/>
        <w:jc w:val="left"/>
        <w:rPr>
          <w:rFonts w:hint="eastAsia" w:ascii="宋体" w:hAnsi="宋体" w:eastAsia="宋体" w:cs="宋体"/>
          <w:color w:val="auto"/>
          <w:spacing w:val="6"/>
          <w:sz w:val="24"/>
          <w:szCs w:val="24"/>
          <w:highlight w:val="none"/>
        </w:rPr>
      </w:pPr>
    </w:p>
    <w:p>
      <w:pPr>
        <w:spacing w:line="360" w:lineRule="auto"/>
        <w:rPr>
          <w:rFonts w:hint="eastAsia" w:ascii="宋体" w:hAnsi="宋体" w:eastAsia="宋体" w:cs="宋体"/>
          <w:color w:val="auto"/>
          <w:w w:val="90"/>
          <w:kern w:val="0"/>
          <w:sz w:val="24"/>
          <w:szCs w:val="24"/>
          <w:highlight w:val="none"/>
        </w:rPr>
      </w:pPr>
      <w:r>
        <w:rPr>
          <w:rFonts w:hint="eastAsia" w:ascii="宋体" w:hAnsi="宋体" w:eastAsia="宋体" w:cs="宋体"/>
          <w:color w:val="auto"/>
          <w:spacing w:val="6"/>
          <w:sz w:val="24"/>
          <w:szCs w:val="24"/>
          <w:highlight w:val="none"/>
        </w:rPr>
        <w:t>日  期：</w:t>
      </w:r>
      <w:r>
        <w:rPr>
          <w:rFonts w:hint="eastAsia" w:ascii="宋体" w:hAnsi="宋体" w:eastAsia="宋体" w:cs="宋体"/>
          <w:color w:val="auto"/>
          <w:w w:val="90"/>
          <w:kern w:val="0"/>
          <w:sz w:val="24"/>
          <w:szCs w:val="24"/>
          <w:highlight w:val="none"/>
        </w:rPr>
        <w:t>____________________________________________</w:t>
      </w:r>
    </w:p>
    <w:p>
      <w:pPr>
        <w:spacing w:line="360" w:lineRule="auto"/>
        <w:rPr>
          <w:rFonts w:hint="eastAsia" w:ascii="宋体" w:hAnsi="宋体" w:eastAsia="宋体" w:cs="宋体"/>
          <w:color w:val="auto"/>
          <w:w w:val="90"/>
          <w:kern w:val="0"/>
          <w:sz w:val="24"/>
          <w:szCs w:val="24"/>
          <w:highlight w:val="none"/>
        </w:rPr>
      </w:pPr>
    </w:p>
    <w:p>
      <w:pPr>
        <w:spacing w:line="240" w:lineRule="auto"/>
        <w:ind w:firstLine="0" w:firstLineChars="0"/>
        <w:jc w:val="center"/>
        <w:rPr>
          <w:rFonts w:ascii="宋体" w:cs="宋体"/>
          <w:bCs/>
          <w:color w:val="auto"/>
          <w:sz w:val="32"/>
          <w:szCs w:val="32"/>
          <w:highlight w:val="none"/>
        </w:rPr>
      </w:pPr>
    </w:p>
    <w:p>
      <w:pPr>
        <w:spacing w:line="240" w:lineRule="auto"/>
        <w:ind w:firstLine="0" w:firstLineChars="0"/>
        <w:jc w:val="center"/>
        <w:rPr>
          <w:rFonts w:ascii="宋体" w:cs="宋体"/>
          <w:bCs/>
          <w:color w:val="auto"/>
          <w:sz w:val="32"/>
          <w:szCs w:val="32"/>
          <w:highlight w:val="none"/>
        </w:rPr>
      </w:pPr>
    </w:p>
    <w:p>
      <w:pPr>
        <w:adjustRightInd w:val="0"/>
        <w:snapToGrid w:val="0"/>
        <w:ind w:firstLine="0" w:firstLineChars="0"/>
        <w:jc w:val="center"/>
        <w:textAlignment w:val="baseline"/>
        <w:rPr>
          <w:rFonts w:hint="eastAsia" w:ascii="宋体" w:hAnsi="宋体" w:cs="宋体"/>
          <w:b/>
          <w:bCs/>
          <w:color w:val="auto"/>
          <w:sz w:val="28"/>
          <w:szCs w:val="28"/>
          <w:highlight w:val="none"/>
        </w:rPr>
      </w:pPr>
    </w:p>
    <w:p>
      <w:pPr>
        <w:pStyle w:val="2"/>
        <w:spacing w:before="326" w:after="326"/>
        <w:rPr>
          <w:rFonts w:hint="eastAsia" w:ascii="宋体" w:hAnsi="宋体" w:cs="宋体"/>
          <w:bCs/>
          <w:color w:val="auto"/>
          <w:sz w:val="28"/>
          <w:szCs w:val="28"/>
          <w:highlight w:val="none"/>
        </w:rPr>
      </w:pPr>
    </w:p>
    <w:p>
      <w:pPr>
        <w:ind w:firstLine="480"/>
        <w:rPr>
          <w:rFonts w:hint="eastAsia"/>
          <w:color w:val="auto"/>
          <w:highlight w:val="none"/>
        </w:rPr>
      </w:pPr>
    </w:p>
    <w:p>
      <w:pPr>
        <w:spacing w:line="360" w:lineRule="auto"/>
        <w:ind w:firstLine="0" w:firstLineChars="0"/>
        <w:rPr>
          <w:color w:val="auto"/>
          <w:highlight w:val="none"/>
        </w:rPr>
      </w:pP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b/>
          <w:color w:val="auto"/>
          <w:sz w:val="44"/>
          <w:szCs w:val="44"/>
          <w:highlight w:val="none"/>
        </w:rPr>
      </w:pPr>
    </w:p>
    <w:p>
      <w:pPr>
        <w:pStyle w:val="5"/>
        <w:rPr>
          <w:rFonts w:hint="eastAsia"/>
          <w:color w:val="auto"/>
          <w:highlight w:val="none"/>
        </w:rPr>
      </w:pPr>
    </w:p>
    <w:p>
      <w:pPr>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监狱企业</w:t>
      </w:r>
      <w:r>
        <w:rPr>
          <w:rFonts w:hint="eastAsia" w:ascii="宋体" w:hAnsi="宋体" w:eastAsia="宋体" w:cs="宋体"/>
          <w:b/>
          <w:color w:val="auto"/>
          <w:sz w:val="32"/>
          <w:szCs w:val="32"/>
          <w:highlight w:val="none"/>
          <w:lang w:val="en-US" w:eastAsia="zh-CN"/>
        </w:rPr>
        <w:t>证明文件（如是）</w:t>
      </w:r>
    </w:p>
    <w:p>
      <w:pPr>
        <w:pStyle w:val="3"/>
        <w:numPr>
          <w:ilvl w:val="0"/>
          <w:numId w:val="0"/>
        </w:numPr>
        <w:rPr>
          <w:rFonts w:hint="eastAsia" w:ascii="仿宋" w:hAnsi="仿宋" w:eastAsia="仿宋" w:cs="仿宋"/>
          <w:color w:val="auto"/>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本公司郑重声明，根据《关于政府采购支持监狱企业发展有关问题的通知》（财库〔2014〕68号）的规定，本公司为监狱企业。</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1.本公司为监狱企业的证明材料如下：</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（1）附件：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（2）附件：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2.本公司参加</w:t>
      </w:r>
      <w:r>
        <w:rPr>
          <w:rFonts w:hint="eastAsia" w:ascii="宋体" w:hAnsi="宋体" w:eastAsia="宋体" w:cs="宋体"/>
          <w:color w:val="auto"/>
          <w:sz w:val="24"/>
          <w:highlight w:val="none"/>
          <w:u w:val="single"/>
        </w:rPr>
        <w:t>_（项目名称）（项目编号）</w:t>
      </w:r>
      <w:r>
        <w:rPr>
          <w:rFonts w:hint="eastAsia" w:ascii="宋体" w:hAnsi="宋体" w:eastAsia="宋体" w:cs="宋体"/>
          <w:color w:val="auto"/>
          <w:sz w:val="24"/>
          <w:highlight w:val="none"/>
        </w:rPr>
        <w:t>的采购活动。本公司对上述声明的真实性负责。如有虚假，将依法承担相应责任。</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注：1）本声明函为监狱企业填写。</w:t>
      </w:r>
    </w:p>
    <w:p>
      <w:pPr>
        <w:snapToGrid w:val="0"/>
        <w:spacing w:line="360" w:lineRule="auto"/>
        <w:ind w:firstLine="950" w:firstLineChars="396"/>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2）后附相关部门认定盖章认定证明文件</w:t>
      </w:r>
      <w:r>
        <w:rPr>
          <w:rFonts w:hint="eastAsia" w:ascii="宋体" w:hAnsi="宋体" w:eastAsia="宋体" w:cs="宋体"/>
          <w:b/>
          <w:color w:val="auto"/>
          <w:sz w:val="24"/>
          <w:highlight w:val="none"/>
        </w:rPr>
        <w:t>且有效期内</w:t>
      </w:r>
      <w:r>
        <w:rPr>
          <w:rFonts w:hint="eastAsia" w:ascii="宋体" w:hAnsi="宋体" w:eastAsia="宋体" w:cs="宋体"/>
          <w:b/>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p>
    <w:p>
      <w:pPr>
        <w:snapToGrid w:val="0"/>
        <w:spacing w:line="360" w:lineRule="auto"/>
        <w:ind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单位名称(公章)：</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法定代表人或其授权代表(签字)：</w:t>
      </w:r>
    </w:p>
    <w:p>
      <w:pPr>
        <w:snapToGrid w:val="0"/>
        <w:spacing w:line="360" w:lineRule="auto"/>
        <w:ind w:firstLine="5160" w:firstLineChars="2150"/>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rPr>
        <w:t>日期：  年  月   日</w:t>
      </w:r>
    </w:p>
    <w:p>
      <w:pPr>
        <w:pStyle w:val="2"/>
        <w:spacing w:before="326" w:after="326"/>
        <w:rPr>
          <w:color w:val="auto"/>
          <w:highlight w:val="none"/>
        </w:rPr>
      </w:pPr>
    </w:p>
    <w:p>
      <w:pPr>
        <w:ind w:firstLine="480"/>
        <w:rPr>
          <w:color w:val="auto"/>
          <w:highlight w:val="none"/>
        </w:rPr>
      </w:pPr>
    </w:p>
    <w:p>
      <w:pPr>
        <w:pStyle w:val="2"/>
        <w:spacing w:before="326" w:after="326"/>
        <w:rPr>
          <w:color w:val="auto"/>
          <w:highlight w:val="none"/>
        </w:rPr>
      </w:pPr>
    </w:p>
    <w:p>
      <w:pPr>
        <w:ind w:firstLine="480"/>
        <w:rPr>
          <w:color w:val="auto"/>
          <w:highlight w:val="none"/>
        </w:rPr>
      </w:pPr>
    </w:p>
    <w:p>
      <w:pPr>
        <w:autoSpaceDE w:val="0"/>
        <w:autoSpaceDN w:val="0"/>
        <w:ind w:firstLine="0" w:firstLineChars="0"/>
        <w:jc w:val="left"/>
        <w:rPr>
          <w:rFonts w:hint="eastAsia" w:ascii="宋体" w:hAnsi="宋体" w:cs="宋体"/>
          <w:b/>
          <w:color w:val="auto"/>
          <w:kern w:val="1"/>
          <w:szCs w:val="22"/>
          <w:highlight w:val="none"/>
          <w:lang w:val="zh-CN" w:bidi="zh-CN"/>
        </w:rPr>
      </w:pPr>
    </w:p>
    <w:p>
      <w:pPr>
        <w:tabs>
          <w:tab w:val="left" w:pos="4860"/>
        </w:tabs>
        <w:spacing w:line="588" w:lineRule="exact"/>
        <w:ind w:left="0" w:leftChars="0" w:right="140" w:firstLine="0" w:firstLineChars="0"/>
        <w:jc w:val="left"/>
        <w:rPr>
          <w:rFonts w:hint="eastAsia"/>
          <w:b/>
          <w:bCs/>
          <w:color w:val="auto"/>
          <w:highlight w:val="none"/>
        </w:rPr>
      </w:pPr>
      <w:bookmarkStart w:id="236" w:name="_Toc24312_WPSOffice_Level2"/>
      <w:bookmarkStart w:id="237" w:name="_Toc17798_WPSOffice_Level2"/>
    </w:p>
    <w:p>
      <w:pPr>
        <w:tabs>
          <w:tab w:val="left" w:pos="4860"/>
        </w:tabs>
        <w:spacing w:line="588" w:lineRule="exact"/>
        <w:ind w:left="0" w:leftChars="0" w:right="140" w:firstLine="0" w:firstLineChars="0"/>
        <w:jc w:val="left"/>
        <w:rPr>
          <w:rFonts w:hint="eastAsia"/>
          <w:b/>
          <w:bCs/>
          <w:color w:val="auto"/>
          <w:highlight w:val="none"/>
        </w:rPr>
      </w:pPr>
    </w:p>
    <w:p>
      <w:pPr>
        <w:tabs>
          <w:tab w:val="left" w:pos="4860"/>
        </w:tabs>
        <w:spacing w:line="588" w:lineRule="exact"/>
        <w:ind w:left="0" w:leftChars="0" w:right="140" w:firstLine="0" w:firstLineChars="0"/>
        <w:jc w:val="left"/>
        <w:rPr>
          <w:rFonts w:hint="eastAsia"/>
          <w:b/>
          <w:bCs/>
          <w:color w:val="auto"/>
          <w:highlight w:val="none"/>
        </w:rPr>
      </w:pPr>
    </w:p>
    <w:p>
      <w:pPr>
        <w:tabs>
          <w:tab w:val="left" w:pos="4860"/>
        </w:tabs>
        <w:spacing w:line="588" w:lineRule="exact"/>
        <w:ind w:left="0" w:leftChars="0" w:right="140" w:firstLine="0" w:firstLineChars="0"/>
        <w:jc w:val="left"/>
        <w:rPr>
          <w:rFonts w:hint="eastAsia"/>
          <w:b/>
          <w:bCs/>
          <w:color w:val="auto"/>
          <w:highlight w:val="none"/>
        </w:rPr>
        <w:sectPr>
          <w:headerReference r:id="rId15" w:type="first"/>
          <w:footerReference r:id="rId17" w:type="first"/>
          <w:headerReference r:id="rId13" w:type="default"/>
          <w:footerReference r:id="rId16" w:type="default"/>
          <w:headerReference r:id="rId14" w:type="even"/>
          <w:pgSz w:w="11906" w:h="16838"/>
          <w:pgMar w:top="1304" w:right="1020" w:bottom="1304" w:left="1247" w:header="720" w:footer="720" w:gutter="0"/>
          <w:pgBorders>
            <w:top w:val="none" w:sz="0" w:space="0"/>
            <w:left w:val="none" w:sz="0" w:space="0"/>
            <w:bottom w:val="none" w:sz="0" w:space="0"/>
            <w:right w:val="none" w:sz="0" w:space="0"/>
          </w:pgBorders>
          <w:pgNumType w:fmt="decimal"/>
          <w:cols w:space="720" w:num="1"/>
          <w:titlePg/>
          <w:docGrid w:type="linesAndChars" w:linePitch="326" w:charSpace="0"/>
        </w:sectPr>
      </w:pPr>
    </w:p>
    <w:tbl>
      <w:tblPr>
        <w:tblStyle w:val="37"/>
        <w:tblW w:w="15077" w:type="dxa"/>
        <w:tblInd w:w="-176" w:type="dxa"/>
        <w:tblLayout w:type="fixed"/>
        <w:tblCellMar>
          <w:top w:w="0" w:type="dxa"/>
          <w:left w:w="108" w:type="dxa"/>
          <w:bottom w:w="0" w:type="dxa"/>
          <w:right w:w="108" w:type="dxa"/>
        </w:tblCellMar>
      </w:tblPr>
      <w:tblGrid>
        <w:gridCol w:w="2003"/>
        <w:gridCol w:w="1512"/>
        <w:gridCol w:w="1779"/>
        <w:gridCol w:w="1826"/>
        <w:gridCol w:w="1320"/>
        <w:gridCol w:w="1590"/>
        <w:gridCol w:w="1530"/>
        <w:gridCol w:w="990"/>
        <w:gridCol w:w="1287"/>
        <w:gridCol w:w="1234"/>
        <w:gridCol w:w="6"/>
      </w:tblGrid>
      <w:tr>
        <w:tblPrEx>
          <w:tblCellMar>
            <w:top w:w="0" w:type="dxa"/>
            <w:left w:w="108" w:type="dxa"/>
            <w:bottom w:w="0" w:type="dxa"/>
            <w:right w:w="108" w:type="dxa"/>
          </w:tblCellMar>
        </w:tblPrEx>
        <w:trPr>
          <w:trHeight w:val="91" w:hRule="atLeast"/>
        </w:trPr>
        <w:tc>
          <w:tcPr>
            <w:tcW w:w="15077" w:type="dxa"/>
            <w:gridSpan w:val="11"/>
            <w:tcBorders>
              <w:top w:val="nil"/>
              <w:left w:val="nil"/>
              <w:bottom w:val="nil"/>
              <w:right w:val="nil"/>
            </w:tcBorders>
            <w:noWrap w:val="0"/>
            <w:vAlign w:val="bottom"/>
          </w:tcPr>
          <w:p>
            <w:pPr>
              <w:widowControl/>
              <w:wordWrap w:val="0"/>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5117" w:type="dxa"/>
            <w:gridSpan w:val="3"/>
            <w:tcBorders>
              <w:top w:val="single" w:color="auto" w:sz="8" w:space="0"/>
              <w:left w:val="nil"/>
              <w:bottom w:val="single" w:color="auto" w:sz="4" w:space="0"/>
              <w:right w:val="single" w:color="000000"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440" w:type="dxa"/>
            <w:gridSpan w:val="3"/>
            <w:tcBorders>
              <w:top w:val="single" w:color="auto" w:sz="8" w:space="0"/>
              <w:left w:val="nil"/>
              <w:bottom w:val="single" w:color="auto" w:sz="4" w:space="0"/>
              <w:right w:val="single" w:color="000000"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511" w:type="dxa"/>
            <w:gridSpan w:val="3"/>
            <w:tcBorders>
              <w:top w:val="single" w:color="auto" w:sz="8" w:space="0"/>
              <w:left w:val="nil"/>
              <w:bottom w:val="single" w:color="auto" w:sz="4" w:space="0"/>
              <w:right w:val="single" w:color="000000"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151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79"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82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32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5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3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9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4"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w:t>
            </w:r>
            <w:r>
              <w:rPr>
                <w:rFonts w:hint="eastAsia" w:ascii="宋体" w:hAnsi="宋体" w:cs="宋体"/>
                <w:color w:val="auto"/>
                <w:kern w:val="0"/>
                <w:sz w:val="20"/>
                <w:highlight w:val="none"/>
                <w:lang w:val="en-US" w:eastAsia="zh-CN"/>
              </w:rPr>
              <w:t>.</w:t>
            </w:r>
            <w:r>
              <w:rPr>
                <w:rFonts w:hint="eastAsia" w:ascii="宋体" w:hAnsi="宋体" w:cs="宋体"/>
                <w:color w:val="auto"/>
                <w:kern w:val="0"/>
                <w:sz w:val="20"/>
                <w:highlight w:val="none"/>
              </w:rPr>
              <w:t>农林牧渔业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lang w:val="en-US" w:eastAsia="zh-CN"/>
              </w:rPr>
              <w:t>.</w:t>
            </w:r>
            <w:r>
              <w:rPr>
                <w:rFonts w:hint="eastAsia" w:ascii="宋体" w:hAnsi="宋体" w:cs="宋体"/>
                <w:color w:val="auto"/>
                <w:kern w:val="0"/>
                <w:sz w:val="20"/>
                <w:highlight w:val="none"/>
              </w:rPr>
              <w:t>工业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lang w:val="en-US" w:eastAsia="zh-CN"/>
              </w:rPr>
              <w:t>.</w:t>
            </w:r>
            <w:r>
              <w:rPr>
                <w:rFonts w:hint="eastAsia" w:ascii="宋体" w:hAnsi="宋体" w:cs="宋体"/>
                <w:color w:val="auto"/>
                <w:kern w:val="0"/>
                <w:sz w:val="20"/>
                <w:highlight w:val="none"/>
              </w:rPr>
              <w:t>建筑业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4</w:t>
            </w:r>
            <w:r>
              <w:rPr>
                <w:rFonts w:hint="eastAsia" w:ascii="宋体" w:hAnsi="宋体" w:cs="宋体"/>
                <w:color w:val="auto"/>
                <w:kern w:val="0"/>
                <w:sz w:val="20"/>
                <w:highlight w:val="none"/>
                <w:lang w:val="en-US" w:eastAsia="zh-CN"/>
              </w:rPr>
              <w:t>.</w:t>
            </w:r>
            <w:r>
              <w:rPr>
                <w:rFonts w:hint="eastAsia" w:ascii="宋体" w:hAnsi="宋体" w:cs="宋体"/>
                <w:color w:val="auto"/>
                <w:kern w:val="0"/>
                <w:sz w:val="20"/>
                <w:highlight w:val="none"/>
              </w:rPr>
              <w:t>批发业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5</w:t>
            </w:r>
            <w:r>
              <w:rPr>
                <w:rFonts w:hint="eastAsia" w:ascii="宋体" w:hAnsi="宋体" w:cs="宋体"/>
                <w:color w:val="auto"/>
                <w:kern w:val="0"/>
                <w:sz w:val="20"/>
                <w:highlight w:val="none"/>
                <w:lang w:val="en-US" w:eastAsia="zh-CN"/>
              </w:rPr>
              <w:t>.</w:t>
            </w:r>
            <w:r>
              <w:rPr>
                <w:rFonts w:hint="eastAsia" w:ascii="宋体" w:hAnsi="宋体" w:cs="宋体"/>
                <w:color w:val="auto"/>
                <w:kern w:val="0"/>
                <w:sz w:val="20"/>
                <w:highlight w:val="none"/>
              </w:rPr>
              <w:t>零售业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6</w:t>
            </w:r>
            <w:r>
              <w:rPr>
                <w:rFonts w:hint="eastAsia" w:ascii="宋体" w:hAnsi="宋体" w:cs="宋体"/>
                <w:color w:val="auto"/>
                <w:kern w:val="0"/>
                <w:sz w:val="20"/>
                <w:highlight w:val="none"/>
                <w:lang w:val="en-US" w:eastAsia="zh-CN"/>
              </w:rPr>
              <w:t>.</w:t>
            </w:r>
            <w:r>
              <w:rPr>
                <w:rFonts w:hint="eastAsia" w:ascii="宋体" w:hAnsi="宋体" w:cs="宋体"/>
                <w:color w:val="auto"/>
                <w:kern w:val="0"/>
                <w:sz w:val="20"/>
                <w:highlight w:val="none"/>
              </w:rPr>
              <w:t>交通运输业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7</w:t>
            </w:r>
            <w:r>
              <w:rPr>
                <w:rFonts w:hint="eastAsia" w:ascii="宋体" w:hAnsi="宋体" w:cs="宋体"/>
                <w:color w:val="auto"/>
                <w:kern w:val="0"/>
                <w:sz w:val="20"/>
                <w:highlight w:val="none"/>
                <w:lang w:val="en-US" w:eastAsia="zh-CN"/>
              </w:rPr>
              <w:t>.</w:t>
            </w:r>
            <w:r>
              <w:rPr>
                <w:rFonts w:hint="eastAsia" w:ascii="宋体" w:hAnsi="宋体" w:cs="宋体"/>
                <w:color w:val="auto"/>
                <w:kern w:val="0"/>
                <w:sz w:val="20"/>
                <w:highlight w:val="none"/>
              </w:rPr>
              <w:t>仓储业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8</w:t>
            </w:r>
            <w:r>
              <w:rPr>
                <w:rFonts w:hint="eastAsia" w:ascii="宋体" w:hAnsi="宋体" w:cs="宋体"/>
                <w:color w:val="auto"/>
                <w:kern w:val="0"/>
                <w:sz w:val="20"/>
                <w:highlight w:val="none"/>
                <w:lang w:val="en-US" w:eastAsia="zh-CN"/>
              </w:rPr>
              <w:t>.</w:t>
            </w:r>
            <w:r>
              <w:rPr>
                <w:rFonts w:hint="eastAsia" w:ascii="宋体" w:hAnsi="宋体" w:cs="宋体"/>
                <w:color w:val="auto"/>
                <w:kern w:val="0"/>
                <w:sz w:val="20"/>
                <w:highlight w:val="none"/>
              </w:rPr>
              <w:t>邮政业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9</w:t>
            </w:r>
            <w:r>
              <w:rPr>
                <w:rFonts w:hint="eastAsia" w:ascii="宋体" w:hAnsi="宋体" w:cs="宋体"/>
                <w:color w:val="auto"/>
                <w:kern w:val="0"/>
                <w:sz w:val="20"/>
                <w:highlight w:val="none"/>
                <w:lang w:val="en-US" w:eastAsia="zh-CN"/>
              </w:rPr>
              <w:t>.</w:t>
            </w:r>
            <w:r>
              <w:rPr>
                <w:rFonts w:hint="eastAsia" w:ascii="宋体" w:hAnsi="宋体" w:cs="宋体"/>
                <w:color w:val="auto"/>
                <w:kern w:val="0"/>
                <w:sz w:val="20"/>
                <w:highlight w:val="none"/>
              </w:rPr>
              <w:t>住宿业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lang w:val="en-US" w:eastAsia="zh-CN"/>
              </w:rPr>
              <w:t>.</w:t>
            </w:r>
            <w:r>
              <w:rPr>
                <w:rFonts w:hint="eastAsia" w:ascii="宋体" w:hAnsi="宋体" w:cs="宋体"/>
                <w:color w:val="auto"/>
                <w:kern w:val="0"/>
                <w:sz w:val="20"/>
                <w:highlight w:val="none"/>
              </w:rPr>
              <w:t>餐饮业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lang w:val="en-US" w:eastAsia="zh-CN"/>
              </w:rPr>
              <w:t>.</w:t>
            </w:r>
            <w:r>
              <w:rPr>
                <w:rFonts w:hint="eastAsia" w:ascii="宋体" w:hAnsi="宋体" w:cs="宋体"/>
                <w:color w:val="auto"/>
                <w:kern w:val="0"/>
                <w:sz w:val="20"/>
                <w:highlight w:val="none"/>
              </w:rPr>
              <w:t>信息传输业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lang w:val="en-US" w:eastAsia="zh-CN"/>
              </w:rPr>
              <w:t>.</w:t>
            </w:r>
            <w:r>
              <w:rPr>
                <w:rFonts w:hint="eastAsia" w:ascii="宋体" w:hAnsi="宋体" w:cs="宋体"/>
                <w:color w:val="auto"/>
                <w:kern w:val="0"/>
                <w:sz w:val="20"/>
                <w:highlight w:val="none"/>
              </w:rPr>
              <w:t>软件和信息技术服务业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lang w:val="en-US" w:eastAsia="zh-CN"/>
              </w:rPr>
              <w:t>.</w:t>
            </w:r>
            <w:r>
              <w:rPr>
                <w:rFonts w:hint="eastAsia" w:ascii="宋体" w:hAnsi="宋体" w:cs="宋体"/>
                <w:color w:val="auto"/>
                <w:kern w:val="0"/>
                <w:sz w:val="20"/>
                <w:highlight w:val="none"/>
              </w:rPr>
              <w:t>房地产开发经营</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lang w:val="en-US" w:eastAsia="zh-CN"/>
              </w:rPr>
              <w:t>.</w:t>
            </w:r>
            <w:r>
              <w:rPr>
                <w:rFonts w:hint="eastAsia" w:ascii="宋体" w:hAnsi="宋体" w:cs="宋体"/>
                <w:color w:val="auto"/>
                <w:kern w:val="0"/>
                <w:sz w:val="20"/>
                <w:highlight w:val="none"/>
              </w:rPr>
              <w:t>物业管理</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lang w:val="en-US" w:eastAsia="zh-CN"/>
              </w:rPr>
              <w:t>.</w:t>
            </w:r>
            <w:r>
              <w:rPr>
                <w:rFonts w:hint="eastAsia" w:ascii="宋体" w:hAnsi="宋体" w:cs="宋体"/>
                <w:color w:val="auto"/>
                <w:kern w:val="0"/>
                <w:sz w:val="20"/>
                <w:highlight w:val="none"/>
              </w:rPr>
              <w:t>租赁和商务服业</w:t>
            </w:r>
          </w:p>
        </w:tc>
        <w:tc>
          <w:tcPr>
            <w:tcW w:w="15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c>
          <w:tcPr>
            <w:tcW w:w="182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5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c>
          <w:tcPr>
            <w:tcW w:w="123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lang w:val="en-US" w:eastAsia="zh-CN"/>
              </w:rPr>
              <w:t>.</w:t>
            </w:r>
            <w:r>
              <w:rPr>
                <w:rFonts w:hint="eastAsia" w:ascii="宋体" w:hAnsi="宋体" w:cs="宋体"/>
                <w:color w:val="auto"/>
                <w:kern w:val="0"/>
                <w:sz w:val="20"/>
                <w:highlight w:val="none"/>
              </w:rPr>
              <w:t>其他未列明行业</w:t>
            </w:r>
          </w:p>
        </w:tc>
        <w:tc>
          <w:tcPr>
            <w:tcW w:w="1512"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p>
        </w:tc>
        <w:tc>
          <w:tcPr>
            <w:tcW w:w="182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320"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590"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990"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jc w:val="center"/>
              <w:textAlignment w:val="auto"/>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val="0"/>
              <w:overflowPunct/>
              <w:topLinePunct w:val="0"/>
              <w:autoSpaceDE/>
              <w:autoSpaceDN/>
              <w:bidi w:val="0"/>
              <w:adjustRightInd/>
              <w:snapToGrid/>
              <w:ind w:firstLine="0" w:firstLineChars="0"/>
              <w:textAlignment w:val="auto"/>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noWrap w:val="0"/>
            <w:vAlign w:val="bottom"/>
          </w:tcPr>
          <w:p>
            <w:pPr>
              <w:widowControl/>
              <w:wordWrap w:val="0"/>
              <w:jc w:val="left"/>
              <w:rPr>
                <w:rFonts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lang w:val="en-US" w:eastAsia="zh-CN"/>
              </w:rPr>
              <w:t>.</w:t>
            </w:r>
            <w:r>
              <w:rPr>
                <w:rFonts w:hint="eastAsia" w:ascii="宋体" w:hAnsi="宋体" w:cs="宋体"/>
                <w:color w:val="auto"/>
                <w:kern w:val="0"/>
                <w:sz w:val="20"/>
                <w:highlight w:val="none"/>
              </w:rPr>
              <w:t>企业类型的划分以统计部门的统计数据为依据。</w:t>
            </w:r>
          </w:p>
          <w:p>
            <w:pPr>
              <w:widowControl/>
              <w:wordWrap w:val="0"/>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lang w:val="en-US" w:eastAsia="zh-CN"/>
              </w:rPr>
              <w:t>.</w:t>
            </w:r>
            <w:r>
              <w:rPr>
                <w:rFonts w:hint="eastAsia" w:ascii="宋体" w:hAnsi="宋体" w:cs="宋体"/>
                <w:color w:val="auto"/>
                <w:kern w:val="0"/>
                <w:sz w:val="20"/>
                <w:highlight w:val="none"/>
              </w:rPr>
              <w:t>个体工商户和本规定以外的行业，参照本规定进行划型。</w:t>
            </w:r>
          </w:p>
          <w:p>
            <w:pPr>
              <w:widowControl/>
              <w:wordWrap w:val="0"/>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lang w:val="en-US" w:eastAsia="zh-CN"/>
              </w:rPr>
              <w:t>.</w:t>
            </w:r>
            <w:r>
              <w:rPr>
                <w:rFonts w:hint="eastAsia" w:ascii="宋体" w:hAnsi="宋体" w:cs="宋体"/>
                <w:color w:val="auto"/>
                <w:kern w:val="0"/>
                <w:sz w:val="20"/>
                <w:highlight w:val="none"/>
              </w:rPr>
              <w:t>本规定的中型企业标准上限即为大型企业标准的下限。</w:t>
            </w:r>
          </w:p>
        </w:tc>
      </w:tr>
    </w:tbl>
    <w:p>
      <w:pPr>
        <w:tabs>
          <w:tab w:val="left" w:pos="4860"/>
        </w:tabs>
        <w:spacing w:line="588" w:lineRule="exact"/>
        <w:ind w:left="0" w:leftChars="0" w:right="140" w:firstLine="0" w:firstLineChars="0"/>
        <w:jc w:val="left"/>
        <w:rPr>
          <w:rFonts w:hint="eastAsia"/>
          <w:b/>
          <w:bCs/>
          <w:color w:val="auto"/>
          <w:highlight w:val="none"/>
        </w:rPr>
        <w:sectPr>
          <w:pgSz w:w="16838" w:h="11906" w:orient="landscape"/>
          <w:pgMar w:top="1247" w:right="1304" w:bottom="1020" w:left="1304" w:header="720" w:footer="720" w:gutter="0"/>
          <w:paperSrc/>
          <w:pgBorders>
            <w:top w:val="none" w:sz="0" w:space="0"/>
            <w:left w:val="none" w:sz="0" w:space="0"/>
            <w:bottom w:val="none" w:sz="0" w:space="0"/>
            <w:right w:val="none" w:sz="0" w:space="0"/>
          </w:pgBorders>
          <w:pgNumType w:fmt="decimal"/>
          <w:cols w:space="720" w:num="1"/>
          <w:titlePg/>
          <w:rtlGutter w:val="0"/>
          <w:docGrid w:type="linesAndChars" w:linePitch="332" w:charSpace="0"/>
        </w:sectPr>
      </w:pPr>
    </w:p>
    <w:bookmarkEnd w:id="236"/>
    <w:bookmarkEnd w:id="237"/>
    <w:p>
      <w:pPr>
        <w:tabs>
          <w:tab w:val="left" w:pos="4860"/>
        </w:tabs>
        <w:spacing w:line="588" w:lineRule="exact"/>
        <w:ind w:left="0" w:leftChars="0" w:right="140" w:firstLine="0" w:firstLineChars="0"/>
        <w:jc w:val="left"/>
        <w:rPr>
          <w:rFonts w:ascii="宋体" w:hAnsi="宋体" w:cs="宋体"/>
          <w:color w:val="auto"/>
          <w:sz w:val="28"/>
          <w:szCs w:val="28"/>
          <w:highlight w:val="none"/>
        </w:rPr>
      </w:pPr>
      <w:r>
        <w:rPr>
          <w:rFonts w:ascii="宋体" w:hAnsi="宋体" w:cs="宋体"/>
          <w:b/>
          <w:bCs/>
          <w:color w:val="auto"/>
          <w:spacing w:val="2"/>
          <w:sz w:val="28"/>
          <w:szCs w:val="28"/>
          <w:highlight w:val="none"/>
        </w:rPr>
        <w:t>说明：为确保采购项目顺利进行，已领取招标文件的供应商决定不参加本项目投标时，请于投标截止时间至少</w:t>
      </w:r>
      <w:r>
        <w:rPr>
          <w:rFonts w:ascii="宋体" w:hAnsi="宋体" w:cs="宋体"/>
          <w:b/>
          <w:bCs/>
          <w:color w:val="auto"/>
          <w:spacing w:val="-69"/>
          <w:sz w:val="28"/>
          <w:szCs w:val="28"/>
          <w:highlight w:val="none"/>
        </w:rPr>
        <w:t xml:space="preserve"> </w:t>
      </w:r>
      <w:r>
        <w:rPr>
          <w:rFonts w:ascii="宋体" w:hAnsi="宋体" w:cs="宋体"/>
          <w:b/>
          <w:bCs/>
          <w:color w:val="auto"/>
          <w:sz w:val="28"/>
          <w:szCs w:val="28"/>
          <w:highlight w:val="none"/>
        </w:rPr>
        <w:t>1</w:t>
      </w:r>
      <w:r>
        <w:rPr>
          <w:rFonts w:ascii="宋体" w:hAnsi="宋体" w:cs="宋体"/>
          <w:b/>
          <w:bCs/>
          <w:color w:val="auto"/>
          <w:spacing w:val="-68"/>
          <w:sz w:val="28"/>
          <w:szCs w:val="28"/>
          <w:highlight w:val="none"/>
        </w:rPr>
        <w:t xml:space="preserve"> </w:t>
      </w:r>
      <w:r>
        <w:rPr>
          <w:rFonts w:ascii="宋体" w:hAnsi="宋体" w:cs="宋体"/>
          <w:b/>
          <w:bCs/>
          <w:color w:val="auto"/>
          <w:spacing w:val="2"/>
          <w:sz w:val="28"/>
          <w:szCs w:val="28"/>
          <w:highlight w:val="none"/>
        </w:rPr>
        <w:t>个工作日前与我们书面确认（确认函格式如下），可将填写完整的确认函加盖公章后发送至</w:t>
      </w:r>
      <w:r>
        <w:rPr>
          <w:rFonts w:hint="eastAsia" w:ascii="宋体" w:hAnsi="宋体" w:cs="宋体"/>
          <w:b/>
          <w:bCs/>
          <w:color w:val="auto"/>
          <w:spacing w:val="2"/>
          <w:sz w:val="28"/>
          <w:szCs w:val="28"/>
          <w:highlight w:val="none"/>
        </w:rPr>
        <w:t>嵊州市中天工程建设招标代理有限公司</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 xml:space="preserve">                       </w:t>
      </w:r>
      <w:r>
        <w:rPr>
          <w:rFonts w:ascii="宋体" w:hAnsi="宋体" w:cs="宋体"/>
          <w:b/>
          <w:bCs/>
          <w:color w:val="auto"/>
          <w:sz w:val="28"/>
          <w:szCs w:val="28"/>
          <w:highlight w:val="none"/>
        </w:rPr>
        <w:t>QQ 邮箱：</w:t>
      </w:r>
      <w:r>
        <w:rPr>
          <w:color w:val="auto"/>
          <w:highlight w:val="none"/>
        </w:rPr>
        <w:fldChar w:fldCharType="begin"/>
      </w:r>
      <w:r>
        <w:rPr>
          <w:color w:val="auto"/>
          <w:highlight w:val="none"/>
        </w:rPr>
        <w:instrText xml:space="preserve"> HYPERLINK "mailto:532194026@qq.com" \h </w:instrText>
      </w:r>
      <w:r>
        <w:rPr>
          <w:color w:val="auto"/>
          <w:highlight w:val="none"/>
        </w:rPr>
        <w:fldChar w:fldCharType="separate"/>
      </w:r>
      <w:r>
        <w:rPr>
          <w:rFonts w:hint="eastAsia" w:ascii="宋体" w:hAnsi="宋体" w:cs="宋体"/>
          <w:b/>
          <w:bCs/>
          <w:color w:val="auto"/>
          <w:sz w:val="28"/>
          <w:szCs w:val="28"/>
          <w:highlight w:val="none"/>
          <w:u w:val="single" w:color="0000FF"/>
        </w:rPr>
        <w:t>479954179</w:t>
      </w:r>
      <w:r>
        <w:rPr>
          <w:rFonts w:ascii="宋体" w:hAnsi="宋体" w:cs="宋体"/>
          <w:b/>
          <w:bCs/>
          <w:color w:val="auto"/>
          <w:sz w:val="28"/>
          <w:szCs w:val="28"/>
          <w:highlight w:val="none"/>
          <w:u w:val="single" w:color="0000FF"/>
        </w:rPr>
        <w:t>@qq.com</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t xml:space="preserve">。       </w:t>
      </w:r>
      <w:r>
        <w:rPr>
          <w:rFonts w:ascii="宋体" w:hAnsi="宋体" w:cs="宋体"/>
          <w:b/>
          <w:bCs/>
          <w:color w:val="auto"/>
          <w:spacing w:val="124"/>
          <w:sz w:val="28"/>
          <w:szCs w:val="28"/>
          <w:highlight w:val="none"/>
        </w:rPr>
        <w:t xml:space="preserve"> </w:t>
      </w:r>
      <w:r>
        <w:rPr>
          <w:rFonts w:ascii="宋体" w:hAnsi="宋体" w:cs="宋体"/>
          <w:b/>
          <w:bCs/>
          <w:color w:val="auto"/>
          <w:sz w:val="28"/>
          <w:szCs w:val="28"/>
          <w:highlight w:val="none"/>
        </w:rPr>
        <w:t>谢谢配合！</w:t>
      </w:r>
    </w:p>
    <w:p>
      <w:pPr>
        <w:spacing w:before="10" w:line="240" w:lineRule="auto"/>
        <w:ind w:firstLine="683"/>
        <w:rPr>
          <w:rFonts w:ascii="宋体" w:hAnsi="宋体" w:cs="宋体"/>
          <w:b/>
          <w:bCs/>
          <w:color w:val="auto"/>
          <w:sz w:val="34"/>
          <w:szCs w:val="34"/>
          <w:highlight w:val="none"/>
        </w:rPr>
      </w:pPr>
    </w:p>
    <w:p>
      <w:pPr>
        <w:ind w:left="72" w:right="73" w:firstLine="720"/>
        <w:jc w:val="center"/>
        <w:rPr>
          <w:rFonts w:ascii="宋体" w:hAnsi="宋体" w:cs="宋体"/>
          <w:color w:val="auto"/>
          <w:sz w:val="36"/>
          <w:szCs w:val="36"/>
          <w:highlight w:val="none"/>
        </w:rPr>
      </w:pPr>
      <w:r>
        <w:rPr>
          <w:rFonts w:ascii="宋体" w:hAnsi="宋体" w:cs="宋体"/>
          <w:color w:val="auto"/>
          <w:sz w:val="36"/>
          <w:szCs w:val="36"/>
          <w:highlight w:val="none"/>
        </w:rPr>
        <w:t>确认函</w:t>
      </w:r>
    </w:p>
    <w:p>
      <w:pPr>
        <w:spacing w:line="240" w:lineRule="auto"/>
        <w:ind w:firstLine="720"/>
        <w:rPr>
          <w:rFonts w:ascii="宋体" w:hAnsi="宋体" w:cs="宋体"/>
          <w:color w:val="auto"/>
          <w:sz w:val="36"/>
          <w:szCs w:val="36"/>
          <w:highlight w:val="none"/>
        </w:rPr>
      </w:pPr>
    </w:p>
    <w:p>
      <w:pPr>
        <w:spacing w:line="240" w:lineRule="auto"/>
        <w:ind w:firstLine="720"/>
        <w:rPr>
          <w:rFonts w:ascii="宋体" w:hAnsi="宋体" w:cs="宋体"/>
          <w:color w:val="auto"/>
          <w:sz w:val="36"/>
          <w:szCs w:val="36"/>
          <w:highlight w:val="none"/>
        </w:rPr>
      </w:pPr>
    </w:p>
    <w:p>
      <w:pPr>
        <w:spacing w:before="7" w:line="240" w:lineRule="auto"/>
        <w:ind w:firstLine="1020"/>
        <w:rPr>
          <w:rFonts w:ascii="宋体" w:hAnsi="宋体" w:cs="宋体"/>
          <w:color w:val="auto"/>
          <w:sz w:val="51"/>
          <w:szCs w:val="51"/>
          <w:highlight w:val="none"/>
        </w:rPr>
      </w:pPr>
    </w:p>
    <w:p>
      <w:pPr>
        <w:spacing w:line="559" w:lineRule="auto"/>
        <w:ind w:firstLine="570"/>
        <w:jc w:val="left"/>
        <w:rPr>
          <w:rFonts w:ascii="宋体" w:hAnsi="宋体" w:cs="宋体"/>
          <w:color w:val="auto"/>
          <w:highlight w:val="none"/>
        </w:rPr>
      </w:pPr>
      <w:r>
        <w:rPr>
          <w:rFonts w:hint="eastAsia" w:ascii="宋体" w:hAnsi="宋体" w:cs="宋体"/>
          <w:b/>
          <w:bCs/>
          <w:color w:val="auto"/>
          <w:spacing w:val="2"/>
          <w:sz w:val="28"/>
          <w:szCs w:val="28"/>
          <w:highlight w:val="none"/>
        </w:rPr>
        <w:t>嵊州市中天工程建设招标代理有限公司</w:t>
      </w:r>
      <w:r>
        <w:rPr>
          <w:rFonts w:ascii="宋体" w:hAnsi="宋体" w:cs="宋体"/>
          <w:color w:val="auto"/>
          <w:sz w:val="28"/>
          <w:szCs w:val="28"/>
          <w:highlight w:val="none"/>
        </w:rPr>
        <w:t>：</w:t>
      </w:r>
      <w:r>
        <w:rPr>
          <w:rFonts w:ascii="宋体" w:hAnsi="宋体" w:cs="宋体"/>
          <w:color w:val="auto"/>
          <w:spacing w:val="-2"/>
          <w:sz w:val="28"/>
          <w:szCs w:val="28"/>
          <w:highlight w:val="none"/>
        </w:rPr>
        <w:t>我公司因原因，对于已获取招标文件的项目（</w:t>
      </w:r>
      <w:r>
        <w:rPr>
          <w:rFonts w:hint="eastAsia" w:ascii="宋体" w:hAnsi="宋体" w:cs="宋体"/>
          <w:color w:val="auto"/>
          <w:spacing w:val="-2"/>
          <w:sz w:val="28"/>
          <w:szCs w:val="28"/>
          <w:highlight w:val="none"/>
        </w:rPr>
        <w:t xml:space="preserve">项目名称：           </w:t>
      </w:r>
      <w:r>
        <w:rPr>
          <w:rFonts w:ascii="宋体" w:hAnsi="宋体" w:cs="宋体"/>
          <w:color w:val="auto"/>
          <w:spacing w:val="-2"/>
          <w:sz w:val="28"/>
          <w:szCs w:val="28"/>
          <w:highlight w:val="none"/>
        </w:rPr>
        <w:t>项目编号</w:t>
      </w:r>
      <w:r>
        <w:rPr>
          <w:rFonts w:hint="eastAsia" w:ascii="宋体" w:hAnsi="宋体" w:cs="宋体"/>
          <w:color w:val="auto"/>
          <w:spacing w:val="-2"/>
          <w:sz w:val="28"/>
          <w:szCs w:val="28"/>
          <w:highlight w:val="none"/>
        </w:rPr>
        <w:t xml:space="preserve">：       </w:t>
      </w:r>
      <w:r>
        <w:rPr>
          <w:rFonts w:ascii="宋体" w:hAnsi="宋体" w:cs="宋体"/>
          <w:color w:val="auto"/>
          <w:spacing w:val="-2"/>
          <w:sz w:val="28"/>
          <w:szCs w:val="28"/>
          <w:highlight w:val="none"/>
        </w:rPr>
        <w:t>），现决定自愿放弃参加投标活动。特发函向贵公司确认。</w:t>
      </w:r>
    </w:p>
    <w:p>
      <w:pPr>
        <w:spacing w:line="240" w:lineRule="auto"/>
        <w:ind w:firstLine="560"/>
        <w:rPr>
          <w:rFonts w:ascii="宋体" w:hAnsi="宋体" w:cs="宋体"/>
          <w:color w:val="auto"/>
          <w:sz w:val="28"/>
          <w:szCs w:val="28"/>
          <w:highlight w:val="none"/>
        </w:rPr>
      </w:pPr>
    </w:p>
    <w:p>
      <w:pPr>
        <w:spacing w:line="240" w:lineRule="auto"/>
        <w:ind w:firstLine="0" w:firstLineChars="0"/>
        <w:rPr>
          <w:rFonts w:ascii="宋体" w:hAnsi="宋体" w:cs="宋体"/>
          <w:color w:val="auto"/>
          <w:sz w:val="28"/>
          <w:szCs w:val="28"/>
          <w:highlight w:val="none"/>
        </w:rPr>
      </w:pPr>
    </w:p>
    <w:p>
      <w:pPr>
        <w:spacing w:before="7" w:line="240" w:lineRule="auto"/>
        <w:ind w:firstLine="580"/>
        <w:rPr>
          <w:rFonts w:ascii="宋体" w:hAnsi="宋体" w:cs="宋体"/>
          <w:color w:val="auto"/>
          <w:sz w:val="29"/>
          <w:szCs w:val="29"/>
          <w:highlight w:val="none"/>
        </w:rPr>
      </w:pPr>
    </w:p>
    <w:p>
      <w:pPr>
        <w:ind w:right="112" w:firstLine="552"/>
        <w:jc w:val="center"/>
        <w:rPr>
          <w:rFonts w:ascii="宋体" w:hAnsi="宋体" w:cs="宋体"/>
          <w:color w:val="auto"/>
          <w:sz w:val="28"/>
          <w:szCs w:val="28"/>
          <w:highlight w:val="none"/>
        </w:rPr>
      </w:pPr>
      <w:r>
        <w:rPr>
          <w:rFonts w:hint="eastAsia" w:ascii="宋体" w:hAnsi="宋体" w:cs="宋体"/>
          <w:color w:val="auto"/>
          <w:spacing w:val="-2"/>
          <w:sz w:val="28"/>
          <w:szCs w:val="28"/>
          <w:highlight w:val="none"/>
        </w:rPr>
        <w:t xml:space="preserve">                   </w:t>
      </w:r>
      <w:r>
        <w:rPr>
          <w:rFonts w:ascii="宋体" w:hAnsi="宋体" w:cs="宋体"/>
          <w:color w:val="auto"/>
          <w:spacing w:val="-2"/>
          <w:sz w:val="28"/>
          <w:szCs w:val="28"/>
          <w:highlight w:val="none"/>
        </w:rPr>
        <w:t>企业名称（盖章）：</w:t>
      </w:r>
    </w:p>
    <w:p>
      <w:pPr>
        <w:spacing w:before="171"/>
        <w:ind w:right="112" w:firstLine="552"/>
        <w:jc w:val="center"/>
        <w:rPr>
          <w:rFonts w:ascii="宋体" w:hAnsi="宋体" w:cs="宋体"/>
          <w:color w:val="auto"/>
          <w:sz w:val="28"/>
          <w:szCs w:val="28"/>
          <w:highlight w:val="none"/>
        </w:rPr>
      </w:pPr>
      <w:r>
        <w:rPr>
          <w:rFonts w:hint="eastAsia" w:ascii="宋体" w:hAnsi="宋体" w:cs="宋体"/>
          <w:color w:val="auto"/>
          <w:spacing w:val="-2"/>
          <w:sz w:val="28"/>
          <w:szCs w:val="28"/>
          <w:highlight w:val="none"/>
        </w:rPr>
        <w:t xml:space="preserve">        </w:t>
      </w:r>
      <w:r>
        <w:rPr>
          <w:rFonts w:ascii="宋体" w:hAnsi="宋体" w:cs="宋体"/>
          <w:color w:val="auto"/>
          <w:spacing w:val="-2"/>
          <w:sz w:val="28"/>
          <w:szCs w:val="28"/>
          <w:highlight w:val="none"/>
        </w:rPr>
        <w:t>日期：</w:t>
      </w:r>
    </w:p>
    <w:p>
      <w:pPr>
        <w:spacing w:line="240" w:lineRule="auto"/>
        <w:ind w:firstLine="400"/>
        <w:rPr>
          <w:rFonts w:ascii="宋体" w:hAnsi="宋体" w:cs="宋体"/>
          <w:color w:val="auto"/>
          <w:sz w:val="20"/>
          <w:szCs w:val="20"/>
          <w:highlight w:val="none"/>
        </w:rPr>
      </w:pPr>
    </w:p>
    <w:p>
      <w:pPr>
        <w:pStyle w:val="15"/>
        <w:ind w:firstLine="200"/>
        <w:rPr>
          <w:rFonts w:ascii="宋体" w:hAnsi="宋体" w:cs="宋体"/>
          <w:color w:val="auto"/>
          <w:sz w:val="20"/>
          <w:szCs w:val="20"/>
          <w:highlight w:val="none"/>
        </w:rPr>
      </w:pPr>
    </w:p>
    <w:p>
      <w:pPr>
        <w:pStyle w:val="15"/>
        <w:ind w:firstLine="200"/>
        <w:rPr>
          <w:rFonts w:ascii="宋体" w:hAnsi="宋体" w:cs="宋体"/>
          <w:color w:val="auto"/>
          <w:sz w:val="20"/>
          <w:szCs w:val="20"/>
          <w:highlight w:val="none"/>
        </w:rPr>
      </w:pPr>
    </w:p>
    <w:p>
      <w:pPr>
        <w:pStyle w:val="15"/>
        <w:ind w:firstLine="200"/>
        <w:rPr>
          <w:rFonts w:ascii="宋体" w:hAnsi="宋体" w:cs="宋体"/>
          <w:color w:val="auto"/>
          <w:sz w:val="20"/>
          <w:szCs w:val="20"/>
          <w:highlight w:val="none"/>
        </w:rPr>
      </w:pPr>
    </w:p>
    <w:p>
      <w:pPr>
        <w:pStyle w:val="15"/>
        <w:ind w:firstLine="200"/>
        <w:rPr>
          <w:rFonts w:ascii="宋体" w:hAnsi="宋体" w:cs="宋体"/>
          <w:color w:val="auto"/>
          <w:sz w:val="20"/>
          <w:szCs w:val="20"/>
          <w:highlight w:val="none"/>
        </w:rPr>
      </w:pPr>
    </w:p>
    <w:p>
      <w:pPr>
        <w:pStyle w:val="15"/>
        <w:ind w:firstLine="360"/>
        <w:jc w:val="center"/>
        <w:rPr>
          <w:rFonts w:ascii="宋体" w:hAnsi="宋体" w:cs="宋体"/>
          <w:color w:val="auto"/>
          <w:sz w:val="20"/>
          <w:szCs w:val="20"/>
          <w:highlight w:val="none"/>
        </w:rPr>
      </w:pPr>
      <w:r>
        <w:rPr>
          <w:rFonts w:ascii="黑体" w:hAnsi="黑体" w:eastAsia="黑体" w:cs="黑体"/>
          <w:color w:val="auto"/>
          <w:sz w:val="36"/>
          <w:szCs w:val="36"/>
          <w:highlight w:val="none"/>
        </w:rPr>
        <w:t>政府采购活动现场确认声明书</w:t>
      </w:r>
    </w:p>
    <w:p>
      <w:pPr>
        <w:pStyle w:val="82"/>
        <w:widowControl w:val="0"/>
        <w:snapToGrid w:val="0"/>
        <w:spacing w:before="326" w:beforeLines="100" w:line="400" w:lineRule="exact"/>
        <w:rPr>
          <w:rFonts w:hAnsi="宋体" w:cs="宋体"/>
          <w:b/>
          <w:color w:val="auto"/>
          <w:sz w:val="24"/>
          <w:szCs w:val="24"/>
          <w:highlight w:val="none"/>
        </w:rPr>
      </w:pPr>
      <w:r>
        <w:rPr>
          <w:rFonts w:hAnsi="宋体" w:cs="宋体"/>
          <w:color w:val="auto"/>
          <w:kern w:val="0"/>
          <w:sz w:val="24"/>
          <w:szCs w:val="24"/>
          <w:highlight w:val="none"/>
          <w:u w:val="single"/>
        </w:rPr>
        <w:t xml:space="preserve"> </w:t>
      </w:r>
      <w:r>
        <w:rPr>
          <w:rFonts w:hAnsi="宋体" w:cs="宋体"/>
          <w:color w:val="auto"/>
          <w:kern w:val="0"/>
          <w:sz w:val="24"/>
          <w:highlight w:val="none"/>
          <w:u w:val="single"/>
        </w:rPr>
        <w:t>嵊州市中天工程建设招标代理有限公司：</w:t>
      </w:r>
      <w:r>
        <w:rPr>
          <w:rFonts w:hAnsi="宋体" w:cs="宋体"/>
          <w:color w:val="auto"/>
          <w:kern w:val="0"/>
          <w:sz w:val="24"/>
          <w:szCs w:val="24"/>
          <w:highlight w:val="none"/>
        </w:rPr>
        <w:t>（采购组织机构名称）：</w:t>
      </w:r>
    </w:p>
    <w:p>
      <w:pPr>
        <w:tabs>
          <w:tab w:val="left" w:pos="9640"/>
        </w:tabs>
        <w:spacing w:line="440" w:lineRule="exact"/>
        <w:ind w:firstLine="504"/>
        <w:jc w:val="left"/>
        <w:rPr>
          <w:rFonts w:hint="eastAsia" w:ascii="宋体" w:hAnsi="宋体" w:cs="宋体"/>
          <w:color w:val="auto"/>
          <w:spacing w:val="6"/>
          <w:highlight w:val="none"/>
        </w:rPr>
      </w:pPr>
      <w:r>
        <w:rPr>
          <w:rFonts w:hint="eastAsia" w:ascii="宋体" w:hAnsi="宋体" w:cs="宋体"/>
          <w:color w:val="auto"/>
          <w:spacing w:val="6"/>
          <w:highlight w:val="none"/>
        </w:rPr>
        <w:t xml:space="preserve">    本人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（授权代表姓名）经由</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 xml:space="preserve">（单位) </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（法定代表人姓名）合法授权参加</w:t>
      </w:r>
      <w:r>
        <w:rPr>
          <w:rFonts w:hint="eastAsia" w:cs="宋体"/>
          <w:color w:val="auto"/>
          <w:kern w:val="0"/>
          <w:highlight w:val="none"/>
          <w:u w:val="single"/>
        </w:rPr>
        <w:t xml:space="preserve">                  项目</w:t>
      </w:r>
      <w:r>
        <w:rPr>
          <w:rFonts w:hint="eastAsia" w:ascii="宋体" w:hAnsi="宋体" w:cs="宋体"/>
          <w:color w:val="auto"/>
          <w:spacing w:val="6"/>
          <w:highlight w:val="none"/>
        </w:rPr>
        <w:t>（编号：</w:t>
      </w:r>
      <w:r>
        <w:rPr>
          <w:rFonts w:hint="eastAsia" w:ascii="宋体" w:hAnsi="宋体" w:cs="宋体"/>
          <w:color w:val="auto"/>
          <w:highlight w:val="none"/>
          <w:u w:val="single"/>
        </w:rPr>
        <w:t xml:space="preserve">                 </w:t>
      </w:r>
      <w:r>
        <w:rPr>
          <w:rFonts w:hint="eastAsia" w:ascii="宋体" w:hAnsi="宋体" w:cs="宋体"/>
          <w:color w:val="auto"/>
          <w:spacing w:val="6"/>
          <w:highlight w:val="none"/>
        </w:rPr>
        <w:t xml:space="preserve">）采购活动，经与本单位法人代表（负责人）联系确认，现就有关公平竞争事项郑重声明如下： </w:t>
      </w:r>
    </w:p>
    <w:p>
      <w:pPr>
        <w:pStyle w:val="83"/>
        <w:widowControl/>
        <w:numPr>
          <w:ilvl w:val="0"/>
          <w:numId w:val="10"/>
        </w:numPr>
        <w:snapToGrid w:val="0"/>
        <w:spacing w:line="400" w:lineRule="exact"/>
        <w:ind w:firstLine="453" w:firstLineChars="189"/>
        <w:rPr>
          <w:rFonts w:ascii="宋体" w:hAnsi="宋体" w:cs="宋体"/>
          <w:color w:val="auto"/>
          <w:kern w:val="0"/>
          <w:sz w:val="24"/>
          <w:szCs w:val="24"/>
          <w:highlight w:val="none"/>
        </w:rPr>
      </w:pPr>
      <w:r>
        <w:rPr>
          <w:rFonts w:ascii="宋体" w:hAnsi="宋体" w:cs="宋体"/>
          <w:color w:val="auto"/>
          <w:kern w:val="0"/>
          <w:sz w:val="24"/>
          <w:szCs w:val="24"/>
          <w:highlight w:val="none"/>
        </w:rPr>
        <w:t>本单位与采购人之间 □不存在利害关系 □存在下列利害关系</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w:t>
      </w:r>
    </w:p>
    <w:p>
      <w:pPr>
        <w:pStyle w:val="83"/>
        <w:widowControl/>
        <w:snapToGrid w:val="0"/>
        <w:spacing w:line="400" w:lineRule="exac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A.投资关系    B.行政隶属关系    C.业务指导关系</w:t>
      </w:r>
    </w:p>
    <w:p>
      <w:pPr>
        <w:pStyle w:val="83"/>
        <w:widowControl/>
        <w:snapToGrid w:val="0"/>
        <w:spacing w:line="400" w:lineRule="exac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D.其他可能</w:t>
      </w:r>
      <w:r>
        <w:rPr>
          <w:rFonts w:ascii="宋体" w:hAnsi="宋体" w:cs="宋体"/>
          <w:color w:val="auto"/>
          <w:sz w:val="24"/>
          <w:szCs w:val="24"/>
          <w:highlight w:val="none"/>
        </w:rPr>
        <w:t>影响采购公正的</w:t>
      </w:r>
      <w:r>
        <w:rPr>
          <w:rFonts w:ascii="宋体" w:hAnsi="宋体" w:cs="宋体"/>
          <w:color w:val="auto"/>
          <w:kern w:val="0"/>
          <w:sz w:val="24"/>
          <w:szCs w:val="24"/>
          <w:highlight w:val="none"/>
        </w:rPr>
        <w:t>利害关系</w:t>
      </w:r>
      <w:r>
        <w:rPr>
          <w:rFonts w:ascii="宋体" w:hAnsi="宋体" w:cs="宋体"/>
          <w:color w:val="auto"/>
          <w:kern w:val="0"/>
          <w:sz w:val="24"/>
          <w:szCs w:val="24"/>
          <w:highlight w:val="none"/>
          <w:u w:val="single"/>
        </w:rPr>
        <w:t>（如有，请如实说明）</w:t>
      </w:r>
      <w:r>
        <w:rPr>
          <w:rFonts w:ascii="宋体" w:hAnsi="宋体" w:cs="宋体"/>
          <w:color w:val="auto"/>
          <w:kern w:val="0"/>
          <w:sz w:val="24"/>
          <w:szCs w:val="24"/>
          <w:highlight w:val="none"/>
        </w:rPr>
        <w:t>。</w:t>
      </w:r>
    </w:p>
    <w:p>
      <w:pPr>
        <w:pStyle w:val="83"/>
        <w:widowControl/>
        <w:snapToGrid w:val="0"/>
        <w:spacing w:line="400" w:lineRule="exact"/>
        <w:rPr>
          <w:rFonts w:ascii="宋体" w:hAnsi="宋体" w:cs="宋体"/>
          <w:color w:val="auto"/>
          <w:kern w:val="0"/>
          <w:sz w:val="24"/>
          <w:szCs w:val="24"/>
          <w:highlight w:val="none"/>
        </w:rPr>
      </w:pPr>
      <w:r>
        <w:rPr>
          <w:rFonts w:ascii="宋体" w:hAnsi="宋体" w:cs="宋体"/>
          <w:color w:val="auto"/>
          <w:spacing w:val="6"/>
          <w:sz w:val="24"/>
          <w:szCs w:val="24"/>
          <w:highlight w:val="none"/>
        </w:rPr>
        <w:t xml:space="preserve">    二、</w:t>
      </w:r>
      <w:r>
        <w:rPr>
          <w:rFonts w:ascii="宋体" w:hAnsi="宋体" w:cs="宋体"/>
          <w:color w:val="auto"/>
          <w:kern w:val="0"/>
          <w:sz w:val="24"/>
          <w:szCs w:val="24"/>
          <w:highlight w:val="none"/>
        </w:rPr>
        <w:t>现已清楚知道参加本项目采购活动的其他所有供应商名称，本单位□与其他所有供应商之间均不存在利害关系 □与</w:t>
      </w:r>
      <w:r>
        <w:rPr>
          <w:rFonts w:ascii="宋体" w:hAnsi="宋体" w:cs="宋体"/>
          <w:color w:val="auto"/>
          <w:kern w:val="0"/>
          <w:sz w:val="24"/>
          <w:szCs w:val="24"/>
          <w:highlight w:val="none"/>
          <w:u w:val="single"/>
        </w:rPr>
        <w:t xml:space="preserve">                        （供应商名称) </w:t>
      </w:r>
      <w:r>
        <w:rPr>
          <w:rFonts w:ascii="宋体" w:hAnsi="宋体" w:cs="宋体"/>
          <w:color w:val="auto"/>
          <w:kern w:val="0"/>
          <w:sz w:val="24"/>
          <w:szCs w:val="24"/>
          <w:highlight w:val="none"/>
        </w:rPr>
        <w:t>之间存在下列利害关系</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w:t>
      </w:r>
    </w:p>
    <w:p>
      <w:pPr>
        <w:pStyle w:val="82"/>
        <w:widowControl w:val="0"/>
        <w:snapToGrid w:val="0"/>
        <w:spacing w:line="400" w:lineRule="exact"/>
        <w:jc w:val="both"/>
        <w:rPr>
          <w:rFonts w:hAnsi="宋体" w:cs="宋体"/>
          <w:color w:val="auto"/>
          <w:kern w:val="0"/>
          <w:sz w:val="24"/>
          <w:szCs w:val="24"/>
          <w:highlight w:val="none"/>
        </w:rPr>
      </w:pPr>
      <w:r>
        <w:rPr>
          <w:rFonts w:hAnsi="宋体" w:cs="宋体"/>
          <w:color w:val="auto"/>
          <w:kern w:val="0"/>
          <w:sz w:val="24"/>
          <w:szCs w:val="24"/>
          <w:highlight w:val="none"/>
        </w:rPr>
        <w:t xml:space="preserve">    A.法定代表人或负责人或实际控制人是同一人</w:t>
      </w:r>
    </w:p>
    <w:p>
      <w:pPr>
        <w:pStyle w:val="82"/>
        <w:widowControl w:val="0"/>
        <w:snapToGrid w:val="0"/>
        <w:spacing w:line="400" w:lineRule="exact"/>
        <w:jc w:val="both"/>
        <w:rPr>
          <w:rFonts w:hAnsi="宋体" w:cs="宋体"/>
          <w:color w:val="auto"/>
          <w:spacing w:val="6"/>
          <w:sz w:val="24"/>
          <w:szCs w:val="24"/>
          <w:highlight w:val="none"/>
        </w:rPr>
      </w:pPr>
      <w:r>
        <w:rPr>
          <w:rFonts w:hAnsi="宋体" w:cs="宋体"/>
          <w:color w:val="auto"/>
          <w:kern w:val="0"/>
          <w:sz w:val="24"/>
          <w:szCs w:val="24"/>
          <w:highlight w:val="none"/>
        </w:rPr>
        <w:t xml:space="preserve">    B.法定代表人或负责人或实际控制人是夫妻关系</w:t>
      </w:r>
    </w:p>
    <w:p>
      <w:pPr>
        <w:pStyle w:val="82"/>
        <w:widowControl w:val="0"/>
        <w:snapToGrid w:val="0"/>
        <w:spacing w:line="400" w:lineRule="exact"/>
        <w:jc w:val="both"/>
        <w:rPr>
          <w:rFonts w:hAnsi="宋体" w:cs="宋体"/>
          <w:color w:val="auto"/>
          <w:spacing w:val="6"/>
          <w:sz w:val="24"/>
          <w:szCs w:val="24"/>
          <w:highlight w:val="none"/>
        </w:rPr>
      </w:pPr>
      <w:r>
        <w:rPr>
          <w:rFonts w:hAnsi="宋体" w:cs="宋体"/>
          <w:color w:val="auto"/>
          <w:kern w:val="0"/>
          <w:sz w:val="24"/>
          <w:szCs w:val="24"/>
          <w:highlight w:val="none"/>
        </w:rPr>
        <w:t xml:space="preserve">    C.法定代表人或负责人或实际控制人是直系血亲关系</w:t>
      </w:r>
    </w:p>
    <w:p>
      <w:pPr>
        <w:pStyle w:val="82"/>
        <w:widowControl w:val="0"/>
        <w:snapToGrid w:val="0"/>
        <w:spacing w:line="400" w:lineRule="exact"/>
        <w:jc w:val="both"/>
        <w:rPr>
          <w:rFonts w:hAnsi="宋体" w:cs="宋体"/>
          <w:color w:val="auto"/>
          <w:spacing w:val="6"/>
          <w:sz w:val="24"/>
          <w:szCs w:val="24"/>
          <w:highlight w:val="none"/>
        </w:rPr>
      </w:pPr>
      <w:r>
        <w:rPr>
          <w:rFonts w:hAnsi="宋体" w:cs="宋体"/>
          <w:color w:val="auto"/>
          <w:kern w:val="0"/>
          <w:sz w:val="24"/>
          <w:szCs w:val="24"/>
          <w:highlight w:val="none"/>
        </w:rPr>
        <w:t xml:space="preserve">    D.法定代表人或负责人或实际控制人存在三代以内旁系血亲关系</w:t>
      </w:r>
    </w:p>
    <w:p>
      <w:pPr>
        <w:pStyle w:val="82"/>
        <w:widowControl w:val="0"/>
        <w:snapToGrid w:val="0"/>
        <w:spacing w:line="400" w:lineRule="exact"/>
        <w:ind w:firstLine="480" w:firstLineChars="200"/>
        <w:jc w:val="both"/>
        <w:rPr>
          <w:rFonts w:hAnsi="宋体" w:cs="宋体"/>
          <w:color w:val="auto"/>
          <w:kern w:val="0"/>
          <w:sz w:val="24"/>
          <w:szCs w:val="24"/>
          <w:highlight w:val="none"/>
        </w:rPr>
      </w:pPr>
      <w:r>
        <w:rPr>
          <w:rFonts w:hAnsi="宋体" w:cs="宋体"/>
          <w:color w:val="auto"/>
          <w:kern w:val="0"/>
          <w:sz w:val="24"/>
          <w:szCs w:val="24"/>
          <w:highlight w:val="none"/>
        </w:rPr>
        <w:t>E.法定代表人或负责人或实际控制人存在近姻亲关系</w:t>
      </w:r>
    </w:p>
    <w:p>
      <w:pPr>
        <w:pStyle w:val="82"/>
        <w:widowControl w:val="0"/>
        <w:snapToGrid w:val="0"/>
        <w:spacing w:line="400" w:lineRule="exact"/>
        <w:jc w:val="both"/>
        <w:rPr>
          <w:rFonts w:hAnsi="宋体" w:cs="宋体"/>
          <w:color w:val="auto"/>
          <w:kern w:val="0"/>
          <w:sz w:val="24"/>
          <w:szCs w:val="24"/>
          <w:highlight w:val="none"/>
        </w:rPr>
      </w:pPr>
      <w:r>
        <w:rPr>
          <w:rFonts w:hAnsi="宋体" w:cs="宋体"/>
          <w:color w:val="auto"/>
          <w:kern w:val="0"/>
          <w:sz w:val="24"/>
          <w:szCs w:val="24"/>
          <w:highlight w:val="none"/>
        </w:rPr>
        <w:t xml:space="preserve">    F.法定代表人或负责人或实际控制人存在股份控制或实际控制关系</w:t>
      </w:r>
    </w:p>
    <w:p>
      <w:pPr>
        <w:pStyle w:val="82"/>
        <w:widowControl w:val="0"/>
        <w:snapToGrid w:val="0"/>
        <w:spacing w:line="400" w:lineRule="exact"/>
        <w:jc w:val="both"/>
        <w:outlineLvl w:val="0"/>
        <w:rPr>
          <w:rFonts w:hAnsi="宋体" w:cs="宋体"/>
          <w:color w:val="auto"/>
          <w:kern w:val="0"/>
          <w:sz w:val="24"/>
          <w:szCs w:val="24"/>
          <w:highlight w:val="none"/>
        </w:rPr>
      </w:pPr>
      <w:r>
        <w:rPr>
          <w:rFonts w:hAnsi="宋体" w:cs="宋体"/>
          <w:color w:val="auto"/>
          <w:kern w:val="0"/>
          <w:sz w:val="24"/>
          <w:szCs w:val="24"/>
          <w:highlight w:val="none"/>
        </w:rPr>
        <w:t xml:space="preserve">    G.存在共同直接或间接投资设立子公司、联营企业和合营企业情况</w:t>
      </w:r>
    </w:p>
    <w:p>
      <w:pPr>
        <w:pStyle w:val="82"/>
        <w:widowControl w:val="0"/>
        <w:snapToGrid w:val="0"/>
        <w:spacing w:line="400" w:lineRule="exact"/>
        <w:jc w:val="both"/>
        <w:rPr>
          <w:rFonts w:hAnsi="宋体" w:cs="宋体"/>
          <w:color w:val="auto"/>
          <w:sz w:val="24"/>
          <w:szCs w:val="24"/>
          <w:highlight w:val="none"/>
        </w:rPr>
      </w:pPr>
      <w:r>
        <w:rPr>
          <w:rFonts w:hAnsi="宋体" w:cs="宋体"/>
          <w:color w:val="auto"/>
          <w:kern w:val="0"/>
          <w:sz w:val="24"/>
          <w:szCs w:val="24"/>
          <w:highlight w:val="none"/>
        </w:rPr>
        <w:t xml:space="preserve">    H.存在分级代理或代销关系、同一生产制造商关系、</w:t>
      </w:r>
      <w:r>
        <w:rPr>
          <w:rFonts w:hAnsi="宋体" w:cs="宋体"/>
          <w:color w:val="auto"/>
          <w:sz w:val="24"/>
          <w:szCs w:val="24"/>
          <w:highlight w:val="none"/>
        </w:rPr>
        <w:t>管理关系、重要业务（占主营业务收入50%以上）或重要财务往来关系（如融资）等其他实质性控制关系</w:t>
      </w:r>
    </w:p>
    <w:p>
      <w:pPr>
        <w:pStyle w:val="82"/>
        <w:widowControl w:val="0"/>
        <w:snapToGrid w:val="0"/>
        <w:spacing w:line="400" w:lineRule="exact"/>
        <w:jc w:val="both"/>
        <w:rPr>
          <w:rFonts w:hAnsi="宋体" w:cs="宋体"/>
          <w:color w:val="auto"/>
          <w:spacing w:val="6"/>
          <w:sz w:val="24"/>
          <w:szCs w:val="24"/>
          <w:highlight w:val="none"/>
        </w:rPr>
      </w:pPr>
      <w:r>
        <w:rPr>
          <w:rFonts w:hAnsi="宋体" w:cs="宋体"/>
          <w:color w:val="auto"/>
          <w:sz w:val="24"/>
          <w:szCs w:val="24"/>
          <w:highlight w:val="none"/>
        </w:rPr>
        <w:t xml:space="preserve">    I</w:t>
      </w:r>
      <w:r>
        <w:rPr>
          <w:rFonts w:hAnsi="宋体" w:cs="宋体"/>
          <w:color w:val="auto"/>
          <w:kern w:val="0"/>
          <w:sz w:val="24"/>
          <w:szCs w:val="24"/>
          <w:highlight w:val="none"/>
        </w:rPr>
        <w:t>.</w:t>
      </w:r>
      <w:r>
        <w:rPr>
          <w:rFonts w:hAnsi="宋体" w:cs="宋体"/>
          <w:color w:val="auto"/>
          <w:sz w:val="24"/>
          <w:szCs w:val="24"/>
          <w:highlight w:val="none"/>
        </w:rPr>
        <w:t>其他利害关系情况</w:t>
      </w:r>
      <w:r>
        <w:rPr>
          <w:rFonts w:hAnsi="宋体" w:cs="宋体"/>
          <w:color w:val="auto"/>
          <w:sz w:val="24"/>
          <w:szCs w:val="24"/>
          <w:highlight w:val="none"/>
          <w:u w:val="single"/>
        </w:rPr>
        <w:t xml:space="preserve">                              </w:t>
      </w:r>
      <w:r>
        <w:rPr>
          <w:rFonts w:hAnsi="宋体" w:cs="宋体"/>
          <w:color w:val="auto"/>
          <w:kern w:val="0"/>
          <w:sz w:val="24"/>
          <w:szCs w:val="24"/>
          <w:highlight w:val="none"/>
        </w:rPr>
        <w:t>。</w:t>
      </w:r>
    </w:p>
    <w:p>
      <w:pPr>
        <w:pStyle w:val="83"/>
        <w:widowControl/>
        <w:numPr>
          <w:ilvl w:val="0"/>
          <w:numId w:val="11"/>
        </w:numPr>
        <w:snapToGrid w:val="0"/>
        <w:spacing w:line="400" w:lineRule="exact"/>
        <w:ind w:firstLine="453" w:firstLineChars="189"/>
        <w:rPr>
          <w:rFonts w:ascii="宋体" w:hAnsi="宋体" w:cs="宋体"/>
          <w:color w:val="auto"/>
          <w:kern w:val="0"/>
          <w:sz w:val="24"/>
          <w:szCs w:val="24"/>
          <w:highlight w:val="none"/>
        </w:rPr>
      </w:pPr>
      <w:r>
        <w:rPr>
          <w:rFonts w:ascii="宋体" w:hAnsi="宋体" w:cs="宋体"/>
          <w:color w:val="auto"/>
          <w:sz w:val="24"/>
          <w:szCs w:val="24"/>
          <w:highlight w:val="none"/>
        </w:rPr>
        <w:t>现已清楚知道并</w:t>
      </w:r>
      <w:r>
        <w:rPr>
          <w:rFonts w:ascii="宋体" w:hAnsi="宋体" w:cs="宋体"/>
          <w:color w:val="auto"/>
          <w:kern w:val="0"/>
          <w:sz w:val="24"/>
          <w:szCs w:val="24"/>
          <w:highlight w:val="none"/>
        </w:rPr>
        <w:t>严格遵守政府采购法律法规和现场纪律。</w:t>
      </w:r>
    </w:p>
    <w:p>
      <w:pPr>
        <w:pStyle w:val="83"/>
        <w:widowControl/>
        <w:numPr>
          <w:ilvl w:val="0"/>
          <w:numId w:val="11"/>
        </w:numPr>
        <w:snapToGrid w:val="0"/>
        <w:spacing w:line="400" w:lineRule="exact"/>
        <w:ind w:firstLine="453" w:firstLineChars="189"/>
        <w:rPr>
          <w:rFonts w:ascii="宋体" w:hAnsi="宋体" w:cs="宋体"/>
          <w:color w:val="auto"/>
          <w:kern w:val="0"/>
          <w:sz w:val="24"/>
          <w:szCs w:val="24"/>
          <w:highlight w:val="none"/>
        </w:rPr>
      </w:pPr>
      <w:r>
        <w:rPr>
          <w:rFonts w:ascii="宋体" w:hAnsi="宋体" w:cs="宋体"/>
          <w:color w:val="auto"/>
          <w:kern w:val="0"/>
          <w:sz w:val="24"/>
          <w:szCs w:val="24"/>
          <w:highlight w:val="none"/>
        </w:rPr>
        <w:t>我发现</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供应商之间存在或可能存在上述第二条第</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项利害关系。</w:t>
      </w:r>
    </w:p>
    <w:p>
      <w:pPr>
        <w:pStyle w:val="82"/>
        <w:widowControl w:val="0"/>
        <w:snapToGrid w:val="0"/>
        <w:spacing w:line="500" w:lineRule="exact"/>
        <w:ind w:firstLine="480" w:firstLineChars="200"/>
        <w:jc w:val="both"/>
        <w:rPr>
          <w:rFonts w:hAnsi="宋体" w:cs="宋体"/>
          <w:color w:val="auto"/>
          <w:sz w:val="24"/>
          <w:szCs w:val="24"/>
          <w:highlight w:val="none"/>
        </w:rPr>
      </w:pPr>
    </w:p>
    <w:p>
      <w:pPr>
        <w:pStyle w:val="82"/>
        <w:widowControl w:val="0"/>
        <w:snapToGrid w:val="0"/>
        <w:spacing w:line="500" w:lineRule="exact"/>
        <w:ind w:firstLine="480" w:firstLineChars="200"/>
        <w:jc w:val="both"/>
        <w:rPr>
          <w:rFonts w:hAnsi="宋体" w:cs="宋体"/>
          <w:color w:val="auto"/>
          <w:sz w:val="24"/>
          <w:szCs w:val="24"/>
          <w:highlight w:val="none"/>
        </w:rPr>
      </w:pPr>
      <w:r>
        <w:rPr>
          <w:rFonts w:hAnsi="宋体" w:cs="宋体"/>
          <w:color w:val="auto"/>
          <w:sz w:val="24"/>
          <w:szCs w:val="24"/>
          <w:highlight w:val="none"/>
        </w:rPr>
        <w:t xml:space="preserve">                                供应商代表签名：</w:t>
      </w:r>
    </w:p>
    <w:p>
      <w:pPr>
        <w:pStyle w:val="82"/>
        <w:widowControl w:val="0"/>
        <w:snapToGrid w:val="0"/>
        <w:spacing w:line="500" w:lineRule="exact"/>
        <w:ind w:firstLine="480" w:firstLineChars="200"/>
        <w:jc w:val="both"/>
        <w:rPr>
          <w:rFonts w:hAnsi="宋体" w:cs="宋体"/>
          <w:color w:val="auto"/>
          <w:sz w:val="24"/>
          <w:szCs w:val="24"/>
          <w:highlight w:val="none"/>
        </w:rPr>
      </w:pPr>
      <w:r>
        <w:rPr>
          <w:rFonts w:hAnsi="宋体" w:cs="宋体"/>
          <w:color w:val="auto"/>
          <w:sz w:val="24"/>
          <w:szCs w:val="24"/>
          <w:highlight w:val="none"/>
        </w:rPr>
        <w:t xml:space="preserve">                                    </w:t>
      </w:r>
    </w:p>
    <w:p>
      <w:pPr>
        <w:pStyle w:val="82"/>
        <w:widowControl w:val="0"/>
        <w:snapToGrid w:val="0"/>
        <w:spacing w:line="500" w:lineRule="exact"/>
        <w:ind w:firstLine="480" w:firstLineChars="200"/>
        <w:jc w:val="both"/>
        <w:rPr>
          <w:rFonts w:hAnsi="宋体" w:cs="宋体"/>
          <w:bCs/>
          <w:color w:val="auto"/>
          <w:sz w:val="24"/>
          <w:szCs w:val="24"/>
          <w:highlight w:val="none"/>
        </w:rPr>
      </w:pPr>
      <w:r>
        <w:rPr>
          <w:rFonts w:hAnsi="宋体" w:cs="宋体"/>
          <w:color w:val="auto"/>
          <w:sz w:val="24"/>
          <w:szCs w:val="24"/>
          <w:highlight w:val="none"/>
        </w:rPr>
        <w:t xml:space="preserve">                                 年    月    日</w:t>
      </w:r>
    </w:p>
    <w:p>
      <w:pPr>
        <w:pStyle w:val="15"/>
        <w:ind w:firstLine="240"/>
        <w:rPr>
          <w:color w:val="auto"/>
          <w:highlight w:val="none"/>
        </w:rPr>
      </w:pPr>
    </w:p>
    <w:sectPr>
      <w:pgSz w:w="11906" w:h="16838"/>
      <w:pgMar w:top="1304" w:right="1020" w:bottom="1304" w:left="1247" w:header="720" w:footer="720" w:gutter="0"/>
      <w:paperSrc/>
      <w:pgBorders>
        <w:top w:val="none" w:sz="0" w:space="0"/>
        <w:left w:val="none" w:sz="0" w:space="0"/>
        <w:bottom w:val="none" w:sz="0" w:space="0"/>
        <w:right w:val="none" w:sz="0" w:space="0"/>
      </w:pgBorders>
      <w:pgNumType w:fmt="decimal"/>
      <w:cols w:space="720" w:num="1"/>
      <w:titlePg/>
      <w:rtlGutter w:val="0"/>
      <w:docGrid w:type="linesAndChars" w:linePitch="332" w:charSpace="1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roman"/>
    <w:pitch w:val="default"/>
    <w:sig w:usb0="FFFFFFFF" w:usb1="E9FFFFFF" w:usb2="0000003F" w:usb3="00000000" w:csb0="603F01FF" w:csb1="FFFF0000"/>
  </w:font>
  <w:font w:name="MingLiU">
    <w:altName w:val="PMingLiU-ExtB"/>
    <w:panose1 w:val="02020509000000000000"/>
    <w:charset w:val="88"/>
    <w:family w:val="modern"/>
    <w:pitch w:val="default"/>
    <w:sig w:usb0="A00002FF" w:usb1="28CFFCFA"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思源宋体 Heavy">
    <w:altName w:val="宋体"/>
    <w:panose1 w:val="00000000000000000000"/>
    <w:charset w:val="86"/>
    <w:family w:val="roman"/>
    <w:pitch w:val="default"/>
    <w:sig w:usb0="00000000" w:usb1="00000000" w:usb2="00000016" w:usb3="00000000" w:csb0="002E0107"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double" w:color="92D050" w:sz="4" w:space="1"/>
      </w:pBdr>
      <w:ind w:firstLine="0" w:firstLineChars="0"/>
    </w:pPr>
    <w:r>
      <w:rPr>
        <w:rFonts w:hint="eastAsia" w:ascii="宋体" w:hAnsi="宋体" w:cs="宋体"/>
        <w:sz w:val="20"/>
        <w:szCs w:val="20"/>
      </w:rPr>
      <w:t>嵊州市中天工程建设招标代理有限公司</w:t>
    </w:r>
    <w:r>
      <w:t xml:space="preserve">                 </w:t>
    </w:r>
    <w:r>
      <w:rPr>
        <w:rFonts w:hint="eastAsia"/>
      </w:rPr>
      <w:t xml:space="preserve">                    </w:t>
    </w:r>
    <w:r>
      <w:t xml:space="preserve">  </w:t>
    </w:r>
    <w:r>
      <w:rPr>
        <w:rFonts w:hint="eastAsia" w:ascii="宋体" w:hAnsi="宋体" w:cs="宋体"/>
        <w:sz w:val="20"/>
        <w:szCs w:val="20"/>
      </w:rPr>
      <w:t>0575-83018232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double" w:color="92D050" w:sz="4" w:space="1"/>
      </w:pBdr>
      <w:ind w:firstLine="0" w:firstLineChars="0"/>
      <w:rPr>
        <w:rFonts w:ascii="宋体" w:hAnsi="宋体" w:cs="宋体"/>
        <w:sz w:val="18"/>
        <w:szCs w:val="18"/>
      </w:rPr>
    </w:pPr>
    <w:r>
      <w:rPr>
        <w:rFonts w:hint="eastAsia" w:ascii="宋体" w:hAnsi="宋体" w:cs="宋体"/>
        <w:sz w:val="20"/>
        <w:szCs w:val="20"/>
      </w:rPr>
      <w:t xml:space="preserve">嵊州市中天工程建设招标代理有限公司 </w:t>
    </w:r>
    <w:r>
      <w:rPr>
        <w:rFonts w:ascii="宋体" w:hAnsi="宋体" w:cs="宋体"/>
        <w:sz w:val="20"/>
        <w:szCs w:val="20"/>
      </w:rPr>
      <w:t xml:space="preserve">          </w:t>
    </w:r>
    <w:r>
      <w:t xml:space="preserve">   </w:t>
    </w:r>
    <w:r>
      <w:rPr>
        <w:rFonts w:hint="eastAsia" w:ascii="宋体" w:hAnsi="宋体" w:cs="宋体"/>
        <w:sz w:val="20"/>
        <w:szCs w:val="20"/>
      </w:rPr>
      <w:t xml:space="preserve"> </w:t>
    </w:r>
    <w:r>
      <w:rPr>
        <w:rFonts w:ascii="宋体" w:hAnsi="宋体" w:cs="宋体"/>
        <w:sz w:val="20"/>
        <w:szCs w:val="20"/>
      </w:rPr>
      <w:t xml:space="preserve">             </w:t>
    </w:r>
    <w:r>
      <w:rPr>
        <w:rFonts w:hint="eastAsia" w:ascii="宋体" w:hAnsi="宋体" w:cs="宋体"/>
        <w:sz w:val="20"/>
        <w:szCs w:val="20"/>
      </w:rPr>
      <w:t xml:space="preserve">      </w:t>
    </w:r>
    <w:r>
      <w:rPr>
        <w:rFonts w:ascii="宋体" w:hAnsi="宋体" w:cs="宋体"/>
        <w:sz w:val="20"/>
        <w:szCs w:val="20"/>
      </w:rPr>
      <w:t xml:space="preserve">  </w:t>
    </w:r>
    <w:r>
      <w:rPr>
        <w:rFonts w:hint="eastAsia" w:ascii="宋体" w:hAnsi="宋体" w:cs="宋体"/>
        <w:sz w:val="20"/>
        <w:szCs w:val="20"/>
      </w:rPr>
      <w:t xml:space="preserve">        </w:t>
    </w:r>
    <w:r>
      <w:rPr>
        <w:rFonts w:ascii="宋体" w:hAnsi="宋体" w:cs="宋体"/>
        <w:sz w:val="20"/>
        <w:szCs w:val="20"/>
      </w:rPr>
      <w:t xml:space="preserve"> </w:t>
    </w:r>
    <w:r>
      <w:rPr>
        <w:rFonts w:hint="eastAsia" w:ascii="宋体" w:hAnsi="宋体" w:cs="宋体"/>
        <w:sz w:val="20"/>
        <w:szCs w:val="20"/>
      </w:rPr>
      <w:t>0575-83018232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double" w:color="92D050" w:sz="4" w:space="1"/>
      </w:pBdr>
      <w:ind w:firstLine="0" w:firstLineChars="0"/>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BMQg94BAAC/AwAADgAAAGRycy9lMm9Eb2MueG1srVNBrtMwEN0jcQfL e5q0QqiKmn4B1UdICJA+HMB1nMaS7bHGbpNyALgBKzbsOVfPwdhJ+uGz+Qs2yXhm/Gbem/HmZrCG nRQGDa7my0XJmXISGu0ONf/86fbZmrMQhWuEAadqflaB32yfPtn0vlIr6MA0ChmBuFD1vuZdjL4q iiA7ZUVYgFeOgi2gFZGOeCgaFD2hW1OsyvJF0QM2HkGqEMi7G4N8QsTHAELbaql2II9WuTiiojIi EqXQaR/4NnfbtkrGD20bVGSm5sQ05i8VIXufvsV2I6oDCt9pObUgHtPCA05WaEdFr1A7EQU7ov4H ymqJEKCNCwm2GIlkRYjFsnygzV0nvMpcSOrgr6KH/wcr358+ItNNzZ9z5oSlgV++f7v8+HX5+ZUt l0mf3oeK0u48JcbhFQy0NbM/kDPRHlq06U+EGMVJ3fNVXTVEJtOl9Wq9LikkKTYfCL+4v+4xxDcK LEtGzZHGl1UVp3chjqlzSqrm4FYbk0do3F8OwkyeIvU+9pisOOyHidAemjPxoXdAdTrAL5z1tAU1 d7T0nJm3jkROCzMbOBv72RBO0sWaR85G83UcF+voUR+6vGqpqeBfHiN1mgmkNsbaU3c01yzBtINp cf4856z7d7f9DV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BIExCD3gEAAL8DAAAOAAAAAAAA AAEAIAAAAB4BAABkcnMvZTJvRG9jLnhtbFBLBQYAAAAABgAGAFkBAABuBQAAAAA= ">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 w:val="20"/>
        <w:szCs w:val="20"/>
      </w:rPr>
      <w:t>嵊州市中天工程建设招标代理有限公司</w:t>
    </w:r>
    <w:r>
      <w:t xml:space="preserve">                 </w:t>
    </w:r>
    <w:r>
      <w:rPr>
        <w:rFonts w:hint="eastAsia"/>
      </w:rPr>
      <w:t xml:space="preserve">                    </w:t>
    </w:r>
    <w:r>
      <w:t xml:space="preserve">  </w:t>
    </w:r>
    <w:r>
      <w:rPr>
        <w:rFonts w:hint="eastAsia" w:ascii="宋体" w:hAnsi="宋体" w:cs="宋体"/>
        <w:sz w:val="20"/>
        <w:szCs w:val="20"/>
      </w:rPr>
      <w:t>0575-83018232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double" w:color="92D050" w:sz="4" w:space="1"/>
      </w:pBdr>
      <w:ind w:firstLine="0" w:firstLineChars="0"/>
      <w:rPr>
        <w:rFonts w:ascii="宋体" w:hAnsi="宋体" w:cs="宋体"/>
        <w:sz w:val="18"/>
        <w:szCs w:val="18"/>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mcRat4BAAC/AwAADgAAAGRycy9lMm9Eb2MueG1srVNNrtMwEN4jcQfL e5q0EqiKmj4B1UNICJAeHMB1nMaS/+SZNikHgBuwYsOec/UcjJ2kDx6bt2CTjGfG38z3zXhzM1jD TiqC9q7my0XJmXLSN9odav750+2zNWeAwjXCeKdqflbAb7ZPn2z6UKmV77xpVGQE4qDqQ807xFAV BchOWQELH5SjYOujFUjHeCiaKHpCt6ZYleWLovexCdFLBUDe3RjkE2J8DKBvWy3VzsujVQ5H1KiM QKIEnQ7At7nbtlUSP7QtKGSm5sQU85eKkL1P32K7EdUhitBpObUgHtPCA05WaEdFr1A7gYIdo/4H ymoZPfgWF9LbYiSSFSEWy/KBNnedCCpzIakhXEWH/wcr358+Rqabmj/nzAlLA798/3b58evy8ytb rpI+fYCK0u4CJeLwyg+0NbMfyJloD2206U+EGMVJ3fNVXTUgk+nSerVelxSSFJsPhF/cXw8R8I3y liWj5pHGl1UVp3eAY+qckqo5f6uNySM07i8HYSZPkXofe0wWDvthIrT3zZn40DugOp2PXzjraQtq 7mjpOTNvHYmcFmY24mzsZ0M4SRdrjpyN5mscF+sYoj50edVSUxBeHpE6zQRSG2PtqTuaa5Zg2sG0 OH+ec9b9u9v+Bl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D+ZxFq3gEAAL8DAAAOAAAAAAAA AAEAIAAAAB4BAABkcnMvZTJvRG9jLnhtbFBLBQYAAAAABgAGAFkBAABuBQAAAAA= ">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 w:val="20"/>
        <w:szCs w:val="20"/>
      </w:rPr>
      <w:t xml:space="preserve">嵊州市中天工程建设招标代理有限公司 </w:t>
    </w:r>
    <w:r>
      <w:rPr>
        <w:rFonts w:ascii="宋体" w:hAnsi="宋体" w:cs="宋体"/>
        <w:sz w:val="20"/>
        <w:szCs w:val="20"/>
      </w:rPr>
      <w:t xml:space="preserve">          </w:t>
    </w:r>
    <w:r>
      <w:t xml:space="preserve">   </w:t>
    </w:r>
    <w:r>
      <w:rPr>
        <w:rFonts w:hint="eastAsia" w:ascii="宋体" w:hAnsi="宋体" w:cs="宋体"/>
        <w:sz w:val="20"/>
        <w:szCs w:val="20"/>
      </w:rPr>
      <w:t xml:space="preserve"> </w:t>
    </w:r>
    <w:r>
      <w:rPr>
        <w:rFonts w:ascii="宋体" w:hAnsi="宋体" w:cs="宋体"/>
        <w:sz w:val="20"/>
        <w:szCs w:val="20"/>
      </w:rPr>
      <w:t xml:space="preserve">             </w:t>
    </w:r>
    <w:r>
      <w:rPr>
        <w:rFonts w:hint="eastAsia" w:ascii="宋体" w:hAnsi="宋体" w:cs="宋体"/>
        <w:sz w:val="20"/>
        <w:szCs w:val="20"/>
      </w:rPr>
      <w:t xml:space="preserve">      </w:t>
    </w:r>
    <w:r>
      <w:rPr>
        <w:rFonts w:ascii="宋体" w:hAnsi="宋体" w:cs="宋体"/>
        <w:sz w:val="20"/>
        <w:szCs w:val="20"/>
      </w:rPr>
      <w:t xml:space="preserve">  </w:t>
    </w:r>
    <w:r>
      <w:rPr>
        <w:rFonts w:hint="eastAsia" w:ascii="宋体" w:hAnsi="宋体" w:cs="宋体"/>
        <w:sz w:val="20"/>
        <w:szCs w:val="20"/>
      </w:rPr>
      <w:t xml:space="preserve">        </w:t>
    </w:r>
    <w:r>
      <w:rPr>
        <w:rFonts w:ascii="宋体" w:hAnsi="宋体" w:cs="宋体"/>
        <w:sz w:val="20"/>
        <w:szCs w:val="20"/>
      </w:rPr>
      <w:t xml:space="preserve"> </w:t>
    </w:r>
    <w:r>
      <w:rPr>
        <w:rFonts w:hint="eastAsia" w:ascii="宋体" w:hAnsi="宋体" w:cs="宋体"/>
        <w:sz w:val="20"/>
        <w:szCs w:val="20"/>
      </w:rPr>
      <w:t>0575-83018232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double" w:color="92D050" w:sz="4" w:space="1"/>
      </w:pBdr>
      <w:ind w:firstLine="720" w:firstLineChars="300"/>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Bdr>
                              <w:bottom w:val="double" w:color="92D050" w:sz="4" w:space="1"/>
                            </w:pBdr>
                            <w:ind w:firstLine="600" w:firstLineChars="300"/>
                          </w:pPr>
                          <w:r>
                            <w:rPr>
                              <w:rFonts w:hint="eastAsia" w:ascii="宋体" w:hAnsi="宋体" w:cs="宋体"/>
                              <w:sz w:val="20"/>
                              <w:szCs w:val="20"/>
                            </w:rPr>
                            <w:t>嵊州市中天工程建设招标代理有限公司</w:t>
                          </w:r>
                          <w:r>
                            <w:t xml:space="preserve">      </w:t>
                          </w:r>
                          <w:r>
                            <w:fldChar w:fldCharType="begin"/>
                          </w:r>
                          <w:r>
                            <w:instrText xml:space="preserve">PAGE   \* MERGEFORMAT</w:instrText>
                          </w:r>
                          <w:r>
                            <w:fldChar w:fldCharType="separate"/>
                          </w:r>
                          <w:r>
                            <w:rPr>
                              <w:lang w:val="zh-CN"/>
                            </w:rPr>
                            <w:t>37</w:t>
                          </w:r>
                          <w:r>
                            <w:fldChar w:fldCharType="end"/>
                          </w:r>
                          <w:r>
                            <w:t xml:space="preserve">         </w:t>
                          </w:r>
                          <w:r>
                            <w:rPr>
                              <w:rFonts w:hint="eastAsia" w:ascii="宋体" w:hAnsi="宋体" w:cs="宋体"/>
                              <w:sz w:val="20"/>
                              <w:szCs w:val="20"/>
                            </w:rPr>
                            <w:t>0575-83018232</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xq2kwN8BAAC/AwAADgAAAGRycy9lMm9Eb2MueG1srVPNjtMwEL4j8Q6W 7zRpkVZV1XS1UC1CQoC07AO4jtNY8p9m3CblAeANOHHhznP1ORg7SReWyx72koxnxt/M9814fd1b w44KUHtX8fms5Ew56Wvt9hW//3L7askZRuFqYbxTFT8p5Nebly/WXViphW+9qRUwAnG46kLF2xjD qihQtsoKnPmgHAUbD1ZEOsK+qEF0hG5NsSjLq6LzUAfwUiGSdzsE+YgITwH0TaOl2np5sMrFARWU EZEoYasD8k3utmmUjJ+aBlVkpuLENOYvFSF7l77FZi1WexCh1XJsQTylhUecrNCOil6gtiIKdgD9 H5TVEjz6Js6kt8VAJCtCLOblI23uWhFU5kJSY7iIjs8HKz8ePwPTdcWvOHPC0sDPP76ff/4+//rG 5q+TPl3AFaXdBUqM/Rvf09ZMfiRnot03YNOfCDGKk7qni7qqj0ymS8vFcllSSFJsOhB+8XA9AMZ3 yluWjIoDjS+rKo4fMA6pU0qq5vytNiaP0Lh/HISZPEXqfegxWbHf9SOhna9PxIfeAdVpPXzlrKMt qLijpefMvHckclqYyYDJ2E2GcJIuVjxyNphv47BYhwB63+ZVS01huDlE6jQTSG0MtcfuaK5ZgnEH 0+L8fc5ZD+9u8wd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BHBAAAW0NvbnRlbnRfVHlwZXNdLnhtbFBLAQIUAAoAAAAAAIdO4kAAAAAAAAAAAAAA AAAGAAAAAAAAAAAAEAAAACkDAABfcmVscy9QSwECFAAUAAAACACHTuJAihRmPNEAAACUAQAACwAA AAAAAAABACAAAABNAwAAX3JlbHMvLnJlbHNQSwECFAAKAAAAAACHTuJAAAAAAAAAAAAAAAAABAAA AAAAAAAAABAAAAAAAAAAZHJzL1BLAQIUABQAAAAIAIdO4kDOqXm5zwAAAAUBAAAPAAAAAAAAAAEA IAAAACIAAABkcnMvZG93bnJldi54bWxQSwECFAAUAAAACACHTuJAxq2kwN8BAAC/AwAADgAAAAAA AAABACAAAAAeAQAAZHJzL2Uyb0RvYy54bWxQSwUGAAAAAAYABgBZAQAAbwUAAAAA ">
              <v:fill on="f" focussize="0,0"/>
              <v:stroke on="f"/>
              <v:imagedata o:title=""/>
              <o:lock v:ext="edit" aspectratio="f"/>
              <v:textbox inset="0mm,0mm,0mm,0mm" style="mso-fit-shape-to-text:t;">
                <w:txbxContent>
                  <w:p>
                    <w:pPr>
                      <w:pStyle w:val="25"/>
                      <w:pBdr>
                        <w:bottom w:val="double" w:color="92D050" w:sz="4" w:space="1"/>
                      </w:pBdr>
                      <w:ind w:firstLine="600" w:firstLineChars="300"/>
                    </w:pPr>
                    <w:r>
                      <w:rPr>
                        <w:rFonts w:hint="eastAsia" w:ascii="宋体" w:hAnsi="宋体" w:cs="宋体"/>
                        <w:sz w:val="20"/>
                        <w:szCs w:val="20"/>
                      </w:rPr>
                      <w:t>嵊州市中天工程建设招标代理有限公司</w:t>
                    </w:r>
                    <w:r>
                      <w:t xml:space="preserve">      </w:t>
                    </w:r>
                    <w:r>
                      <w:fldChar w:fldCharType="begin"/>
                    </w:r>
                    <w:r>
                      <w:instrText xml:space="preserve">PAGE   \* MERGEFORMAT</w:instrText>
                    </w:r>
                    <w:r>
                      <w:fldChar w:fldCharType="separate"/>
                    </w:r>
                    <w:r>
                      <w:rPr>
                        <w:lang w:val="zh-CN"/>
                      </w:rPr>
                      <w:t>37</w:t>
                    </w:r>
                    <w:r>
                      <w:fldChar w:fldCharType="end"/>
                    </w:r>
                    <w:r>
                      <w:t xml:space="preserve">         </w:t>
                    </w:r>
                    <w:r>
                      <w:rPr>
                        <w:rFonts w:hint="eastAsia" w:ascii="宋体" w:hAnsi="宋体" w:cs="宋体"/>
                        <w:sz w:val="20"/>
                        <w:szCs w:val="20"/>
                      </w:rPr>
                      <w:t>0575-83018232</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double" w:color="92D050" w:sz="4" w:space="1"/>
      </w:pBdr>
      <w:ind w:firstLine="540" w:firstLineChars="300"/>
      <w:rPr>
        <w:rFonts w:ascii="宋体" w:hAnsi="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Bdr>
                              <w:bottom w:val="double" w:color="92D050" w:sz="4" w:space="1"/>
                            </w:pBdr>
                            <w:ind w:firstLine="600" w:firstLineChars="300"/>
                          </w:pPr>
                          <w:r>
                            <w:rPr>
                              <w:rFonts w:hint="eastAsia" w:ascii="宋体" w:hAnsi="宋体" w:cs="宋体"/>
                              <w:sz w:val="20"/>
                              <w:szCs w:val="20"/>
                            </w:rPr>
                            <w:t>嵊州市中天工程建设招标代理有限公司</w:t>
                          </w:r>
                          <w:r>
                            <w:rPr>
                              <w:rFonts w:ascii="宋体" w:hAnsi="宋体" w:cs="宋体"/>
                              <w:sz w:val="20"/>
                              <w:szCs w:val="20"/>
                            </w:rPr>
                            <w:t xml:space="preserve">      </w:t>
                          </w:r>
                          <w:r>
                            <w:fldChar w:fldCharType="begin"/>
                          </w:r>
                          <w:r>
                            <w:instrText xml:space="preserve">PAGE   \* MERGEFORMAT</w:instrText>
                          </w:r>
                          <w:r>
                            <w:fldChar w:fldCharType="separate"/>
                          </w:r>
                          <w:r>
                            <w:rPr>
                              <w:lang w:val="zh-CN"/>
                            </w:rPr>
                            <w:t>1</w:t>
                          </w:r>
                          <w:r>
                            <w:fldChar w:fldCharType="end"/>
                          </w:r>
                          <w:r>
                            <w:t xml:space="preserve">         </w:t>
                          </w:r>
                          <w:r>
                            <w:rPr>
                              <w:rFonts w:hint="eastAsia" w:ascii="宋体" w:hAnsi="宋体" w:cs="宋体"/>
                              <w:sz w:val="20"/>
                              <w:szCs w:val="20"/>
                            </w:rPr>
                            <w:t>0575-83018232</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04hiY98BAAC/AwAADgAAAGRycy9lMm9Eb2MueG1srVPBjtMwEL0j8Q+W 7zRphaCqmq6AahESAqSFD3Adp7Fkeyx72qR8APwBJy7c+a5+x46dpAu7lz3sJRnPjN/MezNeX/XW sKMKUYOr+HxWcqachFq7fcW/fb1+seQsonC1MOBUxU8q8qvN82frzq/UAlowtQqMQFxcdb7iLaJf FUWUrbIizsArR8EGghVIx7Av6iA6QremWJTlq6KDUPsAUsVI3u0Q5CNieAwgNI2WagvyYJXDATUo I5AoxVb7yDe526ZREj83TVTITMWJKeYvFSF7l77FZi1W+yB8q+XYgnhMC/c4WaEdFb1AbQUKdgj6 AZTVMkCEBmcSbDEQyYoQi3l5T5ubVniVuZDU0V9Ej08HKz8dvwSm64q/5swJSwM///p5/v33/OcH m79M+nQ+rijtxlMi9m+hp62Z/JGciXbfBJv+RIhRnNQ9XdRVPTKZLi0Xy2VJIUmx6UD4xd11HyK+ V2BZMioeaHxZVXH8GHFInVJSNQfX2pg8QuP+cxBm8hSp96HHZGG/60dCO6hPxIfeAdVpIXznrKMt qLijpefMfHAkclqYyQiTsZsM4SRdrDhyNpjvcFisgw963+ZVS01F/+aA1GkmkNoYao/d0VyzBOMO psX595yz7t7d5hZ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BHBAAAW0NvbnRlbnRfVHlwZXNdLnhtbFBLAQIUAAoAAAAAAIdO4kAAAAAAAAAAAAAA AAAGAAAAAAAAAAAAEAAAACkDAABfcmVscy9QSwECFAAUAAAACACHTuJAihRmPNEAAACUAQAACwAA AAAAAAABACAAAABNAwAAX3JlbHMvLnJlbHNQSwECFAAKAAAAAACHTuJAAAAAAAAAAAAAAAAABAAA AAAAAAAAABAAAAAAAAAAZHJzL1BLAQIUABQAAAAIAIdO4kDOqXm5zwAAAAUBAAAPAAAAAAAAAAEA IAAAACIAAABkcnMvZG93bnJldi54bWxQSwECFAAUAAAACACHTuJA04hiY98BAAC/AwAADgAAAAAA AAABACAAAAAeAQAAZHJzL2Uyb0RvYy54bWxQSwUGAAAAAAYABgBZAQAAbwUAAAAA ">
              <v:fill on="f" focussize="0,0"/>
              <v:stroke on="f"/>
              <v:imagedata o:title=""/>
              <o:lock v:ext="edit" aspectratio="f"/>
              <v:textbox inset="0mm,0mm,0mm,0mm" style="mso-fit-shape-to-text:t;">
                <w:txbxContent>
                  <w:p>
                    <w:pPr>
                      <w:pStyle w:val="25"/>
                      <w:pBdr>
                        <w:bottom w:val="double" w:color="92D050" w:sz="4" w:space="1"/>
                      </w:pBdr>
                      <w:ind w:firstLine="600" w:firstLineChars="300"/>
                    </w:pPr>
                    <w:r>
                      <w:rPr>
                        <w:rFonts w:hint="eastAsia" w:ascii="宋体" w:hAnsi="宋体" w:cs="宋体"/>
                        <w:sz w:val="20"/>
                        <w:szCs w:val="20"/>
                      </w:rPr>
                      <w:t>嵊州市中天工程建设招标代理有限公司</w:t>
                    </w:r>
                    <w:r>
                      <w:rPr>
                        <w:rFonts w:ascii="宋体" w:hAnsi="宋体" w:cs="宋体"/>
                        <w:sz w:val="20"/>
                        <w:szCs w:val="20"/>
                      </w:rPr>
                      <w:t xml:space="preserve">      </w:t>
                    </w:r>
                    <w:r>
                      <w:fldChar w:fldCharType="begin"/>
                    </w:r>
                    <w:r>
                      <w:instrText xml:space="preserve">PAGE   \* MERGEFORMAT</w:instrText>
                    </w:r>
                    <w:r>
                      <w:fldChar w:fldCharType="separate"/>
                    </w:r>
                    <w:r>
                      <w:rPr>
                        <w:lang w:val="zh-CN"/>
                      </w:rPr>
                      <w:t>1</w:t>
                    </w:r>
                    <w:r>
                      <w:fldChar w:fldCharType="end"/>
                    </w:r>
                    <w:r>
                      <w:t xml:space="preserve">         </w:t>
                    </w:r>
                    <w:r>
                      <w:rPr>
                        <w:rFonts w:hint="eastAsia" w:ascii="宋体" w:hAnsi="宋体" w:cs="宋体"/>
                        <w:sz w:val="20"/>
                        <w:szCs w:val="20"/>
                      </w:rPr>
                      <w:t>0575-83018232</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40" w:lineRule="exact"/>
      <w:ind w:firstLine="0" w:firstLineChars="0"/>
      <w:jc w:val="left"/>
    </w:pPr>
    <w:r>
      <w:rPr>
        <w:rFonts w:hint="eastAsia" w:ascii="宋体" w:hAnsi="宋体" w:eastAsia="宋体" w:cs="宋体"/>
        <w:sz w:val="20"/>
        <w:szCs w:val="20"/>
        <w:u w:val="single"/>
        <w:lang w:val="en-US" w:eastAsia="zh-CN"/>
      </w:rPr>
      <w:t>嵊州市人民医院彩色多普勒超声诊断仪</w:t>
    </w:r>
    <w:r>
      <w:rPr>
        <w:rFonts w:hint="eastAsia" w:ascii="宋体" w:hAnsi="宋体" w:eastAsia="宋体" w:cs="宋体"/>
        <w:sz w:val="20"/>
        <w:szCs w:val="20"/>
        <w:u w:val="single"/>
      </w:rPr>
      <w:t xml:space="preserve">   </w:t>
    </w:r>
    <w:r>
      <w:rPr>
        <w:rFonts w:hint="eastAsia" w:ascii="宋体" w:hAnsi="宋体" w:cs="宋体"/>
        <w:sz w:val="20"/>
        <w:szCs w:val="20"/>
        <w:u w:val="single"/>
      </w:rPr>
      <w:t xml:space="preserve">                 </w:t>
    </w:r>
    <w:r>
      <w:rPr>
        <w:rFonts w:hint="eastAsia" w:ascii="宋体" w:hAnsi="宋体" w:cs="宋体"/>
        <w:sz w:val="20"/>
        <w:szCs w:val="20"/>
        <w:u w:val="single"/>
        <w:lang w:val="en-US" w:eastAsia="zh-CN"/>
      </w:rPr>
      <w:t xml:space="preserve">                  </w:t>
    </w:r>
    <w:r>
      <w:rPr>
        <w:rFonts w:hint="eastAsia" w:ascii="宋体" w:hAnsi="宋体" w:cs="宋体"/>
        <w:sz w:val="20"/>
        <w:szCs w:val="20"/>
        <w:u w:val="single"/>
      </w:rPr>
      <w:t xml:space="preserve">   SZZT-</w:t>
    </w:r>
    <w:r>
      <w:rPr>
        <w:rFonts w:hint="eastAsia" w:ascii="宋体" w:hAnsi="宋体" w:cs="宋体"/>
        <w:sz w:val="20"/>
        <w:szCs w:val="20"/>
        <w:u w:val="single"/>
        <w:lang w:val="en-US" w:eastAsia="zh-CN"/>
      </w:rPr>
      <w:t>H210418</w:t>
    </w:r>
    <w:r>
      <w:rPr>
        <w:rFonts w:hint="eastAsia" w:ascii="宋体" w:hAnsi="宋体" w:cs="宋体"/>
        <w:sz w:val="20"/>
        <w:szCs w:val="20"/>
        <w:u w:val="single"/>
      </w:rPr>
      <w:t>WLX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1"/>
    </w:pPr>
    <w:r>
      <w:pict>
        <v:shape id="PowerPlusWaterMarkObject202193219" o:spid="_x0000_s2050" o:spt="136" type="#_x0000_t136" style="position:absolute;left:0pt;height:43.8pt;width:744.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t" xscale="f" string="嵊州市中天工程建设招标代理有限公司" style="font-family:宋体;font-size:44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40" w:lineRule="exact"/>
      <w:ind w:firstLine="0" w:firstLineChars="0"/>
      <w:jc w:val="left"/>
      <w:rPr>
        <w:rFonts w:hint="eastAsia" w:eastAsia="宋体"/>
        <w:u w:val="single"/>
        <w:lang w:eastAsia="zh-CN"/>
      </w:rPr>
    </w:pPr>
    <w:r>
      <w:rPr>
        <w:rFonts w:hint="eastAsia" w:ascii="宋体" w:hAnsi="宋体" w:eastAsia="宋体" w:cs="宋体"/>
        <w:sz w:val="20"/>
        <w:szCs w:val="20"/>
        <w:u w:val="single"/>
        <w:lang w:val="en-US" w:eastAsia="zh-CN"/>
      </w:rPr>
      <w:t>嵊州市人民医院检验科标本外送定点服务采购项目</w:t>
    </w:r>
    <w:r>
      <w:rPr>
        <w:rFonts w:hint="eastAsia" w:ascii="宋体" w:hAnsi="宋体" w:eastAsia="宋体" w:cs="宋体"/>
        <w:sz w:val="20"/>
        <w:szCs w:val="20"/>
        <w:u w:val="single"/>
      </w:rPr>
      <w:t xml:space="preserve">   </w:t>
    </w:r>
    <w:r>
      <w:rPr>
        <w:rFonts w:hint="eastAsia" w:ascii="宋体" w:hAnsi="宋体" w:cs="宋体"/>
        <w:sz w:val="20"/>
        <w:szCs w:val="20"/>
        <w:u w:val="single"/>
      </w:rPr>
      <w:t xml:space="preserve">    </w:t>
    </w:r>
    <w:r>
      <w:rPr>
        <w:rFonts w:hint="eastAsia" w:ascii="宋体" w:hAnsi="宋体" w:cs="宋体"/>
        <w:sz w:val="20"/>
        <w:szCs w:val="20"/>
        <w:u w:val="single"/>
        <w:lang w:val="en-US" w:eastAsia="zh-CN"/>
      </w:rPr>
      <w:t xml:space="preserve">                              </w:t>
    </w:r>
    <w:r>
      <w:rPr>
        <w:rFonts w:hint="eastAsia" w:ascii="宋体" w:hAnsi="宋体" w:cs="宋体"/>
        <w:sz w:val="20"/>
        <w:szCs w:val="20"/>
        <w:u w:val="single"/>
        <w:lang w:eastAsia="zh-CN"/>
      </w:rPr>
      <w:t>SZZT-F230113RZJ</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40" w:lineRule="exact"/>
      <w:ind w:firstLine="0" w:firstLineChars="0"/>
      <w:jc w:val="left"/>
      <w:rPr>
        <w:rFonts w:hint="eastAsia" w:eastAsia="宋体"/>
        <w:u w:val="none"/>
        <w:lang w:eastAsia="zh-CN"/>
      </w:rPr>
    </w:pPr>
    <w:r>
      <w:rPr>
        <w:rFonts w:hint="eastAsia" w:ascii="宋体" w:hAnsi="宋体" w:eastAsia="宋体" w:cs="宋体"/>
        <w:sz w:val="20"/>
        <w:szCs w:val="20"/>
        <w:u w:val="single"/>
        <w:lang w:val="en-US" w:eastAsia="zh-CN"/>
      </w:rPr>
      <w:t>嵊州市人民医院检验科标本外送定点服务采购项目</w:t>
    </w:r>
    <w:r>
      <w:rPr>
        <w:rFonts w:hint="eastAsia" w:ascii="宋体" w:hAnsi="宋体" w:eastAsia="宋体" w:cs="宋体"/>
        <w:sz w:val="20"/>
        <w:szCs w:val="20"/>
        <w:u w:val="single"/>
      </w:rPr>
      <w:t xml:space="preserve">   </w:t>
    </w:r>
    <w:r>
      <w:rPr>
        <w:rFonts w:hint="eastAsia" w:ascii="宋体" w:hAnsi="宋体" w:cs="宋体"/>
        <w:sz w:val="20"/>
        <w:szCs w:val="20"/>
        <w:u w:val="single"/>
      </w:rPr>
      <w:t xml:space="preserve">  </w:t>
    </w:r>
    <w:r>
      <w:rPr>
        <w:rFonts w:hint="eastAsia" w:ascii="宋体" w:hAnsi="宋体" w:cs="宋体"/>
        <w:sz w:val="20"/>
        <w:szCs w:val="20"/>
        <w:u w:val="single"/>
        <w:lang w:val="en-US" w:eastAsia="zh-CN"/>
      </w:rPr>
      <w:t xml:space="preserve">                            </w:t>
    </w:r>
    <w:r>
      <w:rPr>
        <w:rFonts w:hint="eastAsia" w:ascii="宋体" w:hAnsi="宋体" w:cs="宋体"/>
        <w:sz w:val="20"/>
        <w:szCs w:val="20"/>
        <w:u w:val="single"/>
      </w:rPr>
      <w:t xml:space="preserve">    </w:t>
    </w:r>
    <w:r>
      <w:rPr>
        <w:rFonts w:hint="eastAsia" w:ascii="宋体" w:hAnsi="宋体" w:cs="宋体"/>
        <w:sz w:val="20"/>
        <w:szCs w:val="20"/>
        <w:u w:val="single"/>
        <w:lang w:eastAsia="zh-CN"/>
      </w:rPr>
      <w:t>SZZT-F230113RZJ</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1"/>
    </w:pPr>
    <w:r>
      <w:pict>
        <v:shape id="PowerPlusWaterMarkObject202193222" o:spid="_x0000_s2053" o:spt="136" type="#_x0000_t136" style="position:absolute;left:0pt;height:43.8pt;width:744.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t" xscale="f" string="嵊州市中天工程建设招标代理有限公司" style="font-family:宋体;font-size:44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40" w:lineRule="exact"/>
      <w:ind w:firstLine="0" w:firstLineChars="0"/>
      <w:jc w:val="left"/>
      <w:rPr>
        <w:rFonts w:hint="eastAsia" w:eastAsia="宋体"/>
        <w:lang w:eastAsia="zh-CN"/>
      </w:rPr>
    </w:pPr>
    <w:r>
      <w:rPr>
        <w:rFonts w:hint="eastAsia" w:ascii="宋体" w:hAnsi="宋体" w:eastAsia="宋体" w:cs="宋体"/>
        <w:sz w:val="20"/>
        <w:szCs w:val="20"/>
        <w:u w:val="single"/>
        <w:lang w:val="en-US" w:eastAsia="zh-CN"/>
      </w:rPr>
      <w:t>嵊州市人民医院检验科标本外送定点服务采购项目</w:t>
    </w:r>
    <w:r>
      <w:rPr>
        <w:rFonts w:hint="eastAsia" w:ascii="宋体" w:hAnsi="宋体" w:eastAsia="宋体" w:cs="宋体"/>
        <w:sz w:val="20"/>
        <w:szCs w:val="20"/>
        <w:u w:val="single"/>
      </w:rPr>
      <w:t xml:space="preserve">   </w:t>
    </w:r>
    <w:r>
      <w:rPr>
        <w:rFonts w:hint="eastAsia" w:ascii="宋体" w:hAnsi="宋体" w:cs="宋体"/>
        <w:sz w:val="20"/>
        <w:szCs w:val="20"/>
        <w:u w:val="single"/>
      </w:rPr>
      <w:t xml:space="preserve">    </w:t>
    </w:r>
    <w:r>
      <w:rPr>
        <w:rFonts w:hint="eastAsia" w:ascii="宋体" w:hAnsi="宋体" w:cs="宋体"/>
        <w:sz w:val="20"/>
        <w:szCs w:val="20"/>
        <w:u w:val="single"/>
        <w:lang w:val="en-US" w:eastAsia="zh-CN"/>
      </w:rPr>
      <w:t xml:space="preserve">                              </w:t>
    </w:r>
    <w:r>
      <w:rPr>
        <w:rFonts w:hint="eastAsia" w:ascii="宋体" w:hAnsi="宋体" w:cs="宋体"/>
        <w:sz w:val="20"/>
        <w:szCs w:val="20"/>
        <w:u w:val="single"/>
        <w:lang w:eastAsia="zh-CN"/>
      </w:rPr>
      <w:t>SZZT-F230113RZJ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7F6FE"/>
    <w:multiLevelType w:val="singleLevel"/>
    <w:tmpl w:val="84A7F6FE"/>
    <w:lvl w:ilvl="0" w:tentative="0">
      <w:start w:val="1"/>
      <w:numFmt w:val="chineseCounting"/>
      <w:suff w:val="nothing"/>
      <w:lvlText w:val="（%1）"/>
      <w:lvlJc w:val="left"/>
      <w:rPr>
        <w:rFonts w:hint="eastAsia"/>
      </w:rPr>
    </w:lvl>
  </w:abstractNum>
  <w:abstractNum w:abstractNumId="1">
    <w:nsid w:val="CA646043"/>
    <w:multiLevelType w:val="singleLevel"/>
    <w:tmpl w:val="CA646043"/>
    <w:lvl w:ilvl="0" w:tentative="0">
      <w:start w:val="6"/>
      <w:numFmt w:val="chineseCounting"/>
      <w:suff w:val="nothing"/>
      <w:lvlText w:val="%1、"/>
      <w:lvlJc w:val="left"/>
      <w:rPr>
        <w:rFonts w:hint="eastAsia"/>
      </w:rPr>
    </w:lvl>
  </w:abstractNum>
  <w:abstractNum w:abstractNumId="2">
    <w:nsid w:val="D16E957A"/>
    <w:multiLevelType w:val="singleLevel"/>
    <w:tmpl w:val="D16E957A"/>
    <w:lvl w:ilvl="0" w:tentative="0">
      <w:start w:val="1"/>
      <w:numFmt w:val="decimal"/>
      <w:lvlText w:val="%1."/>
      <w:lvlJc w:val="left"/>
      <w:pPr>
        <w:tabs>
          <w:tab w:val="left" w:pos="312"/>
        </w:tabs>
      </w:pPr>
    </w:lvl>
  </w:abstractNum>
  <w:abstractNum w:abstractNumId="3">
    <w:nsid w:val="04793D25"/>
    <w:multiLevelType w:val="singleLevel"/>
    <w:tmpl w:val="04793D25"/>
    <w:lvl w:ilvl="0" w:tentative="0">
      <w:start w:val="1"/>
      <w:numFmt w:val="decimal"/>
      <w:lvlText w:val="%1."/>
      <w:lvlJc w:val="left"/>
      <w:pPr>
        <w:tabs>
          <w:tab w:val="left" w:pos="312"/>
        </w:tabs>
        <w:ind w:left="12"/>
      </w:pPr>
    </w:lvl>
  </w:abstractNum>
  <w:abstractNum w:abstractNumId="4">
    <w:nsid w:val="08AF3354"/>
    <w:multiLevelType w:val="singleLevel"/>
    <w:tmpl w:val="08AF3354"/>
    <w:lvl w:ilvl="0" w:tentative="0">
      <w:start w:val="1"/>
      <w:numFmt w:val="decimal"/>
      <w:suff w:val="nothing"/>
      <w:lvlText w:val="%1、"/>
      <w:lvlJc w:val="left"/>
    </w:lvl>
  </w:abstractNum>
  <w:abstractNum w:abstractNumId="5">
    <w:nsid w:val="13322906"/>
    <w:multiLevelType w:val="singleLevel"/>
    <w:tmpl w:val="13322906"/>
    <w:lvl w:ilvl="0" w:tentative="0">
      <w:start w:val="1"/>
      <w:numFmt w:val="decimal"/>
      <w:suff w:val="nothing"/>
      <w:lvlText w:val="%1、"/>
      <w:lvlJc w:val="left"/>
    </w:lvl>
  </w:abstractNum>
  <w:abstractNum w:abstractNumId="6">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4FC5D5FA"/>
    <w:multiLevelType w:val="singleLevel"/>
    <w:tmpl w:val="4FC5D5FA"/>
    <w:lvl w:ilvl="0" w:tentative="0">
      <w:start w:val="1"/>
      <w:numFmt w:val="decimal"/>
      <w:pStyle w:val="10"/>
      <w:lvlText w:val="%1."/>
      <w:lvlJc w:val="left"/>
      <w:pPr>
        <w:tabs>
          <w:tab w:val="left" w:pos="360"/>
        </w:tabs>
        <w:ind w:left="360" w:hanging="360"/>
      </w:pPr>
      <w:rPr>
        <w:rFonts w:cs="Times New Roman"/>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A01B85C"/>
    <w:multiLevelType w:val="multilevel"/>
    <w:tmpl w:val="5A01B85C"/>
    <w:lvl w:ilvl="0" w:tentative="0">
      <w:start w:val="1"/>
      <w:numFmt w:val="decimal"/>
      <w:lvlText w:val="第%1条"/>
      <w:lvlJc w:val="left"/>
      <w:pPr>
        <w:tabs>
          <w:tab w:val="left" w:pos="5117"/>
        </w:tabs>
        <w:ind w:left="5117" w:hanging="1418"/>
      </w:pPr>
      <w:rPr>
        <w:rFonts w:hint="eastAsia" w:cs="Times New Roman"/>
      </w:rPr>
    </w:lvl>
    <w:lvl w:ilvl="1" w:tentative="0">
      <w:start w:val="1"/>
      <w:numFmt w:val="decimal"/>
      <w:lvlText w:val="%1.%2"/>
      <w:lvlJc w:val="left"/>
      <w:pPr>
        <w:ind w:left="638" w:hanging="624"/>
      </w:pPr>
      <w:rPr>
        <w:rFonts w:hint="eastAsia" w:ascii="Times New Roman" w:hAnsi="Times New Roman" w:cs="Times New Roman"/>
        <w:b/>
        <w:bCs w:val="0"/>
        <w:i w:val="0"/>
        <w:iCs w:val="0"/>
        <w:caps w:val="0"/>
        <w:smallCaps w:val="0"/>
        <w:strike w:val="0"/>
        <w:dstrike w:val="0"/>
        <w:vanish w:val="0"/>
        <w:color w:val="000000"/>
        <w:spacing w:val="0"/>
        <w:kern w:val="0"/>
        <w:position w:val="0"/>
        <w:sz w:val="28"/>
        <w:szCs w:val="28"/>
        <w:u w:val="none"/>
        <w:vertAlign w:val="baseline"/>
      </w:rPr>
    </w:lvl>
    <w:lvl w:ilvl="2" w:tentative="0">
      <w:start w:val="1"/>
      <w:numFmt w:val="decimal"/>
      <w:lvlText w:val="%1.%2.%3"/>
      <w:lvlJc w:val="left"/>
      <w:pPr>
        <w:tabs>
          <w:tab w:val="left" w:pos="2837"/>
        </w:tabs>
        <w:ind w:left="2240" w:hanging="680"/>
      </w:pPr>
      <w:rPr>
        <w:rFonts w:hint="eastAsia" w:ascii="Times New Roman" w:hAnsi="Times New Roman" w:cs="Times New Roman"/>
        <w:b w:val="0"/>
        <w:bCs w:val="0"/>
        <w:i w:val="0"/>
        <w:iCs w:val="0"/>
        <w:caps w:val="0"/>
        <w:smallCaps w:val="0"/>
        <w:strike w:val="0"/>
        <w:dstrike w:val="0"/>
        <w:vanish w:val="0"/>
        <w:color w:val="auto"/>
        <w:spacing w:val="0"/>
        <w:kern w:val="0"/>
        <w:position w:val="0"/>
        <w:u w:val="none"/>
        <w:vertAlign w:val="baseline"/>
      </w:rPr>
    </w:lvl>
    <w:lvl w:ilvl="3" w:tentative="0">
      <w:start w:val="1"/>
      <w:numFmt w:val="lowerLetter"/>
      <w:lvlText w:val="(%4)"/>
      <w:lvlJc w:val="left"/>
      <w:pPr>
        <w:ind w:left="5359" w:hanging="397"/>
      </w:pPr>
      <w:rPr>
        <w:rFonts w:hint="default" w:ascii="Times New Roman" w:hAnsi="Times New Roman" w:cs="Times New Roman"/>
      </w:rPr>
    </w:lvl>
    <w:lvl w:ilvl="4" w:tentative="0">
      <w:start w:val="1"/>
      <w:numFmt w:val="lowerRoman"/>
      <w:pStyle w:val="6"/>
      <w:lvlText w:val="(%5)"/>
      <w:lvlJc w:val="left"/>
      <w:pPr>
        <w:ind w:left="2297" w:hanging="312"/>
      </w:pPr>
      <w:rPr>
        <w:rFonts w:hint="eastAsia" w:cs="Times New Roman"/>
      </w:rPr>
    </w:lvl>
    <w:lvl w:ilvl="5" w:tentative="0">
      <w:start w:val="1"/>
      <w:numFmt w:val="decimal"/>
      <w:lvlText w:val="%1.%2.%3.%4.%5.%6"/>
      <w:lvlJc w:val="left"/>
      <w:pPr>
        <w:ind w:left="3274" w:hanging="1134"/>
      </w:pPr>
      <w:rPr>
        <w:rFonts w:hint="eastAsia" w:cs="Times New Roman"/>
      </w:rPr>
    </w:lvl>
    <w:lvl w:ilvl="6" w:tentative="0">
      <w:start w:val="1"/>
      <w:numFmt w:val="decimal"/>
      <w:lvlText w:val="%1.%2.%3.%4.%5.%6.%7"/>
      <w:lvlJc w:val="left"/>
      <w:pPr>
        <w:ind w:left="3841" w:hanging="1276"/>
      </w:pPr>
      <w:rPr>
        <w:rFonts w:hint="eastAsia" w:cs="Times New Roman"/>
      </w:rPr>
    </w:lvl>
    <w:lvl w:ilvl="7" w:tentative="0">
      <w:start w:val="1"/>
      <w:numFmt w:val="decimal"/>
      <w:lvlText w:val="%1.%2.%3.%4.%5.%6.%7.%8"/>
      <w:lvlJc w:val="left"/>
      <w:pPr>
        <w:ind w:left="4408" w:hanging="1418"/>
      </w:pPr>
      <w:rPr>
        <w:rFonts w:hint="eastAsia" w:cs="Times New Roman"/>
      </w:rPr>
    </w:lvl>
    <w:lvl w:ilvl="8" w:tentative="0">
      <w:start w:val="1"/>
      <w:numFmt w:val="decimal"/>
      <w:lvlText w:val="%1.%2.%3.%4.%5.%6.%7.%8.%9"/>
      <w:lvlJc w:val="left"/>
      <w:pPr>
        <w:ind w:left="5116" w:hanging="1700"/>
      </w:pPr>
      <w:rPr>
        <w:rFonts w:hint="eastAsia" w:cs="Times New Roman"/>
      </w:rPr>
    </w:lvl>
  </w:abstractNum>
  <w:num w:numId="1">
    <w:abstractNumId w:val="10"/>
  </w:num>
  <w:num w:numId="2">
    <w:abstractNumId w:val="7"/>
  </w:num>
  <w:num w:numId="3">
    <w:abstractNumId w:val="1"/>
  </w:num>
  <w:num w:numId="4">
    <w:abstractNumId w:val="0"/>
  </w:num>
  <w:num w:numId="5">
    <w:abstractNumId w:val="2"/>
  </w:num>
  <w:num w:numId="6">
    <w:abstractNumId w:val="3"/>
  </w:num>
  <w:num w:numId="7">
    <w:abstractNumId w:val="4"/>
  </w:num>
  <w:num w:numId="8">
    <w:abstractNumId w:val="5"/>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20"/>
  <w:drawingGridVerticalSpacing w:val="16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Njc4MjVlZDk5NGQ4ZWFkZTc0ZWFiNTVhOTQzNjUifQ=="/>
  </w:docVars>
  <w:rsids>
    <w:rsidRoot w:val="00172A27"/>
    <w:rsid w:val="00006E4E"/>
    <w:rsid w:val="00010D51"/>
    <w:rsid w:val="00014BBA"/>
    <w:rsid w:val="000150DC"/>
    <w:rsid w:val="00022DC9"/>
    <w:rsid w:val="00022E96"/>
    <w:rsid w:val="00025D84"/>
    <w:rsid w:val="00034518"/>
    <w:rsid w:val="000362D2"/>
    <w:rsid w:val="00037214"/>
    <w:rsid w:val="00057D3F"/>
    <w:rsid w:val="00066DBD"/>
    <w:rsid w:val="0007394D"/>
    <w:rsid w:val="0007395A"/>
    <w:rsid w:val="00077E68"/>
    <w:rsid w:val="00096ED9"/>
    <w:rsid w:val="00097AA3"/>
    <w:rsid w:val="000A02C4"/>
    <w:rsid w:val="000A444E"/>
    <w:rsid w:val="000A4F52"/>
    <w:rsid w:val="000A6CAB"/>
    <w:rsid w:val="000C0758"/>
    <w:rsid w:val="000C3B03"/>
    <w:rsid w:val="000C768C"/>
    <w:rsid w:val="000D728D"/>
    <w:rsid w:val="000D76F8"/>
    <w:rsid w:val="000F1186"/>
    <w:rsid w:val="001022E3"/>
    <w:rsid w:val="00103491"/>
    <w:rsid w:val="00105C2F"/>
    <w:rsid w:val="00110EAC"/>
    <w:rsid w:val="0011330F"/>
    <w:rsid w:val="00131D3C"/>
    <w:rsid w:val="00137DB1"/>
    <w:rsid w:val="00140728"/>
    <w:rsid w:val="00141E35"/>
    <w:rsid w:val="00142498"/>
    <w:rsid w:val="0014389A"/>
    <w:rsid w:val="00172A27"/>
    <w:rsid w:val="001768A8"/>
    <w:rsid w:val="0018529A"/>
    <w:rsid w:val="00191220"/>
    <w:rsid w:val="00193C1F"/>
    <w:rsid w:val="001A7153"/>
    <w:rsid w:val="001B0239"/>
    <w:rsid w:val="001C0BBE"/>
    <w:rsid w:val="001C428B"/>
    <w:rsid w:val="001C7147"/>
    <w:rsid w:val="001D288E"/>
    <w:rsid w:val="001D3600"/>
    <w:rsid w:val="001E40F9"/>
    <w:rsid w:val="001E4340"/>
    <w:rsid w:val="001E5E22"/>
    <w:rsid w:val="00202623"/>
    <w:rsid w:val="0020793B"/>
    <w:rsid w:val="00223D46"/>
    <w:rsid w:val="00224777"/>
    <w:rsid w:val="00226A60"/>
    <w:rsid w:val="002375F3"/>
    <w:rsid w:val="00243629"/>
    <w:rsid w:val="00257F98"/>
    <w:rsid w:val="002679EC"/>
    <w:rsid w:val="00281F84"/>
    <w:rsid w:val="00287781"/>
    <w:rsid w:val="00292C20"/>
    <w:rsid w:val="0029412E"/>
    <w:rsid w:val="002A12F0"/>
    <w:rsid w:val="002C11E0"/>
    <w:rsid w:val="002C1A0B"/>
    <w:rsid w:val="002C7CE3"/>
    <w:rsid w:val="002D6E00"/>
    <w:rsid w:val="002E112E"/>
    <w:rsid w:val="002E5094"/>
    <w:rsid w:val="002F3590"/>
    <w:rsid w:val="00304B3F"/>
    <w:rsid w:val="00312559"/>
    <w:rsid w:val="00322CC1"/>
    <w:rsid w:val="00325AA0"/>
    <w:rsid w:val="00341391"/>
    <w:rsid w:val="00350F64"/>
    <w:rsid w:val="00353798"/>
    <w:rsid w:val="00354AFA"/>
    <w:rsid w:val="003619F0"/>
    <w:rsid w:val="00363A4E"/>
    <w:rsid w:val="003641EF"/>
    <w:rsid w:val="003665E1"/>
    <w:rsid w:val="0038117F"/>
    <w:rsid w:val="00381945"/>
    <w:rsid w:val="00387E7C"/>
    <w:rsid w:val="00395C18"/>
    <w:rsid w:val="003A33C7"/>
    <w:rsid w:val="003A4BEE"/>
    <w:rsid w:val="003B08AE"/>
    <w:rsid w:val="003B5490"/>
    <w:rsid w:val="003B6D7B"/>
    <w:rsid w:val="003C0901"/>
    <w:rsid w:val="003C7454"/>
    <w:rsid w:val="003D438D"/>
    <w:rsid w:val="003D7723"/>
    <w:rsid w:val="003E771E"/>
    <w:rsid w:val="003E77CF"/>
    <w:rsid w:val="00400EDC"/>
    <w:rsid w:val="00401B76"/>
    <w:rsid w:val="00403858"/>
    <w:rsid w:val="004052C6"/>
    <w:rsid w:val="0040534F"/>
    <w:rsid w:val="004061C4"/>
    <w:rsid w:val="004101BD"/>
    <w:rsid w:val="00432B3A"/>
    <w:rsid w:val="00443050"/>
    <w:rsid w:val="004444B3"/>
    <w:rsid w:val="00444AB3"/>
    <w:rsid w:val="00447691"/>
    <w:rsid w:val="00453F60"/>
    <w:rsid w:val="004602B2"/>
    <w:rsid w:val="00484588"/>
    <w:rsid w:val="00496FEE"/>
    <w:rsid w:val="004A0697"/>
    <w:rsid w:val="004B16A5"/>
    <w:rsid w:val="004C29B9"/>
    <w:rsid w:val="004C47C3"/>
    <w:rsid w:val="004D2902"/>
    <w:rsid w:val="004F3426"/>
    <w:rsid w:val="00502E9A"/>
    <w:rsid w:val="0051756F"/>
    <w:rsid w:val="00523A30"/>
    <w:rsid w:val="005258F9"/>
    <w:rsid w:val="00535853"/>
    <w:rsid w:val="0053615A"/>
    <w:rsid w:val="00545575"/>
    <w:rsid w:val="0055081A"/>
    <w:rsid w:val="00550885"/>
    <w:rsid w:val="005574AC"/>
    <w:rsid w:val="00557935"/>
    <w:rsid w:val="00567BDD"/>
    <w:rsid w:val="00571768"/>
    <w:rsid w:val="005730DE"/>
    <w:rsid w:val="005811DA"/>
    <w:rsid w:val="005903A0"/>
    <w:rsid w:val="005A1B33"/>
    <w:rsid w:val="005A2C30"/>
    <w:rsid w:val="005B5BF8"/>
    <w:rsid w:val="005D0DCC"/>
    <w:rsid w:val="005D1C4F"/>
    <w:rsid w:val="005D35CF"/>
    <w:rsid w:val="005D3719"/>
    <w:rsid w:val="00600F08"/>
    <w:rsid w:val="006067B5"/>
    <w:rsid w:val="0061668F"/>
    <w:rsid w:val="00616A9C"/>
    <w:rsid w:val="00637795"/>
    <w:rsid w:val="00637CC8"/>
    <w:rsid w:val="006461A6"/>
    <w:rsid w:val="0064769B"/>
    <w:rsid w:val="0065093B"/>
    <w:rsid w:val="00652168"/>
    <w:rsid w:val="006554D0"/>
    <w:rsid w:val="00657ED0"/>
    <w:rsid w:val="00663A2A"/>
    <w:rsid w:val="00670FC8"/>
    <w:rsid w:val="0069485A"/>
    <w:rsid w:val="006A17B8"/>
    <w:rsid w:val="006A5F09"/>
    <w:rsid w:val="006A6A11"/>
    <w:rsid w:val="006B3091"/>
    <w:rsid w:val="006B3D3F"/>
    <w:rsid w:val="006B7DE6"/>
    <w:rsid w:val="006D2888"/>
    <w:rsid w:val="006F0198"/>
    <w:rsid w:val="0070368C"/>
    <w:rsid w:val="00704080"/>
    <w:rsid w:val="0071208B"/>
    <w:rsid w:val="00726617"/>
    <w:rsid w:val="007344C8"/>
    <w:rsid w:val="00740A93"/>
    <w:rsid w:val="00741A1A"/>
    <w:rsid w:val="00747CC7"/>
    <w:rsid w:val="00750239"/>
    <w:rsid w:val="00752119"/>
    <w:rsid w:val="00766AEB"/>
    <w:rsid w:val="00771F77"/>
    <w:rsid w:val="00775B7E"/>
    <w:rsid w:val="0079047B"/>
    <w:rsid w:val="00794B68"/>
    <w:rsid w:val="007A072A"/>
    <w:rsid w:val="007A5EF4"/>
    <w:rsid w:val="007B19AC"/>
    <w:rsid w:val="007C40B1"/>
    <w:rsid w:val="007D35C9"/>
    <w:rsid w:val="007D3A81"/>
    <w:rsid w:val="007D68D8"/>
    <w:rsid w:val="007F289E"/>
    <w:rsid w:val="007F7C83"/>
    <w:rsid w:val="00813510"/>
    <w:rsid w:val="00817BAE"/>
    <w:rsid w:val="008261B6"/>
    <w:rsid w:val="00827A70"/>
    <w:rsid w:val="0083368A"/>
    <w:rsid w:val="00835C2E"/>
    <w:rsid w:val="008413CA"/>
    <w:rsid w:val="00843EE7"/>
    <w:rsid w:val="00852EBA"/>
    <w:rsid w:val="008557A9"/>
    <w:rsid w:val="00860F77"/>
    <w:rsid w:val="008654A5"/>
    <w:rsid w:val="00871A7D"/>
    <w:rsid w:val="00882A94"/>
    <w:rsid w:val="00882FB1"/>
    <w:rsid w:val="00891FD5"/>
    <w:rsid w:val="008957AF"/>
    <w:rsid w:val="0089671B"/>
    <w:rsid w:val="008A299C"/>
    <w:rsid w:val="008A56F1"/>
    <w:rsid w:val="008A6843"/>
    <w:rsid w:val="008B4353"/>
    <w:rsid w:val="008B5502"/>
    <w:rsid w:val="008C0713"/>
    <w:rsid w:val="008C2B0B"/>
    <w:rsid w:val="008C3904"/>
    <w:rsid w:val="008C4B53"/>
    <w:rsid w:val="008C538D"/>
    <w:rsid w:val="008C725E"/>
    <w:rsid w:val="008D143D"/>
    <w:rsid w:val="008D37E0"/>
    <w:rsid w:val="008E2944"/>
    <w:rsid w:val="00930C20"/>
    <w:rsid w:val="00937964"/>
    <w:rsid w:val="009459A6"/>
    <w:rsid w:val="00950374"/>
    <w:rsid w:val="009558DC"/>
    <w:rsid w:val="00956A41"/>
    <w:rsid w:val="0096460F"/>
    <w:rsid w:val="009655FD"/>
    <w:rsid w:val="00971FA9"/>
    <w:rsid w:val="00972AE0"/>
    <w:rsid w:val="009831F2"/>
    <w:rsid w:val="00990D06"/>
    <w:rsid w:val="009A1586"/>
    <w:rsid w:val="009A5F15"/>
    <w:rsid w:val="009B2F78"/>
    <w:rsid w:val="009C37C8"/>
    <w:rsid w:val="009C3D58"/>
    <w:rsid w:val="009D1C6A"/>
    <w:rsid w:val="009D4B51"/>
    <w:rsid w:val="009D7C39"/>
    <w:rsid w:val="009E5A87"/>
    <w:rsid w:val="00A00DEB"/>
    <w:rsid w:val="00A200FC"/>
    <w:rsid w:val="00A21E0B"/>
    <w:rsid w:val="00A4028E"/>
    <w:rsid w:val="00A50579"/>
    <w:rsid w:val="00A5310E"/>
    <w:rsid w:val="00A605C1"/>
    <w:rsid w:val="00A617AD"/>
    <w:rsid w:val="00A76512"/>
    <w:rsid w:val="00A808F4"/>
    <w:rsid w:val="00A81170"/>
    <w:rsid w:val="00A86592"/>
    <w:rsid w:val="00A86E4C"/>
    <w:rsid w:val="00A90586"/>
    <w:rsid w:val="00A943F9"/>
    <w:rsid w:val="00A953D2"/>
    <w:rsid w:val="00AA0C04"/>
    <w:rsid w:val="00AA4374"/>
    <w:rsid w:val="00AA44CB"/>
    <w:rsid w:val="00AA74D4"/>
    <w:rsid w:val="00AB5CD8"/>
    <w:rsid w:val="00AD3EEF"/>
    <w:rsid w:val="00AD4D01"/>
    <w:rsid w:val="00AE4467"/>
    <w:rsid w:val="00AE62B0"/>
    <w:rsid w:val="00AE6FB5"/>
    <w:rsid w:val="00AE7945"/>
    <w:rsid w:val="00B320FE"/>
    <w:rsid w:val="00B37BE0"/>
    <w:rsid w:val="00B416C2"/>
    <w:rsid w:val="00B42FFE"/>
    <w:rsid w:val="00B56940"/>
    <w:rsid w:val="00B62E02"/>
    <w:rsid w:val="00B736C9"/>
    <w:rsid w:val="00B74F17"/>
    <w:rsid w:val="00B75F89"/>
    <w:rsid w:val="00B80688"/>
    <w:rsid w:val="00B83969"/>
    <w:rsid w:val="00B83A7E"/>
    <w:rsid w:val="00B83CFF"/>
    <w:rsid w:val="00B859EA"/>
    <w:rsid w:val="00BA5325"/>
    <w:rsid w:val="00BA70AF"/>
    <w:rsid w:val="00BC65E5"/>
    <w:rsid w:val="00BC7AC1"/>
    <w:rsid w:val="00BE0C6C"/>
    <w:rsid w:val="00C0338C"/>
    <w:rsid w:val="00C24E29"/>
    <w:rsid w:val="00C30D5E"/>
    <w:rsid w:val="00C358F9"/>
    <w:rsid w:val="00C4061E"/>
    <w:rsid w:val="00C419CD"/>
    <w:rsid w:val="00C475CC"/>
    <w:rsid w:val="00C5251F"/>
    <w:rsid w:val="00C60C25"/>
    <w:rsid w:val="00C70B32"/>
    <w:rsid w:val="00C739A8"/>
    <w:rsid w:val="00C81E81"/>
    <w:rsid w:val="00C83973"/>
    <w:rsid w:val="00C95CFC"/>
    <w:rsid w:val="00CA269E"/>
    <w:rsid w:val="00CA68C0"/>
    <w:rsid w:val="00CB17BB"/>
    <w:rsid w:val="00CC1479"/>
    <w:rsid w:val="00CD03DB"/>
    <w:rsid w:val="00CD44A4"/>
    <w:rsid w:val="00CD7C52"/>
    <w:rsid w:val="00CE37BB"/>
    <w:rsid w:val="00CE4DD5"/>
    <w:rsid w:val="00D00CA9"/>
    <w:rsid w:val="00D065AD"/>
    <w:rsid w:val="00D127AB"/>
    <w:rsid w:val="00D26A11"/>
    <w:rsid w:val="00D437FB"/>
    <w:rsid w:val="00D46F2E"/>
    <w:rsid w:val="00D522E6"/>
    <w:rsid w:val="00D60706"/>
    <w:rsid w:val="00D61A48"/>
    <w:rsid w:val="00D64AD2"/>
    <w:rsid w:val="00D73AFF"/>
    <w:rsid w:val="00D74B38"/>
    <w:rsid w:val="00D758E5"/>
    <w:rsid w:val="00D85C3A"/>
    <w:rsid w:val="00D9331C"/>
    <w:rsid w:val="00D93BC0"/>
    <w:rsid w:val="00D94239"/>
    <w:rsid w:val="00D9765C"/>
    <w:rsid w:val="00DC4984"/>
    <w:rsid w:val="00DC7F70"/>
    <w:rsid w:val="00DD2E72"/>
    <w:rsid w:val="00DE2193"/>
    <w:rsid w:val="00DE4BFB"/>
    <w:rsid w:val="00DE5442"/>
    <w:rsid w:val="00DE687B"/>
    <w:rsid w:val="00DF1D90"/>
    <w:rsid w:val="00DF21C6"/>
    <w:rsid w:val="00DF2802"/>
    <w:rsid w:val="00E018C9"/>
    <w:rsid w:val="00E03576"/>
    <w:rsid w:val="00E06C22"/>
    <w:rsid w:val="00E27579"/>
    <w:rsid w:val="00E3233B"/>
    <w:rsid w:val="00E55831"/>
    <w:rsid w:val="00E63BE9"/>
    <w:rsid w:val="00E64D38"/>
    <w:rsid w:val="00E67E86"/>
    <w:rsid w:val="00E71BE2"/>
    <w:rsid w:val="00E7571A"/>
    <w:rsid w:val="00E76985"/>
    <w:rsid w:val="00E977E9"/>
    <w:rsid w:val="00EA6922"/>
    <w:rsid w:val="00EB66AC"/>
    <w:rsid w:val="00EC1A02"/>
    <w:rsid w:val="00ED2FBE"/>
    <w:rsid w:val="00ED60A1"/>
    <w:rsid w:val="00EE79C6"/>
    <w:rsid w:val="00EF36D5"/>
    <w:rsid w:val="00EF5ED9"/>
    <w:rsid w:val="00EF7F15"/>
    <w:rsid w:val="00F11922"/>
    <w:rsid w:val="00F15B32"/>
    <w:rsid w:val="00F340FE"/>
    <w:rsid w:val="00F34EB3"/>
    <w:rsid w:val="00F40175"/>
    <w:rsid w:val="00F453C0"/>
    <w:rsid w:val="00F536E8"/>
    <w:rsid w:val="00F56294"/>
    <w:rsid w:val="00F628C5"/>
    <w:rsid w:val="00F64CCB"/>
    <w:rsid w:val="00F72C59"/>
    <w:rsid w:val="00F74D3B"/>
    <w:rsid w:val="00F814FD"/>
    <w:rsid w:val="00F87D11"/>
    <w:rsid w:val="00F97B10"/>
    <w:rsid w:val="00FA39B1"/>
    <w:rsid w:val="00FA4152"/>
    <w:rsid w:val="00FC7451"/>
    <w:rsid w:val="00FE0315"/>
    <w:rsid w:val="00FF4429"/>
    <w:rsid w:val="011C260D"/>
    <w:rsid w:val="01AD47CF"/>
    <w:rsid w:val="0215105E"/>
    <w:rsid w:val="02A454D0"/>
    <w:rsid w:val="02E96323"/>
    <w:rsid w:val="02FC617C"/>
    <w:rsid w:val="030F59F5"/>
    <w:rsid w:val="033A6879"/>
    <w:rsid w:val="03515D15"/>
    <w:rsid w:val="03765BFF"/>
    <w:rsid w:val="039676A9"/>
    <w:rsid w:val="03B33B11"/>
    <w:rsid w:val="03D70161"/>
    <w:rsid w:val="044E1B9C"/>
    <w:rsid w:val="0481351B"/>
    <w:rsid w:val="0525062B"/>
    <w:rsid w:val="053C728D"/>
    <w:rsid w:val="055A05D5"/>
    <w:rsid w:val="05AF5540"/>
    <w:rsid w:val="06121127"/>
    <w:rsid w:val="062430A3"/>
    <w:rsid w:val="068D7149"/>
    <w:rsid w:val="069F0A88"/>
    <w:rsid w:val="06A91987"/>
    <w:rsid w:val="07364C68"/>
    <w:rsid w:val="073A6D46"/>
    <w:rsid w:val="07C976DA"/>
    <w:rsid w:val="07D82349"/>
    <w:rsid w:val="08070187"/>
    <w:rsid w:val="08075E2A"/>
    <w:rsid w:val="086A5F28"/>
    <w:rsid w:val="08C2181C"/>
    <w:rsid w:val="08F20C25"/>
    <w:rsid w:val="090D60CD"/>
    <w:rsid w:val="091C0AC4"/>
    <w:rsid w:val="09295C86"/>
    <w:rsid w:val="09E702DD"/>
    <w:rsid w:val="0AB609D5"/>
    <w:rsid w:val="0B256F8F"/>
    <w:rsid w:val="0BDC247E"/>
    <w:rsid w:val="0C356A16"/>
    <w:rsid w:val="0C4B6A0C"/>
    <w:rsid w:val="0C8B4B82"/>
    <w:rsid w:val="0D730418"/>
    <w:rsid w:val="0DD02F0F"/>
    <w:rsid w:val="0DD4472D"/>
    <w:rsid w:val="0E4B1A1C"/>
    <w:rsid w:val="0E833B53"/>
    <w:rsid w:val="0F1133CB"/>
    <w:rsid w:val="0F31388B"/>
    <w:rsid w:val="0F6B64FD"/>
    <w:rsid w:val="0FD71034"/>
    <w:rsid w:val="1025642B"/>
    <w:rsid w:val="10526105"/>
    <w:rsid w:val="108C51BC"/>
    <w:rsid w:val="109113BA"/>
    <w:rsid w:val="10A66C10"/>
    <w:rsid w:val="10BA6FC7"/>
    <w:rsid w:val="10DC66B0"/>
    <w:rsid w:val="10F0551D"/>
    <w:rsid w:val="11297EC9"/>
    <w:rsid w:val="11880F61"/>
    <w:rsid w:val="124878CD"/>
    <w:rsid w:val="126924BD"/>
    <w:rsid w:val="129A025D"/>
    <w:rsid w:val="13141DEB"/>
    <w:rsid w:val="131558D7"/>
    <w:rsid w:val="132971BE"/>
    <w:rsid w:val="13BF593A"/>
    <w:rsid w:val="13CC5951"/>
    <w:rsid w:val="13DA6933"/>
    <w:rsid w:val="1436538B"/>
    <w:rsid w:val="147E74D6"/>
    <w:rsid w:val="149D34E2"/>
    <w:rsid w:val="14F3456F"/>
    <w:rsid w:val="15686D46"/>
    <w:rsid w:val="15BC293A"/>
    <w:rsid w:val="15D61BB7"/>
    <w:rsid w:val="16134D55"/>
    <w:rsid w:val="162340CA"/>
    <w:rsid w:val="163D670C"/>
    <w:rsid w:val="168E4F39"/>
    <w:rsid w:val="17543F84"/>
    <w:rsid w:val="17932454"/>
    <w:rsid w:val="17973558"/>
    <w:rsid w:val="17E71F6E"/>
    <w:rsid w:val="18007FB7"/>
    <w:rsid w:val="181250C7"/>
    <w:rsid w:val="18322AEC"/>
    <w:rsid w:val="18C56EE3"/>
    <w:rsid w:val="19160967"/>
    <w:rsid w:val="19346A48"/>
    <w:rsid w:val="194523AD"/>
    <w:rsid w:val="1A692333"/>
    <w:rsid w:val="1ACF4516"/>
    <w:rsid w:val="1AE5074D"/>
    <w:rsid w:val="1AFE3733"/>
    <w:rsid w:val="1B036EBE"/>
    <w:rsid w:val="1B2F151C"/>
    <w:rsid w:val="1BD605F3"/>
    <w:rsid w:val="1C4B6499"/>
    <w:rsid w:val="1CAC6D08"/>
    <w:rsid w:val="1CDE26A0"/>
    <w:rsid w:val="1D9A39A6"/>
    <w:rsid w:val="1E1C296E"/>
    <w:rsid w:val="1EE2069D"/>
    <w:rsid w:val="1F0252C0"/>
    <w:rsid w:val="1F0B6573"/>
    <w:rsid w:val="1F345B07"/>
    <w:rsid w:val="1F833941"/>
    <w:rsid w:val="1F8C12E2"/>
    <w:rsid w:val="1FA37847"/>
    <w:rsid w:val="1FAC5C80"/>
    <w:rsid w:val="20022A1A"/>
    <w:rsid w:val="20127FCD"/>
    <w:rsid w:val="2055068F"/>
    <w:rsid w:val="20565C25"/>
    <w:rsid w:val="20856C7D"/>
    <w:rsid w:val="20AE1707"/>
    <w:rsid w:val="21BF017B"/>
    <w:rsid w:val="2219008B"/>
    <w:rsid w:val="223405B1"/>
    <w:rsid w:val="22470C6B"/>
    <w:rsid w:val="225974EF"/>
    <w:rsid w:val="225A171B"/>
    <w:rsid w:val="229B09BD"/>
    <w:rsid w:val="22C316A2"/>
    <w:rsid w:val="22EA7057"/>
    <w:rsid w:val="23183019"/>
    <w:rsid w:val="23867149"/>
    <w:rsid w:val="250A5532"/>
    <w:rsid w:val="25407ECB"/>
    <w:rsid w:val="25CE08CA"/>
    <w:rsid w:val="267E5188"/>
    <w:rsid w:val="2698180C"/>
    <w:rsid w:val="269C17D8"/>
    <w:rsid w:val="26D90FF9"/>
    <w:rsid w:val="276F392D"/>
    <w:rsid w:val="2782105D"/>
    <w:rsid w:val="279F58AB"/>
    <w:rsid w:val="27F14B58"/>
    <w:rsid w:val="287F70C8"/>
    <w:rsid w:val="290C43B0"/>
    <w:rsid w:val="29394CEC"/>
    <w:rsid w:val="295D0FD7"/>
    <w:rsid w:val="29865666"/>
    <w:rsid w:val="29F174B1"/>
    <w:rsid w:val="2A2D2CDD"/>
    <w:rsid w:val="2B1C125F"/>
    <w:rsid w:val="2C466731"/>
    <w:rsid w:val="2CCF76F1"/>
    <w:rsid w:val="2CF1641B"/>
    <w:rsid w:val="2D0B0248"/>
    <w:rsid w:val="2D1262FE"/>
    <w:rsid w:val="2D1E19DF"/>
    <w:rsid w:val="2D9C233A"/>
    <w:rsid w:val="2E437EB7"/>
    <w:rsid w:val="2E8222CC"/>
    <w:rsid w:val="2E951654"/>
    <w:rsid w:val="2F40761B"/>
    <w:rsid w:val="2F70618A"/>
    <w:rsid w:val="2F9506BA"/>
    <w:rsid w:val="2F9E068F"/>
    <w:rsid w:val="30485ADE"/>
    <w:rsid w:val="30C87736"/>
    <w:rsid w:val="310B6B56"/>
    <w:rsid w:val="316E5207"/>
    <w:rsid w:val="317F50EB"/>
    <w:rsid w:val="323F25F6"/>
    <w:rsid w:val="32420A77"/>
    <w:rsid w:val="32A71F93"/>
    <w:rsid w:val="32C83F78"/>
    <w:rsid w:val="32E621ED"/>
    <w:rsid w:val="32EA36E3"/>
    <w:rsid w:val="333D0CEC"/>
    <w:rsid w:val="33C50529"/>
    <w:rsid w:val="33D94875"/>
    <w:rsid w:val="33FD08EB"/>
    <w:rsid w:val="34067514"/>
    <w:rsid w:val="341103E7"/>
    <w:rsid w:val="342A5F2C"/>
    <w:rsid w:val="34623692"/>
    <w:rsid w:val="35004FE2"/>
    <w:rsid w:val="35556789"/>
    <w:rsid w:val="356442F4"/>
    <w:rsid w:val="359E6C74"/>
    <w:rsid w:val="35A34765"/>
    <w:rsid w:val="35BD7658"/>
    <w:rsid w:val="364907A3"/>
    <w:rsid w:val="36B34360"/>
    <w:rsid w:val="36EF34FF"/>
    <w:rsid w:val="376A7405"/>
    <w:rsid w:val="378D61E4"/>
    <w:rsid w:val="37AF7EE0"/>
    <w:rsid w:val="37CD01F2"/>
    <w:rsid w:val="3873552E"/>
    <w:rsid w:val="38931E37"/>
    <w:rsid w:val="38D623EE"/>
    <w:rsid w:val="38EA7D3C"/>
    <w:rsid w:val="39B62978"/>
    <w:rsid w:val="39DD40CC"/>
    <w:rsid w:val="3B044EA2"/>
    <w:rsid w:val="3B1D6308"/>
    <w:rsid w:val="3BE439CC"/>
    <w:rsid w:val="3BF22375"/>
    <w:rsid w:val="3C8A36DD"/>
    <w:rsid w:val="3C9E3D3A"/>
    <w:rsid w:val="3CD33D38"/>
    <w:rsid w:val="3CE52D70"/>
    <w:rsid w:val="3CE83692"/>
    <w:rsid w:val="3E4920FF"/>
    <w:rsid w:val="3E9514D0"/>
    <w:rsid w:val="3F152851"/>
    <w:rsid w:val="3F823ED4"/>
    <w:rsid w:val="3FAA282F"/>
    <w:rsid w:val="3FB5178A"/>
    <w:rsid w:val="3FBD4CDE"/>
    <w:rsid w:val="407C4174"/>
    <w:rsid w:val="415D6CC5"/>
    <w:rsid w:val="41D26996"/>
    <w:rsid w:val="41F57B8B"/>
    <w:rsid w:val="42072A91"/>
    <w:rsid w:val="42126D59"/>
    <w:rsid w:val="42253C46"/>
    <w:rsid w:val="42321785"/>
    <w:rsid w:val="425C6695"/>
    <w:rsid w:val="4267540D"/>
    <w:rsid w:val="42687EB7"/>
    <w:rsid w:val="42986A75"/>
    <w:rsid w:val="42EC3854"/>
    <w:rsid w:val="42F52E4B"/>
    <w:rsid w:val="42FE4C55"/>
    <w:rsid w:val="431F3330"/>
    <w:rsid w:val="43237164"/>
    <w:rsid w:val="43C72473"/>
    <w:rsid w:val="43D45DA9"/>
    <w:rsid w:val="43EC11EF"/>
    <w:rsid w:val="43EE6748"/>
    <w:rsid w:val="43FE19EC"/>
    <w:rsid w:val="44462B8E"/>
    <w:rsid w:val="44A66E81"/>
    <w:rsid w:val="44F96329"/>
    <w:rsid w:val="45525E22"/>
    <w:rsid w:val="45E84AF3"/>
    <w:rsid w:val="466C05B4"/>
    <w:rsid w:val="46762FED"/>
    <w:rsid w:val="46A911C0"/>
    <w:rsid w:val="472E0412"/>
    <w:rsid w:val="4758593D"/>
    <w:rsid w:val="47972124"/>
    <w:rsid w:val="48BF783A"/>
    <w:rsid w:val="491C46CB"/>
    <w:rsid w:val="49690378"/>
    <w:rsid w:val="499833AA"/>
    <w:rsid w:val="4A0045CB"/>
    <w:rsid w:val="4AD90279"/>
    <w:rsid w:val="4B001A45"/>
    <w:rsid w:val="4B3E6EAD"/>
    <w:rsid w:val="4BCF51D1"/>
    <w:rsid w:val="4D9B5C88"/>
    <w:rsid w:val="4F8115BD"/>
    <w:rsid w:val="50160EFC"/>
    <w:rsid w:val="50595D75"/>
    <w:rsid w:val="507F0E7D"/>
    <w:rsid w:val="509168AF"/>
    <w:rsid w:val="512E3DD5"/>
    <w:rsid w:val="51CF3F45"/>
    <w:rsid w:val="520C4C6B"/>
    <w:rsid w:val="5261278F"/>
    <w:rsid w:val="529955BE"/>
    <w:rsid w:val="52D23B89"/>
    <w:rsid w:val="53263C79"/>
    <w:rsid w:val="5370165B"/>
    <w:rsid w:val="53F4213D"/>
    <w:rsid w:val="542572D9"/>
    <w:rsid w:val="543E79A8"/>
    <w:rsid w:val="54411FA2"/>
    <w:rsid w:val="544E6647"/>
    <w:rsid w:val="54AE41A3"/>
    <w:rsid w:val="559139AB"/>
    <w:rsid w:val="55F5067F"/>
    <w:rsid w:val="567A7A0A"/>
    <w:rsid w:val="56D20E7B"/>
    <w:rsid w:val="56DF58C0"/>
    <w:rsid w:val="57021FEC"/>
    <w:rsid w:val="578555D6"/>
    <w:rsid w:val="58867F99"/>
    <w:rsid w:val="58CF3CE2"/>
    <w:rsid w:val="58DE20A4"/>
    <w:rsid w:val="59103CDB"/>
    <w:rsid w:val="591231C6"/>
    <w:rsid w:val="59251FE7"/>
    <w:rsid w:val="59402C3A"/>
    <w:rsid w:val="594149BA"/>
    <w:rsid w:val="59EF06CC"/>
    <w:rsid w:val="5A2E64FD"/>
    <w:rsid w:val="5A761FE0"/>
    <w:rsid w:val="5B234698"/>
    <w:rsid w:val="5B274864"/>
    <w:rsid w:val="5B4C246B"/>
    <w:rsid w:val="5B6E783F"/>
    <w:rsid w:val="5B8837FD"/>
    <w:rsid w:val="5B933039"/>
    <w:rsid w:val="5B9E4722"/>
    <w:rsid w:val="5BC03DE2"/>
    <w:rsid w:val="5BE070DC"/>
    <w:rsid w:val="5BEC5D3A"/>
    <w:rsid w:val="5CBF3BEB"/>
    <w:rsid w:val="5E20185E"/>
    <w:rsid w:val="5E9F598D"/>
    <w:rsid w:val="5F6274AD"/>
    <w:rsid w:val="5F8355D2"/>
    <w:rsid w:val="5F844163"/>
    <w:rsid w:val="5FE910E0"/>
    <w:rsid w:val="5FEA6730"/>
    <w:rsid w:val="601D1CCD"/>
    <w:rsid w:val="60415877"/>
    <w:rsid w:val="60F37507"/>
    <w:rsid w:val="617952FC"/>
    <w:rsid w:val="61AA21FB"/>
    <w:rsid w:val="61B3707D"/>
    <w:rsid w:val="62037CA9"/>
    <w:rsid w:val="62ED0567"/>
    <w:rsid w:val="62FF04BC"/>
    <w:rsid w:val="630D3399"/>
    <w:rsid w:val="638F2CAC"/>
    <w:rsid w:val="63D119F0"/>
    <w:rsid w:val="643A1643"/>
    <w:rsid w:val="64A77AC3"/>
    <w:rsid w:val="64B200B9"/>
    <w:rsid w:val="65875458"/>
    <w:rsid w:val="66154DA9"/>
    <w:rsid w:val="66156074"/>
    <w:rsid w:val="6719585F"/>
    <w:rsid w:val="673D7FC5"/>
    <w:rsid w:val="67866F7A"/>
    <w:rsid w:val="684265A9"/>
    <w:rsid w:val="684E052E"/>
    <w:rsid w:val="68594929"/>
    <w:rsid w:val="688436F5"/>
    <w:rsid w:val="68AB3023"/>
    <w:rsid w:val="68B013FE"/>
    <w:rsid w:val="68D13A6E"/>
    <w:rsid w:val="68EF4209"/>
    <w:rsid w:val="693E2568"/>
    <w:rsid w:val="69777C6C"/>
    <w:rsid w:val="69F175CC"/>
    <w:rsid w:val="6A9936A4"/>
    <w:rsid w:val="6AAD5F0E"/>
    <w:rsid w:val="6ABF6E0B"/>
    <w:rsid w:val="6B325BF7"/>
    <w:rsid w:val="6B8B09B0"/>
    <w:rsid w:val="6BD275B7"/>
    <w:rsid w:val="6C3D090F"/>
    <w:rsid w:val="6C3F24CA"/>
    <w:rsid w:val="6C6058A7"/>
    <w:rsid w:val="6D00090C"/>
    <w:rsid w:val="6D4C5E8D"/>
    <w:rsid w:val="6D517303"/>
    <w:rsid w:val="6D5E6EBF"/>
    <w:rsid w:val="6D6209B3"/>
    <w:rsid w:val="6D6B416B"/>
    <w:rsid w:val="6D6D1B92"/>
    <w:rsid w:val="6D770F3D"/>
    <w:rsid w:val="6DE907DD"/>
    <w:rsid w:val="6E9A5523"/>
    <w:rsid w:val="6F40377E"/>
    <w:rsid w:val="6F44142B"/>
    <w:rsid w:val="6FE27E8D"/>
    <w:rsid w:val="6FEB253B"/>
    <w:rsid w:val="70AD4FB8"/>
    <w:rsid w:val="70DC316F"/>
    <w:rsid w:val="711C0906"/>
    <w:rsid w:val="71254207"/>
    <w:rsid w:val="713631A9"/>
    <w:rsid w:val="71633DF4"/>
    <w:rsid w:val="71644AC5"/>
    <w:rsid w:val="718D0CF2"/>
    <w:rsid w:val="71C8398B"/>
    <w:rsid w:val="71FB5A90"/>
    <w:rsid w:val="73256CAC"/>
    <w:rsid w:val="737959F6"/>
    <w:rsid w:val="73E83E9F"/>
    <w:rsid w:val="73EB5C58"/>
    <w:rsid w:val="74EC7067"/>
    <w:rsid w:val="75097D55"/>
    <w:rsid w:val="75DD0582"/>
    <w:rsid w:val="761B7D80"/>
    <w:rsid w:val="76382F12"/>
    <w:rsid w:val="76E35DF2"/>
    <w:rsid w:val="772B318E"/>
    <w:rsid w:val="773C12E5"/>
    <w:rsid w:val="77CB1A30"/>
    <w:rsid w:val="77E52621"/>
    <w:rsid w:val="78731433"/>
    <w:rsid w:val="788E5C50"/>
    <w:rsid w:val="78E34B02"/>
    <w:rsid w:val="78F56F2F"/>
    <w:rsid w:val="791F2BEF"/>
    <w:rsid w:val="793228FA"/>
    <w:rsid w:val="799460F3"/>
    <w:rsid w:val="7A121608"/>
    <w:rsid w:val="7A2B2B3C"/>
    <w:rsid w:val="7A505DAD"/>
    <w:rsid w:val="7A6A78DB"/>
    <w:rsid w:val="7A8D62FA"/>
    <w:rsid w:val="7AFF62DC"/>
    <w:rsid w:val="7B396B7D"/>
    <w:rsid w:val="7C3409E5"/>
    <w:rsid w:val="7C65138E"/>
    <w:rsid w:val="7CB34B68"/>
    <w:rsid w:val="7CDE592D"/>
    <w:rsid w:val="7DA509D5"/>
    <w:rsid w:val="7DE33C3D"/>
    <w:rsid w:val="7E244BDB"/>
    <w:rsid w:val="7E682778"/>
    <w:rsid w:val="7E773953"/>
    <w:rsid w:val="7ECD225B"/>
    <w:rsid w:val="7F0865FE"/>
    <w:rsid w:val="7F272E03"/>
    <w:rsid w:val="7F3207CA"/>
    <w:rsid w:val="7FAD6F33"/>
    <w:rsid w:val="7FE01B3B"/>
    <w:rsid w:val="7FF96D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nhideWhenUsed="0" w:uiPriority="1" w:semiHidden="0" w:name="heading 8" w:locked="1"/>
    <w:lsdException w:qFormat="1" w:unhideWhenUsed="0" w:uiPriority="1"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ocked="1"/>
    <w:lsdException w:uiPriority="99" w:name="List Bullet" w:locked="1"/>
    <w:lsdException w:qFormat="1" w:unhideWhenUsed="0" w:uiPriority="99" w:semiHidden="0" w:name="List Number"/>
    <w:lsdException w:qFormat="1" w:unhideWhenUsed="0" w:uiPriority="0"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name="Body Text Indent 2" w:locked="1"/>
    <w:lsdException w:uiPriority="99" w:name="Body Text Indent 3" w:locked="1"/>
    <w:lsdException w:qFormat="1" w:unhideWhenUsed="0" w:uiPriority="99" w:semiHidden="0" w:name="Block Text" w:locked="1"/>
    <w:lsdException w:qFormat="1" w:unhideWhenUsed="0" w:uiPriority="99" w:semiHidden="0" w:name="Hyperlink"/>
    <w:lsdException w:uiPriority="99" w:semiHidden="0"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semiHidden="0" w:name="HTML Sample" w:locked="1"/>
    <w:lsdException w:uiPriority="99" w:name="HTML Typewriter" w:locked="1"/>
    <w:lsdException w:uiPriority="99" w:name="HTML Variable" w:locked="1"/>
    <w:lsdException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200" w:firstLineChars="200"/>
      <w:jc w:val="both"/>
    </w:pPr>
    <w:rPr>
      <w:kern w:val="2"/>
      <w:sz w:val="24"/>
      <w:szCs w:val="24"/>
      <w:lang w:val="en-US" w:eastAsia="zh-CN" w:bidi="ar-SA"/>
    </w:rPr>
  </w:style>
  <w:style w:type="paragraph" w:styleId="2">
    <w:name w:val="heading 1"/>
    <w:basedOn w:val="1"/>
    <w:next w:val="1"/>
    <w:link w:val="45"/>
    <w:qFormat/>
    <w:uiPriority w:val="99"/>
    <w:pPr>
      <w:keepNext/>
      <w:tabs>
        <w:tab w:val="left" w:pos="480"/>
      </w:tabs>
      <w:spacing w:beforeLines="100" w:afterLines="100" w:line="240" w:lineRule="auto"/>
      <w:ind w:firstLine="0" w:firstLineChars="0"/>
      <w:jc w:val="center"/>
      <w:outlineLvl w:val="0"/>
    </w:pPr>
    <w:rPr>
      <w:b/>
      <w:sz w:val="36"/>
      <w:szCs w:val="20"/>
    </w:rPr>
  </w:style>
  <w:style w:type="paragraph" w:styleId="3">
    <w:name w:val="heading 2"/>
    <w:basedOn w:val="1"/>
    <w:next w:val="1"/>
    <w:link w:val="46"/>
    <w:qFormat/>
    <w:uiPriority w:val="99"/>
    <w:pPr>
      <w:keepNext/>
      <w:keepLines/>
      <w:spacing w:beforeLines="50" w:afterLines="50" w:line="240" w:lineRule="auto"/>
      <w:ind w:firstLine="0" w:firstLineChars="0"/>
      <w:outlineLvl w:val="1"/>
    </w:pPr>
    <w:rPr>
      <w:rFonts w:ascii="Arial" w:hAnsi="Arial"/>
      <w:b/>
      <w:bCs/>
      <w:szCs w:val="32"/>
    </w:rPr>
  </w:style>
  <w:style w:type="paragraph" w:styleId="4">
    <w:name w:val="heading 3"/>
    <w:basedOn w:val="1"/>
    <w:next w:val="1"/>
    <w:link w:val="47"/>
    <w:qFormat/>
    <w:uiPriority w:val="99"/>
    <w:pPr>
      <w:keepNext/>
      <w:keepLines/>
      <w:tabs>
        <w:tab w:val="left" w:pos="2651"/>
      </w:tabs>
      <w:ind w:firstLine="0" w:firstLineChars="0"/>
      <w:jc w:val="left"/>
      <w:outlineLvl w:val="2"/>
    </w:pPr>
    <w:rPr>
      <w:rFonts w:ascii="仿宋_GB2312" w:hAnsi="仿宋_GB2312"/>
      <w:b/>
      <w:bCs/>
      <w:kern w:val="0"/>
      <w:szCs w:val="20"/>
    </w:rPr>
  </w:style>
  <w:style w:type="paragraph" w:styleId="5">
    <w:name w:val="heading 4"/>
    <w:basedOn w:val="1"/>
    <w:next w:val="1"/>
    <w:link w:val="60"/>
    <w:qFormat/>
    <w:uiPriority w:val="99"/>
    <w:pPr>
      <w:tabs>
        <w:tab w:val="left" w:pos="2651"/>
      </w:tabs>
      <w:outlineLvl w:val="3"/>
    </w:pPr>
  </w:style>
  <w:style w:type="paragraph" w:styleId="6">
    <w:name w:val="heading 5"/>
    <w:basedOn w:val="1"/>
    <w:next w:val="1"/>
    <w:link w:val="49"/>
    <w:qFormat/>
    <w:uiPriority w:val="99"/>
    <w:pPr>
      <w:keepNext/>
      <w:keepLines/>
      <w:numPr>
        <w:ilvl w:val="4"/>
        <w:numId w:val="1"/>
      </w:numPr>
      <w:spacing w:line="372" w:lineRule="auto"/>
      <w:ind w:firstLine="0" w:firstLineChars="0"/>
      <w:outlineLvl w:val="4"/>
    </w:pPr>
    <w:rPr>
      <w:b/>
      <w:sz w:val="28"/>
    </w:rPr>
  </w:style>
  <w:style w:type="paragraph" w:styleId="7">
    <w:name w:val="heading 8"/>
    <w:basedOn w:val="1"/>
    <w:next w:val="1"/>
    <w:qFormat/>
    <w:locked/>
    <w:uiPriority w:val="1"/>
    <w:pPr>
      <w:ind w:left="112"/>
      <w:outlineLvl w:val="7"/>
    </w:pPr>
    <w:rPr>
      <w:rFonts w:ascii="微软雅黑" w:hAnsi="微软雅黑" w:eastAsia="微软雅黑"/>
      <w:sz w:val="28"/>
      <w:szCs w:val="28"/>
    </w:rPr>
  </w:style>
  <w:style w:type="paragraph" w:styleId="8">
    <w:name w:val="heading 9"/>
    <w:basedOn w:val="1"/>
    <w:next w:val="1"/>
    <w:qFormat/>
    <w:locked/>
    <w:uiPriority w:val="1"/>
    <w:pPr>
      <w:ind w:left="592"/>
      <w:outlineLvl w:val="8"/>
    </w:pPr>
    <w:rPr>
      <w:rFonts w:ascii="微软雅黑" w:hAnsi="微软雅黑" w:eastAsia="微软雅黑"/>
      <w:b/>
      <w:bCs/>
      <w:sz w:val="24"/>
      <w:szCs w:val="24"/>
    </w:rPr>
  </w:style>
  <w:style w:type="character" w:default="1" w:styleId="39">
    <w:name w:val="Default Paragraph Font"/>
    <w:unhideWhenUsed/>
    <w:uiPriority w:val="1"/>
  </w:style>
  <w:style w:type="table" w:default="1" w:styleId="37">
    <w:name w:val="Normal Table"/>
    <w:unhideWhenUsed/>
    <w:uiPriority w:val="99"/>
    <w:tblPr>
      <w:tblStyle w:val="37"/>
      <w:tblCellMar>
        <w:top w:w="0" w:type="dxa"/>
        <w:left w:w="108" w:type="dxa"/>
        <w:bottom w:w="0" w:type="dxa"/>
        <w:right w:w="108" w:type="dxa"/>
      </w:tblCellMar>
    </w:tblPr>
  </w:style>
  <w:style w:type="paragraph" w:styleId="9">
    <w:name w:val="toc 7"/>
    <w:basedOn w:val="1"/>
    <w:next w:val="1"/>
    <w:unhideWhenUsed/>
    <w:qFormat/>
    <w:locked/>
    <w:uiPriority w:val="39"/>
    <w:pPr>
      <w:spacing w:line="240" w:lineRule="auto"/>
      <w:ind w:left="2520" w:leftChars="1200" w:firstLine="0" w:firstLineChars="0"/>
    </w:pPr>
    <w:rPr>
      <w:rFonts w:ascii="等线" w:hAnsi="等线" w:eastAsia="等线"/>
      <w:sz w:val="21"/>
      <w:szCs w:val="22"/>
    </w:rPr>
  </w:style>
  <w:style w:type="paragraph" w:styleId="10">
    <w:name w:val="List Number"/>
    <w:basedOn w:val="1"/>
    <w:qFormat/>
    <w:uiPriority w:val="99"/>
    <w:pPr>
      <w:numPr>
        <w:ilvl w:val="0"/>
        <w:numId w:val="2"/>
      </w:numPr>
    </w:pPr>
  </w:style>
  <w:style w:type="paragraph" w:styleId="11">
    <w:name w:val="Normal Indent"/>
    <w:basedOn w:val="1"/>
    <w:qFormat/>
    <w:uiPriority w:val="99"/>
    <w:pPr>
      <w:ind w:firstLine="420"/>
    </w:pPr>
  </w:style>
  <w:style w:type="paragraph" w:styleId="12">
    <w:name w:val="caption"/>
    <w:basedOn w:val="1"/>
    <w:next w:val="1"/>
    <w:qFormat/>
    <w:locked/>
    <w:uiPriority w:val="99"/>
    <w:rPr>
      <w:rFonts w:ascii="Arial" w:hAnsi="Arial" w:eastAsia="黑体"/>
      <w:sz w:val="20"/>
    </w:rPr>
  </w:style>
  <w:style w:type="paragraph" w:styleId="13">
    <w:name w:val="annotation text"/>
    <w:basedOn w:val="1"/>
    <w:qFormat/>
    <w:locked/>
    <w:uiPriority w:val="99"/>
    <w:pPr>
      <w:jc w:val="left"/>
    </w:pPr>
    <w:rPr>
      <w:szCs w:val="20"/>
    </w:rPr>
  </w:style>
  <w:style w:type="paragraph" w:styleId="14">
    <w:name w:val="Body Text"/>
    <w:basedOn w:val="1"/>
    <w:next w:val="15"/>
    <w:link w:val="50"/>
    <w:qFormat/>
    <w:uiPriority w:val="99"/>
    <w:pPr>
      <w:jc w:val="left"/>
    </w:pPr>
    <w:rPr>
      <w:bCs/>
    </w:rPr>
  </w:style>
  <w:style w:type="paragraph" w:styleId="15">
    <w:name w:val="Body Text First Indent"/>
    <w:basedOn w:val="14"/>
    <w:next w:val="1"/>
    <w:link w:val="51"/>
    <w:qFormat/>
    <w:uiPriority w:val="99"/>
    <w:pPr>
      <w:ind w:firstLine="420" w:firstLineChars="100"/>
    </w:pPr>
  </w:style>
  <w:style w:type="paragraph" w:styleId="16">
    <w:name w:val="Body Text Indent"/>
    <w:basedOn w:val="1"/>
    <w:next w:val="1"/>
    <w:link w:val="52"/>
    <w:qFormat/>
    <w:uiPriority w:val="99"/>
    <w:pPr>
      <w:ind w:left="420" w:leftChars="200"/>
    </w:pPr>
  </w:style>
  <w:style w:type="paragraph" w:styleId="17">
    <w:name w:val="List 2"/>
    <w:basedOn w:val="1"/>
    <w:qFormat/>
    <w:locked/>
    <w:uiPriority w:val="0"/>
    <w:pPr>
      <w:ind w:left="100" w:leftChars="200" w:hanging="200" w:hangingChars="200"/>
    </w:pPr>
    <w:rPr>
      <w:sz w:val="28"/>
    </w:rPr>
  </w:style>
  <w:style w:type="paragraph" w:styleId="18">
    <w:name w:val="Block Text"/>
    <w:basedOn w:val="1"/>
    <w:qFormat/>
    <w:locked/>
    <w:uiPriority w:val="99"/>
    <w:pPr>
      <w:spacing w:beforeLines="50" w:afterLines="50"/>
      <w:ind w:left="426" w:right="-11" w:hanging="426" w:hangingChars="203"/>
    </w:pPr>
    <w:rPr>
      <w:rFonts w:eastAsia="楷体_GB2312"/>
    </w:rPr>
  </w:style>
  <w:style w:type="paragraph" w:styleId="19">
    <w:name w:val="toc 5"/>
    <w:basedOn w:val="1"/>
    <w:next w:val="1"/>
    <w:unhideWhenUsed/>
    <w:qFormat/>
    <w:locked/>
    <w:uiPriority w:val="39"/>
    <w:pPr>
      <w:spacing w:line="240" w:lineRule="auto"/>
      <w:ind w:left="1680" w:leftChars="800" w:firstLine="0" w:firstLineChars="0"/>
    </w:pPr>
    <w:rPr>
      <w:rFonts w:ascii="等线" w:hAnsi="等线" w:eastAsia="等线"/>
      <w:sz w:val="21"/>
      <w:szCs w:val="22"/>
    </w:rPr>
  </w:style>
  <w:style w:type="paragraph" w:styleId="20">
    <w:name w:val="toc 3"/>
    <w:basedOn w:val="1"/>
    <w:next w:val="1"/>
    <w:unhideWhenUsed/>
    <w:qFormat/>
    <w:locked/>
    <w:uiPriority w:val="39"/>
    <w:pPr>
      <w:spacing w:line="240" w:lineRule="auto"/>
      <w:ind w:left="840" w:leftChars="400" w:firstLine="0" w:firstLineChars="0"/>
    </w:pPr>
    <w:rPr>
      <w:rFonts w:ascii="等线" w:hAnsi="等线" w:eastAsia="等线"/>
      <w:sz w:val="21"/>
      <w:szCs w:val="22"/>
    </w:rPr>
  </w:style>
  <w:style w:type="paragraph" w:styleId="21">
    <w:name w:val="Plain Text"/>
    <w:basedOn w:val="1"/>
    <w:next w:val="1"/>
    <w:link w:val="53"/>
    <w:qFormat/>
    <w:uiPriority w:val="99"/>
    <w:rPr>
      <w:rFonts w:ascii="宋体" w:hAnsi="宋体"/>
      <w:szCs w:val="20"/>
    </w:rPr>
  </w:style>
  <w:style w:type="paragraph" w:styleId="22">
    <w:name w:val="toc 8"/>
    <w:basedOn w:val="1"/>
    <w:next w:val="1"/>
    <w:unhideWhenUsed/>
    <w:qFormat/>
    <w:locked/>
    <w:uiPriority w:val="39"/>
    <w:pPr>
      <w:spacing w:line="240" w:lineRule="auto"/>
      <w:ind w:left="2940" w:leftChars="1400" w:firstLine="0" w:firstLineChars="0"/>
    </w:pPr>
    <w:rPr>
      <w:rFonts w:ascii="等线" w:hAnsi="等线" w:eastAsia="等线"/>
      <w:sz w:val="21"/>
      <w:szCs w:val="22"/>
    </w:rPr>
  </w:style>
  <w:style w:type="paragraph" w:styleId="23">
    <w:name w:val="Date"/>
    <w:basedOn w:val="1"/>
    <w:next w:val="1"/>
    <w:link w:val="54"/>
    <w:qFormat/>
    <w:uiPriority w:val="99"/>
    <w:rPr>
      <w:rFonts w:ascii="楷体_GB2312" w:eastAsia="楷体_GB2312"/>
      <w:b/>
      <w:sz w:val="28"/>
      <w:szCs w:val="20"/>
    </w:rPr>
  </w:style>
  <w:style w:type="paragraph" w:styleId="24">
    <w:name w:val="Body Text Indent 2"/>
    <w:basedOn w:val="1"/>
    <w:link w:val="55"/>
    <w:semiHidden/>
    <w:qFormat/>
    <w:locked/>
    <w:uiPriority w:val="99"/>
    <w:pPr>
      <w:spacing w:after="120" w:line="480" w:lineRule="auto"/>
      <w:ind w:left="420" w:leftChars="200"/>
    </w:pPr>
  </w:style>
  <w:style w:type="paragraph" w:styleId="25">
    <w:name w:val="footer"/>
    <w:basedOn w:val="1"/>
    <w:link w:val="56"/>
    <w:qFormat/>
    <w:uiPriority w:val="99"/>
    <w:pPr>
      <w:tabs>
        <w:tab w:val="center" w:pos="4153"/>
        <w:tab w:val="right" w:pos="8306"/>
      </w:tabs>
    </w:pPr>
  </w:style>
  <w:style w:type="paragraph" w:styleId="26">
    <w:name w:val="header"/>
    <w:basedOn w:val="1"/>
    <w:link w:val="57"/>
    <w:qFormat/>
    <w:uiPriority w:val="99"/>
    <w:pPr>
      <w:pBdr>
        <w:bottom w:val="single" w:color="auto" w:sz="6" w:space="1"/>
      </w:pBdr>
      <w:tabs>
        <w:tab w:val="center" w:pos="4153"/>
        <w:tab w:val="right" w:pos="8306"/>
      </w:tabs>
      <w:snapToGrid w:val="0"/>
      <w:jc w:val="center"/>
    </w:pPr>
    <w:rPr>
      <w:b/>
      <w:sz w:val="18"/>
      <w:szCs w:val="18"/>
    </w:rPr>
  </w:style>
  <w:style w:type="paragraph" w:styleId="27">
    <w:name w:val="toc 1"/>
    <w:basedOn w:val="1"/>
    <w:next w:val="1"/>
    <w:qFormat/>
    <w:uiPriority w:val="39"/>
    <w:pPr>
      <w:tabs>
        <w:tab w:val="right" w:leader="dot" w:pos="9401"/>
      </w:tabs>
      <w:spacing w:line="240" w:lineRule="auto"/>
      <w:ind w:left="197" w:leftChars="86" w:right="100" w:rightChars="100" w:hanging="111" w:hangingChars="111"/>
      <w:jc w:val="left"/>
    </w:pPr>
    <w:rPr>
      <w:rFonts w:eastAsia="仿宋_GB2312"/>
      <w:b/>
      <w:bCs/>
      <w:caps/>
      <w:sz w:val="32"/>
      <w:szCs w:val="20"/>
    </w:rPr>
  </w:style>
  <w:style w:type="paragraph" w:styleId="28">
    <w:name w:val="toc 4"/>
    <w:basedOn w:val="1"/>
    <w:next w:val="1"/>
    <w:unhideWhenUsed/>
    <w:qFormat/>
    <w:locked/>
    <w:uiPriority w:val="39"/>
    <w:pPr>
      <w:spacing w:line="240" w:lineRule="auto"/>
      <w:ind w:left="1260" w:leftChars="600" w:firstLine="0" w:firstLineChars="0"/>
    </w:pPr>
    <w:rPr>
      <w:rFonts w:ascii="等线" w:hAnsi="等线" w:eastAsia="等线"/>
      <w:sz w:val="21"/>
      <w:szCs w:val="22"/>
    </w:rPr>
  </w:style>
  <w:style w:type="paragraph" w:styleId="29">
    <w:name w:val="List"/>
    <w:basedOn w:val="1"/>
    <w:semiHidden/>
    <w:qFormat/>
    <w:locked/>
    <w:uiPriority w:val="99"/>
    <w:pPr>
      <w:ind w:left="200" w:hanging="200" w:hangingChars="200"/>
      <w:contextualSpacing/>
    </w:pPr>
  </w:style>
  <w:style w:type="paragraph" w:styleId="30">
    <w:name w:val="toc 6"/>
    <w:basedOn w:val="1"/>
    <w:next w:val="1"/>
    <w:unhideWhenUsed/>
    <w:qFormat/>
    <w:locked/>
    <w:uiPriority w:val="39"/>
    <w:pPr>
      <w:spacing w:line="240" w:lineRule="auto"/>
      <w:ind w:left="2100" w:leftChars="1000" w:firstLine="0" w:firstLineChars="0"/>
    </w:pPr>
    <w:rPr>
      <w:rFonts w:ascii="等线" w:hAnsi="等线" w:eastAsia="等线"/>
      <w:sz w:val="21"/>
      <w:szCs w:val="22"/>
    </w:rPr>
  </w:style>
  <w:style w:type="paragraph" w:styleId="31">
    <w:name w:val="toc 2"/>
    <w:basedOn w:val="1"/>
    <w:next w:val="1"/>
    <w:qFormat/>
    <w:uiPriority w:val="39"/>
    <w:pPr>
      <w:ind w:left="210"/>
      <w:jc w:val="left"/>
    </w:pPr>
    <w:rPr>
      <w:smallCaps/>
      <w:sz w:val="20"/>
      <w:szCs w:val="20"/>
    </w:rPr>
  </w:style>
  <w:style w:type="paragraph" w:styleId="32">
    <w:name w:val="toc 9"/>
    <w:basedOn w:val="1"/>
    <w:next w:val="1"/>
    <w:unhideWhenUsed/>
    <w:qFormat/>
    <w:locked/>
    <w:uiPriority w:val="39"/>
    <w:pPr>
      <w:spacing w:line="240" w:lineRule="auto"/>
      <w:ind w:left="3360" w:leftChars="1600" w:firstLine="0" w:firstLineChars="0"/>
    </w:pPr>
    <w:rPr>
      <w:rFonts w:ascii="等线" w:hAnsi="等线" w:eastAsia="等线"/>
      <w:sz w:val="21"/>
      <w:szCs w:val="22"/>
    </w:rPr>
  </w:style>
  <w:style w:type="paragraph" w:styleId="33">
    <w:name w:val="HTML Preformatted"/>
    <w:basedOn w:val="1"/>
    <w:link w:val="5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34">
    <w:name w:val="Normal (Web)"/>
    <w:basedOn w:val="1"/>
    <w:qFormat/>
    <w:uiPriority w:val="99"/>
    <w:pPr>
      <w:widowControl/>
      <w:spacing w:before="100" w:beforeAutospacing="1" w:after="100" w:afterAutospacing="1"/>
      <w:jc w:val="left"/>
    </w:pPr>
    <w:rPr>
      <w:rFonts w:ascii="宋体" w:hAnsi="宋体"/>
      <w:kern w:val="0"/>
    </w:rPr>
  </w:style>
  <w:style w:type="paragraph" w:styleId="35">
    <w:name w:val="Title"/>
    <w:basedOn w:val="1"/>
    <w:next w:val="1"/>
    <w:qFormat/>
    <w:locked/>
    <w:uiPriority w:val="0"/>
    <w:pPr>
      <w:widowControl/>
      <w:overflowPunct w:val="0"/>
      <w:autoSpaceDE w:val="0"/>
      <w:autoSpaceDN w:val="0"/>
      <w:adjustRightInd w:val="0"/>
      <w:jc w:val="center"/>
      <w:textAlignment w:val="baseline"/>
    </w:pPr>
    <w:rPr>
      <w:b/>
      <w:kern w:val="0"/>
      <w:szCs w:val="20"/>
      <w:lang w:val="en-GB"/>
    </w:rPr>
  </w:style>
  <w:style w:type="paragraph" w:styleId="36">
    <w:name w:val="Body Text First Indent 2"/>
    <w:basedOn w:val="16"/>
    <w:link w:val="59"/>
    <w:qFormat/>
    <w:uiPriority w:val="99"/>
    <w:pPr>
      <w:ind w:firstLine="420"/>
    </w:pPr>
  </w:style>
  <w:style w:type="table" w:styleId="38">
    <w:name w:val="Table Grid"/>
    <w:basedOn w:val="37"/>
    <w:qFormat/>
    <w:locked/>
    <w:uiPriority w:val="99"/>
    <w:tblPr>
      <w:tblStyle w:val="3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locked/>
    <w:uiPriority w:val="0"/>
    <w:rPr>
      <w:b/>
      <w:bCs/>
    </w:rPr>
  </w:style>
  <w:style w:type="character" w:styleId="41">
    <w:name w:val="page number"/>
    <w:qFormat/>
    <w:uiPriority w:val="99"/>
    <w:rPr>
      <w:rFonts w:cs="Times New Roman"/>
    </w:rPr>
  </w:style>
  <w:style w:type="character" w:styleId="42">
    <w:name w:val="FollowedHyperlink"/>
    <w:basedOn w:val="39"/>
    <w:unhideWhenUsed/>
    <w:locked/>
    <w:uiPriority w:val="99"/>
    <w:rPr>
      <w:color w:val="800080"/>
      <w:u w:val="none"/>
    </w:rPr>
  </w:style>
  <w:style w:type="character" w:styleId="43">
    <w:name w:val="Hyperlink"/>
    <w:qFormat/>
    <w:uiPriority w:val="99"/>
    <w:rPr>
      <w:rFonts w:cs="Times New Roman"/>
      <w:color w:val="0000FF"/>
      <w:u w:val="single"/>
    </w:rPr>
  </w:style>
  <w:style w:type="character" w:styleId="44">
    <w:name w:val="HTML Sample"/>
    <w:basedOn w:val="39"/>
    <w:unhideWhenUsed/>
    <w:locked/>
    <w:uiPriority w:val="99"/>
    <w:rPr>
      <w:rFonts w:ascii="Courier New" w:hAnsi="Courier New"/>
    </w:rPr>
  </w:style>
  <w:style w:type="character" w:customStyle="1" w:styleId="45">
    <w:name w:val="标题 1 Char"/>
    <w:link w:val="2"/>
    <w:qFormat/>
    <w:locked/>
    <w:uiPriority w:val="99"/>
    <w:rPr>
      <w:rFonts w:ascii="Times New Roman" w:hAnsi="Times New Roman" w:eastAsia="宋体" w:cs="Times New Roman"/>
      <w:b/>
      <w:sz w:val="20"/>
      <w:szCs w:val="20"/>
    </w:rPr>
  </w:style>
  <w:style w:type="character" w:customStyle="1" w:styleId="46">
    <w:name w:val="标题 2 Char"/>
    <w:link w:val="3"/>
    <w:qFormat/>
    <w:locked/>
    <w:uiPriority w:val="99"/>
    <w:rPr>
      <w:rFonts w:ascii="Arial" w:hAnsi="Arial"/>
      <w:b/>
      <w:bCs/>
      <w:kern w:val="2"/>
      <w:sz w:val="24"/>
      <w:szCs w:val="32"/>
    </w:rPr>
  </w:style>
  <w:style w:type="character" w:customStyle="1" w:styleId="47">
    <w:name w:val="标题 3 Char"/>
    <w:link w:val="4"/>
    <w:qFormat/>
    <w:locked/>
    <w:uiPriority w:val="99"/>
    <w:rPr>
      <w:rFonts w:ascii="仿宋_GB2312" w:hAnsi="仿宋_GB2312"/>
      <w:b/>
      <w:bCs/>
      <w:sz w:val="24"/>
    </w:rPr>
  </w:style>
  <w:style w:type="character" w:customStyle="1" w:styleId="48">
    <w:name w:val="标题 4 字符"/>
    <w:link w:val="5"/>
    <w:qFormat/>
    <w:locked/>
    <w:uiPriority w:val="99"/>
    <w:rPr>
      <w:rFonts w:ascii="仿宋_GB2312" w:hAnsi="仿宋_GB2312"/>
      <w:b/>
      <w:bCs/>
      <w:sz w:val="24"/>
    </w:rPr>
  </w:style>
  <w:style w:type="character" w:customStyle="1" w:styleId="49">
    <w:name w:val="标题 5 Char"/>
    <w:link w:val="6"/>
    <w:qFormat/>
    <w:locked/>
    <w:uiPriority w:val="99"/>
    <w:rPr>
      <w:rFonts w:ascii="Times New Roman" w:hAnsi="Times New Roman"/>
      <w:b/>
      <w:sz w:val="28"/>
      <w:szCs w:val="24"/>
    </w:rPr>
  </w:style>
  <w:style w:type="character" w:customStyle="1" w:styleId="50">
    <w:name w:val="正文文本 Char"/>
    <w:link w:val="14"/>
    <w:qFormat/>
    <w:locked/>
    <w:uiPriority w:val="99"/>
    <w:rPr>
      <w:rFonts w:ascii="Calibri" w:hAnsi="Calibri" w:eastAsia="仿宋" w:cs="Times New Roman"/>
      <w:sz w:val="24"/>
    </w:rPr>
  </w:style>
  <w:style w:type="character" w:customStyle="1" w:styleId="51">
    <w:name w:val="正文首行缩进 Char"/>
    <w:link w:val="15"/>
    <w:semiHidden/>
    <w:qFormat/>
    <w:locked/>
    <w:uiPriority w:val="99"/>
    <w:rPr>
      <w:rFonts w:ascii="Calibri" w:hAnsi="Calibri" w:eastAsia="仿宋" w:cs="Times New Roman"/>
      <w:sz w:val="24"/>
      <w:szCs w:val="24"/>
    </w:rPr>
  </w:style>
  <w:style w:type="character" w:customStyle="1" w:styleId="52">
    <w:name w:val="正文文本缩进 Char"/>
    <w:link w:val="16"/>
    <w:semiHidden/>
    <w:qFormat/>
    <w:locked/>
    <w:uiPriority w:val="99"/>
    <w:rPr>
      <w:rFonts w:cs="Times New Roman"/>
      <w:sz w:val="24"/>
      <w:szCs w:val="24"/>
    </w:rPr>
  </w:style>
  <w:style w:type="character" w:customStyle="1" w:styleId="53">
    <w:name w:val="纯文本 Char"/>
    <w:link w:val="21"/>
    <w:qFormat/>
    <w:locked/>
    <w:uiPriority w:val="99"/>
    <w:rPr>
      <w:rFonts w:ascii="宋体" w:hAnsi="Courier New" w:cs="Courier New"/>
      <w:sz w:val="21"/>
      <w:szCs w:val="21"/>
    </w:rPr>
  </w:style>
  <w:style w:type="character" w:customStyle="1" w:styleId="54">
    <w:name w:val="日期 Char"/>
    <w:link w:val="23"/>
    <w:semiHidden/>
    <w:qFormat/>
    <w:locked/>
    <w:uiPriority w:val="99"/>
    <w:rPr>
      <w:rFonts w:cs="Times New Roman"/>
      <w:sz w:val="24"/>
      <w:szCs w:val="24"/>
    </w:rPr>
  </w:style>
  <w:style w:type="character" w:customStyle="1" w:styleId="55">
    <w:name w:val="正文文本缩进 2 Char"/>
    <w:link w:val="24"/>
    <w:semiHidden/>
    <w:qFormat/>
    <w:locked/>
    <w:uiPriority w:val="99"/>
    <w:rPr>
      <w:rFonts w:cs="Times New Roman"/>
      <w:kern w:val="2"/>
      <w:sz w:val="24"/>
      <w:szCs w:val="24"/>
    </w:rPr>
  </w:style>
  <w:style w:type="character" w:customStyle="1" w:styleId="56">
    <w:name w:val="页脚 Char"/>
    <w:link w:val="25"/>
    <w:qFormat/>
    <w:locked/>
    <w:uiPriority w:val="99"/>
    <w:rPr>
      <w:rFonts w:cs="Times New Roman"/>
      <w:sz w:val="18"/>
      <w:szCs w:val="18"/>
    </w:rPr>
  </w:style>
  <w:style w:type="character" w:customStyle="1" w:styleId="57">
    <w:name w:val="页眉 Char"/>
    <w:link w:val="26"/>
    <w:semiHidden/>
    <w:qFormat/>
    <w:locked/>
    <w:uiPriority w:val="99"/>
    <w:rPr>
      <w:rFonts w:cs="Times New Roman"/>
      <w:sz w:val="18"/>
      <w:szCs w:val="18"/>
    </w:rPr>
  </w:style>
  <w:style w:type="character" w:customStyle="1" w:styleId="58">
    <w:name w:val="HTML 预设格式 Char"/>
    <w:link w:val="33"/>
    <w:semiHidden/>
    <w:qFormat/>
    <w:locked/>
    <w:uiPriority w:val="99"/>
    <w:rPr>
      <w:rFonts w:ascii="Courier New" w:hAnsi="Courier New" w:cs="Courier New"/>
      <w:sz w:val="20"/>
      <w:szCs w:val="20"/>
    </w:rPr>
  </w:style>
  <w:style w:type="character" w:customStyle="1" w:styleId="59">
    <w:name w:val="正文首行缩进 2 Char"/>
    <w:link w:val="36"/>
    <w:semiHidden/>
    <w:qFormat/>
    <w:locked/>
    <w:uiPriority w:val="99"/>
    <w:rPr>
      <w:rFonts w:cs="Times New Roman"/>
      <w:sz w:val="24"/>
      <w:szCs w:val="24"/>
    </w:rPr>
  </w:style>
  <w:style w:type="character" w:customStyle="1" w:styleId="60">
    <w:name w:val="标题 4 Char"/>
    <w:link w:val="5"/>
    <w:qFormat/>
    <w:locked/>
    <w:uiPriority w:val="99"/>
    <w:rPr>
      <w:rFonts w:ascii="仿宋_GB2312" w:hAnsi="仿宋_GB2312"/>
      <w:b/>
      <w:bCs/>
      <w:sz w:val="24"/>
    </w:rPr>
  </w:style>
  <w:style w:type="character" w:customStyle="1" w:styleId="61">
    <w:name w:val="10"/>
    <w:qFormat/>
    <w:uiPriority w:val="0"/>
    <w:rPr>
      <w:rFonts w:hint="default" w:ascii="Times New Roman" w:hAnsi="Times New Roman" w:cs="Times New Roman"/>
    </w:rPr>
  </w:style>
  <w:style w:type="character" w:customStyle="1" w:styleId="62">
    <w:name w:val="15"/>
    <w:uiPriority w:val="0"/>
    <w:rPr>
      <w:rFonts w:hint="default" w:ascii="Times New Roman" w:hAnsi="Times New Roman" w:cs="Times New Roman"/>
    </w:rPr>
  </w:style>
  <w:style w:type="character" w:customStyle="1" w:styleId="63">
    <w:name w:val="样式 宋体 小四"/>
    <w:qFormat/>
    <w:uiPriority w:val="99"/>
    <w:rPr>
      <w:kern w:val="0"/>
      <w:sz w:val="21"/>
    </w:rPr>
  </w:style>
  <w:style w:type="character" w:customStyle="1" w:styleId="64">
    <w:name w:val="large1"/>
    <w:qFormat/>
    <w:uiPriority w:val="99"/>
    <w:rPr>
      <w:rFonts w:ascii="宋体" w:eastAsia="宋体"/>
      <w:sz w:val="21"/>
    </w:rPr>
  </w:style>
  <w:style w:type="character" w:customStyle="1" w:styleId="65">
    <w:name w:val="Unresolved Mention"/>
    <w:unhideWhenUsed/>
    <w:qFormat/>
    <w:uiPriority w:val="99"/>
    <w:rPr>
      <w:color w:val="605E5C"/>
      <w:shd w:val="clear" w:color="auto" w:fill="E1DFDD"/>
    </w:rPr>
  </w:style>
  <w:style w:type="paragraph" w:customStyle="1" w:styleId="66">
    <w:name w:val="样式 列表编号 + 段后: 0.5 行"/>
    <w:basedOn w:val="10"/>
    <w:qFormat/>
    <w:uiPriority w:val="99"/>
    <w:pPr>
      <w:tabs>
        <w:tab w:val="left" w:pos="720"/>
        <w:tab w:val="left" w:pos="900"/>
      </w:tabs>
      <w:ind w:left="720"/>
    </w:pPr>
  </w:style>
  <w:style w:type="paragraph" w:customStyle="1" w:styleId="67">
    <w:name w:val="首行缩进"/>
    <w:basedOn w:val="1"/>
    <w:qFormat/>
    <w:uiPriority w:val="0"/>
    <w:pPr>
      <w:spacing w:line="360" w:lineRule="auto"/>
      <w:ind w:firstLine="480" w:firstLineChars="200"/>
    </w:pPr>
    <w:rPr>
      <w:sz w:val="24"/>
      <w:szCs w:val="22"/>
      <w:lang w:val="zh-CN"/>
    </w:rPr>
  </w:style>
  <w:style w:type="paragraph" w:customStyle="1" w:styleId="68">
    <w:name w:val="段"/>
    <w:qFormat/>
    <w:uiPriority w:val="0"/>
    <w:pPr>
      <w:autoSpaceDE w:val="0"/>
      <w:autoSpaceDN w:val="0"/>
      <w:ind w:firstLine="200"/>
      <w:jc w:val="both"/>
    </w:pPr>
    <w:rPr>
      <w:rFonts w:ascii="宋体"/>
      <w:sz w:val="21"/>
      <w:lang w:val="en-US" w:eastAsia="zh-CN" w:bidi="ar-SA"/>
    </w:rPr>
  </w:style>
  <w:style w:type="paragraph" w:customStyle="1" w:styleId="69">
    <w:name w:val="Table Paragraph"/>
    <w:basedOn w:val="1"/>
    <w:unhideWhenUsed/>
    <w:qFormat/>
    <w:uiPriority w:val="1"/>
    <w:rPr>
      <w:rFonts w:hint="eastAsia"/>
      <w:sz w:val="22"/>
    </w:rPr>
  </w:style>
  <w:style w:type="paragraph" w:customStyle="1" w:styleId="70">
    <w:name w:val="正文段"/>
    <w:qFormat/>
    <w:uiPriority w:val="99"/>
    <w:pPr>
      <w:snapToGrid w:val="0"/>
      <w:spacing w:afterLines="50" w:line="500" w:lineRule="exact"/>
      <w:ind w:firstLine="200" w:firstLineChars="200"/>
      <w:jc w:val="both"/>
    </w:pPr>
    <w:rPr>
      <w:sz w:val="24"/>
      <w:lang w:val="en-US" w:eastAsia="zh-CN" w:bidi="ar-SA"/>
    </w:rPr>
  </w:style>
  <w:style w:type="paragraph" w:customStyle="1" w:styleId="71">
    <w:name w:val="无间隔2"/>
    <w:qFormat/>
    <w:uiPriority w:val="99"/>
    <w:pPr>
      <w:widowControl w:val="0"/>
      <w:jc w:val="both"/>
    </w:pPr>
    <w:rPr>
      <w:rFonts w:ascii="Calibri" w:hAnsi="Calibri" w:cs="Calibri"/>
      <w:kern w:val="2"/>
      <w:sz w:val="21"/>
      <w:szCs w:val="22"/>
      <w:lang w:val="en-US" w:eastAsia="zh-CN" w:bidi="ar-SA"/>
    </w:rPr>
  </w:style>
  <w:style w:type="paragraph" w:customStyle="1" w:styleId="72">
    <w:name w:val="DG正文"/>
    <w:basedOn w:val="1"/>
    <w:qFormat/>
    <w:uiPriority w:val="99"/>
    <w:pPr>
      <w:widowControl/>
      <w:spacing w:line="360" w:lineRule="auto"/>
      <w:ind w:right="142" w:firstLine="640"/>
      <w:jc w:val="left"/>
    </w:pPr>
    <w:rPr>
      <w:rFonts w:ascii="Calibri" w:hAnsi="Calibri" w:cs="Calibri"/>
    </w:rPr>
  </w:style>
  <w:style w:type="paragraph" w:customStyle="1" w:styleId="7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74">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75">
    <w:name w:val="文章正文"/>
    <w:basedOn w:val="1"/>
    <w:qFormat/>
    <w:uiPriority w:val="99"/>
    <w:pPr>
      <w:spacing w:line="360" w:lineRule="auto"/>
    </w:pPr>
    <w:rPr>
      <w:rFonts w:ascii="Calibri" w:hAnsi="Calibri"/>
    </w:rPr>
  </w:style>
  <w:style w:type="paragraph" w:customStyle="1" w:styleId="76">
    <w:name w:val="普通(网站)1"/>
    <w:basedOn w:val="1"/>
    <w:qFormat/>
    <w:uiPriority w:val="99"/>
    <w:pPr>
      <w:widowControl/>
      <w:spacing w:beforeAutospacing="1" w:afterAutospacing="1"/>
      <w:jc w:val="left"/>
    </w:pPr>
    <w:rPr>
      <w:rFonts w:ascii="宋体" w:hAnsi="宋体" w:cs="宋体"/>
      <w:kern w:val="0"/>
    </w:rPr>
  </w:style>
  <w:style w:type="paragraph" w:customStyle="1" w:styleId="77">
    <w:name w:val="正文_17"/>
    <w:qFormat/>
    <w:uiPriority w:val="99"/>
    <w:pPr>
      <w:widowControl w:val="0"/>
      <w:jc w:val="both"/>
    </w:pPr>
    <w:rPr>
      <w:kern w:val="2"/>
      <w:sz w:val="21"/>
      <w:szCs w:val="24"/>
      <w:lang w:val="en-US" w:eastAsia="zh-CN" w:bidi="ar-SA"/>
    </w:rPr>
  </w:style>
  <w:style w:type="paragraph" w:customStyle="1" w:styleId="78">
    <w:name w:val="表格文字"/>
    <w:basedOn w:val="1"/>
    <w:next w:val="14"/>
    <w:qFormat/>
    <w:uiPriority w:val="99"/>
    <w:pPr>
      <w:spacing w:line="420" w:lineRule="atLeast"/>
      <w:textAlignment w:val="baseline"/>
    </w:pPr>
    <w:rPr>
      <w:rFonts w:ascii="Calibri" w:hAnsi="Calibri"/>
      <w:sz w:val="21"/>
    </w:rPr>
  </w:style>
  <w:style w:type="paragraph" w:customStyle="1" w:styleId="79">
    <w:name w:val="列表段落1"/>
    <w:basedOn w:val="1"/>
    <w:qFormat/>
    <w:uiPriority w:val="99"/>
    <w:pPr>
      <w:ind w:firstLine="420"/>
    </w:pPr>
  </w:style>
  <w:style w:type="paragraph" w:customStyle="1" w:styleId="8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81">
    <w:name w:val="Body Text Indent1"/>
    <w:basedOn w:val="1"/>
    <w:next w:val="1"/>
    <w:qFormat/>
    <w:uiPriority w:val="0"/>
    <w:pPr>
      <w:spacing w:after="120" w:afterLines="0"/>
      <w:ind w:left="420" w:leftChars="200"/>
    </w:pPr>
    <w:rPr>
      <w:color w:val="000000"/>
      <w:sz w:val="21"/>
      <w:szCs w:val="21"/>
    </w:rPr>
  </w:style>
  <w:style w:type="paragraph" w:customStyle="1" w:styleId="82">
    <w:name w:val="Plain Text"/>
    <w:basedOn w:val="83"/>
    <w:uiPriority w:val="0"/>
    <w:pPr>
      <w:widowControl/>
      <w:jc w:val="left"/>
    </w:pPr>
    <w:rPr>
      <w:rFonts w:hint="eastAsia" w:ascii="宋体" w:hAnsi="Courier New"/>
    </w:rPr>
  </w:style>
  <w:style w:type="paragraph" w:customStyle="1" w:styleId="83">
    <w:name w:val="Normal"/>
    <w:uiPriority w:val="0"/>
    <w:pPr>
      <w:widowControl w:val="0"/>
      <w:jc w:val="both"/>
    </w:pPr>
    <w:rPr>
      <w:rFonts w:hint="eastAsia"/>
      <w:kern w:val="2"/>
      <w:sz w:val="21"/>
      <w:lang w:val="en-US" w:eastAsia="zh-CN" w:bidi="ar-SA"/>
    </w:rPr>
  </w:style>
  <w:style w:type="paragraph" w:styleId="84">
    <w:name w:val="List Paragraph"/>
    <w:basedOn w:val="1"/>
    <w:qFormat/>
    <w:uiPriority w:val="99"/>
    <w:pPr>
      <w:ind w:firstLine="420" w:firstLineChars="200"/>
    </w:pPr>
    <w:rPr>
      <w:rFonts w:ascii="Calibri" w:hAnsi="Calibri"/>
      <w:szCs w:val="22"/>
    </w:rPr>
  </w:style>
  <w:style w:type="paragraph" w:customStyle="1" w:styleId="85">
    <w:name w:val="正文文本 (5)1"/>
    <w:basedOn w:val="1"/>
    <w:qFormat/>
    <w:uiPriority w:val="99"/>
    <w:pPr>
      <w:shd w:val="clear" w:color="auto" w:fill="FFFFFF"/>
      <w:spacing w:line="475" w:lineRule="exact"/>
      <w:ind w:firstLine="0" w:firstLineChars="0"/>
      <w:jc w:val="distribute"/>
    </w:pPr>
    <w:rPr>
      <w:rFonts w:ascii="MingLiU" w:hAnsi="MingLiU" w:eastAsia="MingLiU" w:cs="MingLiU"/>
      <w:color w:val="000000"/>
      <w:kern w:val="0"/>
      <w:lang w:val="zh-CN"/>
    </w:rPr>
  </w:style>
  <w:style w:type="paragraph" w:customStyle="1" w:styleId="86">
    <w:name w:val="正文2"/>
    <w:basedOn w:val="1"/>
    <w:qFormat/>
    <w:uiPriority w:val="99"/>
    <w:pPr>
      <w:spacing w:line="360" w:lineRule="auto"/>
      <w:ind w:firstLine="510"/>
    </w:pPr>
  </w:style>
  <w:style w:type="paragraph" w:customStyle="1" w:styleId="87">
    <w:name w:val="无间隔1"/>
    <w:qFormat/>
    <w:uiPriority w:val="99"/>
    <w:rPr>
      <w:rFonts w:ascii="Calibri" w:hAnsi="Calibri"/>
      <w:sz w:val="22"/>
      <w:szCs w:val="22"/>
      <w:lang w:val="en-US" w:eastAsia="en-US" w:bidi="ar-SA"/>
    </w:rPr>
  </w:style>
  <w:style w:type="paragraph" w:customStyle="1" w:styleId="88">
    <w:name w:val="样式 首行缩进:  2 字符"/>
    <w:basedOn w:val="1"/>
    <w:qFormat/>
    <w:uiPriority w:val="99"/>
    <w:pPr>
      <w:spacing w:line="400" w:lineRule="exact"/>
    </w:pPr>
    <w:rPr>
      <w:rFonts w:ascii="宋体" w:cs="宋体"/>
      <w:kern w:val="0"/>
    </w:rPr>
  </w:style>
  <w:style w:type="paragraph" w:customStyle="1" w:styleId="89">
    <w:name w:val="Body Text First Indent 2"/>
    <w:basedOn w:val="8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0">
    <w:name w:val="正文文本首行缩进 2"/>
    <w:basedOn w:val="16"/>
    <w:qFormat/>
    <w:uiPriority w:val="99"/>
    <w:pPr>
      <w:spacing w:line="200" w:lineRule="atLeast"/>
      <w:ind w:firstLine="420"/>
    </w:pPr>
    <w:rPr>
      <w:rFonts w:ascii="宋体" w:hAnsi="Courier New"/>
      <w:spacing w:val="-4"/>
      <w:sz w:val="18"/>
    </w:rPr>
  </w:style>
  <w:style w:type="paragraph" w:customStyle="1" w:styleId="91">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92">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93">
    <w:name w:val="索引 11"/>
    <w:basedOn w:val="1"/>
    <w:next w:val="1"/>
    <w:qFormat/>
    <w:uiPriority w:val="99"/>
    <w:pPr>
      <w:adjustRightInd/>
      <w:spacing w:line="360" w:lineRule="auto"/>
    </w:pPr>
    <w:rPr>
      <w:rFonts w:ascii="仿宋_GB2312" w:eastAsia="仿宋_GB2312"/>
      <w:sz w:val="24"/>
      <w:szCs w:val="20"/>
    </w:rPr>
  </w:style>
  <w:style w:type="paragraph" w:customStyle="1" w:styleId="94">
    <w:name w:val="AbsatzTableFormat"/>
    <w:basedOn w:val="1"/>
    <w:qFormat/>
    <w:uiPriority w:val="0"/>
    <w:pPr>
      <w:widowControl/>
      <w:jc w:val="left"/>
    </w:pPr>
    <w:rPr>
      <w:rFonts w:ascii="Arial Narrow" w:hAnsi="Arial Narrow"/>
      <w:bCs/>
      <w:kern w:val="0"/>
      <w:sz w:val="22"/>
      <w:szCs w:val="21"/>
      <w:lang w:val="de-DE"/>
    </w:rPr>
  </w:style>
  <w:style w:type="character" w:customStyle="1" w:styleId="95">
    <w:name w:val="Anrede1IhrZeichen"/>
    <w:qFormat/>
    <w:uiPriority w:val="0"/>
    <w:rPr>
      <w:rFonts w:hint="default" w:ascii="Arial" w:hAnsi="Arial"/>
      <w:sz w:val="20"/>
    </w:rPr>
  </w:style>
  <w:style w:type="character" w:customStyle="1" w:styleId="96">
    <w:name w:val="font21"/>
    <w:qFormat/>
    <w:uiPriority w:val="0"/>
    <w:rPr>
      <w:rFonts w:ascii="宋体" w:hAnsi="宋体" w:eastAsia="宋体" w:cs="宋体"/>
      <w:color w:val="000000"/>
      <w:sz w:val="21"/>
      <w:szCs w:val="21"/>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footer4.xml" Type="http://schemas.openxmlformats.org/officeDocument/2006/relationships/footer"/><Relationship Id="rId12" Target="footer5.xml" Type="http://schemas.openxmlformats.org/officeDocument/2006/relationships/footer"/><Relationship Id="rId13" Target="header4.xml" Type="http://schemas.openxmlformats.org/officeDocument/2006/relationships/header"/><Relationship Id="rId14" Target="header5.xml" Type="http://schemas.openxmlformats.org/officeDocument/2006/relationships/header"/><Relationship Id="rId15" Target="header6.xml" Type="http://schemas.openxmlformats.org/officeDocument/2006/relationships/header"/><Relationship Id="rId16" Target="footer6.xml" Type="http://schemas.openxmlformats.org/officeDocument/2006/relationships/footer"/><Relationship Id="rId17" Target="footer7.xml" Type="http://schemas.openxmlformats.org/officeDocument/2006/relationships/footer"/><Relationship Id="rId18" Target="theme/theme1.xml" Type="http://schemas.openxmlformats.org/officeDocument/2006/relationships/theme"/><Relationship Id="rId19" Target="media/image1.jpeg" Type="http://schemas.openxmlformats.org/officeDocument/2006/relationships/image"/><Relationship Id="rId2" Target="settings.xml" Type="http://schemas.openxmlformats.org/officeDocument/2006/relationships/settings"/><Relationship Id="rId20" Target="../customXml/item1.xml" Type="http://schemas.openxmlformats.org/officeDocument/2006/relationships/customXml"/><Relationship Id="rId21" Target="numbering.xml" Type="http://schemas.openxmlformats.org/officeDocument/2006/relationships/numbering"/><Relationship Id="rId22" Target="fontTable.xml" Type="http://schemas.openxmlformats.org/officeDocument/2006/relationships/fontTable"/><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1026" textRotate="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31307</Words>
  <Characters>34128</Characters>
  <Lines>240</Lines>
  <Paragraphs>67</Paragraphs>
  <TotalTime>61</TotalTime>
  <ScaleCrop>false</ScaleCrop>
  <LinksUpToDate>false</LinksUpToDate>
  <CharactersWithSpaces>36698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2020-06-12T00:38:00Z</dcterms:created>
  <dc:creator>宇正-王</dc:creator>
  <cp:lastModifiedBy>WPS_1701756769</cp:lastModifiedBy>
  <cp:lastPrinted>2022-10-14T01:47:11Z</cp:lastPrinted>
  <dcterms:modified xsi:type="dcterms:W3CDTF">2024-01-31T02:22:44Z</dcterms:modified>
  <cp:revision>6</cp:revision>
  <dc:title>嵊州市应急管理局冲锋舟、橡皮艇及应急照明发电机等应急设备采购项目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6E43767BF16E4E25872CDE613EED0342_13</vt:lpwstr>
  </property>
</Properties>
</file>