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BF209">
      <w:pPr>
        <w:pStyle w:val="7"/>
        <w:jc w:val="center"/>
        <w:rPr>
          <w:rFonts w:ascii="宋体" w:hAnsi="宋体" w:cs="宋体"/>
          <w:b/>
          <w:bCs/>
          <w:sz w:val="44"/>
          <w:szCs w:val="44"/>
          <w:highlight w:val="none"/>
        </w:rPr>
      </w:pPr>
    </w:p>
    <w:p w14:paraId="030E6075">
      <w:pPr>
        <w:pStyle w:val="7"/>
        <w:ind w:left="0" w:leftChars="0" w:firstLine="0" w:firstLineChars="0"/>
        <w:jc w:val="center"/>
        <w:rPr>
          <w:rFonts w:hint="eastAsia" w:ascii="宋体" w:hAnsi="宋体" w:cs="宋体"/>
          <w:b/>
          <w:bCs/>
          <w:sz w:val="48"/>
          <w:szCs w:val="48"/>
          <w:highlight w:val="none"/>
          <w:u w:val="single"/>
          <w:lang w:val="en-US" w:eastAsia="zh-CN"/>
        </w:rPr>
      </w:pPr>
      <w:r>
        <w:rPr>
          <w:rFonts w:hint="eastAsia" w:ascii="宋体" w:hAnsi="宋体" w:cs="宋体"/>
          <w:b/>
          <w:bCs/>
          <w:sz w:val="48"/>
          <w:szCs w:val="48"/>
          <w:highlight w:val="none"/>
          <w:u w:val="single"/>
          <w:lang w:eastAsia="zh-CN"/>
        </w:rPr>
        <w:t>2025-2026年区域HIS及区域EMR等系统运维服务项目</w:t>
      </w:r>
    </w:p>
    <w:p w14:paraId="18FF0101">
      <w:pPr>
        <w:pStyle w:val="7"/>
        <w:jc w:val="center"/>
        <w:rPr>
          <w:rFonts w:ascii="宋体" w:hAnsi="宋体" w:cs="宋体"/>
          <w:b/>
          <w:bCs/>
          <w:sz w:val="44"/>
          <w:szCs w:val="44"/>
          <w:highlight w:val="none"/>
        </w:rPr>
      </w:pPr>
    </w:p>
    <w:p w14:paraId="4C3E3B0C">
      <w:pPr>
        <w:spacing w:line="360" w:lineRule="auto"/>
        <w:rPr>
          <w:rFonts w:ascii="宋体" w:hAnsi="宋体" w:cs="宋体"/>
          <w:b/>
          <w:bCs/>
          <w:sz w:val="72"/>
          <w:szCs w:val="72"/>
          <w:highlight w:val="none"/>
        </w:rPr>
      </w:pPr>
    </w:p>
    <w:p w14:paraId="61DD745F">
      <w:pPr>
        <w:spacing w:line="360" w:lineRule="auto"/>
        <w:jc w:val="center"/>
        <w:rPr>
          <w:rFonts w:ascii="宋体" w:hAnsi="宋体" w:cs="宋体"/>
          <w:b/>
          <w:bCs/>
          <w:sz w:val="48"/>
          <w:szCs w:val="48"/>
          <w:highlight w:val="none"/>
        </w:rPr>
      </w:pPr>
      <w:r>
        <w:rPr>
          <w:rFonts w:hint="eastAsia" w:ascii="宋体" w:hAnsi="宋体" w:cs="宋体"/>
          <w:b/>
          <w:bCs/>
          <w:sz w:val="72"/>
          <w:szCs w:val="72"/>
          <w:highlight w:val="none"/>
        </w:rPr>
        <w:t>竞争性磋商文件</w:t>
      </w:r>
    </w:p>
    <w:p w14:paraId="60E55876">
      <w:pPr>
        <w:pStyle w:val="4"/>
        <w:rPr>
          <w:highlight w:val="none"/>
        </w:rPr>
      </w:pPr>
    </w:p>
    <w:p w14:paraId="420757F1">
      <w:pPr>
        <w:pStyle w:val="20"/>
        <w:widowControl w:val="0"/>
        <w:spacing w:before="0" w:beforeAutospacing="0" w:after="0" w:afterAutospacing="0" w:line="360" w:lineRule="auto"/>
        <w:ind w:firstLine="3000" w:firstLineChars="1000"/>
        <w:rPr>
          <w:rFonts w:hint="default" w:eastAsia="宋体"/>
          <w:highlight w:val="none"/>
          <w:lang w:val="en-US" w:eastAsia="zh-CN"/>
        </w:rPr>
      </w:pPr>
      <w:r>
        <w:rPr>
          <w:rFonts w:hint="eastAsia" w:ascii="宋体" w:hAnsi="宋体" w:cs="宋体"/>
          <w:color w:val="auto"/>
          <w:sz w:val="30"/>
          <w:szCs w:val="30"/>
          <w:highlight w:val="none"/>
        </w:rPr>
        <w:t>项目编号</w:t>
      </w:r>
      <w:r>
        <w:rPr>
          <w:rFonts w:hint="eastAsia" w:ascii="宋体" w:hAnsi="宋体" w:cs="宋体"/>
          <w:sz w:val="30"/>
          <w:szCs w:val="30"/>
          <w:highlight w:val="none"/>
        </w:rPr>
        <w:t>：</w:t>
      </w:r>
      <w:r>
        <w:rPr>
          <w:rFonts w:hint="eastAsia" w:ascii="宋体" w:hAnsi="宋体" w:cs="宋体"/>
          <w:sz w:val="30"/>
          <w:szCs w:val="30"/>
          <w:highlight w:val="none"/>
          <w:lang w:eastAsia="zh-CN"/>
        </w:rPr>
        <w:t xml:space="preserve">FSJZCS2025029    </w:t>
      </w:r>
    </w:p>
    <w:p w14:paraId="4E8D604B">
      <w:pPr>
        <w:pStyle w:val="20"/>
        <w:widowControl w:val="0"/>
        <w:spacing w:before="0" w:beforeAutospacing="0" w:after="0" w:afterAutospacing="0" w:line="360" w:lineRule="auto"/>
        <w:ind w:firstLine="3000" w:firstLineChars="1000"/>
        <w:rPr>
          <w:highlight w:val="none"/>
        </w:rPr>
      </w:pPr>
      <w:r>
        <w:rPr>
          <w:rFonts w:hint="eastAsia" w:ascii="宋体" w:hAnsi="宋体" w:cs="宋体"/>
          <w:sz w:val="30"/>
          <w:szCs w:val="30"/>
          <w:highlight w:val="none"/>
        </w:rPr>
        <w:t>采购方式：竞争性磋商</w:t>
      </w:r>
    </w:p>
    <w:p w14:paraId="32C2D500">
      <w:pPr>
        <w:spacing w:line="360" w:lineRule="auto"/>
        <w:jc w:val="left"/>
        <w:rPr>
          <w:rFonts w:ascii="宋体" w:hAnsi="宋体" w:cs="宋体"/>
          <w:b/>
          <w:bCs/>
          <w:sz w:val="24"/>
          <w:szCs w:val="24"/>
          <w:highlight w:val="none"/>
        </w:rPr>
      </w:pPr>
    </w:p>
    <w:p w14:paraId="0D238749">
      <w:pPr>
        <w:spacing w:line="360" w:lineRule="auto"/>
        <w:rPr>
          <w:rFonts w:ascii="宋体" w:hAnsi="宋体" w:cs="宋体"/>
          <w:sz w:val="24"/>
          <w:szCs w:val="24"/>
          <w:highlight w:val="none"/>
        </w:rPr>
      </w:pPr>
    </w:p>
    <w:p w14:paraId="03222ECB">
      <w:pPr>
        <w:spacing w:line="360" w:lineRule="auto"/>
        <w:jc w:val="center"/>
        <w:rPr>
          <w:rFonts w:ascii="宋体" w:hAnsi="宋体" w:cs="宋体"/>
          <w:sz w:val="24"/>
          <w:szCs w:val="24"/>
          <w:highlight w:val="none"/>
        </w:rPr>
      </w:pPr>
    </w:p>
    <w:p w14:paraId="6428EAC0">
      <w:pPr>
        <w:pStyle w:val="7"/>
        <w:rPr>
          <w:rFonts w:ascii="宋体" w:hAnsi="宋体" w:cs="宋体"/>
          <w:sz w:val="24"/>
          <w:szCs w:val="24"/>
          <w:highlight w:val="none"/>
        </w:rPr>
      </w:pPr>
    </w:p>
    <w:p w14:paraId="12C94EEA">
      <w:pPr>
        <w:pStyle w:val="7"/>
        <w:rPr>
          <w:rFonts w:ascii="宋体" w:hAnsi="宋体" w:cs="宋体"/>
          <w:sz w:val="24"/>
          <w:szCs w:val="24"/>
          <w:highlight w:val="none"/>
        </w:rPr>
      </w:pPr>
    </w:p>
    <w:p w14:paraId="4DCCD5AD">
      <w:pPr>
        <w:pStyle w:val="7"/>
        <w:rPr>
          <w:rFonts w:ascii="宋体" w:hAnsi="宋体" w:cs="宋体"/>
          <w:sz w:val="24"/>
          <w:szCs w:val="24"/>
          <w:highlight w:val="none"/>
        </w:rPr>
      </w:pPr>
    </w:p>
    <w:p w14:paraId="437A589B">
      <w:pPr>
        <w:pStyle w:val="7"/>
        <w:rPr>
          <w:rFonts w:ascii="宋体" w:hAnsi="宋体" w:cs="宋体"/>
          <w:sz w:val="24"/>
          <w:szCs w:val="24"/>
          <w:highlight w:val="none"/>
        </w:rPr>
      </w:pPr>
    </w:p>
    <w:p w14:paraId="4B69F51A">
      <w:pPr>
        <w:spacing w:line="360" w:lineRule="auto"/>
        <w:jc w:val="center"/>
        <w:rPr>
          <w:rFonts w:ascii="宋体" w:hAnsi="宋体" w:cs="宋体"/>
          <w:sz w:val="24"/>
          <w:szCs w:val="24"/>
          <w:highlight w:val="none"/>
        </w:rPr>
      </w:pPr>
    </w:p>
    <w:p w14:paraId="63A38CB7">
      <w:pPr>
        <w:spacing w:line="360" w:lineRule="auto"/>
        <w:jc w:val="center"/>
        <w:rPr>
          <w:rFonts w:ascii="宋体" w:hAnsi="宋体" w:cs="宋体"/>
          <w:sz w:val="24"/>
          <w:szCs w:val="24"/>
          <w:highlight w:val="none"/>
        </w:rPr>
      </w:pPr>
    </w:p>
    <w:p w14:paraId="5A7BC1D3">
      <w:pPr>
        <w:spacing w:line="360" w:lineRule="auto"/>
        <w:jc w:val="center"/>
        <w:rPr>
          <w:rFonts w:ascii="宋体" w:hAnsi="宋体" w:cs="宋体"/>
          <w:sz w:val="24"/>
          <w:szCs w:val="24"/>
          <w:highlight w:val="none"/>
        </w:rPr>
      </w:pPr>
    </w:p>
    <w:p w14:paraId="7FF7A876">
      <w:pPr>
        <w:snapToGrid w:val="0"/>
        <w:spacing w:line="360" w:lineRule="auto"/>
        <w:ind w:firstLine="1500" w:firstLineChars="500"/>
        <w:rPr>
          <w:rFonts w:hint="eastAsia" w:ascii="宋体" w:hAnsi="宋体" w:eastAsia="宋体" w:cs="宋体"/>
          <w:highlight w:val="none"/>
          <w:u w:val="single"/>
          <w:lang w:eastAsia="zh-CN"/>
        </w:rPr>
      </w:pPr>
      <w:r>
        <w:rPr>
          <w:rFonts w:hint="eastAsia" w:ascii="宋体" w:hAnsi="宋体" w:cs="宋体"/>
          <w:sz w:val="30"/>
          <w:szCs w:val="30"/>
          <w:highlight w:val="none"/>
        </w:rPr>
        <w:t>采</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购</w:t>
      </w:r>
      <w:r>
        <w:rPr>
          <w:rFonts w:hint="eastAsia" w:ascii="宋体" w:hAnsi="宋体" w:cs="宋体"/>
          <w:sz w:val="30"/>
          <w:szCs w:val="30"/>
          <w:highlight w:val="none"/>
          <w:lang w:val="en-US" w:eastAsia="zh-CN"/>
        </w:rPr>
        <w:t xml:space="preserve">   </w:t>
      </w:r>
      <w:r>
        <w:rPr>
          <w:rFonts w:hint="eastAsia" w:ascii="宋体" w:hAnsi="宋体" w:cs="宋体"/>
          <w:sz w:val="30"/>
          <w:szCs w:val="30"/>
          <w:highlight w:val="none"/>
        </w:rPr>
        <w:t>人：</w:t>
      </w:r>
      <w:r>
        <w:rPr>
          <w:rFonts w:hint="eastAsia" w:ascii="宋体" w:hAnsi="宋体" w:cs="宋体"/>
          <w:sz w:val="30"/>
          <w:szCs w:val="30"/>
          <w:highlight w:val="none"/>
          <w:lang w:eastAsia="zh-CN"/>
        </w:rPr>
        <w:t>绍兴市上虞区卫生信息中心</w:t>
      </w:r>
    </w:p>
    <w:p w14:paraId="0BFE9C0E">
      <w:pPr>
        <w:snapToGrid w:val="0"/>
        <w:spacing w:line="360" w:lineRule="auto"/>
        <w:ind w:firstLine="1500" w:firstLineChars="500"/>
        <w:rPr>
          <w:rFonts w:ascii="宋体" w:hAnsi="宋体" w:cs="宋体"/>
          <w:sz w:val="30"/>
          <w:szCs w:val="30"/>
          <w:highlight w:val="none"/>
        </w:rPr>
      </w:pPr>
      <w:r>
        <w:rPr>
          <w:rFonts w:hint="eastAsia" w:ascii="宋体" w:hAnsi="宋体" w:cs="宋体"/>
          <w:sz w:val="30"/>
          <w:szCs w:val="30"/>
          <w:highlight w:val="none"/>
        </w:rPr>
        <w:t>采购代理机构：绍兴成言工程咨询管理有限公司</w:t>
      </w:r>
    </w:p>
    <w:p w14:paraId="5294EAC0">
      <w:pPr>
        <w:jc w:val="center"/>
        <w:rPr>
          <w:rFonts w:ascii="宋体" w:hAnsi="宋体" w:cs="宋体"/>
          <w:sz w:val="30"/>
          <w:szCs w:val="30"/>
          <w:highlight w:val="none"/>
        </w:rPr>
        <w:sectPr>
          <w:footerReference r:id="rId3" w:type="default"/>
          <w:pgSz w:w="11906" w:h="16838"/>
          <w:pgMar w:top="1247" w:right="1474" w:bottom="1247" w:left="1474" w:header="851" w:footer="992" w:gutter="0"/>
          <w:pgNumType w:fmt="decimal"/>
          <w:cols w:space="0" w:num="1"/>
          <w:docGrid w:type="lines" w:linePitch="312" w:charSpace="0"/>
        </w:sectPr>
      </w:pPr>
      <w:r>
        <w:rPr>
          <w:rFonts w:hint="eastAsia" w:ascii="宋体" w:hAnsi="宋体" w:cs="宋体"/>
          <w:sz w:val="30"/>
          <w:szCs w:val="30"/>
          <w:highlight w:val="none"/>
        </w:rPr>
        <w:t>二〇二五年</w:t>
      </w:r>
      <w:r>
        <w:rPr>
          <w:rFonts w:hint="eastAsia" w:ascii="宋体" w:hAnsi="宋体" w:cs="宋体"/>
          <w:sz w:val="30"/>
          <w:szCs w:val="30"/>
          <w:highlight w:val="none"/>
          <w:lang w:val="en-US" w:eastAsia="zh-CN"/>
        </w:rPr>
        <w:t>七</w:t>
      </w:r>
      <w:r>
        <w:rPr>
          <w:rFonts w:hint="eastAsia" w:ascii="宋体" w:hAnsi="宋体" w:cs="宋体"/>
          <w:sz w:val="30"/>
          <w:szCs w:val="30"/>
          <w:highlight w:val="none"/>
        </w:rPr>
        <w:t>月</w:t>
      </w:r>
    </w:p>
    <w:p w14:paraId="676E6064">
      <w:pPr>
        <w:spacing w:line="360" w:lineRule="auto"/>
        <w:jc w:val="center"/>
        <w:rPr>
          <w:rFonts w:ascii="宋体" w:hAnsi="宋体" w:cs="宋体"/>
          <w:sz w:val="28"/>
          <w:szCs w:val="28"/>
          <w:highlight w:val="none"/>
        </w:rPr>
      </w:pPr>
      <w:r>
        <w:rPr>
          <w:rFonts w:hint="eastAsia" w:ascii="宋体" w:hAnsi="宋体" w:cs="宋体"/>
          <w:sz w:val="28"/>
          <w:szCs w:val="28"/>
          <w:highlight w:val="none"/>
        </w:rPr>
        <w:t>目录</w:t>
      </w:r>
    </w:p>
    <w:p w14:paraId="3FAB83C5">
      <w:pPr>
        <w:pStyle w:val="1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TOC \o "1-3" \h \u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_Toc5930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4E43C7C">
      <w:pPr>
        <w:pStyle w:val="16"/>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_Toc10641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第二部分供应商须知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_Toc10641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4F27191">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_Toc13976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总则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_Toc13976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A050547">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_Toc26425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 竞争性磋商文件</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_Toc26425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7487975">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_Toc8424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 竞争性磋商响应文件的编写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_Toc8424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F919ED1">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_Toc22808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 响应文件的递交</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_Toc22808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8B1DFEB">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_Toc26882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五、 磋商无效的情形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_Toc26882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BBF310B">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_Toc5954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六、 采购中止的情形</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_Toc5954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5CFE570">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_Toc7222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七、 确定成交供应商与签订合同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_Toc7222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FFE65FB">
      <w:pPr>
        <w:pStyle w:val="16"/>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_Toc8494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采购内容及要求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_Toc8494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2C81AA6">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_Toc19961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采购内容及要求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_Toc19961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203DEE2">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_Toc28397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付款方式及要求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_Toc28397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99422FD">
      <w:pPr>
        <w:pStyle w:val="16"/>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_Toc18118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磋商原则及磋商方法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_Toc18118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B66042F">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_Toc15634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一、 磋商原则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_Toc15634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E557E23">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_Toc5845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二、 磋商程序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_Toc5845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25CA1027">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_Toc28930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三、 注意事项</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_Toc28930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2C75AF2">
      <w:pPr>
        <w:pStyle w:val="19"/>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_Toc5066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四、 评分细则</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_Toc5066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3F7E9E39">
      <w:pPr>
        <w:pStyle w:val="16"/>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_Toc8314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采购合同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_Toc8314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36</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F7D9DE2">
      <w:pPr>
        <w:pStyle w:val="16"/>
        <w:tabs>
          <w:tab w:val="right" w:leader="dot" w:pos="8306"/>
        </w:tabs>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_Toc16514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w:t>
      </w:r>
      <w:bookmarkStart w:id="116" w:name="_GoBack"/>
      <w:r>
        <w:rPr>
          <w:rFonts w:hint="eastAsia" w:ascii="宋体" w:hAnsi="宋体" w:eastAsia="宋体" w:cs="宋体"/>
          <w:sz w:val="28"/>
          <w:szCs w:val="28"/>
          <w:highlight w:val="none"/>
        </w:rPr>
        <w:t>应提交的有关格式范例</w:t>
      </w:r>
      <w:bookmarkEnd w:id="116"/>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_Toc16514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CF09D44">
      <w:pPr>
        <w:pStyle w:val="2"/>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end"/>
      </w:r>
    </w:p>
    <w:p w14:paraId="4FC8A830">
      <w:pPr>
        <w:rPr>
          <w:rFonts w:ascii="宋体" w:hAnsi="宋体" w:cs="宋体"/>
          <w:highlight w:val="none"/>
        </w:rPr>
      </w:pPr>
    </w:p>
    <w:p w14:paraId="3CB0EE66">
      <w:pPr>
        <w:rPr>
          <w:rFonts w:ascii="宋体" w:hAnsi="宋体" w:cs="宋体"/>
          <w:highlight w:val="none"/>
        </w:rPr>
      </w:pPr>
    </w:p>
    <w:p w14:paraId="4B9A54BE">
      <w:pPr>
        <w:pStyle w:val="3"/>
        <w:rPr>
          <w:rFonts w:ascii="宋体" w:hAnsi="宋体" w:cs="宋体"/>
          <w:highlight w:val="none"/>
        </w:rPr>
      </w:pPr>
      <w:bookmarkStart w:id="0" w:name="_Toc31034"/>
      <w:bookmarkStart w:id="1" w:name="_Toc5930"/>
      <w:bookmarkStart w:id="2" w:name="_Toc32199"/>
      <w:bookmarkStart w:id="3" w:name="_Toc91899870"/>
      <w:bookmarkStart w:id="4" w:name="第二部分"/>
      <w:r>
        <w:rPr>
          <w:rFonts w:hint="eastAsia" w:ascii="宋体" w:hAnsi="宋体" w:cs="宋体"/>
          <w:highlight w:val="none"/>
        </w:rPr>
        <w:t>第一部分磋商公告</w:t>
      </w:r>
      <w:bookmarkEnd w:id="0"/>
      <w:bookmarkEnd w:id="1"/>
      <w:bookmarkEnd w:id="2"/>
    </w:p>
    <w:p w14:paraId="070C822D">
      <w:pPr>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绍兴成言工程咨询管理有限公司关于</w:t>
      </w:r>
      <w:r>
        <w:rPr>
          <w:rFonts w:hint="eastAsia" w:ascii="宋体" w:hAnsi="宋体" w:cs="宋体"/>
          <w:sz w:val="28"/>
          <w:szCs w:val="28"/>
          <w:highlight w:val="none"/>
          <w:lang w:eastAsia="zh-CN"/>
        </w:rPr>
        <w:t>绍兴市上虞区卫生信息中心2025-2026年区域HIS及区域EMR等系统运维服务项目</w:t>
      </w:r>
      <w:r>
        <w:rPr>
          <w:rFonts w:hint="eastAsia" w:ascii="宋体" w:hAnsi="宋体" w:cs="宋体"/>
          <w:sz w:val="28"/>
          <w:szCs w:val="28"/>
          <w:highlight w:val="none"/>
        </w:rPr>
        <w:t>的竞争性磋商公告</w:t>
      </w:r>
    </w:p>
    <w:p w14:paraId="78AB0522">
      <w:pPr>
        <w:adjustRightInd w:val="0"/>
        <w:spacing w:line="360" w:lineRule="auto"/>
        <w:jc w:val="center"/>
        <w:rPr>
          <w:rFonts w:ascii="宋体" w:hAnsi="宋体" w:cs="宋体"/>
          <w:sz w:val="28"/>
          <w:szCs w:val="28"/>
          <w:highlight w:val="none"/>
        </w:rPr>
      </w:pPr>
      <w:r>
        <w:rPr>
          <w:rFonts w:hint="eastAsia" w:ascii="宋体" w:hAnsi="宋体" w:cs="宋体"/>
          <w:sz w:val="28"/>
          <w:szCs w:val="28"/>
          <w:highlight w:val="none"/>
        </w:rPr>
        <w:t>公告日期：2025年</w:t>
      </w:r>
      <w:r>
        <w:rPr>
          <w:rFonts w:hint="eastAsia" w:ascii="宋体" w:hAnsi="宋体" w:cs="宋体"/>
          <w:sz w:val="28"/>
          <w:szCs w:val="28"/>
          <w:highlight w:val="none"/>
          <w:lang w:val="en-US" w:eastAsia="zh-CN"/>
        </w:rPr>
        <w:t xml:space="preserve">  7</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14</w:t>
      </w:r>
      <w:r>
        <w:rPr>
          <w:rFonts w:hint="eastAsia" w:ascii="宋体" w:hAnsi="宋体" w:cs="宋体"/>
          <w:sz w:val="28"/>
          <w:szCs w:val="28"/>
          <w:highlight w:val="none"/>
        </w:rPr>
        <w:t>日</w:t>
      </w:r>
    </w:p>
    <w:p w14:paraId="601A177F">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根据《中华人民共和国政府采购法》等有关规定，</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受</w:t>
      </w:r>
      <w:r>
        <w:rPr>
          <w:rFonts w:hint="eastAsia" w:ascii="宋体" w:hAnsi="宋体" w:cs="宋体"/>
          <w:sz w:val="24"/>
          <w:szCs w:val="24"/>
          <w:highlight w:val="none"/>
          <w:u w:val="single"/>
          <w:lang w:eastAsia="zh-CN"/>
        </w:rPr>
        <w:t>绍兴市上虞区卫生信息中心</w:t>
      </w:r>
      <w:r>
        <w:rPr>
          <w:rFonts w:hint="eastAsia" w:ascii="宋体" w:hAnsi="宋体" w:cs="宋体"/>
          <w:sz w:val="24"/>
          <w:szCs w:val="24"/>
          <w:highlight w:val="none"/>
        </w:rPr>
        <w:t>委托，现就</w:t>
      </w:r>
      <w:r>
        <w:rPr>
          <w:rFonts w:hint="eastAsia" w:ascii="宋体" w:hAnsi="宋体" w:cs="宋体"/>
          <w:sz w:val="24"/>
          <w:szCs w:val="24"/>
          <w:highlight w:val="none"/>
          <w:u w:val="single"/>
          <w:lang w:eastAsia="zh-CN"/>
        </w:rPr>
        <w:t>2025-2026年区域HIS及区域EMR等系统运维服务项目</w:t>
      </w:r>
      <w:r>
        <w:rPr>
          <w:rFonts w:hint="eastAsia" w:ascii="宋体" w:hAnsi="宋体" w:cs="宋体"/>
          <w:sz w:val="24"/>
          <w:szCs w:val="24"/>
          <w:highlight w:val="none"/>
        </w:rPr>
        <w:t>进行竞争性磋商采购，欢迎国内合格的供应商参加本次采购活动。</w:t>
      </w:r>
    </w:p>
    <w:p w14:paraId="6800E640">
      <w:pPr>
        <w:adjustRightInd w:val="0"/>
        <w:spacing w:line="360" w:lineRule="auto"/>
        <w:ind w:firstLine="480" w:firstLineChars="200"/>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一</w:t>
      </w:r>
      <w:r>
        <w:rPr>
          <w:rFonts w:hint="eastAsia" w:ascii="宋体" w:hAnsi="宋体" w:cs="宋体"/>
          <w:sz w:val="24"/>
          <w:szCs w:val="24"/>
          <w:highlight w:val="none"/>
          <w:lang w:eastAsia="zh-CN"/>
        </w:rPr>
        <w:t>、</w:t>
      </w:r>
      <w:r>
        <w:rPr>
          <w:rFonts w:hint="eastAsia" w:ascii="宋体" w:hAnsi="宋体" w:cs="宋体"/>
          <w:sz w:val="24"/>
          <w:szCs w:val="24"/>
          <w:highlight w:val="none"/>
        </w:rPr>
        <w:t>磋商项目编号：</w:t>
      </w:r>
      <w:r>
        <w:rPr>
          <w:rFonts w:hint="eastAsia" w:ascii="宋体" w:hAnsi="宋体" w:cs="宋体"/>
          <w:sz w:val="24"/>
          <w:szCs w:val="24"/>
          <w:highlight w:val="none"/>
          <w:u w:val="single"/>
          <w:lang w:eastAsia="zh-CN"/>
        </w:rPr>
        <w:t xml:space="preserve"> FSJZCS2025029   </w:t>
      </w:r>
    </w:p>
    <w:p w14:paraId="490C52C8">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w:t>
      </w:r>
      <w:r>
        <w:rPr>
          <w:rFonts w:hint="eastAsia" w:ascii="宋体" w:hAnsi="宋体" w:cs="宋体"/>
          <w:sz w:val="24"/>
          <w:szCs w:val="24"/>
          <w:highlight w:val="none"/>
        </w:rPr>
        <w:t>采购组织类型：</w:t>
      </w:r>
      <w:r>
        <w:rPr>
          <w:rFonts w:hint="eastAsia" w:ascii="宋体" w:hAnsi="宋体" w:cs="宋体"/>
          <w:sz w:val="24"/>
          <w:szCs w:val="24"/>
          <w:highlight w:val="none"/>
          <w:u w:val="single"/>
        </w:rPr>
        <w:t>分散采购（中介代理）</w:t>
      </w:r>
    </w:p>
    <w:p w14:paraId="3E477B5A">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w:t>
      </w:r>
      <w:r>
        <w:rPr>
          <w:rFonts w:hint="eastAsia" w:ascii="宋体" w:hAnsi="宋体" w:cs="宋体"/>
          <w:sz w:val="24"/>
          <w:szCs w:val="24"/>
          <w:highlight w:val="none"/>
          <w:lang w:eastAsia="zh-CN"/>
        </w:rPr>
        <w:t>、</w:t>
      </w:r>
      <w:r>
        <w:rPr>
          <w:rFonts w:hint="eastAsia" w:ascii="宋体" w:hAnsi="宋体" w:cs="宋体"/>
          <w:sz w:val="24"/>
          <w:szCs w:val="24"/>
          <w:highlight w:val="none"/>
        </w:rPr>
        <w:t>磋商项目概况:</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Layout w:type="autofit"/>
        <w:tblCellMar>
          <w:top w:w="0" w:type="dxa"/>
          <w:left w:w="108" w:type="dxa"/>
          <w:bottom w:w="0" w:type="dxa"/>
          <w:right w:w="108" w:type="dxa"/>
        </w:tblCellMar>
      </w:tblPr>
      <w:tblGrid>
        <w:gridCol w:w="516"/>
        <w:gridCol w:w="2463"/>
        <w:gridCol w:w="517"/>
        <w:gridCol w:w="517"/>
        <w:gridCol w:w="1178"/>
        <w:gridCol w:w="1636"/>
        <w:gridCol w:w="1178"/>
        <w:gridCol w:w="517"/>
      </w:tblGrid>
      <w:tr w14:paraId="7B0A3D2C">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892" w:hRule="atLeast"/>
          <w:jc w:val="center"/>
        </w:trPr>
        <w:tc>
          <w:tcPr>
            <w:tcW w:w="0" w:type="auto"/>
            <w:tcBorders>
              <w:top w:val="single" w:color="000000" w:sz="4" w:space="0"/>
            </w:tcBorders>
            <w:vAlign w:val="center"/>
          </w:tcPr>
          <w:p w14:paraId="3294E546">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0" w:type="auto"/>
            <w:tcBorders>
              <w:top w:val="single" w:color="000000" w:sz="4" w:space="0"/>
            </w:tcBorders>
            <w:vAlign w:val="center"/>
          </w:tcPr>
          <w:p w14:paraId="01FEF98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0" w:type="auto"/>
            <w:tcBorders>
              <w:top w:val="single" w:color="000000" w:sz="4" w:space="0"/>
            </w:tcBorders>
            <w:vAlign w:val="center"/>
          </w:tcPr>
          <w:p w14:paraId="71105AE9">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数量</w:t>
            </w:r>
          </w:p>
        </w:tc>
        <w:tc>
          <w:tcPr>
            <w:tcW w:w="0" w:type="auto"/>
            <w:tcBorders>
              <w:top w:val="single" w:color="000000" w:sz="4" w:space="0"/>
            </w:tcBorders>
            <w:vAlign w:val="center"/>
          </w:tcPr>
          <w:p w14:paraId="0ECA2B7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单位</w:t>
            </w:r>
          </w:p>
        </w:tc>
        <w:tc>
          <w:tcPr>
            <w:tcW w:w="0" w:type="auto"/>
            <w:tcBorders>
              <w:top w:val="single" w:color="000000" w:sz="4" w:space="0"/>
            </w:tcBorders>
            <w:vAlign w:val="center"/>
          </w:tcPr>
          <w:p w14:paraId="3D84E79D">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预算金额(万元)</w:t>
            </w:r>
          </w:p>
        </w:tc>
        <w:tc>
          <w:tcPr>
            <w:tcW w:w="0" w:type="auto"/>
            <w:tcBorders>
              <w:top w:val="single" w:color="000000" w:sz="4" w:space="0"/>
            </w:tcBorders>
            <w:vAlign w:val="center"/>
          </w:tcPr>
          <w:p w14:paraId="5BFF6F7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简要规格描述或标项基本概况介绍</w:t>
            </w:r>
          </w:p>
        </w:tc>
        <w:tc>
          <w:tcPr>
            <w:tcW w:w="0" w:type="auto"/>
            <w:tcBorders>
              <w:top w:val="single" w:color="000000" w:sz="4" w:space="0"/>
            </w:tcBorders>
            <w:vAlign w:val="center"/>
          </w:tcPr>
          <w:p w14:paraId="047DBC6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最高限价(万元)</w:t>
            </w:r>
          </w:p>
        </w:tc>
        <w:tc>
          <w:tcPr>
            <w:tcW w:w="0" w:type="auto"/>
            <w:tcBorders>
              <w:top w:val="single" w:color="000000" w:sz="4" w:space="0"/>
            </w:tcBorders>
            <w:vAlign w:val="center"/>
          </w:tcPr>
          <w:p w14:paraId="27AF38F8">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7165F939">
        <w:tblPrEx>
          <w:tblBorders>
            <w:top w:val="single" w:color="000000" w:sz="4" w:space="0"/>
            <w:left w:val="single" w:color="000000" w:sz="4" w:space="0"/>
            <w:bottom w:val="single" w:color="000000" w:sz="4" w:space="0"/>
            <w:right w:val="single" w:color="000000" w:sz="4" w:space="0"/>
            <w:insideH w:val="single" w:color="A6A6A6" w:sz="4" w:space="0"/>
            <w:insideV w:val="single" w:color="A6A6A6" w:sz="4" w:space="0"/>
          </w:tblBorders>
          <w:tblCellMar>
            <w:top w:w="0" w:type="dxa"/>
            <w:left w:w="108" w:type="dxa"/>
            <w:bottom w:w="0" w:type="dxa"/>
            <w:right w:w="108" w:type="dxa"/>
          </w:tblCellMar>
        </w:tblPrEx>
        <w:trPr>
          <w:trHeight w:val="1150" w:hRule="atLeast"/>
          <w:jc w:val="center"/>
        </w:trPr>
        <w:tc>
          <w:tcPr>
            <w:tcW w:w="0" w:type="auto"/>
            <w:tcBorders>
              <w:bottom w:val="single" w:color="000000" w:sz="4" w:space="0"/>
            </w:tcBorders>
            <w:vAlign w:val="center"/>
          </w:tcPr>
          <w:p w14:paraId="264A18ED">
            <w:pPr>
              <w:adjustRightInd w:val="0"/>
              <w:jc w:val="center"/>
              <w:rPr>
                <w:rFonts w:ascii="宋体" w:hAnsi="宋体" w:cs="宋体"/>
                <w:sz w:val="24"/>
                <w:szCs w:val="24"/>
                <w:highlight w:val="none"/>
              </w:rPr>
            </w:pPr>
            <w:r>
              <w:rPr>
                <w:rFonts w:hint="eastAsia" w:ascii="宋体" w:hAnsi="宋体" w:cs="宋体"/>
                <w:sz w:val="24"/>
                <w:szCs w:val="24"/>
                <w:highlight w:val="none"/>
              </w:rPr>
              <w:t>1</w:t>
            </w:r>
          </w:p>
        </w:tc>
        <w:tc>
          <w:tcPr>
            <w:tcW w:w="0" w:type="auto"/>
            <w:tcBorders>
              <w:bottom w:val="single" w:color="000000" w:sz="4" w:space="0"/>
            </w:tcBorders>
            <w:vAlign w:val="center"/>
          </w:tcPr>
          <w:p w14:paraId="51C6CCAD">
            <w:pPr>
              <w:adjustRightInd w:val="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2025-2026年区域HIS及区域EMR等系统运维服务项目</w:t>
            </w:r>
          </w:p>
        </w:tc>
        <w:tc>
          <w:tcPr>
            <w:tcW w:w="0" w:type="auto"/>
            <w:tcBorders>
              <w:bottom w:val="single" w:color="000000" w:sz="4" w:space="0"/>
            </w:tcBorders>
            <w:vAlign w:val="center"/>
          </w:tcPr>
          <w:p w14:paraId="0DEF99C8">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0" w:type="auto"/>
            <w:tcBorders>
              <w:bottom w:val="single" w:color="000000" w:sz="4" w:space="0"/>
            </w:tcBorders>
            <w:vAlign w:val="center"/>
          </w:tcPr>
          <w:p w14:paraId="5C9D785C">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项</w:t>
            </w:r>
          </w:p>
        </w:tc>
        <w:tc>
          <w:tcPr>
            <w:tcW w:w="0" w:type="auto"/>
            <w:tcBorders>
              <w:bottom w:val="single" w:color="000000" w:sz="4" w:space="0"/>
            </w:tcBorders>
            <w:vAlign w:val="center"/>
          </w:tcPr>
          <w:p w14:paraId="37B31B56">
            <w:pPr>
              <w:widowControl/>
              <w:spacing w:before="100" w:after="100" w:line="312" w:lineRule="auto"/>
              <w:jc w:val="center"/>
              <w:rPr>
                <w:rFonts w:hint="default" w:ascii="宋体" w:hAnsi="宋体" w:cs="宋体"/>
                <w:sz w:val="24"/>
                <w:szCs w:val="24"/>
                <w:highlight w:val="none"/>
                <w:lang w:val="en-US"/>
              </w:rPr>
            </w:pPr>
            <w:r>
              <w:rPr>
                <w:rFonts w:hint="eastAsia" w:ascii="宋体" w:hAnsi="宋体" w:cs="宋体"/>
                <w:kern w:val="0"/>
                <w:sz w:val="24"/>
                <w:szCs w:val="24"/>
                <w:highlight w:val="none"/>
                <w:lang w:val="en-US" w:eastAsia="zh-CN"/>
              </w:rPr>
              <w:t>103.48</w:t>
            </w:r>
          </w:p>
        </w:tc>
        <w:tc>
          <w:tcPr>
            <w:tcW w:w="0" w:type="auto"/>
            <w:tcBorders>
              <w:bottom w:val="single" w:color="000000" w:sz="4" w:space="0"/>
            </w:tcBorders>
            <w:vAlign w:val="center"/>
          </w:tcPr>
          <w:p w14:paraId="32146F0B">
            <w:pPr>
              <w:pStyle w:val="12"/>
              <w:snapToGrid w:val="0"/>
              <w:spacing w:before="120" w:after="120"/>
              <w:jc w:val="center"/>
              <w:rPr>
                <w:rFonts w:hAnsi="宋体"/>
                <w:sz w:val="24"/>
                <w:szCs w:val="24"/>
                <w:highlight w:val="none"/>
              </w:rPr>
            </w:pPr>
            <w:r>
              <w:rPr>
                <w:rFonts w:hint="eastAsia" w:hAnsi="宋体"/>
                <w:sz w:val="24"/>
                <w:highlight w:val="none"/>
              </w:rPr>
              <w:t>具体详见“第三部分 采购内容及要求”</w:t>
            </w:r>
          </w:p>
        </w:tc>
        <w:tc>
          <w:tcPr>
            <w:tcW w:w="0" w:type="auto"/>
            <w:tcBorders>
              <w:bottom w:val="single" w:color="000000" w:sz="4" w:space="0"/>
            </w:tcBorders>
            <w:vAlign w:val="center"/>
          </w:tcPr>
          <w:p w14:paraId="41D836D1">
            <w:pPr>
              <w:adjustRightInd w:val="0"/>
              <w:spacing w:line="360" w:lineRule="auto"/>
              <w:jc w:val="center"/>
              <w:rPr>
                <w:rFonts w:hint="default" w:ascii="宋体" w:hAnsi="宋体" w:cs="宋体"/>
                <w:sz w:val="24"/>
                <w:szCs w:val="24"/>
                <w:highlight w:val="none"/>
                <w:lang w:val="en-US"/>
              </w:rPr>
            </w:pPr>
            <w:r>
              <w:rPr>
                <w:rFonts w:hint="eastAsia" w:ascii="宋体" w:hAnsi="宋体" w:cs="宋体"/>
                <w:sz w:val="24"/>
                <w:szCs w:val="24"/>
                <w:highlight w:val="none"/>
                <w:lang w:val="en-US" w:eastAsia="zh-CN"/>
              </w:rPr>
              <w:t>103.48</w:t>
            </w:r>
          </w:p>
        </w:tc>
        <w:tc>
          <w:tcPr>
            <w:tcW w:w="0" w:type="auto"/>
            <w:tcBorders>
              <w:bottom w:val="single" w:color="000000" w:sz="4" w:space="0"/>
            </w:tcBorders>
            <w:vAlign w:val="center"/>
          </w:tcPr>
          <w:p w14:paraId="121A0047">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w:t>
            </w:r>
          </w:p>
        </w:tc>
      </w:tr>
    </w:tbl>
    <w:p w14:paraId="18E1A3EC">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w:t>
      </w:r>
      <w:r>
        <w:rPr>
          <w:rFonts w:hint="eastAsia" w:ascii="宋体" w:hAnsi="宋体" w:cs="宋体"/>
          <w:sz w:val="24"/>
          <w:szCs w:val="24"/>
          <w:highlight w:val="none"/>
          <w:lang w:eastAsia="zh-CN"/>
        </w:rPr>
        <w:t>、</w:t>
      </w:r>
      <w:r>
        <w:rPr>
          <w:rFonts w:hint="eastAsia" w:ascii="宋体" w:hAnsi="宋体" w:cs="宋体"/>
          <w:sz w:val="24"/>
          <w:szCs w:val="24"/>
          <w:highlight w:val="none"/>
        </w:rPr>
        <w:t>合格供应商资格要求:</w:t>
      </w:r>
    </w:p>
    <w:p w14:paraId="4652D591">
      <w:pPr>
        <w:numPr>
          <w:ilvl w:val="0"/>
          <w:numId w:val="2"/>
        </w:numPr>
        <w:adjustRightInd w:val="0"/>
        <w:spacing w:line="360" w:lineRule="auto"/>
        <w:ind w:firstLine="480" w:firstLineChars="200"/>
        <w:jc w:val="both"/>
        <w:rPr>
          <w:rFonts w:ascii="宋体" w:hAnsi="宋体" w:cs="宋体"/>
          <w:sz w:val="24"/>
          <w:szCs w:val="24"/>
          <w:highlight w:val="none"/>
        </w:rPr>
      </w:pPr>
      <w:r>
        <w:rPr>
          <w:rFonts w:hint="eastAsia" w:ascii="宋体" w:hAnsi="宋体" w:cs="宋体"/>
          <w:sz w:val="24"/>
          <w:szCs w:val="24"/>
          <w:highlight w:val="none"/>
        </w:rPr>
        <w:t>符合政府采购法第二十二条，且未被“信用中国”（www.creditchina.gov.cn）、中国政府采购网（www.ccgp.gov.cn）列入失信被执行人、重大税收违法失信主体、政府采购严重违法失信行为记录名单。</w:t>
      </w:r>
    </w:p>
    <w:p w14:paraId="3A2C95F8">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落实政府采购政策需满足的资格要求：</w:t>
      </w:r>
      <w:r>
        <w:rPr>
          <w:rFonts w:hint="eastAsia" w:ascii="宋体" w:hAnsi="宋体" w:cs="宋体"/>
          <w:sz w:val="24"/>
          <w:highlight w:val="none"/>
        </w:rPr>
        <w:t>供应商为中小企业/小微企业</w:t>
      </w:r>
      <w:r>
        <w:rPr>
          <w:rFonts w:hint="eastAsia" w:ascii="宋体" w:hAnsi="宋体" w:cs="宋体"/>
          <w:sz w:val="24"/>
          <w:szCs w:val="24"/>
          <w:highlight w:val="none"/>
        </w:rPr>
        <w:t>。</w:t>
      </w:r>
    </w:p>
    <w:p w14:paraId="0082D28C">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w:t>
      </w:r>
      <w:r>
        <w:rPr>
          <w:rFonts w:hint="eastAsia" w:ascii="宋体" w:hAnsi="宋体" w:cs="宋体"/>
          <w:sz w:val="24"/>
          <w:szCs w:val="24"/>
          <w:highlight w:val="none"/>
          <w:u w:val="single"/>
        </w:rPr>
        <w:t>不接受</w:t>
      </w:r>
      <w:r>
        <w:rPr>
          <w:rFonts w:hint="eastAsia" w:ascii="宋体" w:hAnsi="宋体" w:cs="宋体"/>
          <w:sz w:val="24"/>
          <w:szCs w:val="24"/>
          <w:highlight w:val="none"/>
        </w:rPr>
        <w:t>联合体参加磋商。</w:t>
      </w:r>
    </w:p>
    <w:p w14:paraId="2DEC93D7">
      <w:pPr>
        <w:numPr>
          <w:ilvl w:val="0"/>
          <w:numId w:val="2"/>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本项目采用资格后审的审查方式，由磋商小组负责审查。</w:t>
      </w:r>
    </w:p>
    <w:p w14:paraId="01AC553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w:t>
      </w:r>
      <w:r>
        <w:rPr>
          <w:rFonts w:hint="eastAsia" w:ascii="宋体" w:hAnsi="宋体" w:cs="宋体"/>
          <w:sz w:val="24"/>
          <w:szCs w:val="24"/>
          <w:highlight w:val="none"/>
          <w:lang w:eastAsia="zh-CN"/>
        </w:rPr>
        <w:t>、</w:t>
      </w:r>
      <w:r>
        <w:rPr>
          <w:rFonts w:hint="eastAsia" w:ascii="宋体" w:hAnsi="宋体" w:cs="宋体"/>
          <w:sz w:val="24"/>
          <w:szCs w:val="24"/>
          <w:highlight w:val="none"/>
        </w:rPr>
        <w:t>获取磋商文件</w:t>
      </w:r>
    </w:p>
    <w:p w14:paraId="365ACA52">
      <w:pPr>
        <w:numPr>
          <w:ilvl w:val="0"/>
          <w:numId w:val="3"/>
        </w:numPr>
        <w:adjustRightInd w:val="0"/>
        <w:spacing w:line="360" w:lineRule="auto"/>
        <w:ind w:firstLine="480" w:firstLineChars="200"/>
        <w:rPr>
          <w:rFonts w:ascii="宋体" w:hAnsi="宋体" w:cs="宋体"/>
          <w:sz w:val="24"/>
          <w:szCs w:val="24"/>
          <w:highlight w:val="none"/>
        </w:rPr>
      </w:pPr>
      <w:bookmarkStart w:id="5" w:name="报名开始时间1"/>
      <w:r>
        <w:rPr>
          <w:rFonts w:hint="eastAsia" w:ascii="宋体" w:hAnsi="宋体" w:cs="宋体"/>
          <w:sz w:val="24"/>
          <w:szCs w:val="24"/>
          <w:highlight w:val="none"/>
        </w:rPr>
        <w:t>获取磋商文件时间:</w:t>
      </w:r>
      <w:bookmarkEnd w:id="5"/>
      <w:r>
        <w:rPr>
          <w:rFonts w:hint="eastAsia" w:ascii="宋体" w:hAnsi="宋体" w:cs="宋体"/>
          <w:sz w:val="24"/>
          <w:szCs w:val="24"/>
          <w:highlight w:val="none"/>
          <w:u w:val="single"/>
        </w:rPr>
        <w:t>2025年</w:t>
      </w:r>
      <w:r>
        <w:rPr>
          <w:rFonts w:hint="eastAsia" w:ascii="宋体" w:hAnsi="宋体" w:cs="宋体"/>
          <w:sz w:val="24"/>
          <w:szCs w:val="24"/>
          <w:highlight w:val="none"/>
          <w:u w:val="single"/>
          <w:lang w:val="en-US" w:eastAsia="zh-CN"/>
        </w:rPr>
        <w:t xml:space="preserve">  7 </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 xml:space="preserve">  25 </w:t>
      </w:r>
      <w:r>
        <w:rPr>
          <w:rFonts w:hint="eastAsia" w:ascii="宋体" w:hAnsi="宋体" w:cs="宋体"/>
          <w:sz w:val="24"/>
          <w:szCs w:val="24"/>
          <w:highlight w:val="none"/>
          <w:u w:val="single"/>
        </w:rPr>
        <w:t>日9:30</w:t>
      </w:r>
      <w:r>
        <w:rPr>
          <w:rFonts w:hint="eastAsia" w:ascii="宋体" w:hAnsi="宋体" w:cs="宋体"/>
          <w:sz w:val="24"/>
          <w:szCs w:val="24"/>
          <w:highlight w:val="none"/>
        </w:rPr>
        <w:t>之前获取。</w:t>
      </w:r>
    </w:p>
    <w:p w14:paraId="756ECDC1">
      <w:pPr>
        <w:numPr>
          <w:ilvl w:val="0"/>
          <w:numId w:val="3"/>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获取磋商文件方式：供应商登录政采云平台http://www.zcygov.cn/，在线申请获取磋商文件（进入“项目采购”应用，在获取采购文件菜单中选择项目，申请获取采购文件）。</w:t>
      </w:r>
    </w:p>
    <w:p w14:paraId="21002491">
      <w:pPr>
        <w:numPr>
          <w:ilvl w:val="0"/>
          <w:numId w:val="3"/>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提示：</w:t>
      </w:r>
    </w:p>
    <w:p w14:paraId="583AC86D">
      <w:pPr>
        <w:numPr>
          <w:ilvl w:val="0"/>
          <w:numId w:val="4"/>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将拒绝接受未获取磋商文件供应商的响应文件。</w:t>
      </w:r>
    </w:p>
    <w:p w14:paraId="5B58D2DA">
      <w:pPr>
        <w:numPr>
          <w:ilvl w:val="0"/>
          <w:numId w:val="4"/>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磋商文件及更正补充公告请自行登录浙江政府采购网或绍兴市上虞区公共资源交易中心网站，在采购公告页面中下载。</w:t>
      </w:r>
    </w:p>
    <w:p w14:paraId="51BBA1EC">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w:t>
      </w:r>
      <w:r>
        <w:rPr>
          <w:rFonts w:hint="eastAsia" w:ascii="宋体" w:hAnsi="宋体" w:cs="宋体"/>
          <w:sz w:val="24"/>
          <w:szCs w:val="24"/>
          <w:highlight w:val="none"/>
          <w:lang w:eastAsia="zh-CN"/>
        </w:rPr>
        <w:t>、</w:t>
      </w:r>
      <w:r>
        <w:rPr>
          <w:rFonts w:hint="eastAsia" w:ascii="宋体" w:hAnsi="宋体" w:cs="宋体"/>
          <w:sz w:val="24"/>
          <w:szCs w:val="24"/>
          <w:highlight w:val="none"/>
        </w:rPr>
        <w:t>投标与开标注意事项：</w:t>
      </w:r>
    </w:p>
    <w:p w14:paraId="594355B5">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本项目实行</w:t>
      </w:r>
      <w:r>
        <w:rPr>
          <w:rFonts w:hint="eastAsia" w:ascii="宋体" w:hAnsi="宋体" w:cs="宋体"/>
          <w:b/>
          <w:bCs/>
          <w:sz w:val="24"/>
          <w:szCs w:val="24"/>
          <w:highlight w:val="none"/>
        </w:rPr>
        <w:t>网上投标</w:t>
      </w:r>
      <w:r>
        <w:rPr>
          <w:rFonts w:hint="eastAsia" w:ascii="宋体" w:hAnsi="宋体" w:cs="宋体"/>
          <w:sz w:val="24"/>
          <w:szCs w:val="24"/>
          <w:highlight w:val="none"/>
        </w:rPr>
        <w:t>，采用电子投标文件，若供应商参与投标，自行承担投标一切费用。</w:t>
      </w:r>
    </w:p>
    <w:p w14:paraId="5151B579">
      <w:pPr>
        <w:numPr>
          <w:ilvl w:val="0"/>
          <w:numId w:val="5"/>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标前准备：各供应商应在开标前应确保成为浙江省政府采购网正式注册入库供应商，并完成CA数字证书办理。因未注册入库、未办理CA数字证书等原因造成无法投标或投标失败等后果由供应商自行承担。</w:t>
      </w:r>
    </w:p>
    <w:p w14:paraId="394EDBB5">
      <w:pPr>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供应商将政采云电子交易客户端下载、安装完成后，可通过账号密码或CA登录客户端进行投标文件制作。在使用政采云投标客户端时，建议使用WIN7及以上操作系统。</w:t>
      </w:r>
    </w:p>
    <w:p w14:paraId="53F6EBB9">
      <w:pPr>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注：供应商先要申领CA，取得CA后需要在政采云平台进行绑定，CA相关操作可参考《CA管理学习专题》。完成CA数字证书办理在资料齐全的情况下预计7个工作日左右，建议供应商获取招标文件后立即办理。</w:t>
      </w:r>
    </w:p>
    <w:p w14:paraId="00F093CB">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《CA管理学习专题》：</w:t>
      </w:r>
    </w:p>
    <w:p w14:paraId="7441AF6B">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https://edu.zcygov.cn/luban/ca?utm=web-government-front.380aac0a.0.0.fc2b6aa0b6e211ebbdb0dd007730dd44</w:t>
      </w:r>
    </w:p>
    <w:p w14:paraId="12E06353">
      <w:pPr>
        <w:adjustRightInd w:val="0"/>
        <w:spacing w:line="360" w:lineRule="auto"/>
        <w:ind w:left="420" w:leftChars="200"/>
        <w:rPr>
          <w:rFonts w:ascii="宋体" w:hAnsi="宋体" w:cs="宋体"/>
          <w:sz w:val="24"/>
          <w:highlight w:val="none"/>
        </w:rPr>
      </w:pPr>
      <w:r>
        <w:rPr>
          <w:rFonts w:hint="eastAsia" w:ascii="宋体" w:hAnsi="宋体" w:cs="宋体"/>
          <w:sz w:val="24"/>
          <w:highlight w:val="none"/>
        </w:rPr>
        <w:t>《CA驱动和申领流程》:</w:t>
      </w:r>
    </w:p>
    <w:p w14:paraId="166A3C12">
      <w:pPr>
        <w:adjustRightInd w:val="0"/>
        <w:spacing w:line="360" w:lineRule="auto"/>
        <w:rPr>
          <w:rFonts w:hint="eastAsia" w:ascii="宋体" w:hAnsi="宋体" w:cs="宋体"/>
          <w:sz w:val="24"/>
          <w:highlight w:val="none"/>
        </w:rPr>
      </w:pPr>
      <w:r>
        <w:rPr>
          <w:rFonts w:hint="eastAsia" w:ascii="宋体" w:hAnsi="宋体" w:cs="宋体"/>
          <w:sz w:val="24"/>
          <w:highlight w:val="none"/>
        </w:rPr>
        <w:t>登录政采云平台https://login.zcygov.cn/user-login/#/login-【系统管理】-【CA管理】-【CA证书申领】-【申领证书】去申领。</w:t>
      </w:r>
    </w:p>
    <w:p w14:paraId="450E4479">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投标文件制作：</w:t>
      </w:r>
    </w:p>
    <w:p w14:paraId="77827ED9">
      <w:pPr>
        <w:numPr>
          <w:ilvl w:val="0"/>
          <w:numId w:val="6"/>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应按照本项目招标文件和政采云平台的要求编制、加密并递交投标文件。供应商在使用系统进行投标的过程中遇到涉及平台使用的任何问题，可致电政采云平台技术支持热线咨询，联系方式：95763。</w:t>
      </w:r>
    </w:p>
    <w:p w14:paraId="7202656A">
      <w:pPr>
        <w:numPr>
          <w:ilvl w:val="0"/>
          <w:numId w:val="6"/>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供应商</w:t>
      </w:r>
      <w:r>
        <w:rPr>
          <w:rFonts w:hint="eastAsia" w:ascii="宋体" w:hAnsi="宋体" w:cs="宋体"/>
          <w:sz w:val="24"/>
          <w:szCs w:val="24"/>
          <w:highlight w:val="none"/>
        </w:rPr>
        <w:t>通过“政采云”平台电子投标工具制作投标文件。</w:t>
      </w:r>
    </w:p>
    <w:p w14:paraId="452B4CE6">
      <w:pPr>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《电子投标工具》：</w:t>
      </w:r>
    </w:p>
    <w:p w14:paraId="66622C8B">
      <w:pPr>
        <w:adjustRightInd w:val="0"/>
        <w:spacing w:line="360" w:lineRule="auto"/>
        <w:ind w:firstLine="420" w:firstLineChars="200"/>
        <w:jc w:val="left"/>
        <w:rPr>
          <w:rFonts w:hint="eastAsia" w:ascii="宋体" w:hAnsi="宋体" w:cs="宋体"/>
          <w:sz w:val="24"/>
          <w:highlight w:val="none"/>
        </w:rPr>
      </w:pPr>
      <w:r>
        <w:rPr>
          <w:rFonts w:hint="eastAsia" w:ascii="宋体" w:hAnsi="宋体" w:cs="宋体"/>
          <w:highlight w:val="none"/>
        </w:rPr>
        <w:t>https://zfcg.czt.zj.gov.cn/site/detail?parentId=600030&amp;articleId=ZoGATzO%2FwUdM7eXAIXLAyg%3D%3D</w:t>
      </w:r>
    </w:p>
    <w:p w14:paraId="4410E3F4">
      <w:pPr>
        <w:adjustRightIn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《供应商-政府采购项目电子交易操作指南》：(需登录账号后查看)</w:t>
      </w:r>
    </w:p>
    <w:p w14:paraId="4C5F427C">
      <w:pPr>
        <w:adjustRightInd w:val="0"/>
        <w:spacing w:line="360" w:lineRule="auto"/>
        <w:ind w:firstLine="420" w:firstLineChars="200"/>
        <w:jc w:val="left"/>
        <w:rPr>
          <w:rFonts w:ascii="宋体" w:hAnsi="宋体" w:cs="宋体"/>
          <w:sz w:val="24"/>
          <w:szCs w:val="24"/>
          <w:highlight w:val="none"/>
        </w:rPr>
      </w:pPr>
      <w:r>
        <w:rPr>
          <w:highlight w:val="none"/>
        </w:rPr>
        <w:fldChar w:fldCharType="begin"/>
      </w:r>
      <w:r>
        <w:rPr>
          <w:highlight w:val="none"/>
        </w:rPr>
        <w:instrText xml:space="preserve"> HYPERLINK "https://service.zcygov.cn/" \l "/knowledges/tree?tag=AG1DtGwBFdiHxlNdhY0r" </w:instrText>
      </w:r>
      <w:r>
        <w:rPr>
          <w:highlight w:val="none"/>
        </w:rPr>
        <w:fldChar w:fldCharType="separate"/>
      </w:r>
      <w:r>
        <w:rPr>
          <w:rFonts w:hint="eastAsia" w:ascii="宋体" w:hAnsi="宋体" w:cs="宋体"/>
          <w:sz w:val="24"/>
          <w:szCs w:val="24"/>
          <w:highlight w:val="none"/>
        </w:rPr>
        <w:t>https://service.zcygov.cn/#/knowledges/tree?tag=AG1DtGwBFdiHxlNdhY0r</w:t>
      </w:r>
      <w:r>
        <w:rPr>
          <w:rFonts w:hint="eastAsia" w:ascii="宋体" w:hAnsi="宋体" w:cs="宋体"/>
          <w:sz w:val="24"/>
          <w:szCs w:val="24"/>
          <w:highlight w:val="none"/>
        </w:rPr>
        <w:fldChar w:fldCharType="end"/>
      </w:r>
    </w:p>
    <w:p w14:paraId="3C290551">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供应商在法定质疑期内应一次性提出针对同一采购程序环节的质疑。</w:t>
      </w:r>
    </w:p>
    <w:p w14:paraId="477BFB9A">
      <w:pPr>
        <w:numPr>
          <w:ilvl w:val="0"/>
          <w:numId w:val="5"/>
        </w:numPr>
        <w:adjustRightInd w:val="0"/>
        <w:spacing w:line="360" w:lineRule="auto"/>
        <w:ind w:firstLine="480" w:firstLineChars="200"/>
        <w:rPr>
          <w:rFonts w:ascii="宋体" w:hAnsi="宋体" w:cs="宋体"/>
          <w:sz w:val="24"/>
          <w:szCs w:val="24"/>
          <w:highlight w:val="none"/>
        </w:rPr>
      </w:pPr>
      <w:r>
        <w:rPr>
          <w:rFonts w:hint="eastAsia" w:ascii="宋体" w:hAnsi="宋体" w:cs="宋体"/>
          <w:sz w:val="24"/>
          <w:highlight w:val="none"/>
        </w:rPr>
        <w:t>供应商</w:t>
      </w:r>
      <w:r>
        <w:rPr>
          <w:rFonts w:hint="eastAsia" w:ascii="宋体" w:hAnsi="宋体" w:cs="宋体"/>
          <w:sz w:val="24"/>
          <w:szCs w:val="24"/>
          <w:highlight w:val="none"/>
        </w:rPr>
        <w:t>可指派授权代表递交备份文件，授权代表递交备份文件需携带法定代表人授权书原件，于投标截止时间前到达开标地点递交。</w:t>
      </w:r>
    </w:p>
    <w:p w14:paraId="55FD7BF7">
      <w:pPr>
        <w:numPr>
          <w:ilvl w:val="0"/>
          <w:numId w:val="5"/>
        </w:numPr>
        <w:adjustRightInd w:val="0"/>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特别提醒</w:t>
      </w:r>
    </w:p>
    <w:p w14:paraId="10AD4D80">
      <w:pPr>
        <w:numPr>
          <w:ilvl w:val="0"/>
          <w:numId w:val="7"/>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单位负责人为同一人或者存在直接控股、管理关系的不同供应商，不得参加同一合同项下的政府采购活动。</w:t>
      </w:r>
    </w:p>
    <w:p w14:paraId="10BB1BF4">
      <w:pPr>
        <w:numPr>
          <w:ilvl w:val="0"/>
          <w:numId w:val="7"/>
        </w:numPr>
        <w:wordWrap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除单一来源采购项目外，为采购项目提供整体设计、规范编制或者项目管理、监理、检测等服务的供应商，不得再参加该采购项目的其他采购活动。</w:t>
      </w:r>
    </w:p>
    <w:p w14:paraId="053E187E">
      <w:pPr>
        <w:adjustRightInd w:val="0"/>
        <w:spacing w:line="360" w:lineRule="auto"/>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七</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磋商响应截止时间及要求：</w:t>
      </w:r>
      <w:r>
        <w:rPr>
          <w:rFonts w:hint="eastAsia" w:ascii="宋体" w:hAnsi="宋体" w:cs="宋体"/>
          <w:sz w:val="24"/>
          <w:szCs w:val="24"/>
          <w:highlight w:val="none"/>
          <w:u w:val="single"/>
        </w:rPr>
        <w:t xml:space="preserve"> 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7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25 </w:t>
      </w:r>
      <w:r>
        <w:rPr>
          <w:rFonts w:hint="eastAsia" w:ascii="宋体" w:hAnsi="宋体" w:cs="宋体"/>
          <w:sz w:val="24"/>
          <w:szCs w:val="24"/>
          <w:highlight w:val="none"/>
        </w:rPr>
        <w:t>日</w:t>
      </w:r>
      <w:r>
        <w:rPr>
          <w:rFonts w:hint="eastAsia" w:ascii="宋体" w:hAnsi="宋体" w:cs="宋体"/>
          <w:sz w:val="24"/>
          <w:szCs w:val="24"/>
          <w:highlight w:val="none"/>
          <w:u w:val="single"/>
        </w:rPr>
        <w:t>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分整</w:t>
      </w:r>
      <w:r>
        <w:rPr>
          <w:rFonts w:hint="eastAsia" w:ascii="宋体" w:hAnsi="宋体" w:cs="宋体"/>
          <w:kern w:val="0"/>
          <w:sz w:val="24"/>
          <w:szCs w:val="24"/>
          <w:highlight w:val="none"/>
        </w:rPr>
        <w:t>之前将电子磋商响应文件上传到“政采云”平台。</w:t>
      </w:r>
    </w:p>
    <w:p w14:paraId="23E4EC2C">
      <w:pPr>
        <w:adjustRightInd w:val="0"/>
        <w:spacing w:line="360" w:lineRule="auto"/>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b/>
          <w:bCs/>
          <w:sz w:val="24"/>
          <w:szCs w:val="24"/>
          <w:highlight w:val="none"/>
          <w:lang w:eastAsia="zh-CN"/>
        </w:rPr>
        <w:t>、</w:t>
      </w:r>
      <w:r>
        <w:rPr>
          <w:rFonts w:hint="eastAsia" w:ascii="宋体" w:hAnsi="宋体" w:cs="宋体"/>
          <w:b/>
          <w:bCs/>
          <w:sz w:val="24"/>
          <w:szCs w:val="24"/>
          <w:highlight w:val="none"/>
        </w:rPr>
        <w:t>递交首次响应文件时间及地点：</w:t>
      </w:r>
      <w:bookmarkStart w:id="6" w:name="B30_开标地点"/>
      <w:r>
        <w:rPr>
          <w:rFonts w:hint="eastAsia" w:ascii="宋体" w:hAnsi="宋体" w:cs="宋体"/>
          <w:sz w:val="24"/>
          <w:szCs w:val="24"/>
          <w:highlight w:val="none"/>
          <w:u w:val="single"/>
        </w:rPr>
        <w:t xml:space="preserve"> 2025</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 xml:space="preserve">  7 </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 xml:space="preserve">  25 </w:t>
      </w:r>
      <w:r>
        <w:rPr>
          <w:rFonts w:hint="eastAsia" w:ascii="宋体" w:hAnsi="宋体" w:cs="宋体"/>
          <w:sz w:val="24"/>
          <w:szCs w:val="24"/>
          <w:highlight w:val="none"/>
        </w:rPr>
        <w:t>日</w:t>
      </w:r>
      <w:r>
        <w:rPr>
          <w:rFonts w:hint="eastAsia" w:ascii="宋体" w:hAnsi="宋体" w:cs="宋体"/>
          <w:sz w:val="24"/>
          <w:szCs w:val="24"/>
          <w:highlight w:val="none"/>
          <w:u w:val="single"/>
        </w:rPr>
        <w:t>9</w:t>
      </w:r>
      <w:r>
        <w:rPr>
          <w:rFonts w:hint="eastAsia" w:ascii="宋体" w:hAnsi="宋体" w:cs="宋体"/>
          <w:sz w:val="24"/>
          <w:szCs w:val="24"/>
          <w:highlight w:val="none"/>
        </w:rPr>
        <w:t>时</w:t>
      </w:r>
      <w:r>
        <w:rPr>
          <w:rFonts w:hint="eastAsia" w:ascii="宋体" w:hAnsi="宋体" w:cs="宋体"/>
          <w:sz w:val="24"/>
          <w:szCs w:val="24"/>
          <w:highlight w:val="none"/>
          <w:u w:val="single"/>
        </w:rPr>
        <w:t>30</w:t>
      </w:r>
      <w:r>
        <w:rPr>
          <w:rFonts w:hint="eastAsia" w:ascii="宋体" w:hAnsi="宋体" w:cs="宋体"/>
          <w:sz w:val="24"/>
          <w:szCs w:val="24"/>
          <w:highlight w:val="none"/>
        </w:rPr>
        <w:t>分整在</w:t>
      </w:r>
      <w:bookmarkEnd w:id="6"/>
      <w:r>
        <w:rPr>
          <w:rFonts w:hint="eastAsia" w:ascii="宋体" w:hAnsi="宋体" w:cs="宋体"/>
          <w:color w:val="auto"/>
          <w:sz w:val="24"/>
          <w:szCs w:val="24"/>
          <w:highlight w:val="none"/>
        </w:rPr>
        <w:t>上虞区公共资源交易中心三楼</w:t>
      </w:r>
      <w:r>
        <w:rPr>
          <w:rFonts w:hint="eastAsia" w:ascii="宋体" w:hAnsi="宋体" w:cs="宋体"/>
          <w:color w:val="auto"/>
          <w:sz w:val="24"/>
          <w:szCs w:val="24"/>
          <w:highlight w:val="none"/>
          <w:u w:val="single"/>
          <w:lang w:val="en-US" w:eastAsia="zh-CN"/>
        </w:rPr>
        <w:t xml:space="preserve">   357  </w:t>
      </w:r>
      <w:r>
        <w:rPr>
          <w:rFonts w:hint="eastAsia" w:ascii="宋体" w:hAnsi="宋体" w:cs="宋体"/>
          <w:color w:val="auto"/>
          <w:sz w:val="24"/>
          <w:szCs w:val="24"/>
          <w:highlight w:val="none"/>
        </w:rPr>
        <w:t>开标室开标。</w:t>
      </w:r>
    </w:p>
    <w:p w14:paraId="59676DBD">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开标时间后30分钟内供应商可以登录“政采云”平台，用“项目采购-开标评标”功能进行解密响应文件。若供应商在规定时间内解密失败，则由采购代理机构工作人员上传供应商提供的备份文件。备份文件（后缀名为.bfbs）须存储在U盘中，与上传的电子磋商响应文件一致，用信封进行密封并盖章（</w:t>
      </w:r>
      <w:r>
        <w:rPr>
          <w:rFonts w:hint="eastAsia" w:ascii="宋体" w:hAnsi="宋体" w:cs="宋体"/>
          <w:b/>
          <w:bCs/>
          <w:sz w:val="24"/>
          <w:szCs w:val="24"/>
          <w:highlight w:val="none"/>
        </w:rPr>
        <w:t>信封内仅需放入存储备份文件的U盘</w:t>
      </w:r>
      <w:r>
        <w:rPr>
          <w:rFonts w:hint="eastAsia" w:ascii="宋体" w:hAnsi="宋体" w:cs="宋体"/>
          <w:sz w:val="24"/>
          <w:szCs w:val="24"/>
          <w:highlight w:val="none"/>
        </w:rPr>
        <w:t>），由授权代表在磋商响应截止时间前递交至开标地点。若电子磋商响应文件正常解锁，则U盘退还给供应商；若解锁失败，则由采购代理机构将U盘中的备份文件上传，该U盘将由采购代理机构保存。</w:t>
      </w:r>
    </w:p>
    <w:p w14:paraId="326F75E2">
      <w:pPr>
        <w:adjustRightIn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本次开标不提供现场视频。</w:t>
      </w:r>
    </w:p>
    <w:p w14:paraId="1D657984">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九</w:t>
      </w:r>
      <w:r>
        <w:rPr>
          <w:rFonts w:hint="eastAsia" w:ascii="宋体" w:hAnsi="宋体" w:cs="宋体"/>
          <w:sz w:val="24"/>
          <w:szCs w:val="24"/>
          <w:highlight w:val="none"/>
          <w:lang w:eastAsia="zh-CN"/>
        </w:rPr>
        <w:t>、</w:t>
      </w:r>
      <w:r>
        <w:rPr>
          <w:rFonts w:hint="eastAsia" w:ascii="宋体" w:hAnsi="宋体" w:cs="宋体"/>
          <w:sz w:val="24"/>
          <w:szCs w:val="24"/>
          <w:highlight w:val="none"/>
        </w:rPr>
        <w:t>磋商保证金：无</w:t>
      </w:r>
    </w:p>
    <w:p w14:paraId="2D30CAC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w:t>
      </w:r>
      <w:r>
        <w:rPr>
          <w:rFonts w:hint="eastAsia" w:ascii="宋体" w:hAnsi="宋体" w:cs="宋体"/>
          <w:sz w:val="24"/>
          <w:szCs w:val="24"/>
          <w:highlight w:val="none"/>
          <w:lang w:eastAsia="zh-CN"/>
        </w:rPr>
        <w:t>、</w:t>
      </w:r>
      <w:r>
        <w:rPr>
          <w:rFonts w:hint="eastAsia" w:ascii="宋体" w:hAnsi="宋体" w:cs="宋体"/>
          <w:sz w:val="24"/>
          <w:szCs w:val="24"/>
          <w:highlight w:val="none"/>
        </w:rPr>
        <w:t>公告期限：3个工作日</w:t>
      </w:r>
    </w:p>
    <w:p w14:paraId="7BE634C1">
      <w:pPr>
        <w:adjustRightInd w:val="0"/>
        <w:spacing w:line="360" w:lineRule="auto"/>
        <w:ind w:firstLine="480" w:firstLineChars="200"/>
        <w:rPr>
          <w:rFonts w:hint="eastAsia" w:ascii="宋体" w:hAnsi="宋体" w:cs="宋体"/>
          <w:sz w:val="24"/>
          <w:szCs w:val="24"/>
          <w:highlight w:val="none"/>
        </w:rPr>
      </w:pPr>
    </w:p>
    <w:p w14:paraId="108C7DCB">
      <w:pPr>
        <w:rPr>
          <w:rFonts w:hint="eastAsia" w:ascii="宋体" w:hAnsi="宋体" w:cs="宋体"/>
          <w:sz w:val="24"/>
          <w:szCs w:val="24"/>
          <w:highlight w:val="none"/>
        </w:rPr>
      </w:pPr>
      <w:r>
        <w:rPr>
          <w:rFonts w:hint="eastAsia" w:ascii="宋体" w:hAnsi="宋体" w:cs="宋体"/>
          <w:sz w:val="24"/>
          <w:szCs w:val="24"/>
          <w:highlight w:val="none"/>
        </w:rPr>
        <w:br w:type="page"/>
      </w:r>
    </w:p>
    <w:p w14:paraId="0503ED8A">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十一</w:t>
      </w:r>
      <w:r>
        <w:rPr>
          <w:rFonts w:hint="eastAsia" w:ascii="宋体" w:hAnsi="宋体" w:cs="宋体"/>
          <w:sz w:val="24"/>
          <w:szCs w:val="24"/>
          <w:highlight w:val="none"/>
          <w:lang w:eastAsia="zh-CN"/>
        </w:rPr>
        <w:t>、</w:t>
      </w:r>
      <w:r>
        <w:rPr>
          <w:rFonts w:hint="eastAsia" w:ascii="宋体" w:hAnsi="宋体" w:cs="宋体"/>
          <w:sz w:val="24"/>
          <w:szCs w:val="24"/>
          <w:highlight w:val="none"/>
        </w:rPr>
        <w:t>联系方式：</w:t>
      </w:r>
    </w:p>
    <w:p w14:paraId="3E94A7CA">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1．采购代理机构名称：绍兴成言工程咨询管理有限公司</w:t>
      </w:r>
    </w:p>
    <w:p w14:paraId="2913E3F4">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项目联系人（询问）：周女士</w:t>
      </w:r>
    </w:p>
    <w:p w14:paraId="24C21EFB">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项目联系方式（询问）：</w:t>
      </w:r>
      <w:r>
        <w:rPr>
          <w:rFonts w:hint="eastAsia" w:ascii="宋体" w:hAnsi="宋体" w:cs="宋体"/>
          <w:kern w:val="0"/>
          <w:sz w:val="24"/>
          <w:szCs w:val="24"/>
          <w:highlight w:val="none"/>
        </w:rPr>
        <w:t>18005858072</w:t>
      </w:r>
    </w:p>
    <w:p w14:paraId="1FF7EDE8">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质疑联系人：章女士</w:t>
      </w:r>
    </w:p>
    <w:p w14:paraId="5CA529F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质疑联系方式：0575-81280058</w:t>
      </w:r>
    </w:p>
    <w:p w14:paraId="2E70AF77">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地址：绍兴市上虞区百官街道梁祝大道2385号万金大厦24楼</w:t>
      </w:r>
    </w:p>
    <w:p w14:paraId="10391C9C">
      <w:pPr>
        <w:adjustRightIn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2．采购人名称：</w:t>
      </w:r>
      <w:r>
        <w:rPr>
          <w:rFonts w:hint="eastAsia" w:ascii="宋体" w:hAnsi="宋体" w:cs="宋体"/>
          <w:sz w:val="24"/>
          <w:szCs w:val="24"/>
          <w:highlight w:val="none"/>
          <w:lang w:eastAsia="zh-CN"/>
        </w:rPr>
        <w:t>绍兴市上虞区卫生信息中心</w:t>
      </w:r>
    </w:p>
    <w:p w14:paraId="17E74A42">
      <w:pPr>
        <w:adjustRightIn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 xml:space="preserve">项目联系人（询问）： </w:t>
      </w:r>
      <w:r>
        <w:rPr>
          <w:rFonts w:hint="eastAsia" w:ascii="宋体" w:hAnsi="宋体" w:cs="宋体"/>
          <w:sz w:val="24"/>
          <w:highlight w:val="none"/>
          <w:lang w:val="en-US" w:eastAsia="zh-CN"/>
        </w:rPr>
        <w:t>吕先生</w:t>
      </w:r>
    </w:p>
    <w:p w14:paraId="0928D8E1">
      <w:pPr>
        <w:adjustRightIn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 xml:space="preserve">项目联系方式（询问）：0575-82386706 </w:t>
      </w:r>
      <w:r>
        <w:rPr>
          <w:rFonts w:hint="eastAsia" w:ascii="宋体" w:hAnsi="宋体" w:cs="宋体"/>
          <w:sz w:val="24"/>
          <w:highlight w:val="none"/>
          <w:lang w:val="en-US" w:eastAsia="zh-CN"/>
        </w:rPr>
        <w:t xml:space="preserve"> </w:t>
      </w:r>
    </w:p>
    <w:p w14:paraId="7BDBC810">
      <w:pPr>
        <w:adjustRightIn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color w:val="auto"/>
          <w:sz w:val="24"/>
          <w:szCs w:val="24"/>
          <w:lang w:val="en-US" w:eastAsia="zh-CN"/>
        </w:rPr>
        <w:t>王先生</w:t>
      </w:r>
    </w:p>
    <w:p w14:paraId="1FD49BA6">
      <w:pPr>
        <w:adjustRightInd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质疑联系方式：</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rPr>
        <w:t>0575</w:t>
      </w:r>
      <w:r>
        <w:rPr>
          <w:rFonts w:hint="eastAsia" w:ascii="宋体" w:hAnsi="宋体" w:cs="宋体"/>
          <w:color w:val="auto"/>
          <w:sz w:val="24"/>
          <w:szCs w:val="24"/>
          <w:lang w:eastAsia="zh-CN"/>
        </w:rPr>
        <w:t>—</w:t>
      </w:r>
      <w:r>
        <w:rPr>
          <w:rFonts w:hint="eastAsia" w:ascii="宋体" w:hAnsi="宋体" w:cs="宋体"/>
          <w:color w:val="auto"/>
          <w:sz w:val="24"/>
          <w:szCs w:val="24"/>
        </w:rPr>
        <w:t>823967</w:t>
      </w:r>
      <w:r>
        <w:rPr>
          <w:rFonts w:hint="eastAsia" w:ascii="宋体" w:hAnsi="宋体" w:cs="宋体"/>
          <w:color w:val="auto"/>
          <w:sz w:val="24"/>
          <w:szCs w:val="24"/>
          <w:lang w:val="en-US" w:eastAsia="zh-CN"/>
        </w:rPr>
        <w:t>11</w:t>
      </w:r>
    </w:p>
    <w:p w14:paraId="265C686C">
      <w:pPr>
        <w:adjustRightInd w:val="0"/>
        <w:spacing w:line="360" w:lineRule="auto"/>
        <w:ind w:firstLine="480" w:firstLineChars="200"/>
        <w:rPr>
          <w:rFonts w:hint="default" w:ascii="宋体" w:hAnsi="宋体" w:cs="宋体"/>
          <w:sz w:val="24"/>
          <w:szCs w:val="24"/>
          <w:highlight w:val="none"/>
          <w:lang w:val="en-US"/>
        </w:rPr>
      </w:pPr>
      <w:r>
        <w:rPr>
          <w:rFonts w:hint="eastAsia" w:ascii="宋体" w:hAnsi="宋体" w:cs="宋体"/>
          <w:sz w:val="24"/>
          <w:szCs w:val="24"/>
          <w:highlight w:val="none"/>
        </w:rPr>
        <w:t>地址：绍兴市上虞区百官街道市民大道517号</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en-US" w:eastAsia="zh-CN"/>
        </w:rPr>
        <w:tab/>
      </w:r>
    </w:p>
    <w:p w14:paraId="7A043802">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3．同级政府采购监督管理部门名称：上虞区财政局政府采购监管科</w:t>
      </w:r>
    </w:p>
    <w:p w14:paraId="6200B71C">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联系人：谷先生</w:t>
      </w:r>
    </w:p>
    <w:p w14:paraId="471495BB">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监督投诉电话：0575-82130212</w:t>
      </w:r>
    </w:p>
    <w:p w14:paraId="0D71DA35">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传真：0575-82130212</w:t>
      </w:r>
    </w:p>
    <w:p w14:paraId="511ECAC0">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地址：绍兴市上虞区体育场路18号</w:t>
      </w:r>
    </w:p>
    <w:p w14:paraId="01737EED">
      <w:pPr>
        <w:pStyle w:val="3"/>
        <w:rPr>
          <w:rFonts w:ascii="宋体" w:hAnsi="宋体" w:cs="宋体"/>
          <w:szCs w:val="36"/>
          <w:highlight w:val="none"/>
        </w:rPr>
      </w:pPr>
      <w:r>
        <w:rPr>
          <w:rFonts w:hint="eastAsia" w:ascii="宋体" w:hAnsi="宋体" w:cs="宋体"/>
          <w:szCs w:val="36"/>
          <w:highlight w:val="none"/>
        </w:rPr>
        <w:br w:type="page"/>
      </w:r>
      <w:bookmarkStart w:id="7" w:name="_Toc546"/>
      <w:bookmarkStart w:id="8" w:name="_Toc10641"/>
      <w:bookmarkStart w:id="9" w:name="_Toc29834"/>
      <w:r>
        <w:rPr>
          <w:rStyle w:val="39"/>
          <w:rFonts w:hint="eastAsia" w:ascii="宋体" w:hAnsi="宋体" w:cs="宋体"/>
          <w:b/>
          <w:bCs/>
          <w:szCs w:val="36"/>
          <w:highlight w:val="none"/>
        </w:rPr>
        <w:t>第二部分</w:t>
      </w:r>
      <w:bookmarkEnd w:id="3"/>
      <w:bookmarkEnd w:id="4"/>
      <w:r>
        <w:rPr>
          <w:rStyle w:val="39"/>
          <w:rFonts w:hint="eastAsia" w:ascii="宋体" w:hAnsi="宋体" w:cs="宋体"/>
          <w:b/>
          <w:bCs/>
          <w:szCs w:val="36"/>
          <w:highlight w:val="none"/>
        </w:rPr>
        <w:t>供应商须知</w:t>
      </w:r>
      <w:bookmarkEnd w:id="7"/>
      <w:bookmarkEnd w:id="8"/>
      <w:bookmarkEnd w:id="9"/>
    </w:p>
    <w:p w14:paraId="5934BE51">
      <w:pPr>
        <w:widowControl/>
        <w:adjustRightInd w:val="0"/>
        <w:snapToGrid w:val="0"/>
        <w:spacing w:line="360" w:lineRule="auto"/>
        <w:jc w:val="center"/>
        <w:rPr>
          <w:rFonts w:ascii="宋体" w:hAnsi="宋体" w:cs="宋体"/>
          <w:b/>
          <w:bCs/>
          <w:snapToGrid w:val="0"/>
          <w:kern w:val="0"/>
          <w:sz w:val="32"/>
          <w:szCs w:val="32"/>
          <w:highlight w:val="none"/>
        </w:rPr>
      </w:pPr>
      <w:r>
        <w:rPr>
          <w:rFonts w:hint="eastAsia" w:ascii="宋体" w:hAnsi="宋体" w:cs="宋体"/>
          <w:b/>
          <w:bCs/>
          <w:snapToGrid w:val="0"/>
          <w:kern w:val="0"/>
          <w:sz w:val="30"/>
          <w:szCs w:val="30"/>
          <w:highlight w:val="none"/>
        </w:rPr>
        <w:t>供应商须知前附表</w:t>
      </w:r>
    </w:p>
    <w:tbl>
      <w:tblPr>
        <w:tblStyle w:val="23"/>
        <w:tblW w:w="913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800"/>
        <w:gridCol w:w="6682"/>
      </w:tblGrid>
      <w:tr w14:paraId="4485E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648" w:type="dxa"/>
            <w:tcBorders>
              <w:top w:val="double" w:color="auto" w:sz="4" w:space="0"/>
            </w:tcBorders>
            <w:vAlign w:val="center"/>
          </w:tcPr>
          <w:p w14:paraId="060C363F">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序号</w:t>
            </w:r>
          </w:p>
        </w:tc>
        <w:tc>
          <w:tcPr>
            <w:tcW w:w="1800" w:type="dxa"/>
            <w:tcBorders>
              <w:top w:val="double" w:color="auto" w:sz="4" w:space="0"/>
            </w:tcBorders>
            <w:vAlign w:val="center"/>
          </w:tcPr>
          <w:p w14:paraId="316DB227">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项目</w:t>
            </w:r>
          </w:p>
        </w:tc>
        <w:tc>
          <w:tcPr>
            <w:tcW w:w="6682" w:type="dxa"/>
            <w:tcBorders>
              <w:top w:val="double" w:color="auto" w:sz="4" w:space="0"/>
            </w:tcBorders>
            <w:vAlign w:val="center"/>
          </w:tcPr>
          <w:p w14:paraId="5AAFBD5A">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内容</w:t>
            </w:r>
          </w:p>
        </w:tc>
      </w:tr>
      <w:tr w14:paraId="654C62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648" w:type="dxa"/>
            <w:vAlign w:val="center"/>
          </w:tcPr>
          <w:p w14:paraId="182F9EB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w:t>
            </w:r>
          </w:p>
        </w:tc>
        <w:tc>
          <w:tcPr>
            <w:tcW w:w="1800" w:type="dxa"/>
            <w:vAlign w:val="center"/>
          </w:tcPr>
          <w:p w14:paraId="7A3B7934">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项目名称</w:t>
            </w:r>
          </w:p>
        </w:tc>
        <w:tc>
          <w:tcPr>
            <w:tcW w:w="6682" w:type="dxa"/>
            <w:vAlign w:val="center"/>
          </w:tcPr>
          <w:p w14:paraId="7CB1D08D">
            <w:pPr>
              <w:snapToGrid w:val="0"/>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eastAsia="zh-CN"/>
              </w:rPr>
              <w:t>2025-2026年区域HIS及区域EMR等系统运维服务项目</w:t>
            </w:r>
          </w:p>
        </w:tc>
      </w:tr>
      <w:tr w14:paraId="6A9B8C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4DB441D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w:t>
            </w:r>
          </w:p>
        </w:tc>
        <w:tc>
          <w:tcPr>
            <w:tcW w:w="1800" w:type="dxa"/>
            <w:vAlign w:val="center"/>
          </w:tcPr>
          <w:p w14:paraId="088C4A7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服务周期</w:t>
            </w:r>
          </w:p>
        </w:tc>
        <w:tc>
          <w:tcPr>
            <w:tcW w:w="6682" w:type="dxa"/>
            <w:vAlign w:val="center"/>
          </w:tcPr>
          <w:p w14:paraId="496C1F54">
            <w:pPr>
              <w:ind w:firstLine="422" w:firstLineChars="200"/>
              <w:rPr>
                <w:rFonts w:ascii="宋体" w:hAnsi="宋体" w:cs="宋体"/>
                <w:color w:val="auto"/>
                <w:highlight w:val="none"/>
              </w:rPr>
            </w:pPr>
            <w:r>
              <w:rPr>
                <w:rFonts w:hint="eastAsia" w:ascii="宋体" w:hAnsi="宋体" w:cs="宋体"/>
                <w:b/>
                <w:bCs/>
                <w:snapToGrid w:val="0"/>
                <w:color w:val="auto"/>
                <w:kern w:val="0"/>
                <w:highlight w:val="none"/>
                <w:lang w:val="en-US" w:eastAsia="zh-CN"/>
              </w:rPr>
              <w:t>服务期一年</w:t>
            </w:r>
            <w:r>
              <w:rPr>
                <w:rFonts w:hint="eastAsia" w:ascii="宋体" w:hAnsi="宋体" w:cs="宋体"/>
                <w:b/>
                <w:bCs/>
                <w:snapToGrid w:val="0"/>
                <w:color w:val="auto"/>
                <w:kern w:val="0"/>
                <w:highlight w:val="none"/>
              </w:rPr>
              <w:t>（具体以合同签订时间为准)</w:t>
            </w:r>
          </w:p>
        </w:tc>
      </w:tr>
      <w:tr w14:paraId="22E20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28FE2C11">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3</w:t>
            </w:r>
          </w:p>
        </w:tc>
        <w:tc>
          <w:tcPr>
            <w:tcW w:w="1800" w:type="dxa"/>
            <w:vAlign w:val="center"/>
          </w:tcPr>
          <w:p w14:paraId="4FDAD8CF">
            <w:pPr>
              <w:snapToGrid w:val="0"/>
              <w:jc w:val="center"/>
              <w:rPr>
                <w:rFonts w:ascii="宋体" w:hAnsi="宋体" w:cs="宋体"/>
                <w:b/>
                <w:bCs/>
                <w:snapToGrid w:val="0"/>
                <w:color w:val="auto"/>
                <w:kern w:val="0"/>
                <w:highlight w:val="none"/>
              </w:rPr>
            </w:pPr>
            <w:r>
              <w:rPr>
                <w:rFonts w:hint="eastAsia" w:ascii="宋体" w:hAnsi="宋体" w:cs="宋体"/>
                <w:b/>
                <w:bCs/>
                <w:snapToGrid w:val="0"/>
                <w:color w:val="auto"/>
                <w:kern w:val="0"/>
                <w:highlight w:val="none"/>
              </w:rPr>
              <w:t>最高限价</w:t>
            </w:r>
          </w:p>
        </w:tc>
        <w:tc>
          <w:tcPr>
            <w:tcW w:w="6682" w:type="dxa"/>
            <w:vAlign w:val="center"/>
          </w:tcPr>
          <w:p w14:paraId="0A93F421">
            <w:pPr>
              <w:snapToGrid w:val="0"/>
              <w:ind w:firstLine="420" w:firstLineChars="200"/>
              <w:rPr>
                <w:rFonts w:ascii="宋体" w:hAnsi="宋体" w:cs="宋体"/>
                <w:b/>
                <w:bCs/>
                <w:snapToGrid w:val="0"/>
                <w:color w:val="auto"/>
                <w:kern w:val="0"/>
                <w:highlight w:val="none"/>
              </w:rPr>
            </w:pPr>
            <w:r>
              <w:rPr>
                <w:rFonts w:hint="eastAsia" w:ascii="宋体" w:hAnsi="宋体" w:cs="宋体"/>
                <w:color w:val="auto"/>
                <w:highlight w:val="none"/>
              </w:rPr>
              <w:t>本项目最高限价人民币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103.48</w:t>
            </w:r>
            <w:r>
              <w:rPr>
                <w:rFonts w:hint="eastAsia" w:ascii="宋体" w:hAnsi="宋体" w:cs="宋体"/>
                <w:color w:val="auto"/>
                <w:highlight w:val="none"/>
              </w:rPr>
              <w:t>万元。</w:t>
            </w:r>
          </w:p>
        </w:tc>
      </w:tr>
      <w:tr w14:paraId="11B1BA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9" w:hRule="atLeast"/>
          <w:jc w:val="center"/>
        </w:trPr>
        <w:tc>
          <w:tcPr>
            <w:tcW w:w="648" w:type="dxa"/>
            <w:vAlign w:val="center"/>
          </w:tcPr>
          <w:p w14:paraId="47313B6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 xml:space="preserve">                                                                                                   4</w:t>
            </w:r>
          </w:p>
        </w:tc>
        <w:tc>
          <w:tcPr>
            <w:tcW w:w="1800" w:type="dxa"/>
            <w:vAlign w:val="center"/>
          </w:tcPr>
          <w:p w14:paraId="7E80368F">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资格审查方式</w:t>
            </w:r>
          </w:p>
        </w:tc>
        <w:tc>
          <w:tcPr>
            <w:tcW w:w="6682" w:type="dxa"/>
            <w:vAlign w:val="center"/>
          </w:tcPr>
          <w:p w14:paraId="2D43B4EC">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资格审查是指开标后，磋商小组将依据法律法规和磋商文件的规定对供应商的资格进行审查。</w:t>
            </w:r>
          </w:p>
        </w:tc>
      </w:tr>
      <w:tr w14:paraId="1B1333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14:paraId="1A825F8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5</w:t>
            </w:r>
          </w:p>
        </w:tc>
        <w:tc>
          <w:tcPr>
            <w:tcW w:w="1800" w:type="dxa"/>
            <w:vAlign w:val="center"/>
          </w:tcPr>
          <w:p w14:paraId="1DC3930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踏勘现场</w:t>
            </w:r>
          </w:p>
        </w:tc>
        <w:tc>
          <w:tcPr>
            <w:tcW w:w="6682" w:type="dxa"/>
            <w:vAlign w:val="center"/>
          </w:tcPr>
          <w:p w14:paraId="0652062F">
            <w:pPr>
              <w:snapToGrid w:val="0"/>
              <w:ind w:firstLine="422" w:firstLineChars="200"/>
              <w:rPr>
                <w:rFonts w:ascii="宋体" w:hAnsi="宋体" w:cs="宋体"/>
                <w:snapToGrid w:val="0"/>
                <w:color w:val="auto"/>
                <w:kern w:val="0"/>
                <w:highlight w:val="none"/>
              </w:rPr>
            </w:pPr>
            <w:r>
              <w:rPr>
                <w:rFonts w:hint="eastAsia" w:ascii="宋体" w:hAnsi="宋体" w:cs="宋体"/>
                <w:b/>
                <w:bCs/>
                <w:snapToGrid w:val="0"/>
                <w:color w:val="auto"/>
                <w:kern w:val="0"/>
                <w:highlight w:val="none"/>
              </w:rPr>
              <w:t>本项目不组织现场踏勘</w:t>
            </w:r>
          </w:p>
        </w:tc>
      </w:tr>
      <w:tr w14:paraId="2EA497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648" w:type="dxa"/>
            <w:vAlign w:val="center"/>
          </w:tcPr>
          <w:p w14:paraId="0CD3742F">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6</w:t>
            </w:r>
          </w:p>
        </w:tc>
        <w:tc>
          <w:tcPr>
            <w:tcW w:w="1800" w:type="dxa"/>
            <w:vAlign w:val="center"/>
          </w:tcPr>
          <w:p w14:paraId="7967D4D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询问</w:t>
            </w:r>
          </w:p>
        </w:tc>
        <w:tc>
          <w:tcPr>
            <w:tcW w:w="6682" w:type="dxa"/>
            <w:vAlign w:val="center"/>
          </w:tcPr>
          <w:p w14:paraId="5E55B39C">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供应商对政府采购活动事项有疑问的，可以向采购机构提出询问，采购人或者招标代理机构应当在3个工作日内对供应商依法提出的询问作出答复，但答复的内容不得涉及商业秘密。</w:t>
            </w:r>
          </w:p>
        </w:tc>
      </w:tr>
      <w:tr w14:paraId="087954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648" w:type="dxa"/>
            <w:vAlign w:val="center"/>
          </w:tcPr>
          <w:p w14:paraId="503AD97D">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7</w:t>
            </w:r>
          </w:p>
        </w:tc>
        <w:tc>
          <w:tcPr>
            <w:tcW w:w="1800" w:type="dxa"/>
            <w:vAlign w:val="center"/>
          </w:tcPr>
          <w:p w14:paraId="34568DE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磋商文件的澄清与修改</w:t>
            </w:r>
          </w:p>
        </w:tc>
        <w:tc>
          <w:tcPr>
            <w:tcW w:w="6682" w:type="dxa"/>
            <w:vAlign w:val="center"/>
          </w:tcPr>
          <w:p w14:paraId="200106F9">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采购单位可以对已发出的磋商文件进行必要澄清或者修改，澄清或者修改的内容可能影响磋商响应文件编制的，应当在磋商文件要求提交磋商响应文件截止时间五日前，在招标公告发布的媒体上发布更正公告，该澄清或者修改的内容为磋商文件的组成部分。本项目磋商文件和补充（答疑、澄清）、修改文件等请自行登录浙江政府采购网或绍兴市上虞区公共资源交易中心网站查看。</w:t>
            </w:r>
          </w:p>
        </w:tc>
      </w:tr>
      <w:tr w14:paraId="2CF1EB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648" w:type="dxa"/>
            <w:vAlign w:val="center"/>
          </w:tcPr>
          <w:p w14:paraId="2B87A0F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8</w:t>
            </w:r>
          </w:p>
        </w:tc>
        <w:tc>
          <w:tcPr>
            <w:tcW w:w="1800" w:type="dxa"/>
            <w:vAlign w:val="center"/>
          </w:tcPr>
          <w:p w14:paraId="6789095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磋商响应文件组成</w:t>
            </w:r>
          </w:p>
        </w:tc>
        <w:tc>
          <w:tcPr>
            <w:tcW w:w="6682" w:type="dxa"/>
            <w:vAlign w:val="center"/>
          </w:tcPr>
          <w:p w14:paraId="321779F4">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供应商向采购人递交的响应文件由资格文件、商务技术文件、报价文件三部分组成。</w:t>
            </w:r>
          </w:p>
        </w:tc>
      </w:tr>
      <w:tr w14:paraId="52D242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8" w:type="dxa"/>
            <w:vAlign w:val="center"/>
          </w:tcPr>
          <w:p w14:paraId="62082CE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9</w:t>
            </w:r>
          </w:p>
        </w:tc>
        <w:tc>
          <w:tcPr>
            <w:tcW w:w="1800" w:type="dxa"/>
            <w:vAlign w:val="center"/>
          </w:tcPr>
          <w:p w14:paraId="23CBD7F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评标办法</w:t>
            </w:r>
          </w:p>
        </w:tc>
        <w:tc>
          <w:tcPr>
            <w:tcW w:w="6682" w:type="dxa"/>
            <w:vAlign w:val="center"/>
          </w:tcPr>
          <w:p w14:paraId="48C88232">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综合评分法</w:t>
            </w:r>
          </w:p>
        </w:tc>
      </w:tr>
      <w:tr w14:paraId="6BB31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9D668E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10</w:t>
            </w:r>
          </w:p>
        </w:tc>
        <w:tc>
          <w:tcPr>
            <w:tcW w:w="1800" w:type="dxa"/>
            <w:vAlign w:val="center"/>
          </w:tcPr>
          <w:p w14:paraId="06AF59F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磋商响应文件递交地址及截止时间</w:t>
            </w:r>
          </w:p>
        </w:tc>
        <w:tc>
          <w:tcPr>
            <w:tcW w:w="6682" w:type="dxa"/>
            <w:vAlign w:val="center"/>
          </w:tcPr>
          <w:p w14:paraId="07C2C017">
            <w:pPr>
              <w:snapToGrid w:val="0"/>
              <w:ind w:firstLine="420" w:firstLineChars="200"/>
              <w:rPr>
                <w:rFonts w:ascii="宋体" w:hAnsi="宋体" w:cs="宋体"/>
                <w:color w:val="auto"/>
                <w:kern w:val="0"/>
                <w:highlight w:val="none"/>
              </w:rPr>
            </w:pPr>
            <w:r>
              <w:rPr>
                <w:rFonts w:hint="eastAsia" w:ascii="宋体" w:hAnsi="宋体" w:cs="宋体"/>
                <w:snapToGrid w:val="0"/>
                <w:color w:val="auto"/>
                <w:kern w:val="0"/>
                <w:highlight w:val="none"/>
              </w:rPr>
              <w:t>详见磋商公告</w:t>
            </w:r>
          </w:p>
        </w:tc>
      </w:tr>
      <w:tr w14:paraId="5151B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7451AAA">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11</w:t>
            </w:r>
          </w:p>
        </w:tc>
        <w:tc>
          <w:tcPr>
            <w:tcW w:w="1800" w:type="dxa"/>
            <w:vAlign w:val="center"/>
          </w:tcPr>
          <w:p w14:paraId="5ABEED05">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开标时间、地点</w:t>
            </w:r>
          </w:p>
        </w:tc>
        <w:tc>
          <w:tcPr>
            <w:tcW w:w="6682" w:type="dxa"/>
            <w:vAlign w:val="center"/>
          </w:tcPr>
          <w:p w14:paraId="79F9363F">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开标时间：</w:t>
            </w:r>
            <w:r>
              <w:rPr>
                <w:rFonts w:hint="eastAsia" w:ascii="宋体" w:hAnsi="宋体" w:cs="宋体"/>
                <w:color w:val="auto"/>
                <w:kern w:val="0"/>
                <w:highlight w:val="none"/>
              </w:rPr>
              <w:t>详见磋商公告</w:t>
            </w:r>
          </w:p>
          <w:p w14:paraId="03A1BC0B">
            <w:pPr>
              <w:snapToGrid w:val="0"/>
              <w:ind w:firstLine="420" w:firstLineChars="200"/>
              <w:rPr>
                <w:rFonts w:ascii="宋体" w:hAnsi="宋体" w:cs="宋体"/>
                <w:color w:val="auto"/>
                <w:kern w:val="0"/>
                <w:highlight w:val="none"/>
              </w:rPr>
            </w:pPr>
            <w:r>
              <w:rPr>
                <w:rFonts w:hint="eastAsia" w:ascii="宋体" w:hAnsi="宋体" w:cs="宋体"/>
                <w:snapToGrid w:val="0"/>
                <w:color w:val="auto"/>
                <w:kern w:val="0"/>
                <w:highlight w:val="none"/>
              </w:rPr>
              <w:t>开标地点：</w:t>
            </w:r>
            <w:r>
              <w:rPr>
                <w:rFonts w:hint="eastAsia" w:ascii="宋体" w:hAnsi="宋体" w:cs="宋体"/>
                <w:color w:val="auto"/>
                <w:kern w:val="0"/>
                <w:highlight w:val="none"/>
              </w:rPr>
              <w:t>详见磋商公告</w:t>
            </w:r>
          </w:p>
        </w:tc>
      </w:tr>
      <w:tr w14:paraId="2C585C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05BB1530">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12</w:t>
            </w:r>
          </w:p>
        </w:tc>
        <w:tc>
          <w:tcPr>
            <w:tcW w:w="1800" w:type="dxa"/>
            <w:vAlign w:val="center"/>
          </w:tcPr>
          <w:p w14:paraId="492999BA">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磋商响应文件有效期</w:t>
            </w:r>
          </w:p>
        </w:tc>
        <w:tc>
          <w:tcPr>
            <w:tcW w:w="6682" w:type="dxa"/>
            <w:vAlign w:val="center"/>
          </w:tcPr>
          <w:p w14:paraId="31E82E28">
            <w:pPr>
              <w:snapToGrid w:val="0"/>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响应文件有效期为从提交响应文件的截止之日起90天。供应商的响应文件中承诺的响应文件有效期少于磋商文件中载明的响应文件有效期的，磋商无效。</w:t>
            </w:r>
          </w:p>
        </w:tc>
      </w:tr>
      <w:tr w14:paraId="2C54E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065421">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13</w:t>
            </w:r>
          </w:p>
        </w:tc>
        <w:tc>
          <w:tcPr>
            <w:tcW w:w="1800" w:type="dxa"/>
            <w:vAlign w:val="center"/>
          </w:tcPr>
          <w:p w14:paraId="455DA511">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磋商公告及成交结果公告发布媒体</w:t>
            </w:r>
          </w:p>
        </w:tc>
        <w:tc>
          <w:tcPr>
            <w:tcW w:w="6682" w:type="dxa"/>
            <w:vAlign w:val="center"/>
          </w:tcPr>
          <w:p w14:paraId="37C4B012">
            <w:pPr>
              <w:pStyle w:val="12"/>
              <w:snapToGrid w:val="0"/>
              <w:ind w:firstLine="420" w:firstLineChars="200"/>
              <w:jc w:val="left"/>
              <w:rPr>
                <w:rFonts w:hAnsi="宋体"/>
                <w:color w:val="auto"/>
                <w:kern w:val="0"/>
                <w:highlight w:val="none"/>
              </w:rPr>
            </w:pPr>
            <w:r>
              <w:rPr>
                <w:rFonts w:hint="eastAsia" w:hAnsi="宋体"/>
                <w:color w:val="auto"/>
                <w:kern w:val="0"/>
                <w:highlight w:val="none"/>
              </w:rPr>
              <w:t>浙江省政府采购网、绍兴市上虞区公共资源交易中心网站</w:t>
            </w:r>
          </w:p>
        </w:tc>
      </w:tr>
      <w:tr w14:paraId="0D597C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shd w:val="clear" w:color="auto" w:fill="auto"/>
            <w:vAlign w:val="center"/>
          </w:tcPr>
          <w:p w14:paraId="164EEBC8">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14</w:t>
            </w:r>
          </w:p>
        </w:tc>
        <w:tc>
          <w:tcPr>
            <w:tcW w:w="1800" w:type="dxa"/>
            <w:shd w:val="clear" w:color="auto" w:fill="auto"/>
            <w:vAlign w:val="center"/>
          </w:tcPr>
          <w:p w14:paraId="3558490D">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履约保证金</w:t>
            </w:r>
          </w:p>
        </w:tc>
        <w:tc>
          <w:tcPr>
            <w:tcW w:w="6682" w:type="dxa"/>
            <w:shd w:val="clear" w:color="auto" w:fill="auto"/>
            <w:vAlign w:val="center"/>
          </w:tcPr>
          <w:p w14:paraId="64488FF3">
            <w:pPr>
              <w:widowControl/>
              <w:ind w:firstLine="420" w:firstLineChars="200"/>
              <w:jc w:val="left"/>
              <w:rPr>
                <w:rFonts w:ascii="宋体" w:hAnsi="宋体" w:cs="宋体"/>
                <w:color w:val="auto"/>
                <w:kern w:val="0"/>
                <w:highlight w:val="none"/>
              </w:rPr>
            </w:pPr>
            <w:r>
              <w:rPr>
                <w:rFonts w:hint="eastAsia" w:ascii="宋体" w:hAnsi="宋体" w:cs="宋体"/>
                <w:color w:val="auto"/>
                <w:highlight w:val="none"/>
              </w:rPr>
              <w:t>本项目不设置履约保证金</w:t>
            </w:r>
          </w:p>
        </w:tc>
      </w:tr>
      <w:tr w14:paraId="5CC2CC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57798A5B">
            <w:pPr>
              <w:snapToGrid w:val="0"/>
              <w:jc w:val="center"/>
              <w:rPr>
                <w:rFonts w:ascii="宋体" w:hAnsi="宋体" w:cs="宋体"/>
                <w:color w:val="auto"/>
                <w:highlight w:val="none"/>
              </w:rPr>
            </w:pPr>
            <w:r>
              <w:rPr>
                <w:rFonts w:hint="eastAsia" w:ascii="宋体" w:hAnsi="宋体" w:cs="宋体"/>
                <w:color w:val="auto"/>
                <w:highlight w:val="none"/>
              </w:rPr>
              <w:t>15</w:t>
            </w:r>
          </w:p>
        </w:tc>
        <w:tc>
          <w:tcPr>
            <w:tcW w:w="1800" w:type="dxa"/>
            <w:vAlign w:val="center"/>
          </w:tcPr>
          <w:p w14:paraId="6D2711B2">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质疑</w:t>
            </w:r>
          </w:p>
        </w:tc>
        <w:tc>
          <w:tcPr>
            <w:tcW w:w="6682" w:type="dxa"/>
            <w:vAlign w:val="center"/>
          </w:tcPr>
          <w:p w14:paraId="1EC4B1CA">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根据《中华人民共和国政府采购法》第五十二条、《中华人民共和国政府采购法实施条例》第五十三条、《浙江省政府采购供应商质疑处理办法》的规定：</w:t>
            </w:r>
          </w:p>
          <w:p w14:paraId="38E159BF">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供应商认为采购文件使自己的权益受到损害的，可以在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供应商在法定质疑期内应一次性提出针对同一采购程序环节的质疑。</w:t>
            </w:r>
          </w:p>
          <w:p w14:paraId="023B67C5">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投标人如认为采购过程使自身的合法权益受到损害的，应于各采购程序环节结束之日起七个工作日内以书面形式向采购机构提出质疑；</w:t>
            </w:r>
          </w:p>
          <w:p w14:paraId="56F7E426">
            <w:pPr>
              <w:snapToGrid w:val="0"/>
              <w:ind w:firstLine="420" w:firstLineChars="200"/>
              <w:jc w:val="left"/>
              <w:rPr>
                <w:rFonts w:ascii="宋体" w:hAnsi="宋体" w:cs="宋体"/>
                <w:snapToGrid w:val="0"/>
                <w:color w:val="auto"/>
                <w:kern w:val="0"/>
                <w:highlight w:val="none"/>
              </w:rPr>
            </w:pPr>
            <w:r>
              <w:rPr>
                <w:rFonts w:hint="eastAsia" w:ascii="宋体" w:hAnsi="宋体" w:cs="宋体"/>
                <w:color w:val="auto"/>
                <w:highlight w:val="none"/>
              </w:rPr>
              <w:t>投标人如认为中标结果使自身的合法权益受到损害的，应于中标或者成交结果公告期限届满之日起七个工作日内以书面形式向采购机构提出质疑</w:t>
            </w:r>
            <w:r>
              <w:rPr>
                <w:rFonts w:hint="eastAsia" w:ascii="宋体" w:hAnsi="宋体" w:cs="宋体"/>
                <w:snapToGrid w:val="0"/>
                <w:color w:val="auto"/>
                <w:kern w:val="0"/>
                <w:highlight w:val="none"/>
              </w:rPr>
              <w:t>。</w:t>
            </w:r>
          </w:p>
        </w:tc>
      </w:tr>
      <w:tr w14:paraId="0EE28B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648" w:type="dxa"/>
            <w:vAlign w:val="center"/>
          </w:tcPr>
          <w:p w14:paraId="0116272B">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16</w:t>
            </w:r>
          </w:p>
        </w:tc>
        <w:tc>
          <w:tcPr>
            <w:tcW w:w="1800" w:type="dxa"/>
            <w:vAlign w:val="center"/>
          </w:tcPr>
          <w:p w14:paraId="3EB0892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投诉</w:t>
            </w:r>
          </w:p>
        </w:tc>
        <w:tc>
          <w:tcPr>
            <w:tcW w:w="6682" w:type="dxa"/>
            <w:vAlign w:val="center"/>
          </w:tcPr>
          <w:p w14:paraId="61E22A3F">
            <w:pPr>
              <w:snapToGrid w:val="0"/>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根据《</w:t>
            </w:r>
            <w:r>
              <w:rPr>
                <w:rFonts w:hint="eastAsia" w:ascii="宋体" w:hAnsi="宋体" w:cs="宋体"/>
                <w:color w:val="auto"/>
                <w:highlight w:val="none"/>
              </w:rPr>
              <w:t>中华人民共和国政府采购法</w:t>
            </w:r>
            <w:r>
              <w:rPr>
                <w:rFonts w:hint="eastAsia" w:ascii="宋体" w:hAnsi="宋体" w:cs="宋体"/>
                <w:snapToGrid w:val="0"/>
                <w:color w:val="auto"/>
                <w:kern w:val="0"/>
                <w:highlight w:val="none"/>
              </w:rPr>
              <w:t>》第五十五条的规定，质疑供应商对采购人、招标代理机构的答复不满意或者采购人、招标代理机构未在规定的时间内作出答复的，可以在答复期满后十五个工作日内向同级政府采购监督管理部门投诉。</w:t>
            </w:r>
          </w:p>
        </w:tc>
      </w:tr>
      <w:tr w14:paraId="7D276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1DE61356">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17</w:t>
            </w:r>
          </w:p>
        </w:tc>
        <w:tc>
          <w:tcPr>
            <w:tcW w:w="1800" w:type="dxa"/>
            <w:vAlign w:val="center"/>
          </w:tcPr>
          <w:p w14:paraId="7682B06F">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特别说明</w:t>
            </w:r>
          </w:p>
        </w:tc>
        <w:tc>
          <w:tcPr>
            <w:tcW w:w="6682" w:type="dxa"/>
            <w:vAlign w:val="center"/>
          </w:tcPr>
          <w:p w14:paraId="422812AA">
            <w:pPr>
              <w:pStyle w:val="12"/>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投标人应无条件的、认真仔细的阅读本磋商文件及其澄清答疑、修改答复的补充文件，严格按照磋商文件及补充文件的规定和要求编制磋商响应文件。在编制磋商响应文件过程中，应严格遵循实事求是、诚信投标的原则，针对磋商文件中的采购需求、合同条款等各项内容进行确认，如有偏离，应如实填写响应偏离表。</w:t>
            </w:r>
          </w:p>
          <w:p w14:paraId="4498B4F2">
            <w:pPr>
              <w:pStyle w:val="12"/>
              <w:snapToGrid w:val="0"/>
              <w:spacing w:line="360" w:lineRule="exact"/>
              <w:ind w:firstLine="420" w:firstLineChars="200"/>
              <w:jc w:val="left"/>
              <w:rPr>
                <w:rFonts w:hAnsi="宋体"/>
                <w:color w:val="auto"/>
                <w:kern w:val="0"/>
                <w:highlight w:val="none"/>
              </w:rPr>
            </w:pPr>
            <w:r>
              <w:rPr>
                <w:rFonts w:hint="eastAsia" w:hAnsi="宋体"/>
                <w:color w:val="auto"/>
                <w:kern w:val="0"/>
                <w:highlight w:val="none"/>
              </w:rPr>
              <w:t>该项目中标公示期间，投标人不得通过非正当途径、更不得通过非正当手段获取法律法规规定评标委员会（包括其他相关人员）应当保密的相关内容。即便由此获得资料并作为向采购人或招标代理机构或监督管理部门提出异（质）疑或投诉或法院起诉的理由，均属于非法索取的依据。</w:t>
            </w:r>
          </w:p>
          <w:p w14:paraId="214864A8">
            <w:pPr>
              <w:pStyle w:val="12"/>
              <w:snapToGrid w:val="0"/>
              <w:ind w:firstLine="420" w:firstLineChars="200"/>
              <w:jc w:val="left"/>
              <w:rPr>
                <w:rFonts w:hAnsi="宋体"/>
                <w:b/>
                <w:bCs/>
                <w:color w:val="auto"/>
                <w:kern w:val="0"/>
                <w:highlight w:val="none"/>
              </w:rPr>
            </w:pPr>
            <w:r>
              <w:rPr>
                <w:rFonts w:hint="eastAsia" w:hAnsi="宋体"/>
                <w:color w:val="auto"/>
                <w:kern w:val="0"/>
                <w:highlight w:val="none"/>
              </w:rPr>
              <w:t>磋商文件中凡标注“</w:t>
            </w:r>
            <w:r>
              <w:rPr>
                <w:rFonts w:hint="eastAsia" w:hAnsi="宋体"/>
                <w:color w:val="auto"/>
                <w:highlight w:val="none"/>
              </w:rPr>
              <w:t>★</w:t>
            </w:r>
            <w:r>
              <w:rPr>
                <w:rFonts w:hint="eastAsia" w:hAnsi="宋体"/>
                <w:color w:val="auto"/>
                <w:kern w:val="0"/>
                <w:highlight w:val="none"/>
              </w:rPr>
              <w:t>”的条款均为实质性要求，不响应的磋商响应文件将作无效标处理。</w:t>
            </w:r>
          </w:p>
        </w:tc>
      </w:tr>
      <w:tr w14:paraId="0B47B8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538" w:hRule="atLeast"/>
          <w:jc w:val="center"/>
        </w:trPr>
        <w:tc>
          <w:tcPr>
            <w:tcW w:w="648" w:type="dxa"/>
            <w:vAlign w:val="center"/>
          </w:tcPr>
          <w:p w14:paraId="5DC818E4">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18</w:t>
            </w:r>
          </w:p>
        </w:tc>
        <w:tc>
          <w:tcPr>
            <w:tcW w:w="1800" w:type="dxa"/>
            <w:vAlign w:val="center"/>
          </w:tcPr>
          <w:p w14:paraId="6781B4FE">
            <w:pPr>
              <w:snapToGrid w:val="0"/>
              <w:jc w:val="center"/>
              <w:rPr>
                <w:rFonts w:ascii="宋体" w:hAnsi="宋体" w:cs="宋体"/>
                <w:color w:val="auto"/>
                <w:highlight w:val="none"/>
              </w:rPr>
            </w:pPr>
            <w:r>
              <w:rPr>
                <w:rFonts w:hint="eastAsia" w:ascii="宋体" w:hAnsi="宋体" w:cs="宋体"/>
                <w:color w:val="auto"/>
                <w:highlight w:val="none"/>
              </w:rPr>
              <w:t>支</w:t>
            </w:r>
          </w:p>
          <w:p w14:paraId="2743196E">
            <w:pPr>
              <w:snapToGrid w:val="0"/>
              <w:jc w:val="center"/>
              <w:rPr>
                <w:rFonts w:ascii="宋体" w:hAnsi="宋体" w:cs="宋体"/>
                <w:color w:val="auto"/>
                <w:highlight w:val="none"/>
              </w:rPr>
            </w:pPr>
            <w:r>
              <w:rPr>
                <w:rFonts w:hint="eastAsia" w:ascii="宋体" w:hAnsi="宋体" w:cs="宋体"/>
                <w:color w:val="auto"/>
                <w:highlight w:val="none"/>
              </w:rPr>
              <w:t>持</w:t>
            </w:r>
          </w:p>
          <w:p w14:paraId="36348565">
            <w:pPr>
              <w:snapToGrid w:val="0"/>
              <w:jc w:val="center"/>
              <w:rPr>
                <w:rFonts w:ascii="宋体" w:hAnsi="宋体" w:cs="宋体"/>
                <w:color w:val="auto"/>
                <w:highlight w:val="none"/>
              </w:rPr>
            </w:pPr>
            <w:r>
              <w:rPr>
                <w:rFonts w:hint="eastAsia" w:ascii="宋体" w:hAnsi="宋体" w:cs="宋体"/>
                <w:color w:val="auto"/>
                <w:highlight w:val="none"/>
              </w:rPr>
              <w:t>中</w:t>
            </w:r>
          </w:p>
          <w:p w14:paraId="4DB63A5B">
            <w:pPr>
              <w:snapToGrid w:val="0"/>
              <w:jc w:val="center"/>
              <w:rPr>
                <w:rFonts w:ascii="宋体" w:hAnsi="宋体" w:cs="宋体"/>
                <w:color w:val="auto"/>
                <w:highlight w:val="none"/>
              </w:rPr>
            </w:pPr>
            <w:r>
              <w:rPr>
                <w:rFonts w:hint="eastAsia" w:ascii="宋体" w:hAnsi="宋体" w:cs="宋体"/>
                <w:color w:val="auto"/>
                <w:highlight w:val="none"/>
              </w:rPr>
              <w:t>小</w:t>
            </w:r>
          </w:p>
          <w:p w14:paraId="364C4385">
            <w:pPr>
              <w:snapToGrid w:val="0"/>
              <w:jc w:val="center"/>
              <w:rPr>
                <w:rFonts w:ascii="宋体" w:hAnsi="宋体" w:cs="宋体"/>
                <w:color w:val="auto"/>
                <w:highlight w:val="none"/>
              </w:rPr>
            </w:pPr>
            <w:r>
              <w:rPr>
                <w:rFonts w:hint="eastAsia" w:ascii="宋体" w:hAnsi="宋体" w:cs="宋体"/>
                <w:color w:val="auto"/>
                <w:highlight w:val="none"/>
              </w:rPr>
              <w:t>企</w:t>
            </w:r>
          </w:p>
          <w:p w14:paraId="2FB84BD4">
            <w:pPr>
              <w:snapToGrid w:val="0"/>
              <w:jc w:val="center"/>
              <w:rPr>
                <w:rFonts w:ascii="宋体" w:hAnsi="宋体" w:cs="宋体"/>
                <w:color w:val="auto"/>
                <w:highlight w:val="none"/>
              </w:rPr>
            </w:pPr>
            <w:r>
              <w:rPr>
                <w:rFonts w:hint="eastAsia" w:ascii="宋体" w:hAnsi="宋体" w:cs="宋体"/>
                <w:color w:val="auto"/>
                <w:highlight w:val="none"/>
              </w:rPr>
              <w:t>业</w:t>
            </w:r>
          </w:p>
          <w:p w14:paraId="10D24529">
            <w:pPr>
              <w:snapToGrid w:val="0"/>
              <w:jc w:val="center"/>
              <w:rPr>
                <w:rFonts w:ascii="宋体" w:hAnsi="宋体" w:cs="宋体"/>
                <w:color w:val="auto"/>
                <w:highlight w:val="none"/>
              </w:rPr>
            </w:pPr>
          </w:p>
        </w:tc>
        <w:tc>
          <w:tcPr>
            <w:tcW w:w="6682" w:type="dxa"/>
            <w:vAlign w:val="center"/>
          </w:tcPr>
          <w:p w14:paraId="1E3B69C1">
            <w:pPr>
              <w:ind w:firstLine="420" w:firstLineChars="200"/>
              <w:rPr>
                <w:rFonts w:ascii="宋体" w:hAnsi="宋体" w:cs="宋体"/>
                <w:color w:val="auto"/>
                <w:highlight w:val="none"/>
              </w:rPr>
            </w:pPr>
            <w:r>
              <w:rPr>
                <w:rFonts w:hint="eastAsia" w:ascii="宋体" w:hAnsi="宋体" w:cs="宋体"/>
                <w:color w:val="auto"/>
                <w:highlight w:val="none"/>
              </w:rPr>
              <w:t>小微企业是指在中华人民共和国境内依法设立，依据国务院批准的中小企业划分标准确定的小型企业和微型企业，但与大企业的负责人为同一人，或者与大企业存在直接控股、管理关系的除外。</w:t>
            </w:r>
          </w:p>
          <w:p w14:paraId="5228BA59">
            <w:pPr>
              <w:ind w:firstLine="420" w:firstLineChars="200"/>
              <w:rPr>
                <w:rFonts w:ascii="宋体" w:hAnsi="宋体" w:cs="宋体"/>
                <w:color w:val="auto"/>
                <w:highlight w:val="none"/>
              </w:rPr>
            </w:pPr>
            <w:r>
              <w:rPr>
                <w:rFonts w:hint="eastAsia" w:ascii="宋体" w:hAnsi="宋体" w:cs="宋体"/>
                <w:color w:val="auto"/>
                <w:highlight w:val="none"/>
              </w:rPr>
              <w:t>符合中小企业划分标准的个体工商户，在政府采购活动中视同中小企业。</w:t>
            </w:r>
          </w:p>
          <w:p w14:paraId="530E6909">
            <w:pPr>
              <w:ind w:firstLine="420" w:firstLineChars="200"/>
              <w:rPr>
                <w:rFonts w:ascii="宋体" w:hAnsi="宋体" w:cs="宋体"/>
                <w:color w:val="auto"/>
                <w:highlight w:val="none"/>
              </w:rPr>
            </w:pPr>
            <w:r>
              <w:rPr>
                <w:rFonts w:hint="eastAsia" w:ascii="宋体" w:hAnsi="宋体" w:cs="宋体"/>
                <w:color w:val="auto"/>
                <w:highlight w:val="none"/>
              </w:rPr>
              <w:t>在货物采购项目中，货物由小微企业制造，即货物由小微企业生产且使用该小微企业商号或者注册商标。供应商提供的货物既有中小企业制造货物，也有大型企业制造货物的，不享受中小企业扶持政策。</w:t>
            </w:r>
          </w:p>
          <w:p w14:paraId="4EF303FA">
            <w:pPr>
              <w:ind w:firstLine="420" w:firstLineChars="200"/>
              <w:rPr>
                <w:rFonts w:ascii="宋体" w:hAnsi="宋体" w:cs="宋体"/>
                <w:color w:val="auto"/>
                <w:highlight w:val="none"/>
              </w:rPr>
            </w:pPr>
            <w:r>
              <w:rPr>
                <w:rFonts w:hint="eastAsia" w:ascii="宋体" w:hAnsi="宋体" w:cs="宋体"/>
                <w:color w:val="auto"/>
                <w:highlight w:val="none"/>
              </w:rPr>
              <w:t>在服务采购项目中，服务由小微企业承接，即提供服务的人员为小微企业依照《中华人民共和国劳动合同法》订立劳动合同的从业人员。</w:t>
            </w:r>
          </w:p>
          <w:p w14:paraId="79BB5004">
            <w:pPr>
              <w:ind w:firstLine="420" w:firstLineChars="20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14:paraId="21CA365E">
            <w:pPr>
              <w:ind w:firstLine="420" w:firstLineChars="200"/>
              <w:rPr>
                <w:rFonts w:ascii="宋体" w:hAnsi="宋体" w:cs="宋体"/>
                <w:color w:val="auto"/>
                <w:highlight w:val="none"/>
              </w:rPr>
            </w:pPr>
            <w:r>
              <w:rPr>
                <w:rFonts w:hint="eastAsia" w:ascii="宋体" w:hAnsi="宋体" w:cs="宋体"/>
                <w:color w:val="auto"/>
                <w:highlight w:val="none"/>
              </w:rPr>
              <w:t>符合上述条件的中小微型企业应按照招标文件附件11的格式要求提供《中小企业声明函》。符合《关于促进残疾人就业政府采购政策的通知》（财库〔2017〕141号）规定的条件并提供《残疾人福利性单位声明函》（附件13）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B920487">
            <w:pPr>
              <w:ind w:firstLine="420" w:firstLineChars="200"/>
              <w:rPr>
                <w:rFonts w:ascii="宋体" w:hAnsi="宋体" w:cs="宋体"/>
                <w:color w:val="auto"/>
                <w:highlight w:val="none"/>
              </w:rPr>
            </w:pPr>
            <w:r>
              <w:rPr>
                <w:rFonts w:hint="eastAsia" w:ascii="宋体" w:hAnsi="宋体" w:cs="宋体"/>
                <w:color w:val="auto"/>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w:t>
            </w:r>
          </w:p>
          <w:p w14:paraId="2DB80361">
            <w:pPr>
              <w:ind w:firstLine="420" w:firstLineChars="200"/>
              <w:rPr>
                <w:rFonts w:ascii="宋体" w:hAnsi="宋体" w:cs="宋体"/>
                <w:color w:val="auto"/>
                <w:highlight w:val="none"/>
              </w:rPr>
            </w:pPr>
            <w:r>
              <w:rPr>
                <w:rFonts w:hint="eastAsia" w:ascii="宋体" w:hAnsi="宋体" w:cs="宋体"/>
                <w:color w:val="auto"/>
                <w:highlight w:val="none"/>
              </w:rPr>
              <w:t>组成联合体或者接受分包的小微企业与联合体内其他企业、分包企业之间存在直接控股、管理关系的，不享受价格扣除优惠政策。</w:t>
            </w:r>
          </w:p>
        </w:tc>
      </w:tr>
      <w:tr w14:paraId="55C05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648" w:type="dxa"/>
            <w:vAlign w:val="center"/>
          </w:tcPr>
          <w:p w14:paraId="515D6D4D">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19</w:t>
            </w:r>
          </w:p>
        </w:tc>
        <w:tc>
          <w:tcPr>
            <w:tcW w:w="1800" w:type="dxa"/>
            <w:vAlign w:val="center"/>
          </w:tcPr>
          <w:p w14:paraId="5C62169F">
            <w:pPr>
              <w:snapToGrid w:val="0"/>
              <w:jc w:val="center"/>
              <w:rPr>
                <w:rFonts w:ascii="宋体" w:hAnsi="宋体" w:cs="宋体"/>
                <w:color w:val="auto"/>
                <w:highlight w:val="none"/>
              </w:rPr>
            </w:pPr>
            <w:r>
              <w:rPr>
                <w:rFonts w:hint="eastAsia" w:ascii="宋体" w:hAnsi="宋体" w:cs="宋体"/>
                <w:color w:val="auto"/>
                <w:highlight w:val="none"/>
              </w:rPr>
              <w:t>招标代理服务费</w:t>
            </w:r>
          </w:p>
        </w:tc>
        <w:tc>
          <w:tcPr>
            <w:tcW w:w="6682" w:type="dxa"/>
            <w:vAlign w:val="center"/>
          </w:tcPr>
          <w:p w14:paraId="3849E418">
            <w:pPr>
              <w:ind w:firstLine="420" w:firstLineChars="200"/>
              <w:rPr>
                <w:rFonts w:hint="eastAsia" w:ascii="宋体" w:hAnsi="宋体" w:eastAsia="宋体" w:cs="宋体"/>
                <w:color w:val="000000"/>
                <w:kern w:val="2"/>
                <w:sz w:val="21"/>
                <w:szCs w:val="24"/>
                <w:highlight w:val="none"/>
              </w:rPr>
            </w:pPr>
            <w:r>
              <w:rPr>
                <w:rFonts w:hint="eastAsia" w:ascii="宋体" w:hAnsi="宋体" w:eastAsia="宋体" w:cs="宋体"/>
                <w:snapToGrid w:val="0"/>
                <w:color w:val="auto"/>
                <w:kern w:val="0"/>
                <w:highlight w:val="none"/>
              </w:rPr>
              <w:t>招标代理服务费由成交供应商支付，</w:t>
            </w:r>
            <w:r>
              <w:rPr>
                <w:rFonts w:hint="eastAsia" w:ascii="宋体" w:hAnsi="宋体" w:eastAsia="宋体" w:cs="宋体"/>
                <w:color w:val="000000"/>
                <w:kern w:val="2"/>
                <w:sz w:val="21"/>
                <w:szCs w:val="24"/>
                <w:highlight w:val="none"/>
              </w:rPr>
              <w:t>按下列计算方式计取。</w:t>
            </w:r>
          </w:p>
          <w:tbl>
            <w:tblPr>
              <w:tblStyle w:val="23"/>
              <w:tblW w:w="610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0"/>
              <w:gridCol w:w="1008"/>
              <w:gridCol w:w="1008"/>
              <w:gridCol w:w="977"/>
            </w:tblGrid>
            <w:tr w14:paraId="6CCB132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65941DE9">
                  <w:pPr>
                    <w:jc w:val="center"/>
                    <w:rPr>
                      <w:rFonts w:ascii="宋体"/>
                      <w:color w:val="000000"/>
                      <w:highlight w:val="none"/>
                    </w:rPr>
                  </w:pPr>
                  <w:r>
                    <w:rPr>
                      <w:rFonts w:hint="eastAsia" w:ascii="宋体" w:hAnsi="宋体" w:cs="宋体"/>
                      <w:color w:val="000000"/>
                      <w:highlight w:val="none"/>
                    </w:rPr>
                    <w:t>服务类型中标金额（万元）</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4ECE163">
                  <w:pPr>
                    <w:pStyle w:val="20"/>
                    <w:jc w:val="center"/>
                    <w:rPr>
                      <w:color w:val="000000"/>
                      <w:sz w:val="21"/>
                      <w:szCs w:val="21"/>
                      <w:highlight w:val="none"/>
                    </w:rPr>
                  </w:pPr>
                  <w:r>
                    <w:rPr>
                      <w:rFonts w:hint="eastAsia"/>
                      <w:color w:val="000000"/>
                      <w:sz w:val="21"/>
                      <w:szCs w:val="21"/>
                      <w:highlight w:val="none"/>
                    </w:rPr>
                    <w:t>货物招标</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4B63C1C6">
                  <w:pPr>
                    <w:jc w:val="center"/>
                    <w:rPr>
                      <w:rFonts w:ascii="宋体"/>
                      <w:color w:val="000000"/>
                      <w:highlight w:val="none"/>
                    </w:rPr>
                  </w:pPr>
                  <w:r>
                    <w:rPr>
                      <w:rFonts w:hint="eastAsia" w:ascii="宋体" w:hAnsi="宋体" w:cs="宋体"/>
                      <w:color w:val="000000"/>
                      <w:highlight w:val="none"/>
                    </w:rPr>
                    <w:t>服务招标</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4033B700">
                  <w:pPr>
                    <w:jc w:val="center"/>
                    <w:rPr>
                      <w:rFonts w:ascii="宋体"/>
                      <w:color w:val="000000"/>
                      <w:highlight w:val="none"/>
                    </w:rPr>
                  </w:pPr>
                  <w:r>
                    <w:rPr>
                      <w:rFonts w:hint="eastAsia" w:ascii="宋体" w:hAnsi="宋体" w:cs="宋体"/>
                      <w:color w:val="000000"/>
                      <w:highlight w:val="none"/>
                    </w:rPr>
                    <w:t>工程招标</w:t>
                  </w:r>
                </w:p>
              </w:tc>
            </w:tr>
            <w:tr w14:paraId="266BB6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425B7891">
                  <w:pPr>
                    <w:jc w:val="center"/>
                    <w:rPr>
                      <w:rFonts w:ascii="宋体"/>
                      <w:color w:val="000000"/>
                      <w:highlight w:val="none"/>
                    </w:rPr>
                  </w:pPr>
                  <w:r>
                    <w:rPr>
                      <w:rFonts w:ascii="宋体" w:hAnsi="宋体" w:cs="宋体"/>
                      <w:color w:val="000000"/>
                      <w:highlight w:val="none"/>
                    </w:rPr>
                    <w:t>100</w:t>
                  </w:r>
                  <w:r>
                    <w:rPr>
                      <w:rFonts w:hint="eastAsia" w:ascii="宋体" w:hAnsi="宋体" w:cs="宋体"/>
                      <w:color w:val="000000"/>
                      <w:highlight w:val="none"/>
                    </w:rPr>
                    <w:t>以下</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094E672">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22DAAA68">
                  <w:pPr>
                    <w:jc w:val="center"/>
                    <w:rPr>
                      <w:rFonts w:ascii="宋体"/>
                      <w:color w:val="000000"/>
                      <w:highlight w:val="none"/>
                    </w:rPr>
                  </w:pPr>
                  <w:r>
                    <w:rPr>
                      <w:rFonts w:ascii="宋体" w:hAnsi="宋体" w:cs="宋体"/>
                      <w:color w:val="000000"/>
                      <w:highlight w:val="none"/>
                    </w:rPr>
                    <w:t>1.5</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2DB3EAA6">
                  <w:pPr>
                    <w:jc w:val="center"/>
                    <w:rPr>
                      <w:rFonts w:ascii="宋体"/>
                      <w:color w:val="000000"/>
                      <w:highlight w:val="none"/>
                    </w:rPr>
                  </w:pPr>
                  <w:r>
                    <w:rPr>
                      <w:rFonts w:ascii="宋体" w:hAnsi="宋体" w:cs="宋体"/>
                      <w:color w:val="000000"/>
                      <w:highlight w:val="none"/>
                    </w:rPr>
                    <w:t>1.0</w:t>
                  </w:r>
                  <w:r>
                    <w:rPr>
                      <w:rFonts w:hint="eastAsia" w:ascii="宋体" w:hAnsi="宋体" w:cs="宋体"/>
                      <w:color w:val="000000"/>
                      <w:highlight w:val="none"/>
                    </w:rPr>
                    <w:t>％</w:t>
                  </w:r>
                </w:p>
              </w:tc>
            </w:tr>
            <w:tr w14:paraId="6848D7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0" w:hRule="atLeast"/>
                <w:tblCellSpacing w:w="0" w:type="dxa"/>
                <w:jc w:val="center"/>
              </w:trPr>
              <w:tc>
                <w:tcPr>
                  <w:tcW w:w="3110" w:type="dxa"/>
                  <w:tcBorders>
                    <w:top w:val="outset" w:color="auto" w:sz="6" w:space="0"/>
                    <w:left w:val="outset" w:color="auto" w:sz="6" w:space="0"/>
                    <w:bottom w:val="outset" w:color="auto" w:sz="6" w:space="0"/>
                    <w:right w:val="outset" w:color="auto" w:sz="6" w:space="0"/>
                  </w:tcBorders>
                  <w:noWrap w:val="0"/>
                  <w:vAlign w:val="center"/>
                </w:tcPr>
                <w:p w14:paraId="28160219">
                  <w:pPr>
                    <w:jc w:val="center"/>
                    <w:rPr>
                      <w:rFonts w:ascii="宋体"/>
                      <w:color w:val="000000"/>
                      <w:highlight w:val="none"/>
                    </w:rPr>
                  </w:pPr>
                  <w:r>
                    <w:rPr>
                      <w:rFonts w:ascii="宋体" w:hAnsi="宋体" w:cs="宋体"/>
                      <w:color w:val="000000"/>
                      <w:highlight w:val="none"/>
                    </w:rPr>
                    <w:t>100—500</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1D0463F2">
                  <w:pPr>
                    <w:jc w:val="center"/>
                    <w:rPr>
                      <w:rFonts w:ascii="宋体"/>
                      <w:color w:val="000000"/>
                      <w:highlight w:val="none"/>
                    </w:rPr>
                  </w:pPr>
                  <w:r>
                    <w:rPr>
                      <w:rFonts w:ascii="宋体" w:hAnsi="宋体" w:cs="宋体"/>
                      <w:color w:val="000000"/>
                      <w:highlight w:val="none"/>
                    </w:rPr>
                    <w:t>1.1</w:t>
                  </w:r>
                  <w:r>
                    <w:rPr>
                      <w:rFonts w:hint="eastAsia" w:ascii="宋体" w:hAnsi="宋体" w:cs="宋体"/>
                      <w:color w:val="000000"/>
                      <w:highlight w:val="none"/>
                    </w:rPr>
                    <w:t>％</w:t>
                  </w:r>
                </w:p>
              </w:tc>
              <w:tc>
                <w:tcPr>
                  <w:tcW w:w="1008" w:type="dxa"/>
                  <w:tcBorders>
                    <w:top w:val="outset" w:color="auto" w:sz="6" w:space="0"/>
                    <w:left w:val="outset" w:color="auto" w:sz="6" w:space="0"/>
                    <w:bottom w:val="outset" w:color="auto" w:sz="6" w:space="0"/>
                    <w:right w:val="outset" w:color="auto" w:sz="6" w:space="0"/>
                  </w:tcBorders>
                  <w:noWrap w:val="0"/>
                  <w:vAlign w:val="center"/>
                </w:tcPr>
                <w:p w14:paraId="5EF24986">
                  <w:pPr>
                    <w:jc w:val="center"/>
                    <w:rPr>
                      <w:rFonts w:ascii="宋体"/>
                      <w:color w:val="000000"/>
                      <w:highlight w:val="none"/>
                    </w:rPr>
                  </w:pPr>
                  <w:r>
                    <w:rPr>
                      <w:rFonts w:ascii="宋体" w:hAnsi="宋体" w:cs="宋体"/>
                      <w:color w:val="000000"/>
                      <w:highlight w:val="none"/>
                    </w:rPr>
                    <w:t>0.8</w:t>
                  </w:r>
                  <w:r>
                    <w:rPr>
                      <w:rFonts w:hint="eastAsia" w:ascii="宋体" w:hAnsi="宋体" w:cs="宋体"/>
                      <w:color w:val="000000"/>
                      <w:highlight w:val="none"/>
                    </w:rPr>
                    <w:t>％</w:t>
                  </w:r>
                </w:p>
              </w:tc>
              <w:tc>
                <w:tcPr>
                  <w:tcW w:w="977" w:type="dxa"/>
                  <w:tcBorders>
                    <w:top w:val="outset" w:color="auto" w:sz="6" w:space="0"/>
                    <w:left w:val="outset" w:color="auto" w:sz="6" w:space="0"/>
                    <w:bottom w:val="outset" w:color="auto" w:sz="6" w:space="0"/>
                    <w:right w:val="outset" w:color="auto" w:sz="6" w:space="0"/>
                  </w:tcBorders>
                  <w:noWrap w:val="0"/>
                  <w:vAlign w:val="center"/>
                </w:tcPr>
                <w:p w14:paraId="1E237375">
                  <w:pPr>
                    <w:jc w:val="center"/>
                    <w:rPr>
                      <w:rFonts w:ascii="宋体"/>
                      <w:color w:val="000000"/>
                      <w:highlight w:val="none"/>
                    </w:rPr>
                  </w:pPr>
                  <w:r>
                    <w:rPr>
                      <w:rFonts w:ascii="宋体" w:hAnsi="宋体" w:cs="宋体"/>
                      <w:color w:val="000000"/>
                      <w:highlight w:val="none"/>
                    </w:rPr>
                    <w:t>0.7</w:t>
                  </w:r>
                  <w:r>
                    <w:rPr>
                      <w:rFonts w:hint="eastAsia" w:ascii="宋体" w:hAnsi="宋体" w:cs="宋体"/>
                      <w:color w:val="000000"/>
                      <w:highlight w:val="none"/>
                    </w:rPr>
                    <w:t>％</w:t>
                  </w:r>
                </w:p>
              </w:tc>
            </w:tr>
          </w:tbl>
          <w:p w14:paraId="7159A5CF">
            <w:pPr>
              <w:spacing w:line="340" w:lineRule="exact"/>
              <w:ind w:firstLine="420" w:firstLineChars="200"/>
              <w:rPr>
                <w:rFonts w:hint="eastAsia" w:ascii="宋体" w:hAnsi="宋体" w:eastAsia="宋体" w:cs="宋体"/>
                <w:snapToGrid w:val="0"/>
                <w:color w:val="auto"/>
                <w:kern w:val="0"/>
                <w:highlight w:val="none"/>
                <w:lang w:val="en-US" w:eastAsia="zh-CN"/>
              </w:rPr>
            </w:pPr>
            <w:r>
              <w:rPr>
                <w:rFonts w:hint="eastAsia" w:ascii="宋体" w:hAnsi="宋体" w:eastAsia="宋体" w:cs="宋体"/>
                <w:snapToGrid w:val="0"/>
                <w:color w:val="auto"/>
                <w:kern w:val="0"/>
                <w:highlight w:val="none"/>
              </w:rPr>
              <w:t>结算方式及时间为：在领取中标通知书前由成交供应商一次性向采购代理机构付清。</w:t>
            </w:r>
          </w:p>
        </w:tc>
      </w:tr>
      <w:tr w14:paraId="2A3280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648" w:type="dxa"/>
            <w:vAlign w:val="center"/>
          </w:tcPr>
          <w:p w14:paraId="4F3695E9">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20</w:t>
            </w:r>
          </w:p>
        </w:tc>
        <w:tc>
          <w:tcPr>
            <w:tcW w:w="1800" w:type="dxa"/>
            <w:vAlign w:val="center"/>
          </w:tcPr>
          <w:p w14:paraId="710056C8">
            <w:pPr>
              <w:snapToGrid w:val="0"/>
              <w:jc w:val="center"/>
              <w:rPr>
                <w:rFonts w:ascii="宋体" w:hAnsi="宋体" w:cs="宋体"/>
                <w:color w:val="auto"/>
                <w:highlight w:val="none"/>
              </w:rPr>
            </w:pPr>
            <w:r>
              <w:rPr>
                <w:rFonts w:hint="eastAsia" w:ascii="宋体" w:hAnsi="宋体" w:cs="宋体"/>
                <w:color w:val="auto"/>
                <w:highlight w:val="none"/>
              </w:rPr>
              <w:t>是否允许分包</w:t>
            </w:r>
          </w:p>
        </w:tc>
        <w:tc>
          <w:tcPr>
            <w:tcW w:w="6682" w:type="dxa"/>
            <w:vAlign w:val="center"/>
          </w:tcPr>
          <w:p w14:paraId="7C795644">
            <w:pPr>
              <w:ind w:firstLine="420" w:firstLineChars="200"/>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rPr>
              <w:t>不允许</w:t>
            </w:r>
            <w:r>
              <w:rPr>
                <w:rFonts w:hint="eastAsia" w:ascii="宋体" w:hAnsi="宋体" w:cs="宋体"/>
                <w:color w:val="auto"/>
                <w:highlight w:val="none"/>
              </w:rPr>
              <w:t>分包</w:t>
            </w:r>
          </w:p>
        </w:tc>
      </w:tr>
      <w:tr w14:paraId="0FF050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48" w:type="dxa"/>
            <w:vAlign w:val="center"/>
          </w:tcPr>
          <w:p w14:paraId="4A2BB0DA">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21</w:t>
            </w:r>
          </w:p>
        </w:tc>
        <w:tc>
          <w:tcPr>
            <w:tcW w:w="1800" w:type="dxa"/>
            <w:tcBorders>
              <w:top w:val="single" w:color="auto" w:sz="4" w:space="0"/>
            </w:tcBorders>
            <w:vAlign w:val="center"/>
          </w:tcPr>
          <w:p w14:paraId="7AE77525">
            <w:pPr>
              <w:snapToGrid w:val="0"/>
              <w:jc w:val="center"/>
              <w:rPr>
                <w:rFonts w:ascii="宋体" w:hAnsi="宋体" w:cs="宋体"/>
                <w:color w:val="auto"/>
                <w:highlight w:val="none"/>
              </w:rPr>
            </w:pPr>
            <w:r>
              <w:rPr>
                <w:rFonts w:hint="eastAsia" w:ascii="宋体" w:hAnsi="宋体" w:cs="宋体"/>
                <w:color w:val="auto"/>
                <w:highlight w:val="none"/>
              </w:rPr>
              <w:t>是否提供演示</w:t>
            </w:r>
          </w:p>
        </w:tc>
        <w:tc>
          <w:tcPr>
            <w:tcW w:w="6682" w:type="dxa"/>
            <w:tcBorders>
              <w:top w:val="single" w:color="auto" w:sz="4" w:space="0"/>
            </w:tcBorders>
            <w:vAlign w:val="center"/>
          </w:tcPr>
          <w:p w14:paraId="010F6871">
            <w:pPr>
              <w:ind w:firstLine="420" w:firstLineChars="200"/>
              <w:rPr>
                <w:color w:val="auto"/>
                <w:highlight w:val="none"/>
              </w:rPr>
            </w:pPr>
            <w:r>
              <w:rPr>
                <w:rFonts w:hint="eastAsia" w:ascii="宋体" w:hAnsi="宋体" w:cs="宋体"/>
                <w:color w:val="auto"/>
                <w:highlight w:val="none"/>
              </w:rPr>
              <w:t>本项目</w:t>
            </w:r>
            <w:r>
              <w:rPr>
                <w:rFonts w:hint="eastAsia" w:ascii="宋体" w:hAnsi="宋体" w:cs="宋体"/>
                <w:color w:val="auto"/>
                <w:highlight w:val="none"/>
                <w:u w:val="single"/>
                <w:lang w:val="en-US" w:eastAsia="zh-CN"/>
              </w:rPr>
              <w:t>不</w:t>
            </w:r>
            <w:r>
              <w:rPr>
                <w:rFonts w:hint="eastAsia" w:ascii="宋体" w:hAnsi="宋体" w:cs="宋体"/>
                <w:color w:val="auto"/>
                <w:highlight w:val="none"/>
                <w:u w:val="single"/>
              </w:rPr>
              <w:t>需要</w:t>
            </w:r>
            <w:r>
              <w:rPr>
                <w:rFonts w:hint="eastAsia" w:ascii="宋体" w:hAnsi="宋体" w:cs="宋体"/>
                <w:color w:val="auto"/>
                <w:highlight w:val="none"/>
              </w:rPr>
              <w:t>提供演示。</w:t>
            </w:r>
          </w:p>
        </w:tc>
      </w:tr>
      <w:tr w14:paraId="24935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4A179103">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22</w:t>
            </w:r>
          </w:p>
        </w:tc>
        <w:tc>
          <w:tcPr>
            <w:tcW w:w="1800" w:type="dxa"/>
            <w:vAlign w:val="center"/>
          </w:tcPr>
          <w:p w14:paraId="050991AA">
            <w:pPr>
              <w:snapToGrid w:val="0"/>
              <w:jc w:val="center"/>
              <w:rPr>
                <w:rFonts w:ascii="宋体" w:hAnsi="宋体" w:cs="宋体"/>
                <w:color w:val="auto"/>
                <w:highlight w:val="none"/>
              </w:rPr>
            </w:pPr>
            <w:r>
              <w:rPr>
                <w:rFonts w:hint="eastAsia" w:ascii="宋体" w:hAnsi="宋体" w:cs="宋体"/>
                <w:color w:val="auto"/>
                <w:highlight w:val="none"/>
              </w:rPr>
              <w:t>供应商信用信息查询渠道及截止时点、信用信息查询记录和证据留存的具体方式、信用信息的使用规则</w:t>
            </w:r>
          </w:p>
        </w:tc>
        <w:tc>
          <w:tcPr>
            <w:tcW w:w="6682" w:type="dxa"/>
            <w:vAlign w:val="center"/>
          </w:tcPr>
          <w:p w14:paraId="68310C5B">
            <w:pPr>
              <w:ind w:firstLine="420" w:firstLineChars="200"/>
              <w:rPr>
                <w:rFonts w:ascii="宋体" w:hAnsi="宋体" w:cs="宋体"/>
                <w:color w:val="auto"/>
                <w:highlight w:val="none"/>
              </w:rPr>
            </w:pPr>
            <w:r>
              <w:rPr>
                <w:rFonts w:hint="eastAsia" w:ascii="宋体" w:hAnsi="宋体" w:cs="宋体"/>
                <w:color w:val="auto"/>
                <w:highlight w:val="none"/>
              </w:rPr>
              <w:t>1、查询渠道：信用中国（网址：http://www.creditchina.gov.cn）、中国政府采购网(网址：http://www.ccgp.gov.cn）。</w:t>
            </w:r>
          </w:p>
          <w:p w14:paraId="777B066F">
            <w:pPr>
              <w:ind w:firstLine="420" w:firstLineChars="200"/>
              <w:rPr>
                <w:rFonts w:ascii="宋体" w:hAnsi="宋体" w:cs="宋体"/>
                <w:color w:val="auto"/>
                <w:highlight w:val="none"/>
              </w:rPr>
            </w:pPr>
            <w:r>
              <w:rPr>
                <w:rFonts w:hint="eastAsia" w:ascii="宋体" w:hAnsi="宋体" w:cs="宋体"/>
                <w:color w:val="auto"/>
                <w:highlight w:val="none"/>
              </w:rPr>
              <w:t>2、截止时点：开标后评标前。</w:t>
            </w:r>
          </w:p>
          <w:p w14:paraId="26CC386D">
            <w:pPr>
              <w:ind w:firstLine="420" w:firstLineChars="200"/>
              <w:rPr>
                <w:rFonts w:ascii="宋体" w:hAnsi="宋体" w:cs="宋体"/>
                <w:color w:val="auto"/>
                <w:highlight w:val="none"/>
              </w:rPr>
            </w:pPr>
            <w:r>
              <w:rPr>
                <w:rFonts w:hint="eastAsia" w:ascii="宋体" w:hAnsi="宋体" w:cs="宋体"/>
                <w:color w:val="auto"/>
                <w:highlight w:val="none"/>
              </w:rPr>
              <w:t>3、信用信息查询记录和证据留存的具体方式：由采购组织机构在规定查询时间内打印信用信息查询记录并归入项目档案。</w:t>
            </w:r>
          </w:p>
          <w:p w14:paraId="2A0CEE4E">
            <w:pPr>
              <w:ind w:firstLine="420" w:firstLineChars="200"/>
              <w:rPr>
                <w:rFonts w:ascii="宋体" w:hAnsi="宋体" w:cs="宋体"/>
                <w:color w:val="auto"/>
                <w:highlight w:val="none"/>
              </w:rPr>
            </w:pPr>
            <w:r>
              <w:rPr>
                <w:rFonts w:hint="eastAsia" w:ascii="宋体" w:hAnsi="宋体" w:cs="宋体"/>
                <w:color w:val="auto"/>
                <w:highlight w:val="none"/>
              </w:rPr>
              <w:t>4、使用规则：对列入失信被执行人、重大税收违法失信主体、政府采购严重违法失信行为记录名单及其他不符合《中华人民共和国政府采购法》第二十二条规定条件的供应商，将被拒绝其参与政府采购活动。</w:t>
            </w:r>
          </w:p>
        </w:tc>
      </w:tr>
      <w:tr w14:paraId="1EAB1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restart"/>
            <w:vAlign w:val="center"/>
          </w:tcPr>
          <w:p w14:paraId="7C7FE069">
            <w:pPr>
              <w:snapToGrid w:val="0"/>
              <w:spacing w:line="36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23</w:t>
            </w:r>
          </w:p>
        </w:tc>
        <w:tc>
          <w:tcPr>
            <w:tcW w:w="1800" w:type="dxa"/>
            <w:vMerge w:val="restart"/>
            <w:vAlign w:val="center"/>
          </w:tcPr>
          <w:p w14:paraId="0582F6A0">
            <w:pPr>
              <w:snapToGrid w:val="0"/>
              <w:jc w:val="center"/>
              <w:rPr>
                <w:rFonts w:ascii="宋体" w:hAnsi="宋体" w:cs="宋体"/>
                <w:color w:val="auto"/>
                <w:highlight w:val="none"/>
              </w:rPr>
            </w:pPr>
            <w:r>
              <w:rPr>
                <w:rFonts w:hint="eastAsia" w:ascii="宋体" w:hAnsi="宋体" w:cs="宋体"/>
                <w:color w:val="auto"/>
                <w:highlight w:val="none"/>
              </w:rPr>
              <w:t>预付款</w:t>
            </w:r>
          </w:p>
        </w:tc>
        <w:tc>
          <w:tcPr>
            <w:tcW w:w="6682" w:type="dxa"/>
            <w:vAlign w:val="center"/>
          </w:tcPr>
          <w:p w14:paraId="785FA47F">
            <w:pPr>
              <w:ind w:firstLine="420" w:firstLineChars="200"/>
              <w:rPr>
                <w:rFonts w:ascii="宋体" w:hAnsi="宋体" w:cs="宋体"/>
                <w:color w:val="auto"/>
                <w:highlight w:val="none"/>
              </w:rPr>
            </w:pPr>
            <w:r>
              <w:rPr>
                <w:rFonts w:hint="eastAsia" w:ascii="宋体" w:hAnsi="宋体" w:cs="宋体"/>
                <w:color w:val="auto"/>
                <w:highlight w:val="none"/>
              </w:rPr>
              <w:t>本项目涉及预付款，预付款比例为</w:t>
            </w:r>
            <w:r>
              <w:rPr>
                <w:rFonts w:hint="eastAsia" w:ascii="宋体" w:hAnsi="宋体" w:cs="宋体"/>
                <w:color w:val="auto"/>
                <w:highlight w:val="none"/>
                <w:lang w:val="en-US" w:eastAsia="zh-CN"/>
              </w:rPr>
              <w:t>40</w:t>
            </w:r>
            <w:r>
              <w:rPr>
                <w:rFonts w:hint="eastAsia" w:ascii="宋体" w:hAnsi="宋体" w:cs="宋体"/>
                <w:color w:val="auto"/>
                <w:highlight w:val="none"/>
              </w:rPr>
              <w:t>%。</w:t>
            </w:r>
          </w:p>
        </w:tc>
      </w:tr>
      <w:tr w14:paraId="015DC8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648" w:type="dxa"/>
            <w:vMerge w:val="continue"/>
            <w:vAlign w:val="center"/>
          </w:tcPr>
          <w:p w14:paraId="20E8680E">
            <w:pPr>
              <w:snapToGrid w:val="0"/>
              <w:spacing w:line="360" w:lineRule="exact"/>
              <w:jc w:val="center"/>
              <w:rPr>
                <w:rFonts w:ascii="宋体" w:hAnsi="宋体" w:cs="宋体"/>
                <w:color w:val="auto"/>
                <w:highlight w:val="none"/>
              </w:rPr>
            </w:pPr>
          </w:p>
        </w:tc>
        <w:tc>
          <w:tcPr>
            <w:tcW w:w="1800" w:type="dxa"/>
            <w:vMerge w:val="continue"/>
            <w:vAlign w:val="center"/>
          </w:tcPr>
          <w:p w14:paraId="40E1760A">
            <w:pPr>
              <w:snapToGrid w:val="0"/>
              <w:jc w:val="center"/>
              <w:rPr>
                <w:rFonts w:ascii="宋体" w:hAnsi="宋体" w:cs="宋体"/>
                <w:color w:val="auto"/>
                <w:highlight w:val="none"/>
              </w:rPr>
            </w:pPr>
          </w:p>
        </w:tc>
        <w:tc>
          <w:tcPr>
            <w:tcW w:w="6682" w:type="dxa"/>
          </w:tcPr>
          <w:p w14:paraId="20184CFF">
            <w:pPr>
              <w:ind w:firstLine="420" w:firstLineChars="200"/>
              <w:rPr>
                <w:rFonts w:ascii="宋体" w:hAnsi="宋体" w:cs="宋体"/>
                <w:color w:val="auto"/>
                <w:highlight w:val="none"/>
              </w:rPr>
            </w:pPr>
            <w:r>
              <w:rPr>
                <w:rFonts w:hint="eastAsia" w:ascii="宋体" w:hAnsi="宋体" w:cs="宋体"/>
                <w:color w:val="auto"/>
                <w:highlight w:val="none"/>
              </w:rPr>
              <w:t>根据《浙江省财政厅关于进一步发挥政府采购政策功能全力推动经济稳进提质的通知》[浙财采监〔2022）3号]文件第二条第五点关于“进一步提高政府采购预付款比例”的规定：</w:t>
            </w:r>
          </w:p>
          <w:p w14:paraId="14850C67">
            <w:pPr>
              <w:ind w:firstLine="420" w:firstLineChars="200"/>
              <w:rPr>
                <w:rFonts w:ascii="宋体" w:hAnsi="宋体" w:cs="宋体"/>
                <w:color w:val="auto"/>
                <w:highlight w:val="none"/>
              </w:rPr>
            </w:pPr>
            <w:r>
              <w:rPr>
                <w:rFonts w:hint="eastAsia" w:ascii="宋体" w:hAnsi="宋体" w:cs="宋体"/>
                <w:color w:val="auto"/>
                <w:highlight w:val="none"/>
              </w:rPr>
              <w:t>1、采购单位应当在政府采购合同中约定预付款。</w:t>
            </w:r>
          </w:p>
          <w:p w14:paraId="60B80B09">
            <w:pPr>
              <w:ind w:firstLine="420" w:firstLineChars="200"/>
              <w:rPr>
                <w:rFonts w:ascii="宋体" w:hAnsi="宋体" w:cs="宋体"/>
                <w:color w:val="auto"/>
                <w:highlight w:val="none"/>
              </w:rPr>
            </w:pPr>
            <w:r>
              <w:rPr>
                <w:rFonts w:hint="eastAsia" w:ascii="宋体" w:hAnsi="宋体" w:cs="宋体"/>
                <w:color w:val="auto"/>
                <w:highlight w:val="none"/>
              </w:rPr>
              <w:t>2、项目涉及中小企业合同预付款的，合同签订后，采购人可以根据项目特点、供应商诚信等因素要求中标人提交银行、保险公司等金融机构出具的预付款保函或其他担保措施，采购人在合同生效以及具备实施条件后7个工作日内向中标人支付40%-70%的合同款作为预付款（项目为分年安排预算的，预付款按年度计划支付资金额的上述比例执行）；项目如以人工投入为主，采购人在合同生效以及具备实施条件后7个工作日内向中标人支付20%-70%的合同款作为预付款。</w:t>
            </w:r>
          </w:p>
          <w:p w14:paraId="5CA8A174">
            <w:pPr>
              <w:ind w:firstLine="420" w:firstLineChars="200"/>
              <w:rPr>
                <w:rFonts w:ascii="宋体" w:hAnsi="宋体" w:cs="宋体"/>
                <w:color w:val="auto"/>
                <w:highlight w:val="none"/>
              </w:rPr>
            </w:pPr>
            <w:r>
              <w:rPr>
                <w:rFonts w:hint="eastAsia" w:ascii="宋体" w:hAnsi="宋体" w:cs="宋体"/>
                <w:color w:val="auto"/>
                <w:highlight w:val="none"/>
              </w:rPr>
              <w:t>3、本项目涉及投标人为大型企业，或者以人工投入为主且实行按月定期结算支付款项的，预付款可低于上述比例或者不约定预付款（相应字样应在合同中体现）。</w:t>
            </w:r>
          </w:p>
          <w:p w14:paraId="4CA6FB5C">
            <w:pPr>
              <w:ind w:firstLine="420" w:firstLineChars="200"/>
              <w:rPr>
                <w:rFonts w:ascii="宋体" w:hAnsi="宋体" w:cs="宋体"/>
                <w:color w:val="auto"/>
                <w:highlight w:val="none"/>
              </w:rPr>
            </w:pPr>
            <w:r>
              <w:rPr>
                <w:rFonts w:hint="eastAsia" w:ascii="宋体" w:hAnsi="宋体" w:cs="宋体"/>
                <w:color w:val="auto"/>
                <w:highlight w:val="none"/>
              </w:rPr>
              <w:t>4、在签订合同时，中标人明确表示无需预付款或者主动要求降低预付款比例的，应提交相应申请函经采购人确认后，可不适用前述规定。</w:t>
            </w:r>
          </w:p>
        </w:tc>
      </w:tr>
      <w:tr w14:paraId="71BBF1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vAlign w:val="center"/>
          </w:tcPr>
          <w:p w14:paraId="2BED250C">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24</w:t>
            </w:r>
          </w:p>
        </w:tc>
        <w:tc>
          <w:tcPr>
            <w:tcW w:w="1800" w:type="dxa"/>
            <w:vAlign w:val="center"/>
          </w:tcPr>
          <w:p w14:paraId="28644D99">
            <w:pPr>
              <w:snapToGrid w:val="0"/>
              <w:jc w:val="center"/>
              <w:rPr>
                <w:rFonts w:ascii="宋体" w:hAnsi="宋体" w:cs="宋体"/>
                <w:color w:val="auto"/>
                <w:highlight w:val="none"/>
              </w:rPr>
            </w:pPr>
            <w:r>
              <w:rPr>
                <w:rFonts w:hint="eastAsia" w:ascii="宋体" w:hAnsi="宋体" w:cs="宋体"/>
                <w:color w:val="auto"/>
                <w:highlight w:val="none"/>
              </w:rPr>
              <w:t>金融支持</w:t>
            </w:r>
          </w:p>
        </w:tc>
        <w:tc>
          <w:tcPr>
            <w:tcW w:w="6682" w:type="dxa"/>
            <w:vAlign w:val="center"/>
          </w:tcPr>
          <w:p w14:paraId="2073934C">
            <w:pPr>
              <w:ind w:firstLine="420" w:firstLineChars="200"/>
              <w:rPr>
                <w:rFonts w:ascii="宋体" w:hAnsi="宋体" w:cs="宋体"/>
                <w:color w:val="auto"/>
                <w:highlight w:val="none"/>
              </w:rPr>
            </w:pPr>
            <w:r>
              <w:rPr>
                <w:rFonts w:hint="eastAsia" w:ascii="宋体" w:hAnsi="宋体" w:cs="宋体"/>
                <w:color w:val="auto"/>
                <w:highlight w:val="none"/>
              </w:rPr>
              <w:t>为支持和促进中小企业发展，进一步发挥政府采购政策功能，企业若有融资意向，可登录政采云平台融资服务（https://jinrong.zcygov.cn/），查看相应融资政策文件及各相关银行服务方案。</w:t>
            </w:r>
          </w:p>
        </w:tc>
      </w:tr>
      <w:tr w14:paraId="511DA9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8" w:type="dxa"/>
            <w:tcBorders>
              <w:bottom w:val="double" w:color="auto" w:sz="4" w:space="0"/>
            </w:tcBorders>
            <w:vAlign w:val="center"/>
          </w:tcPr>
          <w:p w14:paraId="228B0E1E">
            <w:pPr>
              <w:snapToGrid w:val="0"/>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25</w:t>
            </w:r>
          </w:p>
        </w:tc>
        <w:tc>
          <w:tcPr>
            <w:tcW w:w="1800" w:type="dxa"/>
            <w:tcBorders>
              <w:bottom w:val="double" w:color="auto" w:sz="4" w:space="0"/>
            </w:tcBorders>
            <w:vAlign w:val="center"/>
          </w:tcPr>
          <w:p w14:paraId="2634C69D">
            <w:pPr>
              <w:snapToGrid w:val="0"/>
              <w:jc w:val="center"/>
              <w:rPr>
                <w:rFonts w:ascii="宋体" w:hAnsi="宋体" w:cs="宋体"/>
                <w:color w:val="auto"/>
                <w:highlight w:val="none"/>
              </w:rPr>
            </w:pPr>
            <w:r>
              <w:rPr>
                <w:rFonts w:hint="eastAsia" w:ascii="宋体" w:hAnsi="宋体" w:cs="宋体"/>
                <w:color w:val="auto"/>
                <w:highlight w:val="none"/>
              </w:rPr>
              <w:t>其他</w:t>
            </w:r>
          </w:p>
        </w:tc>
        <w:tc>
          <w:tcPr>
            <w:tcW w:w="6682" w:type="dxa"/>
            <w:tcBorders>
              <w:bottom w:val="double" w:color="auto" w:sz="4" w:space="0"/>
            </w:tcBorders>
            <w:vAlign w:val="center"/>
          </w:tcPr>
          <w:p w14:paraId="3A4D4E12">
            <w:pPr>
              <w:numPr>
                <w:ilvl w:val="0"/>
                <w:numId w:val="8"/>
              </w:numPr>
              <w:ind w:firstLine="420" w:firstLineChars="200"/>
              <w:rPr>
                <w:rFonts w:ascii="宋体" w:hAnsi="宋体" w:cs="宋体"/>
                <w:color w:val="auto"/>
                <w:highlight w:val="none"/>
              </w:rPr>
            </w:pPr>
            <w:r>
              <w:rPr>
                <w:rFonts w:hint="eastAsia" w:ascii="宋体" w:hAnsi="宋体" w:cs="宋体"/>
                <w:color w:val="auto"/>
                <w:highlight w:val="none"/>
              </w:rPr>
              <w:t>本磋商文件要求提供的身份证复印件皆需提供正反面，否则按不提供处理。</w:t>
            </w:r>
          </w:p>
          <w:p w14:paraId="41839A06">
            <w:pPr>
              <w:numPr>
                <w:ilvl w:val="0"/>
                <w:numId w:val="8"/>
              </w:numPr>
              <w:ind w:firstLine="420" w:firstLineChars="200"/>
              <w:rPr>
                <w:rFonts w:ascii="宋体" w:hAnsi="宋体" w:cs="宋体"/>
                <w:color w:val="auto"/>
                <w:highlight w:val="none"/>
              </w:rPr>
            </w:pPr>
            <w:r>
              <w:rPr>
                <w:rFonts w:hint="eastAsia" w:ascii="宋体" w:hAnsi="宋体" w:cs="宋体"/>
                <w:color w:val="auto"/>
                <w:highlight w:val="none"/>
              </w:rPr>
              <w:t>本项目货物如涉及柴油动力移动源，柴油动力移动源应当符合低排放要求。</w:t>
            </w:r>
          </w:p>
        </w:tc>
      </w:tr>
    </w:tbl>
    <w:p w14:paraId="6C805314">
      <w:pPr>
        <w:pStyle w:val="7"/>
        <w:spacing w:line="360" w:lineRule="auto"/>
        <w:rPr>
          <w:rFonts w:ascii="宋体" w:hAnsi="宋体" w:cs="宋体"/>
          <w:highlight w:val="none"/>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4"/>
          <w:szCs w:val="24"/>
          <w:highlight w:val="none"/>
        </w:rPr>
        <w:t>注：以上内容如有变化将另行通知。如通知其中某一内容发生变化，其余未提及的将不作变动。</w:t>
      </w:r>
    </w:p>
    <w:p w14:paraId="0E0D9C3C">
      <w:pPr>
        <w:pStyle w:val="2"/>
        <w:numPr>
          <w:ilvl w:val="0"/>
          <w:numId w:val="9"/>
        </w:numPr>
        <w:rPr>
          <w:highlight w:val="none"/>
        </w:rPr>
      </w:pPr>
      <w:bookmarkStart w:id="10" w:name="_Toc25187"/>
      <w:bookmarkStart w:id="11" w:name="_Toc13976"/>
      <w:r>
        <w:rPr>
          <w:rFonts w:hint="eastAsia"/>
          <w:highlight w:val="none"/>
        </w:rPr>
        <w:t>总则</w:t>
      </w:r>
      <w:bookmarkEnd w:id="10"/>
      <w:bookmarkEnd w:id="11"/>
    </w:p>
    <w:p w14:paraId="67F837FD">
      <w:pPr>
        <w:spacing w:line="336" w:lineRule="auto"/>
        <w:ind w:firstLine="480" w:firstLineChars="200"/>
        <w:rPr>
          <w:rFonts w:ascii="宋体" w:hAnsi="宋体" w:cs="宋体"/>
          <w:highlight w:val="none"/>
        </w:rPr>
      </w:pPr>
      <w:r>
        <w:rPr>
          <w:rFonts w:hint="eastAsia" w:ascii="宋体" w:hAnsi="宋体" w:cs="宋体"/>
          <w:sz w:val="24"/>
          <w:szCs w:val="24"/>
          <w:highlight w:val="none"/>
        </w:rPr>
        <w:t>本次招标工作是按照《中华人民共和国政府采购法》、《中华人民共和国政府采购法实施条例》《政府采购竞争性磋商采购方式管理暂行办法》等相关法律、组织和实施，并由政府采购管理部门指导和监督。</w:t>
      </w:r>
    </w:p>
    <w:p w14:paraId="38B921FA">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适用范围</w:t>
      </w:r>
    </w:p>
    <w:p w14:paraId="5AFD6C5F">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1.1本次磋商工作仅适用于</w:t>
      </w:r>
      <w:r>
        <w:rPr>
          <w:rFonts w:hint="eastAsia" w:ascii="宋体" w:hAnsi="宋体" w:cs="宋体"/>
          <w:sz w:val="24"/>
          <w:szCs w:val="24"/>
          <w:highlight w:val="none"/>
          <w:u w:val="single"/>
          <w:lang w:eastAsia="zh-CN"/>
        </w:rPr>
        <w:t>2025-2026年区域HIS及区域EMR等系统运维服务项目</w:t>
      </w:r>
      <w:r>
        <w:rPr>
          <w:rFonts w:hint="eastAsia" w:ascii="宋体" w:hAnsi="宋体" w:cs="宋体"/>
          <w:sz w:val="24"/>
          <w:szCs w:val="24"/>
          <w:highlight w:val="none"/>
        </w:rPr>
        <w:t>。</w:t>
      </w:r>
    </w:p>
    <w:p w14:paraId="24BDC55A">
      <w:pPr>
        <w:pStyle w:val="10"/>
        <w:spacing w:line="336" w:lineRule="auto"/>
        <w:ind w:firstLine="480" w:firstLineChars="200"/>
        <w:rPr>
          <w:rFonts w:ascii="宋体" w:hAnsi="宋体" w:cs="宋体"/>
          <w:highlight w:val="none"/>
        </w:rPr>
      </w:pPr>
      <w:r>
        <w:rPr>
          <w:rFonts w:hint="eastAsia" w:ascii="宋体" w:hAnsi="宋体" w:cs="宋体"/>
          <w:sz w:val="24"/>
          <w:szCs w:val="24"/>
          <w:highlight w:val="none"/>
        </w:rPr>
        <w:t>1.2本项目采购方式采用竞争性磋商方式。</w:t>
      </w:r>
    </w:p>
    <w:p w14:paraId="56200FF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定义</w:t>
      </w:r>
    </w:p>
    <w:p w14:paraId="1A69002C">
      <w:pPr>
        <w:spacing w:line="336"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2.1“</w:t>
      </w:r>
      <w:r>
        <w:rPr>
          <w:rFonts w:hint="eastAsia" w:ascii="宋体" w:hAnsi="宋体" w:cs="宋体"/>
          <w:sz w:val="24"/>
          <w:szCs w:val="24"/>
          <w:highlight w:val="none"/>
          <w:lang w:val="zh-CN"/>
        </w:rPr>
        <w:t>采购人”系指</w:t>
      </w:r>
      <w:r>
        <w:rPr>
          <w:rFonts w:hint="eastAsia" w:ascii="宋体" w:hAnsi="宋体" w:cs="宋体"/>
          <w:sz w:val="24"/>
          <w:szCs w:val="24"/>
          <w:highlight w:val="none"/>
          <w:u w:val="single"/>
          <w:lang w:eastAsia="zh-CN"/>
        </w:rPr>
        <w:t>绍兴市上虞区卫生信息中心</w:t>
      </w:r>
      <w:r>
        <w:rPr>
          <w:rFonts w:hint="eastAsia" w:ascii="宋体" w:hAnsi="宋体" w:cs="宋体"/>
          <w:sz w:val="24"/>
          <w:szCs w:val="24"/>
          <w:highlight w:val="none"/>
        </w:rPr>
        <w:t>。采购人委托</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为本项目采购代理机构。</w:t>
      </w:r>
    </w:p>
    <w:p w14:paraId="381B114B">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2.2“磋商供应商”系指响应本次采购，参加本次竞争性磋商的供应商。</w:t>
      </w:r>
    </w:p>
    <w:p w14:paraId="729D01CC">
      <w:pPr>
        <w:spacing w:line="336" w:lineRule="auto"/>
        <w:ind w:firstLine="480" w:firstLineChars="200"/>
        <w:rPr>
          <w:rFonts w:ascii="宋体" w:hAnsi="宋体" w:cs="宋体"/>
          <w:sz w:val="24"/>
          <w:szCs w:val="24"/>
          <w:highlight w:val="none"/>
          <w:lang w:val="zh-CN"/>
        </w:rPr>
      </w:pPr>
      <w:r>
        <w:rPr>
          <w:rFonts w:hint="eastAsia" w:ascii="宋体" w:hAnsi="宋体" w:cs="宋体"/>
          <w:sz w:val="24"/>
          <w:szCs w:val="24"/>
          <w:highlight w:val="none"/>
        </w:rPr>
        <w:t>2.3</w:t>
      </w:r>
      <w:r>
        <w:rPr>
          <w:rFonts w:hint="eastAsia" w:ascii="宋体" w:hAnsi="宋体" w:cs="宋体"/>
          <w:sz w:val="24"/>
          <w:szCs w:val="24"/>
          <w:highlight w:val="none"/>
          <w:lang w:val="zh-CN"/>
        </w:rPr>
        <w:t>“服务”系指</w:t>
      </w:r>
      <w:r>
        <w:rPr>
          <w:rFonts w:hint="eastAsia" w:ascii="宋体" w:hAnsi="宋体" w:cs="宋体"/>
          <w:sz w:val="24"/>
          <w:szCs w:val="24"/>
          <w:highlight w:val="none"/>
        </w:rPr>
        <w:t>磋商供应商按合同规定，须承担的服务的义务</w:t>
      </w:r>
      <w:r>
        <w:rPr>
          <w:rFonts w:hint="eastAsia" w:ascii="宋体" w:hAnsi="宋体" w:cs="宋体"/>
          <w:sz w:val="24"/>
          <w:szCs w:val="24"/>
          <w:highlight w:val="none"/>
          <w:lang w:val="zh-CN"/>
        </w:rPr>
        <w:t>。</w:t>
      </w:r>
    </w:p>
    <w:p w14:paraId="1420272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采购项目概况</w:t>
      </w:r>
      <w:r>
        <w:rPr>
          <w:rFonts w:hint="eastAsia" w:ascii="宋体" w:hAnsi="宋体" w:cs="宋体"/>
          <w:sz w:val="24"/>
          <w:szCs w:val="24"/>
          <w:highlight w:val="none"/>
        </w:rPr>
        <w:tab/>
      </w:r>
      <w:r>
        <w:rPr>
          <w:rFonts w:hint="eastAsia" w:ascii="宋体" w:hAnsi="宋体" w:cs="宋体"/>
          <w:b/>
          <w:bCs/>
          <w:sz w:val="24"/>
          <w:szCs w:val="24"/>
          <w:highlight w:val="none"/>
        </w:rPr>
        <w:tab/>
      </w:r>
    </w:p>
    <w:p w14:paraId="4B7FA6E1">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详见竞争性磋商公告相关内容，主要要求参见本文件第</w:t>
      </w:r>
      <w:r>
        <w:rPr>
          <w:rFonts w:hint="eastAsia" w:ascii="宋体" w:hAnsi="宋体" w:cs="宋体"/>
          <w:sz w:val="24"/>
          <w:szCs w:val="24"/>
          <w:highlight w:val="none"/>
          <w:u w:val="single"/>
        </w:rPr>
        <w:t>三</w:t>
      </w:r>
      <w:r>
        <w:rPr>
          <w:rFonts w:hint="eastAsia" w:ascii="宋体" w:hAnsi="宋体" w:cs="宋体"/>
          <w:sz w:val="24"/>
          <w:szCs w:val="24"/>
          <w:highlight w:val="none"/>
        </w:rPr>
        <w:t>部分。</w:t>
      </w:r>
    </w:p>
    <w:p w14:paraId="198244B9">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合格的磋商供应商</w:t>
      </w:r>
    </w:p>
    <w:p w14:paraId="6B63ECDF">
      <w:pPr>
        <w:spacing w:line="336" w:lineRule="auto"/>
        <w:ind w:firstLine="480" w:firstLineChars="200"/>
        <w:rPr>
          <w:rFonts w:ascii="宋体" w:hAnsi="宋体" w:cs="宋体"/>
          <w:sz w:val="24"/>
          <w:szCs w:val="24"/>
          <w:highlight w:val="none"/>
        </w:rPr>
      </w:pPr>
      <w:bookmarkStart w:id="12" w:name="_Toc207946571"/>
      <w:bookmarkStart w:id="13" w:name="_Toc197657950"/>
      <w:bookmarkStart w:id="14" w:name="_Toc193523219"/>
      <w:bookmarkStart w:id="15" w:name="_Toc208913145"/>
      <w:bookmarkStart w:id="16" w:name="_Toc209520993"/>
      <w:bookmarkStart w:id="17" w:name="_Toc208287611"/>
      <w:bookmarkStart w:id="18" w:name="_Toc197053926"/>
      <w:bookmarkStart w:id="19" w:name="_Toc211412066"/>
      <w:bookmarkStart w:id="20" w:name="_Toc193538208"/>
      <w:bookmarkStart w:id="21" w:name="_Toc197163261"/>
      <w:bookmarkStart w:id="22" w:name="_Toc209504018"/>
      <w:bookmarkStart w:id="23" w:name="_Toc197156227"/>
      <w:bookmarkStart w:id="24" w:name="_Toc204683265"/>
      <w:bookmarkStart w:id="25" w:name="_Toc209435242"/>
      <w:r>
        <w:rPr>
          <w:rFonts w:hint="eastAsia" w:ascii="宋体" w:hAnsi="宋体" w:cs="宋体"/>
          <w:sz w:val="24"/>
          <w:szCs w:val="24"/>
          <w:highlight w:val="none"/>
        </w:rPr>
        <w:t>详见竞争性磋商采购公告磋商供应商的资格要求规定。</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2334F9A">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磋商费用</w:t>
      </w:r>
    </w:p>
    <w:p w14:paraId="5942BF31">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磋商供应商应承担其参加磋商所涉及的一切费用，不管结果如何，采购人对上述费用不负任何责任。</w:t>
      </w:r>
    </w:p>
    <w:p w14:paraId="2B1ED427">
      <w:pPr>
        <w:pStyle w:val="2"/>
        <w:numPr>
          <w:ilvl w:val="0"/>
          <w:numId w:val="9"/>
        </w:numPr>
        <w:rPr>
          <w:highlight w:val="none"/>
        </w:rPr>
      </w:pPr>
      <w:bookmarkStart w:id="26" w:name="_Toc25923"/>
      <w:bookmarkStart w:id="27" w:name="_Toc26425"/>
      <w:bookmarkStart w:id="28" w:name="_Toc32689"/>
      <w:bookmarkStart w:id="29" w:name="_Toc416992151"/>
      <w:bookmarkStart w:id="30" w:name="_Toc11814"/>
      <w:r>
        <w:rPr>
          <w:rFonts w:hint="eastAsia"/>
          <w:highlight w:val="none"/>
        </w:rPr>
        <w:t>竞争性磋商文件</w:t>
      </w:r>
      <w:bookmarkEnd w:id="26"/>
      <w:bookmarkEnd w:id="27"/>
      <w:bookmarkEnd w:id="28"/>
      <w:bookmarkEnd w:id="29"/>
      <w:bookmarkEnd w:id="30"/>
    </w:p>
    <w:p w14:paraId="31D576E2">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磋商文件的组成</w:t>
      </w:r>
    </w:p>
    <w:p w14:paraId="0D55797E">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6.1本磋商文件包括目录所示内容及所有按本须知发出的补充资料（如果有）。</w:t>
      </w:r>
    </w:p>
    <w:p w14:paraId="1FC78738">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6.2除上述所列内容外，采购人及采购代理机构的任何工作人员对磋商供应商所作的任何口头解释、介绍、答复，只能供磋商供应商参考，对采购人和磋商供应商无任何约束力。</w:t>
      </w:r>
    </w:p>
    <w:p w14:paraId="708E9449">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6.3磋商供应商应仔细阅读磋商文件的所有内容，按照文件要求提交响应文件，并保证所提交的全部资料的真实性。不按磋商文件的要求提供的响应文件和资料，可能导致磋商被拒绝。</w:t>
      </w:r>
    </w:p>
    <w:p w14:paraId="3D2D90BC">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6.4磋商文件是磋商过程进行的有效依据，也是成交后签订合同的依据，对双方均具有约束力，凡不遵守磋商文件规定或对磋商文件的实质性内容不响应的报价，将可能被拒绝或以无效标处理。本磋商文件由采购人或采购代理机构进行解释。</w:t>
      </w:r>
    </w:p>
    <w:p w14:paraId="1DECB755">
      <w:pPr>
        <w:adjustRightInd w:val="0"/>
        <w:spacing w:line="336" w:lineRule="auto"/>
        <w:ind w:firstLine="472" w:firstLineChars="196"/>
        <w:rPr>
          <w:rFonts w:ascii="宋体" w:hAnsi="宋体" w:cs="宋体"/>
          <w:b/>
          <w:bCs/>
          <w:sz w:val="24"/>
          <w:szCs w:val="24"/>
          <w:highlight w:val="none"/>
        </w:rPr>
      </w:pPr>
      <w:r>
        <w:rPr>
          <w:rFonts w:hint="eastAsia" w:ascii="宋体" w:hAnsi="宋体" w:cs="宋体"/>
          <w:b/>
          <w:bCs/>
          <w:sz w:val="24"/>
          <w:szCs w:val="24"/>
          <w:highlight w:val="none"/>
        </w:rPr>
        <w:t>7</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磋商文件的澄清与修改</w:t>
      </w:r>
    </w:p>
    <w:p w14:paraId="5019740D">
      <w:pPr>
        <w:pStyle w:val="11"/>
        <w:spacing w:line="336" w:lineRule="auto"/>
        <w:ind w:firstLine="480" w:firstLineChars="200"/>
        <w:rPr>
          <w:highlight w:val="none"/>
        </w:rPr>
      </w:pPr>
      <w:r>
        <w:rPr>
          <w:rFonts w:hint="eastAsia"/>
          <w:highlight w:val="none"/>
        </w:rPr>
        <w:t>7.1磋商供应商在收到竞争性磋商文件后，若有问题需要澄清或认为有必要与采购人进行技术交流，应于前附表规定时间前，将问题按前附表要求发至指定邮箱里。（电子邮件只作方便工作之用，与书面文件有不一致的，以书面文件为准）。截止期后的疑问将不予受理、答复。</w:t>
      </w:r>
    </w:p>
    <w:p w14:paraId="1358F7A8">
      <w:pPr>
        <w:pStyle w:val="11"/>
        <w:spacing w:line="336" w:lineRule="auto"/>
        <w:ind w:right="-252" w:rightChars="-120" w:firstLine="480" w:firstLineChars="200"/>
        <w:rPr>
          <w:highlight w:val="none"/>
        </w:rPr>
      </w:pPr>
      <w:r>
        <w:rPr>
          <w:rFonts w:hint="eastAsia"/>
          <w:highlight w:val="none"/>
        </w:rPr>
        <w:t>7.2磋商供应商要求解释或澄清的问题应以书面形式，并加盖公章、写明日期。</w:t>
      </w:r>
    </w:p>
    <w:p w14:paraId="2B230AF3">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7.3提交响应文件截止之日前，采购人、采购代理机构或者磋商小组可以对已发出的磋商文件进行必要的澄清或者修改，澄清或者修改的内容作为磋商文件的组成部分。</w:t>
      </w:r>
    </w:p>
    <w:p w14:paraId="657530FB">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7.4竞争性磋商文件的澄清修改文件及更正补充公告，请自行登录浙江政府采购网或绍兴市上虞区公共资源交易中心网站，在采购公告页面中下载。</w:t>
      </w:r>
    </w:p>
    <w:p w14:paraId="54DCEB61">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7.5澄清或者修改的内容可能影响响应文件编制的，采购人、采购代理机构将在提交响应文件截止时间至少5日前，以公告形式通知所有获取磋商文件的供应商；不足5日的，采购人、采购代理机构可能会顺延提交首次响应文件截止时间。澄清或者修改的内容未对原磋商文件作出重大修改或不会影响响应文件编制的，递交首次响应文件截止时间不变。</w:t>
      </w:r>
    </w:p>
    <w:p w14:paraId="302D5E1E">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7.6竞争性磋商文件澄清、答复、修改、补充的内容为竞争性磋商文件的组成部分。</w:t>
      </w:r>
    </w:p>
    <w:p w14:paraId="6BA3047D">
      <w:pPr>
        <w:pStyle w:val="7"/>
        <w:spacing w:line="336" w:lineRule="auto"/>
        <w:rPr>
          <w:rFonts w:ascii="宋体" w:hAnsi="宋体" w:cs="宋体"/>
          <w:sz w:val="24"/>
          <w:szCs w:val="24"/>
          <w:highlight w:val="none"/>
        </w:rPr>
      </w:pPr>
      <w:r>
        <w:rPr>
          <w:rFonts w:hint="eastAsia" w:ascii="宋体" w:hAnsi="宋体" w:cs="宋体"/>
          <w:sz w:val="24"/>
          <w:szCs w:val="24"/>
          <w:highlight w:val="none"/>
        </w:rPr>
        <w:t>7.7磋商文件发售截止日后，经采购人同意后购买磋商文件的磋商供应商不得对磋商文件和补充文件提出答疑或质疑。</w:t>
      </w:r>
    </w:p>
    <w:p w14:paraId="0B005BEB">
      <w:pPr>
        <w:pStyle w:val="2"/>
        <w:numPr>
          <w:ilvl w:val="0"/>
          <w:numId w:val="9"/>
        </w:numPr>
        <w:rPr>
          <w:highlight w:val="none"/>
        </w:rPr>
      </w:pPr>
      <w:bookmarkStart w:id="31" w:name="_Toc26027"/>
      <w:bookmarkStart w:id="32" w:name="_Toc14650"/>
      <w:bookmarkStart w:id="33" w:name="_Toc11669"/>
      <w:bookmarkStart w:id="34" w:name="_Toc26603"/>
      <w:bookmarkStart w:id="35" w:name="_Toc8424"/>
      <w:bookmarkStart w:id="36" w:name="_Toc1828"/>
      <w:bookmarkStart w:id="37" w:name="_Toc24622"/>
      <w:bookmarkStart w:id="38" w:name="_Toc11692"/>
      <w:bookmarkStart w:id="39" w:name="_Toc1729"/>
      <w:bookmarkStart w:id="40" w:name="_Toc8860"/>
      <w:bookmarkStart w:id="41" w:name="_Toc1202"/>
      <w:bookmarkStart w:id="42" w:name="_Toc6457"/>
      <w:bookmarkStart w:id="43" w:name="_Toc6273"/>
      <w:bookmarkStart w:id="44" w:name="_Toc6079"/>
      <w:bookmarkStart w:id="45" w:name="_Toc10669"/>
      <w:bookmarkStart w:id="46" w:name="_Toc11515"/>
      <w:bookmarkStart w:id="47" w:name="_Toc391298957"/>
      <w:bookmarkStart w:id="48" w:name="_Toc18702"/>
      <w:bookmarkStart w:id="49" w:name="_Toc10810"/>
      <w:bookmarkStart w:id="50" w:name="_Toc23975"/>
      <w:bookmarkStart w:id="51" w:name="_Toc31748"/>
      <w:bookmarkStart w:id="52" w:name="_Toc7126"/>
      <w:bookmarkStart w:id="53" w:name="_Toc11093"/>
      <w:bookmarkStart w:id="54" w:name="_Toc23135"/>
      <w:r>
        <w:rPr>
          <w:rFonts w:hint="eastAsia"/>
          <w:highlight w:val="none"/>
        </w:rPr>
        <w:t>竞争性磋商响应文件的编写</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7173746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要求</w:t>
      </w:r>
    </w:p>
    <w:p w14:paraId="5E667353">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8.1供应商应仔细阅读竞争性磋商文件的所有内容，按照竞争性磋商文件的要求提交竞争性磋商响应文件。竞争性磋商响应文件应对竞争性磋商文件的要求做出实质性响应，并保证所提供的全部资料的真实性，否则视其为虚假响应，其响应将被否决。</w:t>
      </w:r>
    </w:p>
    <w:p w14:paraId="1674D688">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8.2报价</w:t>
      </w:r>
    </w:p>
    <w:p w14:paraId="27821143">
      <w:pPr>
        <w:spacing w:line="336" w:lineRule="auto"/>
        <w:ind w:firstLine="480" w:firstLineChars="200"/>
        <w:rPr>
          <w:rFonts w:ascii="宋体" w:hAnsi="宋体" w:cs="宋体"/>
          <w:b/>
          <w:bCs/>
          <w:sz w:val="24"/>
          <w:szCs w:val="24"/>
          <w:highlight w:val="none"/>
          <w:shd w:val="clear" w:color="FFFFFF" w:fill="D9D9D9"/>
        </w:rPr>
      </w:pPr>
      <w:r>
        <w:rPr>
          <w:rFonts w:hint="eastAsia" w:ascii="宋体" w:hAnsi="宋体" w:cs="宋体"/>
          <w:sz w:val="24"/>
          <w:szCs w:val="24"/>
          <w:highlight w:val="none"/>
        </w:rPr>
        <w:t>8.2.1本次报价非一次性报价，报价币种为人民币。在磋商后根据磋商情况（包括细化采购方案和要求，增补部分采购内容等），供应商须二次报价（最终报价），如果供应商在规定时间30分钟内未提交第二次报价，视该供应商放弃本次投标，作无效标处理。</w:t>
      </w:r>
    </w:p>
    <w:p w14:paraId="52334C1E">
      <w:pPr>
        <w:pStyle w:val="40"/>
        <w:tabs>
          <w:tab w:val="left" w:pos="0"/>
        </w:tabs>
        <w:spacing w:before="0" w:line="336" w:lineRule="auto"/>
        <w:ind w:firstLine="480"/>
        <w:rPr>
          <w:rFonts w:ascii="宋体" w:hAnsi="宋体" w:cs="宋体"/>
          <w:highlight w:val="none"/>
          <w:u w:val="single"/>
        </w:rPr>
      </w:pPr>
      <w:r>
        <w:rPr>
          <w:rFonts w:hint="eastAsia" w:ascii="宋体" w:hAnsi="宋体" w:cs="宋体"/>
          <w:highlight w:val="none"/>
        </w:rPr>
        <w:t>8.2.2</w:t>
      </w:r>
      <w:r>
        <w:rPr>
          <w:rFonts w:hint="eastAsia" w:ascii="宋体" w:hAnsi="宋体" w:cs="宋体"/>
          <w:highlight w:val="none"/>
          <w:u w:val="single"/>
        </w:rPr>
        <w:t>投标报价应包含项目所需全部服务，不得缺漏，包含项目所需全部服务、货物，不得缺漏，是履行合同的最终价格（人员的工资福利、员工五险费(养老保险、医疗保险、失业保险、工伤保险、生育保险)、管理费、税费、专家费、人工成本费、办公用品、报告出具的费用、税费和采购代理费等一切费用）</w:t>
      </w:r>
      <w:r>
        <w:rPr>
          <w:rFonts w:hint="eastAsia" w:ascii="宋体" w:hAnsi="宋体" w:cs="宋体"/>
          <w:highlight w:val="none"/>
        </w:rPr>
        <w:t>。投标报价为供应商所能承受的最低、最终报价，供应商不得再要求追加任何费用。</w:t>
      </w:r>
    </w:p>
    <w:p w14:paraId="289FD589">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投标报价固定是指供应商所填写的投标报价在合同实施期间不因市场因素而变动，供应商在计算报价时可考虑一定的风险系数（由供应商自行考虑）。</w:t>
      </w:r>
    </w:p>
    <w:p w14:paraId="13345221">
      <w:pPr>
        <w:spacing w:line="336" w:lineRule="auto"/>
        <w:ind w:firstLine="480" w:firstLineChars="200"/>
        <w:rPr>
          <w:rFonts w:ascii="宋体" w:hAnsi="宋体" w:cs="宋体"/>
          <w:highlight w:val="none"/>
        </w:rPr>
      </w:pPr>
      <w:r>
        <w:rPr>
          <w:rFonts w:hint="eastAsia" w:ascii="宋体" w:hAnsi="宋体" w:cs="宋体"/>
          <w:sz w:val="24"/>
          <w:szCs w:val="24"/>
          <w:highlight w:val="none"/>
        </w:rPr>
        <w:t>8.2.3供应商的报价作为供应商计算单价或总价的依据，应完成技术文件中的所有要求，不得以任何理由予以重复，供应商对报价若有说明应在报价一览表备注处注明。任何有选择的报价方案及价格将不予接受。</w:t>
      </w:r>
    </w:p>
    <w:p w14:paraId="1447BFC0">
      <w:pPr>
        <w:pStyle w:val="12"/>
        <w:spacing w:line="336" w:lineRule="auto"/>
        <w:ind w:firstLine="482" w:firstLineChars="200"/>
        <w:rPr>
          <w:rFonts w:hAnsi="宋体"/>
          <w:b/>
          <w:bCs/>
          <w:sz w:val="24"/>
          <w:szCs w:val="24"/>
          <w:highlight w:val="none"/>
          <w:u w:val="single"/>
        </w:rPr>
      </w:pPr>
      <w:r>
        <w:rPr>
          <w:rFonts w:hint="eastAsia" w:hAnsi="宋体"/>
          <w:b/>
          <w:bCs/>
          <w:sz w:val="24"/>
          <w:szCs w:val="24"/>
          <w:highlight w:val="none"/>
        </w:rPr>
        <w:t>9</w:t>
      </w:r>
      <w:r>
        <w:rPr>
          <w:rFonts w:hint="eastAsia" w:hAnsi="宋体"/>
          <w:b/>
          <w:bCs/>
          <w:sz w:val="24"/>
          <w:szCs w:val="24"/>
          <w:highlight w:val="none"/>
          <w:lang w:val="en-US" w:eastAsia="zh-CN"/>
        </w:rPr>
        <w:t>.</w:t>
      </w:r>
      <w:r>
        <w:rPr>
          <w:rFonts w:hint="eastAsia" w:hAnsi="宋体"/>
          <w:b/>
          <w:bCs/>
          <w:sz w:val="24"/>
          <w:szCs w:val="24"/>
          <w:highlight w:val="none"/>
        </w:rPr>
        <w:t>响应文件的组成（</w:t>
      </w:r>
      <w:r>
        <w:rPr>
          <w:rFonts w:hint="eastAsia" w:hAnsi="宋体"/>
          <w:b/>
          <w:bCs/>
          <w:sz w:val="24"/>
          <w:szCs w:val="24"/>
          <w:highlight w:val="none"/>
          <w:u w:val="single"/>
        </w:rPr>
        <w:t>供应商应根据采购文件的要求提供相应的内容且设置关联定位，供应商可查看《供应商-政府采购项目电子交易操作指南》进行操作：</w:t>
      </w:r>
      <w:r>
        <w:rPr>
          <w:rFonts w:hint="eastAsia" w:hAnsi="宋体" w:cs="宋体"/>
          <w:b/>
          <w:iCs/>
          <w:sz w:val="24"/>
          <w:highlight w:val="none"/>
          <w:u w:val="single"/>
        </w:rPr>
        <w:fldChar w:fldCharType="begin"/>
      </w:r>
      <w:r>
        <w:rPr>
          <w:rFonts w:hint="eastAsia" w:hAnsi="宋体" w:cs="宋体"/>
          <w:b/>
          <w:iCs/>
          <w:sz w:val="24"/>
          <w:highlight w:val="none"/>
          <w:u w:val="single"/>
        </w:rPr>
        <w:instrText xml:space="preserve"> HYPERLINK "https://service.zcygov.cn/" \l "/knowledges/tree?tag=AG1DtGwBFdiHxlNdhY0r" </w:instrText>
      </w:r>
      <w:r>
        <w:rPr>
          <w:rFonts w:hint="eastAsia" w:hAnsi="宋体" w:cs="宋体"/>
          <w:b/>
          <w:iCs/>
          <w:sz w:val="24"/>
          <w:highlight w:val="none"/>
          <w:u w:val="single"/>
        </w:rPr>
        <w:fldChar w:fldCharType="separate"/>
      </w:r>
      <w:r>
        <w:rPr>
          <w:rFonts w:hint="eastAsia" w:hAnsi="宋体" w:cs="宋体"/>
          <w:b/>
          <w:iCs/>
          <w:sz w:val="24"/>
          <w:highlight w:val="none"/>
          <w:u w:val="single"/>
        </w:rPr>
        <w:t>https://service.zcygov.cn/#/knowledges/tree?tag=AG1DtGwBFdiHxlNdhY0r</w:t>
      </w:r>
      <w:r>
        <w:rPr>
          <w:rFonts w:hint="eastAsia" w:hAnsi="宋体" w:cs="宋体"/>
          <w:b/>
          <w:iCs/>
          <w:sz w:val="24"/>
          <w:highlight w:val="none"/>
          <w:u w:val="single"/>
        </w:rPr>
        <w:fldChar w:fldCharType="end"/>
      </w:r>
      <w:r>
        <w:rPr>
          <w:rFonts w:hint="eastAsia" w:hAnsi="宋体"/>
          <w:b/>
          <w:bCs/>
          <w:sz w:val="24"/>
          <w:szCs w:val="24"/>
          <w:highlight w:val="none"/>
        </w:rPr>
        <w:t>）</w:t>
      </w:r>
    </w:p>
    <w:p w14:paraId="4F77C99B">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响应文件应当包括以下主要内容：资格文件、商务技术文件、报价文件。</w:t>
      </w:r>
    </w:p>
    <w:p w14:paraId="31627922">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资格文件包括以下内容：</w:t>
      </w:r>
    </w:p>
    <w:p w14:paraId="3529F4E0">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法定代表人授权书（格式见附件）；如法定代表人直接参加投标并对相应文件签字的（签字是指线下签字扫描后上传或者线上进行电子签章），只需提供其身份证复印件，否则则应提供授权代表身份证复印件；</w:t>
      </w:r>
    </w:p>
    <w:p w14:paraId="1E520750">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5A37AF10">
      <w:pPr>
        <w:pStyle w:val="40"/>
        <w:spacing w:before="0" w:line="336" w:lineRule="auto"/>
        <w:ind w:firstLine="480"/>
        <w:rPr>
          <w:rFonts w:ascii="宋体" w:hAnsi="宋体" w:cs="宋体"/>
          <w:highlight w:val="none"/>
        </w:rPr>
      </w:pPr>
      <w:r>
        <w:rPr>
          <w:rFonts w:hint="eastAsia" w:ascii="宋体" w:hAnsi="宋体" w:cs="宋体"/>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63012275">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具有履行合同所必需的产品和专业技术能力的承诺函；</w:t>
      </w:r>
    </w:p>
    <w:p w14:paraId="2C5DAD8C">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投标人承诺函</w:t>
      </w:r>
      <w:r>
        <w:rPr>
          <w:rFonts w:hint="eastAsia" w:ascii="宋体" w:hAnsi="宋体" w:cs="宋体"/>
          <w:sz w:val="24"/>
          <w:szCs w:val="24"/>
          <w:highlight w:val="none"/>
        </w:rPr>
        <w:t>（格式见附件）</w:t>
      </w:r>
      <w:r>
        <w:rPr>
          <w:rFonts w:hint="eastAsia" w:ascii="宋体" w:hAnsi="宋体" w:cs="宋体"/>
          <w:highlight w:val="none"/>
        </w:rPr>
        <w:t>；</w:t>
      </w:r>
    </w:p>
    <w:p w14:paraId="0C955A1A">
      <w:pPr>
        <w:pStyle w:val="40"/>
        <w:numPr>
          <w:ilvl w:val="0"/>
          <w:numId w:val="11"/>
        </w:numPr>
        <w:spacing w:before="0"/>
        <w:ind w:firstLine="480"/>
        <w:rPr>
          <w:rFonts w:ascii="宋体" w:hAnsi="宋体" w:cs="宋体"/>
          <w:highlight w:val="none"/>
        </w:rPr>
      </w:pPr>
      <w:r>
        <w:rPr>
          <w:rFonts w:hint="eastAsia" w:ascii="宋体" w:hAnsi="宋体" w:cs="宋体"/>
          <w:highlight w:val="none"/>
        </w:rPr>
        <w:t>中小企业声明函（格式见附件）；</w:t>
      </w:r>
    </w:p>
    <w:p w14:paraId="28AA3924">
      <w:pPr>
        <w:pStyle w:val="40"/>
        <w:numPr>
          <w:ilvl w:val="0"/>
          <w:numId w:val="11"/>
        </w:numPr>
        <w:spacing w:before="0"/>
        <w:ind w:firstLine="480"/>
        <w:rPr>
          <w:rFonts w:ascii="宋体" w:hAnsi="宋体" w:cs="宋体"/>
          <w:highlight w:val="none"/>
        </w:rPr>
      </w:pPr>
      <w:r>
        <w:rPr>
          <w:rFonts w:hint="eastAsia" w:ascii="宋体" w:hAnsi="宋体" w:cs="宋体"/>
          <w:highlight w:val="none"/>
        </w:rPr>
        <w:t>残疾人福利性单位声明函(如有)（格式见附件）；</w:t>
      </w:r>
    </w:p>
    <w:p w14:paraId="47F429EB">
      <w:pPr>
        <w:pStyle w:val="40"/>
        <w:numPr>
          <w:ilvl w:val="0"/>
          <w:numId w:val="11"/>
        </w:numPr>
        <w:spacing w:before="0" w:line="336" w:lineRule="auto"/>
        <w:ind w:firstLine="480"/>
        <w:rPr>
          <w:rFonts w:ascii="宋体" w:hAnsi="宋体" w:cs="宋体"/>
          <w:highlight w:val="none"/>
        </w:rPr>
      </w:pPr>
      <w:r>
        <w:rPr>
          <w:rFonts w:hint="eastAsia" w:ascii="宋体" w:hAnsi="宋体" w:cs="宋体"/>
          <w:highlight w:val="none"/>
        </w:rPr>
        <w:t>监狱企业证明文件(如有)（格式见附件）。</w:t>
      </w:r>
    </w:p>
    <w:p w14:paraId="28B1DA43">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商务技术文件，本次磋商需要供应商提供以下项所列的技术文件：</w:t>
      </w:r>
    </w:p>
    <w:p w14:paraId="41B915D5">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评分对应表（格式见附件，主要用于评委对应评分内容）</w:t>
      </w:r>
      <w:r>
        <w:rPr>
          <w:rFonts w:hint="eastAsia" w:ascii="宋体" w:hAnsi="宋体" w:cs="宋体"/>
          <w:sz w:val="24"/>
          <w:szCs w:val="24"/>
          <w:highlight w:val="none"/>
          <w:lang w:eastAsia="zh-CN"/>
        </w:rPr>
        <w:t>；</w:t>
      </w:r>
    </w:p>
    <w:p w14:paraId="1312E4F3">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供应商商务技术文件中资信分自评表（格式见附件）；</w:t>
      </w:r>
    </w:p>
    <w:p w14:paraId="0CEBFB47">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磋商项目明细清单（格式见附件）；</w:t>
      </w:r>
    </w:p>
    <w:p w14:paraId="39B357AC">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技术响应及建议表（格式见附件）；</w:t>
      </w:r>
    </w:p>
    <w:p w14:paraId="0FC32222">
      <w:pPr>
        <w:numPr>
          <w:ilvl w:val="0"/>
          <w:numId w:val="12"/>
        </w:numPr>
        <w:spacing w:line="360" w:lineRule="auto"/>
        <w:ind w:firstLine="480"/>
        <w:rPr>
          <w:rFonts w:ascii="宋体" w:hAnsi="宋体" w:cs="宋体"/>
          <w:sz w:val="24"/>
          <w:szCs w:val="24"/>
          <w:highlight w:val="none"/>
        </w:rPr>
      </w:pPr>
      <w:r>
        <w:rPr>
          <w:rFonts w:hint="eastAsia" w:ascii="宋体" w:hAnsi="宋体" w:cs="宋体"/>
          <w:sz w:val="24"/>
          <w:szCs w:val="24"/>
          <w:highlight w:val="none"/>
        </w:rPr>
        <w:t>商务响应表（格式见附件）；</w:t>
      </w:r>
    </w:p>
    <w:p w14:paraId="48DBABE7">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项目理解</w:t>
      </w:r>
      <w:r>
        <w:rPr>
          <w:rFonts w:hint="eastAsia" w:ascii="宋体" w:hAnsi="宋体" w:eastAsia="宋体" w:cs="宋体"/>
          <w:highlight w:val="none"/>
        </w:rPr>
        <w:t>；</w:t>
      </w:r>
    </w:p>
    <w:p w14:paraId="5A5F8DDA">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整体运维服务方案</w:t>
      </w:r>
      <w:r>
        <w:rPr>
          <w:rFonts w:hint="eastAsia" w:ascii="宋体" w:hAnsi="宋体" w:eastAsia="宋体" w:cs="宋体"/>
          <w:highlight w:val="none"/>
        </w:rPr>
        <w:t>；</w:t>
      </w:r>
    </w:p>
    <w:p w14:paraId="543A6EC4">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运维方案</w:t>
      </w:r>
      <w:r>
        <w:rPr>
          <w:rFonts w:hint="eastAsia" w:ascii="宋体" w:hAnsi="宋体" w:eastAsia="宋体" w:cs="宋体"/>
          <w:highlight w:val="none"/>
        </w:rPr>
        <w:t>；</w:t>
      </w:r>
    </w:p>
    <w:p w14:paraId="101D3FD7">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团队实力；</w:t>
      </w:r>
    </w:p>
    <w:p w14:paraId="6BBECD8E">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应急预案；</w:t>
      </w:r>
    </w:p>
    <w:p w14:paraId="0E253880">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定期巡检方案；</w:t>
      </w:r>
    </w:p>
    <w:p w14:paraId="311CB7D3">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质量保证；</w:t>
      </w:r>
    </w:p>
    <w:p w14:paraId="0E664B2D">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售后服务；</w:t>
      </w:r>
    </w:p>
    <w:p w14:paraId="66796425">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培训方案；</w:t>
      </w:r>
    </w:p>
    <w:p w14:paraId="6ADF74B7">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合理化建议</w:t>
      </w:r>
      <w:r>
        <w:rPr>
          <w:rFonts w:hint="eastAsia" w:ascii="宋体" w:hAnsi="宋体" w:eastAsia="宋体" w:cs="宋体"/>
          <w:highlight w:val="none"/>
        </w:rPr>
        <w:t>；</w:t>
      </w:r>
    </w:p>
    <w:p w14:paraId="14727671">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企业证书</w:t>
      </w:r>
      <w:r>
        <w:rPr>
          <w:rFonts w:hint="eastAsia" w:ascii="宋体" w:hAnsi="宋体" w:eastAsia="宋体" w:cs="宋体"/>
          <w:highlight w:val="none"/>
        </w:rPr>
        <w:t>；</w:t>
      </w:r>
    </w:p>
    <w:p w14:paraId="45597975">
      <w:pPr>
        <w:pStyle w:val="40"/>
        <w:numPr>
          <w:ilvl w:val="0"/>
          <w:numId w:val="12"/>
        </w:numPr>
        <w:spacing w:before="0" w:line="336" w:lineRule="auto"/>
        <w:ind w:firstLine="480" w:firstLineChars="0"/>
        <w:rPr>
          <w:rFonts w:hint="eastAsia" w:ascii="宋体" w:hAnsi="宋体" w:eastAsia="宋体" w:cs="宋体"/>
          <w:highlight w:val="none"/>
        </w:rPr>
      </w:pPr>
      <w:r>
        <w:rPr>
          <w:rFonts w:hint="eastAsia" w:ascii="宋体" w:hAnsi="宋体" w:cs="宋体"/>
          <w:highlight w:val="none"/>
          <w:lang w:val="en-US" w:eastAsia="zh-CN"/>
        </w:rPr>
        <w:t>人员证书；</w:t>
      </w:r>
    </w:p>
    <w:p w14:paraId="18BB4657">
      <w:pPr>
        <w:pStyle w:val="40"/>
        <w:numPr>
          <w:ilvl w:val="0"/>
          <w:numId w:val="12"/>
        </w:numPr>
        <w:spacing w:before="0" w:line="336" w:lineRule="auto"/>
        <w:ind w:firstLine="480" w:firstLineChars="0"/>
        <w:rPr>
          <w:rFonts w:ascii="宋体" w:hAnsi="宋体" w:cs="宋体"/>
          <w:highlight w:val="none"/>
        </w:rPr>
      </w:pPr>
      <w:r>
        <w:rPr>
          <w:rFonts w:hint="eastAsia" w:ascii="宋体" w:hAnsi="宋体" w:cs="宋体"/>
          <w:highlight w:val="none"/>
        </w:rPr>
        <w:t>供应商认为需要的其他文件资料。</w:t>
      </w:r>
    </w:p>
    <w:p w14:paraId="51B4314B">
      <w:pPr>
        <w:pStyle w:val="40"/>
        <w:spacing w:before="0" w:line="336" w:lineRule="auto"/>
        <w:ind w:firstLine="0" w:firstLineChars="0"/>
        <w:rPr>
          <w:rFonts w:ascii="宋体" w:hAnsi="宋体" w:cs="宋体"/>
          <w:highlight w:val="none"/>
        </w:rPr>
      </w:pPr>
      <w:r>
        <w:rPr>
          <w:rFonts w:hint="eastAsia" w:ascii="宋体" w:hAnsi="宋体" w:cs="宋体"/>
          <w:highlight w:val="none"/>
        </w:rPr>
        <w:t>注：以上内容应与评标办法中内容具有一致性。</w:t>
      </w:r>
    </w:p>
    <w:p w14:paraId="4627D823">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如果本项目涉及软件采购，还需提供相关完整配置方案（软件名称、品牌、规格型号、数量、主要技术参数等），提供主要磋商产品的技术参数证明材料（如官网截图、产品彩页、技术说明等），明确表示该项指标所涉及的软件是标准配置还是选择配置。</w:t>
      </w:r>
    </w:p>
    <w:p w14:paraId="7CB4A677">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供应商在响应文件中应对项目技术规范和服务要求中所提出各项要求进行答复、说明和解释。如果供应商在技术偏离表中注明无偏离，评标结束后、签订采购合同前又认为其实际产品与响应技术需求不一致的，视为供应商在磋商响应文件有效期内对其响应文件进行了实质性修改，其磋商将被追认为无效磋商。采购代理机构将把这一情况报送采购监管部门。实质性指标、关键性指标和重要指标需提供证明材料，如技术偏离表中仅复制粘贴而未说明或提供证明材料的，其产生的影响直至被认定为未实质性响应的后果将由供应商自行承担。</w:t>
      </w:r>
    </w:p>
    <w:p w14:paraId="76AB85C8">
      <w:pPr>
        <w:pStyle w:val="40"/>
        <w:numPr>
          <w:ilvl w:val="0"/>
          <w:numId w:val="10"/>
        </w:numPr>
        <w:spacing w:before="0" w:line="336" w:lineRule="auto"/>
        <w:ind w:firstLine="480"/>
        <w:rPr>
          <w:rFonts w:ascii="宋体" w:hAnsi="宋体" w:cs="宋体"/>
          <w:highlight w:val="none"/>
        </w:rPr>
      </w:pPr>
      <w:r>
        <w:rPr>
          <w:rFonts w:hint="eastAsia" w:ascii="宋体" w:hAnsi="宋体" w:cs="宋体"/>
          <w:highlight w:val="none"/>
        </w:rPr>
        <w:t>报价文件包括以下内容：</w:t>
      </w:r>
    </w:p>
    <w:p w14:paraId="15DE1FEC">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磋商函（格式见附件）；</w:t>
      </w:r>
    </w:p>
    <w:p w14:paraId="460672CC">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报价一览表（格式见附件）；</w:t>
      </w:r>
    </w:p>
    <w:p w14:paraId="6598B79E">
      <w:pPr>
        <w:pStyle w:val="40"/>
        <w:numPr>
          <w:ilvl w:val="0"/>
          <w:numId w:val="13"/>
        </w:numPr>
        <w:spacing w:before="0" w:line="336" w:lineRule="auto"/>
        <w:ind w:firstLine="480"/>
        <w:rPr>
          <w:rFonts w:ascii="宋体" w:hAnsi="宋体" w:cs="宋体"/>
          <w:highlight w:val="none"/>
        </w:rPr>
      </w:pPr>
      <w:r>
        <w:rPr>
          <w:rFonts w:hint="eastAsia" w:ascii="宋体" w:hAnsi="宋体" w:cs="宋体"/>
          <w:highlight w:val="none"/>
        </w:rPr>
        <w:t>磋商报价明细表（格式见附件）。</w:t>
      </w:r>
    </w:p>
    <w:p w14:paraId="697A3F95">
      <w:pPr>
        <w:pStyle w:val="40"/>
        <w:spacing w:before="0" w:line="336" w:lineRule="auto"/>
        <w:ind w:firstLine="241" w:firstLineChars="100"/>
        <w:rPr>
          <w:rFonts w:ascii="宋体" w:hAnsi="宋体" w:cs="宋体"/>
          <w:b/>
          <w:bCs/>
          <w:highlight w:val="none"/>
          <w:u w:val="single"/>
        </w:rPr>
      </w:pPr>
      <w:r>
        <w:rPr>
          <w:rFonts w:hint="eastAsia" w:ascii="宋体" w:hAnsi="宋体" w:cs="宋体"/>
          <w:b/>
          <w:bCs/>
          <w:highlight w:val="none"/>
          <w:u w:val="single"/>
        </w:rPr>
        <w:t>注：“资格文件”、“商务技术文件”、“报价文件”须分3个PDF格式分别导入。</w:t>
      </w:r>
    </w:p>
    <w:p w14:paraId="2A3B5987">
      <w:pPr>
        <w:pStyle w:val="40"/>
        <w:spacing w:before="0" w:line="336" w:lineRule="auto"/>
        <w:ind w:left="420" w:leftChars="200" w:firstLine="0" w:firstLineChars="0"/>
        <w:rPr>
          <w:rFonts w:ascii="宋体" w:hAnsi="宋体" w:cs="宋体"/>
          <w:b/>
          <w:bCs/>
          <w:highlight w:val="none"/>
        </w:rPr>
      </w:pPr>
      <w:r>
        <w:rPr>
          <w:rFonts w:hint="eastAsia" w:ascii="宋体" w:hAnsi="宋体" w:cs="宋体"/>
          <w:b/>
          <w:bCs/>
          <w:highlight w:val="none"/>
        </w:rPr>
        <w:t>10</w:t>
      </w:r>
      <w:r>
        <w:rPr>
          <w:rFonts w:hint="eastAsia" w:ascii="宋体" w:hAnsi="宋体" w:cs="宋体"/>
          <w:b/>
          <w:bCs/>
          <w:highlight w:val="none"/>
          <w:lang w:val="en-US" w:eastAsia="zh-CN"/>
        </w:rPr>
        <w:t>.</w:t>
      </w:r>
      <w:r>
        <w:rPr>
          <w:rFonts w:hint="eastAsia" w:ascii="宋体" w:hAnsi="宋体" w:cs="宋体"/>
          <w:b/>
          <w:bCs/>
          <w:highlight w:val="none"/>
        </w:rPr>
        <w:t>响应文件有效期</w:t>
      </w:r>
    </w:p>
    <w:p w14:paraId="4976B1F3">
      <w:pPr>
        <w:pStyle w:val="40"/>
        <w:spacing w:before="0" w:line="336" w:lineRule="auto"/>
        <w:ind w:firstLine="480"/>
        <w:rPr>
          <w:rFonts w:ascii="宋体" w:hAnsi="宋体" w:cs="宋体"/>
          <w:highlight w:val="none"/>
        </w:rPr>
      </w:pPr>
      <w:r>
        <w:rPr>
          <w:rFonts w:hint="eastAsia" w:ascii="宋体" w:hAnsi="宋体" w:cs="宋体"/>
          <w:highlight w:val="none"/>
        </w:rPr>
        <w:t>10.1 响应文件未在磋商响应截止时间前完成传输的或者未按时解密的，视为放弃磋商；响应文件解密失败后未提供备份文件或者备份文件也出现异常情况无法进行评审的，亦视为放弃磋商。</w:t>
      </w:r>
    </w:p>
    <w:p w14:paraId="509EEE3F">
      <w:pPr>
        <w:pStyle w:val="40"/>
        <w:spacing w:before="0" w:line="336" w:lineRule="auto"/>
        <w:ind w:firstLine="480"/>
        <w:rPr>
          <w:rFonts w:ascii="宋体" w:hAnsi="宋体" w:cs="宋体"/>
          <w:highlight w:val="none"/>
        </w:rPr>
      </w:pPr>
      <w:r>
        <w:rPr>
          <w:rFonts w:hint="eastAsia" w:ascii="宋体" w:hAnsi="宋体" w:cs="宋体"/>
          <w:highlight w:val="none"/>
        </w:rPr>
        <w:t>10.2 响应文件上传后，自磋商响应截止日期起，在前附表所列的磋商响应文件有效期内有效。</w:t>
      </w:r>
    </w:p>
    <w:p w14:paraId="604374CD">
      <w:pPr>
        <w:pStyle w:val="40"/>
        <w:spacing w:before="0" w:line="336" w:lineRule="auto"/>
        <w:ind w:firstLine="480"/>
        <w:rPr>
          <w:rFonts w:ascii="宋体" w:hAnsi="宋体" w:cs="宋体"/>
          <w:highlight w:val="none"/>
        </w:rPr>
      </w:pPr>
      <w:r>
        <w:rPr>
          <w:rFonts w:hint="eastAsia" w:ascii="宋体" w:hAnsi="宋体" w:cs="宋体"/>
          <w:highlight w:val="none"/>
        </w:rPr>
        <w:t>10.3 在原定有效期满之前，如果出现特殊情况，采购代理机构可以以书面形式向磋商供应商提出延长磋商有效期的要求，磋商供应商对此须以书面形式予以答复。</w:t>
      </w:r>
    </w:p>
    <w:p w14:paraId="3476AC92">
      <w:pPr>
        <w:pStyle w:val="40"/>
        <w:spacing w:before="0" w:line="336" w:lineRule="auto"/>
        <w:ind w:left="420" w:leftChars="200" w:firstLine="0" w:firstLineChars="0"/>
        <w:rPr>
          <w:rFonts w:ascii="宋体" w:hAnsi="宋体" w:cs="宋体"/>
          <w:b/>
          <w:bCs/>
          <w:highlight w:val="none"/>
        </w:rPr>
      </w:pPr>
      <w:r>
        <w:rPr>
          <w:rFonts w:hint="eastAsia" w:ascii="宋体" w:hAnsi="宋体" w:cs="宋体"/>
          <w:b/>
          <w:bCs/>
          <w:highlight w:val="none"/>
        </w:rPr>
        <w:t>11</w:t>
      </w:r>
      <w:r>
        <w:rPr>
          <w:rFonts w:hint="eastAsia" w:ascii="宋体" w:hAnsi="宋体" w:cs="宋体"/>
          <w:b/>
          <w:bCs/>
          <w:highlight w:val="none"/>
          <w:lang w:val="en-US" w:eastAsia="zh-CN"/>
        </w:rPr>
        <w:t>.</w:t>
      </w:r>
      <w:r>
        <w:rPr>
          <w:rFonts w:hint="eastAsia" w:ascii="宋体" w:hAnsi="宋体" w:cs="宋体"/>
          <w:b/>
          <w:bCs/>
          <w:highlight w:val="none"/>
        </w:rPr>
        <w:t>供应商如有下列情况之一者列入不良行为记录：</w:t>
      </w:r>
    </w:p>
    <w:p w14:paraId="7AC5534F">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11.1 供应商在磋商响应文件有效期内撤回投标的；</w:t>
      </w:r>
    </w:p>
    <w:p w14:paraId="08860245">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11.2 供应商或中标候选人放弃中标或中标候选人资格的；</w:t>
      </w:r>
    </w:p>
    <w:p w14:paraId="536E1885">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11.3 擅自修改或拒绝接受已经确认的条款；</w:t>
      </w:r>
    </w:p>
    <w:p w14:paraId="4F33F198">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11.4 成交供应商未按规定与采购人签订合同；</w:t>
      </w:r>
    </w:p>
    <w:p w14:paraId="4DBAF675">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11.5供应商采取提供虚假资料等不正当手段的；</w:t>
      </w:r>
    </w:p>
    <w:p w14:paraId="2B96F555">
      <w:pPr>
        <w:pStyle w:val="40"/>
        <w:spacing w:before="0" w:line="336" w:lineRule="auto"/>
        <w:ind w:left="420" w:leftChars="200" w:firstLine="0" w:firstLineChars="0"/>
        <w:rPr>
          <w:rFonts w:ascii="宋体" w:hAnsi="宋体" w:cs="宋体"/>
          <w:highlight w:val="none"/>
        </w:rPr>
      </w:pPr>
      <w:r>
        <w:rPr>
          <w:rFonts w:hint="eastAsia" w:ascii="宋体" w:hAnsi="宋体" w:cs="宋体"/>
          <w:highlight w:val="none"/>
        </w:rPr>
        <w:t>11.6供应商在投标过程中串通投标的。</w:t>
      </w:r>
    </w:p>
    <w:p w14:paraId="77D3237F">
      <w:pPr>
        <w:pStyle w:val="40"/>
        <w:spacing w:before="0" w:line="336" w:lineRule="auto"/>
        <w:ind w:firstLine="482"/>
        <w:rPr>
          <w:rFonts w:ascii="宋体" w:hAnsi="宋体" w:cs="宋体"/>
          <w:b/>
          <w:bCs/>
          <w:highlight w:val="none"/>
        </w:rPr>
      </w:pPr>
      <w:r>
        <w:rPr>
          <w:rFonts w:hint="eastAsia" w:ascii="宋体" w:hAnsi="宋体" w:cs="宋体"/>
          <w:b/>
          <w:bCs/>
          <w:highlight w:val="none"/>
        </w:rPr>
        <w:t>12</w:t>
      </w:r>
      <w:r>
        <w:rPr>
          <w:rFonts w:hint="eastAsia" w:ascii="宋体" w:hAnsi="宋体" w:cs="宋体"/>
          <w:b/>
          <w:bCs/>
          <w:highlight w:val="none"/>
          <w:lang w:val="en-US" w:eastAsia="zh-CN"/>
        </w:rPr>
        <w:t>.</w:t>
      </w:r>
      <w:r>
        <w:rPr>
          <w:rFonts w:hint="eastAsia" w:ascii="宋体" w:hAnsi="宋体" w:cs="宋体"/>
          <w:b/>
          <w:bCs/>
          <w:highlight w:val="none"/>
        </w:rPr>
        <w:t>响应文件的编制和签署</w:t>
      </w:r>
    </w:p>
    <w:p w14:paraId="1D835E24">
      <w:pPr>
        <w:pStyle w:val="40"/>
        <w:spacing w:before="0" w:line="336" w:lineRule="auto"/>
        <w:ind w:firstLine="480"/>
        <w:rPr>
          <w:rFonts w:ascii="宋体" w:hAnsi="宋体" w:cs="宋体"/>
          <w:highlight w:val="none"/>
        </w:rPr>
      </w:pPr>
      <w:r>
        <w:rPr>
          <w:rFonts w:hint="eastAsia" w:ascii="宋体" w:hAnsi="宋体" w:cs="宋体"/>
          <w:highlight w:val="none"/>
        </w:rPr>
        <w:t>12.1 按磋商文件9.1条、9.2条、9.3条要求提供的各种文件，响应文件分为资格文件、商务技术文件和报价文件三部分。</w:t>
      </w:r>
    </w:p>
    <w:p w14:paraId="1DD4C6F7">
      <w:pPr>
        <w:pStyle w:val="40"/>
        <w:spacing w:before="0" w:line="336" w:lineRule="auto"/>
        <w:ind w:firstLine="480"/>
        <w:rPr>
          <w:rFonts w:ascii="宋体" w:hAnsi="宋体" w:cs="宋体"/>
          <w:highlight w:val="none"/>
        </w:rPr>
      </w:pPr>
      <w:r>
        <w:rPr>
          <w:rFonts w:hint="eastAsia" w:ascii="宋体" w:hAnsi="宋体" w:cs="宋体"/>
          <w:highlight w:val="none"/>
        </w:rPr>
        <w:t>12.2 响应文件须按附件格式要求进行电子签章，供应商应写全称。（电子磋商响应文件中所需加盖公章部分均应采用电子签章）</w:t>
      </w:r>
    </w:p>
    <w:p w14:paraId="086E6A38">
      <w:pPr>
        <w:pStyle w:val="40"/>
        <w:spacing w:before="0" w:line="336" w:lineRule="auto"/>
        <w:ind w:firstLine="480"/>
        <w:rPr>
          <w:rFonts w:ascii="宋体" w:hAnsi="宋体" w:cs="宋体"/>
          <w:highlight w:val="none"/>
        </w:rPr>
      </w:pPr>
      <w:r>
        <w:rPr>
          <w:rFonts w:hint="eastAsia" w:ascii="宋体" w:hAnsi="宋体" w:cs="宋体"/>
          <w:highlight w:val="none"/>
        </w:rPr>
        <w:t>12.3 全套响应文件应无涂改和行间插字，除非这些删改是根据采购代理机构要求进行，或者是供应商造成的必须修改的错误。所修改处应由法定代表人或其授权代表签字盖章予以确认。</w:t>
      </w:r>
    </w:p>
    <w:p w14:paraId="30265884">
      <w:pPr>
        <w:pStyle w:val="40"/>
        <w:spacing w:before="0" w:line="336" w:lineRule="auto"/>
        <w:ind w:firstLine="480"/>
        <w:rPr>
          <w:rFonts w:ascii="宋体" w:hAnsi="宋体" w:cs="宋体"/>
          <w:highlight w:val="none"/>
        </w:rPr>
      </w:pPr>
      <w:r>
        <w:rPr>
          <w:rFonts w:hint="eastAsia" w:ascii="宋体" w:hAnsi="宋体" w:cs="宋体"/>
          <w:highlight w:val="none"/>
        </w:rPr>
        <w:t>12.4 由于字迹模糊或表达不清引起的后果由供应商负责。</w:t>
      </w:r>
    </w:p>
    <w:p w14:paraId="1DE5AEE8">
      <w:pPr>
        <w:pStyle w:val="40"/>
        <w:spacing w:before="0" w:line="336" w:lineRule="auto"/>
        <w:ind w:firstLine="482"/>
        <w:rPr>
          <w:rFonts w:ascii="宋体" w:hAnsi="宋体" w:cs="宋体"/>
          <w:b/>
          <w:bCs/>
          <w:highlight w:val="none"/>
        </w:rPr>
      </w:pPr>
      <w:r>
        <w:rPr>
          <w:rFonts w:hint="eastAsia" w:ascii="宋体" w:hAnsi="宋体" w:cs="宋体"/>
          <w:b/>
          <w:bCs/>
          <w:highlight w:val="none"/>
        </w:rPr>
        <w:t>13</w:t>
      </w:r>
      <w:r>
        <w:rPr>
          <w:rFonts w:hint="eastAsia" w:ascii="宋体" w:hAnsi="宋体" w:cs="宋体"/>
          <w:b/>
          <w:bCs/>
          <w:highlight w:val="none"/>
          <w:lang w:val="en-US" w:eastAsia="zh-CN"/>
        </w:rPr>
        <w:t>.</w:t>
      </w:r>
      <w:r>
        <w:rPr>
          <w:rFonts w:hint="eastAsia" w:ascii="宋体" w:hAnsi="宋体" w:cs="宋体"/>
          <w:b/>
          <w:bCs/>
          <w:highlight w:val="none"/>
        </w:rPr>
        <w:t>响应文件的形式</w:t>
      </w:r>
    </w:p>
    <w:p w14:paraId="651BC54A">
      <w:pPr>
        <w:pStyle w:val="40"/>
        <w:spacing w:before="0" w:line="336" w:lineRule="auto"/>
        <w:ind w:firstLine="480"/>
        <w:rPr>
          <w:rFonts w:ascii="宋体" w:hAnsi="宋体" w:cs="宋体"/>
          <w:highlight w:val="none"/>
        </w:rPr>
      </w:pPr>
      <w:r>
        <w:rPr>
          <w:rFonts w:hint="eastAsia" w:ascii="宋体" w:hAnsi="宋体" w:cs="宋体"/>
          <w:highlight w:val="none"/>
        </w:rPr>
        <w:t>响应文件为电子磋商响应文件，电子磋商响应文件按“政采云供应商项目采购-电子招投标操作指南”及本磋商文件要求制作、加密传输。</w:t>
      </w:r>
    </w:p>
    <w:p w14:paraId="743187EC">
      <w:pPr>
        <w:pStyle w:val="2"/>
        <w:numPr>
          <w:ilvl w:val="0"/>
          <w:numId w:val="9"/>
        </w:numPr>
        <w:rPr>
          <w:highlight w:val="none"/>
        </w:rPr>
      </w:pPr>
      <w:bookmarkStart w:id="55" w:name="_Toc21266"/>
      <w:bookmarkStart w:id="56" w:name="_Toc1420"/>
      <w:bookmarkStart w:id="57" w:name="_Toc22808"/>
      <w:r>
        <w:rPr>
          <w:rFonts w:hint="eastAsia"/>
          <w:highlight w:val="none"/>
        </w:rPr>
        <w:t>响应文件的递交</w:t>
      </w:r>
      <w:bookmarkEnd w:id="55"/>
      <w:bookmarkEnd w:id="56"/>
      <w:bookmarkEnd w:id="57"/>
    </w:p>
    <w:p w14:paraId="031B9CE7">
      <w:pPr>
        <w:pStyle w:val="12"/>
        <w:spacing w:line="336" w:lineRule="auto"/>
        <w:ind w:left="420" w:leftChars="200"/>
        <w:rPr>
          <w:rFonts w:hAnsi="宋体"/>
          <w:b/>
          <w:bCs/>
          <w:sz w:val="24"/>
          <w:szCs w:val="24"/>
          <w:highlight w:val="none"/>
        </w:rPr>
      </w:pPr>
      <w:r>
        <w:rPr>
          <w:rFonts w:hint="eastAsia" w:hAnsi="宋体"/>
          <w:b/>
          <w:bCs/>
          <w:sz w:val="24"/>
          <w:szCs w:val="24"/>
          <w:highlight w:val="none"/>
        </w:rPr>
        <w:t>14</w:t>
      </w:r>
      <w:r>
        <w:rPr>
          <w:rFonts w:hint="eastAsia" w:hAnsi="宋体"/>
          <w:b/>
          <w:bCs/>
          <w:sz w:val="24"/>
          <w:szCs w:val="24"/>
          <w:highlight w:val="none"/>
          <w:lang w:val="en-US" w:eastAsia="zh-CN"/>
        </w:rPr>
        <w:t>.</w:t>
      </w:r>
      <w:r>
        <w:rPr>
          <w:rFonts w:hint="eastAsia" w:hAnsi="宋体"/>
          <w:b/>
          <w:bCs/>
          <w:sz w:val="24"/>
          <w:szCs w:val="24"/>
          <w:highlight w:val="none"/>
        </w:rPr>
        <w:t>磋商响应截止期</w:t>
      </w:r>
    </w:p>
    <w:p w14:paraId="4BBDA2BD">
      <w:pPr>
        <w:pStyle w:val="40"/>
        <w:numPr>
          <w:ilvl w:val="0"/>
          <w:numId w:val="14"/>
        </w:numPr>
        <w:spacing w:before="0" w:line="336" w:lineRule="auto"/>
        <w:ind w:firstLine="480"/>
        <w:rPr>
          <w:rFonts w:ascii="宋体" w:hAnsi="宋体" w:cs="宋体"/>
          <w:highlight w:val="none"/>
        </w:rPr>
      </w:pPr>
      <w:r>
        <w:rPr>
          <w:rFonts w:hint="eastAsia" w:ascii="宋体" w:hAnsi="宋体" w:cs="宋体"/>
          <w:highlight w:val="none"/>
        </w:rPr>
        <w:t>响应文件必须在规定的磋商响应截止时间前在政采云系统内完成传输，以纸质、电报、电话、传真形式的投标概不接受。为应对响应文件解密失败等异常情况，供应商可指派授权代表在磋商响应截止时间之前到达开标地点提交备份文件。</w:t>
      </w:r>
    </w:p>
    <w:p w14:paraId="33927135">
      <w:pPr>
        <w:pStyle w:val="40"/>
        <w:numPr>
          <w:ilvl w:val="0"/>
          <w:numId w:val="14"/>
        </w:numPr>
        <w:spacing w:before="0" w:line="336" w:lineRule="auto"/>
        <w:ind w:firstLine="480"/>
        <w:rPr>
          <w:rFonts w:ascii="宋体" w:hAnsi="宋体" w:cs="宋体"/>
          <w:highlight w:val="none"/>
        </w:rPr>
      </w:pPr>
      <w:r>
        <w:rPr>
          <w:rFonts w:hint="eastAsia" w:ascii="宋体" w:hAnsi="宋体" w:cs="宋体"/>
          <w:highlight w:val="none"/>
        </w:rPr>
        <w:t>采购人因故推迟磋商响应截止时间，将以公告形式通知。在这种情况下，采购人和供应商的权利和义务将受到新的截止时间的约束。</w:t>
      </w:r>
    </w:p>
    <w:p w14:paraId="686A5B7F">
      <w:pPr>
        <w:pStyle w:val="12"/>
        <w:spacing w:line="336" w:lineRule="auto"/>
        <w:ind w:left="420" w:leftChars="200"/>
        <w:rPr>
          <w:rFonts w:hAnsi="宋体"/>
          <w:b/>
          <w:bCs/>
          <w:sz w:val="24"/>
          <w:szCs w:val="24"/>
          <w:highlight w:val="none"/>
        </w:rPr>
      </w:pPr>
      <w:r>
        <w:rPr>
          <w:rFonts w:hint="eastAsia" w:hAnsi="宋体"/>
          <w:b/>
          <w:bCs/>
          <w:sz w:val="24"/>
          <w:szCs w:val="24"/>
          <w:highlight w:val="none"/>
        </w:rPr>
        <w:t>15</w:t>
      </w:r>
      <w:r>
        <w:rPr>
          <w:rFonts w:hint="eastAsia" w:hAnsi="宋体"/>
          <w:b/>
          <w:bCs/>
          <w:sz w:val="24"/>
          <w:szCs w:val="24"/>
          <w:highlight w:val="none"/>
          <w:lang w:val="en-US" w:eastAsia="zh-CN"/>
        </w:rPr>
        <w:t>.</w:t>
      </w:r>
      <w:r>
        <w:rPr>
          <w:rFonts w:hint="eastAsia" w:hAnsi="宋体"/>
          <w:b/>
          <w:bCs/>
          <w:sz w:val="24"/>
          <w:szCs w:val="24"/>
          <w:highlight w:val="none"/>
        </w:rPr>
        <w:t>响应文件的修改、撤销</w:t>
      </w:r>
    </w:p>
    <w:p w14:paraId="5D97026C">
      <w:pPr>
        <w:pStyle w:val="12"/>
        <w:spacing w:line="336" w:lineRule="auto"/>
        <w:ind w:firstLine="480" w:firstLineChars="200"/>
        <w:rPr>
          <w:rFonts w:hAnsi="宋体"/>
          <w:sz w:val="24"/>
          <w:szCs w:val="24"/>
          <w:highlight w:val="none"/>
        </w:rPr>
      </w:pPr>
      <w:r>
        <w:rPr>
          <w:rFonts w:hint="eastAsia" w:hAnsi="宋体"/>
          <w:sz w:val="24"/>
          <w:szCs w:val="24"/>
          <w:highlight w:val="none"/>
        </w:rPr>
        <w:t>供应商应当在磋商响应截止时间前完成电子交易文件的传输递交，磋商响应截止时间前可以补充、修改或者撤回电子交易文件。补充或者修改电子交易文件的，应当先行撤回原文件，补充、修改后重新传输递交。磋商响应截止时间前未完成传输的，视为响应文件撤回。</w:t>
      </w:r>
    </w:p>
    <w:p w14:paraId="54461208">
      <w:pPr>
        <w:pStyle w:val="2"/>
        <w:numPr>
          <w:ilvl w:val="0"/>
          <w:numId w:val="9"/>
        </w:numPr>
        <w:rPr>
          <w:highlight w:val="none"/>
        </w:rPr>
      </w:pPr>
      <w:bookmarkStart w:id="58" w:name="_Toc26882"/>
      <w:bookmarkStart w:id="59" w:name="_Toc24120"/>
      <w:r>
        <w:rPr>
          <w:rFonts w:hint="eastAsia"/>
          <w:highlight w:val="none"/>
        </w:rPr>
        <w:t>磋商无效的情形</w:t>
      </w:r>
      <w:bookmarkEnd w:id="58"/>
      <w:bookmarkEnd w:id="59"/>
    </w:p>
    <w:p w14:paraId="5F1B8CFB">
      <w:pPr>
        <w:pStyle w:val="12"/>
        <w:snapToGrid w:val="0"/>
        <w:spacing w:line="336" w:lineRule="auto"/>
        <w:ind w:firstLine="482" w:firstLineChars="200"/>
        <w:rPr>
          <w:rFonts w:hAnsi="宋体"/>
          <w:b/>
          <w:bCs/>
          <w:sz w:val="24"/>
          <w:szCs w:val="24"/>
          <w:highlight w:val="none"/>
        </w:rPr>
      </w:pPr>
      <w:r>
        <w:rPr>
          <w:rFonts w:hint="eastAsia" w:hAnsi="宋体"/>
          <w:b/>
          <w:bCs/>
          <w:sz w:val="24"/>
          <w:szCs w:val="24"/>
          <w:highlight w:val="none"/>
        </w:rPr>
        <w:t>16</w:t>
      </w:r>
      <w:r>
        <w:rPr>
          <w:rFonts w:hint="eastAsia" w:hAnsi="宋体"/>
          <w:b/>
          <w:bCs/>
          <w:sz w:val="24"/>
          <w:szCs w:val="24"/>
          <w:highlight w:val="none"/>
          <w:lang w:val="en-US" w:eastAsia="zh-CN"/>
        </w:rPr>
        <w:t>.</w:t>
      </w:r>
      <w:r>
        <w:rPr>
          <w:rFonts w:hint="eastAsia" w:hAnsi="宋体"/>
          <w:b/>
          <w:bCs/>
          <w:sz w:val="24"/>
          <w:szCs w:val="24"/>
          <w:highlight w:val="none"/>
        </w:rPr>
        <w:t>无效响应</w:t>
      </w:r>
    </w:p>
    <w:p w14:paraId="3C79F244">
      <w:pPr>
        <w:pStyle w:val="12"/>
        <w:snapToGrid w:val="0"/>
        <w:spacing w:line="336" w:lineRule="auto"/>
        <w:ind w:firstLine="482" w:firstLineChars="200"/>
        <w:rPr>
          <w:rFonts w:hAnsi="宋体"/>
          <w:sz w:val="24"/>
          <w:szCs w:val="24"/>
          <w:highlight w:val="none"/>
        </w:rPr>
      </w:pPr>
      <w:r>
        <w:rPr>
          <w:rFonts w:hint="eastAsia" w:hAnsi="宋体"/>
          <w:b/>
          <w:bCs/>
          <w:sz w:val="24"/>
          <w:szCs w:val="24"/>
          <w:highlight w:val="none"/>
        </w:rPr>
        <w:t>经过审查，凡不符合有关规定，不响应磋商文件的实质性条款，存在以下重大偏离之一的，经磋商小组认定，并由采购人报采购办、监督办备案，将因未通过资格性或符合性审查而被作为无效响应处理</w:t>
      </w:r>
      <w:r>
        <w:rPr>
          <w:rFonts w:hint="eastAsia" w:hAnsi="宋体"/>
          <w:sz w:val="24"/>
          <w:szCs w:val="24"/>
          <w:highlight w:val="none"/>
        </w:rPr>
        <w:t>：</w:t>
      </w:r>
    </w:p>
    <w:p w14:paraId="19325CD3">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16.1未按照磋商文件规定要求签署、盖章的；</w:t>
      </w:r>
    </w:p>
    <w:p w14:paraId="093874A5">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16.2《法定代表人授权书》填写不全、错误、未加盖供应商公章（公章和签字或盖章缺一不可）；</w:t>
      </w:r>
    </w:p>
    <w:p w14:paraId="262B18A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16.3个体工商户的身份证明与营业执照不一致的；</w:t>
      </w:r>
    </w:p>
    <w:p w14:paraId="28C4BE0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16.4响应文件中的磋商函未加盖供应商的企业公章或填写不全的；</w:t>
      </w:r>
    </w:p>
    <w:p w14:paraId="546F2F8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16.5报价一经涂改，未在涂改处加盖投标单位公章或者未经法定代表人或其授权代表签字或盖章的；</w:t>
      </w:r>
    </w:p>
    <w:p w14:paraId="76ACBE10">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16.6因未按规定的格式填写，内容不全或主要实质性内容字迹模糊辨认不清,经评标委员会认定为无法评审的；</w:t>
      </w:r>
    </w:p>
    <w:p w14:paraId="7759021C">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16.7出现同一标的物或本次采购产品(服务)内的主要产品(重要组成部分)出现技术、商务描述不一致或前后描述不一致，经评标委员会认定后为无法评审的；</w:t>
      </w:r>
    </w:p>
    <w:p w14:paraId="52DFFAE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16.8响应详细配置清单响应表不真实填写或弄虚作假的；改变磋商文件提供的清单中的计量单位、工程数量；</w:t>
      </w:r>
    </w:p>
    <w:p w14:paraId="79331ECD">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16.9对采购产品技术规格未详细应答，致使其技术文件无法评审的；</w:t>
      </w:r>
    </w:p>
    <w:p w14:paraId="0F648B39">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16.10响应文件有采购方不能接受的条件；</w:t>
      </w:r>
    </w:p>
    <w:p w14:paraId="0BD839DD">
      <w:pPr>
        <w:spacing w:line="336" w:lineRule="auto"/>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16.11评标委员会认为供应商的报价明显低于其他通过符合性审查供应商的报价，有可能影响产品质量或者不能诚信履约的，应当要求其在评标现场合理的时间内通过政采云平台提供线上说明，必要时提交相关证明材料</w:t>
      </w:r>
      <w:r>
        <w:rPr>
          <w:rFonts w:hint="eastAsia" w:ascii="宋体" w:hAnsi="宋体" w:cs="宋体"/>
          <w:b/>
          <w:bCs/>
          <w:sz w:val="24"/>
          <w:szCs w:val="24"/>
          <w:highlight w:val="none"/>
          <w:lang w:eastAsia="zh-CN"/>
        </w:rPr>
        <w:t>；</w:t>
      </w:r>
    </w:p>
    <w:p w14:paraId="5EA5AC85">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16.12磋商报价超过预算金额或最高限价的；</w:t>
      </w:r>
    </w:p>
    <w:p w14:paraId="79C0032E">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16.13响应文件“商务技术文件资料”部分中出现《报价一览表》或《磋商报价明细表》相关内容的；</w:t>
      </w:r>
    </w:p>
    <w:p w14:paraId="39EF1BEF">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16.14评标委员会认定有重大偏差或实质性不响应磋商文件要求的，即“★”的关键性指标及技术参数要求负偏离或缺漏；</w:t>
      </w:r>
    </w:p>
    <w:p w14:paraId="0171CC6C">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16.15供应商拒绝按磋商文件规定的修正原则对响应文件进行修改的；</w:t>
      </w:r>
    </w:p>
    <w:p w14:paraId="0782900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16.16有下列情形之一的，视为供应商串通投标，其投标无效：</w:t>
      </w:r>
    </w:p>
    <w:p w14:paraId="36D698AF">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16.16.1不同供应商的响应文件由同一单位或者个人编制；</w:t>
      </w:r>
    </w:p>
    <w:p w14:paraId="7D12D1ED">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16.16.2不同供应商委托同一单位或者个人办理投标事宜；</w:t>
      </w:r>
    </w:p>
    <w:p w14:paraId="2E902BE6">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16.16.3不同供应商的响应文件载明的项目管理成员或者联系人员为同一人；</w:t>
      </w:r>
    </w:p>
    <w:p w14:paraId="1BFB1A0B">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16.16.4不同供应商的响应文件异常一致或者投标报价呈规律性差异；</w:t>
      </w:r>
    </w:p>
    <w:p w14:paraId="13B51EDD">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16.16.5</w:t>
      </w:r>
      <w:r>
        <w:rPr>
          <w:rFonts w:hint="eastAsia" w:ascii="宋体" w:hAnsi="宋体" w:eastAsia="宋体" w:cs="宋体"/>
          <w:b/>
          <w:bCs/>
          <w:color w:val="auto"/>
          <w:sz w:val="24"/>
          <w:szCs w:val="24"/>
          <w:highlight w:val="none"/>
        </w:rPr>
        <w:t>不同供应商提供的响应文件出自同一终端设备的，或在相同Internet主机分配地址（相同IP地址）报名或网上投标的，且经询标澄清供应商无令人信服的理由和可靠证据证明其合理性的，经评标委员会半数以上成员确认有串通投标嫌疑的。</w:t>
      </w:r>
    </w:p>
    <w:p w14:paraId="0AC44644">
      <w:pPr>
        <w:tabs>
          <w:tab w:val="left" w:pos="3870"/>
          <w:tab w:val="left" w:pos="4085"/>
        </w:tabs>
        <w:snapToGrid w:val="0"/>
        <w:spacing w:line="336"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16.17 其他违反法律法规的情形。</w:t>
      </w:r>
    </w:p>
    <w:p w14:paraId="3AEC5EB2">
      <w:pPr>
        <w:pStyle w:val="2"/>
        <w:numPr>
          <w:ilvl w:val="0"/>
          <w:numId w:val="9"/>
        </w:numPr>
        <w:rPr>
          <w:highlight w:val="none"/>
        </w:rPr>
      </w:pPr>
      <w:bookmarkStart w:id="60" w:name="_Toc21752"/>
      <w:bookmarkStart w:id="61" w:name="_Toc5954"/>
      <w:r>
        <w:rPr>
          <w:rFonts w:hint="eastAsia"/>
          <w:highlight w:val="none"/>
        </w:rPr>
        <w:t>采购中止的情形</w:t>
      </w:r>
      <w:bookmarkEnd w:id="60"/>
      <w:bookmarkEnd w:id="61"/>
    </w:p>
    <w:p w14:paraId="4AB1D9A9">
      <w:pPr>
        <w:pStyle w:val="12"/>
        <w:spacing w:line="336" w:lineRule="auto"/>
        <w:ind w:left="420" w:leftChars="200"/>
        <w:rPr>
          <w:rFonts w:hAnsi="宋体"/>
          <w:b/>
          <w:bCs/>
          <w:sz w:val="24"/>
          <w:szCs w:val="24"/>
          <w:highlight w:val="none"/>
        </w:rPr>
      </w:pPr>
      <w:r>
        <w:rPr>
          <w:rFonts w:hint="eastAsia" w:hAnsi="宋体"/>
          <w:b/>
          <w:bCs/>
          <w:sz w:val="24"/>
          <w:szCs w:val="24"/>
          <w:highlight w:val="none"/>
        </w:rPr>
        <w:t>17</w:t>
      </w:r>
      <w:r>
        <w:rPr>
          <w:rFonts w:hint="eastAsia" w:hAnsi="宋体"/>
          <w:b/>
          <w:bCs/>
          <w:sz w:val="24"/>
          <w:szCs w:val="24"/>
          <w:highlight w:val="none"/>
          <w:lang w:val="en-US" w:eastAsia="zh-CN"/>
        </w:rPr>
        <w:t>.</w:t>
      </w:r>
      <w:r>
        <w:rPr>
          <w:rFonts w:hint="eastAsia" w:hAnsi="宋体"/>
          <w:b/>
          <w:bCs/>
          <w:sz w:val="24"/>
          <w:szCs w:val="24"/>
          <w:highlight w:val="none"/>
          <w:lang w:val="zh-CN"/>
        </w:rPr>
        <w:t>中止电子交易活动和</w:t>
      </w:r>
      <w:r>
        <w:rPr>
          <w:rFonts w:hint="eastAsia" w:hAnsi="宋体"/>
          <w:b/>
          <w:bCs/>
          <w:sz w:val="24"/>
          <w:szCs w:val="24"/>
          <w:highlight w:val="none"/>
        </w:rPr>
        <w:t>重新组织采购</w:t>
      </w:r>
    </w:p>
    <w:p w14:paraId="4D3E8827">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17.1</w:t>
      </w:r>
      <w:r>
        <w:rPr>
          <w:rFonts w:hint="eastAsia" w:ascii="宋体" w:hAnsi="宋体" w:cs="宋体"/>
          <w:highlight w:val="none"/>
          <w:lang w:val="zh-CN"/>
        </w:rPr>
        <w:t>采购过程中出现以下情形，导致电子交易平台无法正常运行，或者无法保证电子交易的公平、公正和安全时，采购组织机构可中止电子交易活动：</w:t>
      </w:r>
    </w:p>
    <w:p w14:paraId="6078D72E">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电子交易平台发生故障而无法登录访问的；</w:t>
      </w:r>
    </w:p>
    <w:p w14:paraId="0EA9F5A9">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电子交易平台应用或数据库出现错误，不能进行正常操作的；</w:t>
      </w:r>
    </w:p>
    <w:p w14:paraId="20181592">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电子交易平台发现严重安全漏洞，有潜在泄密危险的；</w:t>
      </w:r>
    </w:p>
    <w:p w14:paraId="605693BC">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病毒发作导致不能进行正常操作的；</w:t>
      </w:r>
    </w:p>
    <w:p w14:paraId="50BE5BE8">
      <w:pPr>
        <w:numPr>
          <w:ilvl w:val="0"/>
          <w:numId w:val="15"/>
        </w:numPr>
        <w:tabs>
          <w:tab w:val="left" w:pos="0"/>
        </w:tabs>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其他无法保证电子交易的公平、公正和安全的情况。</w:t>
      </w:r>
    </w:p>
    <w:p w14:paraId="277A41F8">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17.2磋商小组发现磋商文件存在歧义、重大缺陷导致评标工作无法进行，或者磋商文件内容违反国家有关强制性规定的，将停止评标工作，并与采购人、采购代理机构沟通并作书面记录。采购人、采购代理机构确认后，将修改磋商文件，重新组织采购活动。</w:t>
      </w:r>
    </w:p>
    <w:p w14:paraId="3F679B12">
      <w:pPr>
        <w:pStyle w:val="2"/>
        <w:numPr>
          <w:ilvl w:val="0"/>
          <w:numId w:val="9"/>
        </w:numPr>
        <w:rPr>
          <w:highlight w:val="none"/>
        </w:rPr>
      </w:pPr>
      <w:bookmarkStart w:id="62" w:name="_Toc7222"/>
      <w:bookmarkStart w:id="63" w:name="_Toc14029"/>
      <w:r>
        <w:rPr>
          <w:rFonts w:hint="eastAsia"/>
          <w:highlight w:val="none"/>
        </w:rPr>
        <w:t>确定成交供应商与签订合同</w:t>
      </w:r>
      <w:bookmarkEnd w:id="62"/>
      <w:bookmarkEnd w:id="63"/>
    </w:p>
    <w:p w14:paraId="0517BDAD">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推荐成交候选供应商</w:t>
      </w:r>
    </w:p>
    <w:p w14:paraId="317F05BB">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18.1 磋商小组应当根据综合评分情况，按照评审得分由高到低顺序推荐1名或以上成交候选供应商，并编写评审报告。评审得分相同的，按照最后报价由低到高的顺序推荐。评审得分且最后报价相同的，按照技术指标优劣顺序推荐。</w:t>
      </w:r>
    </w:p>
    <w:p w14:paraId="02DB3905">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18.2 采购代理机构应当在评审结束后2个工作日内将评审报告送采购人确认。</w:t>
      </w:r>
    </w:p>
    <w:p w14:paraId="13D53C76">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确定成交供应商</w:t>
      </w:r>
    </w:p>
    <w:p w14:paraId="6262D78D">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19.1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E7361EE">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19.2采购人或者采购代理机构应当在成交供应商确定后2个工作日内，在省级以上财政部门指定的政府采购信息发布媒体上公告成交结果，同时向成交供应商发出成交通知书。</w:t>
      </w:r>
    </w:p>
    <w:p w14:paraId="76F89CF9">
      <w:pPr>
        <w:adjustRightIn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20、签订合同</w:t>
      </w:r>
    </w:p>
    <w:p w14:paraId="24072349">
      <w:pPr>
        <w:pStyle w:val="40"/>
        <w:snapToGrid w:val="0"/>
        <w:spacing w:before="0" w:line="336" w:lineRule="auto"/>
        <w:ind w:firstLine="480"/>
        <w:rPr>
          <w:rFonts w:ascii="宋体" w:hAnsi="宋体" w:cs="宋体"/>
          <w:highlight w:val="none"/>
        </w:rPr>
      </w:pPr>
      <w:r>
        <w:rPr>
          <w:rFonts w:hint="eastAsia" w:ascii="宋体" w:hAnsi="宋体" w:cs="宋体"/>
          <w:highlight w:val="none"/>
        </w:rPr>
        <w:t>20.1. 采购人与成交供应商应当在成交通知书发出之日起30日内，按照磋商文件确定的合同文本以及采购标的、规格型号、采购金额、采购数量、技术和服务要求等事项签订政府采购合同。</w:t>
      </w:r>
    </w:p>
    <w:p w14:paraId="7D38DA7A">
      <w:pPr>
        <w:pStyle w:val="40"/>
        <w:snapToGrid w:val="0"/>
        <w:spacing w:before="0" w:line="336" w:lineRule="auto"/>
        <w:ind w:firstLine="480"/>
        <w:rPr>
          <w:rFonts w:ascii="宋体" w:hAnsi="宋体" w:cs="宋体"/>
          <w:highlight w:val="none"/>
        </w:rPr>
      </w:pPr>
      <w:r>
        <w:rPr>
          <w:rFonts w:hint="eastAsia" w:ascii="宋体" w:hAnsi="宋体" w:cs="宋体"/>
          <w:highlight w:val="none"/>
        </w:rPr>
        <w:t>20.2. 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14:paraId="38DA2E48">
      <w:pPr>
        <w:adjustRightInd w:val="0"/>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21、解释权</w:t>
      </w:r>
    </w:p>
    <w:p w14:paraId="70AEE37B">
      <w:pPr>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磋商文件的解释权均属于</w:t>
      </w:r>
      <w:r>
        <w:rPr>
          <w:rFonts w:hint="eastAsia" w:ascii="宋体" w:hAnsi="宋体" w:cs="宋体"/>
          <w:sz w:val="24"/>
          <w:szCs w:val="24"/>
          <w:highlight w:val="none"/>
          <w:u w:val="single"/>
          <w:lang w:eastAsia="zh-CN"/>
        </w:rPr>
        <w:t>绍兴市上虞区卫生信息中心</w:t>
      </w:r>
      <w:r>
        <w:rPr>
          <w:rFonts w:hint="eastAsia" w:ascii="宋体" w:hAnsi="宋体" w:cs="宋体"/>
          <w:sz w:val="24"/>
          <w:szCs w:val="24"/>
          <w:highlight w:val="none"/>
        </w:rPr>
        <w:t>和</w:t>
      </w:r>
      <w:r>
        <w:rPr>
          <w:rFonts w:hint="eastAsia" w:ascii="宋体" w:hAnsi="宋体" w:cs="宋体"/>
          <w:sz w:val="24"/>
          <w:szCs w:val="24"/>
          <w:highlight w:val="none"/>
          <w:u w:val="single"/>
        </w:rPr>
        <w:t>绍兴成言工程咨询管理有限公司</w:t>
      </w:r>
      <w:r>
        <w:rPr>
          <w:rFonts w:hint="eastAsia" w:ascii="宋体" w:hAnsi="宋体" w:cs="宋体"/>
          <w:sz w:val="24"/>
          <w:szCs w:val="24"/>
          <w:highlight w:val="none"/>
        </w:rPr>
        <w:t>。</w:t>
      </w:r>
    </w:p>
    <w:p w14:paraId="29C1E9EF">
      <w:pPr>
        <w:pStyle w:val="11"/>
        <w:rPr>
          <w:highlight w:val="none"/>
        </w:rPr>
      </w:pPr>
    </w:p>
    <w:p w14:paraId="7814EF1C">
      <w:pPr>
        <w:pStyle w:val="3"/>
        <w:rPr>
          <w:rFonts w:ascii="宋体" w:hAnsi="宋体" w:cs="宋体"/>
          <w:szCs w:val="36"/>
          <w:highlight w:val="none"/>
        </w:rPr>
      </w:pPr>
      <w:r>
        <w:rPr>
          <w:rFonts w:hint="eastAsia" w:ascii="宋体" w:hAnsi="宋体" w:cs="宋体"/>
          <w:szCs w:val="36"/>
          <w:highlight w:val="none"/>
        </w:rPr>
        <w:br w:type="page"/>
      </w:r>
      <w:bookmarkStart w:id="64" w:name="_Toc21248"/>
      <w:bookmarkStart w:id="65" w:name="_Toc8494"/>
      <w:r>
        <w:rPr>
          <w:rFonts w:hint="eastAsia" w:ascii="宋体" w:hAnsi="宋体" w:cs="宋体"/>
          <w:szCs w:val="36"/>
          <w:highlight w:val="none"/>
        </w:rPr>
        <w:t>第三部分 采购内容及要求</w:t>
      </w:r>
      <w:bookmarkEnd w:id="64"/>
      <w:bookmarkEnd w:id="65"/>
    </w:p>
    <w:p w14:paraId="25C720B6">
      <w:pPr>
        <w:pStyle w:val="2"/>
        <w:jc w:val="center"/>
        <w:rPr>
          <w:color w:val="auto"/>
        </w:rPr>
      </w:pPr>
      <w:bookmarkStart w:id="66" w:name="_Toc62476869"/>
      <w:bookmarkStart w:id="67" w:name="_Toc464549681"/>
      <w:bookmarkStart w:id="68" w:name="_Toc367946316"/>
      <w:bookmarkStart w:id="69" w:name="_Toc25073"/>
      <w:bookmarkStart w:id="70" w:name="_Toc19961"/>
      <w:bookmarkStart w:id="71" w:name="_Toc15284"/>
      <w:r>
        <w:rPr>
          <w:rFonts w:hint="eastAsia"/>
          <w:color w:val="auto"/>
        </w:rPr>
        <w:t>第一章　</w:t>
      </w:r>
      <w:bookmarkEnd w:id="66"/>
      <w:bookmarkEnd w:id="67"/>
      <w:bookmarkEnd w:id="68"/>
      <w:r>
        <w:rPr>
          <w:rFonts w:hint="eastAsia"/>
          <w:color w:val="auto"/>
        </w:rPr>
        <w:t>总则</w:t>
      </w:r>
    </w:p>
    <w:p w14:paraId="22A4579D">
      <w:pPr>
        <w:rPr>
          <w:rFonts w:ascii="宋体" w:hAnsi="宋体" w:cs="宋体"/>
          <w:color w:val="auto"/>
        </w:rPr>
      </w:pPr>
    </w:p>
    <w:p w14:paraId="5CEA61EE">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部分提出了功能、性能、设计等方面的最低限度的技术要求，但未对所有技术细节作规定，也未充分引述有关规范和标准的相关条款，故投标供应商有责任根据所提供产品的实际情况对设备进行更科学合理的优化设计及实施方案，并对所提供产品的工艺、安全性、先进性负责，符合技术规格书的要求。</w:t>
      </w:r>
    </w:p>
    <w:p w14:paraId="25366A16">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所有设备的技术指标应符合国内已经制定的国家及行业技术标准，如果没有相关国内标准，也可参照相关国际技术标准执行。</w:t>
      </w:r>
    </w:p>
    <w:p w14:paraId="6EA6B229">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供应商必须对全部招标内容进行投标，不允许只对其中部分内容进行投标，谢绝联合投标。</w:t>
      </w:r>
    </w:p>
    <w:p w14:paraId="7F0BEBBB">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投标产品如与采购要求有细微偏差，采购方将有权要求供应商调整偏差，并不改变投标价格。</w:t>
      </w:r>
    </w:p>
    <w:p w14:paraId="03A330B1">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供应商须对招标文件中的各个条款一一给予实质性响应，不能仅复制粘贴本采购内容。</w:t>
      </w:r>
    </w:p>
    <w:p w14:paraId="1667FAE2">
      <w:pPr>
        <w:numPr>
          <w:ilvl w:val="0"/>
          <w:numId w:val="16"/>
        </w:numPr>
        <w:autoSpaceDE w:val="0"/>
        <w:autoSpaceDN w:val="0"/>
        <w:adjustRightIn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供应商须保证所提供材料产品为厂家原装正品，符合国家有关规定。供应商须保证所提供产品具有合法的版权或使用权。本项目采购的产品，如在本项目范围内使用过程中出现版权或使用权纠纷，应由中标人负责，采购方不承担责任。</w:t>
      </w:r>
    </w:p>
    <w:p w14:paraId="015A07AA">
      <w:pPr>
        <w:pStyle w:val="2"/>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highlight w:val="none"/>
          <w:lang w:val="en-US" w:eastAsia="zh-CN"/>
        </w:rPr>
        <w:t>二</w:t>
      </w:r>
      <w:r>
        <w:rPr>
          <w:rFonts w:hint="eastAsia" w:ascii="宋体" w:hAnsi="宋体" w:eastAsia="宋体" w:cs="宋体"/>
          <w:highlight w:val="none"/>
        </w:rPr>
        <w:t xml:space="preserve">章 </w:t>
      </w:r>
      <w:bookmarkStart w:id="72" w:name="_Toc506107120"/>
      <w:r>
        <w:rPr>
          <w:rFonts w:hint="eastAsia" w:ascii="宋体" w:hAnsi="宋体" w:eastAsia="宋体" w:cs="宋体"/>
          <w:highlight w:val="none"/>
        </w:rPr>
        <w:t>采购内容及要求</w:t>
      </w:r>
      <w:bookmarkEnd w:id="69"/>
      <w:bookmarkEnd w:id="70"/>
      <w:bookmarkEnd w:id="72"/>
    </w:p>
    <w:p w14:paraId="181DD2CB">
      <w:pPr>
        <w:pStyle w:val="14"/>
        <w:ind w:firstLine="482" w:firstLineChars="200"/>
        <w:rPr>
          <w:rFonts w:hint="eastAsia" w:ascii="宋体" w:hAnsi="宋体" w:eastAsia="宋体" w:cs="宋体"/>
          <w:b/>
          <w:bCs/>
          <w:color w:val="auto"/>
          <w:sz w:val="24"/>
          <w:szCs w:val="24"/>
          <w:highlight w:val="none"/>
        </w:rPr>
      </w:pPr>
      <w:bookmarkStart w:id="73" w:name="_Toc83283744"/>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内容</w:t>
      </w:r>
    </w:p>
    <w:p w14:paraId="5F1AF13D">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主要包括但不仅限于：上虞区区域HIS及区域EMR系统、上虞区非公立医院管理信息平台、居民电子健康档案系统项目、上虞区慢病管理系统、上虞区传染病管理系统、上虞区自助服务系统、上虞区全科医生签约系统、上虞区双向转诊系统、上虞区基层医疗机构财政补偿机制绩效考核系统等系统的运维服务，用于保障这些项目的正常运行，持续为上虞区各医疗机构提供医疗业务的信息化支持服务。</w:t>
      </w:r>
    </w:p>
    <w:p w14:paraId="1ABCF8F0">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维保服务要求不低于区域HIS及区域EMR等系统项目建设招标时提出的维保服务要求，包括系统使用过程中的业务需求和报表需求。投标方提供的系统和服务必须符合国家及浙江省等有关信息安全等保、标准规范等要求。如在维保合同期内发现问题，须无条件整改直至符合要求，不再另行增加费用。项目实施及维保过程中系统、财产、工作人员人身安全及其他不可预知风险均由投标方负责。采购方提出问题及业务需求均应有明确的答复时间和完成期限。</w:t>
      </w:r>
    </w:p>
    <w:p w14:paraId="39A7E6B0">
      <w:pPr>
        <w:pStyle w:val="50"/>
        <w:spacing w:beforeLines="0" w:afterLines="0"/>
        <w:ind w:left="0" w:leftChars="0" w:firstLine="0" w:firstLineChars="0"/>
        <w:jc w:val="left"/>
        <w:rPr>
          <w:rFonts w:hint="eastAsia" w:ascii="宋体" w:hAnsi="宋体" w:eastAsia="宋体" w:cs="宋体"/>
          <w:b/>
          <w:bCs/>
          <w:color w:val="auto"/>
          <w:szCs w:val="24"/>
        </w:rPr>
      </w:pPr>
      <w:r>
        <w:rPr>
          <w:rFonts w:hint="eastAsia" w:ascii="宋体" w:hAnsi="宋体" w:eastAsia="宋体" w:cs="宋体"/>
          <w:b/>
          <w:bCs/>
          <w:color w:val="auto"/>
          <w:szCs w:val="24"/>
        </w:rPr>
        <w:t>（1）维护系统清单</w:t>
      </w:r>
    </w:p>
    <w:p w14:paraId="15E3A0F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上虞区区域HIS及区域EMR系统</w:t>
      </w:r>
      <w:r>
        <w:rPr>
          <w:rFonts w:hint="eastAsia" w:ascii="宋体" w:hAnsi="宋体" w:eastAsia="宋体" w:cs="宋体"/>
          <w:color w:val="auto"/>
          <w:sz w:val="24"/>
          <w:szCs w:val="24"/>
          <w:lang w:eastAsia="zh-CN"/>
        </w:rPr>
        <w:t>：</w:t>
      </w:r>
    </w:p>
    <w:p w14:paraId="5B167B23">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1.挂号收费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；2.药房管理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；3.药库管理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；4.住院管理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；6.护士管理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手术管理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；8.物资管理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；9.报表管理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10.门诊电子病历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；11.住院电子病历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；12.省智慧医保</w:t>
      </w:r>
      <w:r>
        <w:rPr>
          <w:rFonts w:hint="eastAsia" w:ascii="宋体" w:hAnsi="宋体" w:cs="宋体"/>
          <w:color w:val="auto"/>
          <w:sz w:val="24"/>
          <w:szCs w:val="24"/>
          <w:highlight w:val="none"/>
          <w:lang w:val="en-US" w:eastAsia="zh-CN"/>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.精卫免费领药</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eastAsia="zh-CN"/>
        </w:rPr>
        <w:t>。</w:t>
      </w:r>
    </w:p>
    <w:p w14:paraId="3CAB54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上虞区非公立医院管理信息平台</w:t>
      </w:r>
      <w:r>
        <w:rPr>
          <w:rFonts w:hint="eastAsia" w:ascii="宋体" w:hAnsi="宋体" w:eastAsia="宋体" w:cs="宋体"/>
          <w:color w:val="auto"/>
          <w:sz w:val="24"/>
          <w:szCs w:val="24"/>
          <w:lang w:eastAsia="zh-CN"/>
        </w:rPr>
        <w:t>：</w:t>
      </w:r>
    </w:p>
    <w:p w14:paraId="3C83E1C1">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1.挂号收费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；2.药房管理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；3.药库管理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；4.住院管理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；6.护士管理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；7.手术管理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；8.物资管理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；9.报表管理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10.门诊电子病历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；11.住院电子病历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；12.省智慧医保</w:t>
      </w:r>
      <w:r>
        <w:rPr>
          <w:rFonts w:hint="eastAsia" w:ascii="宋体" w:hAnsi="宋体" w:cs="宋体"/>
          <w:color w:val="auto"/>
          <w:sz w:val="24"/>
          <w:szCs w:val="24"/>
          <w:highlight w:val="none"/>
          <w:lang w:val="en-US" w:eastAsia="zh-CN"/>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.精卫免费领药</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eastAsia="zh-CN"/>
        </w:rPr>
        <w:t>。</w:t>
      </w:r>
    </w:p>
    <w:p w14:paraId="26E808C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居民电子健康档案系统</w:t>
      </w:r>
      <w:r>
        <w:rPr>
          <w:rFonts w:hint="eastAsia" w:ascii="宋体" w:hAnsi="宋体" w:eastAsia="宋体" w:cs="宋体"/>
          <w:color w:val="auto"/>
          <w:sz w:val="24"/>
          <w:szCs w:val="24"/>
          <w:lang w:eastAsia="zh-CN"/>
        </w:rPr>
        <w:t>：</w:t>
      </w:r>
    </w:p>
    <w:p w14:paraId="2AD2E75F">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1.家庭档案</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；2.人员档案</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；3.人员管理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；4.网格化管理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老年人管理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.统计分析</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.系统管理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12308C6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上虞区</w:t>
      </w:r>
      <w:r>
        <w:rPr>
          <w:rFonts w:hint="eastAsia" w:ascii="宋体" w:hAnsi="宋体" w:cs="宋体"/>
          <w:color w:val="auto"/>
          <w:sz w:val="24"/>
          <w:szCs w:val="24"/>
          <w:lang w:val="en-US" w:eastAsia="zh-CN"/>
        </w:rPr>
        <w:t>公共卫生信息管理平台（</w:t>
      </w:r>
      <w:r>
        <w:rPr>
          <w:rFonts w:hint="eastAsia" w:ascii="宋体" w:hAnsi="宋体" w:eastAsia="宋体" w:cs="宋体"/>
          <w:color w:val="auto"/>
          <w:sz w:val="24"/>
          <w:szCs w:val="24"/>
        </w:rPr>
        <w:t>慢病管理</w:t>
      </w:r>
      <w:r>
        <w:rPr>
          <w:rFonts w:hint="eastAsia" w:ascii="宋体" w:hAnsi="宋体" w:cs="宋体"/>
          <w:color w:val="auto"/>
          <w:sz w:val="24"/>
          <w:szCs w:val="24"/>
          <w:lang w:val="en-US" w:eastAsia="zh-CN"/>
        </w:rPr>
        <w:t>子</w:t>
      </w:r>
      <w:r>
        <w:rPr>
          <w:rFonts w:hint="eastAsia" w:ascii="宋体" w:hAnsi="宋体" w:eastAsia="宋体" w:cs="宋体"/>
          <w:color w:val="auto"/>
          <w:sz w:val="24"/>
          <w:szCs w:val="24"/>
        </w:rPr>
        <w:t>系统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728125C8">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1.慢阻肺报卡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；2.心脑血管报卡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；3.糖尿病报卡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；4.恶性肿瘤报卡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；5.死亡报卡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3CF928D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上虞区</w:t>
      </w:r>
      <w:r>
        <w:rPr>
          <w:rFonts w:hint="eastAsia" w:ascii="宋体" w:hAnsi="宋体" w:cs="宋体"/>
          <w:color w:val="auto"/>
          <w:sz w:val="24"/>
          <w:szCs w:val="24"/>
          <w:lang w:val="en-US" w:eastAsia="zh-CN"/>
        </w:rPr>
        <w:t>公共卫生信息管理平台（</w:t>
      </w:r>
      <w:r>
        <w:rPr>
          <w:rFonts w:hint="eastAsia" w:ascii="宋体" w:hAnsi="宋体" w:eastAsia="宋体" w:cs="宋体"/>
          <w:color w:val="auto"/>
          <w:sz w:val="24"/>
          <w:szCs w:val="24"/>
        </w:rPr>
        <w:t>传染病管理</w:t>
      </w:r>
      <w:r>
        <w:rPr>
          <w:rFonts w:hint="eastAsia" w:ascii="宋体" w:hAnsi="宋体" w:cs="宋体"/>
          <w:color w:val="auto"/>
          <w:sz w:val="24"/>
          <w:szCs w:val="24"/>
          <w:lang w:val="en-US" w:eastAsia="zh-CN"/>
        </w:rPr>
        <w:t>子</w:t>
      </w:r>
      <w:r>
        <w:rPr>
          <w:rFonts w:hint="eastAsia" w:ascii="宋体" w:hAnsi="宋体" w:eastAsia="宋体" w:cs="宋体"/>
          <w:color w:val="auto"/>
          <w:sz w:val="24"/>
          <w:szCs w:val="24"/>
        </w:rPr>
        <w:t>系统</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433FF868">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1.普通传染病报卡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；2.手足口报卡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；3.性病报卡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；4.乙肝报卡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67B0BE80">
      <w:pPr>
        <w:pStyle w:val="29"/>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上虞区自助服务系统</w:t>
      </w:r>
      <w:r>
        <w:rPr>
          <w:rFonts w:hint="eastAsia" w:ascii="宋体" w:hAnsi="宋体" w:eastAsia="宋体" w:cs="宋体"/>
          <w:color w:val="auto"/>
          <w:sz w:val="24"/>
          <w:szCs w:val="24"/>
          <w:lang w:eastAsia="zh-CN"/>
        </w:rPr>
        <w:t>：</w:t>
      </w:r>
    </w:p>
    <w:p w14:paraId="201D389B">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1.自助挂号</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；2.自助缴费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；3.自助办卡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；4.信息查询</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；5.医后付</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6BED1B52">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上虞区全科医生签约系统</w:t>
      </w:r>
    </w:p>
    <w:p w14:paraId="11A6F323">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上虞区双向转诊系统</w:t>
      </w:r>
    </w:p>
    <w:p w14:paraId="7502FB47">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上虞区基层医疗机构财政补偿机制绩效考核系统</w:t>
      </w:r>
    </w:p>
    <w:p w14:paraId="1850BB5E">
      <w:pPr>
        <w:pStyle w:val="7"/>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以上仅列出系统主要功能清单，具体以采购方实际在用系统功能为准。</w:t>
      </w:r>
    </w:p>
    <w:p w14:paraId="4A074F22">
      <w:pPr>
        <w:pStyle w:val="50"/>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（2）维护内容</w:t>
      </w:r>
    </w:p>
    <w:p w14:paraId="58A4F2CE">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1)</w:t>
      </w:r>
      <w:r>
        <w:rPr>
          <w:rFonts w:hint="eastAsia" w:ascii="宋体" w:hAnsi="宋体" w:eastAsia="宋体" w:cs="宋体"/>
          <w:b/>
          <w:bCs/>
          <w:color w:val="auto"/>
          <w:szCs w:val="24"/>
        </w:rPr>
        <w:tab/>
      </w:r>
      <w:r>
        <w:rPr>
          <w:rFonts w:hint="eastAsia" w:ascii="宋体" w:hAnsi="宋体" w:eastAsia="宋体" w:cs="宋体"/>
          <w:b/>
          <w:bCs/>
          <w:color w:val="auto"/>
          <w:szCs w:val="24"/>
        </w:rPr>
        <w:t>日常维护</w:t>
      </w:r>
    </w:p>
    <w:p w14:paraId="61C2716D">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做好</w:t>
      </w:r>
      <w:r>
        <w:rPr>
          <w:rFonts w:hint="eastAsia" w:ascii="宋体" w:hAnsi="宋体" w:eastAsia="宋体" w:cs="宋体"/>
          <w:color w:val="auto"/>
          <w:sz w:val="24"/>
          <w:szCs w:val="24"/>
          <w:highlight w:val="none"/>
        </w:rPr>
        <w:t>系统的运行维护（详见维护模块清单），BUG处理，需求修改(定制需求除外）等保证系统的正常运行；</w:t>
      </w:r>
    </w:p>
    <w:p w14:paraId="25FC62B2">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对于系统Bug并影响业务流程的需求，现场工程师立即响应处理。同时投标方须提供7X24小时电话技术支持服务，提供7X24小时远程支持服务</w:t>
      </w:r>
      <w:r>
        <w:rPr>
          <w:rFonts w:hint="eastAsia" w:ascii="宋体" w:hAnsi="宋体" w:cs="宋体"/>
          <w:color w:val="auto"/>
          <w:sz w:val="24"/>
          <w:szCs w:val="24"/>
          <w:highlight w:val="none"/>
          <w:lang w:eastAsia="zh-CN"/>
        </w:rPr>
        <w:t>；</w:t>
      </w:r>
    </w:p>
    <w:p w14:paraId="7A4E26E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系统运行中出现紧急事件，例如宕机、业务中断等，若驻点工程师在30分钟内无法解决，投标方须安排后端技术人员远程接入处理，必要时后端技术人员2小时到达现场服务</w:t>
      </w:r>
      <w:r>
        <w:rPr>
          <w:rFonts w:hint="eastAsia" w:ascii="宋体" w:hAnsi="宋体" w:cs="宋体"/>
          <w:color w:val="auto"/>
          <w:sz w:val="24"/>
          <w:szCs w:val="24"/>
          <w:highlight w:val="none"/>
          <w:lang w:eastAsia="zh-CN"/>
        </w:rPr>
        <w:t>；</w:t>
      </w:r>
    </w:p>
    <w:p w14:paraId="772D873D">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紧急事件，服务人员填写《紧急事件处理报告》，在24小时内提交给甲方</w:t>
      </w:r>
      <w:r>
        <w:rPr>
          <w:rFonts w:hint="eastAsia" w:ascii="宋体" w:hAnsi="宋体" w:cs="宋体"/>
          <w:color w:val="auto"/>
          <w:sz w:val="24"/>
          <w:szCs w:val="24"/>
          <w:highlight w:val="none"/>
          <w:lang w:eastAsia="zh-CN"/>
        </w:rPr>
        <w:t>；</w:t>
      </w:r>
    </w:p>
    <w:p w14:paraId="2E00485D">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信息系统业务运行过程中,由于误操作、第三方等原因,造成的医院业务数据出现错误时，配合医院对错误数据进行核对及修正,并保证修正后数据准确</w:t>
      </w:r>
      <w:r>
        <w:rPr>
          <w:rFonts w:hint="eastAsia" w:ascii="宋体" w:hAnsi="宋体" w:cs="宋体"/>
          <w:color w:val="auto"/>
          <w:sz w:val="24"/>
          <w:szCs w:val="24"/>
          <w:highlight w:val="none"/>
          <w:lang w:eastAsia="zh-CN"/>
        </w:rPr>
        <w:t>；</w:t>
      </w:r>
    </w:p>
    <w:p w14:paraId="2B16231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做好对医院信息技术人员的继续培训工作</w:t>
      </w:r>
      <w:r>
        <w:rPr>
          <w:rFonts w:hint="eastAsia" w:ascii="宋体" w:hAnsi="宋体" w:cs="宋体"/>
          <w:color w:val="auto"/>
          <w:sz w:val="24"/>
          <w:szCs w:val="24"/>
          <w:highlight w:val="none"/>
          <w:lang w:eastAsia="zh-CN"/>
        </w:rPr>
        <w:t>；</w:t>
      </w:r>
    </w:p>
    <w:p w14:paraId="7DCA67E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做好业务系统的数据安全保密工作，严禁私自调用相关数据做与业务不相干的工作；严禁在正式库上进行数据测试</w:t>
      </w:r>
      <w:r>
        <w:rPr>
          <w:rFonts w:hint="eastAsia" w:ascii="宋体" w:hAnsi="宋体" w:cs="宋体"/>
          <w:color w:val="auto"/>
          <w:sz w:val="24"/>
          <w:szCs w:val="24"/>
          <w:highlight w:val="none"/>
          <w:lang w:eastAsia="zh-CN"/>
        </w:rPr>
        <w:t>；</w:t>
      </w:r>
    </w:p>
    <w:p w14:paraId="5F0DA5B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完成定期的数据管理工作及日常的系统更新和升级工作</w:t>
      </w:r>
      <w:r>
        <w:rPr>
          <w:rFonts w:hint="eastAsia" w:ascii="宋体" w:hAnsi="宋体" w:cs="宋体"/>
          <w:color w:val="auto"/>
          <w:sz w:val="24"/>
          <w:szCs w:val="24"/>
          <w:highlight w:val="none"/>
          <w:lang w:eastAsia="zh-CN"/>
        </w:rPr>
        <w:t>；</w:t>
      </w:r>
    </w:p>
    <w:p w14:paraId="1AE229D3">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对于常见问题须进行彻底解决，以免再次发生，并将这些解决方案建立文档</w:t>
      </w:r>
      <w:r>
        <w:rPr>
          <w:rFonts w:hint="eastAsia" w:ascii="宋体" w:hAnsi="宋体" w:cs="宋体"/>
          <w:color w:val="auto"/>
          <w:sz w:val="24"/>
          <w:szCs w:val="24"/>
          <w:lang w:eastAsia="zh-CN"/>
        </w:rPr>
        <w:t>；</w:t>
      </w:r>
    </w:p>
    <w:p w14:paraId="276987E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提供特殊时段（春节、劳动节、国庆节、年终、采购方重大应用测试、投产），以及系统变更和迁移、系统升级等的现场支持服务</w:t>
      </w:r>
      <w:r>
        <w:rPr>
          <w:rFonts w:hint="eastAsia" w:ascii="宋体" w:hAnsi="宋体" w:cs="宋体"/>
          <w:color w:val="auto"/>
          <w:sz w:val="24"/>
          <w:szCs w:val="24"/>
          <w:lang w:eastAsia="zh-CN"/>
        </w:rPr>
        <w:t>；</w:t>
      </w:r>
    </w:p>
    <w:p w14:paraId="15ABA62B">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rPr>
        <w:t>如突遇程序更新等原因或其他不明原因导致速度响应变慢，7×24小时现场工程师即时响应(非正常工作时间15分钟内响应)；出现系统故障在现场工程师无法解决问题的情况下以及其他各种不可预知的紧急情况下，明确承诺服务响应要求：7x24小时电话服务，5分钟内响应，30分钟内做出明确响应和安排，2小时内做出故障诊断报告，如需现场服务的，具有解决故障能力的工程师应在半小时内出发，2小时内到达现场，并连续24小时不间断处理，各种紧急情况的判定无条件以采购方判定为准。因投标方实施或提供产品质量、服务、不匹配、不到位引起采购方损失的，由投标方承担全部责任。出现故障，要求5分钟内响应</w:t>
      </w:r>
      <w:r>
        <w:rPr>
          <w:rFonts w:hint="eastAsia" w:ascii="宋体" w:hAnsi="宋体" w:eastAsia="宋体" w:cs="宋体"/>
          <w:color w:val="auto"/>
          <w:sz w:val="24"/>
          <w:szCs w:val="24"/>
          <w:highlight w:val="none"/>
        </w:rPr>
        <w:t>，24小时不间断组织抢修。</w:t>
      </w:r>
    </w:p>
    <w:p w14:paraId="00C777F2">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巡检服务</w:t>
      </w:r>
    </w:p>
    <w:p w14:paraId="321AE636">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检查业务系统相关软硬件健康状况。</w:t>
      </w:r>
    </w:p>
    <w:p w14:paraId="0745C889">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工作日每日巡检，并记录相关巡检数据。</w:t>
      </w:r>
    </w:p>
    <w:p w14:paraId="65EE5810">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巡检报告并装订成册。</w:t>
      </w:r>
    </w:p>
    <w:p w14:paraId="4CA35A67">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重要问题</w:t>
      </w:r>
      <w:r>
        <w:rPr>
          <w:rFonts w:hint="eastAsia" w:ascii="宋体" w:hAnsi="宋体" w:eastAsia="宋体" w:cs="宋体"/>
          <w:color w:val="auto"/>
          <w:sz w:val="24"/>
          <w:szCs w:val="24"/>
        </w:rPr>
        <w:t>及时与开发工程师沟通并寻求解决方法。</w:t>
      </w:r>
    </w:p>
    <w:p w14:paraId="462BF894">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3)</w:t>
      </w:r>
      <w:r>
        <w:rPr>
          <w:rFonts w:hint="eastAsia" w:ascii="宋体" w:hAnsi="宋体" w:eastAsia="宋体" w:cs="宋体"/>
          <w:b/>
          <w:bCs/>
          <w:color w:val="auto"/>
          <w:szCs w:val="24"/>
        </w:rPr>
        <w:tab/>
      </w:r>
      <w:r>
        <w:rPr>
          <w:rFonts w:hint="eastAsia" w:ascii="宋体" w:hAnsi="宋体" w:eastAsia="宋体" w:cs="宋体"/>
          <w:b/>
          <w:bCs/>
          <w:color w:val="auto"/>
          <w:szCs w:val="24"/>
        </w:rPr>
        <w:t>维保服务要求</w:t>
      </w:r>
    </w:p>
    <w:p w14:paraId="592B129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因投标方未及时提供规定服务导致采购方损失的，由投标方承担全部责任包括间接责任及损失；在投标方未能及时提供服务的情况下，采购方有权请第三方提供维修服务，损失及费用无条件由投标方承担。</w:t>
      </w:r>
    </w:p>
    <w:p w14:paraId="7A32722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投标方必须按照采购方要求做好系统安装调试，不得以各种理由增加费用。</w:t>
      </w:r>
    </w:p>
    <w:p w14:paraId="73B542A9">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项目维保过程中应充分考虑安全及冗灾需要，以及应急操作预案的可行性，并不断予以优化完善。</w:t>
      </w:r>
    </w:p>
    <w:p w14:paraId="00E3BFF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期内应用系统的任何更新(包括升级和调整)维护都必须按照规范要求进行，明确修改内容，需要达到效果，确定修改时间，并在测试服务器上测试无问题，报卫生信息中心负责人确认同意。时间原则上在晚上进行，进行之前通过QQ、微信等工作群方式通知各医疗卫生机构，调整完毕后必须进行实际环境测试，测试无问题后才能下班，第二天早上开发人员和实施人员必须较医疗机构上班时间提前30分钟到岗上班，确保系统调整后运行过程没有故障。</w:t>
      </w:r>
    </w:p>
    <w:p w14:paraId="218B201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在服务期内，若系统功能不满足采购方实际现有业务需求，投标方需提供免费完善其功能或修正其错误的技术支持。涉及软件调整改造的费用包含在本项目报价内。</w:t>
      </w:r>
    </w:p>
    <w:p w14:paraId="0DF49DF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采购方及使用单位的业务需求(含业务报表需求)，不限次数，投标方必须予以积极配合并及时修改调整软件系统功能，不得另行收取费用；同时做好系统运行性能优化和调整；其他根据采购方要求需要提供的系统维护和服务等，相关费用包含在本项目报价内。</w:t>
      </w:r>
    </w:p>
    <w:p w14:paraId="30BF4D93">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服务工程师需具备对应操作系统或数据库系统相应能力。</w:t>
      </w:r>
    </w:p>
    <w:p w14:paraId="78A7A04F">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提供定期对应用系统、数据库备份服务，制定有效的备份策略，检查备份文件可用性，保证出现故障时可及时恢复。</w:t>
      </w:r>
    </w:p>
    <w:p w14:paraId="076EAA54">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协助用户及应用系统厂商部署系统、数据迁移等工作。</w:t>
      </w:r>
    </w:p>
    <w:p w14:paraId="748D8393">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4</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运维团队人员要求</w:t>
      </w:r>
    </w:p>
    <w:p w14:paraId="59479459">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本项目涉及日常运维系统较多且均为定制系统，涉及面广，需安排</w:t>
      </w:r>
      <w:r>
        <w:rPr>
          <w:rFonts w:hint="eastAsia" w:ascii="宋体" w:hAnsi="宋体" w:cs="宋体"/>
          <w:strike w:val="0"/>
          <w:dstrike w:val="0"/>
          <w:color w:val="auto"/>
          <w:sz w:val="24"/>
          <w:szCs w:val="24"/>
          <w:lang w:val="en-US" w:eastAsia="zh-CN"/>
        </w:rPr>
        <w:t>专门</w:t>
      </w:r>
      <w:r>
        <w:rPr>
          <w:rFonts w:hint="eastAsia" w:ascii="宋体" w:hAnsi="宋体" w:eastAsia="宋体" w:cs="宋体"/>
          <w:strike w:val="0"/>
          <w:dstrike w:val="0"/>
          <w:color w:val="auto"/>
          <w:sz w:val="24"/>
          <w:szCs w:val="24"/>
        </w:rPr>
        <w:t>运维团队</w:t>
      </w:r>
      <w:r>
        <w:rPr>
          <w:rFonts w:hint="eastAsia" w:ascii="宋体" w:hAnsi="宋体" w:cs="宋体"/>
          <w:strike w:val="0"/>
          <w:dstrike w:val="0"/>
          <w:color w:val="auto"/>
          <w:sz w:val="24"/>
          <w:szCs w:val="24"/>
          <w:lang w:eastAsia="zh-CN"/>
        </w:rPr>
        <w:t>，</w:t>
      </w:r>
      <w:r>
        <w:rPr>
          <w:rFonts w:hint="eastAsia" w:ascii="宋体" w:hAnsi="宋体" w:eastAsia="宋体" w:cs="宋体"/>
          <w:color w:val="auto"/>
          <w:sz w:val="24"/>
          <w:szCs w:val="24"/>
        </w:rPr>
        <w:t>负责按照采购方要求做好系统整体维护管理升级、需求修改、日常维护、巡检、指导及培训等(实行考勤，遵守采购方作息制度，接受采购方工作安排)；在采购方有临时突击工作任务时必须无条件增加现场工程师；在现场工程师请假时有代班工程师。</w:t>
      </w:r>
    </w:p>
    <w:p w14:paraId="77481A9F">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驻场服务工程师团队：提供采购方现场驻场运维工程师不少于3岗。（提供承诺函，格式自拟。明确驻场运维工程师具体人员名单，中标后不得更换。并提供驻场运维工程师医疗软件运维3年以上工作证明及本单位缴纳社保证明并加盖公章，中标后提供相关运维合同供采购方核验。）</w:t>
      </w:r>
    </w:p>
    <w:p w14:paraId="4B6EE45C">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5</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运维文档要求</w:t>
      </w:r>
    </w:p>
    <w:p w14:paraId="0C11A61F">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服务人员每周总结工作日志，确保所有</w:t>
      </w:r>
      <w:r>
        <w:rPr>
          <w:rFonts w:hint="eastAsia" w:ascii="宋体" w:hAnsi="宋体" w:eastAsia="宋体" w:cs="宋体"/>
          <w:color w:val="auto"/>
          <w:sz w:val="24"/>
          <w:szCs w:val="24"/>
          <w:highlight w:val="none"/>
        </w:rPr>
        <w:t>问题有记录，从日志中总结经验性文档，供信息科学习。</w:t>
      </w:r>
    </w:p>
    <w:p w14:paraId="56D0B030">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每季度总结本季度系统维护情况。</w:t>
      </w:r>
    </w:p>
    <w:p w14:paraId="603B3EB4">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总结年度系统维护情况和维修计划完成情况，分析维护过程中出现的问题。</w:t>
      </w:r>
    </w:p>
    <w:p w14:paraId="118415B4">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6</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数据备份服务要求</w:t>
      </w:r>
    </w:p>
    <w:p w14:paraId="0099DADB">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做好相关业务系统的数据备份工作，检查备份策略全备和增量备份的完成情况，并提供巡检报告和工作建议，安排软件工程师现场巡检，完成后编写巡检报告。</w:t>
      </w:r>
    </w:p>
    <w:p w14:paraId="4E20B216">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无条件配合采购方开展的数据备份恢复演练等应急演练，根据采购方演练计划做好数据库容灾切换，恢复容灾系统数据，备份恢复完成后，保证业务系统运行正常，数据完整。</w:t>
      </w:r>
    </w:p>
    <w:p w14:paraId="5F1ED7BB">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提供应急响应，如遇系统突发故障等紧急情况，对已有备份数据进行恢复，保障数据安全。</w:t>
      </w:r>
    </w:p>
    <w:p w14:paraId="1E6CCC0E">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color w:val="auto"/>
          <w:sz w:val="24"/>
          <w:szCs w:val="24"/>
          <w:highlight w:val="none"/>
        </w:rPr>
        <w:t>投标方须配合采购方做好本地实时备份和异地实时备份数据(数据库异地DATAGUARD和RMAN备份)，配合做好oracle数据库RAC安装及升级、迁移工作。数据库损坏或者误操作提供7x24不间断的后备技术支持工作；启用容灾数据库或应急系统后，免费配合将容灾数据库或应急系统数据迁移到原服务器上，并重做容灾数据库。</w:t>
      </w:r>
    </w:p>
    <w:p w14:paraId="41F746F2">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7</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lang w:val="en-US" w:eastAsia="zh-CN"/>
        </w:rPr>
        <w:t>其他要求</w:t>
      </w:r>
    </w:p>
    <w:p w14:paraId="55007384">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工程师要遵守</w:t>
      </w:r>
      <w:r>
        <w:rPr>
          <w:rFonts w:hint="eastAsia" w:ascii="宋体" w:hAnsi="宋体" w:eastAsia="宋体" w:cs="宋体"/>
          <w:color w:val="auto"/>
          <w:sz w:val="24"/>
          <w:szCs w:val="24"/>
          <w:lang w:val="en-US" w:eastAsia="zh-CN"/>
        </w:rPr>
        <w:t>采购方的</w:t>
      </w:r>
      <w:r>
        <w:rPr>
          <w:rFonts w:hint="eastAsia" w:ascii="宋体" w:hAnsi="宋体" w:eastAsia="宋体" w:cs="宋体"/>
          <w:color w:val="auto"/>
          <w:sz w:val="24"/>
          <w:szCs w:val="24"/>
        </w:rPr>
        <w:t>劳动考勤纪律及其它相关规章制度，接受</w:t>
      </w:r>
      <w:r>
        <w:rPr>
          <w:rFonts w:hint="eastAsia" w:ascii="宋体" w:hAnsi="宋体" w:eastAsia="宋体" w:cs="宋体"/>
          <w:color w:val="auto"/>
          <w:sz w:val="24"/>
          <w:szCs w:val="24"/>
          <w:lang w:val="en-US" w:eastAsia="zh-CN"/>
        </w:rPr>
        <w:t>采购方的</w:t>
      </w:r>
      <w:r>
        <w:rPr>
          <w:rFonts w:hint="eastAsia" w:ascii="宋体" w:hAnsi="宋体" w:eastAsia="宋体" w:cs="宋体"/>
          <w:color w:val="auto"/>
          <w:sz w:val="24"/>
          <w:szCs w:val="24"/>
        </w:rPr>
        <w:t>工作安排与指导，做好本职</w:t>
      </w:r>
      <w:r>
        <w:rPr>
          <w:rFonts w:hint="eastAsia" w:ascii="宋体" w:hAnsi="宋体" w:eastAsia="宋体" w:cs="宋体"/>
          <w:color w:val="auto"/>
          <w:sz w:val="24"/>
          <w:szCs w:val="24"/>
          <w:lang w:val="en-US" w:eastAsia="zh-CN"/>
        </w:rPr>
        <w:t>工作。</w:t>
      </w:r>
    </w:p>
    <w:p w14:paraId="0ED6D0FB">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上述服务中所需办公电脑、终端维修设备等工具需由</w:t>
      </w:r>
      <w:r>
        <w:rPr>
          <w:rFonts w:hint="eastAsia" w:ascii="宋体" w:hAnsi="宋体" w:eastAsia="宋体" w:cs="宋体"/>
          <w:color w:val="auto"/>
          <w:sz w:val="24"/>
          <w:szCs w:val="24"/>
          <w:lang w:val="en-US" w:eastAsia="zh-CN"/>
        </w:rPr>
        <w:t>投标方</w:t>
      </w:r>
      <w:r>
        <w:rPr>
          <w:rFonts w:hint="eastAsia" w:ascii="宋体" w:hAnsi="宋体" w:eastAsia="宋体" w:cs="宋体"/>
          <w:color w:val="auto"/>
          <w:sz w:val="24"/>
          <w:szCs w:val="24"/>
        </w:rPr>
        <w:t>自行配备。</w:t>
      </w:r>
    </w:p>
    <w:p w14:paraId="2EAC015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做好相关信息数据保密工作，承担保密责任。未经允许不得对外透露采购方业务系统的信息，未经允许不得复制与工作相关的数据与信息，不得以任何方式和渠道向外界传递、泄露、披露任何信息数据。</w:t>
      </w:r>
    </w:p>
    <w:p w14:paraId="76C9F11D">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投标方必须按照采购方要求做好系统安装调试，不得以各种理由增加费用。</w:t>
      </w:r>
    </w:p>
    <w:p w14:paraId="1A5B745E">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项目维保过程中应充分考虑安全及冗灾需要，以及应急操作预案的可行性，并不断予以优化完善。</w:t>
      </w:r>
    </w:p>
    <w:p w14:paraId="66ED2F79">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要求投标方严格按照</w:t>
      </w:r>
      <w:r>
        <w:rPr>
          <w:rFonts w:hint="eastAsia" w:ascii="宋体" w:hAnsi="宋体" w:eastAsia="宋体" w:cs="宋体"/>
          <w:color w:val="auto"/>
          <w:sz w:val="24"/>
          <w:szCs w:val="24"/>
          <w:lang w:val="en-US" w:eastAsia="zh-CN"/>
        </w:rPr>
        <w:t>采购方业务系统的</w:t>
      </w:r>
      <w:r>
        <w:rPr>
          <w:rFonts w:hint="eastAsia" w:ascii="宋体" w:hAnsi="宋体" w:eastAsia="宋体" w:cs="宋体"/>
          <w:color w:val="auto"/>
          <w:sz w:val="24"/>
          <w:szCs w:val="24"/>
        </w:rPr>
        <w:t>国家信息安全等级保护要求做好安全工作，不能通过信息安全等保要求的，免费整改直至符合规范要求，同时要求投标方严格保密</w:t>
      </w:r>
      <w:r>
        <w:rPr>
          <w:rFonts w:hint="eastAsia" w:ascii="宋体" w:hAnsi="宋体" w:eastAsia="宋体" w:cs="宋体"/>
          <w:color w:val="auto"/>
          <w:sz w:val="24"/>
          <w:szCs w:val="24"/>
          <w:lang w:val="en-US" w:eastAsia="zh-CN"/>
        </w:rPr>
        <w:t>采购方</w:t>
      </w:r>
      <w:r>
        <w:rPr>
          <w:rFonts w:hint="eastAsia" w:ascii="宋体" w:hAnsi="宋体" w:eastAsia="宋体" w:cs="宋体"/>
          <w:color w:val="auto"/>
          <w:sz w:val="24"/>
          <w:szCs w:val="24"/>
        </w:rPr>
        <w:t>的相关信息，需保密信息包括但不限于:系统数据、IP地址规划信息、居</w:t>
      </w:r>
      <w:r>
        <w:rPr>
          <w:rFonts w:hint="eastAsia" w:ascii="宋体" w:hAnsi="宋体" w:eastAsia="宋体" w:cs="宋体"/>
          <w:color w:val="auto"/>
          <w:sz w:val="24"/>
          <w:szCs w:val="24"/>
          <w:highlight w:val="none"/>
        </w:rPr>
        <w:t>民基本信息、医疗健康信息数据、需求图表等知识产权、业务记录和计划、技术资料、产品项目、产品设计信息、价格结构、成本等非公开的、保密的或专业的信息和数据，同时确保数据在传输过程中加密安全传输，不被非法窃取、泄密等。</w:t>
      </w:r>
    </w:p>
    <w:p w14:paraId="14E1409B">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b/>
          <w:bCs/>
          <w:color w:val="auto"/>
          <w:szCs w:val="24"/>
          <w:lang w:val="en-US" w:eastAsia="zh-CN"/>
        </w:rPr>
      </w:pPr>
      <w:r>
        <w:rPr>
          <w:rFonts w:hint="eastAsia" w:ascii="宋体" w:hAnsi="宋体"/>
          <w:b/>
          <w:bCs/>
          <w:color w:val="auto"/>
          <w:szCs w:val="24"/>
          <w:lang w:val="en-US" w:eastAsia="zh-CN"/>
        </w:rPr>
        <w:t>8</w:t>
      </w:r>
      <w:r>
        <w:rPr>
          <w:rFonts w:hint="eastAsia" w:ascii="宋体" w:hAnsi="宋体"/>
          <w:b/>
          <w:bCs/>
          <w:color w:val="auto"/>
          <w:szCs w:val="24"/>
        </w:rPr>
        <w:t>)</w:t>
      </w:r>
      <w:r>
        <w:rPr>
          <w:rFonts w:hint="eastAsia" w:ascii="宋体" w:hAnsi="宋体"/>
          <w:b/>
          <w:bCs/>
          <w:color w:val="auto"/>
          <w:szCs w:val="24"/>
        </w:rPr>
        <w:tab/>
      </w:r>
      <w:r>
        <w:rPr>
          <w:rFonts w:hint="eastAsia" w:ascii="宋体" w:hAnsi="宋体"/>
          <w:b/>
          <w:bCs/>
          <w:color w:val="auto"/>
          <w:szCs w:val="24"/>
          <w:lang w:val="en-US" w:eastAsia="zh-CN"/>
        </w:rPr>
        <w:t>验收要求</w:t>
      </w:r>
    </w:p>
    <w:p w14:paraId="7680F19A">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服务期内按</w:t>
      </w:r>
      <w:r>
        <w:rPr>
          <w:rFonts w:hint="default" w:ascii="宋体" w:hAnsi="宋体" w:cs="宋体"/>
          <w:color w:val="auto"/>
          <w:sz w:val="24"/>
          <w:szCs w:val="24"/>
          <w:highlight w:val="none"/>
        </w:rPr>
        <w:t>采购方</w:t>
      </w:r>
      <w:r>
        <w:rPr>
          <w:rFonts w:hint="eastAsia" w:ascii="宋体" w:hAnsi="宋体" w:cs="宋体"/>
          <w:color w:val="auto"/>
          <w:sz w:val="24"/>
          <w:szCs w:val="24"/>
          <w:highlight w:val="none"/>
        </w:rPr>
        <w:t>要求完成业务系统的维护，并通过监理(如有)核验。</w:t>
      </w:r>
    </w:p>
    <w:p w14:paraId="4F0E7DE4">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cs="宋体"/>
          <w:color w:val="auto"/>
          <w:sz w:val="24"/>
          <w:szCs w:val="24"/>
          <w:highlight w:val="none"/>
        </w:rPr>
        <w:t>项目验收前须按要求提供项目实施、运维等相关文档，文档应严格按照国家有关规定进行，必须及时提供验收文档、运维记录、项目管理文档等有关文档，包括电子文档。</w:t>
      </w:r>
    </w:p>
    <w:p w14:paraId="30B38166">
      <w:pPr>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196"/>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二</w:t>
      </w:r>
      <w:r>
        <w:rPr>
          <w:rFonts w:hint="eastAsia" w:ascii="宋体" w:hAnsi="宋体" w:cs="宋体"/>
          <w:b/>
          <w:color w:val="auto"/>
          <w:sz w:val="24"/>
          <w:szCs w:val="24"/>
          <w:highlight w:val="none"/>
        </w:rPr>
        <w:t>、项目</w:t>
      </w:r>
      <w:r>
        <w:rPr>
          <w:rFonts w:hint="eastAsia" w:ascii="宋体" w:hAnsi="宋体" w:cs="宋体"/>
          <w:b/>
          <w:color w:val="auto"/>
          <w:sz w:val="24"/>
          <w:szCs w:val="24"/>
          <w:highlight w:val="none"/>
          <w:lang w:val="en-US" w:eastAsia="zh-CN"/>
        </w:rPr>
        <w:t>服务期</w:t>
      </w:r>
    </w:p>
    <w:p w14:paraId="73D3A649">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本项目服务</w:t>
      </w:r>
      <w:r>
        <w:rPr>
          <w:rFonts w:hint="eastAsia" w:ascii="宋体" w:hAnsi="宋体" w:eastAsia="宋体" w:cs="宋体"/>
          <w:color w:val="auto"/>
          <w:kern w:val="2"/>
          <w:sz w:val="24"/>
          <w:szCs w:val="24"/>
          <w:highlight w:val="none"/>
          <w:lang w:val="en-US" w:eastAsia="zh-CN" w:bidi="ar-SA"/>
        </w:rPr>
        <w:t>一年，202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   月   日至202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   月    日。</w:t>
      </w:r>
    </w:p>
    <w:p w14:paraId="44A561DB">
      <w:pPr>
        <w:rPr>
          <w:rFonts w:hint="eastAsia" w:ascii="宋体" w:hAnsi="宋体" w:eastAsia="宋体" w:cs="宋体"/>
          <w:highlight w:val="none"/>
        </w:rPr>
      </w:pPr>
      <w:r>
        <w:rPr>
          <w:rFonts w:hint="eastAsia" w:ascii="宋体" w:hAnsi="宋体" w:cs="宋体"/>
          <w:color w:val="auto"/>
          <w:sz w:val="24"/>
          <w:szCs w:val="24"/>
          <w:highlight w:val="none"/>
          <w:lang w:val="en-US" w:eastAsia="zh-CN"/>
        </w:rPr>
        <w:t xml:space="preserve">   </w:t>
      </w:r>
      <w:bookmarkStart w:id="74" w:name="_Toc28397"/>
    </w:p>
    <w:p w14:paraId="61A22133">
      <w:pPr>
        <w:pStyle w:val="2"/>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highlight w:val="none"/>
          <w:lang w:val="en-US" w:eastAsia="zh-CN"/>
        </w:rPr>
        <w:t>三</w:t>
      </w:r>
      <w:r>
        <w:rPr>
          <w:rFonts w:hint="eastAsia" w:ascii="宋体" w:hAnsi="宋体" w:eastAsia="宋体" w:cs="宋体"/>
          <w:highlight w:val="none"/>
        </w:rPr>
        <w:t>章  付款方式及要求</w:t>
      </w:r>
      <w:bookmarkEnd w:id="73"/>
      <w:bookmarkEnd w:id="74"/>
    </w:p>
    <w:p w14:paraId="3F707CBD">
      <w:pPr>
        <w:autoSpaceDE w:val="0"/>
        <w:autoSpaceDN w:val="0"/>
        <w:adjustRightInd w:val="0"/>
        <w:spacing w:line="336"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一、付款方式：</w:t>
      </w:r>
    </w:p>
    <w:p w14:paraId="53F6055F">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在合同生效以及具备实施条件后7个工作日内支付</w:t>
      </w:r>
      <w:r>
        <w:rPr>
          <w:rFonts w:hint="eastAsia" w:ascii="宋体" w:hAnsi="宋体" w:cs="宋体"/>
          <w:sz w:val="24"/>
          <w:szCs w:val="24"/>
          <w:highlight w:val="none"/>
          <w:lang w:val="en-US" w:eastAsia="zh-CN"/>
        </w:rPr>
        <w:t>40</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服务期满后经采购人确认7个工作日内支付剩余合同价款</w:t>
      </w:r>
      <w:r>
        <w:rPr>
          <w:rFonts w:hint="eastAsia" w:ascii="宋体" w:hAnsi="宋体" w:cs="宋体"/>
          <w:sz w:val="24"/>
          <w:szCs w:val="24"/>
          <w:highlight w:val="none"/>
        </w:rPr>
        <w:t>。</w:t>
      </w:r>
    </w:p>
    <w:p w14:paraId="4589EB71">
      <w:pPr>
        <w:autoSpaceDE w:val="0"/>
        <w:autoSpaceDN w:val="0"/>
        <w:adjustRightInd w:val="0"/>
        <w:spacing w:line="336"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二、付款要求：</w:t>
      </w:r>
    </w:p>
    <w:p w14:paraId="61BF5875">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中标人在收款之前，应向采购人提供等额、合法、有效的增值税发票，采购人凭发票付款。如中标人未按约定提供增值税发票的，采购人有权拒绝付款，直至收到中标人提交的相应增值税发票为止，在此情况下，采购人不承担逾期付款违约责任。</w:t>
      </w:r>
    </w:p>
    <w:p w14:paraId="5F682ADD">
      <w:pPr>
        <w:rPr>
          <w:rFonts w:hint="eastAsia" w:ascii="宋体" w:hAnsi="宋体" w:cs="宋体"/>
          <w:highlight w:val="none"/>
        </w:rPr>
      </w:pPr>
      <w:r>
        <w:rPr>
          <w:rFonts w:hint="eastAsia" w:ascii="宋体" w:hAnsi="宋体" w:cs="宋体"/>
          <w:highlight w:val="none"/>
        </w:rPr>
        <w:br w:type="page"/>
      </w:r>
    </w:p>
    <w:p w14:paraId="23C7FFBD">
      <w:pPr>
        <w:pStyle w:val="3"/>
        <w:rPr>
          <w:rFonts w:ascii="宋体" w:hAnsi="宋体" w:cs="宋体"/>
          <w:highlight w:val="none"/>
        </w:rPr>
      </w:pPr>
      <w:bookmarkStart w:id="75" w:name="_Toc18118"/>
      <w:r>
        <w:rPr>
          <w:rFonts w:hint="eastAsia" w:ascii="宋体" w:hAnsi="宋体" w:cs="宋体"/>
          <w:highlight w:val="none"/>
        </w:rPr>
        <w:t>第四部分 磋商原则及磋商方法</w:t>
      </w:r>
      <w:bookmarkEnd w:id="71"/>
      <w:bookmarkEnd w:id="75"/>
    </w:p>
    <w:p w14:paraId="2973DA5B">
      <w:pPr>
        <w:pStyle w:val="2"/>
        <w:numPr>
          <w:ilvl w:val="0"/>
          <w:numId w:val="25"/>
        </w:numPr>
        <w:rPr>
          <w:highlight w:val="none"/>
        </w:rPr>
      </w:pPr>
      <w:bookmarkStart w:id="76" w:name="_Toc1265"/>
      <w:bookmarkStart w:id="77" w:name="_Toc15829"/>
      <w:bookmarkStart w:id="78" w:name="_Toc15634"/>
      <w:r>
        <w:rPr>
          <w:rFonts w:hint="eastAsia"/>
          <w:highlight w:val="none"/>
        </w:rPr>
        <w:t>磋商原则</w:t>
      </w:r>
      <w:bookmarkEnd w:id="76"/>
      <w:bookmarkEnd w:id="77"/>
      <w:bookmarkEnd w:id="78"/>
    </w:p>
    <w:p w14:paraId="7934E48C">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cs="宋体"/>
          <w:sz w:val="24"/>
          <w:szCs w:val="24"/>
          <w:highlight w:val="none"/>
        </w:rPr>
        <w:t>本次竞争性磋商本着公平、公正、科学、择优的原则，邀请各磋商方参加报价。</w:t>
      </w:r>
    </w:p>
    <w:p w14:paraId="5937CC52">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磋商小组将严格按照竞争性磋商文件的要求，对供应商的响应性文件进行认真评审；磋商小组对响应性文件的评审仅依据响应性文件本身，而不依据响应性文件以外的任何因素。</w:t>
      </w:r>
    </w:p>
    <w:p w14:paraId="670BCE6B">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cs="宋体"/>
          <w:sz w:val="24"/>
          <w:szCs w:val="24"/>
          <w:highlight w:val="none"/>
        </w:rPr>
        <w:t>磋商小组按照统一的磋商原则和磋商方法，用同一标准对所有响应性文件进行评审。</w:t>
      </w:r>
    </w:p>
    <w:p w14:paraId="186A8560">
      <w:pPr>
        <w:pStyle w:val="12"/>
        <w:spacing w:line="336" w:lineRule="auto"/>
        <w:ind w:firstLine="482" w:firstLineChars="200"/>
        <w:rPr>
          <w:rFonts w:hAnsi="宋体"/>
          <w:b/>
          <w:bCs/>
          <w:sz w:val="24"/>
          <w:szCs w:val="24"/>
          <w:highlight w:val="none"/>
        </w:rPr>
      </w:pPr>
      <w:r>
        <w:rPr>
          <w:rFonts w:hint="eastAsia" w:hAnsi="宋体"/>
          <w:b/>
          <w:bCs/>
          <w:sz w:val="24"/>
          <w:szCs w:val="24"/>
          <w:highlight w:val="none"/>
        </w:rPr>
        <w:t>4</w:t>
      </w:r>
      <w:r>
        <w:rPr>
          <w:rFonts w:hint="eastAsia" w:hAnsi="宋体"/>
          <w:b/>
          <w:bCs/>
          <w:sz w:val="24"/>
          <w:szCs w:val="24"/>
          <w:highlight w:val="none"/>
          <w:lang w:val="en-US" w:eastAsia="zh-CN"/>
        </w:rPr>
        <w:t>.</w:t>
      </w:r>
      <w:r>
        <w:rPr>
          <w:rFonts w:hint="eastAsia" w:hAnsi="宋体"/>
          <w:b/>
          <w:bCs/>
          <w:sz w:val="24"/>
          <w:szCs w:val="24"/>
          <w:highlight w:val="none"/>
        </w:rPr>
        <w:t>评审</w:t>
      </w:r>
    </w:p>
    <w:p w14:paraId="332A20E2">
      <w:pPr>
        <w:pStyle w:val="12"/>
        <w:spacing w:line="336" w:lineRule="auto"/>
        <w:ind w:firstLine="480" w:firstLineChars="200"/>
        <w:rPr>
          <w:rFonts w:hAnsi="宋体"/>
          <w:sz w:val="24"/>
          <w:szCs w:val="24"/>
          <w:highlight w:val="none"/>
        </w:rPr>
      </w:pPr>
      <w:r>
        <w:rPr>
          <w:rFonts w:hint="eastAsia" w:hAnsi="宋体"/>
          <w:sz w:val="24"/>
          <w:szCs w:val="24"/>
          <w:highlight w:val="none"/>
        </w:rPr>
        <w:t>4.1在磋商响应截止时间前按规定提交响应文件的供应商在三家（含）以上的，由采购人或采购代理机构组织进行开标。</w:t>
      </w:r>
    </w:p>
    <w:p w14:paraId="153B1962">
      <w:pPr>
        <w:pStyle w:val="12"/>
        <w:spacing w:line="336" w:lineRule="auto"/>
        <w:ind w:firstLine="482" w:firstLineChars="200"/>
        <w:rPr>
          <w:rFonts w:hAnsi="宋体"/>
          <w:sz w:val="24"/>
          <w:szCs w:val="24"/>
          <w:highlight w:val="none"/>
        </w:rPr>
      </w:pPr>
      <w:r>
        <w:rPr>
          <w:rFonts w:hint="eastAsia" w:hAnsi="宋体"/>
          <w:b/>
          <w:bCs/>
          <w:sz w:val="24"/>
          <w:szCs w:val="24"/>
          <w:highlight w:val="none"/>
        </w:rPr>
        <w:t>4.2供应商登录政采云平台，用“项目采购-开标评标”功能对电子磋商响应文件进行在线解密。在线解密电子磋商响应文件时间为开标时间起30分钟内。若电子磋商响应文件解密失败，则由采购代理机构工作人员上传供应商提供的备份文件</w:t>
      </w:r>
      <w:r>
        <w:rPr>
          <w:rFonts w:hint="eastAsia" w:hAnsi="宋体"/>
          <w:sz w:val="24"/>
          <w:szCs w:val="24"/>
          <w:highlight w:val="none"/>
        </w:rPr>
        <w:t>。备份文件（后缀名为.bfbs）须存储在U盘中，与上传的电子磋商响应文件一致，用信封进行密封并盖章（</w:t>
      </w:r>
      <w:r>
        <w:rPr>
          <w:rFonts w:hint="eastAsia" w:hAnsi="宋体"/>
          <w:b/>
          <w:bCs/>
          <w:sz w:val="24"/>
          <w:szCs w:val="24"/>
          <w:highlight w:val="none"/>
        </w:rPr>
        <w:t>信封内仅需放入存储备份文件的U盘</w:t>
      </w:r>
      <w:r>
        <w:rPr>
          <w:rFonts w:hint="eastAsia" w:hAnsi="宋体"/>
          <w:sz w:val="24"/>
          <w:szCs w:val="24"/>
          <w:highlight w:val="none"/>
        </w:rPr>
        <w:t>），由授权代表在磋商响应截止时间前递交至开标地点。</w:t>
      </w:r>
    </w:p>
    <w:p w14:paraId="5B2494D6">
      <w:pPr>
        <w:pStyle w:val="12"/>
        <w:spacing w:line="336" w:lineRule="auto"/>
        <w:ind w:firstLine="480" w:firstLineChars="200"/>
        <w:rPr>
          <w:rFonts w:hAnsi="宋体"/>
          <w:sz w:val="24"/>
          <w:szCs w:val="24"/>
          <w:highlight w:val="none"/>
        </w:rPr>
      </w:pPr>
      <w:r>
        <w:rPr>
          <w:rFonts w:hint="eastAsia" w:hAnsi="宋体"/>
          <w:sz w:val="24"/>
          <w:szCs w:val="24"/>
          <w:highlight w:val="none"/>
        </w:rPr>
        <w:t>4.3采购人按磋商文件规定的时间、地点公开开标。开标仪式由采购人或采购代理机构主持及有关人员参加。</w:t>
      </w:r>
    </w:p>
    <w:p w14:paraId="4D5358B8">
      <w:pPr>
        <w:pStyle w:val="40"/>
        <w:spacing w:before="0" w:line="336" w:lineRule="auto"/>
        <w:ind w:firstLine="480"/>
        <w:rPr>
          <w:rFonts w:ascii="宋体" w:hAnsi="宋体" w:cs="宋体"/>
          <w:highlight w:val="none"/>
        </w:rPr>
      </w:pPr>
      <w:r>
        <w:rPr>
          <w:rFonts w:hint="eastAsia" w:ascii="宋体" w:hAnsi="宋体" w:cs="宋体"/>
          <w:highlight w:val="none"/>
        </w:rPr>
        <w:t>4.4本项目为电子投标项目，供应商一般不需要参加现场投标和开标，若供应商需要指派授权代表递交备份文件，则授权代表应随身携带法定代表人授权书原件于磋商响应截止时间前到达开标地点递交备份文件。若电子磋商响应文件正常解锁，则U盘退还给供应商；若解锁失败，则由采购代理机构将U盘中的备份文件上传，该U盘将由采购代理机构保存。</w:t>
      </w:r>
    </w:p>
    <w:p w14:paraId="1AE6CD80">
      <w:pPr>
        <w:pStyle w:val="40"/>
        <w:spacing w:before="0" w:line="336" w:lineRule="auto"/>
        <w:ind w:firstLine="480"/>
        <w:rPr>
          <w:rFonts w:ascii="宋体" w:hAnsi="宋体" w:cs="宋体"/>
          <w:highlight w:val="none"/>
        </w:rPr>
      </w:pPr>
      <w:r>
        <w:rPr>
          <w:rFonts w:hint="eastAsia" w:ascii="宋体" w:hAnsi="宋体" w:cs="宋体"/>
          <w:highlight w:val="none"/>
        </w:rPr>
        <w:t>4.5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15F3A5">
      <w:pPr>
        <w:spacing w:line="336" w:lineRule="auto"/>
        <w:ind w:firstLine="48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eastAsia="zh-CN"/>
        </w:rPr>
        <w:t>.</w:t>
      </w:r>
      <w:r>
        <w:rPr>
          <w:rFonts w:hint="eastAsia" w:ascii="宋体" w:hAnsi="宋体" w:cs="宋体"/>
          <w:sz w:val="24"/>
          <w:szCs w:val="24"/>
          <w:highlight w:val="none"/>
        </w:rPr>
        <w:t>组建磋商小组</w:t>
      </w:r>
    </w:p>
    <w:p w14:paraId="6A50A2EB">
      <w:pPr>
        <w:pStyle w:val="40"/>
        <w:spacing w:before="0" w:line="336" w:lineRule="auto"/>
        <w:ind w:firstLine="480"/>
        <w:rPr>
          <w:rFonts w:ascii="宋体" w:hAnsi="宋体" w:cs="宋体"/>
          <w:highlight w:val="none"/>
        </w:rPr>
      </w:pPr>
      <w:r>
        <w:rPr>
          <w:rFonts w:hint="eastAsia" w:ascii="宋体" w:hAnsi="宋体" w:cs="宋体"/>
          <w:highlight w:val="none"/>
        </w:rPr>
        <w:t>5.1磋商小组由采购人代表和评审专家共3人或以上单数组成，其中评审专家人数不少于磋商小组成员总数的2/3。</w:t>
      </w:r>
    </w:p>
    <w:p w14:paraId="7439E94C">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5.2</w:t>
      </w:r>
      <w:r>
        <w:rPr>
          <w:rFonts w:hint="eastAsia" w:ascii="宋体" w:hAnsi="宋体" w:cs="宋体"/>
          <w:highlight w:val="none"/>
          <w:lang w:val="zh-CN"/>
        </w:rPr>
        <w:t>评标工作由评标委员会负责，并推选产生的组长主持。</w:t>
      </w:r>
    </w:p>
    <w:p w14:paraId="11086820">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5.3</w:t>
      </w:r>
      <w:r>
        <w:rPr>
          <w:rFonts w:hint="eastAsia" w:ascii="宋体" w:hAnsi="宋体" w:cs="宋体"/>
          <w:sz w:val="24"/>
          <w:szCs w:val="24"/>
          <w:highlight w:val="none"/>
          <w:lang w:val="zh-CN"/>
        </w:rPr>
        <w:t>本次评标为在线评标。</w:t>
      </w:r>
    </w:p>
    <w:p w14:paraId="1A71AD9D">
      <w:pPr>
        <w:pStyle w:val="2"/>
        <w:numPr>
          <w:ilvl w:val="0"/>
          <w:numId w:val="25"/>
        </w:numPr>
        <w:spacing w:line="336" w:lineRule="auto"/>
        <w:rPr>
          <w:highlight w:val="none"/>
        </w:rPr>
      </w:pPr>
      <w:bookmarkStart w:id="79" w:name="_Toc5845"/>
      <w:bookmarkStart w:id="80" w:name="_Toc26388"/>
      <w:bookmarkStart w:id="81" w:name="_Toc10093"/>
      <w:r>
        <w:rPr>
          <w:rFonts w:hint="eastAsia"/>
          <w:highlight w:val="none"/>
        </w:rPr>
        <w:t>磋商程序</w:t>
      </w:r>
      <w:bookmarkEnd w:id="79"/>
      <w:bookmarkEnd w:id="80"/>
      <w:bookmarkEnd w:id="81"/>
    </w:p>
    <w:p w14:paraId="76A9FEBD">
      <w:pPr>
        <w:snapToGrid w:val="0"/>
        <w:spacing w:line="336" w:lineRule="auto"/>
        <w:ind w:firstLine="480"/>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对所有响应文件的初审</w:t>
      </w:r>
    </w:p>
    <w:p w14:paraId="0B13D561">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1.1资格审查</w:t>
      </w:r>
    </w:p>
    <w:p w14:paraId="3F953AFD">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（1）开标后，磋商小组将依法对供应商的资格进行审查。</w:t>
      </w:r>
    </w:p>
    <w:p w14:paraId="3AD2AC3B">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磋商小组依据法律法规和磋商文件的规定，对供应商的基本资格条件、特定资格条件进行审查。</w:t>
      </w:r>
    </w:p>
    <w:p w14:paraId="42B7BA8D">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（3）供应商未按照磋商文件要求提供与基本资格条件、特定资格条件相应的有效资格证明材料的，视为供应商不具备磋商文件中规定的资格要求，其磋商无效。并将无效原由告知相关供应商.</w:t>
      </w:r>
    </w:p>
    <w:p w14:paraId="2CF4C12E">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采购人或采购代理机构将通过“信用中国”网站(www.creditchina.gov.cn)、中国政府采购网(www.ccgp.gov.cn)渠道查询供应商磋商开标后评标前的信用记录，经查询供应商列入失信被执行人名单、重大税收违法失信主体、政府采购严重违法失信行为记录名单的，其磋商无效。</w:t>
      </w:r>
    </w:p>
    <w:p w14:paraId="41386341">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（5）磋商小组出具《供应商资格审查意见表》，供应商未按照磋商文件要求提供与基本资格条件、特定资格条件相应的有效资格证明材料的，视为供应商不具备磋商文件中规定的资格要求，其磋商无效。</w:t>
      </w:r>
    </w:p>
    <w:p w14:paraId="7FE56ADF">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1.2符合性审查：磋商小组依据磋商文件的规定，从响应文件的有效性、完整性和对磋商文件的响应程度进行审查，以确定是否对磋商文件的要求作出实质性响应。出现以下情况的，视为符合性不通过，磋商无效。</w:t>
      </w:r>
    </w:p>
    <w:p w14:paraId="550FC8EC">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（1）响应文件无法定代表人或其委托授权代表签名或盖章。</w:t>
      </w:r>
    </w:p>
    <w:p w14:paraId="25152879">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（2）响应文件内容虚假的。</w:t>
      </w:r>
    </w:p>
    <w:p w14:paraId="797DEE3C">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（3）响应文件有采购人不能接受的附加条件的。</w:t>
      </w:r>
    </w:p>
    <w:p w14:paraId="0A789F8C">
      <w:pPr>
        <w:adjustRightInd w:val="0"/>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（4）磋商有效期、服务期等商务条款不能满足磋商文件要求的。</w:t>
      </w:r>
    </w:p>
    <w:p w14:paraId="3C7C8C48">
      <w:pPr>
        <w:widowControl/>
        <w:spacing w:line="336" w:lineRule="auto"/>
        <w:ind w:firstLine="482"/>
        <w:jc w:val="left"/>
        <w:rPr>
          <w:rFonts w:ascii="宋体" w:hAnsi="宋体" w:cs="宋体"/>
          <w:sz w:val="24"/>
          <w:szCs w:val="24"/>
          <w:highlight w:val="none"/>
        </w:rPr>
      </w:pPr>
      <w:r>
        <w:rPr>
          <w:rFonts w:hint="eastAsia" w:ascii="宋体" w:hAnsi="宋体" w:cs="宋体"/>
          <w:sz w:val="24"/>
          <w:szCs w:val="24"/>
          <w:highlight w:val="none"/>
        </w:rPr>
        <w:t>（5）投标价格超出预算或最高限价，导致采购单位无法支付的。</w:t>
      </w:r>
    </w:p>
    <w:p w14:paraId="447CF247">
      <w:pPr>
        <w:widowControl/>
        <w:spacing w:line="336" w:lineRule="auto"/>
        <w:ind w:firstLine="482"/>
        <w:jc w:val="left"/>
        <w:rPr>
          <w:rFonts w:ascii="宋体" w:hAnsi="宋体" w:cs="宋体"/>
          <w:sz w:val="24"/>
          <w:szCs w:val="24"/>
          <w:highlight w:val="none"/>
        </w:rPr>
      </w:pPr>
      <w:r>
        <w:rPr>
          <w:rFonts w:hint="eastAsia" w:ascii="宋体" w:hAnsi="宋体" w:cs="宋体"/>
          <w:sz w:val="24"/>
          <w:szCs w:val="24"/>
          <w:highlight w:val="none"/>
        </w:rPr>
        <w:t>（6）磋商文件明确规定的其他无效条款的。</w:t>
      </w:r>
    </w:p>
    <w:p w14:paraId="11FFD713">
      <w:pPr>
        <w:adjustRightInd w:val="0"/>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1.3 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CFB229">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1.4磋商小组要求供应商澄清、说明或者更正响应文件应当以书面形式发出。供应商的澄清、说明或者更正应当由法定代表人或其授权代表签字或者加盖公章。由授权代表签字的，应当附法定代表人授权书。</w:t>
      </w:r>
    </w:p>
    <w:p w14:paraId="24058CF8">
      <w:pPr>
        <w:snapToGrid w:val="0"/>
        <w:spacing w:line="336" w:lineRule="auto"/>
        <w:ind w:firstLine="480"/>
        <w:rPr>
          <w:rFonts w:ascii="宋体" w:hAnsi="宋体" w:cs="宋体"/>
          <w:b/>
          <w:bCs/>
          <w:sz w:val="24"/>
          <w:szCs w:val="24"/>
          <w:highlight w:val="none"/>
          <w:lang w:val="zh-CN"/>
        </w:rPr>
      </w:pPr>
      <w:r>
        <w:rPr>
          <w:rFonts w:hint="eastAsia" w:ascii="宋体" w:hAnsi="宋体" w:cs="宋体"/>
          <w:b/>
          <w:bCs/>
          <w:sz w:val="24"/>
          <w:szCs w:val="24"/>
          <w:highlight w:val="none"/>
        </w:rPr>
        <w:t>2</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lang w:val="zh-CN"/>
        </w:rPr>
        <w:t>磋商</w:t>
      </w:r>
    </w:p>
    <w:p w14:paraId="3DB2A2D9">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2.1 初审合格的供应商进入下一步的磋商活动。</w:t>
      </w:r>
    </w:p>
    <w:p w14:paraId="210C516B">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2.2 磋商小组所有成员应当集中与单一供应商分别进行磋商，并给予所有参加磋商的供应商平等的磋商机会。</w:t>
      </w:r>
    </w:p>
    <w:p w14:paraId="10A93AFD">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2.3 以递交响应文件的时间先后决定磋商顺序。磋商时先听取由供应商拟派的项目负责人就项目采购的重点内容进行磋商，磋商过程中由磋商小组成员提出相关问题，并由供应商拟派项目负责人进行回复与承诺。</w:t>
      </w:r>
    </w:p>
    <w:p w14:paraId="03E72E08">
      <w:pPr>
        <w:snapToGrid w:val="0"/>
        <w:spacing w:line="336" w:lineRule="auto"/>
        <w:ind w:firstLine="480"/>
        <w:rPr>
          <w:rFonts w:ascii="宋体" w:hAnsi="宋体" w:cs="宋体"/>
          <w:sz w:val="24"/>
          <w:szCs w:val="24"/>
          <w:highlight w:val="none"/>
        </w:rPr>
      </w:pPr>
      <w:r>
        <w:rPr>
          <w:rFonts w:hint="eastAsia" w:ascii="宋体" w:hAnsi="宋体" w:cs="宋体"/>
          <w:sz w:val="24"/>
          <w:szCs w:val="24"/>
          <w:highlight w:val="none"/>
        </w:rPr>
        <w:t>2.4 在磋商过程中，磋商小组可以根据磋商文件和磋商情况实质性变动采购需求中的技术、服务要求以及合同草案条款。实质性变动的内容，须经采购人代表确认。</w:t>
      </w:r>
    </w:p>
    <w:p w14:paraId="3B5F181B">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2.5 磋商文件作出的实质性变动是磋商文件的有效组成部分，磋商小组应当及时以书面形式同时通知所有参加磋商的供应商。</w:t>
      </w:r>
    </w:p>
    <w:p w14:paraId="51D5DAA1">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2.6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34AAFAA">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2.7 符合《政府采购竞争性磋商采购方式管理暂行办法》（财库〔2014〕214号）第三条第四项即“市场竞争不充分的科研项目，以及需要扶持的科技成果转化项目”情形的，提交最后报价的供应商可以为2家。</w:t>
      </w:r>
    </w:p>
    <w:p w14:paraId="0385F001">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2.8 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5EAE69C">
      <w:pPr>
        <w:snapToGrid w:val="0"/>
        <w:spacing w:line="336" w:lineRule="auto"/>
        <w:ind w:firstLine="480"/>
        <w:rPr>
          <w:rFonts w:ascii="宋体" w:hAnsi="宋体" w:cs="宋体"/>
          <w:b/>
          <w:bCs/>
          <w:sz w:val="24"/>
          <w:szCs w:val="24"/>
          <w:highlight w:val="none"/>
          <w:lang w:val="zh-CN"/>
        </w:rPr>
      </w:pPr>
      <w:r>
        <w:rPr>
          <w:rFonts w:hint="eastAsia" w:ascii="宋体" w:hAnsi="宋体" w:cs="宋体"/>
          <w:b/>
          <w:bCs/>
          <w:sz w:val="24"/>
          <w:szCs w:val="24"/>
          <w:highlight w:val="none"/>
        </w:rPr>
        <w:t>3</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lang w:val="zh-CN"/>
        </w:rPr>
        <w:t>最后报价</w:t>
      </w:r>
    </w:p>
    <w:p w14:paraId="09A14FAE">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3.1商务技术汇总后，供应商开启报价文件，磋商小组应当要求所有实质性响应的供应商在规定时间内提交最后报价。</w:t>
      </w:r>
    </w:p>
    <w:p w14:paraId="0D6790AA">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3.2最后报价是供应商响应文件的有效组成部分，若最后报价高于响应文件报价，则以第一次报价计入评分。</w:t>
      </w:r>
    </w:p>
    <w:p w14:paraId="59C98177">
      <w:pPr>
        <w:snapToGri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3.3已提交响应文件的供应商，在提交最后报价之前，若因磋商文件实质性变动导致供应商无法满足采购需求的，允许供应商退出磋商。</w:t>
      </w:r>
    </w:p>
    <w:p w14:paraId="729F190A">
      <w:pPr>
        <w:pStyle w:val="7"/>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电子评标</w:t>
      </w:r>
    </w:p>
    <w:p w14:paraId="63BDCF6B">
      <w:pPr>
        <w:pStyle w:val="7"/>
        <w:spacing w:line="336" w:lineRule="auto"/>
        <w:ind w:firstLine="0"/>
        <w:rPr>
          <w:rFonts w:ascii="宋体" w:hAnsi="宋体" w:cs="宋体"/>
          <w:sz w:val="24"/>
          <w:szCs w:val="24"/>
          <w:highlight w:val="none"/>
        </w:rPr>
      </w:pPr>
      <w:r>
        <w:rPr>
          <w:rFonts w:hint="eastAsia" w:ascii="宋体" w:hAnsi="宋体" w:cs="宋体"/>
          <w:sz w:val="24"/>
          <w:szCs w:val="24"/>
          <w:highlight w:val="none"/>
        </w:rPr>
        <w:t xml:space="preserve">    4.1磋商活动由采购代理机构主持,磋商响应截止时间后,供应商登录政采云平台对电子响应文件进行在线解密；</w:t>
      </w:r>
    </w:p>
    <w:p w14:paraId="266595D7">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4.2响应文件解密结束,开启响应文件,磋商小组对资格和商务技术响应文件进行资格审查和符合性审查；</w:t>
      </w:r>
    </w:p>
    <w:p w14:paraId="4CFF0AC8">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4.3供应商按递交磋商响应文件的前后顺序决定磋商的顺序,就价格、服务等认为需要磋商的内容进行磋商,供应商逐家回答磋商小组的提问,供应商作出最终承诺；</w:t>
      </w:r>
    </w:p>
    <w:p w14:paraId="5E3EDBB7">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4.4磋商小组对商务技术响应文件进行评审；</w:t>
      </w:r>
    </w:p>
    <w:p w14:paraId="0B72FD96">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4.5商务技术汇总后，供应商开启报价文件，进行磋商二次报价（最终报价），</w:t>
      </w:r>
      <w:r>
        <w:rPr>
          <w:rFonts w:hint="eastAsia" w:ascii="宋体" w:hAnsi="宋体" w:cs="宋体"/>
          <w:b/>
          <w:bCs/>
          <w:sz w:val="24"/>
          <w:szCs w:val="24"/>
          <w:highlight w:val="none"/>
        </w:rPr>
        <w:t>如果供应商在规定时间30分钟内未提交第二次报价，视该供应商放弃本次投标，作无效标处理；</w:t>
      </w:r>
    </w:p>
    <w:p w14:paraId="608967DC">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4.6在系统上开启最终报价情况；</w:t>
      </w:r>
    </w:p>
    <w:p w14:paraId="7750A275">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4.7磋商小组对报价情况进行评审；</w:t>
      </w:r>
    </w:p>
    <w:p w14:paraId="25101121">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4.8在系统上公开资格和商务技术评审结果；</w:t>
      </w:r>
    </w:p>
    <w:p w14:paraId="0F408406">
      <w:pPr>
        <w:pStyle w:val="7"/>
        <w:spacing w:line="336"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4.9在系统上公布评审结果</w:t>
      </w:r>
      <w:r>
        <w:rPr>
          <w:rFonts w:hint="eastAsia" w:ascii="宋体" w:hAnsi="宋体" w:cs="宋体"/>
          <w:sz w:val="24"/>
          <w:szCs w:val="24"/>
          <w:highlight w:val="none"/>
          <w:lang w:eastAsia="zh-CN"/>
        </w:rPr>
        <w:t>；</w:t>
      </w:r>
    </w:p>
    <w:p w14:paraId="7A050953">
      <w:pPr>
        <w:pStyle w:val="7"/>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4.10开标会结束。</w:t>
      </w:r>
    </w:p>
    <w:p w14:paraId="505C46AB">
      <w:pPr>
        <w:snapToGrid w:val="0"/>
        <w:spacing w:line="336"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特别说明:政采云如对电子化开标及评审程序有调整的,按调整后的程序操作。</w:t>
      </w:r>
    </w:p>
    <w:p w14:paraId="3B7ABD75">
      <w:pPr>
        <w:snapToGrid w:val="0"/>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综合评分</w:t>
      </w:r>
    </w:p>
    <w:p w14:paraId="3DE74AB6">
      <w:pPr>
        <w:tabs>
          <w:tab w:val="left" w:pos="-1080"/>
          <w:tab w:val="left" w:pos="180"/>
          <w:tab w:val="left" w:pos="1080"/>
        </w:tabs>
        <w:snapToGrid w:val="0"/>
        <w:spacing w:line="336" w:lineRule="auto"/>
        <w:ind w:firstLine="480"/>
        <w:rPr>
          <w:rFonts w:ascii="宋体" w:hAnsi="宋体" w:cs="宋体"/>
          <w:kern w:val="0"/>
          <w:sz w:val="24"/>
          <w:szCs w:val="24"/>
          <w:highlight w:val="none"/>
        </w:rPr>
      </w:pPr>
      <w:r>
        <w:rPr>
          <w:rFonts w:hint="eastAsia" w:ascii="宋体" w:hAnsi="宋体" w:cs="宋体"/>
          <w:sz w:val="24"/>
          <w:szCs w:val="24"/>
          <w:highlight w:val="none"/>
        </w:rPr>
        <w:t>5.1本评标办法采用综合评标法，由商务技术分和报价分合计组成，其中商务技术分</w:t>
      </w:r>
      <w:r>
        <w:rPr>
          <w:rFonts w:hint="eastAsia" w:ascii="宋体" w:hAnsi="宋体" w:cs="宋体"/>
          <w:sz w:val="24"/>
          <w:szCs w:val="24"/>
          <w:highlight w:val="none"/>
          <w:u w:val="single"/>
        </w:rPr>
        <w:t>80</w:t>
      </w:r>
      <w:r>
        <w:rPr>
          <w:rFonts w:hint="eastAsia" w:ascii="宋体" w:hAnsi="宋体" w:cs="宋体"/>
          <w:sz w:val="24"/>
          <w:szCs w:val="24"/>
          <w:highlight w:val="none"/>
        </w:rPr>
        <w:t>分、报价分</w:t>
      </w:r>
      <w:r>
        <w:rPr>
          <w:rFonts w:hint="eastAsia" w:ascii="宋体" w:hAnsi="宋体" w:cs="宋体"/>
          <w:sz w:val="24"/>
          <w:szCs w:val="24"/>
          <w:highlight w:val="none"/>
          <w:u w:val="single"/>
        </w:rPr>
        <w:t>20</w:t>
      </w:r>
      <w:r>
        <w:rPr>
          <w:rFonts w:hint="eastAsia" w:ascii="宋体" w:hAnsi="宋体" w:cs="宋体"/>
          <w:sz w:val="24"/>
          <w:szCs w:val="24"/>
          <w:highlight w:val="none"/>
        </w:rPr>
        <w:t>分；满分为100分。</w:t>
      </w:r>
    </w:p>
    <w:p w14:paraId="227B03D3">
      <w:pPr>
        <w:spacing w:line="336" w:lineRule="auto"/>
        <w:ind w:firstLine="480"/>
        <w:rPr>
          <w:rFonts w:ascii="宋体" w:hAnsi="宋体" w:cs="宋体"/>
          <w:sz w:val="24"/>
          <w:szCs w:val="24"/>
          <w:highlight w:val="none"/>
        </w:rPr>
      </w:pPr>
      <w:r>
        <w:rPr>
          <w:rFonts w:hint="eastAsia" w:ascii="宋体" w:hAnsi="宋体" w:cs="宋体"/>
          <w:sz w:val="24"/>
          <w:szCs w:val="24"/>
          <w:highlight w:val="none"/>
        </w:rPr>
        <w:t>5.2经初步评审合格的响应文件，磋商小组根据竞争性磋商文件确定的评审标准和方法，对其商务技术部分作进一步评审、比较、打分。</w:t>
      </w:r>
    </w:p>
    <w:p w14:paraId="15B04287">
      <w:pPr>
        <w:pStyle w:val="12"/>
        <w:spacing w:line="336" w:lineRule="auto"/>
        <w:ind w:firstLine="480" w:firstLineChars="200"/>
        <w:rPr>
          <w:rFonts w:hAnsi="宋体"/>
          <w:sz w:val="24"/>
          <w:szCs w:val="24"/>
          <w:highlight w:val="none"/>
        </w:rPr>
      </w:pPr>
      <w:r>
        <w:rPr>
          <w:rFonts w:hint="eastAsia" w:hAnsi="宋体"/>
          <w:sz w:val="24"/>
          <w:szCs w:val="24"/>
          <w:highlight w:val="none"/>
        </w:rPr>
        <w:t>5.3磋商小组成员首先分别对每个供应商商务技术部分进行评审打分，然后计算出算术平均值（保留2位小数），即为供应商的商务技术得分，后计算二次报价，计算公式：投标价格分=(最佳报价/投标报价)*价格权值*100。综合得分=商务技术分+报价分，以综合得分（保留2位小数）由高到低进行排序后推荐第一名为成交供应商候选人；得分相同的，按报价由低到高的顺序排列；得分且报价相同的，在响应文件满足磋商文件全部实质性要求前提下，按照评审因素的量化指标评审得分最高的供应商；确定成交供应商候选人，并提交评审结果。</w:t>
      </w:r>
    </w:p>
    <w:p w14:paraId="6022C08B">
      <w:pPr>
        <w:pStyle w:val="12"/>
        <w:spacing w:line="336" w:lineRule="auto"/>
        <w:ind w:left="420" w:leftChars="200"/>
        <w:rPr>
          <w:rFonts w:hAnsi="宋体"/>
          <w:b/>
          <w:bCs/>
          <w:sz w:val="24"/>
          <w:szCs w:val="24"/>
          <w:highlight w:val="none"/>
        </w:rPr>
      </w:pPr>
      <w:r>
        <w:rPr>
          <w:rFonts w:hint="eastAsia" w:hAnsi="宋体"/>
          <w:b/>
          <w:bCs/>
          <w:sz w:val="24"/>
          <w:szCs w:val="24"/>
          <w:highlight w:val="none"/>
        </w:rPr>
        <w:t>6</w:t>
      </w:r>
      <w:r>
        <w:rPr>
          <w:rFonts w:hint="eastAsia" w:hAnsi="宋体"/>
          <w:b/>
          <w:bCs/>
          <w:sz w:val="24"/>
          <w:szCs w:val="24"/>
          <w:highlight w:val="none"/>
          <w:lang w:val="en-US" w:eastAsia="zh-CN"/>
        </w:rPr>
        <w:t>.</w:t>
      </w:r>
      <w:r>
        <w:rPr>
          <w:rFonts w:hint="eastAsia" w:hAnsi="宋体"/>
          <w:b/>
          <w:bCs/>
          <w:sz w:val="24"/>
          <w:szCs w:val="24"/>
          <w:highlight w:val="none"/>
        </w:rPr>
        <w:t>修正原则</w:t>
      </w:r>
    </w:p>
    <w:p w14:paraId="034AA0F7">
      <w:pPr>
        <w:pStyle w:val="40"/>
        <w:spacing w:before="0" w:line="336" w:lineRule="auto"/>
        <w:ind w:left="420" w:leftChars="200" w:firstLine="0" w:firstLineChars="0"/>
        <w:rPr>
          <w:rFonts w:ascii="宋体" w:hAnsi="宋体" w:cs="宋体"/>
          <w:highlight w:val="none"/>
          <w:lang w:val="zh-CN"/>
        </w:rPr>
      </w:pPr>
      <w:r>
        <w:rPr>
          <w:rFonts w:hint="eastAsia" w:ascii="宋体" w:hAnsi="宋体" w:cs="宋体"/>
          <w:highlight w:val="none"/>
        </w:rPr>
        <w:t>响应</w:t>
      </w:r>
      <w:r>
        <w:rPr>
          <w:rFonts w:hint="eastAsia" w:ascii="宋体" w:hAnsi="宋体" w:cs="宋体"/>
          <w:highlight w:val="none"/>
          <w:lang w:val="zh-CN"/>
        </w:rPr>
        <w:t>文件报价出现前后不一致的，按照下列规定修正：</w:t>
      </w:r>
    </w:p>
    <w:p w14:paraId="30BDF517">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6.1响应</w:t>
      </w:r>
      <w:r>
        <w:rPr>
          <w:rFonts w:hint="eastAsia" w:ascii="宋体" w:hAnsi="宋体" w:cs="宋体"/>
          <w:highlight w:val="none"/>
          <w:lang w:val="zh-CN"/>
        </w:rPr>
        <w:t>文件中</w:t>
      </w:r>
      <w:r>
        <w:rPr>
          <w:rFonts w:hint="eastAsia" w:ascii="宋体" w:hAnsi="宋体" w:cs="宋体"/>
          <w:highlight w:val="none"/>
        </w:rPr>
        <w:t>报价</w:t>
      </w:r>
      <w:r>
        <w:rPr>
          <w:rFonts w:hint="eastAsia" w:ascii="宋体" w:hAnsi="宋体" w:cs="宋体"/>
          <w:highlight w:val="none"/>
          <w:lang w:val="zh-CN"/>
        </w:rPr>
        <w:t>一览表内容与</w:t>
      </w:r>
      <w:r>
        <w:rPr>
          <w:rFonts w:hint="eastAsia" w:ascii="宋体" w:hAnsi="宋体" w:cs="宋体"/>
          <w:highlight w:val="none"/>
        </w:rPr>
        <w:t>响应</w:t>
      </w:r>
      <w:r>
        <w:rPr>
          <w:rFonts w:hint="eastAsia" w:ascii="宋体" w:hAnsi="宋体" w:cs="宋体"/>
          <w:highlight w:val="none"/>
          <w:lang w:val="zh-CN"/>
        </w:rPr>
        <w:t>文件中相应内容不一致的，以</w:t>
      </w:r>
      <w:r>
        <w:rPr>
          <w:rFonts w:hint="eastAsia" w:ascii="宋体" w:hAnsi="宋体" w:cs="宋体"/>
          <w:highlight w:val="none"/>
        </w:rPr>
        <w:t>报价</w:t>
      </w:r>
      <w:r>
        <w:rPr>
          <w:rFonts w:hint="eastAsia" w:ascii="宋体" w:hAnsi="宋体" w:cs="宋体"/>
          <w:highlight w:val="none"/>
          <w:lang w:val="zh-CN"/>
        </w:rPr>
        <w:t>一览表为准；</w:t>
      </w:r>
    </w:p>
    <w:p w14:paraId="378910B2">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6.2</w:t>
      </w:r>
      <w:r>
        <w:rPr>
          <w:rFonts w:hint="eastAsia" w:ascii="宋体" w:hAnsi="宋体" w:cs="宋体"/>
          <w:highlight w:val="none"/>
          <w:lang w:val="zh-CN"/>
        </w:rPr>
        <w:t>大写金额和小写金额不一致的，以大写金额为准；</w:t>
      </w:r>
    </w:p>
    <w:p w14:paraId="7F4AABE5">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6.3</w:t>
      </w:r>
      <w:r>
        <w:rPr>
          <w:rFonts w:hint="eastAsia" w:ascii="宋体" w:hAnsi="宋体" w:cs="宋体"/>
          <w:highlight w:val="none"/>
          <w:lang w:val="zh-CN"/>
        </w:rPr>
        <w:t>单价金额小数点或者百分比有明显错位的，以</w:t>
      </w:r>
      <w:r>
        <w:rPr>
          <w:rFonts w:hint="eastAsia" w:ascii="宋体" w:hAnsi="宋体" w:cs="宋体"/>
          <w:highlight w:val="none"/>
        </w:rPr>
        <w:t>报价</w:t>
      </w:r>
      <w:r>
        <w:rPr>
          <w:rFonts w:hint="eastAsia" w:ascii="宋体" w:hAnsi="宋体" w:cs="宋体"/>
          <w:highlight w:val="none"/>
          <w:lang w:val="zh-CN"/>
        </w:rPr>
        <w:t>一览表的总价为准，并修改单价；</w:t>
      </w:r>
    </w:p>
    <w:p w14:paraId="2351A076">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6.4</w:t>
      </w:r>
      <w:r>
        <w:rPr>
          <w:rFonts w:hint="eastAsia" w:ascii="宋体" w:hAnsi="宋体" w:cs="宋体"/>
          <w:highlight w:val="none"/>
          <w:lang w:val="zh-CN"/>
        </w:rPr>
        <w:t>总价金额与按单价汇总金额不一致的，以单价金额计算结果为准。</w:t>
      </w:r>
    </w:p>
    <w:p w14:paraId="0ABE5A94">
      <w:pPr>
        <w:pStyle w:val="40"/>
        <w:spacing w:before="0" w:line="336" w:lineRule="auto"/>
        <w:ind w:firstLine="480"/>
        <w:rPr>
          <w:rFonts w:ascii="宋体" w:hAnsi="宋体" w:cs="宋体"/>
          <w:highlight w:val="none"/>
          <w:lang w:val="zh-CN"/>
        </w:rPr>
      </w:pPr>
      <w:r>
        <w:rPr>
          <w:rFonts w:hint="eastAsia" w:ascii="宋体" w:hAnsi="宋体" w:cs="宋体"/>
          <w:highlight w:val="none"/>
          <w:lang w:val="zh-CN"/>
        </w:rPr>
        <w:t>同时出现两种以上不一致的，按照前款规定的顺序修正。修正后的报价按照财政部公布第87号令《政府采购产品和服务招标投标管理办法》第五十一条第二款的规定经</w:t>
      </w:r>
      <w:r>
        <w:rPr>
          <w:rFonts w:hint="eastAsia" w:ascii="宋体" w:hAnsi="宋体" w:cs="宋体"/>
          <w:highlight w:val="none"/>
        </w:rPr>
        <w:t>供应商</w:t>
      </w:r>
      <w:r>
        <w:rPr>
          <w:rFonts w:hint="eastAsia" w:ascii="宋体" w:hAnsi="宋体" w:cs="宋体"/>
          <w:highlight w:val="none"/>
          <w:lang w:val="zh-CN"/>
        </w:rPr>
        <w:t>确认后产生约束力，</w:t>
      </w:r>
      <w:r>
        <w:rPr>
          <w:rFonts w:hint="eastAsia" w:ascii="宋体" w:hAnsi="宋体" w:cs="宋体"/>
          <w:highlight w:val="none"/>
        </w:rPr>
        <w:t>供应商</w:t>
      </w:r>
      <w:r>
        <w:rPr>
          <w:rFonts w:hint="eastAsia" w:ascii="宋体" w:hAnsi="宋体" w:cs="宋体"/>
          <w:highlight w:val="none"/>
          <w:lang w:val="zh-CN"/>
        </w:rPr>
        <w:t>不确认的，其</w:t>
      </w:r>
      <w:r>
        <w:rPr>
          <w:rFonts w:hint="eastAsia" w:ascii="宋体" w:hAnsi="宋体" w:cs="宋体"/>
          <w:highlight w:val="none"/>
        </w:rPr>
        <w:t>磋商</w:t>
      </w:r>
      <w:r>
        <w:rPr>
          <w:rFonts w:hint="eastAsia" w:ascii="宋体" w:hAnsi="宋体" w:cs="宋体"/>
          <w:highlight w:val="none"/>
          <w:lang w:val="zh-CN"/>
        </w:rPr>
        <w:t>无效。</w:t>
      </w:r>
    </w:p>
    <w:p w14:paraId="0ADCA17B">
      <w:pPr>
        <w:pStyle w:val="12"/>
        <w:spacing w:line="336" w:lineRule="auto"/>
        <w:ind w:left="420" w:leftChars="200"/>
        <w:rPr>
          <w:rFonts w:hAnsi="宋体"/>
          <w:b/>
          <w:bCs/>
          <w:sz w:val="24"/>
          <w:szCs w:val="24"/>
          <w:highlight w:val="none"/>
        </w:rPr>
      </w:pPr>
      <w:r>
        <w:rPr>
          <w:rFonts w:hint="eastAsia" w:hAnsi="宋体"/>
          <w:b/>
          <w:bCs/>
          <w:sz w:val="24"/>
          <w:szCs w:val="24"/>
          <w:highlight w:val="none"/>
        </w:rPr>
        <w:t>7</w:t>
      </w:r>
      <w:r>
        <w:rPr>
          <w:rFonts w:hint="eastAsia" w:hAnsi="宋体"/>
          <w:b/>
          <w:bCs/>
          <w:sz w:val="24"/>
          <w:szCs w:val="24"/>
          <w:highlight w:val="none"/>
          <w:lang w:val="en-US" w:eastAsia="zh-CN"/>
        </w:rPr>
        <w:t>.</w:t>
      </w:r>
      <w:r>
        <w:rPr>
          <w:rFonts w:hint="eastAsia" w:hAnsi="宋体"/>
          <w:b/>
          <w:bCs/>
          <w:sz w:val="24"/>
          <w:szCs w:val="24"/>
          <w:highlight w:val="none"/>
        </w:rPr>
        <w:t>响应文件的澄清</w:t>
      </w:r>
    </w:p>
    <w:p w14:paraId="651443DE">
      <w:pPr>
        <w:pStyle w:val="40"/>
        <w:tabs>
          <w:tab w:val="left" w:pos="0"/>
        </w:tabs>
        <w:spacing w:before="0" w:line="336" w:lineRule="auto"/>
        <w:ind w:firstLine="480"/>
        <w:rPr>
          <w:rFonts w:ascii="宋体" w:hAnsi="宋体" w:cs="宋体"/>
          <w:highlight w:val="none"/>
          <w:lang w:val="zh-CN"/>
        </w:rPr>
      </w:pPr>
      <w:r>
        <w:rPr>
          <w:rFonts w:hint="eastAsia" w:ascii="宋体" w:hAnsi="宋体" w:cs="宋体"/>
          <w:highlight w:val="none"/>
        </w:rPr>
        <w:t>7.1</w:t>
      </w:r>
      <w:r>
        <w:rPr>
          <w:rFonts w:hint="eastAsia" w:ascii="宋体" w:hAnsi="宋体" w:cs="宋体"/>
          <w:highlight w:val="none"/>
          <w:lang w:val="zh-CN"/>
        </w:rPr>
        <w:t>评审中因</w:t>
      </w:r>
      <w:r>
        <w:rPr>
          <w:rFonts w:hint="eastAsia" w:ascii="宋体" w:hAnsi="宋体" w:cs="宋体"/>
          <w:highlight w:val="none"/>
        </w:rPr>
        <w:t>响应</w:t>
      </w:r>
      <w:r>
        <w:rPr>
          <w:rFonts w:hint="eastAsia" w:ascii="宋体" w:hAnsi="宋体" w:cs="宋体"/>
          <w:highlight w:val="none"/>
          <w:lang w:val="zh-CN"/>
        </w:rPr>
        <w:t>文件含义不明、表述不一致或有明显计算错误等内容需要供应商作出澄清、说明或者补正的，</w:t>
      </w:r>
      <w:r>
        <w:rPr>
          <w:rFonts w:hint="eastAsia" w:ascii="宋体" w:hAnsi="宋体" w:cs="宋体"/>
          <w:highlight w:val="none"/>
        </w:rPr>
        <w:t>磋商小组</w:t>
      </w:r>
      <w:r>
        <w:rPr>
          <w:rFonts w:hint="eastAsia" w:ascii="宋体" w:hAnsi="宋体" w:cs="宋体"/>
          <w:highlight w:val="none"/>
          <w:lang w:val="zh-CN"/>
        </w:rPr>
        <w:t>和供应商应当通过政采云平台交换数据电文，给予供应商提交澄清说明或补正的时间不少于半小时，供应商已经明确表示澄清说明或补正完毕的除外。</w:t>
      </w:r>
    </w:p>
    <w:p w14:paraId="516712A2">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lang w:val="zh-CN"/>
        </w:rPr>
        <w:t>供应商通过政采云平台交换的数据电文必须进行电子签章。</w:t>
      </w:r>
    </w:p>
    <w:p w14:paraId="26054586">
      <w:pPr>
        <w:pStyle w:val="2"/>
        <w:numPr>
          <w:ilvl w:val="0"/>
          <w:numId w:val="25"/>
        </w:numPr>
        <w:spacing w:line="336" w:lineRule="auto"/>
        <w:rPr>
          <w:highlight w:val="none"/>
        </w:rPr>
      </w:pPr>
      <w:bookmarkStart w:id="82" w:name="_Toc4344"/>
      <w:bookmarkStart w:id="83" w:name="_Toc28930"/>
      <w:bookmarkStart w:id="84" w:name="_Toc12816"/>
      <w:r>
        <w:rPr>
          <w:rFonts w:hint="eastAsia"/>
          <w:highlight w:val="none"/>
        </w:rPr>
        <w:t>注意事项</w:t>
      </w:r>
      <w:bookmarkEnd w:id="82"/>
      <w:bookmarkEnd w:id="83"/>
      <w:bookmarkEnd w:id="84"/>
    </w:p>
    <w:p w14:paraId="2458C7B7">
      <w:pPr>
        <w:pStyle w:val="7"/>
        <w:spacing w:line="336" w:lineRule="auto"/>
        <w:rPr>
          <w:rFonts w:ascii="宋体" w:hAnsi="宋体" w:cs="宋体"/>
          <w:b/>
          <w:bCs/>
          <w:sz w:val="24"/>
          <w:szCs w:val="24"/>
          <w:highlight w:val="none"/>
        </w:rPr>
      </w:pPr>
      <w:r>
        <w:rPr>
          <w:rFonts w:hint="eastAsia" w:ascii="宋体" w:hAnsi="宋体" w:cs="宋体"/>
          <w:b/>
          <w:bCs/>
          <w:sz w:val="24"/>
          <w:szCs w:val="24"/>
          <w:highlight w:val="none"/>
        </w:rPr>
        <w:t>评审时如发现供应商的报价明显低于其他通过符合性审查供应商的报价，有可能影响产品质量或者不能诚信履约的，磋商小组可要求该供应商书面说明并提供相关证明材料。该供应商不能合理说明原因并提供证明材料的，评审小组应将该供应商的磋商响应文件作无效处理，同时采购组织机构应将该情况报同级财政部门，并视情将其列入不良供应商名单。</w:t>
      </w:r>
    </w:p>
    <w:p w14:paraId="642F585A">
      <w:pPr>
        <w:pStyle w:val="2"/>
        <w:numPr>
          <w:ilvl w:val="0"/>
          <w:numId w:val="26"/>
        </w:numPr>
        <w:spacing w:line="336" w:lineRule="auto"/>
        <w:rPr>
          <w:highlight w:val="none"/>
        </w:rPr>
      </w:pPr>
      <w:bookmarkStart w:id="85" w:name="_Toc26902"/>
      <w:bookmarkStart w:id="86" w:name="_Toc13782"/>
      <w:bookmarkStart w:id="87" w:name="_Toc5066"/>
      <w:r>
        <w:rPr>
          <w:rFonts w:hint="eastAsia"/>
          <w:highlight w:val="none"/>
        </w:rPr>
        <w:t>评分细则</w:t>
      </w:r>
      <w:bookmarkEnd w:id="85"/>
      <w:bookmarkEnd w:id="86"/>
      <w:bookmarkEnd w:id="87"/>
    </w:p>
    <w:p w14:paraId="2FFA6922">
      <w:p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一、报价文件评分标准（</w:t>
      </w:r>
      <w:r>
        <w:rPr>
          <w:rFonts w:hint="eastAsia" w:ascii="宋体" w:hAnsi="宋体" w:cs="宋体"/>
          <w:b/>
          <w:bCs/>
          <w:sz w:val="24"/>
          <w:szCs w:val="24"/>
          <w:highlight w:val="none"/>
          <w:u w:val="single"/>
        </w:rPr>
        <w:t>20</w:t>
      </w:r>
      <w:r>
        <w:rPr>
          <w:rFonts w:hint="eastAsia" w:ascii="宋体" w:hAnsi="宋体" w:cs="宋体"/>
          <w:b/>
          <w:bCs/>
          <w:sz w:val="24"/>
          <w:szCs w:val="24"/>
          <w:highlight w:val="none"/>
        </w:rPr>
        <w:t>分）</w:t>
      </w:r>
    </w:p>
    <w:p w14:paraId="7A06DAA7">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报价文件主要是对供应商的有效报价进行评议，其评分标准及分值设置规则如下：</w:t>
      </w:r>
    </w:p>
    <w:p w14:paraId="65ADEF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1、本次采购最高限价规定如下：</w:t>
      </w:r>
    </w:p>
    <w:p w14:paraId="61DC0E48">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本项目投标报价的</w:t>
      </w:r>
      <w:r>
        <w:rPr>
          <w:rFonts w:hint="eastAsia" w:ascii="宋体" w:hAnsi="宋体" w:cs="宋体"/>
          <w:b/>
          <w:bCs/>
          <w:sz w:val="24"/>
          <w:szCs w:val="24"/>
          <w:highlight w:val="none"/>
        </w:rPr>
        <w:t>最高限价为人民币</w:t>
      </w:r>
      <w:r>
        <w:rPr>
          <w:rFonts w:hint="eastAsia" w:ascii="宋体" w:hAnsi="宋体" w:cs="宋体"/>
          <w:b/>
          <w:bCs/>
          <w:sz w:val="24"/>
          <w:szCs w:val="24"/>
          <w:highlight w:val="none"/>
          <w:u w:val="single"/>
          <w:lang w:val="en-US" w:eastAsia="zh-CN"/>
        </w:rPr>
        <w:t>壹佰零叁万肆仟捌佰</w:t>
      </w:r>
      <w:r>
        <w:rPr>
          <w:rFonts w:hint="eastAsia" w:ascii="宋体" w:hAnsi="宋体" w:cs="宋体"/>
          <w:b/>
          <w:bCs/>
          <w:sz w:val="24"/>
          <w:szCs w:val="24"/>
          <w:highlight w:val="none"/>
          <w:u w:val="single"/>
        </w:rPr>
        <w:t xml:space="preserve">元整 </w:t>
      </w:r>
      <w:r>
        <w:rPr>
          <w:rFonts w:hint="eastAsia" w:ascii="宋体" w:hAnsi="宋体" w:cs="宋体"/>
          <w:b/>
          <w:bCs/>
          <w:sz w:val="24"/>
          <w:szCs w:val="24"/>
          <w:highlight w:val="none"/>
        </w:rPr>
        <w:t>（小写</w:t>
      </w:r>
      <w:r>
        <w:rPr>
          <w:rFonts w:hint="eastAsia" w:ascii="宋体" w:hAnsi="宋体" w:cs="宋体"/>
          <w:b/>
          <w:bCs/>
          <w:sz w:val="24"/>
          <w:szCs w:val="24"/>
          <w:highlight w:val="none"/>
          <w:u w:val="single"/>
          <w:lang w:val="en-US" w:eastAsia="zh-CN"/>
        </w:rPr>
        <w:t>1034800</w:t>
      </w:r>
      <w:r>
        <w:rPr>
          <w:rFonts w:hint="eastAsia" w:ascii="宋体" w:hAnsi="宋体" w:cs="宋体"/>
          <w:b/>
          <w:bCs/>
          <w:sz w:val="24"/>
          <w:szCs w:val="24"/>
          <w:highlight w:val="none"/>
          <w:u w:val="single"/>
        </w:rPr>
        <w:t xml:space="preserve">.00 </w:t>
      </w:r>
      <w:r>
        <w:rPr>
          <w:rFonts w:hint="eastAsia" w:ascii="宋体" w:hAnsi="宋体" w:cs="宋体"/>
          <w:b/>
          <w:bCs/>
          <w:sz w:val="24"/>
          <w:szCs w:val="24"/>
          <w:highlight w:val="none"/>
        </w:rPr>
        <w:t>元）。最高限价由采购人根据市场价格的调查设定，并且不高于本项目财政预算。</w:t>
      </w:r>
    </w:p>
    <w:p w14:paraId="5147841C">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2、供应商的报价在最高限价内的，为有效报价。</w:t>
      </w:r>
    </w:p>
    <w:p w14:paraId="52306B86">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3、本次评标设有最佳报价。</w:t>
      </w:r>
      <w:r>
        <w:rPr>
          <w:rFonts w:hint="eastAsia" w:ascii="宋体" w:hAnsi="宋体" w:cs="宋体"/>
          <w:highlight w:val="none"/>
        </w:rPr>
        <w:t>最</w:t>
      </w:r>
      <w:r>
        <w:rPr>
          <w:rFonts w:hint="eastAsia" w:ascii="宋体" w:hAnsi="宋体" w:cs="宋体"/>
          <w:sz w:val="24"/>
          <w:szCs w:val="24"/>
          <w:highlight w:val="none"/>
        </w:rPr>
        <w:t>佳报价确定方式：根据所有入围供应商有效报价中的最低报价作为最佳报价。</w:t>
      </w:r>
    </w:p>
    <w:p w14:paraId="056098AE">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4、最佳报价者的报价分为满分，其他供应商的有效报价与最佳报价相比，按下列方法计算其报价分：</w:t>
      </w:r>
    </w:p>
    <w:p w14:paraId="0631E410">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投标价格分=(最佳报价/投标报价)*价格权值*100。</w:t>
      </w:r>
    </w:p>
    <w:p w14:paraId="2A590183">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5、当报价一览表与磋商报价明细表报价不一致时，以报价一览表为准，磋商报价明细表报价予以修正并由授权代表签字确认，拒绝修正或确认的，则做无效标处理。</w:t>
      </w:r>
    </w:p>
    <w:p w14:paraId="4B6DF160">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6、响应文件只允许有一个报价，磋商报价应按磋商文件中相关附表格式填报，该磋商报价应与明细报价汇总相等，且不允许出现报价优惠、赠送等字样（明细出现“0”元，视同赠送）,如出现则做</w:t>
      </w:r>
      <w:r>
        <w:rPr>
          <w:rFonts w:hint="eastAsia" w:ascii="宋体" w:hAnsi="宋体" w:cs="宋体"/>
          <w:b/>
          <w:bCs/>
          <w:sz w:val="24"/>
          <w:szCs w:val="24"/>
          <w:highlight w:val="none"/>
        </w:rPr>
        <w:t>无效响</w:t>
      </w:r>
      <w:r>
        <w:rPr>
          <w:rFonts w:hint="eastAsia" w:ascii="宋体" w:hAnsi="宋体" w:cs="宋体"/>
          <w:sz w:val="24"/>
          <w:szCs w:val="24"/>
          <w:highlight w:val="none"/>
        </w:rPr>
        <w:t>应处理。</w:t>
      </w:r>
    </w:p>
    <w:p w14:paraId="0B6F7721">
      <w:pPr>
        <w:autoSpaceDE w:val="0"/>
        <w:autoSpaceDN w:val="0"/>
        <w:spacing w:line="336" w:lineRule="auto"/>
        <w:ind w:firstLine="482"/>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b/>
          <w:bCs/>
          <w:sz w:val="24"/>
          <w:szCs w:val="24"/>
          <w:highlight w:val="none"/>
        </w:rPr>
        <w:t>投标价格的合理性</w:t>
      </w:r>
      <w:r>
        <w:rPr>
          <w:rFonts w:hint="eastAsia" w:ascii="宋体" w:hAnsi="宋体" w:cs="宋体"/>
          <w:sz w:val="24"/>
          <w:szCs w:val="24"/>
          <w:highlight w:val="none"/>
        </w:rPr>
        <w:t>：评标委员会认为供应商的报价明显低于其他通过符合性审查的供应商的报价，有可能影响产品质量或者不能诚信履约的，应当要求其在评标现场合理的时间内提供书面说明，必要时提交相关证明材料；供应商不能证明其报价合理性的，评标委员会应当将其作为无效响应处理。</w:t>
      </w:r>
    </w:p>
    <w:p w14:paraId="7A07CD41">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8、价格扣除：根据工信部等部委发布的《关于印发中小企业划型标准规定的通知》（工信部联企业〔2011〕300号），根据具体品目确定相应标准。符合上述条件的中小微型企业应按照招标文件的格式要求提供《中小企业声明函》及其相关的充分的证明材料。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E7FF440">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根据财政部的《关于进一步加大政府采购支持中小企业力度的通知》（财库〔2022〕19号）规定，货物和服务项目中未预留份额专门面向中小企业采购的，以及预留份额项目中的非预留部分采购包，采购单位、采购代理机构应结合项目实际，对符合规定的小微企业报价按10%给予扣除，用扣除后的价格参加评审；对于联合协议或者分包意向协议约定小微企业的合同份额占到合同总金额30%以上的，采购单位、采购代理机构应结合项目实际，对联合体或者大中型企业的报价按4%给予扣除，用扣除后的价格参加评审。（中标价及合同价仍以其投标报价为准）</w:t>
      </w:r>
    </w:p>
    <w:p w14:paraId="05A61796">
      <w:pPr>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组成联合体或者接受分包的小微企业与联合体内其他企业、分包企业之间存在直接控股、管理关系的，不享受价格扣除优惠政策。联合体各方均为小型、微型企业的，联合体视同为小型、微型企业。</w:t>
      </w:r>
    </w:p>
    <w:p w14:paraId="40E1DD73">
      <w:pPr>
        <w:spacing w:line="336" w:lineRule="auto"/>
        <w:ind w:firstLine="480" w:firstLineChars="200"/>
        <w:rPr>
          <w:rFonts w:ascii="宋体" w:hAnsi="宋体" w:cs="宋体"/>
          <w:sz w:val="24"/>
          <w:szCs w:val="24"/>
          <w:highlight w:val="none"/>
        </w:rPr>
      </w:pPr>
    </w:p>
    <w:p w14:paraId="26E25F74">
      <w:pPr>
        <w:pStyle w:val="9"/>
        <w:rPr>
          <w:rFonts w:ascii="宋体" w:hAnsi="宋体" w:cs="宋体"/>
          <w:highlight w:val="none"/>
        </w:rPr>
      </w:pPr>
    </w:p>
    <w:p w14:paraId="5EEBEB7F">
      <w:pPr>
        <w:numPr>
          <w:ilvl w:val="0"/>
          <w:numId w:val="27"/>
        </w:num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商务技术文件评标内容及标准（</w:t>
      </w:r>
      <w:r>
        <w:rPr>
          <w:rFonts w:hint="eastAsia" w:ascii="宋体" w:hAnsi="宋体" w:cs="宋体"/>
          <w:b/>
          <w:bCs/>
          <w:sz w:val="24"/>
          <w:szCs w:val="24"/>
          <w:highlight w:val="none"/>
          <w:u w:val="single"/>
        </w:rPr>
        <w:t>80</w:t>
      </w:r>
      <w:r>
        <w:rPr>
          <w:rFonts w:hint="eastAsia" w:ascii="宋体" w:hAnsi="宋体" w:cs="宋体"/>
          <w:b/>
          <w:bCs/>
          <w:sz w:val="24"/>
          <w:szCs w:val="24"/>
          <w:highlight w:val="none"/>
        </w:rPr>
        <w:t>分）</w:t>
      </w:r>
    </w:p>
    <w:p w14:paraId="69D0B00A">
      <w:pPr>
        <w:numPr>
          <w:ilvl w:val="0"/>
          <w:numId w:val="28"/>
        </w:numPr>
        <w:spacing w:line="336"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评分细则</w:t>
      </w:r>
    </w:p>
    <w:tbl>
      <w:tblPr>
        <w:tblStyle w:val="23"/>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39"/>
        <w:gridCol w:w="6100"/>
        <w:gridCol w:w="857"/>
      </w:tblGrid>
      <w:tr w14:paraId="00B5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4" w:type="dxa"/>
            <w:gridSpan w:val="2"/>
            <w:tcBorders>
              <w:top w:val="single" w:color="auto" w:sz="4" w:space="0"/>
              <w:left w:val="single" w:color="auto" w:sz="4" w:space="0"/>
              <w:bottom w:val="single" w:color="auto" w:sz="4" w:space="0"/>
              <w:right w:val="single" w:color="auto" w:sz="4" w:space="0"/>
            </w:tcBorders>
            <w:vAlign w:val="center"/>
          </w:tcPr>
          <w:p w14:paraId="4E308A83">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评分项目</w:t>
            </w:r>
          </w:p>
        </w:tc>
        <w:tc>
          <w:tcPr>
            <w:tcW w:w="6100" w:type="dxa"/>
            <w:tcBorders>
              <w:top w:val="single" w:color="auto" w:sz="4" w:space="0"/>
              <w:left w:val="single" w:color="auto" w:sz="4" w:space="0"/>
              <w:bottom w:val="single" w:color="auto" w:sz="4" w:space="0"/>
              <w:right w:val="single" w:color="auto" w:sz="4" w:space="0"/>
            </w:tcBorders>
          </w:tcPr>
          <w:p w14:paraId="442D3E40">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评标要点及说明</w:t>
            </w:r>
          </w:p>
        </w:tc>
        <w:tc>
          <w:tcPr>
            <w:tcW w:w="857" w:type="dxa"/>
            <w:tcBorders>
              <w:top w:val="single" w:color="auto" w:sz="4" w:space="0"/>
              <w:left w:val="single" w:color="auto" w:sz="4" w:space="0"/>
              <w:bottom w:val="single" w:color="auto" w:sz="4" w:space="0"/>
              <w:right w:val="single" w:color="auto" w:sz="4" w:space="0"/>
            </w:tcBorders>
          </w:tcPr>
          <w:p w14:paraId="6682FEA9">
            <w:pPr>
              <w:adjustRightInd w:val="0"/>
              <w:spacing w:beforeLines="5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4B68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5" w:type="dxa"/>
            <w:vMerge w:val="restart"/>
            <w:tcBorders>
              <w:left w:val="single" w:color="auto" w:sz="4" w:space="0"/>
              <w:right w:val="single" w:color="auto" w:sz="4" w:space="0"/>
            </w:tcBorders>
            <w:vAlign w:val="center"/>
          </w:tcPr>
          <w:p w14:paraId="2903A0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tc>
        <w:tc>
          <w:tcPr>
            <w:tcW w:w="1439" w:type="dxa"/>
            <w:vMerge w:val="restart"/>
            <w:tcBorders>
              <w:top w:val="single" w:color="auto" w:sz="4" w:space="0"/>
              <w:left w:val="single" w:color="auto" w:sz="4" w:space="0"/>
              <w:right w:val="single" w:color="auto" w:sz="4" w:space="0"/>
            </w:tcBorders>
            <w:vAlign w:val="center"/>
          </w:tcPr>
          <w:p w14:paraId="15B589DA">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项目理解</w:t>
            </w:r>
          </w:p>
        </w:tc>
        <w:tc>
          <w:tcPr>
            <w:tcW w:w="6100" w:type="dxa"/>
            <w:tcBorders>
              <w:top w:val="single" w:color="auto" w:sz="4" w:space="0"/>
              <w:left w:val="single" w:color="auto" w:sz="4" w:space="0"/>
              <w:right w:val="single" w:color="auto" w:sz="4" w:space="0"/>
            </w:tcBorders>
            <w:vAlign w:val="center"/>
          </w:tcPr>
          <w:p w14:paraId="60373F35">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根据供应商针对本项目信息系统分析</w:t>
            </w:r>
            <w:r>
              <w:rPr>
                <w:rFonts w:hint="default" w:ascii="宋体" w:hAnsi="宋体" w:eastAsia="宋体" w:cs="宋体"/>
                <w:color w:val="auto"/>
                <w:kern w:val="0"/>
                <w:sz w:val="24"/>
                <w:szCs w:val="24"/>
                <w:highlight w:val="none"/>
                <w:lang w:eastAsia="zh-CN"/>
              </w:rPr>
              <w:t>理解</w:t>
            </w:r>
            <w:r>
              <w:rPr>
                <w:rFonts w:hint="eastAsia" w:ascii="宋体" w:hAnsi="宋体" w:eastAsia="宋体" w:cs="宋体"/>
                <w:color w:val="auto"/>
                <w:kern w:val="0"/>
                <w:sz w:val="24"/>
                <w:szCs w:val="24"/>
                <w:highlight w:val="none"/>
                <w:lang w:eastAsia="zh-CN"/>
              </w:rPr>
              <w:t>，对</w:t>
            </w:r>
            <w:r>
              <w:rPr>
                <w:rFonts w:hint="default" w:ascii="宋体" w:hAnsi="宋体" w:eastAsia="宋体" w:cs="宋体"/>
                <w:color w:val="auto"/>
                <w:kern w:val="0"/>
                <w:sz w:val="24"/>
                <w:szCs w:val="24"/>
                <w:highlight w:val="none"/>
                <w:lang w:eastAsia="zh-CN"/>
              </w:rPr>
              <w:t>系统功能理解</w:t>
            </w:r>
            <w:r>
              <w:rPr>
                <w:rFonts w:hint="eastAsia" w:ascii="宋体" w:hAnsi="宋体" w:eastAsia="宋体" w:cs="宋体"/>
                <w:color w:val="auto"/>
                <w:kern w:val="0"/>
                <w:sz w:val="24"/>
                <w:szCs w:val="24"/>
                <w:highlight w:val="none"/>
                <w:lang w:eastAsia="zh-CN"/>
              </w:rPr>
              <w:t>的</w:t>
            </w:r>
            <w:r>
              <w:rPr>
                <w:rFonts w:hint="default" w:ascii="宋体" w:hAnsi="宋体" w:eastAsia="宋体" w:cs="宋体"/>
                <w:color w:val="auto"/>
                <w:kern w:val="0"/>
                <w:sz w:val="24"/>
                <w:szCs w:val="24"/>
                <w:highlight w:val="none"/>
                <w:lang w:eastAsia="zh-CN"/>
              </w:rPr>
              <w:t>全面性</w:t>
            </w:r>
            <w:r>
              <w:rPr>
                <w:rFonts w:hint="eastAsia" w:ascii="宋体" w:hAnsi="宋体" w:eastAsia="宋体" w:cs="宋体"/>
                <w:color w:val="auto"/>
                <w:kern w:val="0"/>
                <w:sz w:val="24"/>
                <w:szCs w:val="24"/>
                <w:highlight w:val="none"/>
                <w:lang w:eastAsia="zh-CN"/>
              </w:rPr>
              <w:t>进行打分。</w:t>
            </w:r>
          </w:p>
        </w:tc>
        <w:tc>
          <w:tcPr>
            <w:tcW w:w="857" w:type="dxa"/>
            <w:tcBorders>
              <w:top w:val="single" w:color="auto" w:sz="4" w:space="0"/>
              <w:left w:val="single" w:color="auto" w:sz="4" w:space="0"/>
              <w:right w:val="single" w:color="auto" w:sz="4" w:space="0"/>
            </w:tcBorders>
            <w:vAlign w:val="center"/>
          </w:tcPr>
          <w:p w14:paraId="24DB901E">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2D83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1269AC2C">
            <w:pPr>
              <w:jc w:val="center"/>
            </w:pPr>
          </w:p>
        </w:tc>
        <w:tc>
          <w:tcPr>
            <w:tcW w:w="1439" w:type="dxa"/>
            <w:vMerge w:val="continue"/>
            <w:tcBorders>
              <w:left w:val="single" w:color="auto" w:sz="4" w:space="0"/>
              <w:right w:val="single" w:color="auto" w:sz="4" w:space="0"/>
            </w:tcBorders>
            <w:vAlign w:val="center"/>
          </w:tcPr>
          <w:p w14:paraId="6CE63016">
            <w:pPr>
              <w:jc w:val="left"/>
              <w:rPr>
                <w:rFonts w:hint="eastAsia" w:ascii="宋体" w:hAnsi="宋体" w:eastAsia="宋体" w:cs="宋体"/>
                <w:color w:val="auto"/>
                <w:kern w:val="0"/>
                <w:sz w:val="24"/>
                <w:szCs w:val="24"/>
                <w:highlight w:val="none"/>
                <w:lang w:eastAsia="zh-CN"/>
              </w:rPr>
            </w:pPr>
          </w:p>
        </w:tc>
        <w:tc>
          <w:tcPr>
            <w:tcW w:w="6100" w:type="dxa"/>
            <w:tcBorders>
              <w:top w:val="single" w:color="auto" w:sz="4" w:space="0"/>
              <w:left w:val="single" w:color="auto" w:sz="4" w:space="0"/>
              <w:right w:val="single" w:color="auto" w:sz="4" w:space="0"/>
            </w:tcBorders>
            <w:vAlign w:val="center"/>
          </w:tcPr>
          <w:p w14:paraId="3864C9B4">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根据供应商针对本项目信息系统</w:t>
            </w:r>
            <w:r>
              <w:rPr>
                <w:rFonts w:hint="eastAsia" w:ascii="宋体" w:hAnsi="宋体" w:eastAsia="宋体" w:cs="宋体"/>
                <w:color w:val="auto"/>
                <w:kern w:val="0"/>
                <w:sz w:val="24"/>
                <w:szCs w:val="24"/>
                <w:highlight w:val="none"/>
                <w:lang w:val="en-US" w:eastAsia="zh-CN"/>
              </w:rPr>
              <w:t>相关系统运行情况、服务器、数据库、应用软件等</w:t>
            </w:r>
            <w:r>
              <w:rPr>
                <w:rFonts w:hint="eastAsia" w:ascii="宋体" w:hAnsi="宋体" w:eastAsia="宋体" w:cs="宋体"/>
                <w:color w:val="auto"/>
                <w:kern w:val="0"/>
                <w:sz w:val="24"/>
                <w:szCs w:val="24"/>
                <w:highlight w:val="none"/>
                <w:lang w:eastAsia="zh-CN"/>
              </w:rPr>
              <w:t>在用情况了解</w:t>
            </w:r>
            <w:r>
              <w:rPr>
                <w:rFonts w:hint="default" w:ascii="宋体" w:hAnsi="宋体" w:eastAsia="宋体" w:cs="宋体"/>
                <w:color w:val="auto"/>
                <w:kern w:val="0"/>
                <w:sz w:val="24"/>
                <w:szCs w:val="24"/>
                <w:highlight w:val="none"/>
                <w:lang w:eastAsia="zh-CN"/>
              </w:rPr>
              <w:t>程度，</w:t>
            </w:r>
            <w:r>
              <w:rPr>
                <w:rFonts w:hint="eastAsia" w:ascii="宋体" w:hAnsi="宋体" w:eastAsia="宋体" w:cs="宋体"/>
                <w:color w:val="auto"/>
                <w:kern w:val="0"/>
                <w:sz w:val="24"/>
                <w:szCs w:val="24"/>
                <w:highlight w:val="none"/>
                <w:lang w:eastAsia="zh-CN"/>
              </w:rPr>
              <w:t>对项目需求理解程度的准确性、全面性进行打分。</w:t>
            </w:r>
          </w:p>
        </w:tc>
        <w:tc>
          <w:tcPr>
            <w:tcW w:w="857" w:type="dxa"/>
            <w:tcBorders>
              <w:top w:val="single" w:color="auto" w:sz="4" w:space="0"/>
              <w:left w:val="single" w:color="auto" w:sz="4" w:space="0"/>
              <w:right w:val="single" w:color="auto" w:sz="4" w:space="0"/>
            </w:tcBorders>
            <w:vAlign w:val="center"/>
          </w:tcPr>
          <w:p w14:paraId="4BB02025">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r>
      <w:tr w14:paraId="17E5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85" w:type="dxa"/>
            <w:vMerge w:val="continue"/>
            <w:tcBorders>
              <w:left w:val="single" w:color="auto" w:sz="4" w:space="0"/>
              <w:right w:val="single" w:color="auto" w:sz="4" w:space="0"/>
            </w:tcBorders>
            <w:vAlign w:val="center"/>
          </w:tcPr>
          <w:p w14:paraId="19917D69">
            <w:pPr>
              <w:spacing w:line="360" w:lineRule="auto"/>
              <w:jc w:val="center"/>
              <w:rPr>
                <w:rFonts w:hint="eastAsia" w:ascii="宋体" w:hAnsi="宋体" w:eastAsia="宋体" w:cs="宋体"/>
                <w:color w:val="auto"/>
                <w:sz w:val="24"/>
                <w:szCs w:val="24"/>
                <w:highlight w:val="none"/>
              </w:rPr>
            </w:pPr>
          </w:p>
        </w:tc>
        <w:tc>
          <w:tcPr>
            <w:tcW w:w="1439" w:type="dxa"/>
            <w:tcBorders>
              <w:top w:val="single" w:color="auto" w:sz="4" w:space="0"/>
              <w:left w:val="single" w:color="auto" w:sz="4" w:space="0"/>
              <w:right w:val="single" w:color="auto" w:sz="4" w:space="0"/>
            </w:tcBorders>
            <w:shd w:val="clear" w:color="auto" w:fill="auto"/>
            <w:vAlign w:val="center"/>
          </w:tcPr>
          <w:p w14:paraId="3B212A04">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整体</w:t>
            </w:r>
            <w:r>
              <w:rPr>
                <w:rFonts w:hint="eastAsia" w:ascii="宋体" w:hAnsi="宋体" w:eastAsia="宋体" w:cs="宋体"/>
                <w:color w:val="auto"/>
                <w:kern w:val="0"/>
                <w:sz w:val="24"/>
                <w:szCs w:val="24"/>
                <w:highlight w:val="none"/>
                <w:lang w:val="en-US" w:eastAsia="zh-CN"/>
              </w:rPr>
              <w:t>运维</w:t>
            </w:r>
            <w:r>
              <w:rPr>
                <w:rFonts w:hint="eastAsia" w:ascii="宋体" w:hAnsi="宋体" w:eastAsia="宋体" w:cs="宋体"/>
                <w:color w:val="auto"/>
                <w:kern w:val="0"/>
                <w:sz w:val="24"/>
                <w:szCs w:val="24"/>
                <w:highlight w:val="none"/>
                <w:lang w:eastAsia="zh-CN"/>
              </w:rPr>
              <w:t>服务方案</w:t>
            </w:r>
          </w:p>
        </w:tc>
        <w:tc>
          <w:tcPr>
            <w:tcW w:w="6100" w:type="dxa"/>
            <w:tcBorders>
              <w:top w:val="single" w:color="auto" w:sz="4" w:space="0"/>
              <w:left w:val="single" w:color="auto" w:sz="4" w:space="0"/>
              <w:right w:val="single" w:color="auto" w:sz="4" w:space="0"/>
            </w:tcBorders>
            <w:shd w:val="clear" w:color="auto" w:fill="auto"/>
            <w:vAlign w:val="center"/>
          </w:tcPr>
          <w:p w14:paraId="09D68F87">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根据供应商针对本项目需求提供整体的服务方案是否完整、合理进行打分</w:t>
            </w:r>
            <w:r>
              <w:rPr>
                <w:rFonts w:hint="eastAsia" w:ascii="宋体" w:hAnsi="宋体" w:cs="宋体"/>
                <w:color w:val="auto"/>
                <w:kern w:val="0"/>
                <w:sz w:val="24"/>
                <w:szCs w:val="24"/>
                <w:highlight w:val="none"/>
                <w:lang w:eastAsia="zh-CN"/>
              </w:rPr>
              <w:t>。</w:t>
            </w:r>
          </w:p>
        </w:tc>
        <w:tc>
          <w:tcPr>
            <w:tcW w:w="857" w:type="dxa"/>
            <w:tcBorders>
              <w:top w:val="single" w:color="auto" w:sz="4" w:space="0"/>
              <w:left w:val="single" w:color="auto" w:sz="4" w:space="0"/>
              <w:right w:val="single" w:color="auto" w:sz="4" w:space="0"/>
            </w:tcBorders>
            <w:shd w:val="clear" w:color="auto" w:fill="auto"/>
            <w:vAlign w:val="center"/>
          </w:tcPr>
          <w:p w14:paraId="5227DE73">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5</w:t>
            </w:r>
          </w:p>
        </w:tc>
      </w:tr>
      <w:tr w14:paraId="68C5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5" w:type="dxa"/>
            <w:vMerge w:val="continue"/>
            <w:tcBorders>
              <w:left w:val="single" w:color="auto" w:sz="4" w:space="0"/>
              <w:right w:val="single" w:color="auto" w:sz="4" w:space="0"/>
            </w:tcBorders>
            <w:vAlign w:val="center"/>
          </w:tcPr>
          <w:p w14:paraId="78601D1F">
            <w:pPr>
              <w:spacing w:line="360" w:lineRule="auto"/>
              <w:jc w:val="center"/>
              <w:rPr>
                <w:rFonts w:hint="eastAsia" w:ascii="宋体" w:hAnsi="宋体" w:eastAsia="宋体" w:cs="宋体"/>
                <w:color w:val="auto"/>
                <w:sz w:val="24"/>
                <w:szCs w:val="24"/>
                <w:highlight w:val="none"/>
              </w:rPr>
            </w:pPr>
          </w:p>
        </w:tc>
        <w:tc>
          <w:tcPr>
            <w:tcW w:w="1439" w:type="dxa"/>
            <w:vMerge w:val="restart"/>
            <w:tcBorders>
              <w:left w:val="single" w:color="auto" w:sz="4" w:space="0"/>
              <w:right w:val="single" w:color="auto" w:sz="4" w:space="0"/>
            </w:tcBorders>
            <w:vAlign w:val="center"/>
          </w:tcPr>
          <w:p w14:paraId="4405330D">
            <w:pPr>
              <w:jc w:val="left"/>
              <w:rPr>
                <w:rFonts w:hint="eastAsia" w:ascii="宋体" w:hAnsi="宋体" w:eastAsia="宋体" w:cs="宋体"/>
                <w:color w:val="auto"/>
                <w:kern w:val="0"/>
                <w:sz w:val="24"/>
                <w:szCs w:val="24"/>
                <w:highlight w:val="none"/>
                <w:lang w:eastAsia="zh-CN"/>
              </w:rPr>
            </w:pPr>
          </w:p>
          <w:p w14:paraId="68F4C03E">
            <w:pPr>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运维方案</w:t>
            </w:r>
          </w:p>
        </w:tc>
        <w:tc>
          <w:tcPr>
            <w:tcW w:w="6100" w:type="dxa"/>
            <w:tcBorders>
              <w:top w:val="single" w:color="auto" w:sz="4" w:space="0"/>
              <w:left w:val="single" w:color="auto" w:sz="4" w:space="0"/>
              <w:right w:val="single" w:color="auto" w:sz="4" w:space="0"/>
            </w:tcBorders>
            <w:vAlign w:val="center"/>
          </w:tcPr>
          <w:p w14:paraId="319F20AD">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根据供应商针对本项目日常运维服务方案是否完整、合理进行打分。</w:t>
            </w:r>
          </w:p>
        </w:tc>
        <w:tc>
          <w:tcPr>
            <w:tcW w:w="857" w:type="dxa"/>
            <w:tcBorders>
              <w:top w:val="single" w:color="auto" w:sz="4" w:space="0"/>
              <w:left w:val="single" w:color="auto" w:sz="4" w:space="0"/>
              <w:right w:val="single" w:color="auto" w:sz="4" w:space="0"/>
            </w:tcBorders>
            <w:vAlign w:val="center"/>
          </w:tcPr>
          <w:p w14:paraId="51C88BEB">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w:t>
            </w:r>
          </w:p>
        </w:tc>
      </w:tr>
      <w:tr w14:paraId="0F1E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2FBF4505">
            <w:pPr>
              <w:jc w:val="center"/>
              <w:rPr>
                <w:rFonts w:hint="eastAsia" w:ascii="宋体" w:hAnsi="宋体" w:eastAsia="宋体" w:cs="宋体"/>
                <w:sz w:val="24"/>
                <w:szCs w:val="24"/>
                <w:highlight w:val="none"/>
              </w:rPr>
            </w:pPr>
          </w:p>
        </w:tc>
        <w:tc>
          <w:tcPr>
            <w:tcW w:w="1439" w:type="dxa"/>
            <w:vMerge w:val="continue"/>
            <w:tcBorders>
              <w:left w:val="single" w:color="auto" w:sz="4" w:space="0"/>
              <w:right w:val="single" w:color="auto" w:sz="4" w:space="0"/>
            </w:tcBorders>
            <w:vAlign w:val="center"/>
          </w:tcPr>
          <w:p w14:paraId="6809AD7C">
            <w:pPr>
              <w:jc w:val="left"/>
              <w:rPr>
                <w:rFonts w:hint="eastAsia" w:ascii="宋体" w:hAnsi="宋体" w:eastAsia="宋体" w:cs="宋体"/>
                <w:color w:val="auto"/>
                <w:kern w:val="0"/>
                <w:sz w:val="24"/>
                <w:szCs w:val="24"/>
                <w:highlight w:val="none"/>
                <w:lang w:eastAsia="zh-CN"/>
              </w:rPr>
            </w:pPr>
          </w:p>
        </w:tc>
        <w:tc>
          <w:tcPr>
            <w:tcW w:w="6100" w:type="dxa"/>
            <w:tcBorders>
              <w:top w:val="single" w:color="auto" w:sz="4" w:space="0"/>
              <w:left w:val="single" w:color="auto" w:sz="4" w:space="0"/>
              <w:right w:val="single" w:color="auto" w:sz="4" w:space="0"/>
            </w:tcBorders>
            <w:vAlign w:val="center"/>
          </w:tcPr>
          <w:p w14:paraId="67DF50C7">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根据供应商针对本项目数据库运维服务方案是否完整、合理进行打分。</w:t>
            </w:r>
          </w:p>
        </w:tc>
        <w:tc>
          <w:tcPr>
            <w:tcW w:w="857" w:type="dxa"/>
            <w:tcBorders>
              <w:top w:val="single" w:color="auto" w:sz="4" w:space="0"/>
              <w:left w:val="single" w:color="auto" w:sz="4" w:space="0"/>
              <w:right w:val="single" w:color="auto" w:sz="4" w:space="0"/>
            </w:tcBorders>
            <w:vAlign w:val="center"/>
          </w:tcPr>
          <w:p w14:paraId="712D87C4">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w:t>
            </w:r>
          </w:p>
        </w:tc>
      </w:tr>
      <w:tr w14:paraId="31D6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41F544F6">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50A8F7C5">
            <w:pPr>
              <w:jc w:val="left"/>
              <w:rPr>
                <w:rFonts w:hint="eastAsia" w:ascii="宋体" w:hAnsi="宋体" w:eastAsia="宋体" w:cs="宋体"/>
                <w:color w:val="auto"/>
                <w:kern w:val="0"/>
                <w:sz w:val="24"/>
                <w:szCs w:val="24"/>
                <w:highlight w:val="none"/>
                <w:lang w:eastAsia="zh-CN"/>
              </w:rPr>
            </w:pPr>
          </w:p>
        </w:tc>
        <w:tc>
          <w:tcPr>
            <w:tcW w:w="6100" w:type="dxa"/>
            <w:tcBorders>
              <w:left w:val="single" w:color="auto" w:sz="4" w:space="0"/>
              <w:right w:val="single" w:color="auto" w:sz="4" w:space="0"/>
            </w:tcBorders>
            <w:vAlign w:val="center"/>
          </w:tcPr>
          <w:p w14:paraId="5121E24C">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根据供应商针对本项目运维文档要求方案是否完整、合理进行打分。</w:t>
            </w:r>
          </w:p>
        </w:tc>
        <w:tc>
          <w:tcPr>
            <w:tcW w:w="857" w:type="dxa"/>
            <w:tcBorders>
              <w:left w:val="single" w:color="auto" w:sz="4" w:space="0"/>
              <w:right w:val="single" w:color="auto" w:sz="4" w:space="0"/>
            </w:tcBorders>
            <w:vAlign w:val="center"/>
          </w:tcPr>
          <w:p w14:paraId="5E288734">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w:t>
            </w:r>
          </w:p>
        </w:tc>
      </w:tr>
      <w:tr w14:paraId="53EB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vMerge w:val="continue"/>
            <w:tcBorders>
              <w:left w:val="single" w:color="auto" w:sz="4" w:space="0"/>
              <w:right w:val="single" w:color="auto" w:sz="4" w:space="0"/>
            </w:tcBorders>
            <w:vAlign w:val="center"/>
          </w:tcPr>
          <w:p w14:paraId="0593C2F7">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51B803FF">
            <w:pPr>
              <w:jc w:val="left"/>
              <w:rPr>
                <w:rFonts w:hint="eastAsia" w:ascii="宋体" w:hAnsi="宋体" w:eastAsia="宋体" w:cs="宋体"/>
                <w:color w:val="auto"/>
                <w:kern w:val="0"/>
                <w:sz w:val="24"/>
                <w:szCs w:val="24"/>
                <w:highlight w:val="none"/>
                <w:lang w:eastAsia="zh-CN"/>
              </w:rPr>
            </w:pPr>
          </w:p>
        </w:tc>
        <w:tc>
          <w:tcPr>
            <w:tcW w:w="6100" w:type="dxa"/>
            <w:tcBorders>
              <w:left w:val="single" w:color="auto" w:sz="4" w:space="0"/>
              <w:right w:val="single" w:color="auto" w:sz="4" w:space="0"/>
            </w:tcBorders>
            <w:shd w:val="clear" w:color="auto" w:fill="auto"/>
            <w:vAlign w:val="center"/>
          </w:tcPr>
          <w:p w14:paraId="2E413A6C">
            <w:pPr>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根据供应商针对本项目数据备份服务方案是否完整、合理进行打分。</w:t>
            </w:r>
          </w:p>
        </w:tc>
        <w:tc>
          <w:tcPr>
            <w:tcW w:w="857" w:type="dxa"/>
            <w:tcBorders>
              <w:left w:val="single" w:color="auto" w:sz="4" w:space="0"/>
              <w:right w:val="single" w:color="auto" w:sz="4" w:space="0"/>
            </w:tcBorders>
            <w:shd w:val="clear" w:color="auto" w:fill="auto"/>
            <w:vAlign w:val="center"/>
          </w:tcPr>
          <w:p w14:paraId="6FB52C18">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5</w:t>
            </w:r>
          </w:p>
        </w:tc>
      </w:tr>
      <w:tr w14:paraId="069E4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885" w:type="dxa"/>
            <w:vMerge w:val="continue"/>
            <w:tcBorders>
              <w:left w:val="single" w:color="auto" w:sz="4" w:space="0"/>
              <w:right w:val="single" w:color="auto" w:sz="4" w:space="0"/>
            </w:tcBorders>
            <w:vAlign w:val="center"/>
          </w:tcPr>
          <w:p w14:paraId="22A37531">
            <w:pPr>
              <w:spacing w:line="360" w:lineRule="auto"/>
              <w:jc w:val="center"/>
              <w:rPr>
                <w:rFonts w:hint="eastAsia" w:ascii="宋体" w:hAnsi="宋体" w:eastAsia="宋体" w:cs="宋体"/>
                <w:color w:val="auto"/>
                <w:sz w:val="24"/>
                <w:szCs w:val="24"/>
                <w:highlight w:val="none"/>
              </w:rPr>
            </w:pPr>
          </w:p>
        </w:tc>
        <w:tc>
          <w:tcPr>
            <w:tcW w:w="1439" w:type="dxa"/>
            <w:vMerge w:val="restart"/>
            <w:tcBorders>
              <w:left w:val="single" w:color="auto" w:sz="4" w:space="0"/>
              <w:right w:val="single" w:color="auto" w:sz="4" w:space="0"/>
            </w:tcBorders>
            <w:vAlign w:val="center"/>
          </w:tcPr>
          <w:p w14:paraId="7AF112C0">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团队实力</w:t>
            </w:r>
          </w:p>
        </w:tc>
        <w:tc>
          <w:tcPr>
            <w:tcW w:w="6100" w:type="dxa"/>
            <w:tcBorders>
              <w:left w:val="single" w:color="auto" w:sz="4" w:space="0"/>
              <w:right w:val="single" w:color="auto" w:sz="4" w:space="0"/>
            </w:tcBorders>
            <w:vAlign w:val="center"/>
          </w:tcPr>
          <w:p w14:paraId="74F76226">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根据供应商拟派的项目负责人的专业素质、技术能力</w:t>
            </w:r>
            <w:r>
              <w:rPr>
                <w:rFonts w:hint="eastAsia" w:ascii="宋体" w:hAnsi="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lang w:val="en-US" w:eastAsia="zh-CN"/>
              </w:rPr>
              <w:t>医疗软件类项目开发</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运维经验</w:t>
            </w:r>
            <w:r>
              <w:rPr>
                <w:rFonts w:hint="eastAsia" w:ascii="宋体" w:hAnsi="宋体" w:eastAsia="宋体" w:cs="宋体"/>
                <w:color w:val="auto"/>
                <w:kern w:val="0"/>
                <w:sz w:val="24"/>
                <w:szCs w:val="24"/>
                <w:highlight w:val="none"/>
                <w:lang w:eastAsia="zh-CN"/>
              </w:rPr>
              <w:t>等情况进行打分。（</w:t>
            </w:r>
            <w:r>
              <w:rPr>
                <w:rFonts w:hint="eastAsia" w:ascii="宋体" w:hAnsi="宋体" w:cs="宋体"/>
                <w:color w:val="auto"/>
                <w:kern w:val="0"/>
                <w:sz w:val="24"/>
                <w:szCs w:val="24"/>
                <w:highlight w:val="none"/>
                <w:lang w:val="en-US" w:eastAsia="zh-CN"/>
              </w:rPr>
              <w:t>每项</w:t>
            </w:r>
            <w:r>
              <w:rPr>
                <w:rFonts w:hint="eastAsia" w:ascii="宋体" w:hAnsi="宋体" w:eastAsia="宋体" w:cs="宋体"/>
                <w:color w:val="auto"/>
                <w:kern w:val="0"/>
                <w:sz w:val="24"/>
                <w:szCs w:val="24"/>
                <w:highlight w:val="none"/>
                <w:lang w:val="en-US" w:eastAsia="zh-CN"/>
              </w:rPr>
              <w:t>需提供相关证明材料及本单位缴纳的社保证明材料加盖公章</w:t>
            </w:r>
            <w:r>
              <w:rPr>
                <w:rFonts w:hint="eastAsia" w:ascii="宋体" w:hAnsi="宋体" w:eastAsia="宋体" w:cs="宋体"/>
                <w:color w:val="auto"/>
                <w:kern w:val="0"/>
                <w:sz w:val="24"/>
                <w:szCs w:val="24"/>
                <w:highlight w:val="none"/>
                <w:lang w:eastAsia="zh-CN"/>
              </w:rPr>
              <w:t>）</w:t>
            </w:r>
          </w:p>
        </w:tc>
        <w:tc>
          <w:tcPr>
            <w:tcW w:w="857" w:type="dxa"/>
            <w:tcBorders>
              <w:left w:val="single" w:color="auto" w:sz="4" w:space="0"/>
              <w:right w:val="single" w:color="auto" w:sz="4" w:space="0"/>
            </w:tcBorders>
            <w:vAlign w:val="center"/>
          </w:tcPr>
          <w:p w14:paraId="49ED8E70">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r>
      <w:tr w14:paraId="4081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85" w:type="dxa"/>
            <w:vMerge w:val="continue"/>
            <w:tcBorders>
              <w:left w:val="single" w:color="auto" w:sz="4" w:space="0"/>
              <w:right w:val="single" w:color="auto" w:sz="4" w:space="0"/>
            </w:tcBorders>
            <w:vAlign w:val="center"/>
          </w:tcPr>
          <w:p w14:paraId="727413EF">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702CC2D1">
            <w:pPr>
              <w:jc w:val="left"/>
              <w:rPr>
                <w:rFonts w:hint="eastAsia" w:ascii="宋体" w:hAnsi="宋体" w:eastAsia="宋体" w:cs="宋体"/>
                <w:color w:val="auto"/>
                <w:kern w:val="0"/>
                <w:sz w:val="24"/>
                <w:szCs w:val="24"/>
                <w:highlight w:val="none"/>
                <w:lang w:eastAsia="zh-CN"/>
              </w:rPr>
            </w:pPr>
          </w:p>
        </w:tc>
        <w:tc>
          <w:tcPr>
            <w:tcW w:w="6100" w:type="dxa"/>
            <w:tcBorders>
              <w:left w:val="single" w:color="auto" w:sz="4" w:space="0"/>
              <w:right w:val="single" w:color="auto" w:sz="4" w:space="0"/>
            </w:tcBorders>
            <w:vAlign w:val="center"/>
          </w:tcPr>
          <w:p w14:paraId="02213580">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根据供应商拟投入本项目的项目组成员</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yellow"/>
                <w:lang w:val="en-US" w:eastAsia="zh-CN"/>
              </w:rPr>
              <w:t>除</w:t>
            </w:r>
            <w:r>
              <w:rPr>
                <w:rFonts w:hint="eastAsia" w:ascii="宋体" w:hAnsi="宋体" w:eastAsia="宋体" w:cs="宋体"/>
                <w:color w:val="auto"/>
                <w:kern w:val="0"/>
                <w:sz w:val="24"/>
                <w:szCs w:val="24"/>
                <w:highlight w:val="yellow"/>
                <w:lang w:eastAsia="zh-CN"/>
              </w:rPr>
              <w:t>项目负责人</w:t>
            </w:r>
            <w:r>
              <w:rPr>
                <w:rFonts w:hint="eastAsia" w:ascii="宋体" w:hAnsi="宋体" w:cs="宋体"/>
                <w:color w:val="auto"/>
                <w:kern w:val="0"/>
                <w:sz w:val="24"/>
                <w:szCs w:val="24"/>
                <w:highlight w:val="yellow"/>
                <w:lang w:val="en-US" w:eastAsia="zh-CN"/>
              </w:rPr>
              <w:t>外</w:t>
            </w:r>
            <w:r>
              <w:rPr>
                <w:rFonts w:hint="eastAsia" w:ascii="宋体" w:hAnsi="宋体" w:cs="宋体"/>
                <w:color w:val="auto"/>
                <w:kern w:val="0"/>
                <w:sz w:val="24"/>
                <w:szCs w:val="24"/>
                <w:highlight w:val="yellow"/>
                <w:lang w:eastAsia="zh-CN"/>
              </w:rPr>
              <w:t>）</w:t>
            </w:r>
            <w:r>
              <w:rPr>
                <w:rFonts w:hint="eastAsia" w:ascii="宋体" w:hAnsi="宋体" w:eastAsia="宋体" w:cs="宋体"/>
                <w:color w:val="auto"/>
                <w:kern w:val="0"/>
                <w:sz w:val="24"/>
                <w:szCs w:val="24"/>
                <w:highlight w:val="yellow"/>
                <w:lang w:eastAsia="zh-CN"/>
              </w:rPr>
              <w:t>的素质</w:t>
            </w:r>
            <w:r>
              <w:rPr>
                <w:rFonts w:hint="eastAsia" w:ascii="宋体" w:hAnsi="宋体" w:eastAsia="宋体" w:cs="宋体"/>
                <w:color w:val="auto"/>
                <w:kern w:val="0"/>
                <w:sz w:val="24"/>
                <w:szCs w:val="24"/>
                <w:highlight w:val="none"/>
                <w:lang w:eastAsia="zh-CN"/>
              </w:rPr>
              <w:t>、专业、经验、技术能力等情况进行打分。（</w:t>
            </w:r>
            <w:r>
              <w:rPr>
                <w:rFonts w:hint="eastAsia" w:ascii="宋体" w:hAnsi="宋体" w:cs="宋体"/>
                <w:color w:val="auto"/>
                <w:kern w:val="0"/>
                <w:sz w:val="24"/>
                <w:szCs w:val="24"/>
                <w:highlight w:val="none"/>
                <w:lang w:val="en-US" w:eastAsia="zh-CN"/>
              </w:rPr>
              <w:t>经验需是</w:t>
            </w:r>
            <w:r>
              <w:rPr>
                <w:rFonts w:hint="eastAsia" w:ascii="宋体" w:hAnsi="宋体" w:eastAsia="宋体" w:cs="宋体"/>
                <w:color w:val="auto"/>
                <w:kern w:val="0"/>
                <w:sz w:val="24"/>
                <w:szCs w:val="24"/>
                <w:highlight w:val="none"/>
                <w:lang w:val="en-US" w:eastAsia="zh-CN"/>
              </w:rPr>
              <w:t>医疗软件类项目开发和运维经验，需提供相关证明材料及本单位缴纳的社保证明材料加盖公章</w:t>
            </w:r>
            <w:r>
              <w:rPr>
                <w:rFonts w:hint="eastAsia" w:ascii="宋体" w:hAnsi="宋体" w:eastAsia="宋体" w:cs="宋体"/>
                <w:color w:val="auto"/>
                <w:kern w:val="0"/>
                <w:sz w:val="24"/>
                <w:szCs w:val="24"/>
                <w:highlight w:val="none"/>
                <w:lang w:eastAsia="zh-CN"/>
              </w:rPr>
              <w:t>）</w:t>
            </w:r>
          </w:p>
        </w:tc>
        <w:tc>
          <w:tcPr>
            <w:tcW w:w="857" w:type="dxa"/>
            <w:tcBorders>
              <w:left w:val="single" w:color="auto" w:sz="4" w:space="0"/>
              <w:right w:val="single" w:color="auto" w:sz="4" w:space="0"/>
            </w:tcBorders>
            <w:vAlign w:val="center"/>
          </w:tcPr>
          <w:p w14:paraId="0B1AA894">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r>
      <w:tr w14:paraId="5AB6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85" w:type="dxa"/>
            <w:vMerge w:val="continue"/>
            <w:tcBorders>
              <w:left w:val="single" w:color="auto" w:sz="4" w:space="0"/>
              <w:right w:val="single" w:color="auto" w:sz="4" w:space="0"/>
            </w:tcBorders>
            <w:vAlign w:val="center"/>
          </w:tcPr>
          <w:p w14:paraId="74F30E48">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62BABC19">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应急预案</w:t>
            </w:r>
          </w:p>
        </w:tc>
        <w:tc>
          <w:tcPr>
            <w:tcW w:w="6100" w:type="dxa"/>
            <w:tcBorders>
              <w:left w:val="single" w:color="auto" w:sz="4" w:space="0"/>
              <w:right w:val="single" w:color="auto" w:sz="4" w:space="0"/>
            </w:tcBorders>
            <w:vAlign w:val="center"/>
          </w:tcPr>
          <w:p w14:paraId="10DC0BAC">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根据供应商针对项目运维过程中遇到应急情况有所预见和准备、预防措施、针对措施、应急人员的安排等系统实施可能遇到的问题及其应对措施的考虑情况等进行打分。</w:t>
            </w:r>
          </w:p>
        </w:tc>
        <w:tc>
          <w:tcPr>
            <w:tcW w:w="857" w:type="dxa"/>
            <w:tcBorders>
              <w:left w:val="single" w:color="auto" w:sz="4" w:space="0"/>
              <w:right w:val="single" w:color="auto" w:sz="4" w:space="0"/>
            </w:tcBorders>
            <w:vAlign w:val="center"/>
          </w:tcPr>
          <w:p w14:paraId="73BD61A8">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w:t>
            </w:r>
          </w:p>
        </w:tc>
      </w:tr>
      <w:tr w14:paraId="1591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85" w:type="dxa"/>
            <w:vMerge w:val="continue"/>
            <w:tcBorders>
              <w:left w:val="single" w:color="auto" w:sz="4" w:space="0"/>
              <w:right w:val="single" w:color="auto" w:sz="4" w:space="0"/>
            </w:tcBorders>
            <w:vAlign w:val="center"/>
          </w:tcPr>
          <w:p w14:paraId="2B3251B8">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54F124C8">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定期巡检方案</w:t>
            </w:r>
          </w:p>
        </w:tc>
        <w:tc>
          <w:tcPr>
            <w:tcW w:w="6100" w:type="dxa"/>
            <w:tcBorders>
              <w:left w:val="single" w:color="auto" w:sz="4" w:space="0"/>
              <w:right w:val="single" w:color="auto" w:sz="4" w:space="0"/>
            </w:tcBorders>
            <w:vAlign w:val="center"/>
          </w:tcPr>
          <w:p w14:paraId="12EF1140">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根据供应商针对本项目定期巡检制度和系统运行情况报告制度，定期出具巡检和系统运行情况报告；是否建立服务档案和解决方案资料库等工作台</w:t>
            </w:r>
            <w:r>
              <w:rPr>
                <w:rFonts w:hint="eastAsia" w:ascii="宋体" w:hAnsi="宋体" w:eastAsia="宋体" w:cs="宋体"/>
                <w:color w:val="auto"/>
                <w:kern w:val="0"/>
                <w:sz w:val="24"/>
                <w:szCs w:val="24"/>
                <w:highlight w:val="none"/>
                <w:lang w:val="zh-CN" w:eastAsia="zh-CN"/>
              </w:rPr>
              <w:t>情况由</w:t>
            </w:r>
            <w:r>
              <w:rPr>
                <w:rFonts w:hint="eastAsia" w:ascii="宋体" w:hAnsi="宋体" w:eastAsia="宋体" w:cs="宋体"/>
                <w:color w:val="auto"/>
                <w:kern w:val="0"/>
                <w:sz w:val="24"/>
                <w:szCs w:val="24"/>
                <w:highlight w:val="none"/>
                <w:lang w:eastAsia="zh-CN"/>
              </w:rPr>
              <w:t>进行打分。</w:t>
            </w:r>
          </w:p>
        </w:tc>
        <w:tc>
          <w:tcPr>
            <w:tcW w:w="857" w:type="dxa"/>
            <w:tcBorders>
              <w:left w:val="single" w:color="auto" w:sz="4" w:space="0"/>
              <w:right w:val="single" w:color="auto" w:sz="4" w:space="0"/>
            </w:tcBorders>
            <w:vAlign w:val="center"/>
          </w:tcPr>
          <w:p w14:paraId="2C58FC5C">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w:t>
            </w:r>
          </w:p>
        </w:tc>
      </w:tr>
      <w:tr w14:paraId="1633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85" w:type="dxa"/>
            <w:vMerge w:val="continue"/>
            <w:tcBorders>
              <w:left w:val="single" w:color="auto" w:sz="4" w:space="0"/>
              <w:right w:val="single" w:color="auto" w:sz="4" w:space="0"/>
            </w:tcBorders>
            <w:vAlign w:val="center"/>
          </w:tcPr>
          <w:p w14:paraId="12FC81E4">
            <w:pPr>
              <w:jc w:val="center"/>
              <w:rPr>
                <w:rFonts w:hint="eastAsia" w:ascii="宋体" w:hAnsi="宋体" w:eastAsia="宋体" w:cs="宋体"/>
                <w:sz w:val="24"/>
                <w:szCs w:val="24"/>
                <w:highlight w:val="none"/>
              </w:rPr>
            </w:pPr>
          </w:p>
        </w:tc>
        <w:tc>
          <w:tcPr>
            <w:tcW w:w="1439" w:type="dxa"/>
            <w:vMerge w:val="restart"/>
            <w:tcBorders>
              <w:left w:val="single" w:color="auto" w:sz="4" w:space="0"/>
              <w:right w:val="single" w:color="auto" w:sz="4" w:space="0"/>
            </w:tcBorders>
            <w:vAlign w:val="center"/>
          </w:tcPr>
          <w:p w14:paraId="0DB1EDBC">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质量保证</w:t>
            </w:r>
          </w:p>
        </w:tc>
        <w:tc>
          <w:tcPr>
            <w:tcW w:w="6100" w:type="dxa"/>
            <w:tcBorders>
              <w:left w:val="single" w:color="auto" w:sz="4" w:space="0"/>
              <w:right w:val="single" w:color="auto" w:sz="4" w:space="0"/>
            </w:tcBorders>
            <w:vAlign w:val="center"/>
          </w:tcPr>
          <w:p w14:paraId="557C3126">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根据供应商针对本项目实施质量管理体系、质量控制标准及质量管理措施的</w:t>
            </w:r>
            <w:r>
              <w:rPr>
                <w:rFonts w:hint="eastAsia" w:ascii="宋体" w:hAnsi="宋体" w:eastAsia="宋体" w:cs="宋体"/>
                <w:color w:val="auto"/>
                <w:kern w:val="0"/>
                <w:sz w:val="24"/>
                <w:szCs w:val="24"/>
                <w:highlight w:val="none"/>
                <w:lang w:val="zh-CN" w:eastAsia="zh-CN"/>
              </w:rPr>
              <w:t>可行性及合理性等情况由</w:t>
            </w:r>
            <w:r>
              <w:rPr>
                <w:rFonts w:hint="eastAsia" w:ascii="宋体" w:hAnsi="宋体" w:eastAsia="宋体" w:cs="宋体"/>
                <w:color w:val="auto"/>
                <w:kern w:val="0"/>
                <w:sz w:val="24"/>
                <w:szCs w:val="24"/>
                <w:highlight w:val="none"/>
                <w:lang w:eastAsia="zh-CN"/>
              </w:rPr>
              <w:t>评委打分。</w:t>
            </w:r>
          </w:p>
        </w:tc>
        <w:tc>
          <w:tcPr>
            <w:tcW w:w="857" w:type="dxa"/>
            <w:tcBorders>
              <w:left w:val="single" w:color="auto" w:sz="4" w:space="0"/>
              <w:right w:val="single" w:color="auto" w:sz="4" w:space="0"/>
            </w:tcBorders>
            <w:vAlign w:val="center"/>
          </w:tcPr>
          <w:p w14:paraId="65CDA04B">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3A92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85" w:type="dxa"/>
            <w:vMerge w:val="continue"/>
            <w:tcBorders>
              <w:left w:val="single" w:color="auto" w:sz="4" w:space="0"/>
              <w:right w:val="single" w:color="auto" w:sz="4" w:space="0"/>
            </w:tcBorders>
            <w:vAlign w:val="center"/>
          </w:tcPr>
          <w:p w14:paraId="24F5E80B">
            <w:pPr>
              <w:jc w:val="center"/>
              <w:rPr>
                <w:rFonts w:hint="eastAsia" w:eastAsia="宋体"/>
                <w:lang w:eastAsia="zh-CN"/>
              </w:rPr>
            </w:pPr>
            <w:r>
              <w:rPr>
                <w:rFonts w:hint="eastAsia"/>
                <w:lang w:eastAsia="zh-CN"/>
              </w:rPr>
              <w:t>3</w:t>
            </w:r>
          </w:p>
        </w:tc>
        <w:tc>
          <w:tcPr>
            <w:tcW w:w="1439" w:type="dxa"/>
            <w:vMerge w:val="continue"/>
            <w:tcBorders>
              <w:left w:val="single" w:color="auto" w:sz="4" w:space="0"/>
              <w:right w:val="single" w:color="auto" w:sz="4" w:space="0"/>
            </w:tcBorders>
            <w:vAlign w:val="center"/>
          </w:tcPr>
          <w:p w14:paraId="12925659">
            <w:pPr>
              <w:jc w:val="left"/>
              <w:rPr>
                <w:rFonts w:hint="eastAsia" w:ascii="宋体" w:hAnsi="宋体" w:eastAsia="宋体" w:cs="宋体"/>
                <w:color w:val="auto"/>
                <w:kern w:val="0"/>
                <w:sz w:val="24"/>
                <w:szCs w:val="24"/>
                <w:highlight w:val="none"/>
                <w:lang w:eastAsia="zh-CN"/>
              </w:rPr>
            </w:pPr>
          </w:p>
        </w:tc>
        <w:tc>
          <w:tcPr>
            <w:tcW w:w="6100" w:type="dxa"/>
            <w:tcBorders>
              <w:left w:val="single" w:color="auto" w:sz="4" w:space="0"/>
              <w:right w:val="single" w:color="auto" w:sz="4" w:space="0"/>
            </w:tcBorders>
            <w:vAlign w:val="center"/>
          </w:tcPr>
          <w:p w14:paraId="5DA976D9">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w:t>
            </w:r>
            <w:r>
              <w:rPr>
                <w:rFonts w:hint="eastAsia" w:ascii="宋体" w:hAnsi="宋体" w:eastAsia="宋体" w:cs="宋体"/>
                <w:color w:val="auto"/>
                <w:kern w:val="0"/>
                <w:sz w:val="24"/>
                <w:szCs w:val="24"/>
                <w:highlight w:val="none"/>
                <w:lang w:val="zh-CN" w:eastAsia="zh-CN"/>
              </w:rPr>
              <w:t>保密安全措施</w:t>
            </w:r>
            <w:r>
              <w:rPr>
                <w:rFonts w:hint="eastAsia" w:ascii="宋体" w:hAnsi="宋体" w:eastAsia="宋体" w:cs="宋体"/>
                <w:color w:val="auto"/>
                <w:kern w:val="0"/>
                <w:sz w:val="24"/>
                <w:szCs w:val="24"/>
                <w:highlight w:val="none"/>
                <w:lang w:eastAsia="zh-CN"/>
              </w:rPr>
              <w:t>及安全保障技术的先进性</w:t>
            </w:r>
            <w:r>
              <w:rPr>
                <w:rFonts w:hint="eastAsia" w:ascii="宋体" w:hAnsi="宋体" w:eastAsia="宋体" w:cs="宋体"/>
                <w:color w:val="auto"/>
                <w:kern w:val="0"/>
                <w:sz w:val="24"/>
                <w:szCs w:val="24"/>
                <w:highlight w:val="none"/>
                <w:lang w:val="zh-CN" w:eastAsia="zh-CN"/>
              </w:rPr>
              <w:t>及合理性等情况由</w:t>
            </w:r>
            <w:r>
              <w:rPr>
                <w:rFonts w:hint="eastAsia" w:ascii="宋体" w:hAnsi="宋体" w:eastAsia="宋体" w:cs="宋体"/>
                <w:color w:val="auto"/>
                <w:kern w:val="0"/>
                <w:sz w:val="24"/>
                <w:szCs w:val="24"/>
                <w:highlight w:val="none"/>
                <w:lang w:eastAsia="zh-CN"/>
              </w:rPr>
              <w:t>进行打分。</w:t>
            </w:r>
            <w:r>
              <w:rPr>
                <w:rFonts w:hint="eastAsia" w:ascii="宋体" w:hAnsi="宋体" w:eastAsia="宋体" w:cs="宋体"/>
                <w:color w:val="auto"/>
                <w:kern w:val="0"/>
                <w:sz w:val="24"/>
                <w:szCs w:val="24"/>
                <w:highlight w:val="none"/>
                <w:lang w:val="en-US" w:eastAsia="zh-CN"/>
              </w:rPr>
              <w:t>承诺按照采购需求实施，对工作人员开展常态化安全保密教育，组织签订保密协议、安全保密承诺书，履行具体保密管理内容、安全保密义务和责任等。提供承诺函，加盖公章，格式自拟。</w:t>
            </w:r>
          </w:p>
        </w:tc>
        <w:tc>
          <w:tcPr>
            <w:tcW w:w="857" w:type="dxa"/>
            <w:tcBorders>
              <w:left w:val="single" w:color="auto" w:sz="4" w:space="0"/>
              <w:right w:val="single" w:color="auto" w:sz="4" w:space="0"/>
            </w:tcBorders>
            <w:vAlign w:val="center"/>
          </w:tcPr>
          <w:p w14:paraId="4C4C7E93">
            <w:pPr>
              <w:jc w:val="center"/>
              <w:rPr>
                <w:rFonts w:hint="eastAsia" w:ascii="宋体" w:hAnsi="宋体" w:eastAsia="宋体" w:cs="宋体"/>
                <w:color w:val="auto"/>
                <w:kern w:val="0"/>
                <w:sz w:val="24"/>
                <w:szCs w:val="24"/>
                <w:highlight w:val="none"/>
                <w:lang w:val="en-US" w:eastAsia="zh-CN"/>
              </w:rPr>
            </w:pPr>
          </w:p>
          <w:p w14:paraId="592231D9">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r>
      <w:tr w14:paraId="3355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85" w:type="dxa"/>
            <w:vMerge w:val="continue"/>
            <w:tcBorders>
              <w:left w:val="single" w:color="auto" w:sz="4" w:space="0"/>
              <w:right w:val="single" w:color="auto" w:sz="4" w:space="0"/>
            </w:tcBorders>
            <w:vAlign w:val="center"/>
          </w:tcPr>
          <w:p w14:paraId="1106319B">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4668378B">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售后服务</w:t>
            </w:r>
          </w:p>
        </w:tc>
        <w:tc>
          <w:tcPr>
            <w:tcW w:w="6100" w:type="dxa"/>
            <w:tcBorders>
              <w:left w:val="single" w:color="auto" w:sz="4" w:space="0"/>
              <w:right w:val="single" w:color="auto" w:sz="4" w:space="0"/>
            </w:tcBorders>
            <w:vAlign w:val="center"/>
          </w:tcPr>
          <w:p w14:paraId="27DF9580">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根据供应商针对本项目的售后服务方案进行打分，包括售后项目组成员职责分工、售后服务承诺、售后服务响应时间等进行打分。</w:t>
            </w:r>
          </w:p>
        </w:tc>
        <w:tc>
          <w:tcPr>
            <w:tcW w:w="857" w:type="dxa"/>
            <w:tcBorders>
              <w:left w:val="single" w:color="auto" w:sz="4" w:space="0"/>
              <w:right w:val="single" w:color="auto" w:sz="4" w:space="0"/>
            </w:tcBorders>
            <w:vAlign w:val="center"/>
          </w:tcPr>
          <w:p w14:paraId="015736B8">
            <w:pPr>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r>
      <w:tr w14:paraId="4488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85" w:type="dxa"/>
            <w:vMerge w:val="continue"/>
            <w:tcBorders>
              <w:left w:val="single" w:color="auto" w:sz="4" w:space="0"/>
              <w:right w:val="single" w:color="auto" w:sz="4" w:space="0"/>
            </w:tcBorders>
            <w:vAlign w:val="center"/>
          </w:tcPr>
          <w:p w14:paraId="60181899">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5D49FC13">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培训方案</w:t>
            </w:r>
          </w:p>
        </w:tc>
        <w:tc>
          <w:tcPr>
            <w:tcW w:w="6100" w:type="dxa"/>
            <w:tcBorders>
              <w:left w:val="single" w:color="auto" w:sz="4" w:space="0"/>
              <w:right w:val="single" w:color="auto" w:sz="4" w:space="0"/>
            </w:tcBorders>
            <w:vAlign w:val="center"/>
          </w:tcPr>
          <w:p w14:paraId="0F171D97">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培训方案包括：培训内容、培训方式、培训教材、培训频次等，根据培训方案的针对性（针对不同系统和不同机构，面向不同的医务人员）、可行性进行打分；未提供相关内容相关方案的不得分。</w:t>
            </w:r>
          </w:p>
        </w:tc>
        <w:tc>
          <w:tcPr>
            <w:tcW w:w="857" w:type="dxa"/>
            <w:tcBorders>
              <w:left w:val="single" w:color="auto" w:sz="4" w:space="0"/>
              <w:right w:val="single" w:color="auto" w:sz="4" w:space="0"/>
            </w:tcBorders>
            <w:vAlign w:val="center"/>
          </w:tcPr>
          <w:p w14:paraId="7AB0C1B6">
            <w:pPr>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r>
      <w:tr w14:paraId="1A81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85" w:type="dxa"/>
            <w:vMerge w:val="continue"/>
            <w:tcBorders>
              <w:left w:val="single" w:color="auto" w:sz="4" w:space="0"/>
              <w:right w:val="single" w:color="auto" w:sz="4" w:space="0"/>
            </w:tcBorders>
            <w:vAlign w:val="center"/>
          </w:tcPr>
          <w:p w14:paraId="7641DC69">
            <w:pPr>
              <w:spacing w:line="360" w:lineRule="auto"/>
              <w:jc w:val="center"/>
              <w:rPr>
                <w:rFonts w:hint="eastAsia" w:ascii="宋体" w:hAnsi="宋体" w:eastAsia="宋体" w:cs="宋体"/>
                <w:color w:val="auto"/>
                <w:sz w:val="24"/>
                <w:szCs w:val="24"/>
                <w:highlight w:val="none"/>
              </w:rPr>
            </w:pPr>
          </w:p>
        </w:tc>
        <w:tc>
          <w:tcPr>
            <w:tcW w:w="1439" w:type="dxa"/>
            <w:tcBorders>
              <w:left w:val="single" w:color="auto" w:sz="4" w:space="0"/>
              <w:right w:val="single" w:color="auto" w:sz="4" w:space="0"/>
            </w:tcBorders>
            <w:vAlign w:val="center"/>
          </w:tcPr>
          <w:p w14:paraId="7A395061">
            <w:pPr>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合理化建议</w:t>
            </w:r>
          </w:p>
        </w:tc>
        <w:tc>
          <w:tcPr>
            <w:tcW w:w="6100" w:type="dxa"/>
            <w:tcBorders>
              <w:left w:val="single" w:color="auto" w:sz="4" w:space="0"/>
              <w:right w:val="single" w:color="auto" w:sz="4" w:space="0"/>
            </w:tcBorders>
            <w:shd w:val="clear" w:color="auto" w:fill="auto"/>
            <w:vAlign w:val="center"/>
          </w:tcPr>
          <w:p w14:paraId="0FF35255">
            <w:pPr>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针对本项目的重点和难点提供合理化的建议，是否符</w:t>
            </w:r>
            <w:r>
              <w:rPr>
                <w:rFonts w:hint="eastAsia" w:ascii="宋体" w:hAnsi="宋体" w:eastAsia="宋体" w:cs="宋体"/>
                <w:color w:val="auto"/>
                <w:kern w:val="0"/>
                <w:sz w:val="24"/>
                <w:szCs w:val="24"/>
                <w:highlight w:val="none"/>
                <w:lang w:val="en-US" w:eastAsia="zh-CN"/>
              </w:rPr>
              <w:t>和医疗机构</w:t>
            </w:r>
            <w:r>
              <w:rPr>
                <w:rFonts w:hint="eastAsia" w:ascii="宋体" w:hAnsi="宋体" w:eastAsia="宋体" w:cs="宋体"/>
                <w:color w:val="auto"/>
                <w:kern w:val="0"/>
                <w:sz w:val="24"/>
                <w:szCs w:val="24"/>
                <w:highlight w:val="none"/>
                <w:lang w:eastAsia="zh-CN"/>
              </w:rPr>
              <w:t>实际情况进行打分</w:t>
            </w:r>
          </w:p>
        </w:tc>
        <w:tc>
          <w:tcPr>
            <w:tcW w:w="857" w:type="dxa"/>
            <w:tcBorders>
              <w:left w:val="single" w:color="auto" w:sz="4" w:space="0"/>
              <w:right w:val="single" w:color="auto" w:sz="4" w:space="0"/>
            </w:tcBorders>
            <w:shd w:val="clear" w:color="auto" w:fill="auto"/>
            <w:vAlign w:val="center"/>
          </w:tcPr>
          <w:p w14:paraId="45444689">
            <w:pPr>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r>
      <w:tr w14:paraId="5294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5" w:type="dxa"/>
            <w:vMerge w:val="restart"/>
            <w:tcBorders>
              <w:left w:val="single" w:color="auto" w:sz="4" w:space="0"/>
              <w:right w:val="single" w:color="auto" w:sz="4" w:space="0"/>
            </w:tcBorders>
            <w:vAlign w:val="center"/>
          </w:tcPr>
          <w:p w14:paraId="682B95E8">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资信</w:t>
            </w:r>
          </w:p>
        </w:tc>
        <w:tc>
          <w:tcPr>
            <w:tcW w:w="1439" w:type="dxa"/>
            <w:vMerge w:val="restart"/>
            <w:tcBorders>
              <w:left w:val="single" w:color="auto" w:sz="4" w:space="0"/>
              <w:right w:val="single" w:color="auto" w:sz="4" w:space="0"/>
            </w:tcBorders>
            <w:vAlign w:val="center"/>
          </w:tcPr>
          <w:p w14:paraId="34F0179E">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企业证书</w:t>
            </w:r>
          </w:p>
        </w:tc>
        <w:tc>
          <w:tcPr>
            <w:tcW w:w="6100" w:type="dxa"/>
            <w:tcBorders>
              <w:left w:val="single" w:color="auto" w:sz="4" w:space="0"/>
              <w:right w:val="single" w:color="auto" w:sz="4" w:space="0"/>
            </w:tcBorders>
            <w:vAlign w:val="center"/>
          </w:tcPr>
          <w:p w14:paraId="43013251">
            <w:pPr>
              <w:autoSpaceDE w:val="0"/>
              <w:autoSpaceDN w:val="0"/>
              <w:adjustRightIn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209B296D">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r>
      <w:tr w14:paraId="59D1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85" w:type="dxa"/>
            <w:vMerge w:val="continue"/>
            <w:tcBorders>
              <w:left w:val="single" w:color="auto" w:sz="4" w:space="0"/>
              <w:right w:val="single" w:color="auto" w:sz="4" w:space="0"/>
            </w:tcBorders>
            <w:vAlign w:val="center"/>
          </w:tcPr>
          <w:p w14:paraId="48EAA0D2">
            <w:pPr>
              <w:spacing w:line="360" w:lineRule="auto"/>
              <w:jc w:val="center"/>
              <w:rPr>
                <w:rFonts w:hint="eastAsia" w:ascii="宋体" w:hAnsi="宋体" w:eastAsia="宋体" w:cs="宋体"/>
                <w:color w:val="auto"/>
                <w:sz w:val="24"/>
                <w:szCs w:val="24"/>
                <w:highlight w:val="none"/>
              </w:rPr>
            </w:pPr>
          </w:p>
        </w:tc>
        <w:tc>
          <w:tcPr>
            <w:tcW w:w="1439" w:type="dxa"/>
            <w:vMerge w:val="continue"/>
            <w:tcBorders>
              <w:left w:val="single" w:color="auto" w:sz="4" w:space="0"/>
              <w:right w:val="single" w:color="auto" w:sz="4" w:space="0"/>
            </w:tcBorders>
            <w:vAlign w:val="center"/>
          </w:tcPr>
          <w:p w14:paraId="2B5A72F7">
            <w:pPr>
              <w:autoSpaceDE w:val="0"/>
              <w:autoSpaceDN w:val="0"/>
              <w:adjustRightInd w:val="0"/>
              <w:jc w:val="center"/>
              <w:rPr>
                <w:rFonts w:hint="eastAsia" w:ascii="宋体" w:hAnsi="宋体" w:eastAsia="宋体" w:cs="宋体"/>
                <w:color w:val="auto"/>
                <w:kern w:val="0"/>
                <w:sz w:val="24"/>
                <w:szCs w:val="24"/>
                <w:highlight w:val="none"/>
                <w:lang w:val="en-US" w:eastAsia="zh-CN"/>
              </w:rPr>
            </w:pPr>
          </w:p>
        </w:tc>
        <w:tc>
          <w:tcPr>
            <w:tcW w:w="6100" w:type="dxa"/>
            <w:tcBorders>
              <w:left w:val="single" w:color="auto" w:sz="4" w:space="0"/>
              <w:right w:val="single" w:color="auto" w:sz="4" w:space="0"/>
            </w:tcBorders>
            <w:vAlign w:val="center"/>
          </w:tcPr>
          <w:p w14:paraId="187C70C6">
            <w:pPr>
              <w:autoSpaceDE w:val="0"/>
              <w:autoSpaceDN w:val="0"/>
              <w:adjustRightIn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35378D05">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r>
      <w:tr w14:paraId="0310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85" w:type="dxa"/>
            <w:vMerge w:val="continue"/>
            <w:tcBorders>
              <w:left w:val="single" w:color="auto" w:sz="4" w:space="0"/>
              <w:right w:val="single" w:color="auto" w:sz="4" w:space="0"/>
            </w:tcBorders>
            <w:vAlign w:val="center"/>
          </w:tcPr>
          <w:p w14:paraId="3814BE15">
            <w:pPr>
              <w:spacing w:line="360" w:lineRule="auto"/>
              <w:jc w:val="center"/>
              <w:rPr>
                <w:rFonts w:hint="eastAsia" w:ascii="宋体" w:hAnsi="宋体" w:eastAsia="宋体" w:cs="宋体"/>
                <w:color w:val="auto"/>
                <w:sz w:val="24"/>
                <w:szCs w:val="24"/>
                <w:highlight w:val="none"/>
              </w:rPr>
            </w:pPr>
          </w:p>
        </w:tc>
        <w:tc>
          <w:tcPr>
            <w:tcW w:w="1439" w:type="dxa"/>
            <w:vMerge w:val="restart"/>
            <w:tcBorders>
              <w:left w:val="single" w:color="auto" w:sz="4" w:space="0"/>
              <w:right w:val="single" w:color="auto" w:sz="4" w:space="0"/>
            </w:tcBorders>
            <w:vAlign w:val="center"/>
          </w:tcPr>
          <w:p w14:paraId="79BCFA9C">
            <w:pPr>
              <w:autoSpaceDE w:val="0"/>
              <w:autoSpaceDN w:val="0"/>
              <w:adjustRightInd w:val="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sz w:val="24"/>
                <w:szCs w:val="24"/>
                <w:highlight w:val="none"/>
                <w:lang w:val="en-US" w:eastAsia="zh-CN"/>
              </w:rPr>
              <w:t>人员证书</w:t>
            </w:r>
          </w:p>
        </w:tc>
        <w:tc>
          <w:tcPr>
            <w:tcW w:w="6100" w:type="dxa"/>
            <w:tcBorders>
              <w:left w:val="single" w:color="auto" w:sz="4" w:space="0"/>
              <w:right w:val="single" w:color="auto" w:sz="4" w:space="0"/>
            </w:tcBorders>
            <w:vAlign w:val="center"/>
          </w:tcPr>
          <w:p w14:paraId="096C4BE2">
            <w:pPr>
              <w:autoSpaceDE w:val="0"/>
              <w:autoSpaceDN w:val="0"/>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6B48D24B">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04D2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85" w:type="dxa"/>
            <w:vMerge w:val="continue"/>
            <w:tcBorders>
              <w:left w:val="single" w:color="auto" w:sz="4" w:space="0"/>
              <w:right w:val="single" w:color="auto" w:sz="4" w:space="0"/>
            </w:tcBorders>
            <w:vAlign w:val="center"/>
          </w:tcPr>
          <w:p w14:paraId="0A0F5E80">
            <w:pPr>
              <w:jc w:val="center"/>
            </w:pPr>
          </w:p>
        </w:tc>
        <w:tc>
          <w:tcPr>
            <w:tcW w:w="1439" w:type="dxa"/>
            <w:vMerge w:val="continue"/>
            <w:tcBorders>
              <w:left w:val="single" w:color="auto" w:sz="4" w:space="0"/>
              <w:right w:val="single" w:color="auto" w:sz="4" w:space="0"/>
            </w:tcBorders>
            <w:vAlign w:val="center"/>
          </w:tcPr>
          <w:p w14:paraId="7F572754">
            <w:pPr>
              <w:jc w:val="center"/>
            </w:pPr>
          </w:p>
        </w:tc>
        <w:tc>
          <w:tcPr>
            <w:tcW w:w="6100" w:type="dxa"/>
            <w:tcBorders>
              <w:left w:val="single" w:color="auto" w:sz="4" w:space="0"/>
              <w:right w:val="single" w:color="auto" w:sz="4" w:space="0"/>
            </w:tcBorders>
            <w:vAlign w:val="center"/>
          </w:tcPr>
          <w:p w14:paraId="02A228C3">
            <w:pPr>
              <w:autoSpaceDE w:val="0"/>
              <w:autoSpaceDN w:val="0"/>
              <w:adjustRightIn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（具体详见商务要求表）</w:t>
            </w:r>
          </w:p>
        </w:tc>
        <w:tc>
          <w:tcPr>
            <w:tcW w:w="857" w:type="dxa"/>
            <w:tcBorders>
              <w:left w:val="single" w:color="auto" w:sz="4" w:space="0"/>
              <w:right w:val="single" w:color="auto" w:sz="4" w:space="0"/>
            </w:tcBorders>
            <w:vAlign w:val="center"/>
          </w:tcPr>
          <w:p w14:paraId="5B33B616">
            <w:pPr>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3</w:t>
            </w:r>
          </w:p>
        </w:tc>
      </w:tr>
    </w:tbl>
    <w:p w14:paraId="25D6A59F">
      <w:pPr>
        <w:pStyle w:val="22"/>
        <w:ind w:firstLine="0"/>
        <w:jc w:val="both"/>
        <w:rPr>
          <w:highlight w:val="none"/>
        </w:rPr>
      </w:pPr>
    </w:p>
    <w:p w14:paraId="4B7B2197">
      <w:pPr>
        <w:numPr>
          <w:ilvl w:val="0"/>
          <w:numId w:val="29"/>
        </w:numPr>
        <w:ind w:firstLine="482" w:firstLineChars="200"/>
        <w:jc w:val="left"/>
        <w:rPr>
          <w:rFonts w:ascii="宋体" w:hAnsi="宋体" w:cs="宋体"/>
          <w:sz w:val="24"/>
          <w:szCs w:val="24"/>
          <w:highlight w:val="none"/>
        </w:rPr>
      </w:pPr>
      <w:r>
        <w:rPr>
          <w:rFonts w:hint="eastAsia" w:ascii="宋体" w:hAnsi="宋体" w:cs="宋体"/>
          <w:b/>
          <w:bCs/>
          <w:sz w:val="24"/>
          <w:szCs w:val="24"/>
          <w:highlight w:val="none"/>
        </w:rPr>
        <w:t>商务要求表</w:t>
      </w:r>
      <w:r>
        <w:rPr>
          <w:rFonts w:hint="eastAsia" w:ascii="宋体" w:hAnsi="宋体" w:cs="宋体"/>
          <w:sz w:val="24"/>
          <w:szCs w:val="24"/>
          <w:highlight w:val="none"/>
        </w:rPr>
        <w:t>（对应评分标准）</w:t>
      </w:r>
    </w:p>
    <w:tbl>
      <w:tblPr>
        <w:tblStyle w:val="23"/>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331"/>
        <w:gridCol w:w="6060"/>
        <w:gridCol w:w="685"/>
      </w:tblGrid>
      <w:tr w14:paraId="31E6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2246" w:type="dxa"/>
            <w:gridSpan w:val="2"/>
            <w:tcBorders>
              <w:left w:val="single" w:color="auto" w:sz="4" w:space="0"/>
              <w:right w:val="single" w:color="auto" w:sz="4" w:space="0"/>
            </w:tcBorders>
            <w:vAlign w:val="center"/>
          </w:tcPr>
          <w:p w14:paraId="491AE6D3">
            <w:pPr>
              <w:keepNext w:val="0"/>
              <w:keepLines w:val="0"/>
              <w:pageBreakBefore w:val="0"/>
              <w:kinsoku/>
              <w:wordWrap/>
              <w:overflowPunct/>
              <w:topLinePunct w:val="0"/>
              <w:bidi w:val="0"/>
              <w:snapToGrid/>
              <w:spacing w:line="360" w:lineRule="auto"/>
              <w:ind w:firstLine="0" w:firstLineChars="0"/>
              <w:jc w:val="center"/>
              <w:textAlignment w:val="auto"/>
              <w:rPr>
                <w:rFonts w:ascii="宋体" w:hAnsi="宋体" w:cs="宋体"/>
                <w:sz w:val="24"/>
                <w:highlight w:val="none"/>
              </w:rPr>
            </w:pPr>
            <w:r>
              <w:rPr>
                <w:rFonts w:hint="eastAsia" w:ascii="宋体" w:hAnsi="宋体" w:cs="宋体"/>
                <w:sz w:val="24"/>
                <w:highlight w:val="none"/>
              </w:rPr>
              <w:t>服务时间</w:t>
            </w:r>
          </w:p>
          <w:p w14:paraId="32E3D9AD">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sz w:val="24"/>
                <w:highlight w:val="none"/>
              </w:rPr>
              <w:t>及地点</w:t>
            </w:r>
          </w:p>
        </w:tc>
        <w:tc>
          <w:tcPr>
            <w:tcW w:w="6060" w:type="dxa"/>
            <w:tcBorders>
              <w:top w:val="single" w:color="auto" w:sz="4" w:space="0"/>
              <w:left w:val="single" w:color="auto" w:sz="4" w:space="0"/>
              <w:bottom w:val="single" w:color="auto" w:sz="4" w:space="0"/>
              <w:right w:val="single" w:color="auto" w:sz="4" w:space="0"/>
            </w:tcBorders>
            <w:vAlign w:val="center"/>
          </w:tcPr>
          <w:p w14:paraId="57670EBC">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cs="宋体"/>
                <w:sz w:val="24"/>
                <w:highlight w:val="none"/>
              </w:rPr>
            </w:pPr>
            <w:r>
              <w:rPr>
                <w:rFonts w:hint="eastAsia" w:ascii="宋体" w:hAnsi="宋体" w:cs="宋体"/>
                <w:sz w:val="24"/>
                <w:highlight w:val="none"/>
              </w:rPr>
              <w:t>时间：服务期限</w:t>
            </w:r>
            <w:r>
              <w:rPr>
                <w:rFonts w:hint="eastAsia" w:ascii="宋体" w:hAnsi="宋体" w:cs="宋体"/>
                <w:sz w:val="24"/>
                <w:highlight w:val="none"/>
                <w:lang w:val="en-US" w:eastAsia="zh-CN"/>
              </w:rPr>
              <w:t>一</w:t>
            </w:r>
            <w:r>
              <w:rPr>
                <w:rFonts w:hint="eastAsia" w:ascii="宋体" w:hAnsi="宋体" w:cs="宋体"/>
                <w:sz w:val="24"/>
                <w:highlight w:val="none"/>
              </w:rPr>
              <w:t>年</w:t>
            </w:r>
          </w:p>
          <w:p w14:paraId="6DFEECBF">
            <w:pPr>
              <w:rPr>
                <w:rFonts w:hint="eastAsia" w:ascii="宋体" w:hAnsi="宋体" w:cs="宋体"/>
                <w:color w:val="auto"/>
                <w:sz w:val="24"/>
                <w:highlight w:val="none"/>
                <w:lang w:val="en-US" w:eastAsia="zh-CN"/>
              </w:rPr>
            </w:pPr>
            <w:r>
              <w:rPr>
                <w:rFonts w:hint="eastAsia" w:ascii="宋体" w:hAnsi="宋体" w:cs="宋体"/>
                <w:sz w:val="24"/>
                <w:highlight w:val="none"/>
              </w:rPr>
              <w:t>地点：上虞区</w:t>
            </w:r>
          </w:p>
        </w:tc>
        <w:tc>
          <w:tcPr>
            <w:tcW w:w="685" w:type="dxa"/>
            <w:tcBorders>
              <w:top w:val="single" w:color="auto" w:sz="4" w:space="0"/>
              <w:left w:val="single" w:color="auto" w:sz="4" w:space="0"/>
              <w:bottom w:val="single" w:color="auto" w:sz="4" w:space="0"/>
              <w:right w:val="single" w:color="auto" w:sz="4" w:space="0"/>
            </w:tcBorders>
            <w:vAlign w:val="center"/>
          </w:tcPr>
          <w:p w14:paraId="3BB0E33A">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分值</w:t>
            </w:r>
          </w:p>
        </w:tc>
      </w:tr>
      <w:tr w14:paraId="41C5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15" w:type="dxa"/>
            <w:vMerge w:val="restart"/>
            <w:tcBorders>
              <w:left w:val="single" w:color="auto" w:sz="4" w:space="0"/>
              <w:right w:val="single" w:color="auto" w:sz="4" w:space="0"/>
            </w:tcBorders>
            <w:vAlign w:val="center"/>
          </w:tcPr>
          <w:p w14:paraId="7BF18A20">
            <w:pPr>
              <w:jc w:val="center"/>
              <w:rPr>
                <w:rFonts w:hint="eastAsia" w:ascii="宋体" w:hAnsi="宋体" w:cs="宋体"/>
                <w:color w:val="auto"/>
                <w:sz w:val="24"/>
                <w:highlight w:val="none"/>
              </w:rPr>
            </w:pPr>
          </w:p>
          <w:p w14:paraId="73FBCEC5">
            <w:pPr>
              <w:jc w:val="center"/>
              <w:rPr>
                <w:rFonts w:hint="eastAsia" w:ascii="宋体" w:hAnsi="宋体" w:cs="宋体"/>
                <w:color w:val="auto"/>
                <w:sz w:val="24"/>
                <w:highlight w:val="none"/>
              </w:rPr>
            </w:pPr>
          </w:p>
          <w:p w14:paraId="748763AD">
            <w:pPr>
              <w:jc w:val="center"/>
              <w:rPr>
                <w:rFonts w:hint="eastAsia" w:ascii="宋体" w:hAnsi="宋体" w:cs="宋体"/>
                <w:color w:val="auto"/>
                <w:sz w:val="24"/>
                <w:highlight w:val="none"/>
              </w:rPr>
            </w:pPr>
          </w:p>
          <w:p w14:paraId="179DE807">
            <w:pPr>
              <w:jc w:val="center"/>
              <w:rPr>
                <w:rFonts w:hint="eastAsia" w:ascii="宋体" w:hAnsi="宋体" w:cs="宋体"/>
                <w:color w:val="auto"/>
                <w:sz w:val="24"/>
                <w:highlight w:val="none"/>
              </w:rPr>
            </w:pPr>
          </w:p>
          <w:p w14:paraId="768D61FE">
            <w:pPr>
              <w:jc w:val="center"/>
              <w:rPr>
                <w:rFonts w:hint="eastAsia" w:ascii="宋体" w:hAnsi="宋体" w:cs="宋体"/>
                <w:color w:val="auto"/>
                <w:sz w:val="24"/>
                <w:highlight w:val="none"/>
              </w:rPr>
            </w:pPr>
          </w:p>
          <w:p w14:paraId="5BC4CE20">
            <w:pPr>
              <w:jc w:val="center"/>
              <w:rPr>
                <w:rFonts w:ascii="宋体" w:hAnsi="宋体" w:cs="宋体"/>
                <w:color w:val="auto"/>
                <w:sz w:val="24"/>
                <w:highlight w:val="none"/>
              </w:rPr>
            </w:pPr>
            <w:r>
              <w:rPr>
                <w:rFonts w:hint="eastAsia" w:ascii="宋体" w:hAnsi="宋体" w:cs="宋体"/>
                <w:color w:val="auto"/>
                <w:sz w:val="24"/>
                <w:highlight w:val="none"/>
              </w:rPr>
              <w:t>资信</w:t>
            </w:r>
          </w:p>
        </w:tc>
        <w:tc>
          <w:tcPr>
            <w:tcW w:w="1331" w:type="dxa"/>
            <w:vMerge w:val="restart"/>
            <w:tcBorders>
              <w:top w:val="single" w:color="auto" w:sz="4" w:space="0"/>
              <w:left w:val="single" w:color="auto" w:sz="4" w:space="0"/>
              <w:right w:val="single" w:color="auto" w:sz="4" w:space="0"/>
            </w:tcBorders>
            <w:vAlign w:val="center"/>
          </w:tcPr>
          <w:p w14:paraId="6D90155B">
            <w:pPr>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企业证书</w:t>
            </w:r>
          </w:p>
        </w:tc>
        <w:tc>
          <w:tcPr>
            <w:tcW w:w="6060" w:type="dxa"/>
            <w:tcBorders>
              <w:top w:val="single" w:color="auto" w:sz="4" w:space="0"/>
              <w:left w:val="single" w:color="auto" w:sz="4" w:space="0"/>
              <w:bottom w:val="single" w:color="auto" w:sz="4" w:space="0"/>
              <w:right w:val="single" w:color="auto" w:sz="4" w:space="0"/>
            </w:tcBorders>
            <w:vAlign w:val="center"/>
          </w:tcPr>
          <w:p w14:paraId="119793BD">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zh-CN" w:eastAsia="zh-CN"/>
              </w:rPr>
              <w:t>供应商具有与本项目相关的软件著作权登记证书的，每个得1分，最高得3分。</w:t>
            </w:r>
            <w:r>
              <w:rPr>
                <w:rFonts w:hint="eastAsia" w:ascii="宋体" w:hAnsi="宋体" w:eastAsia="宋体" w:cs="宋体"/>
                <w:color w:val="auto"/>
                <w:kern w:val="0"/>
                <w:sz w:val="24"/>
                <w:szCs w:val="24"/>
                <w:highlight w:val="none"/>
                <w:lang w:eastAsia="zh-CN"/>
              </w:rPr>
              <w:t>（须提供相关证书扫描件加盖单位公章）</w:t>
            </w:r>
          </w:p>
        </w:tc>
        <w:tc>
          <w:tcPr>
            <w:tcW w:w="685" w:type="dxa"/>
            <w:tcBorders>
              <w:top w:val="single" w:color="auto" w:sz="4" w:space="0"/>
              <w:left w:val="single" w:color="auto" w:sz="4" w:space="0"/>
              <w:bottom w:val="single" w:color="auto" w:sz="4" w:space="0"/>
              <w:right w:val="single" w:color="auto" w:sz="4" w:space="0"/>
            </w:tcBorders>
            <w:vAlign w:val="center"/>
          </w:tcPr>
          <w:p w14:paraId="3E2102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0C74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915" w:type="dxa"/>
            <w:vMerge w:val="continue"/>
            <w:tcBorders>
              <w:left w:val="single" w:color="auto" w:sz="4" w:space="0"/>
              <w:right w:val="single" w:color="auto" w:sz="4" w:space="0"/>
            </w:tcBorders>
            <w:vAlign w:val="center"/>
          </w:tcPr>
          <w:p w14:paraId="1BCB39A6">
            <w:pPr>
              <w:jc w:val="center"/>
              <w:rPr>
                <w:rFonts w:hint="eastAsia" w:ascii="宋体" w:hAnsi="宋体" w:cs="宋体"/>
                <w:color w:val="auto"/>
                <w:sz w:val="24"/>
                <w:highlight w:val="none"/>
              </w:rPr>
            </w:pPr>
          </w:p>
        </w:tc>
        <w:tc>
          <w:tcPr>
            <w:tcW w:w="1331" w:type="dxa"/>
            <w:vMerge w:val="continue"/>
            <w:tcBorders>
              <w:left w:val="single" w:color="auto" w:sz="4" w:space="0"/>
              <w:right w:val="single" w:color="auto" w:sz="4" w:space="0"/>
            </w:tcBorders>
            <w:vAlign w:val="center"/>
          </w:tcPr>
          <w:p w14:paraId="26FDFC69">
            <w:pPr>
              <w:spacing w:line="360" w:lineRule="auto"/>
              <w:jc w:val="center"/>
              <w:rPr>
                <w:rFonts w:hint="eastAsia" w:ascii="宋体" w:hAnsi="宋体" w:cs="宋体"/>
                <w:color w:val="auto"/>
                <w:sz w:val="24"/>
                <w:szCs w:val="24"/>
                <w:highlight w:val="none"/>
              </w:rPr>
            </w:pPr>
          </w:p>
        </w:tc>
        <w:tc>
          <w:tcPr>
            <w:tcW w:w="6060" w:type="dxa"/>
            <w:tcBorders>
              <w:top w:val="single" w:color="auto" w:sz="4" w:space="0"/>
              <w:left w:val="single" w:color="auto" w:sz="4" w:space="0"/>
              <w:bottom w:val="single" w:color="auto" w:sz="4" w:space="0"/>
              <w:right w:val="single" w:color="auto" w:sz="4" w:space="0"/>
            </w:tcBorders>
            <w:vAlign w:val="center"/>
          </w:tcPr>
          <w:p w14:paraId="12E4E829">
            <w:pPr>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zh-CN" w:eastAsia="zh-CN"/>
              </w:rPr>
              <w:t>具有</w:t>
            </w:r>
            <w:r>
              <w:rPr>
                <w:rFonts w:hint="eastAsia" w:ascii="宋体" w:hAnsi="宋体" w:eastAsia="宋体" w:cs="宋体"/>
                <w:color w:val="auto"/>
                <w:kern w:val="0"/>
                <w:sz w:val="24"/>
                <w:szCs w:val="24"/>
                <w:highlight w:val="none"/>
                <w:lang w:eastAsia="zh-CN"/>
              </w:rPr>
              <w:t>有效期内的</w:t>
            </w:r>
            <w:r>
              <w:rPr>
                <w:rFonts w:hint="eastAsia" w:ascii="宋体" w:hAnsi="宋体" w:eastAsia="宋体" w:cs="宋体"/>
                <w:color w:val="auto"/>
                <w:kern w:val="0"/>
                <w:sz w:val="24"/>
                <w:szCs w:val="24"/>
                <w:highlight w:val="none"/>
                <w:lang w:val="zh-CN" w:eastAsia="zh-CN"/>
              </w:rPr>
              <w:t>信息安全管理体系认证证书（ISO27001）</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lang w:val="zh-CN" w:eastAsia="zh-CN"/>
              </w:rPr>
              <w:t>得</w:t>
            </w:r>
            <w:r>
              <w:rPr>
                <w:rFonts w:hint="eastAsia" w:ascii="宋体" w:hAnsi="宋体" w:eastAsia="宋体" w:cs="宋体"/>
                <w:color w:val="auto"/>
                <w:kern w:val="0"/>
                <w:sz w:val="24"/>
                <w:szCs w:val="24"/>
                <w:highlight w:val="none"/>
                <w:lang w:eastAsia="zh-CN"/>
              </w:rPr>
              <w:t>1分，最高得1分。</w:t>
            </w:r>
            <w:r>
              <w:rPr>
                <w:rFonts w:hint="eastAsia" w:ascii="宋体" w:hAnsi="宋体" w:eastAsia="宋体" w:cs="宋体"/>
                <w:color w:val="auto"/>
                <w:kern w:val="0"/>
                <w:sz w:val="24"/>
                <w:szCs w:val="24"/>
                <w:highlight w:val="none"/>
                <w:lang w:val="zh-CN" w:eastAsia="zh-CN"/>
              </w:rPr>
              <w:t>注：证书认证覆盖的业务范围需与本项目相关（</w:t>
            </w:r>
            <w:r>
              <w:rPr>
                <w:rFonts w:hint="eastAsia" w:ascii="宋体" w:hAnsi="宋体" w:eastAsia="宋体" w:cs="宋体"/>
                <w:color w:val="auto"/>
                <w:kern w:val="0"/>
                <w:sz w:val="24"/>
                <w:szCs w:val="24"/>
                <w:highlight w:val="none"/>
                <w:lang w:eastAsia="zh-CN"/>
              </w:rPr>
              <w:t>须提供</w:t>
            </w:r>
            <w:r>
              <w:rPr>
                <w:rFonts w:hint="eastAsia" w:ascii="宋体" w:hAnsi="宋体" w:cs="宋体"/>
                <w:color w:val="auto"/>
                <w:kern w:val="0"/>
                <w:sz w:val="24"/>
                <w:szCs w:val="24"/>
                <w:highlight w:val="none"/>
                <w:lang w:val="en-US" w:eastAsia="zh-CN"/>
              </w:rPr>
              <w:t>有效</w:t>
            </w:r>
            <w:r>
              <w:rPr>
                <w:rFonts w:hint="eastAsia" w:ascii="宋体" w:hAnsi="宋体" w:eastAsia="宋体" w:cs="宋体"/>
                <w:color w:val="auto"/>
                <w:kern w:val="0"/>
                <w:sz w:val="24"/>
                <w:szCs w:val="24"/>
                <w:highlight w:val="none"/>
                <w:lang w:eastAsia="zh-CN"/>
              </w:rPr>
              <w:t>证书扫描件加盖单位公章）</w:t>
            </w:r>
          </w:p>
        </w:tc>
        <w:tc>
          <w:tcPr>
            <w:tcW w:w="685" w:type="dxa"/>
            <w:tcBorders>
              <w:top w:val="single" w:color="auto" w:sz="4" w:space="0"/>
              <w:left w:val="single" w:color="auto" w:sz="4" w:space="0"/>
              <w:bottom w:val="single" w:color="auto" w:sz="4" w:space="0"/>
              <w:right w:val="single" w:color="auto" w:sz="4" w:space="0"/>
            </w:tcBorders>
            <w:vAlign w:val="center"/>
          </w:tcPr>
          <w:p w14:paraId="0077370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05DB0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15" w:type="dxa"/>
            <w:vMerge w:val="continue"/>
            <w:tcBorders>
              <w:left w:val="single" w:color="auto" w:sz="4" w:space="0"/>
              <w:right w:val="single" w:color="auto" w:sz="4" w:space="0"/>
            </w:tcBorders>
            <w:vAlign w:val="center"/>
          </w:tcPr>
          <w:p w14:paraId="711C00C0">
            <w:pPr>
              <w:jc w:val="center"/>
              <w:rPr>
                <w:rFonts w:hint="eastAsia" w:ascii="宋体" w:hAnsi="宋体" w:cs="宋体"/>
                <w:color w:val="auto"/>
                <w:sz w:val="24"/>
                <w:highlight w:val="none"/>
              </w:rPr>
            </w:pPr>
          </w:p>
        </w:tc>
        <w:tc>
          <w:tcPr>
            <w:tcW w:w="1331" w:type="dxa"/>
            <w:vMerge w:val="restart"/>
            <w:tcBorders>
              <w:left w:val="single" w:color="auto" w:sz="4" w:space="0"/>
              <w:right w:val="single" w:color="auto" w:sz="4" w:space="0"/>
            </w:tcBorders>
            <w:vAlign w:val="center"/>
          </w:tcPr>
          <w:p w14:paraId="11F5A207">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人员证书</w:t>
            </w:r>
          </w:p>
        </w:tc>
        <w:tc>
          <w:tcPr>
            <w:tcW w:w="6060" w:type="dxa"/>
            <w:tcBorders>
              <w:top w:val="single" w:color="auto" w:sz="4" w:space="0"/>
              <w:left w:val="single" w:color="auto" w:sz="4" w:space="0"/>
              <w:bottom w:val="single" w:color="auto" w:sz="4" w:space="0"/>
              <w:right w:val="single" w:color="auto" w:sz="4" w:space="0"/>
            </w:tcBorders>
            <w:vAlign w:val="center"/>
          </w:tcPr>
          <w:p w14:paraId="26CDCC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0"/>
              <w:jc w:val="left"/>
              <w:rPr>
                <w:rFonts w:hint="eastAsia" w:ascii="宋体" w:hAnsi="宋体" w:cs="宋体" w:eastAsiaTheme="majorEastAsia"/>
                <w:color w:val="auto"/>
                <w:kern w:val="0"/>
                <w:sz w:val="24"/>
                <w:szCs w:val="24"/>
                <w:highlight w:val="none"/>
                <w:lang w:val="en-US" w:eastAsia="zh-CN"/>
              </w:rPr>
            </w:pPr>
            <w:r>
              <w:rPr>
                <w:rFonts w:hint="eastAsia" w:cs="仿宋" w:asciiTheme="majorEastAsia" w:hAnsiTheme="majorEastAsia" w:eastAsiaTheme="majorEastAsia"/>
                <w:b w:val="0"/>
                <w:bCs w:val="0"/>
                <w:i w:val="0"/>
                <w:iCs w:val="0"/>
                <w:strike w:val="0"/>
                <w:dstrike w:val="0"/>
                <w:color w:val="auto"/>
                <w:kern w:val="0"/>
                <w:sz w:val="24"/>
                <w:lang w:val="en-US" w:eastAsia="zh-CN" w:bidi="ar"/>
              </w:rPr>
              <w:t>拟派</w:t>
            </w:r>
            <w:r>
              <w:rPr>
                <w:rFonts w:hint="eastAsia" w:cs="仿宋" w:asciiTheme="majorEastAsia" w:hAnsiTheme="majorEastAsia" w:eastAsiaTheme="majorEastAsia"/>
                <w:b w:val="0"/>
                <w:bCs w:val="0"/>
                <w:i w:val="0"/>
                <w:iCs w:val="0"/>
                <w:strike w:val="0"/>
                <w:dstrike w:val="0"/>
                <w:color w:val="auto"/>
                <w:kern w:val="0"/>
                <w:sz w:val="24"/>
                <w:lang w:bidi="ar"/>
              </w:rPr>
              <w:t>项目负责人</w:t>
            </w:r>
            <w:r>
              <w:rPr>
                <w:rFonts w:hint="eastAsia" w:cs="仿宋" w:asciiTheme="majorEastAsia" w:hAnsiTheme="majorEastAsia" w:eastAsiaTheme="majorEastAsia"/>
                <w:b w:val="0"/>
                <w:bCs w:val="0"/>
                <w:i w:val="0"/>
                <w:iCs w:val="0"/>
                <w:strike w:val="0"/>
                <w:dstrike w:val="0"/>
                <w:color w:val="auto"/>
                <w:kern w:val="0"/>
                <w:sz w:val="24"/>
                <w:lang w:val="en-US" w:eastAsia="zh-CN" w:bidi="ar"/>
              </w:rPr>
              <w:t>具有国家</w:t>
            </w:r>
            <w:r>
              <w:rPr>
                <w:rFonts w:hint="eastAsia" w:cs="仿宋" w:asciiTheme="majorEastAsia" w:hAnsiTheme="majorEastAsia" w:eastAsiaTheme="majorEastAsia"/>
                <w:b w:val="0"/>
                <w:bCs w:val="0"/>
                <w:i w:val="0"/>
                <w:iCs w:val="0"/>
                <w:strike w:val="0"/>
                <w:dstrike w:val="0"/>
                <w:color w:val="auto"/>
                <w:kern w:val="0"/>
                <w:sz w:val="24"/>
                <w:lang w:bidi="ar"/>
              </w:rPr>
              <w:t>计算机技术与软件专业技术资格（水平）考试</w:t>
            </w:r>
            <w:r>
              <w:rPr>
                <w:rFonts w:hint="eastAsia" w:cs="仿宋" w:asciiTheme="majorEastAsia" w:hAnsiTheme="majorEastAsia" w:eastAsiaTheme="majorEastAsia"/>
                <w:b w:val="0"/>
                <w:bCs w:val="0"/>
                <w:i w:val="0"/>
                <w:iCs w:val="0"/>
                <w:strike w:val="0"/>
                <w:dstrike w:val="0"/>
                <w:color w:val="auto"/>
                <w:kern w:val="0"/>
                <w:sz w:val="24"/>
                <w:lang w:val="en-US" w:eastAsia="zh-CN" w:bidi="ar"/>
              </w:rPr>
              <w:t>的</w:t>
            </w:r>
            <w:r>
              <w:rPr>
                <w:rFonts w:hint="eastAsia" w:cs="仿宋" w:asciiTheme="majorEastAsia" w:hAnsiTheme="majorEastAsia" w:eastAsiaTheme="majorEastAsia"/>
                <w:b w:val="0"/>
                <w:bCs w:val="0"/>
                <w:i w:val="0"/>
                <w:iCs w:val="0"/>
                <w:strike w:val="0"/>
                <w:dstrike w:val="0"/>
                <w:color w:val="auto"/>
                <w:kern w:val="0"/>
                <w:sz w:val="24"/>
                <w:lang w:bidi="ar"/>
              </w:rPr>
              <w:t>信息系统项目管理师</w:t>
            </w:r>
            <w:r>
              <w:rPr>
                <w:rFonts w:hint="eastAsia" w:cs="仿宋" w:asciiTheme="majorEastAsia" w:hAnsiTheme="majorEastAsia" w:eastAsiaTheme="majorEastAsia"/>
                <w:b w:val="0"/>
                <w:bCs w:val="0"/>
                <w:i w:val="0"/>
                <w:iCs w:val="0"/>
                <w:strike w:val="0"/>
                <w:dstrike w:val="0"/>
                <w:color w:val="auto"/>
                <w:kern w:val="0"/>
                <w:sz w:val="24"/>
                <w:lang w:eastAsia="zh-CN" w:bidi="ar"/>
              </w:rPr>
              <w:t>、</w:t>
            </w:r>
            <w:r>
              <w:rPr>
                <w:rStyle w:val="42"/>
                <w:rFonts w:hint="eastAsia" w:cs="宋体" w:asciiTheme="majorEastAsia" w:hAnsiTheme="majorEastAsia" w:eastAsiaTheme="majorEastAsia"/>
                <w:b w:val="0"/>
                <w:bCs w:val="0"/>
                <w:i w:val="0"/>
                <w:iCs w:val="0"/>
                <w:strike w:val="0"/>
                <w:dstrike w:val="0"/>
                <w:color w:val="auto"/>
                <w:sz w:val="24"/>
              </w:rPr>
              <w:t>系统分析师</w:t>
            </w:r>
            <w:r>
              <w:rPr>
                <w:rStyle w:val="42"/>
                <w:rFonts w:hint="eastAsia" w:cs="宋体" w:asciiTheme="majorEastAsia" w:hAnsiTheme="majorEastAsia" w:eastAsiaTheme="majorEastAsia"/>
                <w:b w:val="0"/>
                <w:bCs w:val="0"/>
                <w:i w:val="0"/>
                <w:iCs w:val="0"/>
                <w:strike w:val="0"/>
                <w:dstrike w:val="0"/>
                <w:color w:val="auto"/>
                <w:sz w:val="24"/>
                <w:lang w:val="en-US" w:eastAsia="zh-CN"/>
              </w:rPr>
              <w:t>、</w:t>
            </w:r>
            <w:r>
              <w:rPr>
                <w:rStyle w:val="42"/>
                <w:rFonts w:hint="eastAsia" w:cs="宋体" w:asciiTheme="majorEastAsia" w:hAnsiTheme="majorEastAsia" w:eastAsiaTheme="majorEastAsia"/>
                <w:b w:val="0"/>
                <w:bCs w:val="0"/>
                <w:i w:val="0"/>
                <w:iCs w:val="0"/>
                <w:strike w:val="0"/>
                <w:dstrike w:val="0"/>
                <w:color w:val="auto"/>
                <w:sz w:val="24"/>
              </w:rPr>
              <w:t>系统架构</w:t>
            </w:r>
            <w:r>
              <w:rPr>
                <w:rStyle w:val="42"/>
                <w:rFonts w:hint="eastAsia" w:cs="宋体" w:asciiTheme="majorEastAsia" w:hAnsiTheme="majorEastAsia" w:eastAsiaTheme="majorEastAsia"/>
                <w:b w:val="0"/>
                <w:bCs w:val="0"/>
                <w:i w:val="0"/>
                <w:iCs w:val="0"/>
                <w:strike w:val="0"/>
                <w:dstrike w:val="0"/>
                <w:color w:val="auto"/>
                <w:sz w:val="24"/>
                <w:lang w:val="en-US" w:eastAsia="zh-CN"/>
              </w:rPr>
              <w:t>设计</w:t>
            </w:r>
            <w:r>
              <w:rPr>
                <w:rStyle w:val="42"/>
                <w:rFonts w:hint="eastAsia" w:cs="宋体" w:asciiTheme="majorEastAsia" w:hAnsiTheme="majorEastAsia" w:eastAsiaTheme="majorEastAsia"/>
                <w:b w:val="0"/>
                <w:bCs w:val="0"/>
                <w:i w:val="0"/>
                <w:iCs w:val="0"/>
                <w:strike w:val="0"/>
                <w:dstrike w:val="0"/>
                <w:color w:val="auto"/>
                <w:sz w:val="24"/>
              </w:rPr>
              <w:t>师</w:t>
            </w:r>
            <w:r>
              <w:rPr>
                <w:rStyle w:val="42"/>
                <w:rFonts w:hint="eastAsia" w:cs="宋体" w:asciiTheme="majorEastAsia" w:hAnsiTheme="majorEastAsia" w:eastAsiaTheme="majorEastAsia"/>
                <w:b w:val="0"/>
                <w:bCs w:val="0"/>
                <w:i w:val="0"/>
                <w:iCs w:val="0"/>
                <w:strike w:val="0"/>
                <w:dstrike w:val="0"/>
                <w:color w:val="auto"/>
                <w:sz w:val="24"/>
                <w:lang w:val="en-US" w:eastAsia="zh-CN"/>
              </w:rPr>
              <w:t>资格</w:t>
            </w:r>
            <w:r>
              <w:rPr>
                <w:rFonts w:hint="eastAsia" w:cs="仿宋" w:asciiTheme="majorEastAsia" w:hAnsiTheme="majorEastAsia" w:eastAsiaTheme="majorEastAsia"/>
                <w:b w:val="0"/>
                <w:bCs w:val="0"/>
                <w:i w:val="0"/>
                <w:iCs w:val="0"/>
                <w:strike w:val="0"/>
                <w:dstrike w:val="0"/>
                <w:color w:val="auto"/>
                <w:kern w:val="0"/>
                <w:sz w:val="24"/>
                <w:lang w:val="en-US" w:eastAsia="zh-CN" w:bidi="ar"/>
              </w:rPr>
              <w:t>证书，</w:t>
            </w:r>
            <w:r>
              <w:rPr>
                <w:rStyle w:val="42"/>
                <w:rFonts w:hint="eastAsia" w:cs="宋体" w:asciiTheme="majorEastAsia" w:hAnsiTheme="majorEastAsia" w:eastAsiaTheme="majorEastAsia"/>
                <w:b w:val="0"/>
                <w:bCs w:val="0"/>
                <w:i w:val="0"/>
                <w:iCs w:val="0"/>
                <w:strike w:val="0"/>
                <w:dstrike w:val="0"/>
                <w:color w:val="auto"/>
                <w:sz w:val="24"/>
                <w:lang w:val="en-US" w:eastAsia="zh-CN"/>
              </w:rPr>
              <w:t>每提供一个得2分，最高</w:t>
            </w:r>
            <w:r>
              <w:rPr>
                <w:rFonts w:hint="eastAsia" w:cs="仿宋" w:asciiTheme="majorEastAsia" w:hAnsiTheme="majorEastAsia" w:eastAsiaTheme="majorEastAsia"/>
                <w:b w:val="0"/>
                <w:bCs w:val="0"/>
                <w:i w:val="0"/>
                <w:iCs w:val="0"/>
                <w:strike w:val="0"/>
                <w:dstrike w:val="0"/>
                <w:color w:val="auto"/>
                <w:kern w:val="0"/>
                <w:sz w:val="24"/>
                <w:lang w:val="en-US" w:eastAsia="zh-CN" w:bidi="ar"/>
              </w:rPr>
              <w:t>得2分。</w:t>
            </w:r>
            <w:r>
              <w:rPr>
                <w:rFonts w:hint="eastAsia" w:cs="仿宋" w:asciiTheme="majorEastAsia" w:hAnsiTheme="majorEastAsia" w:eastAsiaTheme="majorEastAsia"/>
                <w:kern w:val="0"/>
                <w:sz w:val="24"/>
                <w:lang w:bidi="ar"/>
              </w:rPr>
              <w:t>（</w:t>
            </w:r>
            <w:r>
              <w:rPr>
                <w:rFonts w:hint="eastAsia" w:cs="仿宋" w:asciiTheme="majorEastAsia" w:hAnsiTheme="majorEastAsia" w:eastAsiaTheme="majorEastAsia"/>
                <w:kern w:val="0"/>
                <w:sz w:val="24"/>
                <w:lang w:val="en-US" w:eastAsia="zh-CN" w:bidi="ar"/>
              </w:rPr>
              <w:t>需提供有效证书复印件及本单位缴纳社保证明材料并加盖公章）</w:t>
            </w:r>
          </w:p>
        </w:tc>
        <w:tc>
          <w:tcPr>
            <w:tcW w:w="685" w:type="dxa"/>
            <w:tcBorders>
              <w:top w:val="single" w:color="auto" w:sz="4" w:space="0"/>
              <w:left w:val="single" w:color="auto" w:sz="4" w:space="0"/>
              <w:bottom w:val="single" w:color="auto" w:sz="4" w:space="0"/>
              <w:right w:val="single" w:color="auto" w:sz="4" w:space="0"/>
            </w:tcBorders>
            <w:vAlign w:val="center"/>
          </w:tcPr>
          <w:p w14:paraId="0B0BA4A7">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14:paraId="4913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915" w:type="dxa"/>
            <w:vMerge w:val="continue"/>
            <w:tcBorders>
              <w:left w:val="single" w:color="auto" w:sz="4" w:space="0"/>
              <w:right w:val="single" w:color="auto" w:sz="4" w:space="0"/>
            </w:tcBorders>
            <w:vAlign w:val="center"/>
          </w:tcPr>
          <w:p w14:paraId="570BCDA8">
            <w:pPr>
              <w:jc w:val="center"/>
            </w:pPr>
          </w:p>
        </w:tc>
        <w:tc>
          <w:tcPr>
            <w:tcW w:w="1331" w:type="dxa"/>
            <w:vMerge w:val="continue"/>
            <w:tcBorders>
              <w:left w:val="single" w:color="auto" w:sz="4" w:space="0"/>
              <w:right w:val="single" w:color="auto" w:sz="4" w:space="0"/>
            </w:tcBorders>
            <w:vAlign w:val="center"/>
          </w:tcPr>
          <w:p w14:paraId="2D82A946">
            <w:pPr>
              <w:jc w:val="center"/>
            </w:pPr>
          </w:p>
        </w:tc>
        <w:tc>
          <w:tcPr>
            <w:tcW w:w="6060" w:type="dxa"/>
            <w:tcBorders>
              <w:top w:val="single" w:color="auto" w:sz="4" w:space="0"/>
              <w:left w:val="single" w:color="auto" w:sz="4" w:space="0"/>
              <w:bottom w:val="single" w:color="auto" w:sz="4" w:space="0"/>
              <w:right w:val="single" w:color="auto" w:sz="4" w:space="0"/>
            </w:tcBorders>
            <w:vAlign w:val="center"/>
          </w:tcPr>
          <w:p w14:paraId="521E7CFF">
            <w:pPr>
              <w:jc w:val="left"/>
              <w:rPr>
                <w:rFonts w:hint="eastAsia" w:cs="仿宋" w:asciiTheme="majorEastAsia" w:hAnsiTheme="majorEastAsia" w:eastAsiaTheme="majorEastAsia"/>
                <w:b w:val="0"/>
                <w:bCs w:val="0"/>
                <w:i w:val="0"/>
                <w:iCs w:val="0"/>
                <w:strike w:val="0"/>
                <w:dstrike w:val="0"/>
                <w:color w:val="auto"/>
                <w:kern w:val="0"/>
                <w:sz w:val="24"/>
                <w:lang w:val="en-US" w:eastAsia="zh-CN" w:bidi="ar"/>
              </w:rPr>
            </w:pPr>
            <w:r>
              <w:rPr>
                <w:rFonts w:hint="eastAsia" w:cs="仿宋" w:asciiTheme="majorEastAsia" w:hAnsiTheme="majorEastAsia" w:eastAsiaTheme="majorEastAsia"/>
                <w:b w:val="0"/>
                <w:bCs w:val="0"/>
                <w:i w:val="0"/>
                <w:iCs w:val="0"/>
                <w:strike w:val="0"/>
                <w:dstrike w:val="0"/>
                <w:color w:val="auto"/>
                <w:kern w:val="0"/>
                <w:sz w:val="24"/>
                <w:lang w:bidi="ar"/>
              </w:rPr>
              <w:t>团队成</w:t>
            </w:r>
            <w:r>
              <w:rPr>
                <w:rStyle w:val="42"/>
                <w:rFonts w:hint="eastAsia" w:cs="宋体" w:asciiTheme="majorEastAsia" w:hAnsiTheme="majorEastAsia" w:eastAsiaTheme="majorEastAsia"/>
                <w:b w:val="0"/>
                <w:bCs w:val="0"/>
                <w:i w:val="0"/>
                <w:iCs w:val="0"/>
                <w:strike w:val="0"/>
                <w:dstrike w:val="0"/>
                <w:color w:val="auto"/>
                <w:sz w:val="24"/>
                <w:lang w:val="en-US" w:eastAsia="zh-CN"/>
              </w:rPr>
              <w:t>员（除项目负责人）需具有国家计算机技术与软件专业技术资格（水平）考试的信息系统项目管理师、系统分析师、</w:t>
            </w:r>
            <w:r>
              <w:rPr>
                <w:rStyle w:val="42"/>
                <w:rFonts w:hint="default" w:cs="宋体" w:asciiTheme="majorEastAsia" w:hAnsiTheme="majorEastAsia" w:eastAsiaTheme="majorEastAsia"/>
                <w:b w:val="0"/>
                <w:bCs w:val="0"/>
                <w:i w:val="0"/>
                <w:iCs w:val="0"/>
                <w:strike w:val="0"/>
                <w:dstrike w:val="0"/>
                <w:color w:val="auto"/>
                <w:sz w:val="24"/>
                <w:lang w:val="en-US" w:eastAsia="zh-CN"/>
              </w:rPr>
              <w:t>系统集成项目管理工程师</w:t>
            </w:r>
            <w:r>
              <w:rPr>
                <w:rStyle w:val="42"/>
                <w:rFonts w:hint="eastAsia" w:cs="宋体" w:asciiTheme="majorEastAsia" w:hAnsiTheme="majorEastAsia" w:eastAsiaTheme="majorEastAsia"/>
                <w:b w:val="0"/>
                <w:bCs w:val="0"/>
                <w:i w:val="0"/>
                <w:iCs w:val="0"/>
                <w:strike w:val="0"/>
                <w:dstrike w:val="0"/>
                <w:color w:val="auto"/>
                <w:sz w:val="24"/>
                <w:lang w:val="en-US" w:eastAsia="zh-CN"/>
              </w:rPr>
              <w:t>、信息系统管理工程师、软件设计师、</w:t>
            </w:r>
            <w:r>
              <w:rPr>
                <w:rStyle w:val="42"/>
                <w:rFonts w:hint="default" w:cs="宋体" w:asciiTheme="majorEastAsia" w:hAnsiTheme="majorEastAsia" w:eastAsiaTheme="majorEastAsia"/>
                <w:b w:val="0"/>
                <w:bCs w:val="0"/>
                <w:i w:val="0"/>
                <w:iCs w:val="0"/>
                <w:strike w:val="0"/>
                <w:dstrike w:val="0"/>
                <w:color w:val="auto"/>
                <w:sz w:val="24"/>
                <w:lang w:val="en-US" w:eastAsia="zh-CN"/>
              </w:rPr>
              <w:t>数据库系统工程师</w:t>
            </w:r>
            <w:r>
              <w:rPr>
                <w:rStyle w:val="42"/>
                <w:rFonts w:hint="eastAsia" w:cs="宋体" w:asciiTheme="majorEastAsia" w:hAnsiTheme="majorEastAsia" w:eastAsiaTheme="majorEastAsia"/>
                <w:b w:val="0"/>
                <w:bCs w:val="0"/>
                <w:i w:val="0"/>
                <w:iCs w:val="0"/>
                <w:strike w:val="0"/>
                <w:dstrike w:val="0"/>
                <w:color w:val="auto"/>
                <w:sz w:val="24"/>
                <w:lang w:val="en-US" w:eastAsia="zh-CN"/>
              </w:rPr>
              <w:t>资格证书，每提供一个得1分，最高3分（同一人员不重复计分，需提供有效证书复印件及本单位缴纳社保证明材料并加盖公章）</w:t>
            </w:r>
          </w:p>
        </w:tc>
        <w:tc>
          <w:tcPr>
            <w:tcW w:w="685" w:type="dxa"/>
            <w:tcBorders>
              <w:top w:val="single" w:color="auto" w:sz="4" w:space="0"/>
              <w:left w:val="single" w:color="auto" w:sz="4" w:space="0"/>
              <w:bottom w:val="single" w:color="auto" w:sz="4" w:space="0"/>
              <w:right w:val="single" w:color="auto" w:sz="4" w:space="0"/>
            </w:tcBorders>
            <w:vAlign w:val="center"/>
          </w:tcPr>
          <w:p w14:paraId="4C90358D">
            <w:pPr>
              <w:jc w:val="center"/>
              <w:rPr>
                <w:rFonts w:hint="default" w:cs="仿宋" w:asciiTheme="majorEastAsia" w:hAnsiTheme="majorEastAsia" w:eastAsiaTheme="majorEastAsia"/>
                <w:b w:val="0"/>
                <w:bCs w:val="0"/>
                <w:i w:val="0"/>
                <w:iCs w:val="0"/>
                <w:strike w:val="0"/>
                <w:dstrike w:val="0"/>
                <w:color w:val="auto"/>
                <w:kern w:val="0"/>
                <w:sz w:val="24"/>
                <w:lang w:val="en-US" w:eastAsia="zh-CN" w:bidi="ar"/>
              </w:rPr>
            </w:pPr>
            <w:r>
              <w:rPr>
                <w:rFonts w:hint="eastAsia" w:cs="仿宋" w:asciiTheme="majorEastAsia" w:hAnsiTheme="majorEastAsia" w:eastAsiaTheme="majorEastAsia"/>
                <w:b w:val="0"/>
                <w:bCs w:val="0"/>
                <w:i w:val="0"/>
                <w:iCs w:val="0"/>
                <w:strike w:val="0"/>
                <w:dstrike w:val="0"/>
                <w:color w:val="auto"/>
                <w:kern w:val="0"/>
                <w:sz w:val="24"/>
                <w:lang w:val="en-US" w:eastAsia="zh-CN" w:bidi="ar"/>
              </w:rPr>
              <w:t>3</w:t>
            </w:r>
          </w:p>
        </w:tc>
      </w:tr>
    </w:tbl>
    <w:p w14:paraId="512B05B6">
      <w:pPr>
        <w:rPr>
          <w:rFonts w:ascii="宋体" w:hAnsi="宋体" w:cs="宋体"/>
          <w:sz w:val="24"/>
          <w:szCs w:val="24"/>
          <w:highlight w:val="none"/>
        </w:rPr>
      </w:pPr>
    </w:p>
    <w:p w14:paraId="7F79C41F">
      <w:pPr>
        <w:ind w:firstLine="480" w:firstLineChars="200"/>
        <w:rPr>
          <w:rFonts w:ascii="宋体" w:hAnsi="宋体" w:cs="宋体"/>
          <w:sz w:val="24"/>
          <w:szCs w:val="24"/>
          <w:highlight w:val="none"/>
        </w:rPr>
      </w:pPr>
      <w:r>
        <w:rPr>
          <w:rFonts w:hint="eastAsia" w:ascii="宋体" w:hAnsi="宋体" w:cs="宋体"/>
          <w:sz w:val="24"/>
          <w:szCs w:val="24"/>
          <w:highlight w:val="none"/>
        </w:rPr>
        <w:t>注：</w:t>
      </w:r>
    </w:p>
    <w:p w14:paraId="10211615">
      <w:pPr>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cs="宋体"/>
          <w:sz w:val="24"/>
          <w:szCs w:val="24"/>
          <w:highlight w:val="none"/>
        </w:rPr>
        <w:t>评标委员会各成员应当独立对每个供应商的响应文件进行评价，并汇总每个供应商的得分。资信分为客观分，也需独立进行评价并核对分值，最终分值需一致。</w:t>
      </w:r>
    </w:p>
    <w:p w14:paraId="31039FD2">
      <w:pPr>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所有文件、合同、证书、资质等需要真实有效。成交供应商在中标后签订合同时需提供以上证明文件原件，若发现资料作假的取消中标资格。</w:t>
      </w:r>
      <w:bookmarkStart w:id="88" w:name="_Toc4517"/>
      <w:bookmarkStart w:id="89" w:name="_Toc8033"/>
    </w:p>
    <w:p w14:paraId="2575DE93">
      <w:pPr>
        <w:rPr>
          <w:rFonts w:ascii="宋体" w:hAnsi="宋体" w:cs="宋体"/>
          <w:sz w:val="24"/>
          <w:szCs w:val="24"/>
          <w:highlight w:val="none"/>
        </w:rPr>
      </w:pPr>
      <w:r>
        <w:rPr>
          <w:rFonts w:hint="eastAsia" w:ascii="宋体" w:hAnsi="宋体" w:cs="宋体"/>
          <w:sz w:val="24"/>
          <w:szCs w:val="24"/>
          <w:highlight w:val="none"/>
        </w:rPr>
        <w:br w:type="page"/>
      </w:r>
    </w:p>
    <w:bookmarkEnd w:id="88"/>
    <w:bookmarkEnd w:id="89"/>
    <w:p w14:paraId="644F53B2">
      <w:pPr>
        <w:pStyle w:val="3"/>
        <w:rPr>
          <w:rFonts w:ascii="宋体" w:hAnsi="宋体" w:cs="宋体"/>
          <w:highlight w:val="none"/>
        </w:rPr>
      </w:pPr>
      <w:bookmarkStart w:id="90" w:name="_Toc8314"/>
      <w:bookmarkStart w:id="91" w:name="_Toc2376"/>
      <w:bookmarkStart w:id="92" w:name="_Toc7690"/>
      <w:bookmarkStart w:id="93" w:name="_Toc4669"/>
      <w:r>
        <w:rPr>
          <w:rFonts w:hint="eastAsia" w:ascii="宋体" w:hAnsi="宋体" w:cs="宋体"/>
          <w:highlight w:val="none"/>
        </w:rPr>
        <w:t>第五部分 采购合同</w:t>
      </w:r>
      <w:bookmarkEnd w:id="90"/>
      <w:bookmarkEnd w:id="91"/>
    </w:p>
    <w:p w14:paraId="3232DDD1">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合同编号：（2025）第</w:t>
      </w:r>
      <w:r>
        <w:rPr>
          <w:rFonts w:hint="eastAsia" w:ascii="宋体" w:hAnsi="宋体" w:cs="宋体"/>
          <w:kern w:val="0"/>
          <w:sz w:val="24"/>
          <w:highlight w:val="none"/>
          <w:u w:val="single"/>
        </w:rPr>
        <w:t>　　</w:t>
      </w:r>
      <w:r>
        <w:rPr>
          <w:rFonts w:hint="eastAsia" w:ascii="宋体" w:hAnsi="宋体" w:cs="宋体"/>
          <w:kern w:val="0"/>
          <w:sz w:val="24"/>
          <w:highlight w:val="none"/>
        </w:rPr>
        <w:t>号</w:t>
      </w:r>
    </w:p>
    <w:p w14:paraId="697CF0A3">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签订日期：2025年</w:t>
      </w:r>
      <w:r>
        <w:rPr>
          <w:rFonts w:hint="eastAsia" w:ascii="宋体" w:hAnsi="宋体" w:cs="宋体"/>
          <w:kern w:val="0"/>
          <w:sz w:val="24"/>
          <w:highlight w:val="none"/>
          <w:u w:val="single"/>
        </w:rPr>
        <w:t>　　</w:t>
      </w:r>
      <w:r>
        <w:rPr>
          <w:rFonts w:hint="eastAsia" w:ascii="宋体" w:hAnsi="宋体" w:cs="宋体"/>
          <w:kern w:val="0"/>
          <w:sz w:val="24"/>
          <w:highlight w:val="none"/>
        </w:rPr>
        <w:t>月</w:t>
      </w:r>
      <w:r>
        <w:rPr>
          <w:rFonts w:hint="eastAsia" w:ascii="宋体" w:hAnsi="宋体" w:cs="宋体"/>
          <w:kern w:val="0"/>
          <w:sz w:val="24"/>
          <w:highlight w:val="none"/>
          <w:u w:val="single"/>
        </w:rPr>
        <w:t>　　</w:t>
      </w:r>
      <w:r>
        <w:rPr>
          <w:rFonts w:hint="eastAsia" w:ascii="宋体" w:hAnsi="宋体" w:cs="宋体"/>
          <w:kern w:val="0"/>
          <w:sz w:val="24"/>
          <w:highlight w:val="none"/>
        </w:rPr>
        <w:t>日</w:t>
      </w:r>
    </w:p>
    <w:p w14:paraId="01B5A5D5">
      <w:pPr>
        <w:spacing w:line="360" w:lineRule="auto"/>
        <w:ind w:firstLine="480" w:firstLineChars="200"/>
        <w:rPr>
          <w:rFonts w:ascii="宋体" w:hAnsi="宋体" w:cs="宋体"/>
          <w:sz w:val="28"/>
          <w:highlight w:val="none"/>
          <w:u w:val="single"/>
        </w:rPr>
      </w:pPr>
      <w:r>
        <w:rPr>
          <w:rFonts w:hint="eastAsia" w:ascii="宋体" w:hAnsi="宋体" w:cs="宋体"/>
          <w:kern w:val="0"/>
          <w:sz w:val="24"/>
          <w:highlight w:val="none"/>
        </w:rPr>
        <w:t>　甲方</w:t>
      </w:r>
      <w:r>
        <w:rPr>
          <w:rFonts w:hint="eastAsia" w:ascii="宋体" w:hAnsi="宋体" w:cs="宋体"/>
          <w:sz w:val="28"/>
          <w:highlight w:val="none"/>
        </w:rPr>
        <w:t>：</w:t>
      </w:r>
      <w:r>
        <w:rPr>
          <w:rFonts w:hint="eastAsia" w:ascii="宋体" w:hAnsi="宋体" w:cs="宋体"/>
          <w:sz w:val="28"/>
          <w:highlight w:val="none"/>
          <w:u w:val="single"/>
        </w:rPr>
        <w:t>　</w:t>
      </w:r>
      <w:r>
        <w:rPr>
          <w:rFonts w:hint="eastAsia" w:ascii="宋体" w:hAnsi="宋体" w:cs="宋体"/>
          <w:sz w:val="28"/>
          <w:highlight w:val="none"/>
          <w:u w:val="single"/>
          <w:lang w:eastAsia="zh-CN"/>
        </w:rPr>
        <w:t>绍兴市上虞区卫生信息中心</w:t>
      </w:r>
      <w:r>
        <w:rPr>
          <w:rFonts w:hint="eastAsia" w:ascii="宋体" w:hAnsi="宋体" w:cs="宋体"/>
          <w:sz w:val="28"/>
          <w:highlight w:val="none"/>
          <w:u w:val="single"/>
        </w:rPr>
        <w:t>　　　　　　　　　　　　　　　　　　　　　　　　</w:t>
      </w:r>
    </w:p>
    <w:p w14:paraId="73575F3B">
      <w:pPr>
        <w:spacing w:line="360" w:lineRule="auto"/>
        <w:ind w:firstLine="720" w:firstLineChars="300"/>
        <w:jc w:val="left"/>
        <w:rPr>
          <w:rFonts w:ascii="宋体" w:hAnsi="宋体" w:cs="宋体"/>
          <w:sz w:val="28"/>
          <w:highlight w:val="none"/>
          <w:u w:val="single"/>
        </w:rPr>
      </w:pPr>
      <w:r>
        <w:rPr>
          <w:rFonts w:hint="eastAsia" w:ascii="宋体" w:hAnsi="宋体" w:cs="宋体"/>
          <w:kern w:val="0"/>
          <w:sz w:val="24"/>
          <w:highlight w:val="none"/>
        </w:rPr>
        <w:t>乙方</w:t>
      </w:r>
      <w:r>
        <w:rPr>
          <w:rFonts w:hint="eastAsia" w:ascii="宋体" w:hAnsi="宋体" w:cs="宋体"/>
          <w:sz w:val="28"/>
          <w:highlight w:val="none"/>
        </w:rPr>
        <w:t>：</w:t>
      </w:r>
      <w:r>
        <w:rPr>
          <w:rFonts w:hint="eastAsia" w:ascii="宋体" w:hAnsi="宋体" w:cs="宋体"/>
          <w:sz w:val="28"/>
          <w:highlight w:val="none"/>
          <w:u w:val="single"/>
        </w:rPr>
        <w:t>　　　　　　　　　　　　　　　　　　　　　　　　　</w:t>
      </w:r>
    </w:p>
    <w:p w14:paraId="5949CA2B">
      <w:pPr>
        <w:spacing w:line="348" w:lineRule="auto"/>
        <w:ind w:firstLine="720" w:firstLineChars="300"/>
        <w:jc w:val="left"/>
        <w:rPr>
          <w:rFonts w:ascii="宋体" w:hAnsi="宋体" w:cs="宋体"/>
          <w:b/>
          <w:bCs/>
          <w:sz w:val="24"/>
          <w:highlight w:val="none"/>
        </w:rPr>
      </w:pPr>
      <w:r>
        <w:rPr>
          <w:rFonts w:hint="eastAsia" w:ascii="宋体" w:hAnsi="宋体" w:cs="宋体"/>
          <w:kern w:val="0"/>
          <w:sz w:val="24"/>
          <w:highlight w:val="none"/>
        </w:rPr>
        <w:t>根据《中华人民共和国民法典》、政府采购编号为</w:t>
      </w:r>
      <w:r>
        <w:rPr>
          <w:rFonts w:hint="eastAsia" w:ascii="宋体" w:hAnsi="宋体" w:cs="宋体"/>
          <w:kern w:val="0"/>
          <w:sz w:val="24"/>
          <w:highlight w:val="none"/>
          <w:lang w:eastAsia="zh-CN"/>
        </w:rPr>
        <w:t>FSJZCS2025029</w:t>
      </w:r>
      <w:r>
        <w:rPr>
          <w:rFonts w:hint="eastAsia" w:ascii="宋体" w:hAnsi="宋体" w:cs="宋体"/>
          <w:kern w:val="0"/>
          <w:sz w:val="24"/>
          <w:highlight w:val="none"/>
        </w:rPr>
        <w:t>招标文件、中标人响应文件的规定，经公开招标采购，签订本合同。</w:t>
      </w:r>
    </w:p>
    <w:p w14:paraId="3ABB3857">
      <w:pPr>
        <w:pStyle w:val="14"/>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服务</w:t>
      </w:r>
      <w:r>
        <w:rPr>
          <w:rFonts w:hint="eastAsia" w:ascii="宋体" w:hAnsi="宋体" w:eastAsia="宋体" w:cs="宋体"/>
          <w:b/>
          <w:bCs/>
          <w:color w:val="auto"/>
          <w:sz w:val="24"/>
          <w:szCs w:val="24"/>
          <w:highlight w:val="none"/>
        </w:rPr>
        <w:t>内容</w:t>
      </w:r>
    </w:p>
    <w:p w14:paraId="0F061592">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主要包括但不仅限于：上虞区区域HIS及区域EMR系统、上虞区非公立医院管理信息平台、</w:t>
      </w:r>
      <w:r>
        <w:rPr>
          <w:rFonts w:hint="eastAsia" w:ascii="宋体" w:hAnsi="宋体" w:cs="宋体"/>
          <w:color w:val="auto"/>
          <w:sz w:val="24"/>
          <w:szCs w:val="24"/>
          <w:lang w:eastAsia="zh-CN"/>
        </w:rPr>
        <w:t>居民电子健康档案系统</w:t>
      </w:r>
      <w:r>
        <w:rPr>
          <w:rFonts w:hint="eastAsia" w:ascii="宋体" w:hAnsi="宋体" w:eastAsia="宋体" w:cs="宋体"/>
          <w:color w:val="auto"/>
          <w:sz w:val="24"/>
          <w:szCs w:val="24"/>
        </w:rPr>
        <w:t>项目、上虞区慢病管理系统、上虞区传染病管理系统、上虞区自助服务系统、上虞区全科医生签约系统、上虞区双向转诊系统、上虞区基层医疗机构财政补偿机制绩效考核系统等系统的运维服务，用于保障这些项目的正常运行，持续为上虞区各医疗机构提供医疗业务的信息化支持服务。</w:t>
      </w:r>
    </w:p>
    <w:p w14:paraId="49C49547">
      <w:pPr>
        <w:spacing w:line="360" w:lineRule="auto"/>
        <w:ind w:firstLine="480" w:firstLineChars="200"/>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维保服务要求不低于区域HIS及区域EMR等系统项目建设招标时提出的维保服务要求，包括系统使用过程中的业务需求和报表需求。</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提供的系统和服务必须符合国家及浙江省等有关信息安全等保、标准规范等要求。如在维保合同期内发现问题，须无条件整改直至符合要求，不再另行增加费用。项目实施及维保过程中系统、财产、工作人员人身安全及其他不可预知风险均由</w:t>
      </w:r>
      <w:r>
        <w:rPr>
          <w:rFonts w:hint="eastAsia" w:ascii="宋体" w:hAnsi="宋体" w:cs="宋体"/>
          <w:color w:val="auto"/>
          <w:sz w:val="24"/>
          <w:szCs w:val="24"/>
          <w:lang w:val="en-US" w:eastAsia="zh-CN"/>
        </w:rPr>
        <w:t>乙方</w:t>
      </w:r>
      <w:r>
        <w:rPr>
          <w:rFonts w:hint="eastAsia" w:ascii="宋体" w:hAnsi="宋体" w:eastAsia="宋体" w:cs="宋体"/>
          <w:color w:val="auto"/>
          <w:sz w:val="24"/>
          <w:szCs w:val="24"/>
        </w:rPr>
        <w:t>负责。</w:t>
      </w:r>
      <w:r>
        <w:rPr>
          <w:rFonts w:hint="eastAsia" w:ascii="宋体" w:hAnsi="宋体" w:cs="宋体"/>
          <w:color w:val="auto"/>
          <w:sz w:val="24"/>
          <w:szCs w:val="24"/>
          <w:lang w:val="en-US" w:eastAsia="zh-CN"/>
        </w:rPr>
        <w:t>甲方</w:t>
      </w:r>
      <w:r>
        <w:rPr>
          <w:rFonts w:hint="eastAsia" w:ascii="宋体" w:hAnsi="宋体" w:eastAsia="宋体" w:cs="宋体"/>
          <w:color w:val="auto"/>
          <w:sz w:val="24"/>
          <w:szCs w:val="24"/>
        </w:rPr>
        <w:t>提出问题及业务需求均应有明确的答复时间和完成期限。</w:t>
      </w:r>
    </w:p>
    <w:p w14:paraId="7185AB2E">
      <w:pPr>
        <w:pStyle w:val="50"/>
        <w:spacing w:beforeLines="0" w:afterLines="0"/>
        <w:ind w:left="0" w:leftChars="0" w:firstLine="0" w:firstLineChars="0"/>
        <w:jc w:val="left"/>
        <w:rPr>
          <w:rFonts w:hint="eastAsia" w:ascii="宋体" w:hAnsi="宋体" w:eastAsia="宋体" w:cs="宋体"/>
          <w:b/>
          <w:bCs/>
          <w:color w:val="auto"/>
          <w:szCs w:val="24"/>
        </w:rPr>
      </w:pPr>
      <w:r>
        <w:rPr>
          <w:rFonts w:hint="eastAsia" w:ascii="宋体" w:hAnsi="宋体" w:eastAsia="宋体" w:cs="宋体"/>
          <w:b/>
          <w:bCs/>
          <w:color w:val="auto"/>
          <w:szCs w:val="24"/>
        </w:rPr>
        <w:t>（1）维护系统清单</w:t>
      </w:r>
    </w:p>
    <w:p w14:paraId="093746E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上虞区区域HIS及区域EMR系统</w:t>
      </w:r>
      <w:r>
        <w:rPr>
          <w:rFonts w:hint="eastAsia" w:ascii="宋体" w:hAnsi="宋体" w:eastAsia="宋体" w:cs="宋体"/>
          <w:color w:val="auto"/>
          <w:sz w:val="24"/>
          <w:szCs w:val="24"/>
          <w:lang w:eastAsia="zh-CN"/>
        </w:rPr>
        <w:t>：</w:t>
      </w:r>
    </w:p>
    <w:p w14:paraId="3D55051E">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1.挂号收费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；2.药房管理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；3.药库管理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；4.住院管理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；6.护士管理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；7.手术管理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；8.物资管理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；9.报表管理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10.门诊电子病历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；11.住院电子病历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；12.省智慧医保</w:t>
      </w:r>
      <w:r>
        <w:rPr>
          <w:rFonts w:hint="eastAsia" w:ascii="宋体" w:hAnsi="宋体" w:cs="宋体"/>
          <w:color w:val="auto"/>
          <w:sz w:val="24"/>
          <w:szCs w:val="24"/>
          <w:highlight w:val="none"/>
          <w:lang w:val="en-US" w:eastAsia="zh-CN"/>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.精卫免费领药</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eastAsia="zh-CN"/>
        </w:rPr>
        <w:t>。</w:t>
      </w:r>
    </w:p>
    <w:p w14:paraId="6A27E2A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上虞区非公立医院管理信息平台</w:t>
      </w:r>
      <w:r>
        <w:rPr>
          <w:rFonts w:hint="eastAsia" w:ascii="宋体" w:hAnsi="宋体" w:eastAsia="宋体" w:cs="宋体"/>
          <w:color w:val="auto"/>
          <w:sz w:val="24"/>
          <w:szCs w:val="24"/>
          <w:lang w:eastAsia="zh-CN"/>
        </w:rPr>
        <w:t>：</w:t>
      </w:r>
    </w:p>
    <w:p w14:paraId="2D3C83FC">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1.挂号收费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；2.药房管理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；3.药库管理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；4.住院管理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；6.护士管理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；7.手术管理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；8.物资管理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；9.报表管理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val="en-US" w:eastAsia="zh-CN"/>
        </w:rPr>
        <w:t>10.门诊电子病历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；11.住院电子病历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；12.省智慧医保</w:t>
      </w:r>
      <w:r>
        <w:rPr>
          <w:rFonts w:hint="eastAsia" w:ascii="宋体" w:hAnsi="宋体" w:cs="宋体"/>
          <w:color w:val="auto"/>
          <w:sz w:val="24"/>
          <w:szCs w:val="24"/>
          <w:highlight w:val="none"/>
          <w:lang w:val="en-US" w:eastAsia="zh-CN"/>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.精卫免费领药</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eastAsia="zh-CN"/>
        </w:rPr>
        <w:t>。</w:t>
      </w:r>
    </w:p>
    <w:p w14:paraId="123FBC0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居民电子健康档案系统</w:t>
      </w:r>
      <w:r>
        <w:rPr>
          <w:rFonts w:hint="eastAsia" w:ascii="宋体" w:hAnsi="宋体" w:eastAsia="宋体" w:cs="宋体"/>
          <w:color w:val="auto"/>
          <w:sz w:val="24"/>
          <w:szCs w:val="24"/>
          <w:lang w:eastAsia="zh-CN"/>
        </w:rPr>
        <w:t>：</w:t>
      </w:r>
    </w:p>
    <w:p w14:paraId="18AADABB">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1.家庭档案</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；2.人员档案</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；3.人员管理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；4.网格化管理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老年人管理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.统计分析</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.系统管理</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208DA1B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上虞区</w:t>
      </w:r>
      <w:r>
        <w:rPr>
          <w:rFonts w:hint="eastAsia" w:ascii="宋体" w:hAnsi="宋体" w:cs="宋体"/>
          <w:color w:val="auto"/>
          <w:sz w:val="24"/>
          <w:szCs w:val="24"/>
          <w:lang w:val="en-US" w:eastAsia="zh-CN"/>
        </w:rPr>
        <w:t>公共卫生信息管理平台（</w:t>
      </w:r>
      <w:r>
        <w:rPr>
          <w:rFonts w:hint="eastAsia" w:ascii="宋体" w:hAnsi="宋体" w:eastAsia="宋体" w:cs="宋体"/>
          <w:color w:val="auto"/>
          <w:sz w:val="24"/>
          <w:szCs w:val="24"/>
        </w:rPr>
        <w:t>慢病管理</w:t>
      </w:r>
      <w:r>
        <w:rPr>
          <w:rFonts w:hint="eastAsia" w:ascii="宋体" w:hAnsi="宋体" w:cs="宋体"/>
          <w:color w:val="auto"/>
          <w:sz w:val="24"/>
          <w:szCs w:val="24"/>
          <w:lang w:val="en-US" w:eastAsia="zh-CN"/>
        </w:rPr>
        <w:t>子</w:t>
      </w:r>
      <w:r>
        <w:rPr>
          <w:rFonts w:hint="eastAsia" w:ascii="宋体" w:hAnsi="宋体" w:eastAsia="宋体" w:cs="宋体"/>
          <w:color w:val="auto"/>
          <w:sz w:val="24"/>
          <w:szCs w:val="24"/>
        </w:rPr>
        <w:t>系统</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w:t>
      </w:r>
    </w:p>
    <w:p w14:paraId="1FCE5554">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1.慢阻肺报卡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；2.心脑血管报卡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；3.糖尿病报卡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；4.恶性肿瘤报卡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；5.死亡报卡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045C78B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上虞区</w:t>
      </w:r>
      <w:r>
        <w:rPr>
          <w:rFonts w:hint="eastAsia" w:ascii="宋体" w:hAnsi="宋体" w:cs="宋体"/>
          <w:color w:val="auto"/>
          <w:sz w:val="24"/>
          <w:szCs w:val="24"/>
          <w:lang w:val="en-US" w:eastAsia="zh-CN"/>
        </w:rPr>
        <w:t>公共卫生信息管理平台（</w:t>
      </w:r>
      <w:r>
        <w:rPr>
          <w:rFonts w:hint="eastAsia" w:ascii="宋体" w:hAnsi="宋体" w:eastAsia="宋体" w:cs="宋体"/>
          <w:color w:val="auto"/>
          <w:sz w:val="24"/>
          <w:szCs w:val="24"/>
        </w:rPr>
        <w:t>传染病管理</w:t>
      </w:r>
      <w:r>
        <w:rPr>
          <w:rFonts w:hint="eastAsia" w:ascii="宋体" w:hAnsi="宋体" w:cs="宋体"/>
          <w:color w:val="auto"/>
          <w:sz w:val="24"/>
          <w:szCs w:val="24"/>
          <w:lang w:val="en-US" w:eastAsia="zh-CN"/>
        </w:rPr>
        <w:t>子</w:t>
      </w:r>
      <w:r>
        <w:rPr>
          <w:rFonts w:hint="eastAsia" w:ascii="宋体" w:hAnsi="宋体" w:eastAsia="宋体" w:cs="宋体"/>
          <w:color w:val="auto"/>
          <w:sz w:val="24"/>
          <w:szCs w:val="24"/>
        </w:rPr>
        <w:t>系统</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14:paraId="63846F12">
      <w:pPr>
        <w:pStyle w:val="29"/>
        <w:keepNext w:val="0"/>
        <w:keepLines w:val="0"/>
        <w:pageBreakBefore w:val="0"/>
        <w:widowControl/>
        <w:kinsoku/>
        <w:wordWrap/>
        <w:overflowPunct/>
        <w:topLinePunct w:val="0"/>
        <w:autoSpaceDE/>
        <w:autoSpaceDN/>
        <w:bidi w:val="0"/>
        <w:adjustRightInd/>
        <w:snapToGrid/>
        <w:spacing w:line="360" w:lineRule="auto"/>
        <w:ind w:left="239" w:leftChars="114" w:firstLine="445" w:firstLineChars="192"/>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1.普通传染病报卡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；2.手足口报卡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；3.性病报卡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；4.乙肝报卡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05F379E9">
      <w:pPr>
        <w:pStyle w:val="29"/>
        <w:keepNext w:val="0"/>
        <w:keepLines w:val="0"/>
        <w:pageBreakBefore w:val="0"/>
        <w:widowControl/>
        <w:kinsoku/>
        <w:wordWrap/>
        <w:overflowPunct/>
        <w:topLinePunct w:val="0"/>
        <w:autoSpaceDE/>
        <w:autoSpaceDN/>
        <w:bidi w:val="0"/>
        <w:adjustRightInd/>
        <w:snapToGrid/>
        <w:spacing w:line="360" w:lineRule="auto"/>
        <w:ind w:left="0" w:leftChars="0" w:firstLine="464"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上虞区自助服务系统</w:t>
      </w:r>
      <w:r>
        <w:rPr>
          <w:rFonts w:hint="eastAsia" w:ascii="宋体" w:hAnsi="宋体" w:eastAsia="宋体" w:cs="宋体"/>
          <w:color w:val="auto"/>
          <w:sz w:val="24"/>
          <w:szCs w:val="24"/>
          <w:lang w:eastAsia="zh-CN"/>
        </w:rPr>
        <w:t>：</w:t>
      </w:r>
    </w:p>
    <w:p w14:paraId="03C34783">
      <w:pPr>
        <w:pStyle w:val="29"/>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1.自助挂号</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；2.自助缴费</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；3.自助办卡</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；4.信息查询</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；5.医后付</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与</w:t>
      </w:r>
      <w:r>
        <w:rPr>
          <w:rFonts w:hint="eastAsia" w:ascii="宋体" w:hAnsi="宋体" w:eastAsia="宋体" w:cs="宋体"/>
          <w:color w:val="auto"/>
          <w:sz w:val="24"/>
          <w:szCs w:val="24"/>
        </w:rPr>
        <w:t>其他</w:t>
      </w:r>
      <w:r>
        <w:rPr>
          <w:rFonts w:hint="eastAsia" w:ascii="宋体" w:hAnsi="宋体" w:eastAsia="宋体" w:cs="宋体"/>
          <w:color w:val="auto"/>
          <w:sz w:val="24"/>
          <w:szCs w:val="24"/>
          <w:lang w:val="en-US" w:eastAsia="zh-CN"/>
        </w:rPr>
        <w:t>系统</w:t>
      </w:r>
      <w:r>
        <w:rPr>
          <w:rFonts w:hint="eastAsia" w:ascii="宋体" w:hAnsi="宋体" w:eastAsia="宋体" w:cs="宋体"/>
          <w:color w:val="auto"/>
          <w:sz w:val="24"/>
          <w:szCs w:val="24"/>
        </w:rPr>
        <w:t>接口</w:t>
      </w:r>
      <w:r>
        <w:rPr>
          <w:rFonts w:hint="eastAsia" w:ascii="宋体" w:hAnsi="宋体" w:cs="宋体"/>
          <w:color w:val="auto"/>
          <w:sz w:val="24"/>
          <w:szCs w:val="24"/>
          <w:lang w:val="en-US" w:eastAsia="zh-CN"/>
        </w:rPr>
        <w:t>模块</w:t>
      </w:r>
      <w:r>
        <w:rPr>
          <w:rFonts w:hint="eastAsia" w:ascii="宋体" w:hAnsi="宋体" w:eastAsia="宋体" w:cs="宋体"/>
          <w:color w:val="auto"/>
          <w:sz w:val="24"/>
          <w:szCs w:val="24"/>
          <w:lang w:val="en-US" w:eastAsia="zh-CN"/>
        </w:rPr>
        <w:t>。</w:t>
      </w:r>
    </w:p>
    <w:p w14:paraId="756CDF3C">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上虞区全科医生签约系统</w:t>
      </w:r>
    </w:p>
    <w:p w14:paraId="0B784CF3">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上虞区双向转诊系统</w:t>
      </w:r>
    </w:p>
    <w:p w14:paraId="304A3C94">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上虞区基层医疗机构财政补偿机制绩效考核系统</w:t>
      </w:r>
    </w:p>
    <w:p w14:paraId="3AE9CEFA">
      <w:pPr>
        <w:pStyle w:val="7"/>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以上仅列出系统主要功能清单，具体以采购方实际在用系统功能为准。</w:t>
      </w:r>
    </w:p>
    <w:p w14:paraId="7584A392">
      <w:pPr>
        <w:pStyle w:val="50"/>
        <w:keepNext w:val="0"/>
        <w:keepLines w:val="0"/>
        <w:pageBreakBefore w:val="0"/>
        <w:widowControl w:val="0"/>
        <w:kinsoku/>
        <w:wordWrap/>
        <w:overflowPunct/>
        <w:topLinePunct w:val="0"/>
        <w:autoSpaceDE/>
        <w:autoSpaceDN/>
        <w:bidi w:val="0"/>
        <w:adjustRightInd/>
        <w:snapToGrid/>
        <w:spacing w:beforeLines="0" w:afterLines="0"/>
        <w:ind w:left="0" w:leftChars="0" w:firstLine="0" w:firstLineChars="0"/>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（2）维护内容</w:t>
      </w:r>
    </w:p>
    <w:p w14:paraId="20828586">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1)</w:t>
      </w:r>
      <w:r>
        <w:rPr>
          <w:rFonts w:hint="eastAsia" w:ascii="宋体" w:hAnsi="宋体" w:eastAsia="宋体" w:cs="宋体"/>
          <w:b/>
          <w:bCs/>
          <w:color w:val="auto"/>
          <w:szCs w:val="24"/>
        </w:rPr>
        <w:tab/>
      </w:r>
      <w:r>
        <w:rPr>
          <w:rFonts w:hint="eastAsia" w:ascii="宋体" w:hAnsi="宋体" w:eastAsia="宋体" w:cs="宋体"/>
          <w:b/>
          <w:bCs/>
          <w:color w:val="auto"/>
          <w:szCs w:val="24"/>
        </w:rPr>
        <w:t>日常维护</w:t>
      </w:r>
    </w:p>
    <w:p w14:paraId="16A47A89">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做好</w:t>
      </w:r>
      <w:r>
        <w:rPr>
          <w:rFonts w:hint="eastAsia" w:ascii="宋体" w:hAnsi="宋体" w:eastAsia="宋体" w:cs="宋体"/>
          <w:color w:val="auto"/>
          <w:sz w:val="24"/>
          <w:szCs w:val="24"/>
          <w:highlight w:val="none"/>
        </w:rPr>
        <w:t>系统的运行维护（详见维护模块清单），BUG处理，需求修改(定制需求除外）等保证系统的正常运行；</w:t>
      </w:r>
    </w:p>
    <w:p w14:paraId="00F55B38">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对于系统Bug并影响业务流程的需求，现场工程师立即响应处理。同时投标方须提供7X24小时电话技术支持服务，提供7X24小时远程支持服务。</w:t>
      </w:r>
    </w:p>
    <w:p w14:paraId="2B96E6FA">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系统运行中出现紧急事件，例如宕机、业务中断等，若驻点工程师在30分钟内无法解决，投标方须安排后端技术人员远程接入处理，必要时后端技术人员2小时到达现场服务。</w:t>
      </w:r>
    </w:p>
    <w:p w14:paraId="5F8749B6">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紧急事件，服务人员填写《紧急事件处理报告》，在24小时内提交给甲方。</w:t>
      </w:r>
    </w:p>
    <w:p w14:paraId="6BA607AD">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信息系统业务运行过程中,由于误操作、第三方等原因,造成的医院业务数据出现错误时，配合医院对错误数据进行核对及修正,并保证修正后数据准确。</w:t>
      </w:r>
    </w:p>
    <w:p w14:paraId="49145974">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做好对医院信息技术人员的继续培训工作。</w:t>
      </w:r>
    </w:p>
    <w:p w14:paraId="6DD5D57C">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做好业务系统的数据安全保密工作，严禁私自调用相关数据做与业务不相干的工作；严禁在正式库上进行数据测试。</w:t>
      </w:r>
    </w:p>
    <w:p w14:paraId="4981F5A5">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完成定期的数据管理工作及日常的系统更新和升级工作。</w:t>
      </w:r>
    </w:p>
    <w:p w14:paraId="2CCC723D">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对于常见问题须进行彻底解决，以免再次发生，并将这些解决方案建立文档。</w:t>
      </w:r>
    </w:p>
    <w:p w14:paraId="77847046">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提供特殊时段（春节、劳动节、国庆节、年终、采购方重大应用测试、投产），以及系统变更和迁移、系统升级等的现场支持服务。</w:t>
      </w:r>
    </w:p>
    <w:p w14:paraId="6BEF35A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 w:val="24"/>
          <w:szCs w:val="24"/>
        </w:rPr>
        <w:t>如突遇程序更新等原因或其他不明原因导致速度响应变慢，7×24小时现场工程师即时响应(非正常工作时间15分钟内响应)；出现系统故障在现场工程师无法解决问题的情况下以及其他各种不可预知的紧急情况下，明确承诺服务响应要求：7x24小时电话服务，5分钟内响应，30分钟内做出明确响应和安排，2小时内做出故障诊断报告，如需现场服务的，具有解决故障能力的工程师应在半小时内出发，2小时内到达现场，并连续24小时不间断处理，各种紧急情况的判定无条件以采购方判定为准。因投标方实施或提供产品质量、服务、不匹配、不到位引起采购方损失的，由投标方承担全部责任。出现故障，要求5分钟内响应</w:t>
      </w:r>
      <w:r>
        <w:rPr>
          <w:rFonts w:hint="eastAsia" w:ascii="宋体" w:hAnsi="宋体" w:eastAsia="宋体" w:cs="宋体"/>
          <w:color w:val="auto"/>
          <w:sz w:val="24"/>
          <w:szCs w:val="24"/>
          <w:highlight w:val="none"/>
        </w:rPr>
        <w:t>，24小时不间断组织抢修。</w:t>
      </w:r>
    </w:p>
    <w:p w14:paraId="7B700128">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w:t>
      </w:r>
      <w:r>
        <w:rPr>
          <w:rFonts w:hint="eastAsia" w:ascii="宋体" w:hAnsi="宋体" w:eastAsia="宋体" w:cs="宋体"/>
          <w:b/>
          <w:bCs/>
          <w:color w:val="auto"/>
          <w:szCs w:val="24"/>
          <w:highlight w:val="none"/>
        </w:rPr>
        <w:tab/>
      </w:r>
      <w:r>
        <w:rPr>
          <w:rFonts w:hint="eastAsia" w:ascii="宋体" w:hAnsi="宋体" w:eastAsia="宋体" w:cs="宋体"/>
          <w:b/>
          <w:bCs/>
          <w:color w:val="auto"/>
          <w:szCs w:val="24"/>
          <w:highlight w:val="none"/>
        </w:rPr>
        <w:t>巡检服务</w:t>
      </w:r>
    </w:p>
    <w:p w14:paraId="1645E15C">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检查业务系统相关软硬件健康状况。</w:t>
      </w:r>
    </w:p>
    <w:p w14:paraId="37697AB8">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工作日每日巡检，并记录相关巡检数据。</w:t>
      </w:r>
    </w:p>
    <w:p w14:paraId="73FE1A8D">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巡检报告并装订成册。</w:t>
      </w:r>
    </w:p>
    <w:p w14:paraId="3F593A50">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重要问题</w:t>
      </w:r>
      <w:r>
        <w:rPr>
          <w:rFonts w:hint="eastAsia" w:ascii="宋体" w:hAnsi="宋体" w:eastAsia="宋体" w:cs="宋体"/>
          <w:color w:val="auto"/>
          <w:sz w:val="24"/>
          <w:szCs w:val="24"/>
        </w:rPr>
        <w:t>及时与开发工程师沟通并寻求解决方法。</w:t>
      </w:r>
    </w:p>
    <w:p w14:paraId="2AC75927">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rPr>
        <w:t>3)</w:t>
      </w:r>
      <w:r>
        <w:rPr>
          <w:rFonts w:hint="eastAsia" w:ascii="宋体" w:hAnsi="宋体" w:eastAsia="宋体" w:cs="宋体"/>
          <w:b/>
          <w:bCs/>
          <w:color w:val="auto"/>
          <w:szCs w:val="24"/>
        </w:rPr>
        <w:tab/>
      </w:r>
      <w:r>
        <w:rPr>
          <w:rFonts w:hint="eastAsia" w:ascii="宋体" w:hAnsi="宋体" w:eastAsia="宋体" w:cs="宋体"/>
          <w:b/>
          <w:bCs/>
          <w:color w:val="auto"/>
          <w:szCs w:val="24"/>
        </w:rPr>
        <w:t>维保服务要求</w:t>
      </w:r>
    </w:p>
    <w:p w14:paraId="189C7EFF">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因投标方未及时提供规定服务导致采购方损失的，由投标方承担全部责任包括间接责任及损失；在投标方未能及时提供服务的情况下，采购方有权请第三方提供维修服务，损失及费用无条件由投标方承担。</w:t>
      </w:r>
    </w:p>
    <w:p w14:paraId="4A5A15D0">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投标方必须按照采购方要求做好系统安装调试，不得以各种理由增加费用。</w:t>
      </w:r>
    </w:p>
    <w:p w14:paraId="07C1668A">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项目维保过程中应充分考虑安全及冗灾需要，以及应急操作预案的可行性，并不断予以优化完善。</w:t>
      </w:r>
    </w:p>
    <w:p w14:paraId="2BADF30D">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护期内应用系统的任何更新(包括升级和调整)维护都必须按照规范要求进行，明确修改内容，需要达到效果，确定修改时间，并在测试服务器上测试无问题，报卫生信息中心负责人确认同意。时间原则上在晚上进行，进行之前通过QQ、微信等工作群方式通知各医疗卫生机构，调整完毕后必须进行实际环境测试，测试无问题后才能下班，第二天早上开发人员和实施人员必须较医疗机构上班时间提前30分钟到岗上班，确保系统调整后运行过程没有故障。</w:t>
      </w:r>
    </w:p>
    <w:p w14:paraId="7CADB895">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在服务期内，若系统功能不满足采购方实际现有业务需求，投标方需提供免费完善其功能或修正其错误的技术支持。涉及软件调整改造的费用包含在本项目报价内。</w:t>
      </w:r>
    </w:p>
    <w:p w14:paraId="1D2C8AB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采购方及使用单位的业务需求(含业务报表需求)，不限次数，投标方必须予以积极配合并及时修改调整软件系统功能，不得另行收取费用；同时做好系统运行性能优化和调整；其他根据采购方要求需要提供的系统维护和服务等，相关费用包含在本项目报价内。</w:t>
      </w:r>
    </w:p>
    <w:p w14:paraId="38260EF2">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服务工程师需具备对应操作系统或数据库系统相应能力。</w:t>
      </w:r>
    </w:p>
    <w:p w14:paraId="6304D97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提供定期对应用系统、数据库备份服务，制定有效的备份策略，检查备份文件可用性，保证出现故障时可及时恢复。</w:t>
      </w:r>
    </w:p>
    <w:p w14:paraId="409494C8">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协助用户及应用系统厂商部署系统、数据迁移等工作。</w:t>
      </w:r>
    </w:p>
    <w:p w14:paraId="1C0F4E89">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4</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运维团队人员要求</w:t>
      </w:r>
    </w:p>
    <w:p w14:paraId="3A649AB8">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val="0"/>
          <w:dstrike w:val="0"/>
          <w:color w:val="auto"/>
          <w:sz w:val="24"/>
          <w:szCs w:val="24"/>
        </w:rPr>
      </w:pPr>
      <w:r>
        <w:rPr>
          <w:rFonts w:hint="eastAsia" w:ascii="宋体" w:hAnsi="宋体" w:eastAsia="宋体" w:cs="宋体"/>
          <w:strike w:val="0"/>
          <w:dstrike w:val="0"/>
          <w:color w:val="auto"/>
          <w:sz w:val="24"/>
          <w:szCs w:val="24"/>
        </w:rPr>
        <w:t>本项目涉及日常运维系统较多且均为定制系统，涉及面广，需安排</w:t>
      </w:r>
      <w:r>
        <w:rPr>
          <w:rFonts w:hint="eastAsia" w:ascii="宋体" w:hAnsi="宋体" w:cs="宋体"/>
          <w:strike w:val="0"/>
          <w:dstrike w:val="0"/>
          <w:color w:val="auto"/>
          <w:sz w:val="24"/>
          <w:szCs w:val="24"/>
          <w:lang w:val="en-US" w:eastAsia="zh-CN"/>
        </w:rPr>
        <w:t>专门</w:t>
      </w:r>
      <w:r>
        <w:rPr>
          <w:rFonts w:hint="eastAsia" w:ascii="宋体" w:hAnsi="宋体" w:eastAsia="宋体" w:cs="宋体"/>
          <w:strike w:val="0"/>
          <w:dstrike w:val="0"/>
          <w:color w:val="auto"/>
          <w:sz w:val="24"/>
          <w:szCs w:val="24"/>
        </w:rPr>
        <w:t>运维团队</w:t>
      </w:r>
      <w:r>
        <w:rPr>
          <w:rFonts w:hint="eastAsia" w:ascii="宋体" w:hAnsi="宋体" w:cs="宋体"/>
          <w:strike w:val="0"/>
          <w:dstrike w:val="0"/>
          <w:color w:val="auto"/>
          <w:sz w:val="24"/>
          <w:szCs w:val="24"/>
          <w:lang w:eastAsia="zh-CN"/>
        </w:rPr>
        <w:t>，</w:t>
      </w:r>
      <w:r>
        <w:rPr>
          <w:rFonts w:hint="eastAsia" w:ascii="宋体" w:hAnsi="宋体" w:eastAsia="宋体" w:cs="宋体"/>
          <w:color w:val="auto"/>
          <w:sz w:val="24"/>
          <w:szCs w:val="24"/>
        </w:rPr>
        <w:t>负责按照采购方要求做好系统整体维护管理升级、需求修改、日常维护、巡检、指导及培训等(实行考勤，遵守采购方作息制度，接受采购方工作安排)；在采购方有临时突击工作任务时必须无条件增加现场工程师；在现场工程师请假时有代班工程师。</w:t>
      </w:r>
    </w:p>
    <w:p w14:paraId="1FDBC5F1">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lang w:val="en-US" w:eastAsia="zh-CN"/>
        </w:rPr>
      </w:pPr>
      <w:r>
        <w:rPr>
          <w:rFonts w:hint="eastAsia" w:ascii="宋体" w:hAnsi="宋体" w:cs="宋体"/>
          <w:b/>
          <w:bCs/>
          <w:sz w:val="24"/>
          <w:szCs w:val="24"/>
          <w:highlight w:val="none"/>
        </w:rPr>
        <w:t>★</w:t>
      </w:r>
      <w:r>
        <w:rPr>
          <w:rFonts w:hint="eastAsia" w:ascii="宋体" w:hAnsi="宋体" w:cs="宋体"/>
          <w:color w:val="auto"/>
          <w:sz w:val="24"/>
          <w:szCs w:val="24"/>
          <w:lang w:val="en-US" w:eastAsia="zh-CN"/>
        </w:rPr>
        <w:t>驻场服务工程师团队：提供采购方现场驻场运维工程师不少于3岗。（提供承诺函，格式自拟。明确驻场运维工程师具体人员名单，中标后不得更换。并提供驻场运维工程师医疗软件运维3年以上工作证明及本单位缴纳社保证明并加盖公章，中标后提供相关运维合同供采购方核验。）</w:t>
      </w:r>
    </w:p>
    <w:p w14:paraId="34FC7D4E">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5</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运维文档要求</w:t>
      </w:r>
    </w:p>
    <w:p w14:paraId="73ABFB2A">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服务人员每周总结工作日志，确保所有</w:t>
      </w:r>
      <w:r>
        <w:rPr>
          <w:rFonts w:hint="eastAsia" w:ascii="宋体" w:hAnsi="宋体" w:eastAsia="宋体" w:cs="宋体"/>
          <w:color w:val="auto"/>
          <w:sz w:val="24"/>
          <w:szCs w:val="24"/>
          <w:highlight w:val="none"/>
        </w:rPr>
        <w:t>问题有记录，从日志中总结经验性文档，供信息科学习。</w:t>
      </w:r>
    </w:p>
    <w:p w14:paraId="718C6009">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每季度总结本季度系统维护情况。</w:t>
      </w:r>
    </w:p>
    <w:p w14:paraId="1E7D02DE">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总结年度系统维护情况和维修计划完成情况，分析维护过程中出现的问题。</w:t>
      </w:r>
    </w:p>
    <w:p w14:paraId="588CC914">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6</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rPr>
        <w:t>数据备份服务要求</w:t>
      </w:r>
    </w:p>
    <w:p w14:paraId="680BBA93">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做好相关业务系统的数据备份工作，检查备份策略全备和增量备份的完成情况，并提供巡检报告和工作建议，安排软件工程师现场巡检，完成后编写巡检报告。</w:t>
      </w:r>
    </w:p>
    <w:p w14:paraId="10DB7BEB">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无条件配合采购方开展的数据备份恢复演练等应急演练，根据采购方演练计划做好数据库容灾切换，恢复容灾系统数据，备份恢复完成后，保证业务系统运行正常，数据完整。</w:t>
      </w:r>
    </w:p>
    <w:p w14:paraId="2FCDB68C">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提供应急响应，如遇系统突发故障等紧急情况，对已有备份数据进行恢复，保障数据安全。</w:t>
      </w:r>
    </w:p>
    <w:p w14:paraId="6CD362A7">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Cs w:val="24"/>
          <w:highlight w:val="none"/>
          <w:lang w:val="en-US" w:eastAsia="zh-CN"/>
        </w:rPr>
      </w:pPr>
      <w:r>
        <w:rPr>
          <w:rFonts w:hint="eastAsia" w:ascii="宋体" w:hAnsi="宋体" w:eastAsia="宋体" w:cs="宋体"/>
          <w:color w:val="auto"/>
          <w:sz w:val="24"/>
          <w:szCs w:val="24"/>
          <w:highlight w:val="none"/>
        </w:rPr>
        <w:t>投标方须配合采购方做好本地实时备份和异地实时备份数据(数据库异地DATAGUARD和RMAN备份)，配合做好oracle数据库RAC安装及升级、迁移工作。数据库损坏或者误操作提供7x24不间断的后备技术支持工作；启用容灾数据库或应急系统后，免费配合将容灾数据库或应急系统数据迁移到原服务器上，并重做容灾数据库。</w:t>
      </w:r>
    </w:p>
    <w:p w14:paraId="4B182739">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7</w:t>
      </w:r>
      <w:r>
        <w:rPr>
          <w:rFonts w:hint="eastAsia" w:ascii="宋体" w:hAnsi="宋体" w:eastAsia="宋体" w:cs="宋体"/>
          <w:b/>
          <w:bCs/>
          <w:color w:val="auto"/>
          <w:szCs w:val="24"/>
        </w:rPr>
        <w:t>)</w:t>
      </w:r>
      <w:r>
        <w:rPr>
          <w:rFonts w:hint="eastAsia" w:ascii="宋体" w:hAnsi="宋体" w:eastAsia="宋体" w:cs="宋体"/>
          <w:b/>
          <w:bCs/>
          <w:color w:val="auto"/>
          <w:szCs w:val="24"/>
        </w:rPr>
        <w:tab/>
      </w:r>
      <w:r>
        <w:rPr>
          <w:rFonts w:hint="eastAsia" w:ascii="宋体" w:hAnsi="宋体" w:eastAsia="宋体" w:cs="宋体"/>
          <w:b/>
          <w:bCs/>
          <w:color w:val="auto"/>
          <w:szCs w:val="24"/>
          <w:lang w:val="en-US" w:eastAsia="zh-CN"/>
        </w:rPr>
        <w:t>其他要求</w:t>
      </w:r>
    </w:p>
    <w:p w14:paraId="3A83D185">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工程师要遵守</w:t>
      </w:r>
      <w:r>
        <w:rPr>
          <w:rFonts w:hint="eastAsia" w:ascii="宋体" w:hAnsi="宋体" w:eastAsia="宋体" w:cs="宋体"/>
          <w:color w:val="auto"/>
          <w:sz w:val="24"/>
          <w:szCs w:val="24"/>
          <w:lang w:val="en-US" w:eastAsia="zh-CN"/>
        </w:rPr>
        <w:t>采购方的</w:t>
      </w:r>
      <w:r>
        <w:rPr>
          <w:rFonts w:hint="eastAsia" w:ascii="宋体" w:hAnsi="宋体" w:eastAsia="宋体" w:cs="宋体"/>
          <w:color w:val="auto"/>
          <w:sz w:val="24"/>
          <w:szCs w:val="24"/>
        </w:rPr>
        <w:t>劳动考勤纪律及其它相关规章制度，接受</w:t>
      </w:r>
      <w:r>
        <w:rPr>
          <w:rFonts w:hint="eastAsia" w:ascii="宋体" w:hAnsi="宋体" w:eastAsia="宋体" w:cs="宋体"/>
          <w:color w:val="auto"/>
          <w:sz w:val="24"/>
          <w:szCs w:val="24"/>
          <w:lang w:val="en-US" w:eastAsia="zh-CN"/>
        </w:rPr>
        <w:t>采购方的</w:t>
      </w:r>
      <w:r>
        <w:rPr>
          <w:rFonts w:hint="eastAsia" w:ascii="宋体" w:hAnsi="宋体" w:eastAsia="宋体" w:cs="宋体"/>
          <w:color w:val="auto"/>
          <w:sz w:val="24"/>
          <w:szCs w:val="24"/>
        </w:rPr>
        <w:t>工作安排与指导，做好本职</w:t>
      </w:r>
      <w:r>
        <w:rPr>
          <w:rFonts w:hint="eastAsia" w:ascii="宋体" w:hAnsi="宋体" w:eastAsia="宋体" w:cs="宋体"/>
          <w:color w:val="auto"/>
          <w:sz w:val="24"/>
          <w:szCs w:val="24"/>
          <w:lang w:val="en-US" w:eastAsia="zh-CN"/>
        </w:rPr>
        <w:t>工作。</w:t>
      </w:r>
    </w:p>
    <w:p w14:paraId="5A164E51">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上述服务中所需办公电脑、终端维修设备等工具需由</w:t>
      </w:r>
      <w:r>
        <w:rPr>
          <w:rFonts w:hint="eastAsia" w:ascii="宋体" w:hAnsi="宋体" w:eastAsia="宋体" w:cs="宋体"/>
          <w:color w:val="auto"/>
          <w:sz w:val="24"/>
          <w:szCs w:val="24"/>
          <w:lang w:val="en-US" w:eastAsia="zh-CN"/>
        </w:rPr>
        <w:t>投标方</w:t>
      </w:r>
      <w:r>
        <w:rPr>
          <w:rFonts w:hint="eastAsia" w:ascii="宋体" w:hAnsi="宋体" w:eastAsia="宋体" w:cs="宋体"/>
          <w:color w:val="auto"/>
          <w:sz w:val="24"/>
          <w:szCs w:val="24"/>
        </w:rPr>
        <w:t>自行配备。</w:t>
      </w:r>
    </w:p>
    <w:p w14:paraId="4968D943">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做好相关信息数据保密工作，承担保密责任。未经允许不得对外透露采购方业务系统的信息，未经允许不得复制与工作相关的数据与信息，不得以任何方式和渠道向外界传递、泄露、披露任何信息数据。</w:t>
      </w:r>
    </w:p>
    <w:p w14:paraId="36AD8322">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投标方必须按照采购方要求做好系统安装调试，不得以各种理由增加费用。</w:t>
      </w:r>
    </w:p>
    <w:p w14:paraId="79EAB16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项目维保过程中应充分考虑安全及冗灾需要，以及应急操作预案的可行性，并不断予以优化完善。</w:t>
      </w:r>
    </w:p>
    <w:p w14:paraId="691A9FC8">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要求投标方严格按照</w:t>
      </w:r>
      <w:r>
        <w:rPr>
          <w:rFonts w:hint="eastAsia" w:ascii="宋体" w:hAnsi="宋体" w:eastAsia="宋体" w:cs="宋体"/>
          <w:color w:val="auto"/>
          <w:sz w:val="24"/>
          <w:szCs w:val="24"/>
          <w:lang w:val="en-US" w:eastAsia="zh-CN"/>
        </w:rPr>
        <w:t>采购方业务系统的</w:t>
      </w:r>
      <w:r>
        <w:rPr>
          <w:rFonts w:hint="eastAsia" w:ascii="宋体" w:hAnsi="宋体" w:eastAsia="宋体" w:cs="宋体"/>
          <w:color w:val="auto"/>
          <w:sz w:val="24"/>
          <w:szCs w:val="24"/>
        </w:rPr>
        <w:t>国家信息安全等级保护要求做好安全工作，不能通过信息安全等保要求的，免费整改直至符合规范要求，同时要求投标方严格保密</w:t>
      </w:r>
      <w:r>
        <w:rPr>
          <w:rFonts w:hint="eastAsia" w:ascii="宋体" w:hAnsi="宋体" w:eastAsia="宋体" w:cs="宋体"/>
          <w:color w:val="auto"/>
          <w:sz w:val="24"/>
          <w:szCs w:val="24"/>
          <w:lang w:val="en-US" w:eastAsia="zh-CN"/>
        </w:rPr>
        <w:t>采购方</w:t>
      </w:r>
      <w:r>
        <w:rPr>
          <w:rFonts w:hint="eastAsia" w:ascii="宋体" w:hAnsi="宋体" w:eastAsia="宋体" w:cs="宋体"/>
          <w:color w:val="auto"/>
          <w:sz w:val="24"/>
          <w:szCs w:val="24"/>
        </w:rPr>
        <w:t>的相关信息，需保密信息包括但不限于:系统数据、IP地址规划信息、居</w:t>
      </w:r>
      <w:r>
        <w:rPr>
          <w:rFonts w:hint="eastAsia" w:ascii="宋体" w:hAnsi="宋体" w:eastAsia="宋体" w:cs="宋体"/>
          <w:color w:val="auto"/>
          <w:sz w:val="24"/>
          <w:szCs w:val="24"/>
          <w:highlight w:val="none"/>
        </w:rPr>
        <w:t>民基本信息、医疗健康信息数据、需求图表等知识产权、业务记录和计划、技术资料、产品项目、产品设计信息、价格结构、成本等非公开的、保密的或专业的信息和数据，同时确保数据在传输过程中加密安全传输，不被非法窃取、泄密等。</w:t>
      </w:r>
    </w:p>
    <w:p w14:paraId="7A14124B">
      <w:pPr>
        <w:pStyle w:val="50"/>
        <w:keepNext w:val="0"/>
        <w:keepLines w:val="0"/>
        <w:pageBreakBefore w:val="0"/>
        <w:widowControl w:val="0"/>
        <w:kinsoku/>
        <w:wordWrap/>
        <w:overflowPunct/>
        <w:topLinePunct w:val="0"/>
        <w:autoSpaceDE/>
        <w:autoSpaceDN/>
        <w:bidi w:val="0"/>
        <w:adjustRightInd/>
        <w:snapToGrid/>
        <w:spacing w:beforeLines="0" w:afterLines="0"/>
        <w:ind w:firstLine="482"/>
        <w:jc w:val="left"/>
        <w:textAlignment w:val="auto"/>
        <w:rPr>
          <w:rFonts w:hint="eastAsia" w:ascii="宋体" w:hAnsi="宋体"/>
          <w:b/>
          <w:bCs/>
          <w:color w:val="auto"/>
          <w:szCs w:val="24"/>
          <w:lang w:val="en-US" w:eastAsia="zh-CN"/>
        </w:rPr>
      </w:pPr>
      <w:r>
        <w:rPr>
          <w:rFonts w:hint="eastAsia" w:ascii="宋体" w:hAnsi="宋体"/>
          <w:b/>
          <w:bCs/>
          <w:color w:val="auto"/>
          <w:szCs w:val="24"/>
          <w:lang w:val="en-US" w:eastAsia="zh-CN"/>
        </w:rPr>
        <w:t>8</w:t>
      </w:r>
      <w:r>
        <w:rPr>
          <w:rFonts w:hint="eastAsia" w:ascii="宋体" w:hAnsi="宋体"/>
          <w:b/>
          <w:bCs/>
          <w:color w:val="auto"/>
          <w:szCs w:val="24"/>
        </w:rPr>
        <w:t>)</w:t>
      </w:r>
      <w:r>
        <w:rPr>
          <w:rFonts w:hint="eastAsia" w:ascii="宋体" w:hAnsi="宋体"/>
          <w:b/>
          <w:bCs/>
          <w:color w:val="auto"/>
          <w:szCs w:val="24"/>
        </w:rPr>
        <w:tab/>
      </w:r>
      <w:r>
        <w:rPr>
          <w:rFonts w:hint="eastAsia" w:ascii="宋体" w:hAnsi="宋体"/>
          <w:b/>
          <w:bCs/>
          <w:color w:val="auto"/>
          <w:szCs w:val="24"/>
          <w:lang w:val="en-US" w:eastAsia="zh-CN"/>
        </w:rPr>
        <w:t>验收要求</w:t>
      </w:r>
    </w:p>
    <w:p w14:paraId="18BF33E9">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服务期内按</w:t>
      </w:r>
      <w:r>
        <w:rPr>
          <w:rFonts w:hint="default" w:ascii="宋体" w:hAnsi="宋体" w:cs="宋体"/>
          <w:color w:val="auto"/>
          <w:sz w:val="24"/>
          <w:szCs w:val="24"/>
          <w:highlight w:val="none"/>
        </w:rPr>
        <w:t>采购方</w:t>
      </w:r>
      <w:r>
        <w:rPr>
          <w:rFonts w:hint="eastAsia" w:ascii="宋体" w:hAnsi="宋体" w:cs="宋体"/>
          <w:color w:val="auto"/>
          <w:sz w:val="24"/>
          <w:szCs w:val="24"/>
          <w:highlight w:val="none"/>
        </w:rPr>
        <w:t>要求完成业务系统的维护，并通过监理(如有)核验。</w:t>
      </w:r>
    </w:p>
    <w:p w14:paraId="324FB9D9">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cs="宋体"/>
          <w:color w:val="auto"/>
          <w:sz w:val="24"/>
          <w:szCs w:val="24"/>
          <w:highlight w:val="none"/>
        </w:rPr>
        <w:t>项目验收前须按要求提供项目实施、运维等相关文档，文档应严格按照国家有关规定进行，必须及时提供验收文档、运维记录、项目管理文档等有关文档，包括电子文档。</w:t>
      </w:r>
    </w:p>
    <w:p w14:paraId="274249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四、项目</w:t>
      </w:r>
      <w:r>
        <w:rPr>
          <w:rFonts w:hint="eastAsia" w:ascii="宋体" w:hAnsi="宋体" w:cs="宋体"/>
          <w:b/>
          <w:color w:val="auto"/>
          <w:sz w:val="24"/>
          <w:szCs w:val="24"/>
          <w:highlight w:val="none"/>
          <w:lang w:val="en-US" w:eastAsia="zh-CN"/>
        </w:rPr>
        <w:t>服务期</w:t>
      </w:r>
    </w:p>
    <w:p w14:paraId="1219BEB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本项目服务</w:t>
      </w:r>
      <w:r>
        <w:rPr>
          <w:rFonts w:hint="eastAsia" w:ascii="宋体" w:hAnsi="宋体" w:eastAsia="宋体" w:cs="宋体"/>
          <w:color w:val="auto"/>
          <w:kern w:val="2"/>
          <w:sz w:val="24"/>
          <w:szCs w:val="24"/>
          <w:highlight w:val="none"/>
          <w:lang w:val="en-US" w:eastAsia="zh-CN" w:bidi="ar-SA"/>
        </w:rPr>
        <w:t>一年，202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   月   日至202</w:t>
      </w: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年   月    日。</w:t>
      </w:r>
    </w:p>
    <w:p w14:paraId="4A8C91B3">
      <w:pPr>
        <w:autoSpaceDE w:val="0"/>
        <w:autoSpaceDN w:val="0"/>
        <w:adjustRightInd w:val="0"/>
        <w:spacing w:beforeLines="50" w:line="336" w:lineRule="auto"/>
        <w:jc w:val="left"/>
        <w:rPr>
          <w:rFonts w:ascii="宋体" w:hAnsi="宋体" w:cs="宋体"/>
          <w:b/>
          <w:bCs/>
          <w:sz w:val="24"/>
          <w:highlight w:val="none"/>
          <w:lang w:val="zh-CN"/>
        </w:rPr>
      </w:pPr>
      <w:r>
        <w:rPr>
          <w:rFonts w:hint="eastAsia" w:ascii="宋体" w:hAnsi="宋体" w:cs="宋体"/>
          <w:b/>
          <w:bCs/>
          <w:sz w:val="24"/>
          <w:highlight w:val="none"/>
          <w:lang w:val="en-US" w:eastAsia="zh-CN"/>
        </w:rPr>
        <w:t>五</w:t>
      </w:r>
      <w:r>
        <w:rPr>
          <w:rFonts w:hint="eastAsia" w:ascii="宋体" w:hAnsi="宋体" w:cs="宋体"/>
          <w:b/>
          <w:bCs/>
          <w:sz w:val="24"/>
          <w:highlight w:val="none"/>
          <w:lang w:val="zh-CN"/>
        </w:rPr>
        <w:t>、履约验收</w:t>
      </w:r>
    </w:p>
    <w:p w14:paraId="1EBB930E">
      <w:pPr>
        <w:numPr>
          <w:ilvl w:val="0"/>
          <w:numId w:val="38"/>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甲方组织对乙方履约的验收。验收方成员应当在验收书上签字，并承担相应的法律责任。如果发现与合同中要求不符，乙方须承担由此发生的一切损失和费用，并接受相应的处理。</w:t>
      </w:r>
    </w:p>
    <w:p w14:paraId="485076D9">
      <w:pPr>
        <w:numPr>
          <w:ilvl w:val="0"/>
          <w:numId w:val="38"/>
        </w:numPr>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甲方应当及时对采购项目进行验收，甲方可以邀请参加本项目的其他投标人或者第三方机构参与验收，参与验收的投标人或者第三方机构的意见作为验收书的参考资料一并存档。</w:t>
      </w:r>
    </w:p>
    <w:p w14:paraId="0AD14FC1">
      <w:pPr>
        <w:numPr>
          <w:ilvl w:val="0"/>
          <w:numId w:val="38"/>
        </w:numPr>
        <w:spacing w:line="336"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甲方负责加强对乙方的履约管理，并按照采购合同约定，及时向乙方支付采购资金。对于乙方违反采购合同约定的行为，甲方应当及时处理，依法追究其违约责任。</w:t>
      </w:r>
    </w:p>
    <w:p w14:paraId="4D4F4B4F">
      <w:pPr>
        <w:numPr>
          <w:ilvl w:val="0"/>
          <w:numId w:val="38"/>
        </w:numPr>
        <w:spacing w:line="336" w:lineRule="auto"/>
        <w:ind w:firstLine="480" w:firstLineChars="200"/>
        <w:jc w:val="left"/>
        <w:rPr>
          <w:rFonts w:ascii="宋体" w:hAnsi="宋体" w:cs="宋体"/>
          <w:sz w:val="24"/>
          <w:highlight w:val="none"/>
        </w:rPr>
      </w:pPr>
      <w:r>
        <w:rPr>
          <w:rFonts w:hint="eastAsia" w:ascii="宋体" w:hAnsi="宋体" w:cs="宋体"/>
          <w:color w:val="auto"/>
          <w:sz w:val="24"/>
          <w:highlight w:val="none"/>
        </w:rPr>
        <w:t>验收时乙方需在现场，验收完毕后做出验收结果报告。</w:t>
      </w:r>
    </w:p>
    <w:p w14:paraId="7EDEE693">
      <w:pPr>
        <w:spacing w:beforeLines="50" w:line="336" w:lineRule="auto"/>
        <w:rPr>
          <w:rFonts w:ascii="宋体" w:hAnsi="宋体" w:cs="宋体"/>
          <w:b/>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、付款方式</w:t>
      </w:r>
    </w:p>
    <w:p w14:paraId="36C0B327">
      <w:pPr>
        <w:pStyle w:val="43"/>
        <w:spacing w:line="336" w:lineRule="auto"/>
        <w:ind w:firstLine="420" w:firstLineChars="175"/>
        <w:rPr>
          <w:rFonts w:cs="宋体"/>
          <w:szCs w:val="24"/>
          <w:highlight w:val="none"/>
        </w:rPr>
      </w:pPr>
      <w:r>
        <w:rPr>
          <w:rFonts w:hint="eastAsia" w:cs="宋体"/>
          <w:szCs w:val="24"/>
          <w:highlight w:val="none"/>
        </w:rPr>
        <w:t>（1）服务费：</w:t>
      </w:r>
    </w:p>
    <w:p w14:paraId="6CA6163B">
      <w:pPr>
        <w:pStyle w:val="43"/>
        <w:spacing w:line="336" w:lineRule="auto"/>
        <w:ind w:firstLine="420" w:firstLineChars="175"/>
        <w:rPr>
          <w:rFonts w:cs="宋体"/>
          <w:szCs w:val="24"/>
          <w:highlight w:val="none"/>
        </w:rPr>
      </w:pPr>
      <w:r>
        <w:rPr>
          <w:rFonts w:hint="eastAsia" w:cs="宋体"/>
          <w:szCs w:val="24"/>
          <w:highlight w:val="none"/>
        </w:rPr>
        <w:t>本合同金额为人民币（大写）：________元（￥_______元）。</w:t>
      </w:r>
    </w:p>
    <w:p w14:paraId="30A01E94">
      <w:pPr>
        <w:autoSpaceDE w:val="0"/>
        <w:autoSpaceDN w:val="0"/>
        <w:adjustRightInd w:val="0"/>
        <w:spacing w:line="336" w:lineRule="auto"/>
        <w:ind w:firstLine="480" w:firstLineChars="200"/>
        <w:rPr>
          <w:rFonts w:ascii="宋体" w:hAnsi="宋体" w:cs="宋体"/>
          <w:sz w:val="24"/>
          <w:szCs w:val="24"/>
          <w:highlight w:val="none"/>
        </w:rPr>
      </w:pPr>
      <w:r>
        <w:rPr>
          <w:rFonts w:hint="eastAsia" w:ascii="宋体" w:hAnsi="宋体" w:cs="宋体"/>
          <w:sz w:val="24"/>
          <w:szCs w:val="24"/>
          <w:highlight w:val="none"/>
        </w:rPr>
        <w:t>在合同生效以及具备实施条件并收到发票后7个工作日内支付</w:t>
      </w:r>
      <w:r>
        <w:rPr>
          <w:rFonts w:hint="eastAsia" w:ascii="宋体" w:hAnsi="宋体" w:cs="宋体"/>
          <w:sz w:val="24"/>
          <w:szCs w:val="24"/>
          <w:highlight w:val="none"/>
          <w:lang w:val="en-US" w:eastAsia="zh-CN"/>
        </w:rPr>
        <w:t>40</w:t>
      </w:r>
      <w:r>
        <w:rPr>
          <w:rFonts w:hint="eastAsia" w:ascii="宋体" w:hAnsi="宋体" w:cs="宋体"/>
          <w:sz w:val="24"/>
          <w:szCs w:val="24"/>
          <w:highlight w:val="none"/>
        </w:rPr>
        <w:t>%合同价款；</w:t>
      </w:r>
      <w:r>
        <w:rPr>
          <w:rFonts w:hint="eastAsia" w:ascii="宋体" w:hAnsi="宋体" w:cs="宋体"/>
          <w:sz w:val="24"/>
          <w:szCs w:val="24"/>
          <w:highlight w:val="none"/>
          <w:lang w:val="en-US" w:eastAsia="zh-CN"/>
        </w:rPr>
        <w:t>服务期满经甲方确认后7个工作日内支付剩余合同价款</w:t>
      </w:r>
      <w:r>
        <w:rPr>
          <w:rFonts w:hint="eastAsia" w:ascii="宋体" w:hAnsi="宋体" w:cs="宋体"/>
          <w:sz w:val="24"/>
          <w:szCs w:val="24"/>
          <w:highlight w:val="none"/>
        </w:rPr>
        <w:t>。</w:t>
      </w:r>
    </w:p>
    <w:p w14:paraId="4DEB6ACD">
      <w:pPr>
        <w:tabs>
          <w:tab w:val="left" w:pos="3570"/>
        </w:tabs>
        <w:spacing w:line="336" w:lineRule="auto"/>
        <w:ind w:left="420" w:leftChars="200"/>
        <w:rPr>
          <w:rFonts w:ascii="宋体" w:hAnsi="宋体" w:cs="宋体"/>
          <w:b/>
          <w:sz w:val="24"/>
          <w:highlight w:val="none"/>
        </w:rPr>
      </w:pPr>
      <w:r>
        <w:rPr>
          <w:rFonts w:hint="eastAsia" w:ascii="宋体" w:hAnsi="宋体" w:cs="宋体"/>
          <w:b/>
          <w:sz w:val="24"/>
          <w:highlight w:val="none"/>
        </w:rPr>
        <w:t>（2）付款要求</w:t>
      </w:r>
    </w:p>
    <w:p w14:paraId="7FF05DDE">
      <w:pPr>
        <w:spacing w:line="336" w:lineRule="auto"/>
        <w:ind w:firstLine="480" w:firstLineChars="200"/>
        <w:rPr>
          <w:rFonts w:ascii="宋体" w:hAnsi="宋体" w:cs="宋体"/>
          <w:sz w:val="24"/>
          <w:highlight w:val="none"/>
        </w:rPr>
      </w:pPr>
      <w:r>
        <w:rPr>
          <w:rFonts w:hint="eastAsia" w:ascii="宋体" w:hAnsi="宋体" w:cs="宋体"/>
          <w:sz w:val="24"/>
          <w:highlight w:val="none"/>
        </w:rPr>
        <w:t>乙方在收款之前，应向甲方提供发票，甲方凭发票付款。如乙方未按约定提供发票的，甲方有权拒绝付款，直至收到乙方提交的相应发票为止，在此情况下，甲方不承担逾期付款违约责任。</w:t>
      </w:r>
    </w:p>
    <w:p w14:paraId="24B2FA4F">
      <w:pPr>
        <w:spacing w:beforeLines="50" w:line="336" w:lineRule="auto"/>
        <w:rPr>
          <w:rFonts w:ascii="宋体" w:hAnsi="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cs="宋体"/>
          <w:b/>
          <w:bCs/>
          <w:sz w:val="24"/>
          <w:szCs w:val="24"/>
          <w:highlight w:val="none"/>
        </w:rPr>
        <w:t>、违约责任</w:t>
      </w:r>
    </w:p>
    <w:p w14:paraId="16FEFB4A">
      <w:pPr>
        <w:spacing w:line="336" w:lineRule="auto"/>
        <w:ind w:firstLine="480" w:firstLineChars="200"/>
        <w:rPr>
          <w:rFonts w:hint="eastAsia" w:ascii="宋体" w:hAnsi="宋体" w:cs="宋体"/>
          <w:sz w:val="24"/>
          <w:highlight w:val="none"/>
        </w:rPr>
      </w:pPr>
      <w:r>
        <w:rPr>
          <w:rFonts w:hint="eastAsia" w:ascii="宋体" w:hAnsi="宋体" w:eastAsia="宋体" w:cs="宋体"/>
          <w:bCs/>
          <w:sz w:val="24"/>
          <w:highlight w:val="none"/>
          <w:lang w:val="en-US" w:eastAsia="zh-CN"/>
        </w:rPr>
        <w:t>1</w:t>
      </w:r>
      <w:r>
        <w:rPr>
          <w:rFonts w:hint="eastAsia" w:ascii="宋体" w:hAnsi="宋体" w:cs="宋体"/>
          <w:bCs/>
          <w:sz w:val="24"/>
          <w:highlight w:val="none"/>
          <w:lang w:val="en-US" w:eastAsia="zh-CN"/>
        </w:rPr>
        <w:t>.</w:t>
      </w:r>
      <w:r>
        <w:rPr>
          <w:rFonts w:hint="eastAsia" w:ascii="宋体" w:hAnsi="宋体" w:eastAsia="宋体" w:cs="宋体"/>
          <w:bCs/>
          <w:sz w:val="24"/>
          <w:highlight w:val="none"/>
        </w:rPr>
        <w:t>除合同规定的不可抗力外，如果乙方没有按照合同规定的时间提供服务，甲方可要求乙方</w:t>
      </w:r>
      <w:r>
        <w:rPr>
          <w:rFonts w:hint="eastAsia"/>
          <w:bCs/>
          <w:sz w:val="24"/>
        </w:rPr>
        <w:t>赔偿甲方全部实际损失</w:t>
      </w:r>
      <w:r>
        <w:rPr>
          <w:rFonts w:hint="eastAsia" w:ascii="宋体" w:hAnsi="宋体" w:eastAsia="宋体" w:cs="宋体"/>
          <w:bCs/>
          <w:color w:val="44546A" w:themeColor="text2"/>
          <w:sz w:val="24"/>
          <w:highlight w:val="none"/>
        </w:rPr>
        <w:t>。</w:t>
      </w:r>
      <w:r>
        <w:rPr>
          <w:rFonts w:hint="eastAsia"/>
          <w:bCs/>
          <w:sz w:val="24"/>
        </w:rPr>
        <w:t>其赔偿额不超过本合同标的总额，并向甲方</w:t>
      </w:r>
      <w:r>
        <w:rPr>
          <w:rFonts w:hint="eastAsia" w:ascii="宋体" w:hAnsi="宋体" w:cs="宋体"/>
          <w:sz w:val="24"/>
          <w:highlight w:val="none"/>
        </w:rPr>
        <w:t>支付合同标的总额1%的违约金。</w:t>
      </w:r>
    </w:p>
    <w:p w14:paraId="498FED17">
      <w:pPr>
        <w:spacing w:line="336"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 xml:space="preserve">项目结束时验收不合格，乙方应在收到甲方通知后 7 日内退还甲方已支付的合同款，逾期退还合同款的，每日按未退还金额的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w:t>
      </w:r>
      <w:r>
        <w:rPr>
          <w:rFonts w:hint="eastAsia" w:ascii="宋体" w:hAnsi="宋体" w:cs="宋体"/>
          <w:sz w:val="24"/>
          <w:highlight w:val="none"/>
          <w:u w:val="single"/>
        </w:rPr>
        <w:t xml:space="preserve"> </w:t>
      </w:r>
      <w:r>
        <w:rPr>
          <w:rFonts w:hint="eastAsia" w:ascii="宋体" w:hAnsi="宋体" w:cs="宋体"/>
          <w:sz w:val="24"/>
          <w:highlight w:val="none"/>
        </w:rPr>
        <w:t xml:space="preserve">  %支付违约金。</w:t>
      </w:r>
    </w:p>
    <w:p w14:paraId="6C9152F7">
      <w:pPr>
        <w:snapToGrid w:val="0"/>
        <w:spacing w:line="336" w:lineRule="auto"/>
        <w:ind w:firstLine="482"/>
        <w:rPr>
          <w:rFonts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其他：</w:t>
      </w:r>
      <w:r>
        <w:rPr>
          <w:rFonts w:hint="eastAsia" w:ascii="宋体" w:hAnsi="宋体" w:cs="宋体"/>
          <w:kern w:val="0"/>
          <w:sz w:val="24"/>
          <w:highlight w:val="none"/>
          <w:u w:val="single"/>
        </w:rPr>
        <w:t>采购合同的履行、违约责任和解决争议的方式等适用《中华人民共和国民法典》。合同发生争议，双方当事人应及时协商解决。也可由当地建设行政主管部门调解，调解不成时，可依法向当地人民法院起诉</w:t>
      </w:r>
      <w:r>
        <w:rPr>
          <w:rFonts w:hint="eastAsia" w:ascii="宋体" w:hAnsi="宋体" w:cs="宋体"/>
          <w:kern w:val="0"/>
          <w:sz w:val="24"/>
          <w:highlight w:val="none"/>
        </w:rPr>
        <w:t>。</w:t>
      </w:r>
    </w:p>
    <w:p w14:paraId="02126803">
      <w:pPr>
        <w:snapToGrid w:val="0"/>
        <w:spacing w:beforeLines="50" w:line="336" w:lineRule="auto"/>
        <w:rPr>
          <w:rFonts w:ascii="宋体" w:hAnsi="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、解决争议的方法</w:t>
      </w:r>
    </w:p>
    <w:p w14:paraId="17C564BD">
      <w:pPr>
        <w:spacing w:line="336" w:lineRule="auto"/>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rPr>
        <w:t>1. 因本合同及合同有关事项发生的争议，由甲乙双方友好协商解决。协商不成时，可以向有关组织申请调解。合同一方或双方不愿调解或调解不成的，可以通过仲裁或诉讼的方式解决争议。</w:t>
      </w:r>
    </w:p>
    <w:p w14:paraId="7DDC9917">
      <w:pPr>
        <w:autoSpaceDE w:val="0"/>
        <w:autoSpaceDN w:val="0"/>
        <w:adjustRightInd w:val="0"/>
        <w:snapToGrid w:val="0"/>
        <w:spacing w:line="336" w:lineRule="auto"/>
        <w:ind w:firstLine="480" w:firstLineChars="200"/>
        <w:jc w:val="left"/>
        <w:rPr>
          <w:rFonts w:ascii="宋体" w:hAnsi="宋体" w:cs="宋体"/>
          <w:iCs/>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 xml:space="preserve"> </w:t>
      </w:r>
      <w:r>
        <w:rPr>
          <w:rFonts w:hint="eastAsia" w:ascii="宋体" w:hAnsi="宋体" w:cs="宋体"/>
          <w:iCs/>
          <w:sz w:val="24"/>
          <w:szCs w:val="24"/>
          <w:highlight w:val="none"/>
        </w:rPr>
        <w:t>因本合同及合同有关事项发生的争议，按下列第</w:t>
      </w:r>
      <w:r>
        <w:rPr>
          <w:rFonts w:hint="eastAsia" w:ascii="宋体" w:hAnsi="宋体" w:cs="宋体"/>
          <w:iCs/>
          <w:sz w:val="24"/>
          <w:szCs w:val="24"/>
          <w:highlight w:val="none"/>
          <w:u w:val="single"/>
        </w:rPr>
        <w:t>（2）</w:t>
      </w:r>
      <w:r>
        <w:rPr>
          <w:rFonts w:hint="eastAsia" w:ascii="宋体" w:hAnsi="宋体" w:cs="宋体"/>
          <w:iCs/>
          <w:sz w:val="24"/>
          <w:szCs w:val="24"/>
          <w:highlight w:val="none"/>
        </w:rPr>
        <w:t>种方式解决：</w:t>
      </w:r>
    </w:p>
    <w:p w14:paraId="670ECC9F">
      <w:pPr>
        <w:autoSpaceDE w:val="0"/>
        <w:autoSpaceDN w:val="0"/>
        <w:adjustRightInd w:val="0"/>
        <w:snapToGrid w:val="0"/>
        <w:spacing w:line="336" w:lineRule="auto"/>
        <w:ind w:firstLine="480" w:firstLineChars="200"/>
        <w:jc w:val="left"/>
        <w:rPr>
          <w:rFonts w:ascii="宋体" w:hAnsi="宋体" w:cs="宋体"/>
          <w:iCs/>
          <w:sz w:val="24"/>
          <w:szCs w:val="24"/>
          <w:highlight w:val="none"/>
        </w:rPr>
      </w:pPr>
      <w:r>
        <w:rPr>
          <w:rFonts w:hint="eastAsia" w:ascii="宋体" w:hAnsi="宋体" w:cs="宋体"/>
          <w:iCs/>
          <w:sz w:val="24"/>
          <w:szCs w:val="24"/>
          <w:highlight w:val="none"/>
        </w:rPr>
        <w:t>（1）向</w:t>
      </w:r>
      <w:r>
        <w:rPr>
          <w:rFonts w:hint="eastAsia" w:ascii="宋体" w:hAnsi="宋体" w:cs="宋体"/>
          <w:iCs/>
          <w:sz w:val="24"/>
          <w:szCs w:val="24"/>
          <w:highlight w:val="none"/>
          <w:u w:val="single"/>
        </w:rPr>
        <w:t>绍兴市</w:t>
      </w:r>
      <w:r>
        <w:rPr>
          <w:rFonts w:hint="eastAsia" w:ascii="宋体" w:hAnsi="宋体" w:cs="宋体"/>
          <w:iCs/>
          <w:sz w:val="24"/>
          <w:szCs w:val="24"/>
          <w:highlight w:val="none"/>
        </w:rPr>
        <w:t>仲裁委员会申请仲裁，仲裁地点为；</w:t>
      </w:r>
    </w:p>
    <w:p w14:paraId="4042DE11">
      <w:pPr>
        <w:spacing w:line="336" w:lineRule="auto"/>
        <w:ind w:firstLine="480" w:firstLineChars="200"/>
        <w:jc w:val="left"/>
        <w:rPr>
          <w:rFonts w:ascii="宋体" w:hAnsi="宋体" w:cs="宋体"/>
          <w:kern w:val="0"/>
          <w:sz w:val="24"/>
          <w:szCs w:val="20"/>
          <w:highlight w:val="none"/>
        </w:rPr>
      </w:pPr>
      <w:r>
        <w:rPr>
          <w:rFonts w:hint="eastAsia" w:ascii="宋体" w:hAnsi="宋体" w:cs="宋体"/>
          <w:iCs/>
          <w:sz w:val="24"/>
          <w:szCs w:val="24"/>
          <w:highlight w:val="none"/>
        </w:rPr>
        <w:t>（2）向</w:t>
      </w:r>
      <w:r>
        <w:rPr>
          <w:rFonts w:hint="eastAsia" w:ascii="宋体" w:hAnsi="宋体" w:cs="宋体"/>
          <w:sz w:val="24"/>
          <w:szCs w:val="24"/>
          <w:highlight w:val="none"/>
          <w:u w:val="single"/>
        </w:rPr>
        <w:t>绍兴市上虞区</w:t>
      </w:r>
      <w:r>
        <w:rPr>
          <w:rFonts w:hint="eastAsia" w:ascii="宋体" w:hAnsi="宋体" w:cs="宋体"/>
          <w:iCs/>
          <w:sz w:val="24"/>
          <w:szCs w:val="24"/>
          <w:highlight w:val="none"/>
        </w:rPr>
        <w:t>人民法院起诉。</w:t>
      </w:r>
    </w:p>
    <w:p w14:paraId="35425274">
      <w:pPr>
        <w:pStyle w:val="28"/>
        <w:spacing w:line="336" w:lineRule="auto"/>
        <w:ind w:firstLine="480"/>
        <w:jc w:val="both"/>
        <w:rPr>
          <w:rFonts w:ascii="宋体" w:hAnsi="宋体" w:eastAsia="宋体" w:cs="宋体"/>
          <w:sz w:val="24"/>
          <w:szCs w:val="24"/>
          <w:highlight w:val="none"/>
        </w:rPr>
      </w:pPr>
      <w:r>
        <w:rPr>
          <w:rFonts w:hint="eastAsia" w:ascii="宋体" w:hAnsi="宋体" w:eastAsia="宋体" w:cs="宋体"/>
          <w:sz w:val="24"/>
          <w:szCs w:val="24"/>
          <w:highlight w:val="none"/>
        </w:rPr>
        <w:t>3. 如甲乙双方有争议的事项不影响合同其他部分的履行，在争议解决期间，合同其他部分应当继续履行。</w:t>
      </w:r>
    </w:p>
    <w:p w14:paraId="756EFD06">
      <w:pPr>
        <w:spacing w:beforeLines="50" w:line="336" w:lineRule="auto"/>
        <w:jc w:val="left"/>
        <w:rPr>
          <w:rFonts w:ascii="宋体" w:hAnsi="宋体" w:cs="宋体"/>
          <w:b/>
          <w:bCs/>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、附则</w:t>
      </w:r>
    </w:p>
    <w:p w14:paraId="3EB0AA47">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1.合同经甲、乙双方签名并加盖单位公章后生效。</w:t>
      </w:r>
    </w:p>
    <w:p w14:paraId="3BE168D5">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2.采购文件、投标文件与本合同具有同等法律效力。</w:t>
      </w:r>
    </w:p>
    <w:p w14:paraId="3648BF29">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3.本合同未尽事宜，由双方协商决定。</w:t>
      </w:r>
    </w:p>
    <w:p w14:paraId="1FB4EAD3">
      <w:pPr>
        <w:tabs>
          <w:tab w:val="left" w:pos="840"/>
          <w:tab w:val="left" w:pos="1020"/>
        </w:tabs>
        <w:spacing w:line="336" w:lineRule="auto"/>
        <w:ind w:firstLine="480" w:firstLineChars="200"/>
        <w:jc w:val="left"/>
        <w:rPr>
          <w:rFonts w:ascii="宋体" w:hAnsi="宋体" w:cs="宋体"/>
          <w:bCs/>
          <w:sz w:val="24"/>
          <w:highlight w:val="none"/>
        </w:rPr>
      </w:pPr>
      <w:r>
        <w:rPr>
          <w:rFonts w:hint="eastAsia" w:ascii="宋体" w:hAnsi="宋体" w:cs="宋体"/>
          <w:bCs/>
          <w:sz w:val="24"/>
          <w:highlight w:val="none"/>
        </w:rPr>
        <w:t>4.本项目货物如涉及柴油动力移动源，柴油动力移动源应当符合低排放要求。</w:t>
      </w:r>
    </w:p>
    <w:p w14:paraId="26488E96">
      <w:pPr>
        <w:spacing w:afterLines="50" w:line="336"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5</w:t>
      </w:r>
      <w:r>
        <w:rPr>
          <w:rFonts w:hint="eastAsia" w:ascii="宋体" w:hAnsi="宋体" w:cs="宋体"/>
          <w:b/>
          <w:kern w:val="0"/>
          <w:sz w:val="24"/>
          <w:highlight w:val="none"/>
          <w:lang w:eastAsia="zh-CN"/>
        </w:rPr>
        <w:t>.</w:t>
      </w:r>
      <w:r>
        <w:rPr>
          <w:rFonts w:hint="eastAsia" w:ascii="宋体" w:hAnsi="宋体" w:cs="宋体"/>
          <w:b/>
          <w:kern w:val="0"/>
          <w:sz w:val="24"/>
          <w:highlight w:val="none"/>
        </w:rPr>
        <w:t>本合同一式</w:t>
      </w:r>
      <w:r>
        <w:rPr>
          <w:rFonts w:hint="eastAsia" w:ascii="宋体" w:hAnsi="宋体" w:cs="宋体"/>
          <w:b/>
          <w:kern w:val="0"/>
          <w:sz w:val="24"/>
          <w:highlight w:val="none"/>
          <w:u w:val="single"/>
        </w:rPr>
        <w:t>　肆</w:t>
      </w:r>
      <w:r>
        <w:rPr>
          <w:rFonts w:hint="eastAsia" w:ascii="宋体" w:hAnsi="宋体" w:cs="宋体"/>
          <w:b/>
          <w:kern w:val="0"/>
          <w:sz w:val="24"/>
          <w:highlight w:val="none"/>
        </w:rPr>
        <w:t>份，每份具有同等法律效力，甲方和乙方各执贰份，并由甲方在30日内做好政采云平台网上合同创建及备案。</w:t>
      </w:r>
    </w:p>
    <w:tbl>
      <w:tblPr>
        <w:tblStyle w:val="23"/>
        <w:tblW w:w="893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983"/>
        <w:gridCol w:w="1434"/>
        <w:gridCol w:w="3083"/>
      </w:tblGrid>
      <w:tr w14:paraId="1BAD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433" w:type="dxa"/>
            <w:noWrap/>
            <w:vAlign w:val="center"/>
          </w:tcPr>
          <w:p w14:paraId="51766BEC">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甲方</w:t>
            </w:r>
          </w:p>
          <w:p w14:paraId="2C256BC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（盖章）</w:t>
            </w:r>
          </w:p>
        </w:tc>
        <w:tc>
          <w:tcPr>
            <w:tcW w:w="2983" w:type="dxa"/>
            <w:noWrap/>
            <w:vAlign w:val="center"/>
          </w:tcPr>
          <w:p w14:paraId="003201C6">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lang w:eastAsia="zh-CN"/>
              </w:rPr>
              <w:t>绍兴市上虞区卫生信息中心</w:t>
            </w:r>
          </w:p>
        </w:tc>
        <w:tc>
          <w:tcPr>
            <w:tcW w:w="1434" w:type="dxa"/>
            <w:noWrap/>
            <w:vAlign w:val="center"/>
          </w:tcPr>
          <w:p w14:paraId="112B2CD6">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乙方</w:t>
            </w:r>
          </w:p>
          <w:p w14:paraId="7391134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（盖章）</w:t>
            </w:r>
          </w:p>
        </w:tc>
        <w:tc>
          <w:tcPr>
            <w:tcW w:w="3083" w:type="dxa"/>
            <w:noWrap/>
            <w:vAlign w:val="center"/>
          </w:tcPr>
          <w:p w14:paraId="6FC747F0">
            <w:pPr>
              <w:snapToGrid w:val="0"/>
              <w:jc w:val="center"/>
              <w:rPr>
                <w:rFonts w:ascii="宋体" w:hAnsi="宋体" w:cs="宋体"/>
                <w:snapToGrid w:val="0"/>
                <w:kern w:val="0"/>
                <w:sz w:val="24"/>
                <w:szCs w:val="24"/>
                <w:highlight w:val="none"/>
              </w:rPr>
            </w:pPr>
          </w:p>
        </w:tc>
      </w:tr>
      <w:tr w14:paraId="1F21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7186778E">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代表签名</w:t>
            </w:r>
          </w:p>
        </w:tc>
        <w:tc>
          <w:tcPr>
            <w:tcW w:w="2983" w:type="dxa"/>
            <w:noWrap/>
            <w:vAlign w:val="center"/>
          </w:tcPr>
          <w:p w14:paraId="4BCB603C">
            <w:pPr>
              <w:snapToGrid w:val="0"/>
              <w:jc w:val="center"/>
              <w:rPr>
                <w:rFonts w:ascii="宋体" w:hAnsi="宋体" w:cs="宋体"/>
                <w:snapToGrid w:val="0"/>
                <w:kern w:val="0"/>
                <w:sz w:val="24"/>
                <w:szCs w:val="24"/>
                <w:highlight w:val="none"/>
              </w:rPr>
            </w:pPr>
          </w:p>
        </w:tc>
        <w:tc>
          <w:tcPr>
            <w:tcW w:w="1434" w:type="dxa"/>
            <w:noWrap/>
            <w:vAlign w:val="center"/>
          </w:tcPr>
          <w:p w14:paraId="46968754">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代表签名</w:t>
            </w:r>
          </w:p>
        </w:tc>
        <w:tc>
          <w:tcPr>
            <w:tcW w:w="3083" w:type="dxa"/>
            <w:noWrap/>
            <w:vAlign w:val="center"/>
          </w:tcPr>
          <w:p w14:paraId="73DEFE29">
            <w:pPr>
              <w:snapToGrid w:val="0"/>
              <w:jc w:val="center"/>
              <w:rPr>
                <w:rFonts w:ascii="宋体" w:hAnsi="宋体" w:cs="宋体"/>
                <w:snapToGrid w:val="0"/>
                <w:kern w:val="0"/>
                <w:sz w:val="24"/>
                <w:szCs w:val="24"/>
                <w:highlight w:val="none"/>
              </w:rPr>
            </w:pPr>
          </w:p>
        </w:tc>
      </w:tr>
      <w:tr w14:paraId="46DC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0D03E225">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地址</w:t>
            </w:r>
          </w:p>
        </w:tc>
        <w:tc>
          <w:tcPr>
            <w:tcW w:w="2983" w:type="dxa"/>
            <w:noWrap/>
            <w:vAlign w:val="center"/>
          </w:tcPr>
          <w:p w14:paraId="1B6D7C9A">
            <w:pPr>
              <w:snapToGrid w:val="0"/>
              <w:jc w:val="center"/>
              <w:rPr>
                <w:rFonts w:ascii="宋体" w:hAnsi="宋体" w:cs="宋体"/>
                <w:snapToGrid w:val="0"/>
                <w:kern w:val="0"/>
                <w:sz w:val="24"/>
                <w:szCs w:val="24"/>
                <w:highlight w:val="none"/>
              </w:rPr>
            </w:pPr>
          </w:p>
        </w:tc>
        <w:tc>
          <w:tcPr>
            <w:tcW w:w="1434" w:type="dxa"/>
            <w:noWrap/>
            <w:vAlign w:val="center"/>
          </w:tcPr>
          <w:p w14:paraId="192B247B">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地址</w:t>
            </w:r>
          </w:p>
        </w:tc>
        <w:tc>
          <w:tcPr>
            <w:tcW w:w="3083" w:type="dxa"/>
            <w:noWrap/>
            <w:vAlign w:val="center"/>
          </w:tcPr>
          <w:p w14:paraId="2CA54A0D">
            <w:pPr>
              <w:snapToGrid w:val="0"/>
              <w:jc w:val="center"/>
              <w:rPr>
                <w:rFonts w:ascii="宋体" w:hAnsi="宋体" w:cs="宋体"/>
                <w:snapToGrid w:val="0"/>
                <w:kern w:val="0"/>
                <w:sz w:val="24"/>
                <w:szCs w:val="24"/>
                <w:highlight w:val="none"/>
              </w:rPr>
            </w:pPr>
          </w:p>
        </w:tc>
      </w:tr>
      <w:tr w14:paraId="3B76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B74FFC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电话</w:t>
            </w:r>
          </w:p>
        </w:tc>
        <w:tc>
          <w:tcPr>
            <w:tcW w:w="2983" w:type="dxa"/>
            <w:noWrap/>
            <w:vAlign w:val="center"/>
          </w:tcPr>
          <w:p w14:paraId="6DCDBFE8">
            <w:pPr>
              <w:snapToGrid w:val="0"/>
              <w:jc w:val="center"/>
              <w:rPr>
                <w:rFonts w:ascii="宋体" w:hAnsi="宋体" w:cs="宋体"/>
                <w:snapToGrid w:val="0"/>
                <w:kern w:val="0"/>
                <w:sz w:val="24"/>
                <w:szCs w:val="24"/>
                <w:highlight w:val="none"/>
              </w:rPr>
            </w:pPr>
          </w:p>
        </w:tc>
        <w:tc>
          <w:tcPr>
            <w:tcW w:w="1434" w:type="dxa"/>
            <w:noWrap/>
            <w:vAlign w:val="center"/>
          </w:tcPr>
          <w:p w14:paraId="3E1E3352">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电话</w:t>
            </w:r>
          </w:p>
        </w:tc>
        <w:tc>
          <w:tcPr>
            <w:tcW w:w="3083" w:type="dxa"/>
            <w:noWrap/>
            <w:vAlign w:val="center"/>
          </w:tcPr>
          <w:p w14:paraId="6210912D">
            <w:pPr>
              <w:snapToGrid w:val="0"/>
              <w:jc w:val="center"/>
              <w:rPr>
                <w:rFonts w:ascii="宋体" w:hAnsi="宋体" w:cs="宋体"/>
                <w:snapToGrid w:val="0"/>
                <w:kern w:val="0"/>
                <w:sz w:val="24"/>
                <w:szCs w:val="24"/>
                <w:highlight w:val="none"/>
              </w:rPr>
            </w:pPr>
          </w:p>
        </w:tc>
      </w:tr>
      <w:tr w14:paraId="6C88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5D0AD893">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开户银行</w:t>
            </w:r>
          </w:p>
        </w:tc>
        <w:tc>
          <w:tcPr>
            <w:tcW w:w="2983" w:type="dxa"/>
            <w:noWrap/>
            <w:vAlign w:val="center"/>
          </w:tcPr>
          <w:p w14:paraId="0409BF8B">
            <w:pPr>
              <w:snapToGrid w:val="0"/>
              <w:jc w:val="center"/>
              <w:rPr>
                <w:rFonts w:ascii="宋体" w:hAnsi="宋体" w:cs="宋体"/>
                <w:snapToGrid w:val="0"/>
                <w:kern w:val="0"/>
                <w:sz w:val="24"/>
                <w:szCs w:val="24"/>
                <w:highlight w:val="none"/>
              </w:rPr>
            </w:pPr>
          </w:p>
        </w:tc>
        <w:tc>
          <w:tcPr>
            <w:tcW w:w="1434" w:type="dxa"/>
            <w:noWrap/>
            <w:vAlign w:val="center"/>
          </w:tcPr>
          <w:p w14:paraId="0934A63F">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开户银行</w:t>
            </w:r>
          </w:p>
        </w:tc>
        <w:tc>
          <w:tcPr>
            <w:tcW w:w="3083" w:type="dxa"/>
            <w:noWrap/>
            <w:vAlign w:val="center"/>
          </w:tcPr>
          <w:p w14:paraId="63C5FE02">
            <w:pPr>
              <w:snapToGrid w:val="0"/>
              <w:jc w:val="center"/>
              <w:rPr>
                <w:rFonts w:ascii="宋体" w:hAnsi="宋体" w:cs="宋体"/>
                <w:snapToGrid w:val="0"/>
                <w:kern w:val="0"/>
                <w:sz w:val="24"/>
                <w:szCs w:val="24"/>
                <w:highlight w:val="none"/>
              </w:rPr>
            </w:pPr>
          </w:p>
        </w:tc>
      </w:tr>
      <w:tr w14:paraId="045F3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0D61489C">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账号</w:t>
            </w:r>
          </w:p>
        </w:tc>
        <w:tc>
          <w:tcPr>
            <w:tcW w:w="2983" w:type="dxa"/>
            <w:noWrap/>
            <w:vAlign w:val="center"/>
          </w:tcPr>
          <w:p w14:paraId="4021D88B">
            <w:pPr>
              <w:snapToGrid w:val="0"/>
              <w:jc w:val="center"/>
              <w:rPr>
                <w:rFonts w:ascii="宋体" w:hAnsi="宋体" w:cs="宋体"/>
                <w:snapToGrid w:val="0"/>
                <w:kern w:val="0"/>
                <w:sz w:val="24"/>
                <w:szCs w:val="24"/>
                <w:highlight w:val="none"/>
              </w:rPr>
            </w:pPr>
          </w:p>
        </w:tc>
        <w:tc>
          <w:tcPr>
            <w:tcW w:w="1434" w:type="dxa"/>
            <w:noWrap/>
            <w:vAlign w:val="center"/>
          </w:tcPr>
          <w:p w14:paraId="1A3F35B1">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账号</w:t>
            </w:r>
          </w:p>
        </w:tc>
        <w:tc>
          <w:tcPr>
            <w:tcW w:w="3083" w:type="dxa"/>
            <w:noWrap/>
            <w:vAlign w:val="center"/>
          </w:tcPr>
          <w:p w14:paraId="3F3058EF">
            <w:pPr>
              <w:snapToGrid w:val="0"/>
              <w:jc w:val="center"/>
              <w:rPr>
                <w:rFonts w:ascii="宋体" w:hAnsi="宋体" w:cs="宋体"/>
                <w:snapToGrid w:val="0"/>
                <w:kern w:val="0"/>
                <w:sz w:val="24"/>
                <w:szCs w:val="24"/>
                <w:highlight w:val="none"/>
              </w:rPr>
            </w:pPr>
          </w:p>
        </w:tc>
      </w:tr>
      <w:tr w14:paraId="0D29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33" w:type="dxa"/>
            <w:noWrap/>
            <w:vAlign w:val="center"/>
          </w:tcPr>
          <w:p w14:paraId="38ABAA68">
            <w:pPr>
              <w:snapToGrid w:val="0"/>
              <w:jc w:val="center"/>
              <w:rPr>
                <w:rFonts w:ascii="宋体" w:hAnsi="宋体" w:cs="宋体"/>
                <w:snapToGrid w:val="0"/>
                <w:kern w:val="0"/>
                <w:sz w:val="24"/>
                <w:szCs w:val="24"/>
                <w:highlight w:val="none"/>
              </w:rPr>
            </w:pPr>
            <w:r>
              <w:rPr>
                <w:rFonts w:hint="eastAsia" w:ascii="宋体" w:hAnsi="宋体" w:cs="宋体"/>
                <w:snapToGrid w:val="0"/>
                <w:kern w:val="0"/>
                <w:sz w:val="24"/>
                <w:szCs w:val="24"/>
                <w:highlight w:val="none"/>
              </w:rPr>
              <w:t>签订日期</w:t>
            </w:r>
          </w:p>
        </w:tc>
        <w:tc>
          <w:tcPr>
            <w:tcW w:w="7500" w:type="dxa"/>
            <w:gridSpan w:val="3"/>
            <w:noWrap/>
            <w:vAlign w:val="center"/>
          </w:tcPr>
          <w:p w14:paraId="2E74D971">
            <w:pPr>
              <w:snapToGrid w:val="0"/>
              <w:jc w:val="center"/>
              <w:rPr>
                <w:rFonts w:ascii="宋体" w:hAnsi="宋体" w:cs="宋体"/>
                <w:snapToGrid w:val="0"/>
                <w:kern w:val="0"/>
                <w:sz w:val="24"/>
                <w:szCs w:val="24"/>
                <w:highlight w:val="none"/>
              </w:rPr>
            </w:pPr>
          </w:p>
        </w:tc>
      </w:tr>
    </w:tbl>
    <w:p w14:paraId="08C2EC64">
      <w:pPr>
        <w:pStyle w:val="2"/>
        <w:rPr>
          <w:rFonts w:hint="eastAsia" w:ascii="宋体" w:hAnsi="宋体" w:eastAsia="宋体" w:cs="宋体"/>
          <w:highlight w:val="none"/>
        </w:rPr>
      </w:pPr>
      <w:r>
        <w:rPr>
          <w:rFonts w:hint="eastAsia" w:ascii="宋体" w:hAnsi="宋体" w:cs="宋体"/>
          <w:highlight w:val="none"/>
        </w:rPr>
        <w:br w:type="page"/>
      </w:r>
    </w:p>
    <w:p w14:paraId="1048E1AD">
      <w:pPr>
        <w:pStyle w:val="3"/>
        <w:rPr>
          <w:rFonts w:ascii="宋体" w:hAnsi="宋体" w:cs="宋体"/>
          <w:highlight w:val="none"/>
        </w:rPr>
      </w:pPr>
      <w:bookmarkStart w:id="94" w:name="_Toc16514"/>
      <w:r>
        <w:rPr>
          <w:rFonts w:hint="eastAsia" w:ascii="宋体" w:hAnsi="宋体" w:cs="宋体"/>
          <w:highlight w:val="none"/>
        </w:rPr>
        <w:t>第六部分应提交的有关格式范例</w:t>
      </w:r>
      <w:bookmarkEnd w:id="92"/>
      <w:bookmarkEnd w:id="93"/>
      <w:bookmarkEnd w:id="94"/>
    </w:p>
    <w:p w14:paraId="16A13EF7">
      <w:pPr>
        <w:rPr>
          <w:rFonts w:ascii="宋体" w:hAnsi="宋体" w:cs="宋体"/>
          <w:highlight w:val="none"/>
        </w:rPr>
      </w:pPr>
    </w:p>
    <w:p w14:paraId="1CC0309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供应商按照以下格式编制响应文件，</w:t>
      </w:r>
      <w:r>
        <w:rPr>
          <w:rFonts w:hint="eastAsia" w:ascii="宋体" w:hAnsi="宋体" w:cs="宋体"/>
          <w:b/>
          <w:bCs/>
          <w:sz w:val="24"/>
          <w:szCs w:val="24"/>
          <w:highlight w:val="none"/>
        </w:rPr>
        <w:t>“资格文件”、“商务技术文件”、“报价文件”须分3个PDF格式分别导入。</w:t>
      </w:r>
    </w:p>
    <w:p w14:paraId="01B1C5F6">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此格式内容仅为参考模板，具体内容供应商应根据磋商文件要求进行调整。未按以下格式编制响应文件或因格式不规范、页码不清等原因引发的一切后果由供应商自行承担。</w:t>
      </w:r>
    </w:p>
    <w:p w14:paraId="5CCFC0D2">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br w:type="page"/>
      </w:r>
    </w:p>
    <w:p w14:paraId="3799930D">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资格文件部分</w:t>
      </w:r>
    </w:p>
    <w:p w14:paraId="1D4AE317">
      <w:pPr>
        <w:spacing w:line="360" w:lineRule="auto"/>
        <w:jc w:val="center"/>
        <w:rPr>
          <w:rFonts w:ascii="宋体" w:hAnsi="宋体" w:cs="宋体"/>
          <w:b/>
          <w:bCs/>
          <w:kern w:val="0"/>
          <w:sz w:val="36"/>
          <w:szCs w:val="36"/>
          <w:highlight w:val="none"/>
        </w:rPr>
      </w:pPr>
    </w:p>
    <w:p w14:paraId="034C315C">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4780B6E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（1）法定代表人授权书；（格式见附件）</w:t>
      </w:r>
    </w:p>
    <w:p w14:paraId="248A01D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事业单位的，则提供有效的《事业单位法人证书》副本复印件并加盖单位公章；</w:t>
      </w:r>
    </w:p>
    <w:p w14:paraId="12B1AB4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14:paraId="0BAB9E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（3）具有履行合同所必需的产品和专业技术能力的承诺函；</w:t>
      </w:r>
    </w:p>
    <w:p w14:paraId="56DB44E7">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（4）投标人承诺函（格式见附件）</w:t>
      </w:r>
      <w:r>
        <w:rPr>
          <w:rFonts w:hint="eastAsia" w:ascii="宋体" w:hAnsi="宋体" w:cs="宋体"/>
          <w:sz w:val="24"/>
          <w:szCs w:val="24"/>
          <w:highlight w:val="none"/>
          <w:lang w:eastAsia="zh-CN"/>
        </w:rPr>
        <w:t>；</w:t>
      </w:r>
    </w:p>
    <w:p w14:paraId="2908717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（5）中小企业声明函（格式见附件）；</w:t>
      </w:r>
    </w:p>
    <w:p w14:paraId="009CCD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（6）残疾人福利性单位声明函(如有)（格式见附件）；</w:t>
      </w:r>
    </w:p>
    <w:p w14:paraId="25D9BF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（7）监狱企业证明文件(如有)（格式见附件）。</w:t>
      </w:r>
    </w:p>
    <w:p w14:paraId="3D5E9EDE">
      <w:pPr>
        <w:pStyle w:val="2"/>
        <w:rPr>
          <w:highlight w:val="none"/>
        </w:rPr>
      </w:pPr>
    </w:p>
    <w:p w14:paraId="5CF96CE8">
      <w:pPr>
        <w:pStyle w:val="11"/>
        <w:ind w:firstLine="486"/>
        <w:rPr>
          <w:highlight w:val="none"/>
        </w:rPr>
      </w:pPr>
    </w:p>
    <w:p w14:paraId="1F5809D2">
      <w:pPr>
        <w:pStyle w:val="38"/>
        <w:rPr>
          <w:rFonts w:hAnsi="宋体"/>
          <w:highlight w:val="none"/>
        </w:rPr>
      </w:pPr>
    </w:p>
    <w:p w14:paraId="5895989A">
      <w:pPr>
        <w:pStyle w:val="38"/>
        <w:rPr>
          <w:rFonts w:hAnsi="宋体"/>
          <w:highlight w:val="none"/>
        </w:rPr>
      </w:pPr>
    </w:p>
    <w:p w14:paraId="215F5CAA">
      <w:pPr>
        <w:pStyle w:val="38"/>
        <w:rPr>
          <w:rFonts w:hAnsi="宋体"/>
          <w:highlight w:val="none"/>
        </w:rPr>
      </w:pPr>
    </w:p>
    <w:p w14:paraId="31721881">
      <w:pPr>
        <w:rPr>
          <w:rFonts w:ascii="宋体" w:hAnsi="宋体" w:cs="宋体"/>
          <w:highlight w:val="none"/>
        </w:rPr>
      </w:pPr>
    </w:p>
    <w:p w14:paraId="343AB721">
      <w:pPr>
        <w:pStyle w:val="4"/>
        <w:rPr>
          <w:rFonts w:ascii="宋体" w:hAnsi="宋体" w:eastAsia="宋体" w:cs="宋体"/>
          <w:highlight w:val="none"/>
        </w:rPr>
      </w:pPr>
    </w:p>
    <w:p w14:paraId="5A88FAB8">
      <w:pPr>
        <w:rPr>
          <w:rFonts w:ascii="宋体" w:hAnsi="宋体" w:cs="宋体"/>
          <w:highlight w:val="none"/>
        </w:rPr>
      </w:pPr>
    </w:p>
    <w:p w14:paraId="5B708243">
      <w:pPr>
        <w:rPr>
          <w:rFonts w:hint="eastAsia" w:ascii="宋体" w:hAnsi="宋体" w:cs="宋体"/>
          <w:b/>
          <w:bCs/>
          <w:sz w:val="24"/>
          <w:szCs w:val="24"/>
          <w:highlight w:val="none"/>
          <w:lang w:val="zh-CN"/>
        </w:rPr>
      </w:pPr>
      <w:bookmarkStart w:id="95" w:name="_Toc24699"/>
      <w:r>
        <w:rPr>
          <w:rFonts w:hint="eastAsia" w:ascii="宋体" w:hAnsi="宋体" w:cs="宋体"/>
          <w:b/>
          <w:bCs/>
          <w:sz w:val="24"/>
          <w:szCs w:val="24"/>
          <w:highlight w:val="none"/>
          <w:lang w:val="zh-CN"/>
        </w:rPr>
        <w:br w:type="page"/>
      </w:r>
    </w:p>
    <w:p w14:paraId="263CC20C">
      <w:pPr>
        <w:snapToGrid w:val="0"/>
        <w:spacing w:before="50" w:afterLines="50"/>
        <w:jc w:val="left"/>
        <w:rPr>
          <w:rFonts w:ascii="宋体" w:hAnsi="宋体" w:cs="宋体"/>
          <w:b/>
          <w:bCs/>
          <w:sz w:val="24"/>
          <w:szCs w:val="24"/>
          <w:highlight w:val="none"/>
          <w:lang w:val="zh-CN"/>
        </w:rPr>
      </w:pPr>
      <w:r>
        <w:rPr>
          <w:rFonts w:hint="eastAsia" w:ascii="宋体" w:hAnsi="宋体" w:cs="宋体"/>
          <w:b/>
          <w:bCs/>
          <w:sz w:val="24"/>
          <w:szCs w:val="24"/>
          <w:highlight w:val="none"/>
          <w:lang w:val="zh-CN"/>
        </w:rPr>
        <w:t>附件一：</w:t>
      </w:r>
    </w:p>
    <w:p w14:paraId="2CC3113E">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bookmarkEnd w:id="95"/>
    </w:p>
    <w:p w14:paraId="5A760FA5">
      <w:pPr>
        <w:pStyle w:val="7"/>
        <w:spacing w:line="360" w:lineRule="auto"/>
        <w:rPr>
          <w:rFonts w:ascii="宋体" w:hAnsi="宋体" w:cs="宋体"/>
          <w:highlight w:val="none"/>
        </w:rPr>
      </w:pPr>
    </w:p>
    <w:p w14:paraId="6DA152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绍兴市上虞区卫生信息中心</w:t>
      </w:r>
      <w:r>
        <w:rPr>
          <w:rFonts w:hint="eastAsia" w:ascii="宋体" w:hAnsi="宋体" w:cs="宋体"/>
          <w:sz w:val="24"/>
          <w:szCs w:val="24"/>
          <w:highlight w:val="none"/>
        </w:rPr>
        <w:t>：</w:t>
      </w:r>
    </w:p>
    <w:p w14:paraId="222649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1D6B2D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（供应商全称）</w:t>
      </w:r>
      <w:r>
        <w:rPr>
          <w:rFonts w:hint="eastAsia" w:ascii="宋体" w:hAnsi="宋体" w:cs="宋体"/>
          <w:sz w:val="24"/>
          <w:szCs w:val="24"/>
          <w:highlight w:val="none"/>
        </w:rPr>
        <w:t>法定代表人授权</w:t>
      </w:r>
      <w:r>
        <w:rPr>
          <w:rFonts w:hint="eastAsia" w:ascii="宋体" w:hAnsi="宋体" w:cs="宋体"/>
          <w:sz w:val="24"/>
          <w:szCs w:val="24"/>
          <w:highlight w:val="none"/>
          <w:u w:val="single"/>
        </w:rPr>
        <w:t>（授权代表名称）</w:t>
      </w:r>
      <w:r>
        <w:rPr>
          <w:rFonts w:hint="eastAsia" w:ascii="宋体" w:hAnsi="宋体" w:cs="宋体"/>
          <w:sz w:val="24"/>
          <w:szCs w:val="24"/>
          <w:highlight w:val="none"/>
        </w:rPr>
        <w:t>为授权代表，参加贵处组织的项目</w:t>
      </w:r>
      <w:r>
        <w:rPr>
          <w:rFonts w:hint="eastAsia" w:ascii="宋体" w:hAnsi="宋体" w:cs="宋体"/>
          <w:sz w:val="24"/>
          <w:szCs w:val="24"/>
          <w:highlight w:val="none"/>
          <w:u w:val="single"/>
        </w:rPr>
        <w:t>（括号内填写招标编号）</w:t>
      </w:r>
      <w:r>
        <w:rPr>
          <w:rFonts w:hint="eastAsia" w:ascii="宋体" w:hAnsi="宋体" w:cs="宋体"/>
          <w:sz w:val="24"/>
          <w:szCs w:val="24"/>
          <w:highlight w:val="none"/>
        </w:rPr>
        <w:t>，授权处理招投标活动中的一切事宜。</w:t>
      </w:r>
    </w:p>
    <w:p w14:paraId="097C7BC2">
      <w:pPr>
        <w:spacing w:line="360" w:lineRule="auto"/>
        <w:ind w:firstLine="480" w:firstLineChars="200"/>
        <w:rPr>
          <w:rFonts w:ascii="宋体" w:hAnsi="宋体" w:cs="宋体"/>
          <w:sz w:val="24"/>
          <w:szCs w:val="24"/>
          <w:highlight w:val="none"/>
        </w:rPr>
      </w:pPr>
    </w:p>
    <w:p w14:paraId="76C384A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法定代表人签字：</w:t>
      </w:r>
    </w:p>
    <w:p w14:paraId="1162A97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供应商全称：（盖章）</w:t>
      </w:r>
    </w:p>
    <w:p w14:paraId="76EBBFF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0A455A6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w:t>
      </w:r>
    </w:p>
    <w:p w14:paraId="60F88EA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授权代表姓名：</w:t>
      </w:r>
    </w:p>
    <w:p w14:paraId="270E5B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职务：</w:t>
      </w:r>
    </w:p>
    <w:p w14:paraId="437FC5F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详细通讯地址：</w:t>
      </w:r>
    </w:p>
    <w:p w14:paraId="48D87B0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传真：</w:t>
      </w:r>
    </w:p>
    <w:p w14:paraId="5669AEA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w:t>
      </w:r>
    </w:p>
    <w:p w14:paraId="10D8E5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邮政编码：</w:t>
      </w:r>
    </w:p>
    <w:p w14:paraId="2ECE4DAD">
      <w:pPr>
        <w:pStyle w:val="12"/>
        <w:snapToGrid w:val="0"/>
        <w:spacing w:line="360" w:lineRule="auto"/>
        <w:rPr>
          <w:rFonts w:hAnsi="宋体"/>
          <w:sz w:val="24"/>
          <w:szCs w:val="24"/>
          <w:highlight w:val="none"/>
        </w:rPr>
      </w:pPr>
    </w:p>
    <w:p w14:paraId="7A9FF747">
      <w:pPr>
        <w:pStyle w:val="12"/>
        <w:snapToGrid w:val="0"/>
        <w:spacing w:line="360" w:lineRule="auto"/>
        <w:rPr>
          <w:rFonts w:hAnsi="宋体"/>
          <w:sz w:val="24"/>
          <w:szCs w:val="24"/>
          <w:highlight w:val="none"/>
        </w:rPr>
      </w:pPr>
    </w:p>
    <w:p w14:paraId="3480A4B8">
      <w:pPr>
        <w:pStyle w:val="12"/>
        <w:snapToGrid w:val="0"/>
        <w:spacing w:line="360" w:lineRule="auto"/>
        <w:rPr>
          <w:rFonts w:hAnsi="宋体"/>
          <w:sz w:val="24"/>
          <w:szCs w:val="24"/>
          <w:highlight w:val="none"/>
        </w:rPr>
      </w:pPr>
    </w:p>
    <w:p w14:paraId="62C2CA9F">
      <w:pPr>
        <w:spacing w:line="360" w:lineRule="auto"/>
        <w:rPr>
          <w:rFonts w:ascii="宋体" w:hAnsi="宋体" w:cs="宋体"/>
          <w:b/>
          <w:bCs/>
          <w:sz w:val="24"/>
          <w:szCs w:val="24"/>
          <w:highlight w:val="none"/>
        </w:rPr>
      </w:pPr>
      <w:r>
        <w:rPr>
          <w:rFonts w:hint="eastAsia" w:ascii="宋体" w:hAnsi="宋体" w:cs="宋体"/>
          <w:b/>
          <w:bCs/>
          <w:sz w:val="24"/>
          <w:szCs w:val="24"/>
          <w:highlight w:val="none"/>
        </w:rPr>
        <w:t>附：授权代表身份证复印件（正反面）</w:t>
      </w:r>
    </w:p>
    <w:p w14:paraId="2AEA4D20">
      <w:pPr>
        <w:spacing w:line="360" w:lineRule="auto"/>
        <w:rPr>
          <w:rFonts w:ascii="宋体" w:hAnsi="宋体" w:cs="宋体"/>
          <w:b/>
          <w:bCs/>
          <w:sz w:val="24"/>
          <w:szCs w:val="24"/>
          <w:highlight w:val="none"/>
        </w:rPr>
      </w:pPr>
    </w:p>
    <w:p w14:paraId="3C5CAAB9">
      <w:pPr>
        <w:pStyle w:val="11"/>
        <w:ind w:firstLine="486"/>
        <w:rPr>
          <w:highlight w:val="none"/>
        </w:rPr>
      </w:pPr>
    </w:p>
    <w:p w14:paraId="52224CE1">
      <w:pPr>
        <w:snapToGrid w:val="0"/>
        <w:spacing w:before="50" w:afterLines="50"/>
        <w:jc w:val="left"/>
        <w:rPr>
          <w:rFonts w:ascii="宋体" w:hAnsi="宋体" w:cs="宋体"/>
          <w:b/>
          <w:bCs/>
          <w:sz w:val="24"/>
          <w:szCs w:val="24"/>
          <w:highlight w:val="none"/>
          <w:lang w:val="zh-CN"/>
        </w:rPr>
      </w:pPr>
      <w:r>
        <w:rPr>
          <w:rFonts w:hint="eastAsia" w:ascii="宋体" w:hAnsi="宋体" w:cs="宋体"/>
          <w:b/>
          <w:bCs/>
          <w:sz w:val="24"/>
          <w:szCs w:val="24"/>
          <w:highlight w:val="none"/>
        </w:rPr>
        <w:br w:type="page"/>
      </w:r>
      <w:r>
        <w:rPr>
          <w:rFonts w:hint="eastAsia" w:ascii="宋体" w:hAnsi="宋体" w:cs="宋体"/>
          <w:b/>
          <w:bCs/>
          <w:sz w:val="24"/>
          <w:szCs w:val="24"/>
          <w:highlight w:val="none"/>
          <w:lang w:val="zh-CN"/>
        </w:rPr>
        <w:t>附件二：</w:t>
      </w:r>
    </w:p>
    <w:p w14:paraId="23D00BE7">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投标人承诺函</w:t>
      </w:r>
    </w:p>
    <w:p w14:paraId="5810EC9A">
      <w:pPr>
        <w:spacing w:line="360" w:lineRule="auto"/>
        <w:ind w:firstLine="420" w:firstLineChars="200"/>
        <w:rPr>
          <w:rFonts w:ascii="宋体" w:hAnsi="宋体" w:cs="宋体"/>
          <w:highlight w:val="none"/>
        </w:rPr>
      </w:pPr>
    </w:p>
    <w:p w14:paraId="08F473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绍兴市上虞区卫生信息中心</w:t>
      </w:r>
      <w:r>
        <w:rPr>
          <w:rFonts w:hint="eastAsia" w:ascii="宋体" w:hAnsi="宋体" w:cs="宋体"/>
          <w:sz w:val="24"/>
          <w:szCs w:val="24"/>
          <w:highlight w:val="none"/>
        </w:rPr>
        <w:t>：</w:t>
      </w:r>
    </w:p>
    <w:p w14:paraId="49F4511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74CDD0E4">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（投标人名称）</w:t>
      </w:r>
      <w:r>
        <w:rPr>
          <w:rFonts w:hint="eastAsia" w:ascii="宋体" w:hAnsi="宋体" w:cs="宋体"/>
          <w:sz w:val="24"/>
          <w:highlight w:val="none"/>
        </w:rPr>
        <w:t>系中华人民共和国合法企业，经营地址。</w:t>
      </w:r>
    </w:p>
    <w:p w14:paraId="2397E30B">
      <w:pPr>
        <w:spacing w:line="360" w:lineRule="auto"/>
        <w:ind w:firstLine="480" w:firstLineChars="200"/>
        <w:rPr>
          <w:rFonts w:ascii="宋体" w:hAnsi="宋体" w:cs="宋体"/>
          <w:sz w:val="24"/>
          <w:highlight w:val="none"/>
        </w:rPr>
      </w:pPr>
      <w:r>
        <w:rPr>
          <w:rFonts w:hint="eastAsia" w:ascii="宋体" w:hAnsi="宋体" w:cs="宋体"/>
          <w:sz w:val="24"/>
          <w:highlight w:val="none"/>
        </w:rPr>
        <w:t>我</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的法定代表人，我方愿意参加贵方组织的</w:t>
      </w:r>
      <w:r>
        <w:rPr>
          <w:rFonts w:hint="eastAsia" w:ascii="宋体" w:hAnsi="宋体" w:cs="宋体"/>
          <w:sz w:val="24"/>
          <w:highlight w:val="none"/>
          <w:u w:val="single"/>
        </w:rPr>
        <w:t>（招标项目名称）（编号为）</w:t>
      </w:r>
      <w:r>
        <w:rPr>
          <w:rFonts w:hint="eastAsia" w:ascii="宋体" w:hAnsi="宋体" w:cs="宋体"/>
          <w:sz w:val="24"/>
          <w:highlight w:val="none"/>
        </w:rPr>
        <w:t>的投标，为此，我方就本次投标有关事项郑重承诺如下：</w:t>
      </w:r>
    </w:p>
    <w:p w14:paraId="24D9FF59">
      <w:pPr>
        <w:spacing w:line="360" w:lineRule="auto"/>
        <w:ind w:firstLine="480" w:firstLineChars="200"/>
        <w:rPr>
          <w:rFonts w:ascii="宋体" w:hAnsi="宋体" w:cs="宋体"/>
          <w:sz w:val="24"/>
          <w:highlight w:val="none"/>
        </w:rPr>
      </w:pPr>
      <w:r>
        <w:rPr>
          <w:rFonts w:hint="eastAsia" w:ascii="宋体" w:hAnsi="宋体" w:cs="宋体"/>
          <w:sz w:val="24"/>
          <w:highlight w:val="none"/>
        </w:rPr>
        <w:t>1、我方已详细审查全部招标文件，同意招标文件的各项要求。</w:t>
      </w:r>
    </w:p>
    <w:p w14:paraId="71E04BD7">
      <w:pPr>
        <w:spacing w:line="360" w:lineRule="auto"/>
        <w:ind w:firstLine="480" w:firstLineChars="200"/>
        <w:rPr>
          <w:rFonts w:ascii="宋体" w:hAnsi="宋体" w:cs="宋体"/>
          <w:sz w:val="24"/>
          <w:highlight w:val="none"/>
        </w:rPr>
      </w:pPr>
      <w:r>
        <w:rPr>
          <w:rFonts w:hint="eastAsia" w:ascii="宋体" w:hAnsi="宋体" w:cs="宋体"/>
          <w:sz w:val="24"/>
          <w:highlight w:val="none"/>
        </w:rPr>
        <w:t>2、我方向贵方提交的所有投标文件、资料都是准确的和真实的。</w:t>
      </w:r>
    </w:p>
    <w:p w14:paraId="37DC6A5A">
      <w:pPr>
        <w:spacing w:line="360" w:lineRule="auto"/>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341B79E7">
      <w:pPr>
        <w:spacing w:line="360" w:lineRule="auto"/>
        <w:ind w:firstLine="480" w:firstLineChars="200"/>
        <w:rPr>
          <w:rFonts w:ascii="宋体" w:hAnsi="宋体" w:cs="宋体"/>
          <w:sz w:val="24"/>
          <w:highlight w:val="none"/>
        </w:rPr>
      </w:pPr>
      <w:r>
        <w:rPr>
          <w:rFonts w:hint="eastAsia" w:ascii="宋体" w:hAnsi="宋体" w:cs="宋体"/>
          <w:sz w:val="24"/>
          <w:highlight w:val="none"/>
        </w:rPr>
        <w:t>4、我方不是采购人的附属机构；在获知本项目采购信息后，与采购人聘请的为此项目提供咨询服务的公司及其附属机构没有任何联系。</w:t>
      </w:r>
    </w:p>
    <w:p w14:paraId="7E8E90EB">
      <w:pPr>
        <w:spacing w:line="360" w:lineRule="auto"/>
        <w:ind w:firstLine="480" w:firstLineChars="200"/>
        <w:rPr>
          <w:rFonts w:ascii="宋体" w:hAnsi="宋体" w:cs="宋体"/>
          <w:sz w:val="24"/>
          <w:highlight w:val="none"/>
        </w:rPr>
      </w:pPr>
      <w:r>
        <w:rPr>
          <w:rFonts w:hint="eastAsia" w:ascii="宋体" w:hAnsi="宋体" w:cs="宋体"/>
          <w:sz w:val="24"/>
          <w:highlight w:val="none"/>
        </w:rPr>
        <w:t>5、投标文件自开标日起有效期为90天。</w:t>
      </w:r>
    </w:p>
    <w:p w14:paraId="626BB5A3">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6、我方参与本项目前3年内的经营活动中没有重大违法记录</w:t>
      </w:r>
      <w:r>
        <w:rPr>
          <w:rFonts w:hint="eastAsia" w:ascii="宋体" w:hAnsi="宋体" w:cs="宋体"/>
          <w:sz w:val="24"/>
          <w:highlight w:val="none"/>
          <w:lang w:eastAsia="zh-CN"/>
        </w:rPr>
        <w:t>。</w:t>
      </w:r>
    </w:p>
    <w:p w14:paraId="06BED182">
      <w:pPr>
        <w:spacing w:line="360" w:lineRule="auto"/>
        <w:ind w:firstLine="480" w:firstLineChars="200"/>
        <w:rPr>
          <w:rFonts w:ascii="宋体" w:hAnsi="宋体" w:cs="宋体"/>
          <w:sz w:val="24"/>
          <w:highlight w:val="none"/>
        </w:rPr>
      </w:pPr>
      <w:r>
        <w:rPr>
          <w:rFonts w:hint="eastAsia" w:ascii="宋体" w:hAnsi="宋体" w:cs="宋体"/>
          <w:sz w:val="24"/>
          <w:highlight w:val="none"/>
        </w:rPr>
        <w:t>7、我方通过“信用中国”网站（www.creditchina.gov.cn）、中国政府采购网（www.ccgp.gov.cn）查询，未被列入失信被执行人、重大税收违法失信主体、政府采购严重违法失信行为记录名单。</w:t>
      </w:r>
    </w:p>
    <w:p w14:paraId="2BE00FA0">
      <w:pPr>
        <w:pStyle w:val="40"/>
        <w:spacing w:before="0"/>
        <w:ind w:firstLine="480"/>
        <w:jc w:val="left"/>
        <w:rPr>
          <w:rFonts w:hint="eastAsia" w:ascii="宋体" w:hAnsi="宋体" w:eastAsia="宋体" w:cs="宋体"/>
          <w:highlight w:val="none"/>
          <w:lang w:eastAsia="zh-CN"/>
        </w:rPr>
      </w:pPr>
      <w:r>
        <w:rPr>
          <w:rFonts w:hint="eastAsia" w:ascii="宋体" w:hAnsi="宋体" w:cs="宋体"/>
          <w:highlight w:val="none"/>
        </w:rPr>
        <w:t>8、具有良好的商业信誉和健全的财务会计制度</w:t>
      </w:r>
      <w:r>
        <w:rPr>
          <w:rFonts w:hint="eastAsia" w:ascii="宋体" w:hAnsi="宋体" w:cs="宋体"/>
          <w:highlight w:val="none"/>
          <w:lang w:eastAsia="zh-CN"/>
        </w:rPr>
        <w:t>。</w:t>
      </w:r>
    </w:p>
    <w:p w14:paraId="2B1F2DBF">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9、具有依法缴纳税收和社会保障资金的良好记录</w:t>
      </w:r>
      <w:r>
        <w:rPr>
          <w:rFonts w:hint="eastAsia" w:ascii="宋体" w:hAnsi="宋体" w:cs="宋体"/>
          <w:sz w:val="24"/>
          <w:highlight w:val="none"/>
          <w:lang w:eastAsia="zh-CN"/>
        </w:rPr>
        <w:t>。</w:t>
      </w:r>
    </w:p>
    <w:p w14:paraId="31E5286E">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10、以上事项如有虚假或隐瞒，我方愿意承担一切后果，并不再寻求任何旨在减轻或免除法律责任的辩解。</w:t>
      </w:r>
    </w:p>
    <w:p w14:paraId="65C86505">
      <w:pPr>
        <w:pStyle w:val="11"/>
        <w:rPr>
          <w:highlight w:val="none"/>
        </w:rPr>
      </w:pPr>
    </w:p>
    <w:p w14:paraId="300227BD">
      <w:pPr>
        <w:pStyle w:val="11"/>
        <w:rPr>
          <w:highlight w:val="none"/>
        </w:rPr>
      </w:pPr>
    </w:p>
    <w:p w14:paraId="057B82C2">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7156F15D">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2C60828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4BEB1A6F">
      <w:pPr>
        <w:spacing w:line="360" w:lineRule="auto"/>
        <w:jc w:val="left"/>
        <w:rPr>
          <w:rFonts w:ascii="宋体" w:hAnsi="宋体" w:cs="宋体"/>
          <w:b/>
          <w:bCs/>
          <w:sz w:val="24"/>
          <w:szCs w:val="24"/>
          <w:highlight w:val="none"/>
          <w:lang w:val="zh-CN"/>
        </w:rPr>
      </w:pPr>
    </w:p>
    <w:p w14:paraId="1A25E1F1">
      <w:pPr>
        <w:spacing w:line="360" w:lineRule="auto"/>
        <w:jc w:val="left"/>
        <w:rPr>
          <w:rFonts w:ascii="宋体" w:hAnsi="宋体" w:cs="宋体"/>
          <w:b/>
          <w:bCs/>
          <w:sz w:val="32"/>
          <w:szCs w:val="32"/>
          <w:highlight w:val="none"/>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三</w:t>
      </w:r>
      <w:r>
        <w:rPr>
          <w:rFonts w:hint="eastAsia" w:ascii="宋体" w:hAnsi="宋体" w:cs="宋体"/>
          <w:b/>
          <w:bCs/>
          <w:sz w:val="24"/>
          <w:szCs w:val="24"/>
          <w:highlight w:val="none"/>
          <w:lang w:val="zh-CN"/>
        </w:rPr>
        <w:t>：</w:t>
      </w:r>
    </w:p>
    <w:p w14:paraId="05BC7644">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中小企业声明函</w:t>
      </w:r>
    </w:p>
    <w:p w14:paraId="1ABF631A">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 （财库﹝2020﹞46 号）的规定，本公司（联合体）参加</w:t>
      </w:r>
      <w:r>
        <w:rPr>
          <w:rFonts w:hint="eastAsia" w:ascii="宋体" w:hAnsi="宋体" w:cs="宋体"/>
          <w:sz w:val="24"/>
          <w:szCs w:val="24"/>
          <w:highlight w:val="none"/>
          <w:u w:val="single"/>
        </w:rPr>
        <w:t xml:space="preserve"> （采购人名称） </w:t>
      </w:r>
      <w:r>
        <w:rPr>
          <w:rFonts w:hint="eastAsia" w:ascii="宋体" w:hAnsi="宋体" w:cs="宋体"/>
          <w:sz w:val="24"/>
          <w:szCs w:val="24"/>
          <w:highlight w:val="none"/>
        </w:rPr>
        <w:t>的</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采购活动，服务全部由符合政策要求的中小企业承接（或者：工程的施工单位全部为符合政策要求的中小企业）。相关企业（含联合体中的中小企业、签订分包意向协议的中小企业）的具体情况如下：</w:t>
      </w:r>
    </w:p>
    <w:p w14:paraId="4410A181">
      <w:pPr>
        <w:spacing w:line="288" w:lineRule="auto"/>
        <w:jc w:val="left"/>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，属于</w:t>
      </w:r>
      <w:r>
        <w:rPr>
          <w:rFonts w:hint="eastAsia" w:ascii="宋体" w:hAnsi="宋体" w:cs="宋体"/>
          <w:sz w:val="24"/>
          <w:szCs w:val="24"/>
          <w:highlight w:val="none"/>
          <w:u w:val="single"/>
        </w:rPr>
        <w:t>其他未列明行业</w:t>
      </w:r>
      <w:r>
        <w:rPr>
          <w:rFonts w:hint="eastAsia" w:ascii="宋体" w:hAnsi="宋体" w:cs="宋体"/>
          <w:sz w:val="24"/>
          <w:szCs w:val="24"/>
          <w:highlight w:val="none"/>
        </w:rPr>
        <w:t>；承建（承接）企业为</w:t>
      </w:r>
      <w:r>
        <w:rPr>
          <w:rFonts w:hint="eastAsia" w:ascii="宋体" w:hAnsi="宋体" w:cs="宋体"/>
          <w:sz w:val="24"/>
          <w:szCs w:val="24"/>
          <w:highlight w:val="none"/>
          <w:u w:val="single"/>
        </w:rPr>
        <w:t xml:space="preserve">           （企业名称） </w:t>
      </w:r>
      <w:r>
        <w:rPr>
          <w:rFonts w:hint="eastAsia" w:ascii="宋体" w:hAnsi="宋体" w:cs="宋体"/>
          <w:sz w:val="24"/>
          <w:szCs w:val="24"/>
          <w:highlight w:val="none"/>
        </w:rPr>
        <w:t>，从业人员人，营业收入为万元，资产总额为万元 ，属于</w:t>
      </w:r>
      <w:r>
        <w:rPr>
          <w:rFonts w:hint="eastAsia" w:ascii="宋体" w:hAnsi="宋体" w:cs="宋体"/>
          <w:sz w:val="24"/>
          <w:szCs w:val="24"/>
          <w:highlight w:val="none"/>
          <w:u w:val="single"/>
        </w:rPr>
        <w:t xml:space="preserve">       （中型企业、小型企业、微型企业）</w:t>
      </w:r>
      <w:r>
        <w:rPr>
          <w:rFonts w:hint="eastAsia" w:ascii="宋体" w:hAnsi="宋体" w:cs="宋体"/>
          <w:sz w:val="24"/>
          <w:szCs w:val="24"/>
          <w:highlight w:val="none"/>
        </w:rPr>
        <w:t xml:space="preserve"> ；</w:t>
      </w:r>
    </w:p>
    <w:p w14:paraId="0036C429">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w:t>
      </w:r>
    </w:p>
    <w:p w14:paraId="10C91E16">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4E3F6A58">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41D5C5D7">
      <w:pPr>
        <w:spacing w:line="288" w:lineRule="auto"/>
        <w:ind w:right="420" w:firstLine="4320" w:firstLineChars="1800"/>
        <w:rPr>
          <w:rFonts w:ascii="宋体" w:hAnsi="宋体" w:cs="宋体"/>
          <w:sz w:val="24"/>
          <w:szCs w:val="24"/>
          <w:highlight w:val="none"/>
        </w:rPr>
      </w:pPr>
    </w:p>
    <w:p w14:paraId="12EF00A7">
      <w:pPr>
        <w:spacing w:line="288" w:lineRule="auto"/>
        <w:ind w:right="420" w:firstLine="4320" w:firstLineChars="1800"/>
        <w:rPr>
          <w:rFonts w:ascii="宋体" w:hAnsi="宋体" w:cs="宋体"/>
          <w:sz w:val="24"/>
          <w:szCs w:val="24"/>
          <w:highlight w:val="none"/>
        </w:rPr>
      </w:pPr>
    </w:p>
    <w:p w14:paraId="47CBA9F5">
      <w:pPr>
        <w:spacing w:line="288" w:lineRule="auto"/>
        <w:ind w:right="420" w:firstLine="4800" w:firstLineChars="2000"/>
        <w:rPr>
          <w:rFonts w:ascii="宋体" w:hAnsi="宋体" w:cs="宋体"/>
          <w:sz w:val="24"/>
          <w:szCs w:val="24"/>
          <w:highlight w:val="none"/>
        </w:rPr>
      </w:pPr>
      <w:r>
        <w:rPr>
          <w:rFonts w:hint="eastAsia" w:ascii="宋体" w:hAnsi="宋体" w:cs="宋体"/>
          <w:sz w:val="24"/>
          <w:szCs w:val="24"/>
          <w:highlight w:val="none"/>
        </w:rPr>
        <w:t xml:space="preserve">企业名称（盖章）： </w:t>
      </w:r>
    </w:p>
    <w:p w14:paraId="43E28080">
      <w:pPr>
        <w:spacing w:line="288" w:lineRule="auto"/>
        <w:ind w:left="3780" w:leftChars="1800" w:firstLine="960" w:firstLineChars="400"/>
        <w:rPr>
          <w:rFonts w:ascii="宋体" w:hAnsi="宋体" w:cs="宋体"/>
          <w:sz w:val="24"/>
          <w:szCs w:val="24"/>
          <w:highlight w:val="none"/>
        </w:rPr>
      </w:pPr>
      <w:r>
        <w:rPr>
          <w:rFonts w:hint="eastAsia" w:ascii="宋体" w:hAnsi="宋体" w:cs="宋体"/>
          <w:sz w:val="24"/>
          <w:szCs w:val="24"/>
          <w:highlight w:val="none"/>
        </w:rPr>
        <w:t>日期：   年     月     日</w:t>
      </w:r>
    </w:p>
    <w:p w14:paraId="0F13A1D1">
      <w:pPr>
        <w:pStyle w:val="7"/>
        <w:spacing w:line="288" w:lineRule="auto"/>
        <w:rPr>
          <w:rFonts w:ascii="宋体" w:hAnsi="宋体" w:cs="宋体"/>
          <w:sz w:val="24"/>
          <w:szCs w:val="24"/>
          <w:highlight w:val="none"/>
        </w:rPr>
      </w:pPr>
    </w:p>
    <w:p w14:paraId="0A0A9BAB">
      <w:pPr>
        <w:spacing w:line="288" w:lineRule="auto"/>
        <w:ind w:firstLine="480" w:firstLineChars="200"/>
        <w:jc w:val="left"/>
        <w:rPr>
          <w:rFonts w:ascii="宋体" w:hAnsi="宋体" w:cs="宋体"/>
          <w:sz w:val="24"/>
          <w:szCs w:val="24"/>
          <w:highlight w:val="none"/>
        </w:rPr>
      </w:pPr>
    </w:p>
    <w:p w14:paraId="600676A5">
      <w:pPr>
        <w:spacing w:line="288" w:lineRule="auto"/>
        <w:ind w:firstLine="480" w:firstLineChars="200"/>
        <w:jc w:val="left"/>
        <w:rPr>
          <w:rFonts w:ascii="宋体" w:hAnsi="宋体" w:cs="宋体"/>
          <w:sz w:val="24"/>
          <w:szCs w:val="24"/>
          <w:highlight w:val="none"/>
        </w:rPr>
      </w:pPr>
    </w:p>
    <w:p w14:paraId="27BFA9C0">
      <w:pPr>
        <w:spacing w:line="288" w:lineRule="auto"/>
        <w:ind w:firstLine="480" w:firstLineChars="200"/>
        <w:jc w:val="left"/>
        <w:rPr>
          <w:rFonts w:ascii="宋体" w:hAnsi="宋体" w:cs="宋体"/>
          <w:sz w:val="24"/>
          <w:szCs w:val="24"/>
          <w:highlight w:val="none"/>
        </w:rPr>
      </w:pPr>
    </w:p>
    <w:p w14:paraId="7420A318">
      <w:pPr>
        <w:spacing w:line="288"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注：从业人员、营业收入、资产总额填报上一年度数据，无上一年度数据的新成立企业可不填报。</w:t>
      </w:r>
    </w:p>
    <w:p w14:paraId="49047553">
      <w:pPr>
        <w:widowControl/>
        <w:snapToGrid w:val="0"/>
        <w:spacing w:line="324" w:lineRule="auto"/>
        <w:ind w:firstLine="480" w:firstLineChars="200"/>
        <w:jc w:val="left"/>
        <w:rPr>
          <w:rFonts w:ascii="宋体" w:hAnsi="宋体" w:cs="宋体"/>
          <w:sz w:val="24"/>
          <w:szCs w:val="24"/>
          <w:highlight w:val="none"/>
        </w:rPr>
      </w:pPr>
    </w:p>
    <w:p w14:paraId="504295E4">
      <w:pPr>
        <w:pStyle w:val="2"/>
        <w:spacing w:line="360" w:lineRule="auto"/>
        <w:rPr>
          <w:sz w:val="24"/>
          <w:szCs w:val="24"/>
          <w:highlight w:val="none"/>
        </w:rPr>
      </w:pPr>
    </w:p>
    <w:p w14:paraId="32D5FC56">
      <w:pPr>
        <w:pStyle w:val="2"/>
        <w:spacing w:line="360" w:lineRule="auto"/>
        <w:rPr>
          <w:sz w:val="24"/>
          <w:szCs w:val="24"/>
          <w:highlight w:val="none"/>
        </w:rPr>
      </w:pPr>
    </w:p>
    <w:p w14:paraId="19468519">
      <w:pPr>
        <w:jc w:val="center"/>
        <w:rPr>
          <w:rFonts w:ascii="宋体" w:hAnsi="宋体" w:cs="宋体"/>
          <w:highlight w:val="none"/>
          <w:lang w:val="zh-CN"/>
        </w:rPr>
      </w:pPr>
      <w:bookmarkStart w:id="96" w:name="_Toc30916"/>
      <w:bookmarkStart w:id="97" w:name="_Toc3295"/>
      <w:bookmarkStart w:id="98" w:name="_Toc2071"/>
      <w:r>
        <w:rPr>
          <w:rFonts w:hint="eastAsia" w:ascii="宋体" w:hAnsi="宋体" w:cs="宋体"/>
          <w:highlight w:val="none"/>
        </w:rPr>
        <w:br w:type="page"/>
      </w:r>
      <w:bookmarkEnd w:id="96"/>
      <w:bookmarkEnd w:id="97"/>
      <w:bookmarkEnd w:id="98"/>
    </w:p>
    <w:p w14:paraId="59762319">
      <w:pPr>
        <w:rPr>
          <w:rFonts w:ascii="宋体" w:hAnsi="宋体" w:cs="宋体"/>
          <w:b/>
          <w:bCs/>
          <w:sz w:val="24"/>
          <w:szCs w:val="24"/>
          <w:highlight w:val="none"/>
          <w:lang w:val="zh-CN"/>
        </w:rPr>
      </w:pPr>
      <w:bookmarkStart w:id="99" w:name="_Toc16150"/>
      <w:bookmarkStart w:id="100" w:name="_Toc31472"/>
      <w:bookmarkStart w:id="101" w:name="_Toc25017"/>
      <w:bookmarkStart w:id="102" w:name="_Toc9715"/>
      <w:r>
        <w:rPr>
          <w:rFonts w:hint="eastAsia" w:ascii="宋体" w:hAnsi="宋体" w:cs="宋体"/>
          <w:b/>
          <w:bCs/>
          <w:sz w:val="24"/>
          <w:szCs w:val="24"/>
          <w:highlight w:val="none"/>
          <w:lang w:val="zh-CN"/>
        </w:rPr>
        <w:t>附件</w:t>
      </w:r>
      <w:r>
        <w:rPr>
          <w:rFonts w:hint="eastAsia" w:ascii="宋体" w:hAnsi="宋体" w:cs="宋体"/>
          <w:b/>
          <w:bCs/>
          <w:sz w:val="24"/>
          <w:szCs w:val="24"/>
          <w:highlight w:val="none"/>
        </w:rPr>
        <w:t>四：</w:t>
      </w:r>
    </w:p>
    <w:p w14:paraId="57AE4DA1">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残疾人福利性单位声明函</w:t>
      </w:r>
      <w:bookmarkEnd w:id="99"/>
      <w:bookmarkEnd w:id="100"/>
      <w:bookmarkEnd w:id="101"/>
      <w:bookmarkEnd w:id="102"/>
    </w:p>
    <w:p w14:paraId="0D561E1D">
      <w:pPr>
        <w:widowControl/>
        <w:snapToGrid w:val="0"/>
        <w:spacing w:line="324" w:lineRule="auto"/>
        <w:ind w:firstLine="480" w:firstLineChars="200"/>
        <w:jc w:val="center"/>
        <w:rPr>
          <w:rFonts w:ascii="宋体" w:hAnsi="宋体" w:cs="宋体"/>
          <w:kern w:val="0"/>
          <w:sz w:val="24"/>
          <w:szCs w:val="24"/>
          <w:highlight w:val="none"/>
        </w:rPr>
      </w:pPr>
      <w:r>
        <w:rPr>
          <w:rFonts w:hint="eastAsia" w:ascii="宋体" w:hAnsi="宋体" w:cs="宋体"/>
          <w:kern w:val="0"/>
          <w:sz w:val="24"/>
          <w:szCs w:val="24"/>
          <w:highlight w:val="none"/>
        </w:rPr>
        <w:t>【不属于残疾人福利性单位的无需填写、递交】</w:t>
      </w:r>
    </w:p>
    <w:p w14:paraId="61FA62C4">
      <w:pPr>
        <w:spacing w:line="588" w:lineRule="exact"/>
        <w:rPr>
          <w:rFonts w:ascii="宋体" w:hAnsi="宋体" w:cs="宋体"/>
          <w:b/>
          <w:bCs/>
          <w:spacing w:val="6"/>
          <w:sz w:val="30"/>
          <w:szCs w:val="30"/>
          <w:highlight w:val="none"/>
        </w:rPr>
      </w:pPr>
    </w:p>
    <w:p w14:paraId="5C378256">
      <w:pPr>
        <w:spacing w:line="588"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服务，或者提供其他残疾人福利性单位提供的服务。本单位对上述声明的真实性负责。如有虚假，将依法承担相应责任。</w:t>
      </w:r>
    </w:p>
    <w:p w14:paraId="1520186C">
      <w:pPr>
        <w:pStyle w:val="2"/>
        <w:rPr>
          <w:highlight w:val="none"/>
        </w:rPr>
      </w:pPr>
    </w:p>
    <w:p w14:paraId="02E1D211">
      <w:pPr>
        <w:pStyle w:val="7"/>
        <w:rPr>
          <w:rFonts w:ascii="宋体" w:hAnsi="宋体" w:cs="宋体"/>
          <w:highlight w:val="none"/>
        </w:rPr>
      </w:pPr>
    </w:p>
    <w:p w14:paraId="57A6B035">
      <w:pPr>
        <w:spacing w:line="588" w:lineRule="exact"/>
        <w:rPr>
          <w:rFonts w:ascii="宋体" w:hAnsi="宋体" w:cs="宋体"/>
          <w:sz w:val="24"/>
          <w:szCs w:val="24"/>
          <w:highlight w:val="none"/>
        </w:rPr>
      </w:pPr>
    </w:p>
    <w:p w14:paraId="313E10FC">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46C38F30">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D5A29F0">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741924CC">
      <w:pPr>
        <w:rPr>
          <w:rFonts w:ascii="宋体" w:hAnsi="宋体" w:cs="宋体"/>
          <w:b/>
          <w:bCs/>
          <w:sz w:val="24"/>
          <w:szCs w:val="24"/>
          <w:highlight w:val="none"/>
          <w:lang w:val="zh-CN"/>
        </w:rPr>
      </w:pPr>
      <w:bookmarkStart w:id="103" w:name="_Toc24"/>
      <w:bookmarkStart w:id="104" w:name="_Toc5441"/>
      <w:bookmarkStart w:id="105" w:name="_Toc15966"/>
      <w:bookmarkStart w:id="106" w:name="_Toc2386"/>
      <w:r>
        <w:rPr>
          <w:rFonts w:hint="eastAsia" w:ascii="宋体" w:hAnsi="宋体" w:cs="宋体"/>
          <w:sz w:val="24"/>
          <w:szCs w:val="24"/>
          <w:highlight w:val="none"/>
          <w:lang w:val="zh-CN"/>
        </w:rPr>
        <w:br w:type="page"/>
      </w: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五：</w:t>
      </w:r>
    </w:p>
    <w:p w14:paraId="483B07B7">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监狱企业证明文件</w:t>
      </w:r>
      <w:bookmarkEnd w:id="103"/>
      <w:bookmarkEnd w:id="104"/>
      <w:bookmarkEnd w:id="105"/>
      <w:bookmarkEnd w:id="106"/>
    </w:p>
    <w:p w14:paraId="02E3DAA3">
      <w:pPr>
        <w:widowControl/>
        <w:snapToGrid w:val="0"/>
        <w:spacing w:line="360" w:lineRule="auto"/>
        <w:jc w:val="center"/>
        <w:rPr>
          <w:rFonts w:ascii="宋体" w:hAnsi="宋体" w:cs="宋体"/>
          <w:kern w:val="0"/>
          <w:sz w:val="28"/>
          <w:szCs w:val="28"/>
          <w:highlight w:val="none"/>
        </w:rPr>
      </w:pPr>
      <w:r>
        <w:rPr>
          <w:rFonts w:hint="eastAsia" w:ascii="宋体" w:hAnsi="宋体" w:cs="宋体"/>
          <w:kern w:val="0"/>
          <w:sz w:val="28"/>
          <w:szCs w:val="28"/>
          <w:highlight w:val="none"/>
        </w:rPr>
        <w:t>【不属于监狱企业的无需填写、递交】</w:t>
      </w:r>
    </w:p>
    <w:p w14:paraId="60ECA196">
      <w:pPr>
        <w:widowControl/>
        <w:snapToGrid w:val="0"/>
        <w:spacing w:line="324" w:lineRule="auto"/>
        <w:jc w:val="center"/>
        <w:rPr>
          <w:rFonts w:ascii="宋体" w:hAnsi="宋体" w:cs="宋体"/>
          <w:kern w:val="0"/>
          <w:sz w:val="24"/>
          <w:szCs w:val="24"/>
          <w:highlight w:val="none"/>
        </w:rPr>
      </w:pPr>
    </w:p>
    <w:p w14:paraId="74BD3F9B">
      <w:pPr>
        <w:spacing w:line="588" w:lineRule="exact"/>
        <w:ind w:firstLine="480" w:firstLineChars="200"/>
        <w:rPr>
          <w:rFonts w:ascii="宋体" w:hAnsi="宋体" w:cs="宋体"/>
          <w:sz w:val="24"/>
          <w:szCs w:val="24"/>
          <w:highlight w:val="none"/>
        </w:rPr>
      </w:pPr>
    </w:p>
    <w:p w14:paraId="4089D888">
      <w:pPr>
        <w:adjustRightInd w:val="0"/>
        <w:snapToGrid w:val="0"/>
        <w:spacing w:before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监狱企业需提供省级以上的监狱管理局、戒毒管理局（含新疆生产建设兵团）出具的属于监狱企业的证明文件。</w:t>
      </w:r>
    </w:p>
    <w:p w14:paraId="6F4938EF">
      <w:pPr>
        <w:pStyle w:val="2"/>
        <w:rPr>
          <w:highlight w:val="none"/>
        </w:rPr>
      </w:pPr>
    </w:p>
    <w:p w14:paraId="396DD4E8">
      <w:pPr>
        <w:pStyle w:val="7"/>
        <w:rPr>
          <w:rFonts w:ascii="宋体" w:hAnsi="宋体" w:cs="宋体"/>
          <w:highlight w:val="none"/>
        </w:rPr>
      </w:pPr>
    </w:p>
    <w:p w14:paraId="111A081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5F2A8E1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682F88F">
      <w:pPr>
        <w:pStyle w:val="4"/>
        <w:ind w:firstLine="4320" w:firstLineChars="1800"/>
        <w:rPr>
          <w:rFonts w:ascii="宋体" w:hAnsi="宋体" w:eastAsia="宋体" w:cs="宋体"/>
          <w:highlight w:val="none"/>
        </w:rPr>
      </w:pPr>
      <w:r>
        <w:rPr>
          <w:rFonts w:hint="eastAsia" w:ascii="宋体" w:hAnsi="宋体" w:eastAsia="宋体" w:cs="宋体"/>
          <w:b w:val="0"/>
          <w:bCs/>
          <w:szCs w:val="24"/>
          <w:highlight w:val="none"/>
        </w:rPr>
        <w:t>供应商全称（公章）：</w:t>
      </w:r>
    </w:p>
    <w:p w14:paraId="22CE45F0">
      <w:pPr>
        <w:rPr>
          <w:rFonts w:ascii="宋体" w:hAnsi="宋体" w:cs="宋体"/>
          <w:sz w:val="24"/>
          <w:szCs w:val="24"/>
          <w:highlight w:val="none"/>
        </w:rPr>
      </w:pPr>
    </w:p>
    <w:p w14:paraId="0125DD44">
      <w:pPr>
        <w:pStyle w:val="2"/>
        <w:rPr>
          <w:sz w:val="24"/>
          <w:szCs w:val="24"/>
          <w:highlight w:val="none"/>
        </w:rPr>
      </w:pPr>
    </w:p>
    <w:p w14:paraId="7916278E">
      <w:pPr>
        <w:rPr>
          <w:rFonts w:ascii="宋体" w:hAnsi="宋体" w:cs="宋体"/>
          <w:sz w:val="24"/>
          <w:szCs w:val="24"/>
          <w:highlight w:val="none"/>
        </w:rPr>
      </w:pPr>
    </w:p>
    <w:p w14:paraId="6D2F6EB9">
      <w:pPr>
        <w:pStyle w:val="2"/>
        <w:rPr>
          <w:sz w:val="24"/>
          <w:szCs w:val="24"/>
          <w:highlight w:val="none"/>
        </w:rPr>
      </w:pPr>
    </w:p>
    <w:p w14:paraId="07D36540">
      <w:pPr>
        <w:rPr>
          <w:rFonts w:ascii="宋体" w:hAnsi="宋体" w:cs="宋体"/>
          <w:sz w:val="24"/>
          <w:szCs w:val="24"/>
          <w:highlight w:val="none"/>
        </w:rPr>
      </w:pPr>
    </w:p>
    <w:p w14:paraId="20108232">
      <w:pPr>
        <w:pStyle w:val="2"/>
        <w:rPr>
          <w:sz w:val="24"/>
          <w:szCs w:val="24"/>
          <w:highlight w:val="none"/>
        </w:rPr>
      </w:pPr>
    </w:p>
    <w:p w14:paraId="01A13188">
      <w:pPr>
        <w:rPr>
          <w:rFonts w:ascii="宋体" w:hAnsi="宋体" w:cs="宋体"/>
          <w:sz w:val="24"/>
          <w:szCs w:val="24"/>
          <w:highlight w:val="none"/>
        </w:rPr>
      </w:pPr>
    </w:p>
    <w:p w14:paraId="66CE2CDE">
      <w:pPr>
        <w:pStyle w:val="2"/>
        <w:rPr>
          <w:sz w:val="24"/>
          <w:szCs w:val="24"/>
          <w:highlight w:val="none"/>
        </w:rPr>
      </w:pPr>
    </w:p>
    <w:p w14:paraId="7D3BAB69">
      <w:pPr>
        <w:rPr>
          <w:rFonts w:ascii="宋体" w:hAnsi="宋体" w:cs="宋体"/>
          <w:sz w:val="24"/>
          <w:szCs w:val="24"/>
          <w:highlight w:val="none"/>
        </w:rPr>
      </w:pPr>
    </w:p>
    <w:p w14:paraId="30EE1D7B">
      <w:pPr>
        <w:pStyle w:val="2"/>
        <w:rPr>
          <w:sz w:val="24"/>
          <w:szCs w:val="24"/>
          <w:highlight w:val="none"/>
        </w:rPr>
      </w:pPr>
    </w:p>
    <w:p w14:paraId="15B71E14">
      <w:pPr>
        <w:rPr>
          <w:rFonts w:ascii="宋体" w:hAnsi="宋体" w:cs="宋体"/>
          <w:sz w:val="24"/>
          <w:szCs w:val="24"/>
          <w:highlight w:val="none"/>
        </w:rPr>
      </w:pPr>
    </w:p>
    <w:p w14:paraId="6918F194">
      <w:pPr>
        <w:pStyle w:val="2"/>
        <w:rPr>
          <w:sz w:val="24"/>
          <w:szCs w:val="24"/>
          <w:highlight w:val="none"/>
        </w:rPr>
      </w:pPr>
    </w:p>
    <w:p w14:paraId="494F5470">
      <w:pPr>
        <w:rPr>
          <w:rFonts w:ascii="宋体" w:hAnsi="宋体" w:cs="宋体"/>
          <w:highlight w:val="none"/>
          <w:lang w:val="zh-CN"/>
        </w:rPr>
      </w:pPr>
      <w:r>
        <w:rPr>
          <w:rFonts w:hint="eastAsia" w:ascii="宋体" w:hAnsi="宋体" w:cs="宋体"/>
          <w:highlight w:val="none"/>
          <w:lang w:val="zh-CN"/>
        </w:rPr>
        <w:br w:type="page"/>
      </w:r>
    </w:p>
    <w:p w14:paraId="41551332">
      <w:pPr>
        <w:rPr>
          <w:rFonts w:ascii="宋体" w:hAnsi="宋体" w:cs="宋体"/>
          <w:highlight w:val="none"/>
          <w:lang w:val="zh-CN"/>
        </w:rPr>
      </w:pPr>
    </w:p>
    <w:p w14:paraId="4F2C4C91">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商务技术文件</w:t>
      </w:r>
    </w:p>
    <w:p w14:paraId="7797D783">
      <w:pPr>
        <w:spacing w:line="360" w:lineRule="auto"/>
        <w:jc w:val="center"/>
        <w:rPr>
          <w:rFonts w:ascii="宋体" w:hAnsi="宋体" w:cs="宋体"/>
          <w:b/>
          <w:bCs/>
          <w:kern w:val="0"/>
          <w:sz w:val="36"/>
          <w:szCs w:val="36"/>
          <w:highlight w:val="none"/>
        </w:rPr>
      </w:pPr>
    </w:p>
    <w:p w14:paraId="52D51B4B">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0DBB4AB4">
      <w:pPr>
        <w:pStyle w:val="11"/>
        <w:ind w:left="426" w:firstLine="486"/>
        <w:rPr>
          <w:highlight w:val="none"/>
        </w:rPr>
      </w:pPr>
    </w:p>
    <w:p w14:paraId="39FE5905">
      <w:pPr>
        <w:numPr>
          <w:ilvl w:val="0"/>
          <w:numId w:val="39"/>
        </w:numPr>
        <w:spacing w:line="360" w:lineRule="auto"/>
        <w:ind w:firstLine="480"/>
        <w:rPr>
          <w:rFonts w:ascii="宋体" w:hAnsi="宋体" w:cs="宋体"/>
          <w:sz w:val="24"/>
          <w:szCs w:val="24"/>
          <w:highlight w:val="none"/>
        </w:rPr>
      </w:pPr>
      <w:r>
        <w:rPr>
          <w:rFonts w:hint="eastAsia" w:ascii="宋体" w:hAnsi="宋体" w:cs="宋体"/>
          <w:sz w:val="24"/>
          <w:szCs w:val="24"/>
          <w:highlight w:val="none"/>
        </w:rPr>
        <w:t>评分对应表（格式见附件，主要用于评委对应评分内容）</w:t>
      </w:r>
      <w:r>
        <w:rPr>
          <w:rFonts w:hint="eastAsia" w:ascii="宋体" w:hAnsi="宋体" w:cs="宋体"/>
          <w:sz w:val="24"/>
          <w:szCs w:val="24"/>
          <w:highlight w:val="none"/>
          <w:lang w:eastAsia="zh-CN"/>
        </w:rPr>
        <w:t>；</w:t>
      </w:r>
    </w:p>
    <w:p w14:paraId="0FFFAD40">
      <w:pPr>
        <w:numPr>
          <w:ilvl w:val="0"/>
          <w:numId w:val="39"/>
        </w:numPr>
        <w:spacing w:line="360" w:lineRule="auto"/>
        <w:ind w:firstLine="480"/>
        <w:rPr>
          <w:rFonts w:ascii="宋体" w:hAnsi="宋体" w:cs="宋体"/>
          <w:sz w:val="24"/>
          <w:szCs w:val="24"/>
          <w:highlight w:val="none"/>
        </w:rPr>
      </w:pPr>
      <w:r>
        <w:rPr>
          <w:rFonts w:hint="eastAsia" w:ascii="宋体" w:hAnsi="宋体" w:cs="宋体"/>
          <w:sz w:val="24"/>
          <w:szCs w:val="24"/>
          <w:highlight w:val="none"/>
        </w:rPr>
        <w:t>供应商商务技术文件中资信分自评表（格式见附件）；</w:t>
      </w:r>
    </w:p>
    <w:p w14:paraId="3698C39C">
      <w:pPr>
        <w:numPr>
          <w:ilvl w:val="0"/>
          <w:numId w:val="39"/>
        </w:numPr>
        <w:spacing w:line="360" w:lineRule="auto"/>
        <w:ind w:firstLine="480"/>
        <w:rPr>
          <w:rFonts w:ascii="宋体" w:hAnsi="宋体" w:cs="宋体"/>
          <w:sz w:val="24"/>
          <w:szCs w:val="24"/>
          <w:highlight w:val="none"/>
        </w:rPr>
      </w:pPr>
      <w:r>
        <w:rPr>
          <w:rFonts w:hint="eastAsia" w:ascii="宋体" w:hAnsi="宋体" w:cs="宋体"/>
          <w:sz w:val="24"/>
          <w:szCs w:val="24"/>
          <w:highlight w:val="none"/>
        </w:rPr>
        <w:t>磋商项目明细清单（格式见附件）；</w:t>
      </w:r>
    </w:p>
    <w:p w14:paraId="0740341F">
      <w:pPr>
        <w:numPr>
          <w:ilvl w:val="0"/>
          <w:numId w:val="39"/>
        </w:numPr>
        <w:spacing w:line="360" w:lineRule="auto"/>
        <w:ind w:firstLine="480"/>
        <w:rPr>
          <w:rFonts w:ascii="宋体" w:hAnsi="宋体" w:cs="宋体"/>
          <w:sz w:val="24"/>
          <w:szCs w:val="24"/>
          <w:highlight w:val="none"/>
        </w:rPr>
      </w:pPr>
      <w:r>
        <w:rPr>
          <w:rFonts w:hint="eastAsia" w:ascii="宋体" w:hAnsi="宋体" w:cs="宋体"/>
          <w:sz w:val="24"/>
          <w:szCs w:val="24"/>
          <w:highlight w:val="none"/>
        </w:rPr>
        <w:t>技术响应及建议表（格式见附件）；</w:t>
      </w:r>
    </w:p>
    <w:p w14:paraId="36562FE2">
      <w:pPr>
        <w:numPr>
          <w:ilvl w:val="0"/>
          <w:numId w:val="39"/>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商务响应表（格式见附件）；</w:t>
      </w:r>
    </w:p>
    <w:p w14:paraId="0B40285A">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项目理解；</w:t>
      </w:r>
    </w:p>
    <w:p w14:paraId="4B49B46F">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整体运维服务方案；</w:t>
      </w:r>
    </w:p>
    <w:p w14:paraId="11087FEC">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运维方案；</w:t>
      </w:r>
    </w:p>
    <w:p w14:paraId="769AC12E">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团队实力；</w:t>
      </w:r>
    </w:p>
    <w:p w14:paraId="6785D26E">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应急预案；</w:t>
      </w:r>
    </w:p>
    <w:p w14:paraId="557D440C">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定期巡检方案；</w:t>
      </w:r>
    </w:p>
    <w:p w14:paraId="4D5B0376">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质量保证；</w:t>
      </w:r>
    </w:p>
    <w:p w14:paraId="55840637">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售后服务；</w:t>
      </w:r>
    </w:p>
    <w:p w14:paraId="1F7D7419">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培训方案；</w:t>
      </w:r>
    </w:p>
    <w:p w14:paraId="2D84ABD8">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合理化建议；</w:t>
      </w:r>
    </w:p>
    <w:p w14:paraId="159C962D">
      <w:pPr>
        <w:numPr>
          <w:ilvl w:val="0"/>
          <w:numId w:val="39"/>
        </w:numPr>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企业证书；</w:t>
      </w:r>
    </w:p>
    <w:p w14:paraId="57F3F9E3">
      <w:pPr>
        <w:numPr>
          <w:ilvl w:val="0"/>
          <w:numId w:val="39"/>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人员证书；</w:t>
      </w:r>
    </w:p>
    <w:p w14:paraId="60EFC09D">
      <w:pPr>
        <w:numPr>
          <w:ilvl w:val="0"/>
          <w:numId w:val="39"/>
        </w:num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供应商认为需要的其他文件资料。</w:t>
      </w:r>
    </w:p>
    <w:p w14:paraId="1F9EFBE1">
      <w:pPr>
        <w:pStyle w:val="40"/>
        <w:tabs>
          <w:tab w:val="left" w:pos="0"/>
        </w:tabs>
        <w:spacing w:before="0" w:line="336" w:lineRule="auto"/>
        <w:ind w:firstLine="480"/>
        <w:rPr>
          <w:rFonts w:ascii="宋体" w:hAnsi="宋体" w:cs="宋体"/>
          <w:highlight w:val="none"/>
        </w:rPr>
      </w:pPr>
      <w:r>
        <w:rPr>
          <w:rFonts w:hint="eastAsia" w:ascii="宋体" w:hAnsi="宋体" w:cs="宋体"/>
          <w:highlight w:val="none"/>
        </w:rPr>
        <w:t>注：以上内容应与评标办法中内容具有一致性。</w:t>
      </w:r>
    </w:p>
    <w:p w14:paraId="27CF6054">
      <w:pPr>
        <w:rPr>
          <w:rFonts w:ascii="宋体" w:hAnsi="宋体" w:cs="宋体"/>
          <w:sz w:val="24"/>
          <w:szCs w:val="24"/>
          <w:highlight w:val="none"/>
        </w:rPr>
      </w:pPr>
    </w:p>
    <w:p w14:paraId="75618DAF">
      <w:pPr>
        <w:rPr>
          <w:rFonts w:ascii="宋体" w:hAnsi="宋体" w:cs="宋体"/>
          <w:b/>
          <w:bCs/>
          <w:sz w:val="24"/>
          <w:szCs w:val="24"/>
          <w:highlight w:val="none"/>
          <w:lang w:val="zh-CN"/>
        </w:rPr>
      </w:pPr>
      <w:bookmarkStart w:id="107" w:name="_Toc10131"/>
      <w:r>
        <w:rPr>
          <w:rFonts w:hint="eastAsia" w:ascii="宋体" w:hAnsi="宋体" w:cs="宋体"/>
          <w:b/>
          <w:bCs/>
          <w:sz w:val="24"/>
          <w:szCs w:val="24"/>
          <w:highlight w:val="none"/>
          <w:lang w:val="zh-CN"/>
        </w:rPr>
        <w:br w:type="page"/>
      </w:r>
    </w:p>
    <w:p w14:paraId="4E38466B">
      <w:pPr>
        <w:snapToGrid w:val="0"/>
        <w:spacing w:before="50" w:after="50"/>
        <w:jc w:val="left"/>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六</w:t>
      </w:r>
      <w:r>
        <w:rPr>
          <w:rFonts w:hint="eastAsia" w:ascii="宋体" w:hAnsi="宋体" w:cs="宋体"/>
          <w:b/>
          <w:bCs/>
          <w:sz w:val="24"/>
          <w:szCs w:val="24"/>
          <w:highlight w:val="none"/>
          <w:lang w:val="zh-CN"/>
        </w:rPr>
        <w:t>：</w:t>
      </w:r>
    </w:p>
    <w:p w14:paraId="2B26BFBD">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评分对应表</w:t>
      </w:r>
    </w:p>
    <w:p w14:paraId="5D619B3D">
      <w:pPr>
        <w:snapToGrid w:val="0"/>
        <w:spacing w:before="50"/>
        <w:jc w:val="center"/>
        <w:rPr>
          <w:rFonts w:ascii="宋体" w:hAnsi="宋体" w:cs="宋体"/>
          <w:b/>
          <w:bCs/>
          <w:sz w:val="32"/>
          <w:szCs w:val="32"/>
          <w:highlight w:val="none"/>
        </w:rPr>
      </w:pPr>
    </w:p>
    <w:p w14:paraId="4047D15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2D788C3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89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977"/>
      </w:tblGrid>
      <w:tr w14:paraId="568A2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7B12294B">
            <w:pPr>
              <w:jc w:val="center"/>
              <w:rPr>
                <w:rFonts w:ascii="宋体" w:hAnsi="宋体" w:cs="宋体"/>
                <w:sz w:val="24"/>
                <w:szCs w:val="24"/>
                <w:highlight w:val="none"/>
              </w:rPr>
            </w:pPr>
            <w:r>
              <w:rPr>
                <w:rFonts w:hint="eastAsia" w:ascii="宋体" w:hAnsi="宋体" w:cs="宋体"/>
                <w:sz w:val="24"/>
                <w:szCs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8CE6092">
            <w:pPr>
              <w:jc w:val="center"/>
              <w:rPr>
                <w:rFonts w:ascii="宋体" w:hAnsi="宋体" w:cs="宋体"/>
                <w:sz w:val="24"/>
                <w:szCs w:val="24"/>
                <w:highlight w:val="none"/>
              </w:rPr>
            </w:pPr>
            <w:r>
              <w:rPr>
                <w:rFonts w:hint="eastAsia" w:ascii="宋体" w:hAnsi="宋体" w:cs="宋体"/>
                <w:sz w:val="24"/>
                <w:szCs w:val="24"/>
                <w:highlight w:val="none"/>
              </w:rPr>
              <w:t>响应文件对应资料</w:t>
            </w:r>
          </w:p>
        </w:tc>
        <w:tc>
          <w:tcPr>
            <w:tcW w:w="1977" w:type="dxa"/>
            <w:tcBorders>
              <w:top w:val="single" w:color="auto" w:sz="4" w:space="0"/>
              <w:left w:val="single" w:color="auto" w:sz="4" w:space="0"/>
              <w:bottom w:val="single" w:color="auto" w:sz="4" w:space="0"/>
            </w:tcBorders>
            <w:vAlign w:val="center"/>
          </w:tcPr>
          <w:p w14:paraId="0D299197">
            <w:pPr>
              <w:jc w:val="center"/>
              <w:rPr>
                <w:rFonts w:ascii="宋体" w:hAnsi="宋体" w:cs="宋体"/>
                <w:sz w:val="24"/>
                <w:szCs w:val="24"/>
                <w:highlight w:val="none"/>
              </w:rPr>
            </w:pPr>
            <w:r>
              <w:rPr>
                <w:rFonts w:hint="eastAsia" w:ascii="宋体" w:hAnsi="宋体" w:cs="宋体"/>
                <w:sz w:val="24"/>
                <w:szCs w:val="24"/>
                <w:highlight w:val="none"/>
              </w:rPr>
              <w:t>响应文件页码</w:t>
            </w:r>
          </w:p>
        </w:tc>
      </w:tr>
      <w:tr w14:paraId="15152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DA67CEA">
            <w:pPr>
              <w:jc w:val="center"/>
              <w:rPr>
                <w:rFonts w:ascii="宋体" w:hAnsi="宋体" w:cs="宋体"/>
                <w:sz w:val="24"/>
                <w:szCs w:val="24"/>
                <w:highlight w:val="none"/>
              </w:rPr>
            </w:pPr>
            <w:r>
              <w:rPr>
                <w:rFonts w:hint="eastAsia" w:ascii="宋体" w:hAnsi="宋体" w:cs="宋体"/>
                <w:sz w:val="24"/>
                <w:szCs w:val="24"/>
                <w:highlight w:val="none"/>
              </w:rPr>
              <w:t>对应评分办法及评分标准</w:t>
            </w:r>
          </w:p>
          <w:p w14:paraId="542D935E">
            <w:pPr>
              <w:jc w:val="center"/>
              <w:rPr>
                <w:rFonts w:ascii="宋体" w:hAnsi="宋体" w:cs="宋体"/>
                <w:sz w:val="24"/>
                <w:szCs w:val="24"/>
                <w:highlight w:val="none"/>
              </w:rPr>
            </w:pPr>
            <w:r>
              <w:rPr>
                <w:rFonts w:hint="eastAsia" w:ascii="宋体" w:hAnsi="宋体" w:cs="宋体"/>
                <w:sz w:val="24"/>
                <w:szCs w:val="24"/>
                <w:highlight w:val="none"/>
              </w:rPr>
              <w:t>（报价除外）</w:t>
            </w:r>
          </w:p>
        </w:tc>
        <w:tc>
          <w:tcPr>
            <w:tcW w:w="3060" w:type="dxa"/>
            <w:tcBorders>
              <w:top w:val="single" w:color="auto" w:sz="4" w:space="0"/>
              <w:left w:val="single" w:color="auto" w:sz="4" w:space="0"/>
              <w:bottom w:val="single" w:color="auto" w:sz="4" w:space="0"/>
              <w:right w:val="single" w:color="auto" w:sz="4" w:space="0"/>
            </w:tcBorders>
            <w:vAlign w:val="center"/>
          </w:tcPr>
          <w:p w14:paraId="6D7F10E6">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7CDF97A2">
            <w:pPr>
              <w:jc w:val="center"/>
              <w:rPr>
                <w:rFonts w:ascii="宋体" w:hAnsi="宋体" w:cs="宋体"/>
                <w:sz w:val="24"/>
                <w:szCs w:val="24"/>
                <w:highlight w:val="none"/>
              </w:rPr>
            </w:pPr>
          </w:p>
        </w:tc>
      </w:tr>
      <w:tr w14:paraId="5A4F2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FC05D2F">
            <w:pPr>
              <w:jc w:val="center"/>
              <w:rPr>
                <w:rFonts w:ascii="宋体" w:hAnsi="宋体" w:cs="宋体"/>
                <w:sz w:val="24"/>
                <w:szCs w:val="24"/>
                <w:highlight w:val="none"/>
              </w:rPr>
            </w:pPr>
            <w:r>
              <w:rPr>
                <w:rFonts w:hint="eastAsia" w:ascii="宋体" w:hAnsi="宋体" w:cs="宋体"/>
                <w:sz w:val="24"/>
                <w:szCs w:val="24"/>
                <w:highlight w:val="none"/>
              </w:rPr>
              <w:t>……</w:t>
            </w:r>
          </w:p>
        </w:tc>
        <w:tc>
          <w:tcPr>
            <w:tcW w:w="3060" w:type="dxa"/>
            <w:tcBorders>
              <w:top w:val="single" w:color="auto" w:sz="4" w:space="0"/>
              <w:left w:val="single" w:color="auto" w:sz="4" w:space="0"/>
              <w:bottom w:val="single" w:color="auto" w:sz="4" w:space="0"/>
              <w:right w:val="single" w:color="auto" w:sz="4" w:space="0"/>
            </w:tcBorders>
            <w:vAlign w:val="center"/>
          </w:tcPr>
          <w:p w14:paraId="39F6D0C2">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48A5D0E6">
            <w:pPr>
              <w:jc w:val="center"/>
              <w:rPr>
                <w:rFonts w:ascii="宋体" w:hAnsi="宋体" w:cs="宋体"/>
                <w:sz w:val="24"/>
                <w:szCs w:val="24"/>
                <w:highlight w:val="none"/>
              </w:rPr>
            </w:pPr>
          </w:p>
        </w:tc>
      </w:tr>
      <w:tr w14:paraId="6FAEB4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EB4552C">
            <w:pPr>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9AF067D">
            <w:pPr>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340E88C8">
            <w:pPr>
              <w:jc w:val="center"/>
              <w:rPr>
                <w:rFonts w:ascii="宋体" w:hAnsi="宋体" w:cs="宋体"/>
                <w:sz w:val="24"/>
                <w:szCs w:val="24"/>
                <w:highlight w:val="none"/>
              </w:rPr>
            </w:pPr>
          </w:p>
        </w:tc>
      </w:tr>
      <w:tr w14:paraId="37F58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5D53C29B">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CC2C75C">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091E64B6">
            <w:pPr>
              <w:spacing w:line="360" w:lineRule="auto"/>
              <w:ind w:firstLine="480" w:firstLineChars="200"/>
              <w:jc w:val="center"/>
              <w:rPr>
                <w:rFonts w:ascii="宋体" w:hAnsi="宋体" w:cs="宋体"/>
                <w:sz w:val="24"/>
                <w:szCs w:val="24"/>
                <w:highlight w:val="none"/>
              </w:rPr>
            </w:pPr>
          </w:p>
        </w:tc>
      </w:tr>
      <w:tr w14:paraId="23776B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2319F81B">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3F121EC2">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4C6F3783">
            <w:pPr>
              <w:spacing w:line="360" w:lineRule="auto"/>
              <w:ind w:firstLine="480" w:firstLineChars="200"/>
              <w:jc w:val="center"/>
              <w:rPr>
                <w:rFonts w:ascii="宋体" w:hAnsi="宋体" w:cs="宋体"/>
                <w:sz w:val="24"/>
                <w:szCs w:val="24"/>
                <w:highlight w:val="none"/>
              </w:rPr>
            </w:pPr>
          </w:p>
        </w:tc>
      </w:tr>
      <w:tr w14:paraId="6E7EE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F6F4548">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75F9DDCD">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3ACD9FC5">
            <w:pPr>
              <w:spacing w:line="360" w:lineRule="auto"/>
              <w:ind w:firstLine="480" w:firstLineChars="200"/>
              <w:jc w:val="center"/>
              <w:rPr>
                <w:rFonts w:ascii="宋体" w:hAnsi="宋体" w:cs="宋体"/>
                <w:sz w:val="24"/>
                <w:szCs w:val="24"/>
                <w:highlight w:val="none"/>
              </w:rPr>
            </w:pPr>
          </w:p>
        </w:tc>
      </w:tr>
      <w:tr w14:paraId="6D928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3FEBB3A5">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63220858">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777B19E7">
            <w:pPr>
              <w:spacing w:line="360" w:lineRule="auto"/>
              <w:ind w:firstLine="480" w:firstLineChars="200"/>
              <w:jc w:val="center"/>
              <w:rPr>
                <w:rFonts w:ascii="宋体" w:hAnsi="宋体" w:cs="宋体"/>
                <w:sz w:val="24"/>
                <w:szCs w:val="24"/>
                <w:highlight w:val="none"/>
              </w:rPr>
            </w:pPr>
          </w:p>
        </w:tc>
      </w:tr>
      <w:tr w14:paraId="181BE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00FF61EF">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24F14310">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3AD6DBA1">
            <w:pPr>
              <w:spacing w:line="360" w:lineRule="auto"/>
              <w:ind w:firstLine="480" w:firstLineChars="200"/>
              <w:jc w:val="center"/>
              <w:rPr>
                <w:rFonts w:ascii="宋体" w:hAnsi="宋体" w:cs="宋体"/>
                <w:sz w:val="24"/>
                <w:szCs w:val="24"/>
                <w:highlight w:val="none"/>
              </w:rPr>
            </w:pPr>
          </w:p>
        </w:tc>
      </w:tr>
      <w:tr w14:paraId="207A0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888" w:type="dxa"/>
            <w:tcBorders>
              <w:top w:val="single" w:color="auto" w:sz="4" w:space="0"/>
              <w:bottom w:val="single" w:color="auto" w:sz="4" w:space="0"/>
              <w:right w:val="single" w:color="auto" w:sz="4" w:space="0"/>
            </w:tcBorders>
            <w:vAlign w:val="center"/>
          </w:tcPr>
          <w:p w14:paraId="1356BEED">
            <w:pPr>
              <w:spacing w:line="360" w:lineRule="auto"/>
              <w:ind w:firstLine="480" w:firstLineChars="200"/>
              <w:jc w:val="center"/>
              <w:rPr>
                <w:rFonts w:ascii="宋体" w:hAnsi="宋体" w:cs="宋体"/>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vAlign w:val="center"/>
          </w:tcPr>
          <w:p w14:paraId="5ED7645C">
            <w:pPr>
              <w:spacing w:line="360" w:lineRule="auto"/>
              <w:ind w:firstLine="480" w:firstLineChars="200"/>
              <w:jc w:val="center"/>
              <w:rPr>
                <w:rFonts w:ascii="宋体" w:hAnsi="宋体" w:cs="宋体"/>
                <w:sz w:val="24"/>
                <w:szCs w:val="24"/>
                <w:highlight w:val="none"/>
              </w:rPr>
            </w:pPr>
          </w:p>
        </w:tc>
        <w:tc>
          <w:tcPr>
            <w:tcW w:w="1977" w:type="dxa"/>
            <w:tcBorders>
              <w:top w:val="single" w:color="auto" w:sz="4" w:space="0"/>
              <w:left w:val="single" w:color="auto" w:sz="4" w:space="0"/>
              <w:bottom w:val="single" w:color="auto" w:sz="4" w:space="0"/>
            </w:tcBorders>
            <w:vAlign w:val="center"/>
          </w:tcPr>
          <w:p w14:paraId="0721A89C">
            <w:pPr>
              <w:spacing w:line="360" w:lineRule="auto"/>
              <w:ind w:firstLine="480" w:firstLineChars="200"/>
              <w:jc w:val="center"/>
              <w:rPr>
                <w:rFonts w:ascii="宋体" w:hAnsi="宋体" w:cs="宋体"/>
                <w:sz w:val="24"/>
                <w:szCs w:val="24"/>
                <w:highlight w:val="none"/>
              </w:rPr>
            </w:pPr>
          </w:p>
        </w:tc>
      </w:tr>
    </w:tbl>
    <w:p w14:paraId="05DC7525">
      <w:pPr>
        <w:spacing w:line="360" w:lineRule="auto"/>
        <w:ind w:firstLine="480" w:firstLineChars="200"/>
        <w:rPr>
          <w:rFonts w:ascii="宋体" w:hAnsi="宋体" w:cs="宋体"/>
          <w:sz w:val="24"/>
          <w:szCs w:val="24"/>
          <w:highlight w:val="none"/>
        </w:rPr>
      </w:pPr>
    </w:p>
    <w:p w14:paraId="43B4A5C0">
      <w:pPr>
        <w:spacing w:line="360" w:lineRule="auto"/>
        <w:ind w:left="3780" w:leftChars="1800" w:firstLine="480" w:firstLineChars="200"/>
        <w:rPr>
          <w:rFonts w:ascii="宋体" w:hAnsi="宋体" w:cs="宋体"/>
          <w:sz w:val="24"/>
          <w:szCs w:val="24"/>
          <w:highlight w:val="none"/>
        </w:rPr>
      </w:pPr>
    </w:p>
    <w:p w14:paraId="45F8496D">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7D410F0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571F417E">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2BF14872">
      <w:pPr>
        <w:rPr>
          <w:rFonts w:ascii="宋体" w:hAnsi="宋体" w:cs="宋体"/>
          <w:highlight w:val="none"/>
          <w:lang w:val="zh-CN"/>
        </w:rPr>
      </w:pPr>
    </w:p>
    <w:p w14:paraId="74E5219A">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七：</w:t>
      </w:r>
    </w:p>
    <w:p w14:paraId="41194B8D">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供应商商务技术文件中资信分自评表</w:t>
      </w:r>
      <w:bookmarkEnd w:id="107"/>
    </w:p>
    <w:p w14:paraId="2A2997F0">
      <w:pPr>
        <w:snapToGrid w:val="0"/>
        <w:spacing w:before="50"/>
        <w:jc w:val="center"/>
        <w:rPr>
          <w:rFonts w:ascii="宋体" w:hAnsi="宋体" w:cs="宋体"/>
          <w:b/>
          <w:bCs/>
          <w:sz w:val="32"/>
          <w:szCs w:val="32"/>
          <w:highlight w:val="none"/>
        </w:rPr>
      </w:pPr>
    </w:p>
    <w:p w14:paraId="2E6F06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4F92750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89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2387"/>
        <w:gridCol w:w="1462"/>
        <w:gridCol w:w="2415"/>
        <w:gridCol w:w="1746"/>
      </w:tblGrid>
      <w:tr w14:paraId="58998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447C2F">
            <w:pPr>
              <w:jc w:val="center"/>
              <w:rPr>
                <w:rFonts w:ascii="宋体" w:hAnsi="宋体" w:cs="宋体"/>
                <w:sz w:val="24"/>
                <w:szCs w:val="24"/>
                <w:highlight w:val="none"/>
              </w:rPr>
            </w:pPr>
            <w:r>
              <w:rPr>
                <w:rFonts w:hint="eastAsia" w:ascii="宋体" w:hAnsi="宋体" w:cs="宋体"/>
                <w:sz w:val="24"/>
                <w:szCs w:val="24"/>
                <w:highlight w:val="none"/>
              </w:rPr>
              <w:t>序号</w:t>
            </w:r>
          </w:p>
        </w:tc>
        <w:tc>
          <w:tcPr>
            <w:tcW w:w="2387" w:type="dxa"/>
            <w:vAlign w:val="center"/>
          </w:tcPr>
          <w:p w14:paraId="1BB149F7">
            <w:pPr>
              <w:jc w:val="center"/>
              <w:rPr>
                <w:rFonts w:ascii="宋体" w:hAnsi="宋体" w:cs="宋体"/>
                <w:sz w:val="24"/>
                <w:szCs w:val="24"/>
                <w:highlight w:val="none"/>
              </w:rPr>
            </w:pPr>
            <w:r>
              <w:rPr>
                <w:rFonts w:hint="eastAsia" w:ascii="宋体" w:hAnsi="宋体" w:cs="宋体"/>
                <w:sz w:val="24"/>
                <w:szCs w:val="24"/>
                <w:highlight w:val="none"/>
              </w:rPr>
              <w:t>资信分内容</w:t>
            </w:r>
          </w:p>
        </w:tc>
        <w:tc>
          <w:tcPr>
            <w:tcW w:w="1462" w:type="dxa"/>
            <w:vAlign w:val="center"/>
          </w:tcPr>
          <w:p w14:paraId="4168D6F2">
            <w:pPr>
              <w:jc w:val="center"/>
              <w:rPr>
                <w:rFonts w:ascii="宋体" w:hAnsi="宋体" w:cs="宋体"/>
                <w:sz w:val="24"/>
                <w:szCs w:val="24"/>
                <w:highlight w:val="none"/>
              </w:rPr>
            </w:pPr>
            <w:r>
              <w:rPr>
                <w:rFonts w:hint="eastAsia" w:ascii="宋体" w:hAnsi="宋体" w:cs="宋体"/>
                <w:sz w:val="24"/>
                <w:szCs w:val="24"/>
                <w:highlight w:val="none"/>
              </w:rPr>
              <w:t>自评得分</w:t>
            </w:r>
          </w:p>
        </w:tc>
        <w:tc>
          <w:tcPr>
            <w:tcW w:w="2415" w:type="dxa"/>
            <w:tcBorders>
              <w:right w:val="single" w:color="auto" w:sz="4" w:space="0"/>
            </w:tcBorders>
            <w:vAlign w:val="center"/>
          </w:tcPr>
          <w:p w14:paraId="326547CA">
            <w:pPr>
              <w:jc w:val="center"/>
              <w:rPr>
                <w:rFonts w:ascii="宋体" w:hAnsi="宋体" w:cs="宋体"/>
                <w:sz w:val="24"/>
                <w:szCs w:val="24"/>
                <w:highlight w:val="none"/>
              </w:rPr>
            </w:pPr>
            <w:r>
              <w:rPr>
                <w:rFonts w:hint="eastAsia" w:ascii="宋体" w:hAnsi="宋体" w:cs="宋体"/>
                <w:sz w:val="24"/>
                <w:szCs w:val="24"/>
                <w:highlight w:val="none"/>
              </w:rPr>
              <w:t>响应文件对应资料</w:t>
            </w:r>
          </w:p>
        </w:tc>
        <w:tc>
          <w:tcPr>
            <w:tcW w:w="1746" w:type="dxa"/>
            <w:tcBorders>
              <w:left w:val="single" w:color="auto" w:sz="4" w:space="0"/>
            </w:tcBorders>
            <w:vAlign w:val="center"/>
          </w:tcPr>
          <w:p w14:paraId="09782A6B">
            <w:pPr>
              <w:jc w:val="center"/>
              <w:rPr>
                <w:rFonts w:ascii="宋体" w:hAnsi="宋体" w:cs="宋体"/>
                <w:sz w:val="24"/>
                <w:szCs w:val="24"/>
                <w:highlight w:val="none"/>
              </w:rPr>
            </w:pPr>
            <w:r>
              <w:rPr>
                <w:rFonts w:hint="eastAsia" w:ascii="宋体" w:hAnsi="宋体" w:cs="宋体"/>
                <w:sz w:val="24"/>
                <w:szCs w:val="24"/>
                <w:highlight w:val="none"/>
              </w:rPr>
              <w:t>响应文件页码</w:t>
            </w:r>
          </w:p>
        </w:tc>
      </w:tr>
      <w:tr w14:paraId="70C40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3B58C57">
            <w:pPr>
              <w:jc w:val="center"/>
              <w:rPr>
                <w:rFonts w:ascii="宋体" w:hAnsi="宋体" w:cs="宋体"/>
                <w:sz w:val="24"/>
                <w:szCs w:val="24"/>
                <w:highlight w:val="none"/>
              </w:rPr>
            </w:pPr>
            <w:r>
              <w:rPr>
                <w:rFonts w:hint="eastAsia" w:ascii="宋体" w:hAnsi="宋体" w:cs="宋体"/>
                <w:sz w:val="24"/>
                <w:szCs w:val="24"/>
                <w:highlight w:val="none"/>
              </w:rPr>
              <w:t>1</w:t>
            </w:r>
          </w:p>
        </w:tc>
        <w:tc>
          <w:tcPr>
            <w:tcW w:w="2387" w:type="dxa"/>
          </w:tcPr>
          <w:p w14:paraId="6E457D2B">
            <w:pPr>
              <w:jc w:val="center"/>
              <w:rPr>
                <w:rFonts w:ascii="宋体" w:hAnsi="宋体" w:cs="宋体"/>
                <w:sz w:val="24"/>
                <w:szCs w:val="24"/>
                <w:highlight w:val="none"/>
              </w:rPr>
            </w:pPr>
          </w:p>
        </w:tc>
        <w:tc>
          <w:tcPr>
            <w:tcW w:w="1462" w:type="dxa"/>
          </w:tcPr>
          <w:p w14:paraId="7DA67B72">
            <w:pPr>
              <w:jc w:val="center"/>
              <w:rPr>
                <w:rFonts w:ascii="宋体" w:hAnsi="宋体" w:cs="宋体"/>
                <w:sz w:val="24"/>
                <w:szCs w:val="24"/>
                <w:highlight w:val="none"/>
              </w:rPr>
            </w:pPr>
          </w:p>
        </w:tc>
        <w:tc>
          <w:tcPr>
            <w:tcW w:w="2415" w:type="dxa"/>
            <w:tcBorders>
              <w:right w:val="single" w:color="auto" w:sz="4" w:space="0"/>
            </w:tcBorders>
          </w:tcPr>
          <w:p w14:paraId="0229BEEB">
            <w:pPr>
              <w:jc w:val="center"/>
              <w:rPr>
                <w:rFonts w:ascii="宋体" w:hAnsi="宋体" w:cs="宋体"/>
                <w:sz w:val="24"/>
                <w:szCs w:val="24"/>
                <w:highlight w:val="none"/>
              </w:rPr>
            </w:pPr>
          </w:p>
        </w:tc>
        <w:tc>
          <w:tcPr>
            <w:tcW w:w="1746" w:type="dxa"/>
            <w:tcBorders>
              <w:left w:val="single" w:color="auto" w:sz="4" w:space="0"/>
            </w:tcBorders>
          </w:tcPr>
          <w:p w14:paraId="7DACC9A0">
            <w:pPr>
              <w:jc w:val="center"/>
              <w:rPr>
                <w:rFonts w:ascii="宋体" w:hAnsi="宋体" w:cs="宋体"/>
                <w:sz w:val="24"/>
                <w:szCs w:val="24"/>
                <w:highlight w:val="none"/>
              </w:rPr>
            </w:pPr>
          </w:p>
        </w:tc>
      </w:tr>
      <w:tr w14:paraId="278EB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173BF8A">
            <w:pPr>
              <w:jc w:val="center"/>
              <w:rPr>
                <w:rFonts w:ascii="宋体" w:hAnsi="宋体" w:cs="宋体"/>
                <w:sz w:val="24"/>
                <w:szCs w:val="24"/>
                <w:highlight w:val="none"/>
              </w:rPr>
            </w:pPr>
            <w:r>
              <w:rPr>
                <w:rFonts w:hint="eastAsia" w:ascii="宋体" w:hAnsi="宋体" w:cs="宋体"/>
                <w:sz w:val="24"/>
                <w:szCs w:val="24"/>
                <w:highlight w:val="none"/>
              </w:rPr>
              <w:t>2</w:t>
            </w:r>
          </w:p>
        </w:tc>
        <w:tc>
          <w:tcPr>
            <w:tcW w:w="2387" w:type="dxa"/>
          </w:tcPr>
          <w:p w14:paraId="29D22537">
            <w:pPr>
              <w:jc w:val="center"/>
              <w:rPr>
                <w:rFonts w:ascii="宋体" w:hAnsi="宋体" w:cs="宋体"/>
                <w:sz w:val="24"/>
                <w:szCs w:val="24"/>
                <w:highlight w:val="none"/>
              </w:rPr>
            </w:pPr>
          </w:p>
        </w:tc>
        <w:tc>
          <w:tcPr>
            <w:tcW w:w="1462" w:type="dxa"/>
          </w:tcPr>
          <w:p w14:paraId="396C6A08">
            <w:pPr>
              <w:jc w:val="center"/>
              <w:rPr>
                <w:rFonts w:ascii="宋体" w:hAnsi="宋体" w:cs="宋体"/>
                <w:sz w:val="24"/>
                <w:szCs w:val="24"/>
                <w:highlight w:val="none"/>
              </w:rPr>
            </w:pPr>
          </w:p>
        </w:tc>
        <w:tc>
          <w:tcPr>
            <w:tcW w:w="2415" w:type="dxa"/>
            <w:tcBorders>
              <w:right w:val="single" w:color="auto" w:sz="4" w:space="0"/>
            </w:tcBorders>
          </w:tcPr>
          <w:p w14:paraId="70974A9E">
            <w:pPr>
              <w:jc w:val="center"/>
              <w:rPr>
                <w:rFonts w:ascii="宋体" w:hAnsi="宋体" w:cs="宋体"/>
                <w:sz w:val="24"/>
                <w:szCs w:val="24"/>
                <w:highlight w:val="none"/>
              </w:rPr>
            </w:pPr>
          </w:p>
        </w:tc>
        <w:tc>
          <w:tcPr>
            <w:tcW w:w="1746" w:type="dxa"/>
            <w:tcBorders>
              <w:left w:val="single" w:color="auto" w:sz="4" w:space="0"/>
            </w:tcBorders>
          </w:tcPr>
          <w:p w14:paraId="7EF9ECD4">
            <w:pPr>
              <w:jc w:val="center"/>
              <w:rPr>
                <w:rFonts w:ascii="宋体" w:hAnsi="宋体" w:cs="宋体"/>
                <w:sz w:val="24"/>
                <w:szCs w:val="24"/>
                <w:highlight w:val="none"/>
              </w:rPr>
            </w:pPr>
          </w:p>
        </w:tc>
      </w:tr>
      <w:tr w14:paraId="62145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72BA8EC3">
            <w:pPr>
              <w:jc w:val="center"/>
              <w:rPr>
                <w:rFonts w:ascii="宋体" w:hAnsi="宋体" w:cs="宋体"/>
                <w:sz w:val="24"/>
                <w:szCs w:val="24"/>
                <w:highlight w:val="none"/>
              </w:rPr>
            </w:pPr>
            <w:r>
              <w:rPr>
                <w:rFonts w:hint="eastAsia" w:ascii="宋体" w:hAnsi="宋体" w:cs="宋体"/>
                <w:sz w:val="24"/>
                <w:szCs w:val="24"/>
                <w:highlight w:val="none"/>
              </w:rPr>
              <w:t>3</w:t>
            </w:r>
          </w:p>
        </w:tc>
        <w:tc>
          <w:tcPr>
            <w:tcW w:w="2387" w:type="dxa"/>
          </w:tcPr>
          <w:p w14:paraId="07F6D113">
            <w:pPr>
              <w:jc w:val="center"/>
              <w:rPr>
                <w:rFonts w:ascii="宋体" w:hAnsi="宋体" w:cs="宋体"/>
                <w:sz w:val="24"/>
                <w:szCs w:val="24"/>
                <w:highlight w:val="none"/>
              </w:rPr>
            </w:pPr>
          </w:p>
        </w:tc>
        <w:tc>
          <w:tcPr>
            <w:tcW w:w="1462" w:type="dxa"/>
          </w:tcPr>
          <w:p w14:paraId="5B24EE42">
            <w:pPr>
              <w:jc w:val="center"/>
              <w:rPr>
                <w:rFonts w:ascii="宋体" w:hAnsi="宋体" w:cs="宋体"/>
                <w:sz w:val="24"/>
                <w:szCs w:val="24"/>
                <w:highlight w:val="none"/>
              </w:rPr>
            </w:pPr>
          </w:p>
        </w:tc>
        <w:tc>
          <w:tcPr>
            <w:tcW w:w="2415" w:type="dxa"/>
            <w:tcBorders>
              <w:right w:val="single" w:color="auto" w:sz="4" w:space="0"/>
            </w:tcBorders>
          </w:tcPr>
          <w:p w14:paraId="7E7B4B3B">
            <w:pPr>
              <w:jc w:val="center"/>
              <w:rPr>
                <w:rFonts w:ascii="宋体" w:hAnsi="宋体" w:cs="宋体"/>
                <w:sz w:val="24"/>
                <w:szCs w:val="24"/>
                <w:highlight w:val="none"/>
              </w:rPr>
            </w:pPr>
          </w:p>
        </w:tc>
        <w:tc>
          <w:tcPr>
            <w:tcW w:w="1746" w:type="dxa"/>
            <w:tcBorders>
              <w:left w:val="single" w:color="auto" w:sz="4" w:space="0"/>
            </w:tcBorders>
          </w:tcPr>
          <w:p w14:paraId="26202018">
            <w:pPr>
              <w:jc w:val="center"/>
              <w:rPr>
                <w:rFonts w:ascii="宋体" w:hAnsi="宋体" w:cs="宋体"/>
                <w:sz w:val="24"/>
                <w:szCs w:val="24"/>
                <w:highlight w:val="none"/>
              </w:rPr>
            </w:pPr>
          </w:p>
        </w:tc>
      </w:tr>
      <w:tr w14:paraId="11345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277DCCDF">
            <w:pPr>
              <w:jc w:val="center"/>
              <w:rPr>
                <w:rFonts w:ascii="宋体" w:hAnsi="宋体" w:cs="宋体"/>
                <w:sz w:val="24"/>
                <w:szCs w:val="24"/>
                <w:highlight w:val="none"/>
              </w:rPr>
            </w:pPr>
            <w:r>
              <w:rPr>
                <w:rFonts w:hint="eastAsia" w:ascii="宋体" w:hAnsi="宋体" w:cs="宋体"/>
                <w:sz w:val="24"/>
                <w:szCs w:val="24"/>
                <w:highlight w:val="none"/>
              </w:rPr>
              <w:t>4</w:t>
            </w:r>
          </w:p>
        </w:tc>
        <w:tc>
          <w:tcPr>
            <w:tcW w:w="2387" w:type="dxa"/>
          </w:tcPr>
          <w:p w14:paraId="1A9ABCAC">
            <w:pPr>
              <w:jc w:val="center"/>
              <w:rPr>
                <w:rFonts w:ascii="宋体" w:hAnsi="宋体" w:cs="宋体"/>
                <w:sz w:val="24"/>
                <w:szCs w:val="24"/>
                <w:highlight w:val="none"/>
              </w:rPr>
            </w:pPr>
          </w:p>
        </w:tc>
        <w:tc>
          <w:tcPr>
            <w:tcW w:w="1462" w:type="dxa"/>
          </w:tcPr>
          <w:p w14:paraId="512F92CB">
            <w:pPr>
              <w:jc w:val="center"/>
              <w:rPr>
                <w:rFonts w:ascii="宋体" w:hAnsi="宋体" w:cs="宋体"/>
                <w:sz w:val="24"/>
                <w:szCs w:val="24"/>
                <w:highlight w:val="none"/>
              </w:rPr>
            </w:pPr>
          </w:p>
        </w:tc>
        <w:tc>
          <w:tcPr>
            <w:tcW w:w="2415" w:type="dxa"/>
            <w:tcBorders>
              <w:right w:val="single" w:color="auto" w:sz="4" w:space="0"/>
            </w:tcBorders>
          </w:tcPr>
          <w:p w14:paraId="136B756D">
            <w:pPr>
              <w:jc w:val="center"/>
              <w:rPr>
                <w:rFonts w:ascii="宋体" w:hAnsi="宋体" w:cs="宋体"/>
                <w:sz w:val="24"/>
                <w:szCs w:val="24"/>
                <w:highlight w:val="none"/>
              </w:rPr>
            </w:pPr>
          </w:p>
        </w:tc>
        <w:tc>
          <w:tcPr>
            <w:tcW w:w="1746" w:type="dxa"/>
            <w:tcBorders>
              <w:left w:val="single" w:color="auto" w:sz="4" w:space="0"/>
            </w:tcBorders>
          </w:tcPr>
          <w:p w14:paraId="68D7C135">
            <w:pPr>
              <w:jc w:val="center"/>
              <w:rPr>
                <w:rFonts w:ascii="宋体" w:hAnsi="宋体" w:cs="宋体"/>
                <w:sz w:val="24"/>
                <w:szCs w:val="24"/>
                <w:highlight w:val="none"/>
              </w:rPr>
            </w:pPr>
          </w:p>
        </w:tc>
      </w:tr>
      <w:tr w14:paraId="0A01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6E9187C">
            <w:pPr>
              <w:jc w:val="center"/>
              <w:rPr>
                <w:rFonts w:ascii="宋体" w:hAnsi="宋体" w:cs="宋体"/>
                <w:sz w:val="24"/>
                <w:szCs w:val="24"/>
                <w:highlight w:val="none"/>
              </w:rPr>
            </w:pPr>
            <w:r>
              <w:rPr>
                <w:rFonts w:hint="eastAsia" w:ascii="宋体" w:hAnsi="宋体" w:cs="宋体"/>
                <w:sz w:val="24"/>
                <w:szCs w:val="24"/>
                <w:highlight w:val="none"/>
              </w:rPr>
              <w:t>5</w:t>
            </w:r>
          </w:p>
        </w:tc>
        <w:tc>
          <w:tcPr>
            <w:tcW w:w="2387" w:type="dxa"/>
          </w:tcPr>
          <w:p w14:paraId="2A872789">
            <w:pPr>
              <w:jc w:val="center"/>
              <w:rPr>
                <w:rFonts w:ascii="宋体" w:hAnsi="宋体" w:cs="宋体"/>
                <w:sz w:val="24"/>
                <w:szCs w:val="24"/>
                <w:highlight w:val="none"/>
              </w:rPr>
            </w:pPr>
          </w:p>
        </w:tc>
        <w:tc>
          <w:tcPr>
            <w:tcW w:w="1462" w:type="dxa"/>
          </w:tcPr>
          <w:p w14:paraId="608BC2F8">
            <w:pPr>
              <w:jc w:val="center"/>
              <w:rPr>
                <w:rFonts w:ascii="宋体" w:hAnsi="宋体" w:cs="宋体"/>
                <w:sz w:val="24"/>
                <w:szCs w:val="24"/>
                <w:highlight w:val="none"/>
              </w:rPr>
            </w:pPr>
          </w:p>
        </w:tc>
        <w:tc>
          <w:tcPr>
            <w:tcW w:w="2415" w:type="dxa"/>
            <w:tcBorders>
              <w:right w:val="single" w:color="auto" w:sz="4" w:space="0"/>
            </w:tcBorders>
          </w:tcPr>
          <w:p w14:paraId="77CB9229">
            <w:pPr>
              <w:jc w:val="center"/>
              <w:rPr>
                <w:rFonts w:ascii="宋体" w:hAnsi="宋体" w:cs="宋体"/>
                <w:sz w:val="24"/>
                <w:szCs w:val="24"/>
                <w:highlight w:val="none"/>
              </w:rPr>
            </w:pPr>
          </w:p>
        </w:tc>
        <w:tc>
          <w:tcPr>
            <w:tcW w:w="1746" w:type="dxa"/>
            <w:tcBorders>
              <w:left w:val="single" w:color="auto" w:sz="4" w:space="0"/>
            </w:tcBorders>
          </w:tcPr>
          <w:p w14:paraId="6ED0BA90">
            <w:pPr>
              <w:jc w:val="center"/>
              <w:rPr>
                <w:rFonts w:ascii="宋体" w:hAnsi="宋体" w:cs="宋体"/>
                <w:sz w:val="24"/>
                <w:szCs w:val="24"/>
                <w:highlight w:val="none"/>
              </w:rPr>
            </w:pPr>
          </w:p>
        </w:tc>
      </w:tr>
      <w:tr w14:paraId="7DB1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681AC24">
            <w:pPr>
              <w:jc w:val="center"/>
              <w:rPr>
                <w:rFonts w:ascii="宋体" w:hAnsi="宋体" w:cs="宋体"/>
                <w:sz w:val="24"/>
                <w:szCs w:val="24"/>
                <w:highlight w:val="none"/>
              </w:rPr>
            </w:pPr>
            <w:r>
              <w:rPr>
                <w:rFonts w:hint="eastAsia" w:ascii="宋体" w:hAnsi="宋体" w:cs="宋体"/>
                <w:sz w:val="24"/>
                <w:szCs w:val="24"/>
                <w:highlight w:val="none"/>
              </w:rPr>
              <w:t>6</w:t>
            </w:r>
          </w:p>
        </w:tc>
        <w:tc>
          <w:tcPr>
            <w:tcW w:w="2387" w:type="dxa"/>
          </w:tcPr>
          <w:p w14:paraId="434FCA2B">
            <w:pPr>
              <w:jc w:val="center"/>
              <w:rPr>
                <w:rFonts w:ascii="宋体" w:hAnsi="宋体" w:cs="宋体"/>
                <w:sz w:val="24"/>
                <w:szCs w:val="24"/>
                <w:highlight w:val="none"/>
              </w:rPr>
            </w:pPr>
          </w:p>
        </w:tc>
        <w:tc>
          <w:tcPr>
            <w:tcW w:w="1462" w:type="dxa"/>
          </w:tcPr>
          <w:p w14:paraId="6E12065F">
            <w:pPr>
              <w:jc w:val="center"/>
              <w:rPr>
                <w:rFonts w:ascii="宋体" w:hAnsi="宋体" w:cs="宋体"/>
                <w:sz w:val="24"/>
                <w:szCs w:val="24"/>
                <w:highlight w:val="none"/>
              </w:rPr>
            </w:pPr>
          </w:p>
        </w:tc>
        <w:tc>
          <w:tcPr>
            <w:tcW w:w="2415" w:type="dxa"/>
            <w:tcBorders>
              <w:right w:val="single" w:color="auto" w:sz="4" w:space="0"/>
            </w:tcBorders>
          </w:tcPr>
          <w:p w14:paraId="3890C266">
            <w:pPr>
              <w:jc w:val="center"/>
              <w:rPr>
                <w:rFonts w:ascii="宋体" w:hAnsi="宋体" w:cs="宋体"/>
                <w:sz w:val="24"/>
                <w:szCs w:val="24"/>
                <w:highlight w:val="none"/>
              </w:rPr>
            </w:pPr>
          </w:p>
        </w:tc>
        <w:tc>
          <w:tcPr>
            <w:tcW w:w="1746" w:type="dxa"/>
            <w:tcBorders>
              <w:left w:val="single" w:color="auto" w:sz="4" w:space="0"/>
            </w:tcBorders>
          </w:tcPr>
          <w:p w14:paraId="057E21A6">
            <w:pPr>
              <w:jc w:val="center"/>
              <w:rPr>
                <w:rFonts w:ascii="宋体" w:hAnsi="宋体" w:cs="宋体"/>
                <w:sz w:val="24"/>
                <w:szCs w:val="24"/>
                <w:highlight w:val="none"/>
              </w:rPr>
            </w:pPr>
          </w:p>
        </w:tc>
      </w:tr>
      <w:tr w14:paraId="39DC9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4C593B62">
            <w:pPr>
              <w:jc w:val="center"/>
              <w:rPr>
                <w:rFonts w:ascii="宋体" w:hAnsi="宋体" w:cs="宋体"/>
                <w:sz w:val="24"/>
                <w:szCs w:val="24"/>
                <w:highlight w:val="none"/>
              </w:rPr>
            </w:pPr>
            <w:r>
              <w:rPr>
                <w:rFonts w:hint="eastAsia" w:ascii="宋体" w:hAnsi="宋体" w:cs="宋体"/>
                <w:sz w:val="24"/>
                <w:szCs w:val="24"/>
                <w:highlight w:val="none"/>
              </w:rPr>
              <w:t>7</w:t>
            </w:r>
          </w:p>
        </w:tc>
        <w:tc>
          <w:tcPr>
            <w:tcW w:w="2387" w:type="dxa"/>
          </w:tcPr>
          <w:p w14:paraId="5D56AD34">
            <w:pPr>
              <w:jc w:val="center"/>
              <w:rPr>
                <w:rFonts w:ascii="宋体" w:hAnsi="宋体" w:cs="宋体"/>
                <w:sz w:val="24"/>
                <w:szCs w:val="24"/>
                <w:highlight w:val="none"/>
              </w:rPr>
            </w:pPr>
          </w:p>
        </w:tc>
        <w:tc>
          <w:tcPr>
            <w:tcW w:w="1462" w:type="dxa"/>
          </w:tcPr>
          <w:p w14:paraId="37244705">
            <w:pPr>
              <w:jc w:val="center"/>
              <w:rPr>
                <w:rFonts w:ascii="宋体" w:hAnsi="宋体" w:cs="宋体"/>
                <w:sz w:val="24"/>
                <w:szCs w:val="24"/>
                <w:highlight w:val="none"/>
              </w:rPr>
            </w:pPr>
          </w:p>
        </w:tc>
        <w:tc>
          <w:tcPr>
            <w:tcW w:w="2415" w:type="dxa"/>
            <w:tcBorders>
              <w:right w:val="single" w:color="auto" w:sz="4" w:space="0"/>
            </w:tcBorders>
          </w:tcPr>
          <w:p w14:paraId="18593153">
            <w:pPr>
              <w:jc w:val="center"/>
              <w:rPr>
                <w:rFonts w:ascii="宋体" w:hAnsi="宋体" w:cs="宋体"/>
                <w:sz w:val="24"/>
                <w:szCs w:val="24"/>
                <w:highlight w:val="none"/>
              </w:rPr>
            </w:pPr>
          </w:p>
        </w:tc>
        <w:tc>
          <w:tcPr>
            <w:tcW w:w="1746" w:type="dxa"/>
            <w:tcBorders>
              <w:left w:val="single" w:color="auto" w:sz="4" w:space="0"/>
            </w:tcBorders>
          </w:tcPr>
          <w:p w14:paraId="4D04B0D0">
            <w:pPr>
              <w:jc w:val="center"/>
              <w:rPr>
                <w:rFonts w:ascii="宋体" w:hAnsi="宋体" w:cs="宋体"/>
                <w:sz w:val="24"/>
                <w:szCs w:val="24"/>
                <w:highlight w:val="none"/>
              </w:rPr>
            </w:pPr>
          </w:p>
        </w:tc>
      </w:tr>
      <w:tr w14:paraId="35F2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6DEA2647">
            <w:pPr>
              <w:jc w:val="center"/>
              <w:rPr>
                <w:rFonts w:ascii="宋体" w:hAnsi="宋体" w:cs="宋体"/>
                <w:sz w:val="24"/>
                <w:szCs w:val="24"/>
                <w:highlight w:val="none"/>
              </w:rPr>
            </w:pPr>
            <w:r>
              <w:rPr>
                <w:rFonts w:hint="eastAsia" w:ascii="宋体" w:hAnsi="宋体" w:cs="宋体"/>
                <w:sz w:val="24"/>
                <w:szCs w:val="24"/>
                <w:highlight w:val="none"/>
              </w:rPr>
              <w:t>8</w:t>
            </w:r>
          </w:p>
        </w:tc>
        <w:tc>
          <w:tcPr>
            <w:tcW w:w="2387" w:type="dxa"/>
          </w:tcPr>
          <w:p w14:paraId="15774FD5">
            <w:pPr>
              <w:jc w:val="center"/>
              <w:rPr>
                <w:rFonts w:ascii="宋体" w:hAnsi="宋体" w:cs="宋体"/>
                <w:sz w:val="24"/>
                <w:szCs w:val="24"/>
                <w:highlight w:val="none"/>
              </w:rPr>
            </w:pPr>
          </w:p>
        </w:tc>
        <w:tc>
          <w:tcPr>
            <w:tcW w:w="1462" w:type="dxa"/>
          </w:tcPr>
          <w:p w14:paraId="5756AED5">
            <w:pPr>
              <w:jc w:val="center"/>
              <w:rPr>
                <w:rFonts w:ascii="宋体" w:hAnsi="宋体" w:cs="宋体"/>
                <w:sz w:val="24"/>
                <w:szCs w:val="24"/>
                <w:highlight w:val="none"/>
              </w:rPr>
            </w:pPr>
          </w:p>
        </w:tc>
        <w:tc>
          <w:tcPr>
            <w:tcW w:w="2415" w:type="dxa"/>
            <w:tcBorders>
              <w:right w:val="single" w:color="auto" w:sz="4" w:space="0"/>
            </w:tcBorders>
          </w:tcPr>
          <w:p w14:paraId="5C13DB3F">
            <w:pPr>
              <w:jc w:val="center"/>
              <w:rPr>
                <w:rFonts w:ascii="宋体" w:hAnsi="宋体" w:cs="宋体"/>
                <w:sz w:val="24"/>
                <w:szCs w:val="24"/>
                <w:highlight w:val="none"/>
              </w:rPr>
            </w:pPr>
          </w:p>
        </w:tc>
        <w:tc>
          <w:tcPr>
            <w:tcW w:w="1746" w:type="dxa"/>
            <w:tcBorders>
              <w:left w:val="single" w:color="auto" w:sz="4" w:space="0"/>
            </w:tcBorders>
          </w:tcPr>
          <w:p w14:paraId="02B4FD1F">
            <w:pPr>
              <w:jc w:val="center"/>
              <w:rPr>
                <w:rFonts w:ascii="宋体" w:hAnsi="宋体" w:cs="宋体"/>
                <w:sz w:val="24"/>
                <w:szCs w:val="24"/>
                <w:highlight w:val="none"/>
              </w:rPr>
            </w:pPr>
          </w:p>
        </w:tc>
      </w:tr>
      <w:tr w14:paraId="0ACA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82" w:type="dxa"/>
            <w:vAlign w:val="center"/>
          </w:tcPr>
          <w:p w14:paraId="545A6699">
            <w:pPr>
              <w:jc w:val="center"/>
              <w:rPr>
                <w:rFonts w:ascii="宋体" w:hAnsi="宋体" w:cs="宋体"/>
                <w:sz w:val="24"/>
                <w:szCs w:val="24"/>
                <w:highlight w:val="none"/>
              </w:rPr>
            </w:pPr>
            <w:r>
              <w:rPr>
                <w:rFonts w:hint="eastAsia" w:ascii="宋体" w:hAnsi="宋体" w:cs="宋体"/>
                <w:sz w:val="24"/>
                <w:szCs w:val="24"/>
                <w:highlight w:val="none"/>
              </w:rPr>
              <w:t>合计</w:t>
            </w:r>
          </w:p>
        </w:tc>
        <w:tc>
          <w:tcPr>
            <w:tcW w:w="2387" w:type="dxa"/>
          </w:tcPr>
          <w:p w14:paraId="27B8FAE0">
            <w:pPr>
              <w:jc w:val="center"/>
              <w:rPr>
                <w:rFonts w:ascii="宋体" w:hAnsi="宋体" w:cs="宋体"/>
                <w:sz w:val="24"/>
                <w:szCs w:val="24"/>
                <w:highlight w:val="none"/>
              </w:rPr>
            </w:pPr>
          </w:p>
        </w:tc>
        <w:tc>
          <w:tcPr>
            <w:tcW w:w="1462" w:type="dxa"/>
          </w:tcPr>
          <w:p w14:paraId="39FDD4DB">
            <w:pPr>
              <w:jc w:val="center"/>
              <w:rPr>
                <w:rFonts w:ascii="宋体" w:hAnsi="宋体" w:cs="宋体"/>
                <w:sz w:val="24"/>
                <w:szCs w:val="24"/>
                <w:highlight w:val="none"/>
              </w:rPr>
            </w:pPr>
          </w:p>
        </w:tc>
        <w:tc>
          <w:tcPr>
            <w:tcW w:w="2415" w:type="dxa"/>
            <w:tcBorders>
              <w:right w:val="single" w:color="auto" w:sz="4" w:space="0"/>
            </w:tcBorders>
          </w:tcPr>
          <w:p w14:paraId="07093CDB">
            <w:pPr>
              <w:jc w:val="center"/>
              <w:rPr>
                <w:rFonts w:ascii="宋体" w:hAnsi="宋体" w:cs="宋体"/>
                <w:sz w:val="24"/>
                <w:szCs w:val="24"/>
                <w:highlight w:val="none"/>
              </w:rPr>
            </w:pPr>
          </w:p>
        </w:tc>
        <w:tc>
          <w:tcPr>
            <w:tcW w:w="1746" w:type="dxa"/>
            <w:tcBorders>
              <w:left w:val="single" w:color="auto" w:sz="4" w:space="0"/>
            </w:tcBorders>
          </w:tcPr>
          <w:p w14:paraId="6EF0F754">
            <w:pPr>
              <w:jc w:val="center"/>
              <w:rPr>
                <w:rFonts w:ascii="宋体" w:hAnsi="宋体" w:cs="宋体"/>
                <w:sz w:val="24"/>
                <w:szCs w:val="24"/>
                <w:highlight w:val="none"/>
              </w:rPr>
            </w:pPr>
          </w:p>
        </w:tc>
      </w:tr>
    </w:tbl>
    <w:p w14:paraId="40DA5F7C">
      <w:pPr>
        <w:spacing w:line="360" w:lineRule="auto"/>
        <w:rPr>
          <w:rFonts w:ascii="宋体" w:hAnsi="宋体" w:cs="宋体"/>
          <w:sz w:val="24"/>
          <w:szCs w:val="24"/>
          <w:highlight w:val="none"/>
        </w:rPr>
      </w:pPr>
    </w:p>
    <w:p w14:paraId="0729A8F5">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79F2E679">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0D5B96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0610A148">
      <w:pPr>
        <w:snapToGrid w:val="0"/>
        <w:spacing w:before="50" w:afterLines="50"/>
        <w:jc w:val="left"/>
        <w:rPr>
          <w:rFonts w:ascii="宋体" w:hAnsi="宋体" w:cs="宋体"/>
          <w:b/>
          <w:bCs/>
          <w:sz w:val="24"/>
          <w:szCs w:val="24"/>
          <w:highlight w:val="none"/>
          <w:lang w:val="zh-CN"/>
        </w:rPr>
      </w:pPr>
      <w:r>
        <w:rPr>
          <w:rFonts w:hint="eastAsia" w:ascii="宋体" w:hAnsi="宋体" w:cs="宋体"/>
          <w:b/>
          <w:bCs/>
          <w:sz w:val="30"/>
          <w:szCs w:val="30"/>
          <w:highlight w:val="none"/>
        </w:rPr>
        <w:br w:type="page"/>
      </w: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八</w:t>
      </w:r>
      <w:r>
        <w:rPr>
          <w:rFonts w:hint="eastAsia" w:ascii="宋体" w:hAnsi="宋体" w:cs="宋体"/>
          <w:b/>
          <w:bCs/>
          <w:sz w:val="24"/>
          <w:szCs w:val="24"/>
          <w:highlight w:val="none"/>
          <w:lang w:val="zh-CN"/>
        </w:rPr>
        <w:t>：</w:t>
      </w:r>
    </w:p>
    <w:p w14:paraId="056E8E53">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投标项目明细清单</w:t>
      </w:r>
    </w:p>
    <w:p w14:paraId="71C1DE77">
      <w:pPr>
        <w:spacing w:line="360" w:lineRule="auto"/>
        <w:ind w:firstLine="480" w:firstLineChars="200"/>
        <w:rPr>
          <w:rFonts w:ascii="宋体" w:hAnsi="宋体" w:cs="宋体"/>
          <w:sz w:val="24"/>
          <w:szCs w:val="24"/>
          <w:highlight w:val="none"/>
        </w:rPr>
      </w:pPr>
    </w:p>
    <w:p w14:paraId="3D8729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1107A8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14:paraId="64F3A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5B787D16">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5ACD19F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480F9C1C">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服务人员数量</w:t>
            </w:r>
          </w:p>
        </w:tc>
        <w:tc>
          <w:tcPr>
            <w:tcW w:w="2830" w:type="dxa"/>
            <w:tcBorders>
              <w:top w:val="single" w:color="auto" w:sz="4" w:space="0"/>
              <w:left w:val="single" w:color="auto" w:sz="4" w:space="0"/>
              <w:bottom w:val="single" w:color="auto" w:sz="4" w:space="0"/>
            </w:tcBorders>
            <w:vAlign w:val="center"/>
          </w:tcPr>
          <w:p w14:paraId="4E2D113D">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工作量</w:t>
            </w:r>
          </w:p>
        </w:tc>
      </w:tr>
      <w:tr w14:paraId="6BCA7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2B52E954">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CC20F98">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EBF07C9">
            <w:pPr>
              <w:snapToGrid w:val="0"/>
              <w:spacing w:before="50" w:after="50"/>
              <w:ind w:left="480" w:hanging="480"/>
              <w:jc w:val="center"/>
              <w:rPr>
                <w:rFonts w:ascii="宋体" w:hAnsi="宋体" w:cs="宋体"/>
                <w:sz w:val="24"/>
                <w:szCs w:val="24"/>
                <w:highlight w:val="none"/>
              </w:rPr>
            </w:pPr>
          </w:p>
        </w:tc>
        <w:tc>
          <w:tcPr>
            <w:tcW w:w="2830" w:type="dxa"/>
            <w:tcBorders>
              <w:top w:val="single" w:color="auto" w:sz="4" w:space="0"/>
              <w:left w:val="single" w:color="auto" w:sz="4" w:space="0"/>
              <w:bottom w:val="single" w:color="auto" w:sz="4" w:space="0"/>
            </w:tcBorders>
            <w:vAlign w:val="center"/>
          </w:tcPr>
          <w:p w14:paraId="56E85D6B">
            <w:pPr>
              <w:snapToGrid w:val="0"/>
              <w:spacing w:before="50" w:after="50"/>
              <w:jc w:val="center"/>
              <w:rPr>
                <w:rFonts w:ascii="宋体" w:hAnsi="宋体" w:cs="宋体"/>
                <w:sz w:val="24"/>
                <w:szCs w:val="24"/>
                <w:highlight w:val="none"/>
              </w:rPr>
            </w:pPr>
          </w:p>
        </w:tc>
      </w:tr>
      <w:tr w14:paraId="357B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bottom w:val="single" w:color="auto" w:sz="4" w:space="0"/>
              <w:right w:val="single" w:color="auto" w:sz="4" w:space="0"/>
            </w:tcBorders>
            <w:vAlign w:val="center"/>
          </w:tcPr>
          <w:p w14:paraId="7C786EBE">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49D71BA7">
            <w:pPr>
              <w:snapToGrid w:val="0"/>
              <w:spacing w:before="50" w:after="50"/>
              <w:jc w:val="center"/>
              <w:rPr>
                <w:rFonts w:ascii="宋体" w:hAnsi="宋体" w:cs="宋体"/>
                <w:sz w:val="24"/>
                <w:szCs w:val="24"/>
                <w:highlight w:val="none"/>
              </w:rPr>
            </w:pPr>
          </w:p>
        </w:tc>
        <w:tc>
          <w:tcPr>
            <w:tcW w:w="2829" w:type="dxa"/>
            <w:tcBorders>
              <w:top w:val="single" w:color="auto" w:sz="4" w:space="0"/>
              <w:left w:val="single" w:color="auto" w:sz="4" w:space="0"/>
              <w:bottom w:val="single" w:color="auto" w:sz="4" w:space="0"/>
              <w:right w:val="single" w:color="auto" w:sz="4" w:space="0"/>
            </w:tcBorders>
            <w:vAlign w:val="center"/>
          </w:tcPr>
          <w:p w14:paraId="395C7053">
            <w:pPr>
              <w:snapToGrid w:val="0"/>
              <w:spacing w:before="50" w:after="50"/>
              <w:ind w:left="480" w:hanging="480"/>
              <w:jc w:val="center"/>
              <w:rPr>
                <w:rFonts w:ascii="宋体" w:hAnsi="宋体" w:cs="宋体"/>
                <w:sz w:val="24"/>
                <w:szCs w:val="24"/>
                <w:highlight w:val="none"/>
              </w:rPr>
            </w:pPr>
          </w:p>
        </w:tc>
        <w:tc>
          <w:tcPr>
            <w:tcW w:w="2830" w:type="dxa"/>
            <w:tcBorders>
              <w:top w:val="single" w:color="auto" w:sz="4" w:space="0"/>
              <w:left w:val="single" w:color="auto" w:sz="4" w:space="0"/>
              <w:bottom w:val="single" w:color="auto" w:sz="4" w:space="0"/>
            </w:tcBorders>
            <w:vAlign w:val="center"/>
          </w:tcPr>
          <w:p w14:paraId="31C9BCD2">
            <w:pPr>
              <w:snapToGrid w:val="0"/>
              <w:spacing w:before="50" w:after="50"/>
              <w:jc w:val="center"/>
              <w:rPr>
                <w:rFonts w:ascii="宋体" w:hAnsi="宋体" w:cs="宋体"/>
                <w:sz w:val="24"/>
                <w:szCs w:val="24"/>
                <w:highlight w:val="none"/>
              </w:rPr>
            </w:pPr>
          </w:p>
        </w:tc>
      </w:tr>
    </w:tbl>
    <w:p w14:paraId="3319293B">
      <w:pPr>
        <w:snapToGrid w:val="0"/>
        <w:spacing w:beforeLines="5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注：在填写时，如上表不适合本项目的实际情况，可在确保投标明细内容完整的情况下，根据上表格式自行划表填写。</w:t>
      </w:r>
    </w:p>
    <w:p w14:paraId="11267877">
      <w:pPr>
        <w:pStyle w:val="11"/>
        <w:rPr>
          <w:highlight w:val="none"/>
        </w:rPr>
      </w:pPr>
    </w:p>
    <w:p w14:paraId="4137F2B8">
      <w:pPr>
        <w:pStyle w:val="11"/>
        <w:rPr>
          <w:highlight w:val="none"/>
        </w:rPr>
      </w:pPr>
    </w:p>
    <w:p w14:paraId="1CC21A0F">
      <w:pPr>
        <w:pStyle w:val="11"/>
        <w:rPr>
          <w:highlight w:val="none"/>
        </w:rPr>
      </w:pPr>
    </w:p>
    <w:p w14:paraId="6BC0FC2A">
      <w:pPr>
        <w:snapToGrid w:val="0"/>
        <w:spacing w:beforeLines="50"/>
        <w:rPr>
          <w:rFonts w:ascii="宋体" w:hAnsi="宋体" w:cs="宋体"/>
          <w:sz w:val="24"/>
          <w:szCs w:val="24"/>
          <w:highlight w:val="none"/>
        </w:rPr>
      </w:pPr>
    </w:p>
    <w:p w14:paraId="7142F2D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656E1BC2">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5651201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0628A38D">
      <w:pPr>
        <w:snapToGrid w:val="0"/>
        <w:spacing w:before="50" w:after="50"/>
        <w:rPr>
          <w:rFonts w:ascii="宋体" w:hAnsi="宋体" w:cs="宋体"/>
          <w:spacing w:val="20"/>
          <w:sz w:val="24"/>
          <w:szCs w:val="24"/>
          <w:highlight w:val="none"/>
        </w:rPr>
      </w:pPr>
    </w:p>
    <w:p w14:paraId="0EB39FA4">
      <w:pPr>
        <w:snapToGrid w:val="0"/>
        <w:spacing w:before="50" w:after="50"/>
        <w:rPr>
          <w:rFonts w:ascii="宋体" w:hAnsi="宋体" w:cs="宋体"/>
          <w:spacing w:val="20"/>
          <w:sz w:val="30"/>
          <w:szCs w:val="30"/>
          <w:highlight w:val="none"/>
        </w:rPr>
      </w:pPr>
    </w:p>
    <w:p w14:paraId="266843D4">
      <w:pPr>
        <w:pStyle w:val="11"/>
        <w:ind w:firstLine="686"/>
        <w:rPr>
          <w:spacing w:val="20"/>
          <w:sz w:val="30"/>
          <w:szCs w:val="30"/>
          <w:highlight w:val="none"/>
        </w:rPr>
      </w:pPr>
    </w:p>
    <w:p w14:paraId="01460121">
      <w:pPr>
        <w:pStyle w:val="11"/>
        <w:ind w:firstLine="686"/>
        <w:rPr>
          <w:spacing w:val="20"/>
          <w:sz w:val="30"/>
          <w:szCs w:val="30"/>
          <w:highlight w:val="none"/>
        </w:rPr>
        <w:sectPr>
          <w:footerReference r:id="rId5" w:type="default"/>
          <w:pgSz w:w="11906" w:h="16838"/>
          <w:pgMar w:top="1440" w:right="1803" w:bottom="1440" w:left="1803" w:header="851" w:footer="992" w:gutter="0"/>
          <w:pgNumType w:fmt="decimal"/>
          <w:cols w:space="0" w:num="1"/>
          <w:docGrid w:type="lines" w:linePitch="325" w:charSpace="0"/>
        </w:sectPr>
      </w:pPr>
    </w:p>
    <w:p w14:paraId="6F84324A">
      <w:pPr>
        <w:rPr>
          <w:rFonts w:ascii="宋体" w:hAnsi="宋体" w:cs="宋体"/>
          <w:b/>
          <w:bCs/>
          <w:sz w:val="24"/>
          <w:szCs w:val="24"/>
          <w:highlight w:val="none"/>
        </w:rPr>
      </w:pPr>
      <w:bookmarkStart w:id="108" w:name="_Toc2823"/>
      <w:r>
        <w:rPr>
          <w:rFonts w:hint="eastAsia" w:ascii="宋体" w:hAnsi="宋体" w:cs="宋体"/>
          <w:b/>
          <w:bCs/>
          <w:sz w:val="24"/>
          <w:szCs w:val="24"/>
          <w:highlight w:val="none"/>
        </w:rPr>
        <w:t>附件九：</w:t>
      </w:r>
    </w:p>
    <w:p w14:paraId="087575F8">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技术响应及建议表</w:t>
      </w:r>
      <w:bookmarkEnd w:id="108"/>
    </w:p>
    <w:p w14:paraId="171A1BCF">
      <w:pPr>
        <w:spacing w:line="360" w:lineRule="auto"/>
        <w:ind w:firstLine="480" w:firstLineChars="200"/>
        <w:rPr>
          <w:rFonts w:ascii="宋体" w:hAnsi="宋体" w:cs="宋体"/>
          <w:sz w:val="24"/>
          <w:szCs w:val="24"/>
          <w:highlight w:val="none"/>
        </w:rPr>
      </w:pPr>
    </w:p>
    <w:p w14:paraId="6FF45B8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7D696B0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980"/>
        <w:gridCol w:w="2520"/>
        <w:gridCol w:w="1953"/>
      </w:tblGrid>
      <w:tr w14:paraId="6A94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112197E3">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序号</w:t>
            </w:r>
          </w:p>
        </w:tc>
        <w:tc>
          <w:tcPr>
            <w:tcW w:w="1440" w:type="dxa"/>
            <w:vAlign w:val="center"/>
          </w:tcPr>
          <w:p w14:paraId="2B67F413">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名称</w:t>
            </w:r>
          </w:p>
        </w:tc>
        <w:tc>
          <w:tcPr>
            <w:tcW w:w="1980" w:type="dxa"/>
            <w:vAlign w:val="center"/>
          </w:tcPr>
          <w:p w14:paraId="0407B0DC">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磋商文件要求</w:t>
            </w:r>
          </w:p>
        </w:tc>
        <w:tc>
          <w:tcPr>
            <w:tcW w:w="2520" w:type="dxa"/>
            <w:vAlign w:val="center"/>
          </w:tcPr>
          <w:p w14:paraId="55DA547A">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响应文件响应</w:t>
            </w:r>
          </w:p>
        </w:tc>
        <w:tc>
          <w:tcPr>
            <w:tcW w:w="1953" w:type="dxa"/>
            <w:vAlign w:val="center"/>
          </w:tcPr>
          <w:p w14:paraId="08B7B198">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偏离情况</w:t>
            </w:r>
          </w:p>
        </w:tc>
      </w:tr>
      <w:tr w14:paraId="140C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622FC45">
            <w:pPr>
              <w:snapToGrid w:val="0"/>
              <w:spacing w:before="50" w:after="50"/>
              <w:jc w:val="center"/>
              <w:rPr>
                <w:rFonts w:ascii="宋体" w:hAnsi="宋体" w:cs="宋体"/>
                <w:sz w:val="24"/>
                <w:szCs w:val="24"/>
                <w:highlight w:val="none"/>
              </w:rPr>
            </w:pPr>
          </w:p>
        </w:tc>
        <w:tc>
          <w:tcPr>
            <w:tcW w:w="1440" w:type="dxa"/>
            <w:vAlign w:val="center"/>
          </w:tcPr>
          <w:p w14:paraId="2178B904">
            <w:pPr>
              <w:snapToGrid w:val="0"/>
              <w:spacing w:before="50" w:after="50"/>
              <w:jc w:val="center"/>
              <w:rPr>
                <w:rFonts w:ascii="宋体" w:hAnsi="宋体" w:cs="宋体"/>
                <w:sz w:val="24"/>
                <w:szCs w:val="24"/>
                <w:highlight w:val="none"/>
              </w:rPr>
            </w:pPr>
          </w:p>
        </w:tc>
        <w:tc>
          <w:tcPr>
            <w:tcW w:w="1980" w:type="dxa"/>
            <w:vAlign w:val="center"/>
          </w:tcPr>
          <w:p w14:paraId="408421A3">
            <w:pPr>
              <w:snapToGrid w:val="0"/>
              <w:spacing w:before="50" w:after="50"/>
              <w:jc w:val="center"/>
              <w:rPr>
                <w:rFonts w:ascii="宋体" w:hAnsi="宋体" w:cs="宋体"/>
                <w:sz w:val="24"/>
                <w:szCs w:val="24"/>
                <w:highlight w:val="none"/>
              </w:rPr>
            </w:pPr>
          </w:p>
        </w:tc>
        <w:tc>
          <w:tcPr>
            <w:tcW w:w="2520" w:type="dxa"/>
            <w:vAlign w:val="center"/>
          </w:tcPr>
          <w:p w14:paraId="167E15CF">
            <w:pPr>
              <w:snapToGrid w:val="0"/>
              <w:spacing w:before="50" w:after="50"/>
              <w:jc w:val="center"/>
              <w:rPr>
                <w:rFonts w:ascii="宋体" w:hAnsi="宋体" w:cs="宋体"/>
                <w:sz w:val="24"/>
                <w:szCs w:val="24"/>
                <w:highlight w:val="none"/>
              </w:rPr>
            </w:pPr>
          </w:p>
        </w:tc>
        <w:tc>
          <w:tcPr>
            <w:tcW w:w="1953" w:type="dxa"/>
            <w:vAlign w:val="center"/>
          </w:tcPr>
          <w:p w14:paraId="019DD87E">
            <w:pPr>
              <w:snapToGrid w:val="0"/>
              <w:spacing w:before="50" w:after="50"/>
              <w:jc w:val="center"/>
              <w:rPr>
                <w:rFonts w:ascii="宋体" w:hAnsi="宋体" w:cs="宋体"/>
                <w:sz w:val="24"/>
                <w:szCs w:val="24"/>
                <w:highlight w:val="none"/>
              </w:rPr>
            </w:pPr>
          </w:p>
        </w:tc>
      </w:tr>
      <w:tr w14:paraId="7879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2B3B69B">
            <w:pPr>
              <w:snapToGrid w:val="0"/>
              <w:spacing w:before="50" w:after="50"/>
              <w:jc w:val="center"/>
              <w:rPr>
                <w:rFonts w:ascii="宋体" w:hAnsi="宋体" w:cs="宋体"/>
                <w:sz w:val="24"/>
                <w:szCs w:val="24"/>
                <w:highlight w:val="none"/>
              </w:rPr>
            </w:pPr>
          </w:p>
        </w:tc>
        <w:tc>
          <w:tcPr>
            <w:tcW w:w="1440" w:type="dxa"/>
            <w:vAlign w:val="center"/>
          </w:tcPr>
          <w:p w14:paraId="49902F7C">
            <w:pPr>
              <w:snapToGrid w:val="0"/>
              <w:spacing w:before="50" w:after="50"/>
              <w:jc w:val="center"/>
              <w:rPr>
                <w:rFonts w:ascii="宋体" w:hAnsi="宋体" w:cs="宋体"/>
                <w:sz w:val="24"/>
                <w:szCs w:val="24"/>
                <w:highlight w:val="none"/>
              </w:rPr>
            </w:pPr>
          </w:p>
        </w:tc>
        <w:tc>
          <w:tcPr>
            <w:tcW w:w="1980" w:type="dxa"/>
            <w:vAlign w:val="center"/>
          </w:tcPr>
          <w:p w14:paraId="376F9E21">
            <w:pPr>
              <w:snapToGrid w:val="0"/>
              <w:spacing w:before="50" w:after="50"/>
              <w:jc w:val="center"/>
              <w:rPr>
                <w:rFonts w:ascii="宋体" w:hAnsi="宋体" w:cs="宋体"/>
                <w:sz w:val="24"/>
                <w:szCs w:val="24"/>
                <w:highlight w:val="none"/>
              </w:rPr>
            </w:pPr>
          </w:p>
        </w:tc>
        <w:tc>
          <w:tcPr>
            <w:tcW w:w="2520" w:type="dxa"/>
            <w:vAlign w:val="center"/>
          </w:tcPr>
          <w:p w14:paraId="1FDCBF96">
            <w:pPr>
              <w:snapToGrid w:val="0"/>
              <w:spacing w:before="50" w:after="50"/>
              <w:jc w:val="center"/>
              <w:rPr>
                <w:rFonts w:ascii="宋体" w:hAnsi="宋体" w:cs="宋体"/>
                <w:sz w:val="24"/>
                <w:szCs w:val="24"/>
                <w:highlight w:val="none"/>
              </w:rPr>
            </w:pPr>
          </w:p>
        </w:tc>
        <w:tc>
          <w:tcPr>
            <w:tcW w:w="1953" w:type="dxa"/>
            <w:vAlign w:val="center"/>
          </w:tcPr>
          <w:p w14:paraId="7FB87E46">
            <w:pPr>
              <w:snapToGrid w:val="0"/>
              <w:spacing w:before="50" w:after="50"/>
              <w:jc w:val="center"/>
              <w:rPr>
                <w:rFonts w:ascii="宋体" w:hAnsi="宋体" w:cs="宋体"/>
                <w:sz w:val="24"/>
                <w:szCs w:val="24"/>
                <w:highlight w:val="none"/>
              </w:rPr>
            </w:pPr>
          </w:p>
        </w:tc>
      </w:tr>
      <w:tr w14:paraId="381E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40C6C0F2">
            <w:pPr>
              <w:snapToGrid w:val="0"/>
              <w:spacing w:before="50" w:after="50"/>
              <w:jc w:val="center"/>
              <w:rPr>
                <w:rFonts w:ascii="宋体" w:hAnsi="宋体" w:cs="宋体"/>
                <w:sz w:val="24"/>
                <w:szCs w:val="24"/>
                <w:highlight w:val="none"/>
              </w:rPr>
            </w:pPr>
          </w:p>
        </w:tc>
        <w:tc>
          <w:tcPr>
            <w:tcW w:w="1440" w:type="dxa"/>
            <w:vAlign w:val="center"/>
          </w:tcPr>
          <w:p w14:paraId="34C280B6">
            <w:pPr>
              <w:snapToGrid w:val="0"/>
              <w:spacing w:before="50" w:after="50"/>
              <w:jc w:val="center"/>
              <w:rPr>
                <w:rFonts w:ascii="宋体" w:hAnsi="宋体" w:cs="宋体"/>
                <w:sz w:val="24"/>
                <w:szCs w:val="24"/>
                <w:highlight w:val="none"/>
              </w:rPr>
            </w:pPr>
          </w:p>
        </w:tc>
        <w:tc>
          <w:tcPr>
            <w:tcW w:w="1980" w:type="dxa"/>
            <w:vAlign w:val="center"/>
          </w:tcPr>
          <w:p w14:paraId="78ABC101">
            <w:pPr>
              <w:snapToGrid w:val="0"/>
              <w:spacing w:before="50" w:after="50"/>
              <w:jc w:val="center"/>
              <w:rPr>
                <w:rFonts w:ascii="宋体" w:hAnsi="宋体" w:cs="宋体"/>
                <w:sz w:val="24"/>
                <w:szCs w:val="24"/>
                <w:highlight w:val="none"/>
              </w:rPr>
            </w:pPr>
          </w:p>
        </w:tc>
        <w:tc>
          <w:tcPr>
            <w:tcW w:w="2520" w:type="dxa"/>
            <w:vAlign w:val="center"/>
          </w:tcPr>
          <w:p w14:paraId="40344E30">
            <w:pPr>
              <w:snapToGrid w:val="0"/>
              <w:spacing w:before="50" w:after="50"/>
              <w:jc w:val="center"/>
              <w:rPr>
                <w:rFonts w:ascii="宋体" w:hAnsi="宋体" w:cs="宋体"/>
                <w:sz w:val="24"/>
                <w:szCs w:val="24"/>
                <w:highlight w:val="none"/>
              </w:rPr>
            </w:pPr>
          </w:p>
        </w:tc>
        <w:tc>
          <w:tcPr>
            <w:tcW w:w="1953" w:type="dxa"/>
            <w:vAlign w:val="center"/>
          </w:tcPr>
          <w:p w14:paraId="40CE2B62">
            <w:pPr>
              <w:snapToGrid w:val="0"/>
              <w:spacing w:before="50" w:after="50"/>
              <w:jc w:val="center"/>
              <w:rPr>
                <w:rFonts w:ascii="宋体" w:hAnsi="宋体" w:cs="宋体"/>
                <w:sz w:val="24"/>
                <w:szCs w:val="24"/>
                <w:highlight w:val="none"/>
              </w:rPr>
            </w:pPr>
          </w:p>
        </w:tc>
      </w:tr>
      <w:tr w14:paraId="4540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509ED0D6">
            <w:pPr>
              <w:snapToGrid w:val="0"/>
              <w:spacing w:before="50" w:after="50"/>
              <w:jc w:val="center"/>
              <w:rPr>
                <w:rFonts w:ascii="宋体" w:hAnsi="宋体" w:cs="宋体"/>
                <w:sz w:val="24"/>
                <w:szCs w:val="24"/>
                <w:highlight w:val="none"/>
              </w:rPr>
            </w:pPr>
          </w:p>
        </w:tc>
        <w:tc>
          <w:tcPr>
            <w:tcW w:w="1440" w:type="dxa"/>
            <w:vAlign w:val="center"/>
          </w:tcPr>
          <w:p w14:paraId="6C644DD8">
            <w:pPr>
              <w:snapToGrid w:val="0"/>
              <w:spacing w:before="50" w:after="50"/>
              <w:jc w:val="center"/>
              <w:rPr>
                <w:rFonts w:ascii="宋体" w:hAnsi="宋体" w:cs="宋体"/>
                <w:sz w:val="24"/>
                <w:szCs w:val="24"/>
                <w:highlight w:val="none"/>
              </w:rPr>
            </w:pPr>
          </w:p>
        </w:tc>
        <w:tc>
          <w:tcPr>
            <w:tcW w:w="1980" w:type="dxa"/>
            <w:vAlign w:val="center"/>
          </w:tcPr>
          <w:p w14:paraId="400E8A0B">
            <w:pPr>
              <w:snapToGrid w:val="0"/>
              <w:spacing w:before="50" w:after="50"/>
              <w:jc w:val="center"/>
              <w:rPr>
                <w:rFonts w:ascii="宋体" w:hAnsi="宋体" w:cs="宋体"/>
                <w:sz w:val="24"/>
                <w:szCs w:val="24"/>
                <w:highlight w:val="none"/>
              </w:rPr>
            </w:pPr>
          </w:p>
        </w:tc>
        <w:tc>
          <w:tcPr>
            <w:tcW w:w="2520" w:type="dxa"/>
            <w:vAlign w:val="center"/>
          </w:tcPr>
          <w:p w14:paraId="70D72B66">
            <w:pPr>
              <w:snapToGrid w:val="0"/>
              <w:spacing w:before="50" w:after="50"/>
              <w:jc w:val="center"/>
              <w:rPr>
                <w:rFonts w:ascii="宋体" w:hAnsi="宋体" w:cs="宋体"/>
                <w:sz w:val="24"/>
                <w:szCs w:val="24"/>
                <w:highlight w:val="none"/>
              </w:rPr>
            </w:pPr>
          </w:p>
        </w:tc>
        <w:tc>
          <w:tcPr>
            <w:tcW w:w="1953" w:type="dxa"/>
            <w:vAlign w:val="center"/>
          </w:tcPr>
          <w:p w14:paraId="0DF4143F">
            <w:pPr>
              <w:snapToGrid w:val="0"/>
              <w:spacing w:before="50" w:after="50"/>
              <w:jc w:val="center"/>
              <w:rPr>
                <w:rFonts w:ascii="宋体" w:hAnsi="宋体" w:cs="宋体"/>
                <w:sz w:val="24"/>
                <w:szCs w:val="24"/>
                <w:highlight w:val="none"/>
              </w:rPr>
            </w:pPr>
          </w:p>
        </w:tc>
      </w:tr>
      <w:tr w14:paraId="13C3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0" w:type="dxa"/>
            <w:vAlign w:val="center"/>
          </w:tcPr>
          <w:p w14:paraId="3342CB55">
            <w:pPr>
              <w:snapToGrid w:val="0"/>
              <w:spacing w:before="50" w:after="50"/>
              <w:jc w:val="center"/>
              <w:rPr>
                <w:rFonts w:ascii="宋体" w:hAnsi="宋体" w:cs="宋体"/>
                <w:sz w:val="24"/>
                <w:szCs w:val="24"/>
                <w:highlight w:val="none"/>
              </w:rPr>
            </w:pPr>
          </w:p>
        </w:tc>
        <w:tc>
          <w:tcPr>
            <w:tcW w:w="1440" w:type="dxa"/>
            <w:vAlign w:val="center"/>
          </w:tcPr>
          <w:p w14:paraId="4A445BFE">
            <w:pPr>
              <w:snapToGrid w:val="0"/>
              <w:spacing w:before="50" w:after="50"/>
              <w:jc w:val="center"/>
              <w:rPr>
                <w:rFonts w:ascii="宋体" w:hAnsi="宋体" w:cs="宋体"/>
                <w:sz w:val="24"/>
                <w:szCs w:val="24"/>
                <w:highlight w:val="none"/>
              </w:rPr>
            </w:pPr>
          </w:p>
        </w:tc>
        <w:tc>
          <w:tcPr>
            <w:tcW w:w="1980" w:type="dxa"/>
            <w:vAlign w:val="center"/>
          </w:tcPr>
          <w:p w14:paraId="7CA31518">
            <w:pPr>
              <w:snapToGrid w:val="0"/>
              <w:spacing w:before="50" w:after="50"/>
              <w:jc w:val="center"/>
              <w:rPr>
                <w:rFonts w:ascii="宋体" w:hAnsi="宋体" w:cs="宋体"/>
                <w:sz w:val="24"/>
                <w:szCs w:val="24"/>
                <w:highlight w:val="none"/>
              </w:rPr>
            </w:pPr>
          </w:p>
        </w:tc>
        <w:tc>
          <w:tcPr>
            <w:tcW w:w="2520" w:type="dxa"/>
            <w:vAlign w:val="center"/>
          </w:tcPr>
          <w:p w14:paraId="7E5E72E1">
            <w:pPr>
              <w:snapToGrid w:val="0"/>
              <w:spacing w:before="50" w:after="50"/>
              <w:jc w:val="center"/>
              <w:rPr>
                <w:rFonts w:ascii="宋体" w:hAnsi="宋体" w:cs="宋体"/>
                <w:sz w:val="24"/>
                <w:szCs w:val="24"/>
                <w:highlight w:val="none"/>
              </w:rPr>
            </w:pPr>
          </w:p>
        </w:tc>
        <w:tc>
          <w:tcPr>
            <w:tcW w:w="1953" w:type="dxa"/>
            <w:vAlign w:val="center"/>
          </w:tcPr>
          <w:p w14:paraId="3BC101CD">
            <w:pPr>
              <w:snapToGrid w:val="0"/>
              <w:spacing w:before="50" w:after="50"/>
              <w:jc w:val="center"/>
              <w:rPr>
                <w:rFonts w:ascii="宋体" w:hAnsi="宋体" w:cs="宋体"/>
                <w:sz w:val="24"/>
                <w:szCs w:val="24"/>
                <w:highlight w:val="none"/>
              </w:rPr>
            </w:pPr>
          </w:p>
        </w:tc>
      </w:tr>
      <w:tr w14:paraId="6CCB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60" w:type="dxa"/>
            <w:gridSpan w:val="2"/>
            <w:vAlign w:val="center"/>
          </w:tcPr>
          <w:p w14:paraId="77F52DA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投标建议</w:t>
            </w:r>
          </w:p>
        </w:tc>
        <w:tc>
          <w:tcPr>
            <w:tcW w:w="6453" w:type="dxa"/>
            <w:gridSpan w:val="3"/>
            <w:vAlign w:val="center"/>
          </w:tcPr>
          <w:p w14:paraId="1C2C9169">
            <w:pPr>
              <w:spacing w:line="360" w:lineRule="auto"/>
              <w:jc w:val="center"/>
              <w:rPr>
                <w:rFonts w:ascii="宋体" w:hAnsi="宋体" w:cs="宋体"/>
                <w:sz w:val="24"/>
                <w:szCs w:val="24"/>
                <w:highlight w:val="none"/>
              </w:rPr>
            </w:pPr>
          </w:p>
        </w:tc>
      </w:tr>
    </w:tbl>
    <w:p w14:paraId="477B21F1">
      <w:pPr>
        <w:snapToGrid w:val="0"/>
        <w:spacing w:line="360" w:lineRule="auto"/>
        <w:rPr>
          <w:rFonts w:ascii="宋体" w:hAnsi="宋体" w:cs="宋体"/>
          <w:sz w:val="24"/>
          <w:szCs w:val="24"/>
          <w:highlight w:val="none"/>
        </w:rPr>
      </w:pPr>
    </w:p>
    <w:p w14:paraId="029F2F57">
      <w:pPr>
        <w:pStyle w:val="12"/>
        <w:spacing w:line="360" w:lineRule="auto"/>
        <w:rPr>
          <w:rFonts w:hAnsi="宋体"/>
          <w:sz w:val="24"/>
          <w:szCs w:val="24"/>
          <w:highlight w:val="none"/>
        </w:rPr>
      </w:pPr>
      <w:r>
        <w:rPr>
          <w:rFonts w:hint="eastAsia" w:hAnsi="宋体"/>
          <w:sz w:val="24"/>
          <w:szCs w:val="24"/>
          <w:highlight w:val="none"/>
        </w:rPr>
        <w:t>注：名称可基于项目清单根据供应商实际情况调整。</w:t>
      </w:r>
    </w:p>
    <w:p w14:paraId="18B81B14">
      <w:pPr>
        <w:rPr>
          <w:rFonts w:ascii="宋体" w:hAnsi="宋体" w:cs="宋体"/>
          <w:sz w:val="24"/>
          <w:szCs w:val="24"/>
          <w:highlight w:val="none"/>
        </w:rPr>
      </w:pPr>
    </w:p>
    <w:p w14:paraId="5078385C">
      <w:pPr>
        <w:pStyle w:val="11"/>
        <w:rPr>
          <w:highlight w:val="none"/>
        </w:rPr>
      </w:pPr>
    </w:p>
    <w:p w14:paraId="0F49158C">
      <w:pPr>
        <w:snapToGrid w:val="0"/>
        <w:spacing w:line="360" w:lineRule="auto"/>
        <w:rPr>
          <w:rFonts w:ascii="宋体" w:hAnsi="宋体" w:cs="宋体"/>
          <w:sz w:val="24"/>
          <w:szCs w:val="24"/>
          <w:highlight w:val="none"/>
        </w:rPr>
      </w:pPr>
    </w:p>
    <w:p w14:paraId="16E3AB37">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31CC8A13">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77EB6F2">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5F13CE09">
      <w:pPr>
        <w:rPr>
          <w:rFonts w:ascii="宋体" w:hAnsi="宋体" w:cs="宋体"/>
          <w:sz w:val="24"/>
          <w:szCs w:val="24"/>
          <w:highlight w:val="none"/>
        </w:rPr>
      </w:pPr>
      <w:r>
        <w:rPr>
          <w:rFonts w:hint="eastAsia" w:ascii="宋体" w:hAnsi="宋体" w:cs="宋体"/>
          <w:sz w:val="24"/>
          <w:szCs w:val="24"/>
          <w:highlight w:val="none"/>
        </w:rPr>
        <w:br w:type="page"/>
      </w:r>
    </w:p>
    <w:p w14:paraId="64470C99">
      <w:pPr>
        <w:rPr>
          <w:rFonts w:ascii="宋体" w:hAnsi="宋体" w:cs="宋体"/>
          <w:b/>
          <w:bCs/>
          <w:sz w:val="24"/>
          <w:szCs w:val="24"/>
          <w:highlight w:val="none"/>
        </w:rPr>
      </w:pPr>
      <w:r>
        <w:rPr>
          <w:rFonts w:hint="eastAsia" w:ascii="宋体" w:hAnsi="宋体" w:cs="宋体"/>
          <w:b/>
          <w:bCs/>
          <w:sz w:val="24"/>
          <w:szCs w:val="24"/>
          <w:highlight w:val="none"/>
        </w:rPr>
        <w:t>附件十：</w:t>
      </w:r>
    </w:p>
    <w:p w14:paraId="3946605C">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商务响应表</w:t>
      </w:r>
    </w:p>
    <w:p w14:paraId="29357FAD">
      <w:pPr>
        <w:snapToGrid w:val="0"/>
        <w:spacing w:before="50"/>
        <w:jc w:val="center"/>
        <w:rPr>
          <w:rFonts w:ascii="宋体" w:hAnsi="宋体" w:cs="宋体"/>
          <w:b/>
          <w:bCs/>
          <w:sz w:val="32"/>
          <w:szCs w:val="32"/>
          <w:highlight w:val="none"/>
        </w:rPr>
      </w:pPr>
    </w:p>
    <w:p w14:paraId="205E037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06262C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9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4"/>
        <w:gridCol w:w="2700"/>
        <w:gridCol w:w="1260"/>
        <w:gridCol w:w="3020"/>
      </w:tblGrid>
      <w:tr w14:paraId="697A9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E7A07E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3EFFA0BF">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11CE9702">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是否</w:t>
            </w:r>
          </w:p>
          <w:p w14:paraId="1484A91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响应</w:t>
            </w:r>
          </w:p>
        </w:tc>
        <w:tc>
          <w:tcPr>
            <w:tcW w:w="3020" w:type="dxa"/>
            <w:tcBorders>
              <w:top w:val="single" w:color="auto" w:sz="4" w:space="0"/>
              <w:left w:val="single" w:color="auto" w:sz="4" w:space="0"/>
              <w:bottom w:val="single" w:color="auto" w:sz="4" w:space="0"/>
            </w:tcBorders>
            <w:vAlign w:val="center"/>
          </w:tcPr>
          <w:p w14:paraId="784AC7F1">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供应商的承诺或说明</w:t>
            </w:r>
          </w:p>
        </w:tc>
      </w:tr>
      <w:tr w14:paraId="60D3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397D46FE">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服务时间及地点</w:t>
            </w:r>
          </w:p>
        </w:tc>
        <w:tc>
          <w:tcPr>
            <w:tcW w:w="2700" w:type="dxa"/>
            <w:tcBorders>
              <w:top w:val="single" w:color="auto" w:sz="4" w:space="0"/>
              <w:left w:val="single" w:color="auto" w:sz="4" w:space="0"/>
              <w:bottom w:val="single" w:color="auto" w:sz="4" w:space="0"/>
              <w:right w:val="single" w:color="auto" w:sz="4" w:space="0"/>
            </w:tcBorders>
            <w:vAlign w:val="center"/>
          </w:tcPr>
          <w:p w14:paraId="289486CB">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977495">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70E359EC">
            <w:pPr>
              <w:snapToGrid w:val="0"/>
              <w:spacing w:before="50" w:after="50"/>
              <w:jc w:val="center"/>
              <w:rPr>
                <w:rFonts w:ascii="宋体" w:hAnsi="宋体" w:cs="宋体"/>
                <w:sz w:val="24"/>
                <w:szCs w:val="24"/>
                <w:highlight w:val="none"/>
              </w:rPr>
            </w:pPr>
          </w:p>
        </w:tc>
      </w:tr>
      <w:tr w14:paraId="389F4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2ACB70C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付款条件</w:t>
            </w:r>
          </w:p>
        </w:tc>
        <w:tc>
          <w:tcPr>
            <w:tcW w:w="2700" w:type="dxa"/>
            <w:tcBorders>
              <w:top w:val="single" w:color="auto" w:sz="4" w:space="0"/>
              <w:left w:val="single" w:color="auto" w:sz="4" w:space="0"/>
              <w:bottom w:val="single" w:color="auto" w:sz="4" w:space="0"/>
              <w:right w:val="single" w:color="auto" w:sz="4" w:space="0"/>
            </w:tcBorders>
            <w:vAlign w:val="center"/>
          </w:tcPr>
          <w:p w14:paraId="0F696306">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870560">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73AC2AA7">
            <w:pPr>
              <w:snapToGrid w:val="0"/>
              <w:spacing w:before="50" w:after="50"/>
              <w:jc w:val="center"/>
              <w:rPr>
                <w:rFonts w:ascii="宋体" w:hAnsi="宋体" w:cs="宋体"/>
                <w:sz w:val="24"/>
                <w:szCs w:val="24"/>
                <w:highlight w:val="none"/>
              </w:rPr>
            </w:pPr>
          </w:p>
        </w:tc>
      </w:tr>
      <w:tr w14:paraId="2AE0E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5B6E49D5">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违约责任及争议解决方式</w:t>
            </w:r>
          </w:p>
        </w:tc>
        <w:tc>
          <w:tcPr>
            <w:tcW w:w="2700" w:type="dxa"/>
            <w:tcBorders>
              <w:top w:val="single" w:color="auto" w:sz="4" w:space="0"/>
              <w:left w:val="single" w:color="auto" w:sz="4" w:space="0"/>
              <w:bottom w:val="single" w:color="auto" w:sz="4" w:space="0"/>
              <w:right w:val="single" w:color="auto" w:sz="4" w:space="0"/>
            </w:tcBorders>
            <w:vAlign w:val="center"/>
          </w:tcPr>
          <w:p w14:paraId="343F7931">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D8BB377">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7A0CF3A8">
            <w:pPr>
              <w:snapToGrid w:val="0"/>
              <w:spacing w:before="50" w:after="50"/>
              <w:jc w:val="center"/>
              <w:rPr>
                <w:rFonts w:ascii="宋体" w:hAnsi="宋体" w:cs="宋体"/>
                <w:sz w:val="24"/>
                <w:szCs w:val="24"/>
                <w:highlight w:val="none"/>
              </w:rPr>
            </w:pPr>
          </w:p>
        </w:tc>
      </w:tr>
      <w:tr w14:paraId="4BA13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665D4413">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经验或业绩要求</w:t>
            </w:r>
          </w:p>
        </w:tc>
        <w:tc>
          <w:tcPr>
            <w:tcW w:w="2700" w:type="dxa"/>
            <w:tcBorders>
              <w:top w:val="single" w:color="auto" w:sz="4" w:space="0"/>
              <w:left w:val="single" w:color="auto" w:sz="4" w:space="0"/>
              <w:bottom w:val="single" w:color="auto" w:sz="4" w:space="0"/>
              <w:right w:val="single" w:color="auto" w:sz="4" w:space="0"/>
            </w:tcBorders>
            <w:vAlign w:val="center"/>
          </w:tcPr>
          <w:p w14:paraId="07180EEE">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BFA824C">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01009B28">
            <w:pPr>
              <w:snapToGrid w:val="0"/>
              <w:spacing w:before="50" w:after="50"/>
              <w:jc w:val="center"/>
              <w:rPr>
                <w:rFonts w:ascii="宋体" w:hAnsi="宋体" w:cs="宋体"/>
                <w:sz w:val="24"/>
                <w:szCs w:val="24"/>
                <w:highlight w:val="none"/>
              </w:rPr>
            </w:pPr>
          </w:p>
        </w:tc>
      </w:tr>
      <w:tr w14:paraId="45804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0E4738F7">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各类证书</w:t>
            </w:r>
          </w:p>
        </w:tc>
        <w:tc>
          <w:tcPr>
            <w:tcW w:w="2700" w:type="dxa"/>
            <w:tcBorders>
              <w:top w:val="single" w:color="auto" w:sz="4" w:space="0"/>
              <w:left w:val="single" w:color="auto" w:sz="4" w:space="0"/>
              <w:bottom w:val="single" w:color="auto" w:sz="4" w:space="0"/>
              <w:right w:val="single" w:color="auto" w:sz="4" w:space="0"/>
            </w:tcBorders>
            <w:vAlign w:val="center"/>
          </w:tcPr>
          <w:p w14:paraId="540CD612">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755EBD">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0EAF681A">
            <w:pPr>
              <w:snapToGrid w:val="0"/>
              <w:spacing w:before="50" w:after="50"/>
              <w:jc w:val="center"/>
              <w:rPr>
                <w:rFonts w:ascii="宋体" w:hAnsi="宋体" w:cs="宋体"/>
                <w:sz w:val="24"/>
                <w:szCs w:val="24"/>
                <w:highlight w:val="none"/>
              </w:rPr>
            </w:pPr>
          </w:p>
        </w:tc>
      </w:tr>
      <w:tr w14:paraId="6FB37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2DD3B5C0">
            <w:pPr>
              <w:snapToGrid w:val="0"/>
              <w:spacing w:before="50" w:after="50"/>
              <w:jc w:val="center"/>
              <w:rPr>
                <w:rFonts w:ascii="宋体" w:hAnsi="宋体" w:eastAsia="宋体" w:cs="宋体"/>
                <w:kern w:val="2"/>
                <w:sz w:val="24"/>
                <w:szCs w:val="24"/>
                <w:highlight w:val="none"/>
                <w:lang w:val="en-US" w:eastAsia="zh-CN" w:bidi="ar-SA"/>
              </w:rPr>
            </w:pPr>
            <w:r>
              <w:rPr>
                <w:rFonts w:hint="eastAsia" w:ascii="宋体" w:hAnsi="宋体" w:cs="宋体"/>
                <w:sz w:val="24"/>
                <w:szCs w:val="24"/>
                <w:highlight w:val="none"/>
              </w:rPr>
              <w:t>……</w:t>
            </w:r>
          </w:p>
        </w:tc>
        <w:tc>
          <w:tcPr>
            <w:tcW w:w="2700" w:type="dxa"/>
            <w:tcBorders>
              <w:top w:val="single" w:color="auto" w:sz="4" w:space="0"/>
              <w:left w:val="single" w:color="auto" w:sz="4" w:space="0"/>
              <w:bottom w:val="single" w:color="auto" w:sz="4" w:space="0"/>
              <w:right w:val="single" w:color="auto" w:sz="4" w:space="0"/>
            </w:tcBorders>
            <w:vAlign w:val="center"/>
          </w:tcPr>
          <w:p w14:paraId="3D7BE04A">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77B3F2">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5D5AE3AC">
            <w:pPr>
              <w:snapToGrid w:val="0"/>
              <w:spacing w:before="50" w:after="50"/>
              <w:jc w:val="center"/>
              <w:rPr>
                <w:rFonts w:ascii="宋体" w:hAnsi="宋体" w:cs="宋体"/>
                <w:sz w:val="24"/>
                <w:szCs w:val="24"/>
                <w:highlight w:val="none"/>
              </w:rPr>
            </w:pPr>
          </w:p>
        </w:tc>
      </w:tr>
      <w:tr w14:paraId="2AF20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24852A27">
            <w:pPr>
              <w:snapToGrid w:val="0"/>
              <w:spacing w:before="50" w:after="50"/>
              <w:jc w:val="center"/>
              <w:rPr>
                <w:rFonts w:ascii="宋体" w:hAnsi="宋体" w:eastAsia="宋体" w:cs="宋体"/>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6A21B0BA">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03B4B5D">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13E521B0">
            <w:pPr>
              <w:snapToGrid w:val="0"/>
              <w:spacing w:before="50" w:after="50"/>
              <w:jc w:val="center"/>
              <w:rPr>
                <w:rFonts w:ascii="宋体" w:hAnsi="宋体" w:cs="宋体"/>
                <w:sz w:val="24"/>
                <w:szCs w:val="24"/>
                <w:highlight w:val="none"/>
              </w:rPr>
            </w:pPr>
          </w:p>
        </w:tc>
      </w:tr>
      <w:tr w14:paraId="344A5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shd w:val="clear" w:color="auto" w:fill="auto"/>
            <w:vAlign w:val="center"/>
          </w:tcPr>
          <w:p w14:paraId="3CD32285">
            <w:pPr>
              <w:snapToGrid w:val="0"/>
              <w:spacing w:before="50" w:after="50"/>
              <w:jc w:val="center"/>
              <w:rPr>
                <w:rFonts w:ascii="宋体" w:hAnsi="宋体" w:eastAsia="宋体" w:cs="宋体"/>
                <w:kern w:val="2"/>
                <w:sz w:val="24"/>
                <w:szCs w:val="24"/>
                <w:highlight w:val="none"/>
                <w:lang w:val="en-US" w:eastAsia="zh-CN" w:bidi="ar-SA"/>
              </w:rPr>
            </w:pPr>
          </w:p>
        </w:tc>
        <w:tc>
          <w:tcPr>
            <w:tcW w:w="2700" w:type="dxa"/>
            <w:tcBorders>
              <w:top w:val="single" w:color="auto" w:sz="4" w:space="0"/>
              <w:left w:val="single" w:color="auto" w:sz="4" w:space="0"/>
              <w:bottom w:val="single" w:color="auto" w:sz="4" w:space="0"/>
              <w:right w:val="single" w:color="auto" w:sz="4" w:space="0"/>
            </w:tcBorders>
            <w:vAlign w:val="center"/>
          </w:tcPr>
          <w:p w14:paraId="61B0A9DF">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E2D9A08">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1797511D">
            <w:pPr>
              <w:snapToGrid w:val="0"/>
              <w:spacing w:before="50" w:after="50"/>
              <w:jc w:val="center"/>
              <w:rPr>
                <w:rFonts w:ascii="宋体" w:hAnsi="宋体" w:cs="宋体"/>
                <w:sz w:val="24"/>
                <w:szCs w:val="24"/>
                <w:highlight w:val="none"/>
              </w:rPr>
            </w:pPr>
          </w:p>
        </w:tc>
      </w:tr>
      <w:tr w14:paraId="61DE0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4C166F2C">
            <w:pPr>
              <w:snapToGrid w:val="0"/>
              <w:spacing w:before="50" w:after="50"/>
              <w:jc w:val="center"/>
              <w:rPr>
                <w:rFonts w:ascii="宋体" w:hAnsi="宋体" w:cs="宋体"/>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2E65F9AB">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4B4C1">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5FC942FE">
            <w:pPr>
              <w:snapToGrid w:val="0"/>
              <w:spacing w:before="50" w:after="50"/>
              <w:jc w:val="center"/>
              <w:rPr>
                <w:rFonts w:ascii="宋体" w:hAnsi="宋体" w:cs="宋体"/>
                <w:sz w:val="24"/>
                <w:szCs w:val="24"/>
                <w:highlight w:val="none"/>
              </w:rPr>
            </w:pPr>
          </w:p>
        </w:tc>
      </w:tr>
      <w:tr w14:paraId="7CBE4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54" w:type="dxa"/>
            <w:tcBorders>
              <w:top w:val="single" w:color="auto" w:sz="4" w:space="0"/>
              <w:bottom w:val="single" w:color="auto" w:sz="4" w:space="0"/>
              <w:right w:val="single" w:color="auto" w:sz="4" w:space="0"/>
            </w:tcBorders>
            <w:vAlign w:val="center"/>
          </w:tcPr>
          <w:p w14:paraId="0AC9FB64">
            <w:pPr>
              <w:snapToGrid w:val="0"/>
              <w:spacing w:before="50" w:after="50"/>
              <w:jc w:val="center"/>
              <w:rPr>
                <w:rFonts w:ascii="宋体" w:hAnsi="宋体" w:cs="宋体"/>
                <w:sz w:val="24"/>
                <w:szCs w:val="24"/>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14:paraId="6D5B418C">
            <w:pPr>
              <w:snapToGrid w:val="0"/>
              <w:spacing w:before="50" w:after="50"/>
              <w:jc w:val="center"/>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7BAD90C">
            <w:pPr>
              <w:snapToGrid w:val="0"/>
              <w:spacing w:before="50" w:after="50"/>
              <w:jc w:val="center"/>
              <w:rPr>
                <w:rFonts w:ascii="宋体" w:hAnsi="宋体" w:cs="宋体"/>
                <w:sz w:val="24"/>
                <w:szCs w:val="24"/>
                <w:highlight w:val="none"/>
              </w:rPr>
            </w:pPr>
          </w:p>
        </w:tc>
        <w:tc>
          <w:tcPr>
            <w:tcW w:w="3020" w:type="dxa"/>
            <w:tcBorders>
              <w:top w:val="single" w:color="auto" w:sz="4" w:space="0"/>
              <w:left w:val="single" w:color="auto" w:sz="4" w:space="0"/>
              <w:bottom w:val="single" w:color="auto" w:sz="4" w:space="0"/>
            </w:tcBorders>
            <w:vAlign w:val="center"/>
          </w:tcPr>
          <w:p w14:paraId="68C473DA">
            <w:pPr>
              <w:snapToGrid w:val="0"/>
              <w:spacing w:before="50" w:after="50"/>
              <w:jc w:val="center"/>
              <w:rPr>
                <w:rFonts w:ascii="宋体" w:hAnsi="宋体" w:cs="宋体"/>
                <w:sz w:val="24"/>
                <w:szCs w:val="24"/>
                <w:highlight w:val="none"/>
              </w:rPr>
            </w:pPr>
          </w:p>
        </w:tc>
      </w:tr>
    </w:tbl>
    <w:p w14:paraId="2C2FF48C">
      <w:pPr>
        <w:spacing w:line="360" w:lineRule="auto"/>
        <w:ind w:left="3780" w:leftChars="1800" w:firstLine="480" w:firstLineChars="200"/>
        <w:rPr>
          <w:rFonts w:ascii="宋体" w:hAnsi="宋体" w:cs="宋体"/>
          <w:sz w:val="24"/>
          <w:szCs w:val="24"/>
          <w:highlight w:val="none"/>
        </w:rPr>
      </w:pPr>
    </w:p>
    <w:p w14:paraId="779980FF">
      <w:pPr>
        <w:spacing w:line="360" w:lineRule="auto"/>
        <w:ind w:left="3780" w:leftChars="1800" w:firstLine="480" w:firstLineChars="200"/>
        <w:rPr>
          <w:rFonts w:ascii="宋体" w:hAnsi="宋体" w:cs="宋体"/>
          <w:sz w:val="24"/>
          <w:szCs w:val="24"/>
          <w:highlight w:val="none"/>
        </w:rPr>
      </w:pPr>
    </w:p>
    <w:p w14:paraId="2218456D">
      <w:pPr>
        <w:spacing w:line="360" w:lineRule="auto"/>
        <w:ind w:left="3780" w:leftChars="1800" w:firstLine="480" w:firstLineChars="200"/>
        <w:rPr>
          <w:rFonts w:ascii="宋体" w:hAnsi="宋体" w:cs="宋体"/>
          <w:sz w:val="24"/>
          <w:szCs w:val="24"/>
          <w:highlight w:val="none"/>
        </w:rPr>
      </w:pPr>
    </w:p>
    <w:p w14:paraId="205002BF">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6B9ECCD0">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4B64AF37">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0F945787">
      <w:pPr>
        <w:rPr>
          <w:rFonts w:ascii="宋体" w:hAnsi="宋体" w:cs="宋体"/>
          <w:b/>
          <w:bCs/>
          <w:sz w:val="24"/>
          <w:szCs w:val="24"/>
          <w:highlight w:val="none"/>
        </w:rPr>
      </w:pPr>
      <w:r>
        <w:rPr>
          <w:rFonts w:ascii="宋体" w:hAnsi="宋体" w:cs="宋体"/>
          <w:b/>
          <w:bCs/>
          <w:sz w:val="24"/>
          <w:szCs w:val="24"/>
          <w:highlight w:val="none"/>
        </w:rPr>
        <w:br w:type="page"/>
      </w:r>
    </w:p>
    <w:p w14:paraId="5748B7E5">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一</w:t>
      </w:r>
      <w:r>
        <w:rPr>
          <w:rFonts w:hint="eastAsia" w:ascii="宋体" w:hAnsi="宋体" w:cs="宋体"/>
          <w:b/>
          <w:bCs/>
          <w:sz w:val="24"/>
          <w:szCs w:val="24"/>
          <w:highlight w:val="none"/>
          <w:lang w:val="zh-CN"/>
        </w:rPr>
        <w:t>：</w:t>
      </w:r>
    </w:p>
    <w:p w14:paraId="5F6E7D0C">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项目组人员清单</w:t>
      </w:r>
    </w:p>
    <w:p w14:paraId="44CE4089">
      <w:pPr>
        <w:snapToGrid w:val="0"/>
        <w:spacing w:beforeLines="50" w:after="50"/>
        <w:jc w:val="center"/>
        <w:rPr>
          <w:rFonts w:ascii="宋体" w:hAnsi="宋体" w:cs="宋体"/>
          <w:b/>
          <w:bCs/>
          <w:sz w:val="30"/>
          <w:szCs w:val="30"/>
          <w:highlight w:val="none"/>
        </w:rPr>
      </w:pPr>
    </w:p>
    <w:p w14:paraId="6423BE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55938BE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85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14:paraId="2B453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vAlign w:val="center"/>
          </w:tcPr>
          <w:p w14:paraId="334E67A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D6FD989">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7EE8781F">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735F90A4">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24B0A8D3">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参加本单位工作时间</w:t>
            </w:r>
          </w:p>
        </w:tc>
        <w:tc>
          <w:tcPr>
            <w:tcW w:w="1800" w:type="dxa"/>
            <w:tcBorders>
              <w:top w:val="single" w:color="auto" w:sz="4" w:space="0"/>
              <w:left w:val="single" w:color="auto" w:sz="4" w:space="0"/>
              <w:bottom w:val="single" w:color="auto" w:sz="4" w:space="0"/>
            </w:tcBorders>
            <w:vAlign w:val="center"/>
          </w:tcPr>
          <w:p w14:paraId="371E0447">
            <w:pPr>
              <w:snapToGrid w:val="0"/>
              <w:spacing w:before="50" w:after="50"/>
              <w:jc w:val="center"/>
              <w:rPr>
                <w:rFonts w:ascii="宋体" w:hAnsi="宋体" w:cs="宋体"/>
                <w:sz w:val="24"/>
                <w:szCs w:val="24"/>
                <w:highlight w:val="none"/>
              </w:rPr>
            </w:pPr>
            <w:r>
              <w:rPr>
                <w:rFonts w:hint="eastAsia" w:ascii="宋体" w:hAnsi="宋体" w:cs="宋体"/>
                <w:sz w:val="24"/>
                <w:szCs w:val="24"/>
                <w:highlight w:val="none"/>
              </w:rPr>
              <w:t>劳动合同编号</w:t>
            </w:r>
          </w:p>
        </w:tc>
      </w:tr>
      <w:tr w14:paraId="0457A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DC180B9">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322477B">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540A4243">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DED0F1B">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C669D00">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1BBEA811">
            <w:pPr>
              <w:snapToGrid w:val="0"/>
              <w:spacing w:beforeLines="50" w:after="50" w:line="460" w:lineRule="exact"/>
              <w:rPr>
                <w:rFonts w:ascii="宋体" w:hAnsi="宋体" w:cs="宋体"/>
                <w:sz w:val="24"/>
                <w:szCs w:val="24"/>
                <w:highlight w:val="none"/>
              </w:rPr>
            </w:pPr>
          </w:p>
        </w:tc>
      </w:tr>
      <w:tr w14:paraId="3A5AF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0BF982AD">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645FA59">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949DEC4">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D563E0">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7966670">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105495F1">
            <w:pPr>
              <w:snapToGrid w:val="0"/>
              <w:spacing w:beforeLines="50" w:after="50" w:line="460" w:lineRule="exact"/>
              <w:rPr>
                <w:rFonts w:ascii="宋体" w:hAnsi="宋体" w:cs="宋体"/>
                <w:sz w:val="24"/>
                <w:szCs w:val="24"/>
                <w:highlight w:val="none"/>
              </w:rPr>
            </w:pPr>
          </w:p>
        </w:tc>
      </w:tr>
      <w:tr w14:paraId="5FEEB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F95C573">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5CB79AC">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53F929F">
            <w:pPr>
              <w:pStyle w:val="13"/>
              <w:snapToGrid w:val="0"/>
              <w:spacing w:beforeLines="50" w:after="50" w:line="460" w:lineRule="exact"/>
              <w:ind w:left="5250"/>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14:paraId="0454CA1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01FD8F04">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21B462CA">
            <w:pPr>
              <w:snapToGrid w:val="0"/>
              <w:spacing w:beforeLines="50" w:after="50" w:line="460" w:lineRule="exact"/>
              <w:rPr>
                <w:rFonts w:ascii="宋体" w:hAnsi="宋体" w:cs="宋体"/>
                <w:sz w:val="24"/>
                <w:szCs w:val="24"/>
                <w:highlight w:val="none"/>
              </w:rPr>
            </w:pPr>
          </w:p>
        </w:tc>
      </w:tr>
      <w:tr w14:paraId="2823D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4C0A9D94">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FCB9537">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40BC2D65">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D86E743">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225A5D88">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2529AD9B">
            <w:pPr>
              <w:snapToGrid w:val="0"/>
              <w:spacing w:beforeLines="50" w:after="50" w:line="460" w:lineRule="exact"/>
              <w:rPr>
                <w:rFonts w:ascii="宋体" w:hAnsi="宋体" w:cs="宋体"/>
                <w:sz w:val="24"/>
                <w:szCs w:val="24"/>
                <w:highlight w:val="none"/>
              </w:rPr>
            </w:pPr>
          </w:p>
        </w:tc>
      </w:tr>
      <w:tr w14:paraId="4584E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73BDD18F">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BAADD1F">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1C8AC4F">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A8AE65">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7549969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06C3CB2A">
            <w:pPr>
              <w:snapToGrid w:val="0"/>
              <w:spacing w:beforeLines="50" w:after="50" w:line="460" w:lineRule="exact"/>
              <w:rPr>
                <w:rFonts w:ascii="宋体" w:hAnsi="宋体" w:cs="宋体"/>
                <w:sz w:val="24"/>
                <w:szCs w:val="24"/>
                <w:highlight w:val="none"/>
              </w:rPr>
            </w:pPr>
          </w:p>
        </w:tc>
      </w:tr>
      <w:tr w14:paraId="46B6E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1FC3819D">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E2EC8D">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B5234A2">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EC945D9">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17EB63B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3BD844A2">
            <w:pPr>
              <w:snapToGrid w:val="0"/>
              <w:spacing w:beforeLines="50" w:after="50" w:line="460" w:lineRule="exact"/>
              <w:rPr>
                <w:rFonts w:ascii="宋体" w:hAnsi="宋体" w:cs="宋体"/>
                <w:sz w:val="24"/>
                <w:szCs w:val="24"/>
                <w:highlight w:val="none"/>
              </w:rPr>
            </w:pPr>
          </w:p>
        </w:tc>
      </w:tr>
      <w:tr w14:paraId="08DFA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3641BAA8">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5801CA4">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5A550E9">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3EB5C91">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3F558E86">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74172E14">
            <w:pPr>
              <w:snapToGrid w:val="0"/>
              <w:spacing w:beforeLines="50" w:after="50" w:line="460" w:lineRule="exact"/>
              <w:rPr>
                <w:rFonts w:ascii="宋体" w:hAnsi="宋体" w:cs="宋体"/>
                <w:sz w:val="24"/>
                <w:szCs w:val="24"/>
                <w:highlight w:val="none"/>
              </w:rPr>
            </w:pPr>
          </w:p>
        </w:tc>
      </w:tr>
      <w:tr w14:paraId="55928F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A732652">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51EA21C">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CA897A9">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3FA80AF2">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6293FAD8">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62CF44D2">
            <w:pPr>
              <w:snapToGrid w:val="0"/>
              <w:spacing w:beforeLines="50" w:after="50" w:line="460" w:lineRule="exact"/>
              <w:rPr>
                <w:rFonts w:ascii="宋体" w:hAnsi="宋体" w:cs="宋体"/>
                <w:sz w:val="24"/>
                <w:szCs w:val="24"/>
                <w:highlight w:val="none"/>
              </w:rPr>
            </w:pPr>
          </w:p>
        </w:tc>
      </w:tr>
      <w:tr w14:paraId="4F3C9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tcPr>
          <w:p w14:paraId="27AD89F9">
            <w:pPr>
              <w:snapToGrid w:val="0"/>
              <w:spacing w:beforeLines="50" w:after="50" w:line="460" w:lineRule="exact"/>
              <w:rPr>
                <w:rFonts w:ascii="宋体" w:hAnsi="宋体" w:cs="宋体"/>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CE4BB1C">
            <w:pPr>
              <w:snapToGrid w:val="0"/>
              <w:spacing w:beforeLines="50" w:after="50" w:line="460" w:lineRule="exact"/>
              <w:rPr>
                <w:rFonts w:ascii="宋体" w:hAnsi="宋体" w:cs="宋体"/>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91E3B73">
            <w:pPr>
              <w:snapToGrid w:val="0"/>
              <w:spacing w:beforeLines="50" w:after="50" w:line="460" w:lineRule="exact"/>
              <w:rPr>
                <w:rFonts w:ascii="宋体" w:hAnsi="宋体" w:cs="宋体"/>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39C938A">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tcPr>
          <w:p w14:paraId="5C6885C8">
            <w:pPr>
              <w:snapToGrid w:val="0"/>
              <w:spacing w:beforeLines="50" w:after="50" w:line="460" w:lineRule="exact"/>
              <w:rPr>
                <w:rFonts w:ascii="宋体" w:hAnsi="宋体" w:cs="宋体"/>
                <w:sz w:val="24"/>
                <w:szCs w:val="24"/>
                <w:highlight w:val="none"/>
              </w:rPr>
            </w:pPr>
          </w:p>
        </w:tc>
        <w:tc>
          <w:tcPr>
            <w:tcW w:w="1800" w:type="dxa"/>
            <w:tcBorders>
              <w:top w:val="single" w:color="auto" w:sz="4" w:space="0"/>
              <w:left w:val="single" w:color="auto" w:sz="4" w:space="0"/>
              <w:bottom w:val="single" w:color="auto" w:sz="4" w:space="0"/>
            </w:tcBorders>
          </w:tcPr>
          <w:p w14:paraId="0DB6D0A6">
            <w:pPr>
              <w:snapToGrid w:val="0"/>
              <w:spacing w:beforeLines="50" w:after="50" w:line="460" w:lineRule="exact"/>
              <w:rPr>
                <w:rFonts w:ascii="宋体" w:hAnsi="宋体" w:cs="宋体"/>
                <w:sz w:val="24"/>
                <w:szCs w:val="24"/>
                <w:highlight w:val="none"/>
              </w:rPr>
            </w:pPr>
          </w:p>
        </w:tc>
      </w:tr>
    </w:tbl>
    <w:p w14:paraId="410DE6E1">
      <w:pPr>
        <w:adjustRightInd w:val="0"/>
        <w:snapToGrid w:val="0"/>
        <w:spacing w:line="360" w:lineRule="auto"/>
        <w:jc w:val="left"/>
        <w:rPr>
          <w:rFonts w:ascii="宋体" w:hAnsi="宋体" w:cs="宋体"/>
          <w:sz w:val="24"/>
          <w:szCs w:val="24"/>
          <w:highlight w:val="none"/>
        </w:rPr>
      </w:pPr>
    </w:p>
    <w:p w14:paraId="1D2499A7">
      <w:pPr>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注：在填写时，如本表格不适合投标单位的实际情况，可根据本表格式自行划表填写。</w:t>
      </w:r>
    </w:p>
    <w:p w14:paraId="4F13D248">
      <w:pPr>
        <w:snapToGrid w:val="0"/>
        <w:spacing w:before="50" w:afterLines="50" w:line="460" w:lineRule="exact"/>
        <w:jc w:val="left"/>
        <w:rPr>
          <w:rFonts w:ascii="宋体" w:hAnsi="宋体" w:cs="宋体"/>
          <w:sz w:val="24"/>
          <w:szCs w:val="24"/>
          <w:highlight w:val="none"/>
        </w:rPr>
      </w:pPr>
    </w:p>
    <w:p w14:paraId="56123304">
      <w:pPr>
        <w:pStyle w:val="11"/>
        <w:rPr>
          <w:highlight w:val="none"/>
        </w:rPr>
      </w:pPr>
    </w:p>
    <w:p w14:paraId="53B45007">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21251031">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0DBD9B14">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440547D8">
      <w:pPr>
        <w:spacing w:line="360" w:lineRule="auto"/>
        <w:jc w:val="center"/>
        <w:rPr>
          <w:rFonts w:ascii="宋体" w:hAnsi="宋体" w:cs="宋体"/>
          <w:b/>
          <w:bCs/>
          <w:kern w:val="0"/>
          <w:sz w:val="36"/>
          <w:szCs w:val="36"/>
          <w:highlight w:val="none"/>
        </w:rPr>
      </w:pPr>
      <w:r>
        <w:rPr>
          <w:rFonts w:hint="eastAsia" w:ascii="宋体" w:hAnsi="宋体" w:cs="宋体"/>
          <w:spacing w:val="20"/>
          <w:sz w:val="30"/>
          <w:szCs w:val="30"/>
          <w:highlight w:val="none"/>
        </w:rPr>
        <w:br w:type="page"/>
      </w:r>
      <w:r>
        <w:rPr>
          <w:rFonts w:hint="eastAsia" w:ascii="宋体" w:hAnsi="宋体" w:cs="宋体"/>
          <w:b/>
          <w:bCs/>
          <w:kern w:val="0"/>
          <w:sz w:val="36"/>
          <w:szCs w:val="36"/>
          <w:highlight w:val="none"/>
        </w:rPr>
        <w:t>报价文件</w:t>
      </w:r>
    </w:p>
    <w:p w14:paraId="2160B956">
      <w:pPr>
        <w:spacing w:line="360" w:lineRule="auto"/>
        <w:jc w:val="center"/>
        <w:rPr>
          <w:rFonts w:ascii="宋体" w:hAnsi="宋体" w:cs="宋体"/>
          <w:b/>
          <w:bCs/>
          <w:kern w:val="0"/>
          <w:sz w:val="36"/>
          <w:szCs w:val="36"/>
          <w:highlight w:val="none"/>
        </w:rPr>
      </w:pPr>
    </w:p>
    <w:p w14:paraId="3F2310D4">
      <w:pPr>
        <w:spacing w:line="360" w:lineRule="auto"/>
        <w:jc w:val="center"/>
        <w:rPr>
          <w:rFonts w:ascii="宋体" w:hAnsi="宋体" w:cs="宋体"/>
          <w:b/>
          <w:bCs/>
          <w:kern w:val="0"/>
          <w:sz w:val="36"/>
          <w:szCs w:val="36"/>
          <w:highlight w:val="none"/>
        </w:rPr>
      </w:pPr>
      <w:r>
        <w:rPr>
          <w:rFonts w:hint="eastAsia" w:ascii="宋体" w:hAnsi="宋体" w:cs="宋体"/>
          <w:b/>
          <w:bCs/>
          <w:kern w:val="0"/>
          <w:sz w:val="36"/>
          <w:szCs w:val="36"/>
          <w:highlight w:val="none"/>
        </w:rPr>
        <w:t>目录</w:t>
      </w:r>
    </w:p>
    <w:p w14:paraId="284118DC">
      <w:pPr>
        <w:pStyle w:val="11"/>
        <w:ind w:firstLine="723"/>
        <w:rPr>
          <w:b/>
          <w:bCs/>
          <w:kern w:val="0"/>
          <w:sz w:val="36"/>
          <w:szCs w:val="36"/>
          <w:highlight w:val="none"/>
        </w:rPr>
      </w:pPr>
    </w:p>
    <w:p w14:paraId="113A6ECE">
      <w:pPr>
        <w:spacing w:line="360" w:lineRule="auto"/>
        <w:rPr>
          <w:rFonts w:ascii="宋体" w:hAnsi="宋体" w:cs="宋体"/>
          <w:sz w:val="24"/>
          <w:szCs w:val="24"/>
          <w:highlight w:val="none"/>
        </w:rPr>
      </w:pPr>
      <w:r>
        <w:rPr>
          <w:rFonts w:hint="eastAsia" w:ascii="宋体" w:hAnsi="宋体" w:cs="宋体"/>
          <w:sz w:val="24"/>
          <w:szCs w:val="24"/>
          <w:highlight w:val="none"/>
        </w:rPr>
        <w:t>（1）磋商函（格式见附件）；</w:t>
      </w:r>
    </w:p>
    <w:p w14:paraId="00089E97">
      <w:pPr>
        <w:spacing w:line="360" w:lineRule="auto"/>
        <w:rPr>
          <w:rFonts w:ascii="宋体" w:hAnsi="宋体" w:cs="宋体"/>
          <w:sz w:val="24"/>
          <w:szCs w:val="24"/>
          <w:highlight w:val="none"/>
        </w:rPr>
      </w:pPr>
      <w:r>
        <w:rPr>
          <w:rFonts w:hint="eastAsia" w:ascii="宋体" w:hAnsi="宋体" w:cs="宋体"/>
          <w:sz w:val="24"/>
          <w:szCs w:val="24"/>
          <w:highlight w:val="none"/>
        </w:rPr>
        <w:t>（2）报价一览表（格式见附件）；</w:t>
      </w:r>
    </w:p>
    <w:p w14:paraId="6335E925">
      <w:pPr>
        <w:spacing w:line="360" w:lineRule="auto"/>
        <w:rPr>
          <w:rFonts w:ascii="宋体" w:hAnsi="宋体" w:cs="宋体"/>
          <w:sz w:val="24"/>
          <w:szCs w:val="24"/>
          <w:highlight w:val="none"/>
        </w:rPr>
      </w:pPr>
      <w:r>
        <w:rPr>
          <w:rFonts w:hint="eastAsia" w:ascii="宋体" w:hAnsi="宋体" w:cs="宋体"/>
          <w:sz w:val="24"/>
          <w:szCs w:val="24"/>
          <w:highlight w:val="none"/>
        </w:rPr>
        <w:t>（3）磋商报价明细表（格式见附件）。</w:t>
      </w:r>
    </w:p>
    <w:p w14:paraId="6999EF3C">
      <w:pPr>
        <w:spacing w:line="360" w:lineRule="auto"/>
        <w:rPr>
          <w:rFonts w:ascii="宋体" w:hAnsi="宋体" w:cs="宋体"/>
          <w:highlight w:val="none"/>
        </w:rPr>
      </w:pPr>
    </w:p>
    <w:p w14:paraId="18E789AB">
      <w:pPr>
        <w:rPr>
          <w:rFonts w:ascii="宋体" w:hAnsi="宋体" w:cs="宋体"/>
          <w:highlight w:val="none"/>
        </w:rPr>
      </w:pPr>
    </w:p>
    <w:p w14:paraId="5081C095">
      <w:pPr>
        <w:rPr>
          <w:rFonts w:ascii="宋体" w:hAnsi="宋体" w:cs="宋体"/>
          <w:highlight w:val="none"/>
        </w:rPr>
      </w:pPr>
      <w:r>
        <w:rPr>
          <w:rFonts w:hint="eastAsia" w:ascii="宋体" w:hAnsi="宋体" w:cs="宋体"/>
          <w:highlight w:val="none"/>
        </w:rPr>
        <w:br w:type="page"/>
      </w:r>
    </w:p>
    <w:p w14:paraId="68F9FB92">
      <w:pPr>
        <w:rPr>
          <w:rFonts w:ascii="宋体" w:hAnsi="宋体" w:cs="宋体"/>
          <w:b/>
          <w:bCs/>
          <w:highlight w:val="none"/>
          <w:lang w:val="zh-CN"/>
        </w:rPr>
      </w:pPr>
      <w:bookmarkStart w:id="109" w:name="_Toc3094"/>
      <w:r>
        <w:rPr>
          <w:rFonts w:hint="eastAsia" w:ascii="宋体" w:hAnsi="宋体" w:cs="宋体"/>
          <w:b/>
          <w:bCs/>
          <w:sz w:val="24"/>
          <w:szCs w:val="24"/>
          <w:highlight w:val="none"/>
          <w:lang w:val="zh-CN"/>
        </w:rPr>
        <w:t>附件</w:t>
      </w:r>
      <w:bookmarkStart w:id="110" w:name="_Toc130094924"/>
      <w:bookmarkStart w:id="111" w:name="_Toc98731770"/>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二</w:t>
      </w:r>
      <w:r>
        <w:rPr>
          <w:rFonts w:hint="eastAsia" w:ascii="宋体" w:hAnsi="宋体" w:cs="宋体"/>
          <w:b/>
          <w:bCs/>
          <w:sz w:val="24"/>
          <w:szCs w:val="24"/>
          <w:highlight w:val="none"/>
        </w:rPr>
        <w:t>：</w:t>
      </w:r>
    </w:p>
    <w:p w14:paraId="33E999EB">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磋商函</w:t>
      </w:r>
      <w:bookmarkEnd w:id="109"/>
      <w:bookmarkEnd w:id="110"/>
      <w:bookmarkEnd w:id="111"/>
    </w:p>
    <w:p w14:paraId="6209BA6C">
      <w:pPr>
        <w:spacing w:line="360" w:lineRule="auto"/>
        <w:ind w:firstLine="480" w:firstLineChars="200"/>
        <w:rPr>
          <w:rFonts w:ascii="宋体" w:hAnsi="宋体" w:cs="宋体"/>
          <w:sz w:val="24"/>
          <w:szCs w:val="24"/>
          <w:highlight w:val="none"/>
          <w:u w:val="single"/>
        </w:rPr>
      </w:pPr>
    </w:p>
    <w:p w14:paraId="3F010F5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eastAsia="zh-CN"/>
        </w:rPr>
        <w:t>绍兴市上虞区卫生信息中心</w:t>
      </w:r>
      <w:r>
        <w:rPr>
          <w:rFonts w:hint="eastAsia" w:ascii="宋体" w:hAnsi="宋体" w:cs="宋体"/>
          <w:sz w:val="24"/>
          <w:szCs w:val="24"/>
          <w:highlight w:val="none"/>
        </w:rPr>
        <w:t>：</w:t>
      </w:r>
    </w:p>
    <w:p w14:paraId="3AC875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绍兴成言工程咨询管理有限公司：</w:t>
      </w:r>
    </w:p>
    <w:p w14:paraId="3537BF6C">
      <w:pPr>
        <w:spacing w:line="360" w:lineRule="auto"/>
        <w:ind w:firstLine="480"/>
        <w:jc w:val="left"/>
        <w:rPr>
          <w:rFonts w:ascii="宋体" w:hAnsi="宋体" w:cs="宋体"/>
          <w:sz w:val="24"/>
          <w:highlight w:val="none"/>
        </w:rPr>
      </w:pPr>
      <w:bookmarkStart w:id="112" w:name="_Toc12011"/>
      <w:r>
        <w:rPr>
          <w:rFonts w:hint="eastAsia" w:ascii="宋体" w:hAnsi="宋体" w:cs="宋体"/>
          <w:sz w:val="24"/>
          <w:highlight w:val="none"/>
        </w:rPr>
        <w:t>我单位认真研究了关于的磋商文件，包括修改文件（如有的话）以及全部参考资料和有关附件。我们完全理解并接受磋商文件的各项规定和要求，对磋商文件的合理性、合法性不再有异议。如磋商文件前后有矛盾的，我方完全同意按贵方的理解处理。我单位承诺：</w:t>
      </w:r>
    </w:p>
    <w:p w14:paraId="0EFBE0E2">
      <w:pPr>
        <w:spacing w:line="360" w:lineRule="auto"/>
        <w:ind w:firstLine="504" w:firstLineChars="240"/>
        <w:rPr>
          <w:rFonts w:ascii="宋体" w:hAnsi="宋体" w:cs="宋体"/>
          <w:sz w:val="24"/>
          <w:highlight w:val="none"/>
        </w:rPr>
      </w:pPr>
      <w:r>
        <w:rPr>
          <w:rFonts w:ascii="宋体" w:hAnsi="宋体" w:cs="宋体"/>
          <w:highlight w:val="none"/>
        </w:rPr>
        <w:pict>
          <v:line id="_x0000_s1026" o:spid="_x0000_s1026" o:spt="20" style="position:absolute;left:0pt;margin-left:9pt;margin-top:39pt;height:0pt;width:0.05pt;z-index:251660288;mso-width-relative:page;mso-height-relative:page;" coordsize="21600,21600" o:allowincell="f" o:gfxdata="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T0kGtIAAAAHAQAADwAAAAAAAAABACAAAAAiAAAAZHJzL2Rvd25yZXYueG1sUEsBAhQAFAAA&#10;AAgAh07iQJgB+bz1AQAA7gMAAA4AAAAAAAAAAQAgAAAAIQEAAGRycy9lMm9Eb2MueG1sUEsFBgAA&#10;AAAGAAYAWQEAAIgFAAAAAA==&#10;">
            <v:path arrowok="t"/>
            <v:fill focussize="0,0"/>
            <v:stroke/>
            <v:imagedata o:title=""/>
            <o:lock v:ext="edit"/>
          </v:line>
        </w:pict>
      </w:r>
      <w:r>
        <w:rPr>
          <w:rFonts w:hint="eastAsia" w:ascii="宋体" w:hAnsi="宋体" w:cs="宋体"/>
          <w:sz w:val="24"/>
          <w:highlight w:val="none"/>
        </w:rPr>
        <w:t>1、一旦我单位中标，我单位愿意承接报价一览表中所列的技术服务，服务期为。</w:t>
      </w:r>
    </w:p>
    <w:p w14:paraId="047EAD44">
      <w:pPr>
        <w:spacing w:line="360" w:lineRule="auto"/>
        <w:ind w:firstLine="480" w:firstLineChars="200"/>
        <w:rPr>
          <w:rFonts w:ascii="宋体" w:hAnsi="宋体" w:cs="宋体"/>
          <w:sz w:val="24"/>
          <w:highlight w:val="none"/>
        </w:rPr>
      </w:pPr>
      <w:r>
        <w:rPr>
          <w:rFonts w:hint="eastAsia" w:ascii="宋体" w:hAnsi="宋体" w:cs="宋体"/>
          <w:sz w:val="24"/>
          <w:highlight w:val="none"/>
        </w:rPr>
        <w:t>2、我单位同意提供按照采购人的可能要求与其投标有关的一切数据和资料，完全理解采购人不一定要接受最低价者作为成交供应商。</w:t>
      </w:r>
    </w:p>
    <w:p w14:paraId="6148CAE4">
      <w:pPr>
        <w:spacing w:line="360" w:lineRule="auto"/>
        <w:ind w:firstLine="480" w:firstLineChars="200"/>
        <w:rPr>
          <w:rFonts w:ascii="宋体" w:hAnsi="宋体" w:cs="宋体"/>
          <w:sz w:val="24"/>
          <w:highlight w:val="none"/>
        </w:rPr>
      </w:pPr>
      <w:r>
        <w:rPr>
          <w:rFonts w:hint="eastAsia" w:ascii="宋体" w:hAnsi="宋体" w:cs="宋体"/>
          <w:sz w:val="24"/>
          <w:highlight w:val="none"/>
        </w:rPr>
        <w:t>3、一旦我单位中标，我们保证按照磋商文件的要求，完成服务。</w:t>
      </w:r>
    </w:p>
    <w:p w14:paraId="0859A7A0">
      <w:pPr>
        <w:spacing w:line="360" w:lineRule="auto"/>
        <w:ind w:firstLine="480" w:firstLineChars="200"/>
        <w:rPr>
          <w:rFonts w:ascii="宋体" w:hAnsi="宋体" w:cs="宋体"/>
          <w:sz w:val="24"/>
          <w:highlight w:val="none"/>
        </w:rPr>
      </w:pPr>
      <w:r>
        <w:rPr>
          <w:rFonts w:hint="eastAsia" w:ascii="宋体" w:hAnsi="宋体" w:cs="宋体"/>
          <w:sz w:val="24"/>
          <w:highlight w:val="none"/>
        </w:rPr>
        <w:t>4、如果我单位中标，我方将按照要求严格履行合同义务。</w:t>
      </w:r>
    </w:p>
    <w:p w14:paraId="2D426E25">
      <w:pPr>
        <w:spacing w:line="360" w:lineRule="auto"/>
        <w:ind w:firstLine="480" w:firstLineChars="200"/>
        <w:rPr>
          <w:rFonts w:ascii="宋体" w:hAnsi="宋体" w:cs="宋体"/>
          <w:sz w:val="24"/>
          <w:highlight w:val="none"/>
        </w:rPr>
      </w:pPr>
      <w:r>
        <w:rPr>
          <w:rFonts w:hint="eastAsia" w:ascii="宋体" w:hAnsi="宋体" w:cs="宋体"/>
          <w:sz w:val="24"/>
          <w:highlight w:val="none"/>
        </w:rPr>
        <w:t>5、除非另行达成协议并生效，你方的成交通知书和本磋商函将构成约束你我双方的合同。</w:t>
      </w:r>
    </w:p>
    <w:p w14:paraId="05441496">
      <w:pPr>
        <w:spacing w:line="360" w:lineRule="auto"/>
        <w:ind w:firstLine="480" w:firstLineChars="200"/>
        <w:rPr>
          <w:rFonts w:ascii="宋体" w:hAnsi="宋体" w:cs="宋体"/>
          <w:sz w:val="24"/>
          <w:highlight w:val="none"/>
        </w:rPr>
      </w:pPr>
      <w:r>
        <w:rPr>
          <w:rFonts w:hint="eastAsia" w:ascii="宋体" w:hAnsi="宋体" w:cs="宋体"/>
          <w:sz w:val="24"/>
          <w:highlight w:val="none"/>
        </w:rPr>
        <w:t>6、我单位承诺，一旦发生磋商文件第二部分第11条规定情形之一的，承担该条款约定的责任。</w:t>
      </w:r>
    </w:p>
    <w:p w14:paraId="5810B26A">
      <w:pPr>
        <w:pStyle w:val="12"/>
        <w:snapToGrid w:val="0"/>
        <w:spacing w:line="360" w:lineRule="auto"/>
        <w:ind w:left="480"/>
        <w:jc w:val="left"/>
        <w:rPr>
          <w:rFonts w:hAnsi="宋体"/>
          <w:sz w:val="24"/>
          <w:szCs w:val="24"/>
          <w:highlight w:val="none"/>
        </w:rPr>
      </w:pPr>
    </w:p>
    <w:p w14:paraId="1F4F9A28">
      <w:pPr>
        <w:spacing w:line="360" w:lineRule="auto"/>
        <w:ind w:firstLine="480" w:firstLineChars="200"/>
        <w:rPr>
          <w:rFonts w:ascii="宋体" w:hAnsi="宋体" w:cs="宋体"/>
          <w:sz w:val="24"/>
          <w:highlight w:val="none"/>
        </w:rPr>
      </w:pPr>
      <w:r>
        <w:rPr>
          <w:rFonts w:hint="eastAsia" w:ascii="宋体" w:hAnsi="宋体" w:cs="宋体"/>
          <w:sz w:val="24"/>
          <w:highlight w:val="none"/>
        </w:rPr>
        <w:t>地址：                     邮编：</w:t>
      </w:r>
    </w:p>
    <w:p w14:paraId="41DB1DA0">
      <w:pPr>
        <w:spacing w:line="360" w:lineRule="auto"/>
        <w:ind w:firstLine="480" w:firstLineChars="200"/>
        <w:rPr>
          <w:rFonts w:ascii="宋体" w:hAnsi="宋体" w:cs="宋体"/>
          <w:sz w:val="24"/>
          <w:highlight w:val="none"/>
        </w:rPr>
      </w:pPr>
      <w:r>
        <w:rPr>
          <w:rFonts w:hint="eastAsia" w:ascii="宋体" w:hAnsi="宋体" w:cs="宋体"/>
          <w:sz w:val="24"/>
          <w:highlight w:val="none"/>
        </w:rPr>
        <w:t>电话：                     传真：</w:t>
      </w:r>
    </w:p>
    <w:p w14:paraId="7D24919F">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供应商代表姓名：        职务：</w:t>
      </w:r>
    </w:p>
    <w:p w14:paraId="65526B67">
      <w:pPr>
        <w:spacing w:line="360" w:lineRule="auto"/>
        <w:ind w:firstLine="480" w:firstLineChars="200"/>
        <w:rPr>
          <w:rFonts w:ascii="宋体" w:hAnsi="宋体" w:cs="宋体"/>
          <w:sz w:val="24"/>
          <w:highlight w:val="none"/>
        </w:rPr>
      </w:pPr>
      <w:r>
        <w:rPr>
          <w:rFonts w:hint="eastAsia" w:ascii="宋体" w:hAnsi="宋体" w:cs="宋体"/>
          <w:sz w:val="24"/>
          <w:highlight w:val="none"/>
        </w:rPr>
        <w:t>供应商名称：</w:t>
      </w:r>
    </w:p>
    <w:p w14:paraId="243D580D">
      <w:pPr>
        <w:spacing w:line="360" w:lineRule="auto"/>
        <w:ind w:firstLine="480" w:firstLineChars="200"/>
        <w:rPr>
          <w:rFonts w:ascii="宋体" w:hAnsi="宋体" w:cs="宋体"/>
          <w:sz w:val="24"/>
          <w:highlight w:val="none"/>
        </w:rPr>
      </w:pPr>
      <w:r>
        <w:rPr>
          <w:rFonts w:hint="eastAsia" w:ascii="宋体" w:hAnsi="宋体" w:cs="宋体"/>
          <w:sz w:val="24"/>
          <w:highlight w:val="none"/>
        </w:rPr>
        <w:t>（公章）：</w:t>
      </w:r>
    </w:p>
    <w:p w14:paraId="58894277">
      <w:pPr>
        <w:spacing w:line="360" w:lineRule="auto"/>
        <w:ind w:left="3780" w:leftChars="1800" w:firstLine="480" w:firstLineChars="200"/>
        <w:rPr>
          <w:rFonts w:ascii="宋体" w:hAnsi="宋体" w:cs="宋体"/>
          <w:sz w:val="24"/>
          <w:highlight w:val="none"/>
        </w:rPr>
      </w:pPr>
      <w:r>
        <w:rPr>
          <w:rFonts w:hint="eastAsia" w:ascii="宋体" w:hAnsi="宋体" w:cs="宋体"/>
          <w:sz w:val="24"/>
          <w:highlight w:val="none"/>
        </w:rPr>
        <w:t>法定代表人签名（或签名章）：</w:t>
      </w:r>
    </w:p>
    <w:p w14:paraId="47AD0665">
      <w:pPr>
        <w:spacing w:line="360" w:lineRule="auto"/>
        <w:ind w:left="3780" w:leftChars="1800" w:firstLine="480" w:firstLineChars="200"/>
        <w:rPr>
          <w:rFonts w:ascii="宋体" w:hAnsi="宋体" w:cs="宋体"/>
          <w:sz w:val="24"/>
          <w:highlight w:val="none"/>
        </w:rPr>
      </w:pPr>
      <w:r>
        <w:rPr>
          <w:rFonts w:hint="eastAsia" w:ascii="宋体" w:hAnsi="宋体" w:cs="宋体"/>
          <w:sz w:val="24"/>
          <w:highlight w:val="none"/>
        </w:rPr>
        <w:t>日期：</w:t>
      </w:r>
    </w:p>
    <w:p w14:paraId="31731C2B">
      <w:pPr>
        <w:rPr>
          <w:rFonts w:ascii="宋体" w:hAnsi="宋体" w:cs="宋体"/>
          <w:sz w:val="24"/>
          <w:szCs w:val="24"/>
          <w:highlight w:val="none"/>
          <w:lang w:val="zh-CN"/>
        </w:rPr>
      </w:pPr>
      <w:r>
        <w:rPr>
          <w:rFonts w:hint="eastAsia" w:ascii="宋体" w:hAnsi="宋体" w:cs="宋体"/>
          <w:sz w:val="24"/>
          <w:szCs w:val="24"/>
          <w:highlight w:val="none"/>
          <w:lang w:val="zh-CN"/>
        </w:rPr>
        <w:br w:type="page"/>
      </w:r>
    </w:p>
    <w:p w14:paraId="0BA84A53">
      <w:pPr>
        <w:rPr>
          <w:rFonts w:ascii="宋体" w:hAnsi="宋体" w:cs="宋体"/>
          <w:b/>
          <w:bCs/>
          <w:sz w:val="24"/>
          <w:szCs w:val="24"/>
          <w:highlight w:val="none"/>
          <w:lang w:val="zh-CN"/>
        </w:rPr>
      </w:pPr>
      <w:r>
        <w:rPr>
          <w:rFonts w:hint="eastAsia" w:ascii="宋体" w:hAnsi="宋体" w:cs="宋体"/>
          <w:b/>
          <w:bCs/>
          <w:sz w:val="24"/>
          <w:szCs w:val="24"/>
          <w:highlight w:val="none"/>
          <w:lang w:val="zh-CN"/>
        </w:rPr>
        <w:t>附件</w:t>
      </w:r>
      <w:bookmarkStart w:id="113" w:name="_Toc98731771"/>
      <w:bookmarkStart w:id="114" w:name="_Toc130094925"/>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w:t>
      </w:r>
    </w:p>
    <w:p w14:paraId="05F66CA4">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报价一览表</w:t>
      </w:r>
      <w:bookmarkEnd w:id="112"/>
      <w:bookmarkEnd w:id="113"/>
      <w:bookmarkEnd w:id="114"/>
    </w:p>
    <w:p w14:paraId="20F6DFEB">
      <w:pPr>
        <w:pStyle w:val="12"/>
        <w:spacing w:line="360" w:lineRule="auto"/>
        <w:rPr>
          <w:rFonts w:hAnsi="宋体"/>
          <w:sz w:val="24"/>
          <w:szCs w:val="24"/>
          <w:highlight w:val="none"/>
        </w:rPr>
      </w:pPr>
    </w:p>
    <w:p w14:paraId="0B8DF0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49E9ADB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6707"/>
      </w:tblGrid>
      <w:tr w14:paraId="6428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2089" w:type="dxa"/>
            <w:vAlign w:val="center"/>
          </w:tcPr>
          <w:p w14:paraId="3495CE35">
            <w:pPr>
              <w:pStyle w:val="12"/>
              <w:spacing w:line="360" w:lineRule="auto"/>
              <w:jc w:val="center"/>
              <w:rPr>
                <w:rFonts w:hAnsi="宋体"/>
                <w:b/>
                <w:bCs/>
                <w:sz w:val="24"/>
                <w:szCs w:val="24"/>
                <w:highlight w:val="none"/>
              </w:rPr>
            </w:pPr>
            <w:r>
              <w:rPr>
                <w:rFonts w:hint="eastAsia" w:hAnsi="宋体"/>
                <w:b/>
                <w:bCs/>
                <w:sz w:val="24"/>
                <w:szCs w:val="24"/>
                <w:highlight w:val="none"/>
              </w:rPr>
              <w:t>投标总价</w:t>
            </w:r>
          </w:p>
        </w:tc>
        <w:tc>
          <w:tcPr>
            <w:tcW w:w="6707" w:type="dxa"/>
            <w:vAlign w:val="center"/>
          </w:tcPr>
          <w:p w14:paraId="5547596C">
            <w:pPr>
              <w:pStyle w:val="12"/>
              <w:spacing w:line="360" w:lineRule="auto"/>
              <w:jc w:val="center"/>
              <w:rPr>
                <w:rFonts w:hAnsi="宋体"/>
                <w:b/>
                <w:bCs/>
                <w:sz w:val="24"/>
                <w:szCs w:val="24"/>
                <w:highlight w:val="none"/>
              </w:rPr>
            </w:pPr>
            <w:r>
              <w:rPr>
                <w:rFonts w:hint="eastAsia" w:hAnsi="宋体"/>
                <w:b/>
                <w:bCs/>
                <w:sz w:val="24"/>
                <w:szCs w:val="24"/>
                <w:highlight w:val="none"/>
              </w:rPr>
              <w:t>大写：</w:t>
            </w:r>
            <w:r>
              <w:rPr>
                <w:rFonts w:hint="eastAsia" w:hAnsi="宋体"/>
                <w:b/>
                <w:bCs/>
                <w:sz w:val="24"/>
                <w:szCs w:val="24"/>
                <w:highlight w:val="none"/>
                <w:u w:val="single"/>
              </w:rPr>
              <w:t>　　　　</w:t>
            </w:r>
            <w:r>
              <w:rPr>
                <w:rFonts w:hint="eastAsia" w:hAnsi="宋体"/>
                <w:b/>
                <w:bCs/>
                <w:sz w:val="24"/>
                <w:szCs w:val="24"/>
                <w:highlight w:val="none"/>
              </w:rPr>
              <w:t>元（小写：</w:t>
            </w:r>
            <w:r>
              <w:rPr>
                <w:rFonts w:hint="eastAsia" w:hAnsi="宋体"/>
                <w:b/>
                <w:bCs/>
                <w:sz w:val="24"/>
                <w:szCs w:val="24"/>
                <w:highlight w:val="none"/>
                <w:u w:val="single"/>
              </w:rPr>
              <w:t>　　　　</w:t>
            </w:r>
            <w:r>
              <w:rPr>
                <w:rFonts w:hint="eastAsia" w:hAnsi="宋体"/>
                <w:b/>
                <w:bCs/>
                <w:sz w:val="24"/>
                <w:szCs w:val="24"/>
                <w:highlight w:val="none"/>
              </w:rPr>
              <w:t>）</w:t>
            </w:r>
          </w:p>
        </w:tc>
      </w:tr>
      <w:tr w14:paraId="7FE0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8796" w:type="dxa"/>
            <w:gridSpan w:val="2"/>
            <w:vAlign w:val="center"/>
          </w:tcPr>
          <w:p w14:paraId="6B5BCF86">
            <w:pPr>
              <w:pStyle w:val="12"/>
              <w:spacing w:line="360" w:lineRule="auto"/>
              <w:ind w:firstLine="482" w:firstLineChars="200"/>
              <w:rPr>
                <w:rFonts w:hAnsi="宋体"/>
                <w:b/>
                <w:bCs/>
                <w:sz w:val="24"/>
                <w:szCs w:val="24"/>
                <w:highlight w:val="none"/>
              </w:rPr>
            </w:pPr>
            <w:r>
              <w:rPr>
                <w:rFonts w:hint="eastAsia" w:hAnsi="宋体"/>
                <w:b/>
                <w:bCs/>
                <w:sz w:val="24"/>
                <w:szCs w:val="24"/>
                <w:highlight w:val="none"/>
              </w:rPr>
              <w:t>本次报价应包含项目所需全部服务，不得缺漏，包含项目所需全部服务、货物，不得缺漏，是履行合同的最终价格（人员的工资福利、员工五险费(养老保险、医疗保险、失业保险、工伤保险、生育保险)、管理费、税费、专家费、人工成本费、办公用品、报告出具的费用、税费和采购代理费等一切费用）。</w:t>
            </w:r>
          </w:p>
        </w:tc>
      </w:tr>
    </w:tbl>
    <w:p w14:paraId="263F2330">
      <w:pPr>
        <w:pStyle w:val="12"/>
        <w:spacing w:line="360" w:lineRule="auto"/>
        <w:rPr>
          <w:rFonts w:hAnsi="宋体"/>
          <w:sz w:val="24"/>
          <w:szCs w:val="24"/>
          <w:highlight w:val="none"/>
        </w:rPr>
      </w:pPr>
    </w:p>
    <w:p w14:paraId="0F1041EA">
      <w:pPr>
        <w:pStyle w:val="12"/>
        <w:spacing w:line="360" w:lineRule="auto"/>
        <w:rPr>
          <w:rFonts w:hAnsi="宋体"/>
          <w:sz w:val="24"/>
          <w:szCs w:val="24"/>
          <w:highlight w:val="none"/>
        </w:rPr>
      </w:pPr>
    </w:p>
    <w:p w14:paraId="0EC92CA6">
      <w:pPr>
        <w:pStyle w:val="12"/>
        <w:spacing w:line="360" w:lineRule="auto"/>
        <w:rPr>
          <w:rFonts w:hAnsi="宋体"/>
          <w:sz w:val="24"/>
          <w:szCs w:val="24"/>
          <w:highlight w:val="none"/>
        </w:rPr>
      </w:pPr>
    </w:p>
    <w:p w14:paraId="4502BD5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7E89B2F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792E5B51">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p>
    <w:p w14:paraId="7A7E4C30">
      <w:pPr>
        <w:snapToGrid w:val="0"/>
        <w:spacing w:line="360" w:lineRule="auto"/>
        <w:ind w:firstLine="435"/>
        <w:rPr>
          <w:rFonts w:ascii="宋体" w:hAnsi="宋体" w:cs="宋体"/>
          <w:highlight w:val="none"/>
        </w:rPr>
      </w:pPr>
    </w:p>
    <w:p w14:paraId="69C05E5E">
      <w:pPr>
        <w:snapToGrid w:val="0"/>
        <w:spacing w:line="360" w:lineRule="auto"/>
        <w:ind w:firstLine="435"/>
        <w:rPr>
          <w:rFonts w:ascii="宋体" w:hAnsi="宋体" w:cs="宋体"/>
          <w:highlight w:val="none"/>
        </w:rPr>
      </w:pPr>
    </w:p>
    <w:p w14:paraId="5BA35F21">
      <w:pPr>
        <w:snapToGrid w:val="0"/>
        <w:spacing w:line="360" w:lineRule="auto"/>
        <w:ind w:firstLine="435"/>
        <w:rPr>
          <w:rFonts w:ascii="宋体" w:hAnsi="宋体" w:cs="宋体"/>
          <w:highlight w:val="none"/>
        </w:rPr>
      </w:pPr>
    </w:p>
    <w:p w14:paraId="262C36D1">
      <w:pPr>
        <w:snapToGrid w:val="0"/>
        <w:spacing w:line="360" w:lineRule="auto"/>
        <w:ind w:firstLine="435"/>
        <w:rPr>
          <w:rFonts w:ascii="宋体" w:hAnsi="宋体" w:cs="宋体"/>
          <w:highlight w:val="none"/>
        </w:rPr>
      </w:pPr>
    </w:p>
    <w:p w14:paraId="4A436D53">
      <w:pPr>
        <w:snapToGrid w:val="0"/>
        <w:spacing w:line="360" w:lineRule="auto"/>
        <w:ind w:firstLine="435"/>
        <w:rPr>
          <w:rFonts w:ascii="宋体" w:hAnsi="宋体" w:cs="宋体"/>
          <w:highlight w:val="none"/>
        </w:rPr>
      </w:pPr>
    </w:p>
    <w:p w14:paraId="31908EC8">
      <w:pPr>
        <w:spacing w:line="360" w:lineRule="auto"/>
        <w:jc w:val="left"/>
        <w:rPr>
          <w:rFonts w:ascii="宋体" w:hAnsi="宋体" w:cs="宋体"/>
          <w:b/>
          <w:bCs/>
          <w:sz w:val="24"/>
          <w:szCs w:val="24"/>
          <w:highlight w:val="none"/>
          <w:lang w:val="zh-CN"/>
        </w:rPr>
      </w:pPr>
      <w:r>
        <w:rPr>
          <w:rFonts w:hint="eastAsia" w:ascii="宋体" w:hAnsi="宋体" w:cs="宋体"/>
          <w:highlight w:val="none"/>
        </w:rPr>
        <w:br w:type="page"/>
      </w:r>
      <w:bookmarkStart w:id="115" w:name="_Toc7196"/>
      <w:r>
        <w:rPr>
          <w:rFonts w:hint="eastAsia" w:ascii="宋体" w:hAnsi="宋体" w:cs="宋体"/>
          <w:b/>
          <w:bCs/>
          <w:sz w:val="24"/>
          <w:szCs w:val="24"/>
          <w:highlight w:val="none"/>
          <w:lang w:val="zh-CN"/>
        </w:rPr>
        <w:t>附件</w:t>
      </w:r>
      <w:r>
        <w:rPr>
          <w:rFonts w:hint="eastAsia" w:ascii="宋体" w:hAnsi="宋体" w:cs="宋体"/>
          <w:b/>
          <w:bCs/>
          <w:sz w:val="24"/>
          <w:szCs w:val="24"/>
          <w:highlight w:val="none"/>
        </w:rPr>
        <w:t>十</w:t>
      </w:r>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lang w:val="zh-CN"/>
        </w:rPr>
        <w:t>：</w:t>
      </w:r>
    </w:p>
    <w:p w14:paraId="5AD0CA34">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磋商报价明细表</w:t>
      </w:r>
    </w:p>
    <w:p w14:paraId="5DC74A8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项目名称：</w:t>
      </w:r>
    </w:p>
    <w:p w14:paraId="6A8606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采购编号：</w:t>
      </w:r>
    </w:p>
    <w:tbl>
      <w:tblPr>
        <w:tblStyle w:val="23"/>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2492"/>
        <w:gridCol w:w="915"/>
        <w:gridCol w:w="1876"/>
        <w:gridCol w:w="495"/>
        <w:gridCol w:w="498"/>
        <w:gridCol w:w="1148"/>
        <w:gridCol w:w="1124"/>
      </w:tblGrid>
      <w:tr w14:paraId="220CF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restart"/>
            <w:vAlign w:val="center"/>
          </w:tcPr>
          <w:p w14:paraId="0DF0D186">
            <w:pPr>
              <w:pStyle w:val="12"/>
              <w:spacing w:line="360" w:lineRule="auto"/>
              <w:jc w:val="center"/>
              <w:rPr>
                <w:rFonts w:hAnsi="宋体"/>
                <w:sz w:val="22"/>
                <w:szCs w:val="22"/>
                <w:highlight w:val="none"/>
              </w:rPr>
            </w:pPr>
            <w:r>
              <w:rPr>
                <w:rFonts w:hint="eastAsia" w:hAnsi="宋体"/>
                <w:sz w:val="22"/>
                <w:szCs w:val="22"/>
                <w:highlight w:val="none"/>
              </w:rPr>
              <w:t>序</w:t>
            </w:r>
          </w:p>
          <w:p w14:paraId="77ED78FC">
            <w:pPr>
              <w:pStyle w:val="12"/>
              <w:spacing w:line="360" w:lineRule="auto"/>
              <w:jc w:val="center"/>
              <w:rPr>
                <w:rFonts w:hAnsi="宋体"/>
                <w:sz w:val="22"/>
                <w:szCs w:val="22"/>
                <w:highlight w:val="none"/>
              </w:rPr>
            </w:pPr>
            <w:r>
              <w:rPr>
                <w:rFonts w:hint="eastAsia" w:hAnsi="宋体"/>
                <w:sz w:val="22"/>
                <w:szCs w:val="22"/>
                <w:highlight w:val="none"/>
              </w:rPr>
              <w:t>号</w:t>
            </w:r>
          </w:p>
        </w:tc>
        <w:tc>
          <w:tcPr>
            <w:tcW w:w="2492" w:type="dxa"/>
            <w:vMerge w:val="restart"/>
            <w:vAlign w:val="center"/>
          </w:tcPr>
          <w:p w14:paraId="7B6BBA2D">
            <w:pPr>
              <w:pStyle w:val="12"/>
              <w:spacing w:line="360" w:lineRule="auto"/>
              <w:jc w:val="center"/>
              <w:rPr>
                <w:rFonts w:hAnsi="宋体"/>
                <w:sz w:val="22"/>
                <w:szCs w:val="22"/>
                <w:highlight w:val="none"/>
              </w:rPr>
            </w:pPr>
            <w:r>
              <w:rPr>
                <w:rFonts w:hint="eastAsia" w:hAnsi="宋体"/>
                <w:sz w:val="22"/>
                <w:szCs w:val="22"/>
                <w:highlight w:val="none"/>
              </w:rPr>
              <w:t>名称</w:t>
            </w:r>
          </w:p>
        </w:tc>
        <w:tc>
          <w:tcPr>
            <w:tcW w:w="915" w:type="dxa"/>
            <w:vMerge w:val="restart"/>
            <w:vAlign w:val="center"/>
          </w:tcPr>
          <w:p w14:paraId="73A52A9E">
            <w:pPr>
              <w:pStyle w:val="12"/>
              <w:spacing w:line="360" w:lineRule="auto"/>
              <w:jc w:val="center"/>
              <w:rPr>
                <w:rFonts w:hAnsi="宋体"/>
                <w:sz w:val="22"/>
                <w:szCs w:val="22"/>
                <w:highlight w:val="none"/>
              </w:rPr>
            </w:pPr>
            <w:r>
              <w:rPr>
                <w:rFonts w:hint="eastAsia" w:hAnsi="宋体"/>
                <w:sz w:val="22"/>
                <w:szCs w:val="22"/>
                <w:highlight w:val="none"/>
              </w:rPr>
              <w:t>内容</w:t>
            </w:r>
          </w:p>
        </w:tc>
        <w:tc>
          <w:tcPr>
            <w:tcW w:w="1876" w:type="dxa"/>
            <w:vMerge w:val="restart"/>
            <w:vAlign w:val="center"/>
          </w:tcPr>
          <w:p w14:paraId="053DDCC1">
            <w:pPr>
              <w:pStyle w:val="12"/>
              <w:spacing w:line="360" w:lineRule="auto"/>
              <w:jc w:val="center"/>
              <w:rPr>
                <w:rFonts w:hAnsi="宋体"/>
                <w:sz w:val="22"/>
                <w:szCs w:val="22"/>
                <w:highlight w:val="none"/>
              </w:rPr>
            </w:pPr>
            <w:r>
              <w:rPr>
                <w:rFonts w:hint="eastAsia" w:hAnsi="宋体"/>
                <w:sz w:val="22"/>
                <w:szCs w:val="22"/>
                <w:highlight w:val="none"/>
              </w:rPr>
              <w:t>其他</w:t>
            </w:r>
          </w:p>
        </w:tc>
        <w:tc>
          <w:tcPr>
            <w:tcW w:w="495" w:type="dxa"/>
            <w:vMerge w:val="restart"/>
            <w:vAlign w:val="center"/>
          </w:tcPr>
          <w:p w14:paraId="2D683900">
            <w:pPr>
              <w:pStyle w:val="12"/>
              <w:spacing w:line="360" w:lineRule="auto"/>
              <w:jc w:val="center"/>
              <w:rPr>
                <w:rFonts w:hAnsi="宋体"/>
                <w:sz w:val="22"/>
                <w:szCs w:val="22"/>
                <w:highlight w:val="none"/>
              </w:rPr>
            </w:pPr>
            <w:r>
              <w:rPr>
                <w:rFonts w:hint="eastAsia" w:hAnsi="宋体"/>
                <w:sz w:val="22"/>
                <w:szCs w:val="22"/>
                <w:highlight w:val="none"/>
              </w:rPr>
              <w:t>单</w:t>
            </w:r>
          </w:p>
          <w:p w14:paraId="4BFB7F6E">
            <w:pPr>
              <w:pStyle w:val="12"/>
              <w:spacing w:line="360" w:lineRule="auto"/>
              <w:jc w:val="center"/>
              <w:rPr>
                <w:rFonts w:hAnsi="宋体"/>
                <w:sz w:val="22"/>
                <w:szCs w:val="22"/>
                <w:highlight w:val="none"/>
              </w:rPr>
            </w:pPr>
            <w:r>
              <w:rPr>
                <w:rFonts w:hint="eastAsia" w:hAnsi="宋体"/>
                <w:sz w:val="22"/>
                <w:szCs w:val="22"/>
                <w:highlight w:val="none"/>
              </w:rPr>
              <w:t>位</w:t>
            </w:r>
          </w:p>
        </w:tc>
        <w:tc>
          <w:tcPr>
            <w:tcW w:w="498" w:type="dxa"/>
            <w:vMerge w:val="restart"/>
            <w:vAlign w:val="center"/>
          </w:tcPr>
          <w:p w14:paraId="4FE792EA">
            <w:pPr>
              <w:pStyle w:val="12"/>
              <w:spacing w:line="360" w:lineRule="auto"/>
              <w:jc w:val="center"/>
              <w:rPr>
                <w:rFonts w:hAnsi="宋体"/>
                <w:sz w:val="22"/>
                <w:szCs w:val="22"/>
                <w:highlight w:val="none"/>
              </w:rPr>
            </w:pPr>
            <w:r>
              <w:rPr>
                <w:rFonts w:hint="eastAsia" w:hAnsi="宋体"/>
                <w:sz w:val="22"/>
                <w:szCs w:val="22"/>
                <w:highlight w:val="none"/>
              </w:rPr>
              <w:t>数量</w:t>
            </w:r>
          </w:p>
        </w:tc>
        <w:tc>
          <w:tcPr>
            <w:tcW w:w="2272" w:type="dxa"/>
            <w:gridSpan w:val="2"/>
            <w:vAlign w:val="center"/>
          </w:tcPr>
          <w:p w14:paraId="4FABC48D">
            <w:pPr>
              <w:pStyle w:val="12"/>
              <w:spacing w:line="360" w:lineRule="auto"/>
              <w:jc w:val="center"/>
              <w:rPr>
                <w:rFonts w:hAnsi="宋体"/>
                <w:sz w:val="22"/>
                <w:szCs w:val="22"/>
                <w:highlight w:val="none"/>
              </w:rPr>
            </w:pPr>
            <w:r>
              <w:rPr>
                <w:rFonts w:hint="eastAsia" w:hAnsi="宋体"/>
                <w:sz w:val="22"/>
                <w:szCs w:val="22"/>
                <w:highlight w:val="none"/>
              </w:rPr>
              <w:t>投标报价（元）</w:t>
            </w:r>
          </w:p>
        </w:tc>
      </w:tr>
      <w:tr w14:paraId="47B3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Merge w:val="continue"/>
            <w:vAlign w:val="center"/>
          </w:tcPr>
          <w:p w14:paraId="75A24334">
            <w:pPr>
              <w:pStyle w:val="12"/>
              <w:spacing w:line="360" w:lineRule="auto"/>
              <w:jc w:val="center"/>
              <w:rPr>
                <w:rFonts w:hAnsi="宋体"/>
                <w:sz w:val="22"/>
                <w:szCs w:val="22"/>
                <w:highlight w:val="none"/>
              </w:rPr>
            </w:pPr>
          </w:p>
        </w:tc>
        <w:tc>
          <w:tcPr>
            <w:tcW w:w="2492" w:type="dxa"/>
            <w:vMerge w:val="continue"/>
            <w:vAlign w:val="center"/>
          </w:tcPr>
          <w:p w14:paraId="12C4EF33">
            <w:pPr>
              <w:pStyle w:val="12"/>
              <w:spacing w:line="360" w:lineRule="auto"/>
              <w:jc w:val="center"/>
              <w:rPr>
                <w:rFonts w:hAnsi="宋体"/>
                <w:sz w:val="22"/>
                <w:szCs w:val="22"/>
                <w:highlight w:val="none"/>
              </w:rPr>
            </w:pPr>
          </w:p>
        </w:tc>
        <w:tc>
          <w:tcPr>
            <w:tcW w:w="915" w:type="dxa"/>
            <w:vMerge w:val="continue"/>
            <w:vAlign w:val="center"/>
          </w:tcPr>
          <w:p w14:paraId="2BF69962">
            <w:pPr>
              <w:pStyle w:val="12"/>
              <w:spacing w:line="360" w:lineRule="auto"/>
              <w:jc w:val="center"/>
              <w:rPr>
                <w:rFonts w:hAnsi="宋体"/>
                <w:sz w:val="22"/>
                <w:szCs w:val="22"/>
                <w:highlight w:val="none"/>
              </w:rPr>
            </w:pPr>
          </w:p>
        </w:tc>
        <w:tc>
          <w:tcPr>
            <w:tcW w:w="1876" w:type="dxa"/>
            <w:vMerge w:val="continue"/>
            <w:vAlign w:val="center"/>
          </w:tcPr>
          <w:p w14:paraId="507EF846">
            <w:pPr>
              <w:pStyle w:val="12"/>
              <w:spacing w:line="360" w:lineRule="auto"/>
              <w:jc w:val="center"/>
              <w:rPr>
                <w:rFonts w:hAnsi="宋体"/>
                <w:sz w:val="22"/>
                <w:szCs w:val="22"/>
                <w:highlight w:val="none"/>
              </w:rPr>
            </w:pPr>
          </w:p>
        </w:tc>
        <w:tc>
          <w:tcPr>
            <w:tcW w:w="495" w:type="dxa"/>
            <w:vMerge w:val="continue"/>
            <w:vAlign w:val="center"/>
          </w:tcPr>
          <w:p w14:paraId="5CA490DF">
            <w:pPr>
              <w:pStyle w:val="12"/>
              <w:spacing w:line="360" w:lineRule="auto"/>
              <w:jc w:val="center"/>
              <w:rPr>
                <w:rFonts w:hAnsi="宋体"/>
                <w:sz w:val="22"/>
                <w:szCs w:val="22"/>
                <w:highlight w:val="none"/>
              </w:rPr>
            </w:pPr>
          </w:p>
        </w:tc>
        <w:tc>
          <w:tcPr>
            <w:tcW w:w="498" w:type="dxa"/>
            <w:vMerge w:val="continue"/>
            <w:vAlign w:val="center"/>
          </w:tcPr>
          <w:p w14:paraId="3AE9F4AB">
            <w:pPr>
              <w:pStyle w:val="12"/>
              <w:spacing w:line="360" w:lineRule="auto"/>
              <w:jc w:val="center"/>
              <w:rPr>
                <w:rFonts w:hAnsi="宋体"/>
                <w:sz w:val="22"/>
                <w:szCs w:val="22"/>
                <w:highlight w:val="none"/>
              </w:rPr>
            </w:pPr>
          </w:p>
        </w:tc>
        <w:tc>
          <w:tcPr>
            <w:tcW w:w="1148" w:type="dxa"/>
            <w:vAlign w:val="center"/>
          </w:tcPr>
          <w:p w14:paraId="4B84C57E">
            <w:pPr>
              <w:pStyle w:val="12"/>
              <w:spacing w:line="360" w:lineRule="auto"/>
              <w:jc w:val="center"/>
              <w:rPr>
                <w:rFonts w:hAnsi="宋体"/>
                <w:sz w:val="22"/>
                <w:szCs w:val="22"/>
                <w:highlight w:val="none"/>
              </w:rPr>
            </w:pPr>
            <w:r>
              <w:rPr>
                <w:rFonts w:hint="eastAsia" w:hAnsi="宋体"/>
                <w:sz w:val="22"/>
                <w:szCs w:val="22"/>
                <w:highlight w:val="none"/>
              </w:rPr>
              <w:t>单价</w:t>
            </w:r>
          </w:p>
        </w:tc>
        <w:tc>
          <w:tcPr>
            <w:tcW w:w="1124" w:type="dxa"/>
            <w:vAlign w:val="center"/>
          </w:tcPr>
          <w:p w14:paraId="2BE49726">
            <w:pPr>
              <w:pStyle w:val="12"/>
              <w:spacing w:line="360" w:lineRule="auto"/>
              <w:jc w:val="center"/>
              <w:rPr>
                <w:rFonts w:hAnsi="宋体"/>
                <w:sz w:val="22"/>
                <w:szCs w:val="22"/>
                <w:highlight w:val="none"/>
              </w:rPr>
            </w:pPr>
            <w:r>
              <w:rPr>
                <w:rFonts w:hint="eastAsia" w:hAnsi="宋体"/>
                <w:sz w:val="22"/>
                <w:szCs w:val="22"/>
                <w:highlight w:val="none"/>
              </w:rPr>
              <w:t>小计</w:t>
            </w:r>
          </w:p>
        </w:tc>
      </w:tr>
      <w:tr w14:paraId="2F43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1D6D46BF">
            <w:pPr>
              <w:pStyle w:val="12"/>
              <w:jc w:val="center"/>
              <w:rPr>
                <w:rFonts w:hAnsi="宋体"/>
                <w:sz w:val="22"/>
                <w:szCs w:val="22"/>
                <w:highlight w:val="none"/>
              </w:rPr>
            </w:pPr>
            <w:r>
              <w:rPr>
                <w:rFonts w:hint="eastAsia" w:hAnsi="宋体"/>
                <w:sz w:val="22"/>
                <w:szCs w:val="22"/>
                <w:highlight w:val="none"/>
              </w:rPr>
              <w:t>1</w:t>
            </w:r>
          </w:p>
        </w:tc>
        <w:tc>
          <w:tcPr>
            <w:tcW w:w="2492" w:type="dxa"/>
            <w:vAlign w:val="center"/>
          </w:tcPr>
          <w:p w14:paraId="6BCCE2A6">
            <w:pPr>
              <w:pStyle w:val="12"/>
              <w:rPr>
                <w:rFonts w:hAnsi="宋体"/>
                <w:sz w:val="22"/>
                <w:szCs w:val="22"/>
                <w:highlight w:val="none"/>
              </w:rPr>
            </w:pPr>
          </w:p>
        </w:tc>
        <w:tc>
          <w:tcPr>
            <w:tcW w:w="915" w:type="dxa"/>
            <w:vAlign w:val="center"/>
          </w:tcPr>
          <w:p w14:paraId="0AC3C49D">
            <w:pPr>
              <w:pStyle w:val="12"/>
              <w:spacing w:line="360" w:lineRule="auto"/>
              <w:rPr>
                <w:rFonts w:hAnsi="宋体"/>
                <w:b/>
                <w:bCs/>
                <w:sz w:val="22"/>
                <w:szCs w:val="22"/>
                <w:highlight w:val="none"/>
              </w:rPr>
            </w:pPr>
          </w:p>
        </w:tc>
        <w:tc>
          <w:tcPr>
            <w:tcW w:w="1876" w:type="dxa"/>
            <w:vAlign w:val="center"/>
          </w:tcPr>
          <w:p w14:paraId="394C3B07">
            <w:pPr>
              <w:pStyle w:val="12"/>
              <w:spacing w:line="360" w:lineRule="auto"/>
              <w:rPr>
                <w:rFonts w:hAnsi="宋体"/>
                <w:b/>
                <w:bCs/>
                <w:sz w:val="22"/>
                <w:szCs w:val="22"/>
                <w:highlight w:val="none"/>
              </w:rPr>
            </w:pPr>
          </w:p>
        </w:tc>
        <w:tc>
          <w:tcPr>
            <w:tcW w:w="495" w:type="dxa"/>
            <w:vAlign w:val="center"/>
          </w:tcPr>
          <w:p w14:paraId="764A3942">
            <w:pPr>
              <w:pStyle w:val="12"/>
              <w:spacing w:line="360" w:lineRule="auto"/>
              <w:rPr>
                <w:rFonts w:hAnsi="宋体"/>
                <w:b/>
                <w:bCs/>
                <w:sz w:val="22"/>
                <w:szCs w:val="22"/>
                <w:highlight w:val="none"/>
              </w:rPr>
            </w:pPr>
          </w:p>
        </w:tc>
        <w:tc>
          <w:tcPr>
            <w:tcW w:w="498" w:type="dxa"/>
            <w:vAlign w:val="center"/>
          </w:tcPr>
          <w:p w14:paraId="4F8AB64F">
            <w:pPr>
              <w:pStyle w:val="12"/>
              <w:spacing w:line="360" w:lineRule="auto"/>
              <w:rPr>
                <w:rFonts w:hAnsi="宋体"/>
                <w:b/>
                <w:bCs/>
                <w:sz w:val="22"/>
                <w:szCs w:val="22"/>
                <w:highlight w:val="none"/>
              </w:rPr>
            </w:pPr>
          </w:p>
        </w:tc>
        <w:tc>
          <w:tcPr>
            <w:tcW w:w="1148" w:type="dxa"/>
          </w:tcPr>
          <w:p w14:paraId="5F026701">
            <w:pPr>
              <w:pStyle w:val="12"/>
              <w:spacing w:line="360" w:lineRule="auto"/>
              <w:rPr>
                <w:rFonts w:hAnsi="宋体"/>
                <w:sz w:val="22"/>
                <w:szCs w:val="22"/>
                <w:highlight w:val="none"/>
              </w:rPr>
            </w:pPr>
          </w:p>
        </w:tc>
        <w:tc>
          <w:tcPr>
            <w:tcW w:w="1124" w:type="dxa"/>
          </w:tcPr>
          <w:p w14:paraId="467B6727">
            <w:pPr>
              <w:pStyle w:val="12"/>
              <w:spacing w:line="360" w:lineRule="auto"/>
              <w:rPr>
                <w:rFonts w:hAnsi="宋体"/>
                <w:sz w:val="22"/>
                <w:szCs w:val="22"/>
                <w:highlight w:val="none"/>
              </w:rPr>
            </w:pPr>
          </w:p>
        </w:tc>
      </w:tr>
      <w:tr w14:paraId="7EC3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614D1BC2">
            <w:pPr>
              <w:pStyle w:val="12"/>
              <w:jc w:val="center"/>
              <w:rPr>
                <w:rFonts w:hAnsi="宋体"/>
                <w:sz w:val="22"/>
                <w:szCs w:val="22"/>
                <w:highlight w:val="none"/>
              </w:rPr>
            </w:pPr>
            <w:r>
              <w:rPr>
                <w:rFonts w:hint="eastAsia" w:hAnsi="宋体"/>
                <w:sz w:val="22"/>
                <w:szCs w:val="22"/>
                <w:highlight w:val="none"/>
              </w:rPr>
              <w:t>2</w:t>
            </w:r>
          </w:p>
        </w:tc>
        <w:tc>
          <w:tcPr>
            <w:tcW w:w="2492" w:type="dxa"/>
            <w:vAlign w:val="center"/>
          </w:tcPr>
          <w:p w14:paraId="3B5B0615">
            <w:pPr>
              <w:pStyle w:val="12"/>
              <w:rPr>
                <w:rFonts w:hAnsi="宋体"/>
                <w:sz w:val="22"/>
                <w:szCs w:val="22"/>
                <w:highlight w:val="none"/>
              </w:rPr>
            </w:pPr>
          </w:p>
        </w:tc>
        <w:tc>
          <w:tcPr>
            <w:tcW w:w="915" w:type="dxa"/>
            <w:vAlign w:val="center"/>
          </w:tcPr>
          <w:p w14:paraId="67CA59B9">
            <w:pPr>
              <w:pStyle w:val="12"/>
              <w:spacing w:line="360" w:lineRule="auto"/>
              <w:rPr>
                <w:rFonts w:hAnsi="宋体"/>
                <w:b/>
                <w:bCs/>
                <w:sz w:val="22"/>
                <w:szCs w:val="22"/>
                <w:highlight w:val="none"/>
              </w:rPr>
            </w:pPr>
          </w:p>
        </w:tc>
        <w:tc>
          <w:tcPr>
            <w:tcW w:w="1876" w:type="dxa"/>
            <w:vAlign w:val="center"/>
          </w:tcPr>
          <w:p w14:paraId="7275E212">
            <w:pPr>
              <w:pStyle w:val="12"/>
              <w:spacing w:line="360" w:lineRule="auto"/>
              <w:rPr>
                <w:rFonts w:hAnsi="宋体"/>
                <w:b/>
                <w:bCs/>
                <w:sz w:val="22"/>
                <w:szCs w:val="22"/>
                <w:highlight w:val="none"/>
              </w:rPr>
            </w:pPr>
          </w:p>
        </w:tc>
        <w:tc>
          <w:tcPr>
            <w:tcW w:w="495" w:type="dxa"/>
            <w:vAlign w:val="center"/>
          </w:tcPr>
          <w:p w14:paraId="59F4CBDF">
            <w:pPr>
              <w:pStyle w:val="12"/>
              <w:spacing w:line="360" w:lineRule="auto"/>
              <w:rPr>
                <w:rFonts w:hAnsi="宋体"/>
                <w:b/>
                <w:bCs/>
                <w:sz w:val="22"/>
                <w:szCs w:val="22"/>
                <w:highlight w:val="none"/>
              </w:rPr>
            </w:pPr>
          </w:p>
        </w:tc>
        <w:tc>
          <w:tcPr>
            <w:tcW w:w="498" w:type="dxa"/>
            <w:vAlign w:val="center"/>
          </w:tcPr>
          <w:p w14:paraId="58C87063">
            <w:pPr>
              <w:pStyle w:val="12"/>
              <w:spacing w:line="360" w:lineRule="auto"/>
              <w:rPr>
                <w:rFonts w:hAnsi="宋体"/>
                <w:b/>
                <w:bCs/>
                <w:sz w:val="22"/>
                <w:szCs w:val="22"/>
                <w:highlight w:val="none"/>
              </w:rPr>
            </w:pPr>
          </w:p>
        </w:tc>
        <w:tc>
          <w:tcPr>
            <w:tcW w:w="1148" w:type="dxa"/>
          </w:tcPr>
          <w:p w14:paraId="731DD7FE">
            <w:pPr>
              <w:pStyle w:val="12"/>
              <w:spacing w:line="360" w:lineRule="auto"/>
              <w:rPr>
                <w:rFonts w:hAnsi="宋体"/>
                <w:sz w:val="22"/>
                <w:szCs w:val="22"/>
                <w:highlight w:val="none"/>
              </w:rPr>
            </w:pPr>
          </w:p>
        </w:tc>
        <w:tc>
          <w:tcPr>
            <w:tcW w:w="1124" w:type="dxa"/>
          </w:tcPr>
          <w:p w14:paraId="6EE81DF1">
            <w:pPr>
              <w:pStyle w:val="12"/>
              <w:spacing w:line="360" w:lineRule="auto"/>
              <w:rPr>
                <w:rFonts w:hAnsi="宋体"/>
                <w:sz w:val="22"/>
                <w:szCs w:val="22"/>
                <w:highlight w:val="none"/>
              </w:rPr>
            </w:pPr>
          </w:p>
        </w:tc>
      </w:tr>
      <w:tr w14:paraId="6CB4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489" w:type="dxa"/>
            <w:vAlign w:val="center"/>
          </w:tcPr>
          <w:p w14:paraId="31F81054">
            <w:pPr>
              <w:pStyle w:val="12"/>
              <w:jc w:val="center"/>
              <w:rPr>
                <w:rFonts w:hAnsi="宋体"/>
                <w:sz w:val="22"/>
                <w:szCs w:val="22"/>
                <w:highlight w:val="none"/>
              </w:rPr>
            </w:pPr>
            <w:r>
              <w:rPr>
                <w:rFonts w:hint="eastAsia" w:hAnsi="宋体"/>
                <w:sz w:val="22"/>
                <w:szCs w:val="22"/>
                <w:highlight w:val="none"/>
              </w:rPr>
              <w:t>3</w:t>
            </w:r>
          </w:p>
        </w:tc>
        <w:tc>
          <w:tcPr>
            <w:tcW w:w="2492" w:type="dxa"/>
            <w:vAlign w:val="center"/>
          </w:tcPr>
          <w:p w14:paraId="02581964">
            <w:pPr>
              <w:pStyle w:val="12"/>
              <w:rPr>
                <w:rFonts w:hAnsi="宋体"/>
                <w:sz w:val="22"/>
                <w:szCs w:val="22"/>
                <w:highlight w:val="none"/>
              </w:rPr>
            </w:pPr>
          </w:p>
        </w:tc>
        <w:tc>
          <w:tcPr>
            <w:tcW w:w="915" w:type="dxa"/>
            <w:vAlign w:val="center"/>
          </w:tcPr>
          <w:p w14:paraId="258F7B9D">
            <w:pPr>
              <w:pStyle w:val="12"/>
              <w:spacing w:line="360" w:lineRule="auto"/>
              <w:rPr>
                <w:rFonts w:hAnsi="宋体"/>
                <w:b/>
                <w:bCs/>
                <w:sz w:val="22"/>
                <w:szCs w:val="22"/>
                <w:highlight w:val="none"/>
              </w:rPr>
            </w:pPr>
          </w:p>
        </w:tc>
        <w:tc>
          <w:tcPr>
            <w:tcW w:w="1876" w:type="dxa"/>
            <w:vAlign w:val="center"/>
          </w:tcPr>
          <w:p w14:paraId="70597819">
            <w:pPr>
              <w:pStyle w:val="12"/>
              <w:spacing w:line="360" w:lineRule="auto"/>
              <w:rPr>
                <w:rFonts w:hAnsi="宋体"/>
                <w:b/>
                <w:bCs/>
                <w:sz w:val="22"/>
                <w:szCs w:val="22"/>
                <w:highlight w:val="none"/>
              </w:rPr>
            </w:pPr>
          </w:p>
        </w:tc>
        <w:tc>
          <w:tcPr>
            <w:tcW w:w="495" w:type="dxa"/>
            <w:vAlign w:val="center"/>
          </w:tcPr>
          <w:p w14:paraId="67996461">
            <w:pPr>
              <w:pStyle w:val="12"/>
              <w:spacing w:line="360" w:lineRule="auto"/>
              <w:rPr>
                <w:rFonts w:hAnsi="宋体"/>
                <w:b/>
                <w:bCs/>
                <w:sz w:val="22"/>
                <w:szCs w:val="22"/>
                <w:highlight w:val="none"/>
              </w:rPr>
            </w:pPr>
          </w:p>
        </w:tc>
        <w:tc>
          <w:tcPr>
            <w:tcW w:w="498" w:type="dxa"/>
            <w:vAlign w:val="center"/>
          </w:tcPr>
          <w:p w14:paraId="21653D19">
            <w:pPr>
              <w:pStyle w:val="12"/>
              <w:spacing w:line="360" w:lineRule="auto"/>
              <w:rPr>
                <w:rFonts w:hAnsi="宋体"/>
                <w:b/>
                <w:bCs/>
                <w:sz w:val="22"/>
                <w:szCs w:val="22"/>
                <w:highlight w:val="none"/>
              </w:rPr>
            </w:pPr>
          </w:p>
        </w:tc>
        <w:tc>
          <w:tcPr>
            <w:tcW w:w="1148" w:type="dxa"/>
          </w:tcPr>
          <w:p w14:paraId="0F79D7D2">
            <w:pPr>
              <w:pStyle w:val="12"/>
              <w:spacing w:line="360" w:lineRule="auto"/>
              <w:rPr>
                <w:rFonts w:hAnsi="宋体"/>
                <w:sz w:val="22"/>
                <w:szCs w:val="22"/>
                <w:highlight w:val="none"/>
              </w:rPr>
            </w:pPr>
          </w:p>
        </w:tc>
        <w:tc>
          <w:tcPr>
            <w:tcW w:w="1124" w:type="dxa"/>
          </w:tcPr>
          <w:p w14:paraId="1F99D06E">
            <w:pPr>
              <w:pStyle w:val="12"/>
              <w:spacing w:line="360" w:lineRule="auto"/>
              <w:rPr>
                <w:rFonts w:hAnsi="宋体"/>
                <w:sz w:val="22"/>
                <w:szCs w:val="22"/>
                <w:highlight w:val="none"/>
              </w:rPr>
            </w:pPr>
          </w:p>
        </w:tc>
      </w:tr>
      <w:tr w14:paraId="58CB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0F3973A1">
            <w:pPr>
              <w:pStyle w:val="12"/>
              <w:jc w:val="center"/>
              <w:rPr>
                <w:rFonts w:hAnsi="宋体"/>
                <w:sz w:val="22"/>
                <w:szCs w:val="22"/>
                <w:highlight w:val="none"/>
              </w:rPr>
            </w:pPr>
            <w:r>
              <w:rPr>
                <w:rFonts w:hint="eastAsia" w:hAnsi="宋体"/>
                <w:sz w:val="22"/>
                <w:szCs w:val="22"/>
                <w:highlight w:val="none"/>
              </w:rPr>
              <w:t>4</w:t>
            </w:r>
          </w:p>
        </w:tc>
        <w:tc>
          <w:tcPr>
            <w:tcW w:w="2492" w:type="dxa"/>
            <w:vAlign w:val="center"/>
          </w:tcPr>
          <w:p w14:paraId="49BEF0F4">
            <w:pPr>
              <w:pStyle w:val="12"/>
              <w:rPr>
                <w:rFonts w:hAnsi="宋体"/>
                <w:sz w:val="22"/>
                <w:szCs w:val="22"/>
                <w:highlight w:val="none"/>
              </w:rPr>
            </w:pPr>
          </w:p>
        </w:tc>
        <w:tc>
          <w:tcPr>
            <w:tcW w:w="915" w:type="dxa"/>
            <w:vAlign w:val="center"/>
          </w:tcPr>
          <w:p w14:paraId="73E99669">
            <w:pPr>
              <w:pStyle w:val="12"/>
              <w:spacing w:line="360" w:lineRule="auto"/>
              <w:jc w:val="center"/>
              <w:rPr>
                <w:rFonts w:hAnsi="宋体"/>
                <w:sz w:val="22"/>
                <w:szCs w:val="22"/>
                <w:highlight w:val="none"/>
              </w:rPr>
            </w:pPr>
          </w:p>
        </w:tc>
        <w:tc>
          <w:tcPr>
            <w:tcW w:w="1876" w:type="dxa"/>
            <w:vAlign w:val="center"/>
          </w:tcPr>
          <w:p w14:paraId="3404DE52">
            <w:pPr>
              <w:pStyle w:val="12"/>
              <w:spacing w:line="360" w:lineRule="auto"/>
              <w:jc w:val="center"/>
              <w:rPr>
                <w:rFonts w:hAnsi="宋体"/>
                <w:sz w:val="22"/>
                <w:szCs w:val="22"/>
                <w:highlight w:val="none"/>
              </w:rPr>
            </w:pPr>
          </w:p>
        </w:tc>
        <w:tc>
          <w:tcPr>
            <w:tcW w:w="495" w:type="dxa"/>
            <w:vAlign w:val="center"/>
          </w:tcPr>
          <w:p w14:paraId="6BC2E5C5">
            <w:pPr>
              <w:pStyle w:val="12"/>
              <w:spacing w:line="360" w:lineRule="auto"/>
              <w:jc w:val="center"/>
              <w:rPr>
                <w:rFonts w:hAnsi="宋体"/>
                <w:sz w:val="22"/>
                <w:szCs w:val="22"/>
                <w:highlight w:val="none"/>
              </w:rPr>
            </w:pPr>
          </w:p>
        </w:tc>
        <w:tc>
          <w:tcPr>
            <w:tcW w:w="498" w:type="dxa"/>
            <w:vAlign w:val="center"/>
          </w:tcPr>
          <w:p w14:paraId="55187A06">
            <w:pPr>
              <w:pStyle w:val="12"/>
              <w:spacing w:line="360" w:lineRule="auto"/>
              <w:jc w:val="center"/>
              <w:rPr>
                <w:rFonts w:hAnsi="宋体"/>
                <w:sz w:val="22"/>
                <w:szCs w:val="22"/>
                <w:highlight w:val="none"/>
              </w:rPr>
            </w:pPr>
          </w:p>
        </w:tc>
        <w:tc>
          <w:tcPr>
            <w:tcW w:w="1148" w:type="dxa"/>
          </w:tcPr>
          <w:p w14:paraId="69018B1A">
            <w:pPr>
              <w:pStyle w:val="12"/>
              <w:spacing w:line="360" w:lineRule="auto"/>
              <w:rPr>
                <w:rFonts w:hAnsi="宋体"/>
                <w:sz w:val="22"/>
                <w:szCs w:val="22"/>
                <w:highlight w:val="none"/>
              </w:rPr>
            </w:pPr>
          </w:p>
        </w:tc>
        <w:tc>
          <w:tcPr>
            <w:tcW w:w="1124" w:type="dxa"/>
          </w:tcPr>
          <w:p w14:paraId="6C738E95">
            <w:pPr>
              <w:pStyle w:val="12"/>
              <w:spacing w:line="360" w:lineRule="auto"/>
              <w:rPr>
                <w:rFonts w:hAnsi="宋体"/>
                <w:sz w:val="22"/>
                <w:szCs w:val="22"/>
                <w:highlight w:val="none"/>
              </w:rPr>
            </w:pPr>
          </w:p>
        </w:tc>
      </w:tr>
      <w:tr w14:paraId="1801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vAlign w:val="center"/>
          </w:tcPr>
          <w:p w14:paraId="253F46D1">
            <w:pPr>
              <w:pStyle w:val="12"/>
              <w:spacing w:line="360" w:lineRule="auto"/>
              <w:jc w:val="center"/>
              <w:rPr>
                <w:rFonts w:hAnsi="宋体"/>
                <w:sz w:val="22"/>
                <w:szCs w:val="22"/>
                <w:highlight w:val="none"/>
              </w:rPr>
            </w:pPr>
            <w:r>
              <w:rPr>
                <w:rFonts w:hint="eastAsia" w:hAnsi="宋体"/>
                <w:sz w:val="22"/>
                <w:szCs w:val="22"/>
                <w:highlight w:val="none"/>
              </w:rPr>
              <w:t>5</w:t>
            </w:r>
          </w:p>
        </w:tc>
        <w:tc>
          <w:tcPr>
            <w:tcW w:w="2492" w:type="dxa"/>
            <w:vAlign w:val="center"/>
          </w:tcPr>
          <w:p w14:paraId="5DB13B41">
            <w:pPr>
              <w:pStyle w:val="12"/>
              <w:spacing w:line="360" w:lineRule="auto"/>
              <w:jc w:val="center"/>
              <w:rPr>
                <w:rFonts w:hAnsi="宋体"/>
                <w:sz w:val="22"/>
                <w:szCs w:val="22"/>
                <w:highlight w:val="none"/>
              </w:rPr>
            </w:pPr>
          </w:p>
        </w:tc>
        <w:tc>
          <w:tcPr>
            <w:tcW w:w="915" w:type="dxa"/>
            <w:vAlign w:val="center"/>
          </w:tcPr>
          <w:p w14:paraId="214839F9">
            <w:pPr>
              <w:jc w:val="center"/>
              <w:rPr>
                <w:rFonts w:ascii="宋体" w:hAnsi="宋体" w:cs="宋体"/>
                <w:b/>
                <w:bCs/>
                <w:sz w:val="22"/>
                <w:szCs w:val="22"/>
                <w:highlight w:val="none"/>
              </w:rPr>
            </w:pPr>
          </w:p>
        </w:tc>
        <w:tc>
          <w:tcPr>
            <w:tcW w:w="1876" w:type="dxa"/>
            <w:vAlign w:val="center"/>
          </w:tcPr>
          <w:p w14:paraId="30BEF0B3">
            <w:pPr>
              <w:jc w:val="center"/>
              <w:rPr>
                <w:rFonts w:ascii="宋体" w:hAnsi="宋体" w:cs="宋体"/>
                <w:b/>
                <w:bCs/>
                <w:sz w:val="22"/>
                <w:szCs w:val="22"/>
                <w:highlight w:val="none"/>
              </w:rPr>
            </w:pPr>
          </w:p>
        </w:tc>
        <w:tc>
          <w:tcPr>
            <w:tcW w:w="495" w:type="dxa"/>
            <w:vAlign w:val="center"/>
          </w:tcPr>
          <w:p w14:paraId="7DCF71E8">
            <w:pPr>
              <w:pStyle w:val="12"/>
              <w:spacing w:line="360" w:lineRule="auto"/>
              <w:jc w:val="center"/>
              <w:rPr>
                <w:rFonts w:hAnsi="宋体"/>
                <w:b/>
                <w:bCs/>
                <w:sz w:val="22"/>
                <w:szCs w:val="22"/>
                <w:highlight w:val="none"/>
              </w:rPr>
            </w:pPr>
          </w:p>
        </w:tc>
        <w:tc>
          <w:tcPr>
            <w:tcW w:w="498" w:type="dxa"/>
            <w:vAlign w:val="center"/>
          </w:tcPr>
          <w:p w14:paraId="3B4E0668">
            <w:pPr>
              <w:pStyle w:val="12"/>
              <w:spacing w:line="360" w:lineRule="auto"/>
              <w:jc w:val="center"/>
              <w:rPr>
                <w:rFonts w:hAnsi="宋体"/>
                <w:b/>
                <w:bCs/>
                <w:sz w:val="22"/>
                <w:szCs w:val="22"/>
                <w:highlight w:val="none"/>
              </w:rPr>
            </w:pPr>
          </w:p>
        </w:tc>
        <w:tc>
          <w:tcPr>
            <w:tcW w:w="1148" w:type="dxa"/>
            <w:vAlign w:val="center"/>
          </w:tcPr>
          <w:p w14:paraId="414493E8">
            <w:pPr>
              <w:pStyle w:val="12"/>
              <w:spacing w:line="360" w:lineRule="auto"/>
              <w:jc w:val="center"/>
              <w:rPr>
                <w:rFonts w:hAnsi="宋体"/>
                <w:b/>
                <w:bCs/>
                <w:sz w:val="22"/>
                <w:szCs w:val="22"/>
                <w:highlight w:val="none"/>
              </w:rPr>
            </w:pPr>
          </w:p>
        </w:tc>
        <w:tc>
          <w:tcPr>
            <w:tcW w:w="1124" w:type="dxa"/>
            <w:vAlign w:val="center"/>
          </w:tcPr>
          <w:p w14:paraId="6D49B478">
            <w:pPr>
              <w:pStyle w:val="12"/>
              <w:spacing w:line="360" w:lineRule="auto"/>
              <w:jc w:val="center"/>
              <w:rPr>
                <w:rFonts w:hAnsi="宋体"/>
                <w:b/>
                <w:bCs/>
                <w:sz w:val="22"/>
                <w:szCs w:val="22"/>
                <w:highlight w:val="none"/>
              </w:rPr>
            </w:pPr>
          </w:p>
        </w:tc>
      </w:tr>
      <w:tr w14:paraId="487B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489" w:type="dxa"/>
          </w:tcPr>
          <w:p w14:paraId="40A20689">
            <w:pPr>
              <w:pStyle w:val="12"/>
              <w:spacing w:line="360" w:lineRule="auto"/>
              <w:rPr>
                <w:rFonts w:hAnsi="宋体"/>
                <w:sz w:val="22"/>
                <w:szCs w:val="22"/>
                <w:highlight w:val="none"/>
              </w:rPr>
            </w:pPr>
            <w:r>
              <w:rPr>
                <w:rFonts w:hint="eastAsia" w:hAnsi="宋体"/>
                <w:sz w:val="22"/>
                <w:szCs w:val="22"/>
                <w:highlight w:val="none"/>
              </w:rPr>
              <w:t>…</w:t>
            </w:r>
          </w:p>
        </w:tc>
        <w:tc>
          <w:tcPr>
            <w:tcW w:w="2492" w:type="dxa"/>
            <w:vAlign w:val="center"/>
          </w:tcPr>
          <w:p w14:paraId="15B0D28E">
            <w:pPr>
              <w:pStyle w:val="12"/>
              <w:spacing w:line="360" w:lineRule="auto"/>
              <w:jc w:val="center"/>
              <w:rPr>
                <w:rFonts w:hAnsi="宋体"/>
                <w:sz w:val="22"/>
                <w:szCs w:val="22"/>
                <w:highlight w:val="none"/>
              </w:rPr>
            </w:pPr>
            <w:r>
              <w:rPr>
                <w:rFonts w:hint="eastAsia" w:hAnsi="宋体"/>
                <w:sz w:val="22"/>
                <w:szCs w:val="22"/>
                <w:highlight w:val="none"/>
              </w:rPr>
              <w:t>……</w:t>
            </w:r>
          </w:p>
        </w:tc>
        <w:tc>
          <w:tcPr>
            <w:tcW w:w="915" w:type="dxa"/>
            <w:vAlign w:val="center"/>
          </w:tcPr>
          <w:p w14:paraId="19E1D82A">
            <w:pPr>
              <w:jc w:val="center"/>
              <w:rPr>
                <w:rFonts w:ascii="宋体" w:hAnsi="宋体" w:cs="宋体"/>
                <w:sz w:val="22"/>
                <w:szCs w:val="22"/>
                <w:highlight w:val="none"/>
              </w:rPr>
            </w:pPr>
          </w:p>
        </w:tc>
        <w:tc>
          <w:tcPr>
            <w:tcW w:w="1876" w:type="dxa"/>
            <w:vAlign w:val="center"/>
          </w:tcPr>
          <w:p w14:paraId="153C0F9B">
            <w:pPr>
              <w:jc w:val="center"/>
              <w:rPr>
                <w:rFonts w:ascii="宋体" w:hAnsi="宋体" w:cs="宋体"/>
                <w:sz w:val="22"/>
                <w:szCs w:val="22"/>
                <w:highlight w:val="none"/>
              </w:rPr>
            </w:pPr>
          </w:p>
        </w:tc>
        <w:tc>
          <w:tcPr>
            <w:tcW w:w="495" w:type="dxa"/>
            <w:vAlign w:val="center"/>
          </w:tcPr>
          <w:p w14:paraId="2FE155F0">
            <w:pPr>
              <w:pStyle w:val="12"/>
              <w:spacing w:line="360" w:lineRule="auto"/>
              <w:jc w:val="center"/>
              <w:rPr>
                <w:rFonts w:hAnsi="宋体"/>
                <w:sz w:val="22"/>
                <w:szCs w:val="22"/>
                <w:highlight w:val="none"/>
              </w:rPr>
            </w:pPr>
          </w:p>
        </w:tc>
        <w:tc>
          <w:tcPr>
            <w:tcW w:w="498" w:type="dxa"/>
            <w:vAlign w:val="center"/>
          </w:tcPr>
          <w:p w14:paraId="3FE6662E">
            <w:pPr>
              <w:pStyle w:val="12"/>
              <w:spacing w:line="360" w:lineRule="auto"/>
              <w:jc w:val="center"/>
              <w:rPr>
                <w:rFonts w:hAnsi="宋体"/>
                <w:sz w:val="22"/>
                <w:szCs w:val="22"/>
                <w:highlight w:val="none"/>
              </w:rPr>
            </w:pPr>
          </w:p>
        </w:tc>
        <w:tc>
          <w:tcPr>
            <w:tcW w:w="1148" w:type="dxa"/>
          </w:tcPr>
          <w:p w14:paraId="4A21EA87">
            <w:pPr>
              <w:pStyle w:val="12"/>
              <w:spacing w:line="360" w:lineRule="auto"/>
              <w:rPr>
                <w:rFonts w:hAnsi="宋体"/>
                <w:sz w:val="22"/>
                <w:szCs w:val="22"/>
                <w:highlight w:val="none"/>
              </w:rPr>
            </w:pPr>
          </w:p>
        </w:tc>
        <w:tc>
          <w:tcPr>
            <w:tcW w:w="1124" w:type="dxa"/>
          </w:tcPr>
          <w:p w14:paraId="16B25CD7">
            <w:pPr>
              <w:pStyle w:val="12"/>
              <w:spacing w:line="360" w:lineRule="auto"/>
              <w:rPr>
                <w:rFonts w:hAnsi="宋体"/>
                <w:sz w:val="22"/>
                <w:szCs w:val="22"/>
                <w:highlight w:val="none"/>
              </w:rPr>
            </w:pPr>
          </w:p>
        </w:tc>
      </w:tr>
      <w:tr w14:paraId="712D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981" w:type="dxa"/>
            <w:gridSpan w:val="2"/>
            <w:vAlign w:val="center"/>
          </w:tcPr>
          <w:p w14:paraId="3610DF37">
            <w:pPr>
              <w:pStyle w:val="12"/>
              <w:spacing w:line="360" w:lineRule="auto"/>
              <w:jc w:val="center"/>
              <w:rPr>
                <w:rFonts w:hAnsi="宋体"/>
                <w:sz w:val="22"/>
                <w:szCs w:val="22"/>
                <w:highlight w:val="none"/>
              </w:rPr>
            </w:pPr>
            <w:r>
              <w:rPr>
                <w:rFonts w:hint="eastAsia" w:hAnsi="宋体"/>
                <w:sz w:val="22"/>
                <w:szCs w:val="22"/>
                <w:highlight w:val="none"/>
              </w:rPr>
              <w:t>投标总价</w:t>
            </w:r>
          </w:p>
        </w:tc>
        <w:tc>
          <w:tcPr>
            <w:tcW w:w="6056" w:type="dxa"/>
            <w:gridSpan w:val="6"/>
            <w:vAlign w:val="center"/>
          </w:tcPr>
          <w:p w14:paraId="4FC1CBAB">
            <w:pPr>
              <w:pStyle w:val="12"/>
              <w:spacing w:line="360" w:lineRule="auto"/>
              <w:jc w:val="center"/>
              <w:rPr>
                <w:rFonts w:hAnsi="宋体"/>
                <w:sz w:val="22"/>
                <w:szCs w:val="22"/>
                <w:highlight w:val="none"/>
              </w:rPr>
            </w:pPr>
            <w:r>
              <w:rPr>
                <w:rFonts w:hint="eastAsia" w:hAnsi="宋体"/>
                <w:sz w:val="22"/>
                <w:szCs w:val="22"/>
                <w:highlight w:val="none"/>
              </w:rPr>
              <w:t>大写：　　　　                元（小写：　　　　　）</w:t>
            </w:r>
          </w:p>
        </w:tc>
      </w:tr>
      <w:tr w14:paraId="15D5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9037" w:type="dxa"/>
            <w:gridSpan w:val="8"/>
            <w:vAlign w:val="center"/>
          </w:tcPr>
          <w:p w14:paraId="218631E6">
            <w:pPr>
              <w:pStyle w:val="12"/>
              <w:spacing w:line="360" w:lineRule="auto"/>
              <w:ind w:firstLine="480" w:firstLineChars="200"/>
              <w:jc w:val="left"/>
              <w:rPr>
                <w:rFonts w:hAnsi="宋体"/>
                <w:sz w:val="22"/>
                <w:szCs w:val="22"/>
                <w:highlight w:val="none"/>
              </w:rPr>
            </w:pPr>
            <w:r>
              <w:rPr>
                <w:rFonts w:hint="eastAsia" w:hAnsi="宋体"/>
                <w:sz w:val="24"/>
                <w:szCs w:val="24"/>
                <w:highlight w:val="none"/>
              </w:rPr>
              <w:t>本次报价应包含项目所需全部服务，不得缺漏，包含项目所需全部服务、货物，不得缺漏，是履行合同的最终价格（人员的工资福利、员工五险费(养老保险、医疗保险、失业保险、工伤保险、生育保险)、管理费、税费、专家费、人工成本费、办公用品、报告出具的费用、税费和采购代理费等一切费用）。</w:t>
            </w:r>
          </w:p>
        </w:tc>
      </w:tr>
    </w:tbl>
    <w:p w14:paraId="6C09E972">
      <w:pPr>
        <w:spacing w:line="360" w:lineRule="auto"/>
        <w:ind w:firstLine="480" w:firstLineChars="200"/>
        <w:rPr>
          <w:rFonts w:ascii="宋体" w:hAnsi="宋体" w:cs="宋体"/>
          <w:sz w:val="24"/>
          <w:szCs w:val="24"/>
          <w:highlight w:val="none"/>
        </w:rPr>
      </w:pPr>
    </w:p>
    <w:p w14:paraId="1EC7AC62">
      <w:pPr>
        <w:pStyle w:val="12"/>
        <w:spacing w:line="360" w:lineRule="auto"/>
        <w:ind w:firstLine="480" w:firstLineChars="200"/>
        <w:rPr>
          <w:rFonts w:hAnsi="宋体"/>
          <w:sz w:val="24"/>
          <w:szCs w:val="24"/>
          <w:highlight w:val="none"/>
        </w:rPr>
      </w:pPr>
    </w:p>
    <w:p w14:paraId="06C8ED19">
      <w:pPr>
        <w:pStyle w:val="12"/>
        <w:spacing w:line="360" w:lineRule="auto"/>
        <w:ind w:firstLine="480" w:firstLineChars="200"/>
        <w:rPr>
          <w:rFonts w:hAnsi="宋体"/>
          <w:sz w:val="24"/>
          <w:szCs w:val="24"/>
          <w:highlight w:val="none"/>
        </w:rPr>
      </w:pPr>
      <w:r>
        <w:rPr>
          <w:rFonts w:hint="eastAsia" w:hAnsi="宋体"/>
          <w:sz w:val="24"/>
          <w:szCs w:val="24"/>
          <w:highlight w:val="none"/>
        </w:rPr>
        <w:t>注：内容可根据供应商实际情况自行调整。</w:t>
      </w:r>
    </w:p>
    <w:p w14:paraId="206C3D02">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法定代表人签名（或签名章）：</w:t>
      </w:r>
    </w:p>
    <w:p w14:paraId="5237908A">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日期：</w:t>
      </w:r>
    </w:p>
    <w:p w14:paraId="1233E4D8">
      <w:pPr>
        <w:spacing w:line="360" w:lineRule="auto"/>
        <w:ind w:left="3780" w:leftChars="1800" w:firstLine="480" w:firstLineChars="200"/>
        <w:rPr>
          <w:rFonts w:ascii="宋体" w:hAnsi="宋体" w:cs="宋体"/>
          <w:sz w:val="24"/>
          <w:szCs w:val="24"/>
          <w:highlight w:val="none"/>
        </w:rPr>
      </w:pPr>
      <w:r>
        <w:rPr>
          <w:rFonts w:hint="eastAsia" w:ascii="宋体" w:hAnsi="宋体" w:cs="宋体"/>
          <w:sz w:val="24"/>
          <w:szCs w:val="24"/>
          <w:highlight w:val="none"/>
        </w:rPr>
        <w:t>供应商全称（公章）</w:t>
      </w:r>
      <w:bookmarkEnd w:id="115"/>
      <w:r>
        <w:rPr>
          <w:rFonts w:hint="eastAsia" w:ascii="宋体" w:hAnsi="宋体" w:cs="宋体"/>
          <w:sz w:val="24"/>
          <w:szCs w:val="24"/>
          <w:highlight w:val="none"/>
        </w:rPr>
        <w:t>：</w:t>
      </w:r>
    </w:p>
    <w:p w14:paraId="7FB34F8D">
      <w:pPr>
        <w:pStyle w:val="9"/>
        <w:rPr>
          <w:rFonts w:ascii="宋体" w:hAnsi="宋体" w:cs="宋体"/>
          <w:sz w:val="24"/>
          <w:szCs w:val="24"/>
          <w:highlight w:val="none"/>
        </w:rPr>
      </w:pPr>
    </w:p>
    <w:p w14:paraId="37F0893A">
      <w:pPr>
        <w:pStyle w:val="9"/>
        <w:rPr>
          <w:rFonts w:ascii="宋体" w:hAnsi="宋体" w:cs="宋体"/>
          <w:sz w:val="24"/>
          <w:szCs w:val="24"/>
          <w:highlight w:val="none"/>
        </w:rPr>
      </w:pPr>
    </w:p>
    <w:p w14:paraId="03690499"/>
    <w:sectPr>
      <w:headerReference r:id="rId6" w:type="default"/>
      <w:footerReference r:id="rId7" w:type="default"/>
      <w:pgSz w:w="11906" w:h="16838"/>
      <w:pgMar w:top="1440" w:right="1803" w:bottom="1440" w:left="1803" w:header="851" w:footer="992" w:gutter="0"/>
      <w:pgNumType w:fmt="decimal"/>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766E">
    <w:pPr>
      <w:pStyle w:val="14"/>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9E5A81">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B5DB">
    <w:pPr>
      <w:pStyle w:val="14"/>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82A0FB5">
                <w:pPr>
                  <w:pStyle w:val="1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9A77">
    <w:pPr>
      <w:pStyle w:val="14"/>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2792E7E">
                <w:pPr>
                  <w:pStyle w:val="14"/>
                </w:pPr>
                <w:r>
                  <w:fldChar w:fldCharType="begin"/>
                </w:r>
                <w:r>
                  <w:instrText xml:space="preserve"> PAGE  \* MERGEFORMAT </w:instrText>
                </w:r>
                <w:r>
                  <w:fldChar w:fldCharType="separate"/>
                </w:r>
                <w:r>
                  <w:t>10</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69A70">
    <w:pPr>
      <w:pStyle w:val="14"/>
      <w:rPr>
        <w:rStyle w:val="26"/>
      </w:rPr>
    </w:pPr>
    <w:r>
      <w:rPr>
        <w:sz w:val="18"/>
      </w:rPr>
      <w:pict>
        <v:shape id="_x0000_s2054" o:spid="_x0000_s205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98B1C57">
                <w:pPr>
                  <w:pStyle w:val="14"/>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79</w:t>
                </w:r>
                <w:r>
                  <w:fldChar w:fldCharType="end"/>
                </w:r>
              </w:p>
            </w:txbxContent>
          </v:textbox>
        </v:shape>
      </w:pict>
    </w:r>
  </w:p>
  <w:p w14:paraId="4557A6CA">
    <w:pPr>
      <w:pStyle w:val="14"/>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60C3A">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A62E"/>
    <w:multiLevelType w:val="singleLevel"/>
    <w:tmpl w:val="8138A62E"/>
    <w:lvl w:ilvl="0" w:tentative="0">
      <w:start w:val="1"/>
      <w:numFmt w:val="decimalEnclosedCircleChinese"/>
      <w:suff w:val="nothing"/>
      <w:lvlText w:val="%1　"/>
      <w:lvlJc w:val="left"/>
      <w:pPr>
        <w:ind w:left="0" w:firstLine="400"/>
      </w:pPr>
      <w:rPr>
        <w:rFonts w:hint="eastAsia"/>
      </w:rPr>
    </w:lvl>
  </w:abstractNum>
  <w:abstractNum w:abstractNumId="1">
    <w:nsid w:val="8D88561A"/>
    <w:multiLevelType w:val="singleLevel"/>
    <w:tmpl w:val="8D88561A"/>
    <w:lvl w:ilvl="0" w:tentative="0">
      <w:start w:val="1"/>
      <w:numFmt w:val="decimal"/>
      <w:suff w:val="space"/>
      <w:lvlText w:val="%1."/>
      <w:lvlJc w:val="left"/>
    </w:lvl>
  </w:abstractNum>
  <w:abstractNum w:abstractNumId="2">
    <w:nsid w:val="8F57C9F9"/>
    <w:multiLevelType w:val="singleLevel"/>
    <w:tmpl w:val="8F57C9F9"/>
    <w:lvl w:ilvl="0" w:tentative="0">
      <w:start w:val="2"/>
      <w:numFmt w:val="decimal"/>
      <w:suff w:val="nothing"/>
      <w:lvlText w:val="%1、"/>
      <w:lvlJc w:val="left"/>
    </w:lvl>
  </w:abstractNum>
  <w:abstractNum w:abstractNumId="3">
    <w:nsid w:val="90BA3B30"/>
    <w:multiLevelType w:val="singleLevel"/>
    <w:tmpl w:val="90BA3B30"/>
    <w:lvl w:ilvl="0" w:tentative="0">
      <w:start w:val="1"/>
      <w:numFmt w:val="decimalEnclosedCircleChinese"/>
      <w:suff w:val="nothing"/>
      <w:lvlText w:val="%1　"/>
      <w:lvlJc w:val="left"/>
      <w:pPr>
        <w:ind w:left="0" w:firstLine="400"/>
      </w:pPr>
      <w:rPr>
        <w:rFonts w:hint="eastAsia"/>
      </w:rPr>
    </w:lvl>
  </w:abstractNum>
  <w:abstractNum w:abstractNumId="4">
    <w:nsid w:val="960C84E7"/>
    <w:multiLevelType w:val="singleLevel"/>
    <w:tmpl w:val="960C84E7"/>
    <w:lvl w:ilvl="0" w:tentative="0">
      <w:start w:val="1"/>
      <w:numFmt w:val="decimal"/>
      <w:suff w:val="nothing"/>
      <w:lvlText w:val="14.%1 "/>
      <w:lvlJc w:val="left"/>
      <w:pPr>
        <w:tabs>
          <w:tab w:val="left" w:pos="0"/>
        </w:tabs>
        <w:ind w:firstLine="40"/>
      </w:pPr>
      <w:rPr>
        <w:rFonts w:hint="default" w:ascii="宋体" w:hAnsi="宋体" w:eastAsia="宋体"/>
      </w:rPr>
    </w:lvl>
  </w:abstractNum>
  <w:abstractNum w:abstractNumId="5">
    <w:nsid w:val="99A69683"/>
    <w:multiLevelType w:val="singleLevel"/>
    <w:tmpl w:val="99A69683"/>
    <w:lvl w:ilvl="0" w:tentative="0">
      <w:start w:val="1"/>
      <w:numFmt w:val="decimalEnclosedCircleChinese"/>
      <w:suff w:val="nothing"/>
      <w:lvlText w:val="%1　"/>
      <w:lvlJc w:val="left"/>
      <w:pPr>
        <w:ind w:left="0" w:firstLine="400"/>
      </w:pPr>
      <w:rPr>
        <w:rFonts w:hint="eastAsia"/>
      </w:rPr>
    </w:lvl>
  </w:abstractNum>
  <w:abstractNum w:abstractNumId="6">
    <w:nsid w:val="9A994CCD"/>
    <w:multiLevelType w:val="singleLevel"/>
    <w:tmpl w:val="9A994CCD"/>
    <w:lvl w:ilvl="0" w:tentative="0">
      <w:start w:val="1"/>
      <w:numFmt w:val="decimalEnclosedCircleChinese"/>
      <w:suff w:val="nothing"/>
      <w:lvlText w:val="%1　"/>
      <w:lvlJc w:val="left"/>
      <w:pPr>
        <w:ind w:left="0" w:firstLine="400"/>
      </w:pPr>
      <w:rPr>
        <w:rFonts w:hint="eastAsia"/>
      </w:rPr>
    </w:lvl>
  </w:abstractNum>
  <w:abstractNum w:abstractNumId="7">
    <w:nsid w:val="9E7D436F"/>
    <w:multiLevelType w:val="singleLevel"/>
    <w:tmpl w:val="9E7D436F"/>
    <w:lvl w:ilvl="0" w:tentative="0">
      <w:start w:val="1"/>
      <w:numFmt w:val="chineseCounting"/>
      <w:suff w:val="nothing"/>
      <w:lvlText w:val="%1、"/>
      <w:lvlJc w:val="left"/>
      <w:rPr>
        <w:rFonts w:hint="eastAsia"/>
      </w:rPr>
    </w:lvl>
  </w:abstractNum>
  <w:abstractNum w:abstractNumId="8">
    <w:nsid w:val="A97527D2"/>
    <w:multiLevelType w:val="singleLevel"/>
    <w:tmpl w:val="A97527D2"/>
    <w:lvl w:ilvl="0" w:tentative="0">
      <w:start w:val="1"/>
      <w:numFmt w:val="decimalEnclosedCircleChinese"/>
      <w:suff w:val="nothing"/>
      <w:lvlText w:val="%1　"/>
      <w:lvlJc w:val="left"/>
      <w:pPr>
        <w:ind w:left="0" w:firstLine="400"/>
      </w:pPr>
      <w:rPr>
        <w:rFonts w:hint="eastAsia"/>
      </w:rPr>
    </w:lvl>
  </w:abstractNum>
  <w:abstractNum w:abstractNumId="9">
    <w:nsid w:val="DAACEE00"/>
    <w:multiLevelType w:val="singleLevel"/>
    <w:tmpl w:val="DAACEE00"/>
    <w:lvl w:ilvl="0" w:tentative="0">
      <w:start w:val="1"/>
      <w:numFmt w:val="decimalEnclosedCircleChinese"/>
      <w:suff w:val="nothing"/>
      <w:lvlText w:val="%1　"/>
      <w:lvlJc w:val="left"/>
      <w:pPr>
        <w:ind w:left="0" w:firstLine="400"/>
      </w:pPr>
      <w:rPr>
        <w:rFonts w:hint="eastAsia"/>
      </w:rPr>
    </w:lvl>
  </w:abstractNum>
  <w:abstractNum w:abstractNumId="10">
    <w:nsid w:val="E140FCDC"/>
    <w:multiLevelType w:val="singleLevel"/>
    <w:tmpl w:val="E140FCDC"/>
    <w:lvl w:ilvl="0" w:tentative="0">
      <w:start w:val="1"/>
      <w:numFmt w:val="decimal"/>
      <w:suff w:val="nothing"/>
      <w:lvlText w:val="%1、"/>
      <w:lvlJc w:val="left"/>
    </w:lvl>
  </w:abstractNum>
  <w:abstractNum w:abstractNumId="11">
    <w:nsid w:val="F4396F3A"/>
    <w:multiLevelType w:val="singleLevel"/>
    <w:tmpl w:val="F4396F3A"/>
    <w:lvl w:ilvl="0" w:tentative="0">
      <w:start w:val="2"/>
      <w:numFmt w:val="chineseCounting"/>
      <w:suff w:val="nothing"/>
      <w:lvlText w:val="%1、"/>
      <w:lvlJc w:val="left"/>
      <w:rPr>
        <w:rFonts w:hint="eastAsia"/>
      </w:rPr>
    </w:lvl>
  </w:abstractNum>
  <w:abstractNum w:abstractNumId="12">
    <w:nsid w:val="F6B56090"/>
    <w:multiLevelType w:val="singleLevel"/>
    <w:tmpl w:val="F6B56090"/>
    <w:lvl w:ilvl="0" w:tentative="0">
      <w:start w:val="1"/>
      <w:numFmt w:val="chineseCounting"/>
      <w:suff w:val="nothing"/>
      <w:lvlText w:val="%1、"/>
      <w:lvlJc w:val="left"/>
      <w:pPr>
        <w:ind w:left="0" w:firstLine="397"/>
      </w:pPr>
      <w:rPr>
        <w:rFonts w:hint="eastAsia"/>
      </w:rPr>
    </w:lvl>
  </w:abstractNum>
  <w:abstractNum w:abstractNumId="13">
    <w:nsid w:val="FF8E5FC9"/>
    <w:multiLevelType w:val="singleLevel"/>
    <w:tmpl w:val="FF8E5FC9"/>
    <w:lvl w:ilvl="0" w:tentative="0">
      <w:start w:val="1"/>
      <w:numFmt w:val="decimal"/>
      <w:suff w:val="nothing"/>
      <w:lvlText w:val="%1．"/>
      <w:lvlJc w:val="left"/>
      <w:pPr>
        <w:ind w:firstLine="397"/>
      </w:pPr>
      <w:rPr>
        <w:rFonts w:hint="default"/>
      </w:rPr>
    </w:lvl>
  </w:abstractNum>
  <w:abstractNum w:abstractNumId="14">
    <w:nsid w:val="0900A480"/>
    <w:multiLevelType w:val="singleLevel"/>
    <w:tmpl w:val="0900A480"/>
    <w:lvl w:ilvl="0" w:tentative="0">
      <w:start w:val="1"/>
      <w:numFmt w:val="decimal"/>
      <w:pStyle w:val="6"/>
      <w:lvlText w:val="%1."/>
      <w:lvlJc w:val="left"/>
      <w:pPr>
        <w:tabs>
          <w:tab w:val="left" w:pos="360"/>
        </w:tabs>
        <w:ind w:left="360" w:hanging="360"/>
      </w:pPr>
    </w:lvl>
  </w:abstractNum>
  <w:abstractNum w:abstractNumId="15">
    <w:nsid w:val="0907CBFE"/>
    <w:multiLevelType w:val="singleLevel"/>
    <w:tmpl w:val="0907CBFE"/>
    <w:lvl w:ilvl="0" w:tentative="0">
      <w:start w:val="1"/>
      <w:numFmt w:val="decimalEnclosedCircleChinese"/>
      <w:suff w:val="nothing"/>
      <w:lvlText w:val="%1　"/>
      <w:lvlJc w:val="left"/>
      <w:pPr>
        <w:ind w:left="0" w:firstLine="400"/>
      </w:pPr>
      <w:rPr>
        <w:rFonts w:hint="eastAsia"/>
      </w:rPr>
    </w:lvl>
  </w:abstractNum>
  <w:abstractNum w:abstractNumId="16">
    <w:nsid w:val="0B147C98"/>
    <w:multiLevelType w:val="singleLevel"/>
    <w:tmpl w:val="0B147C98"/>
    <w:lvl w:ilvl="0" w:tentative="0">
      <w:start w:val="1"/>
      <w:numFmt w:val="decimalEnclosedCircleChinese"/>
      <w:suff w:val="nothing"/>
      <w:lvlText w:val="%1　"/>
      <w:lvlJc w:val="left"/>
      <w:pPr>
        <w:ind w:left="0" w:firstLine="400"/>
      </w:pPr>
      <w:rPr>
        <w:rFonts w:hint="eastAsia"/>
      </w:rPr>
    </w:lvl>
  </w:abstractNum>
  <w:abstractNum w:abstractNumId="17">
    <w:nsid w:val="0D522CE9"/>
    <w:multiLevelType w:val="singleLevel"/>
    <w:tmpl w:val="0D522CE9"/>
    <w:lvl w:ilvl="0" w:tentative="0">
      <w:start w:val="1"/>
      <w:numFmt w:val="decimalEnclosedCircleChinese"/>
      <w:suff w:val="nothing"/>
      <w:lvlText w:val="%1　"/>
      <w:lvlJc w:val="left"/>
      <w:pPr>
        <w:ind w:left="0" w:firstLine="400"/>
      </w:pPr>
      <w:rPr>
        <w:rFonts w:hint="eastAsia"/>
      </w:rPr>
    </w:lvl>
  </w:abstractNum>
  <w:abstractNum w:abstractNumId="18">
    <w:nsid w:val="0EBF407F"/>
    <w:multiLevelType w:val="singleLevel"/>
    <w:tmpl w:val="0EBF407F"/>
    <w:lvl w:ilvl="0" w:tentative="0">
      <w:start w:val="1"/>
      <w:numFmt w:val="decimalEnclosedCircleChinese"/>
      <w:suff w:val="nothing"/>
      <w:lvlText w:val="%1　"/>
      <w:lvlJc w:val="left"/>
      <w:pPr>
        <w:ind w:left="0" w:firstLine="400"/>
      </w:pPr>
      <w:rPr>
        <w:rFonts w:hint="eastAsia"/>
      </w:rPr>
    </w:lvl>
  </w:abstractNum>
  <w:abstractNum w:abstractNumId="19">
    <w:nsid w:val="12BDE16F"/>
    <w:multiLevelType w:val="singleLevel"/>
    <w:tmpl w:val="12BDE16F"/>
    <w:lvl w:ilvl="0" w:tentative="0">
      <w:start w:val="1"/>
      <w:numFmt w:val="decimalEnclosedCircleChinese"/>
      <w:suff w:val="nothing"/>
      <w:lvlText w:val="%1　"/>
      <w:lvlJc w:val="left"/>
      <w:pPr>
        <w:ind w:left="0" w:firstLine="400"/>
      </w:pPr>
      <w:rPr>
        <w:rFonts w:hint="eastAsia"/>
      </w:rPr>
    </w:lvl>
  </w:abstractNum>
  <w:abstractNum w:abstractNumId="20">
    <w:nsid w:val="12F353C5"/>
    <w:multiLevelType w:val="singleLevel"/>
    <w:tmpl w:val="12F353C5"/>
    <w:lvl w:ilvl="0" w:tentative="0">
      <w:start w:val="1"/>
      <w:numFmt w:val="chineseCounting"/>
      <w:suff w:val="nothing"/>
      <w:lvlText w:val="%1、"/>
      <w:lvlJc w:val="left"/>
      <w:rPr>
        <w:rFonts w:hint="eastAsia"/>
      </w:rPr>
    </w:lvl>
  </w:abstractNum>
  <w:abstractNum w:abstractNumId="21">
    <w:nsid w:val="139B6DF6"/>
    <w:multiLevelType w:val="singleLevel"/>
    <w:tmpl w:val="139B6DF6"/>
    <w:lvl w:ilvl="0" w:tentative="0">
      <w:start w:val="1"/>
      <w:numFmt w:val="decimal"/>
      <w:suff w:val="nothing"/>
      <w:lvlText w:val="9.%1 "/>
      <w:lvlJc w:val="left"/>
      <w:pPr>
        <w:tabs>
          <w:tab w:val="left" w:pos="0"/>
        </w:tabs>
        <w:ind w:firstLine="40"/>
      </w:pPr>
      <w:rPr>
        <w:rFonts w:hint="default" w:ascii="宋体" w:hAnsi="宋体" w:eastAsia="宋体"/>
      </w:rPr>
    </w:lvl>
  </w:abstractNum>
  <w:abstractNum w:abstractNumId="22">
    <w:nsid w:val="1B30CF3F"/>
    <w:multiLevelType w:val="singleLevel"/>
    <w:tmpl w:val="1B30CF3F"/>
    <w:lvl w:ilvl="0" w:tentative="0">
      <w:start w:val="1"/>
      <w:numFmt w:val="decimalEnclosedCircleChinese"/>
      <w:suff w:val="nothing"/>
      <w:lvlText w:val="%1　"/>
      <w:lvlJc w:val="left"/>
      <w:pPr>
        <w:ind w:left="0" w:firstLine="400"/>
      </w:pPr>
      <w:rPr>
        <w:rFonts w:hint="eastAsia"/>
      </w:rPr>
    </w:lvl>
  </w:abstractNum>
  <w:abstractNum w:abstractNumId="23">
    <w:nsid w:val="1DBCF645"/>
    <w:multiLevelType w:val="singleLevel"/>
    <w:tmpl w:val="1DBCF645"/>
    <w:lvl w:ilvl="0" w:tentative="0">
      <w:start w:val="1"/>
      <w:numFmt w:val="decimalEnclosedCircleChinese"/>
      <w:suff w:val="nothing"/>
      <w:lvlText w:val="%1　"/>
      <w:lvlJc w:val="left"/>
      <w:pPr>
        <w:ind w:firstLine="397"/>
      </w:pPr>
      <w:rPr>
        <w:rFonts w:hint="eastAsia"/>
      </w:rPr>
    </w:lvl>
  </w:abstractNum>
  <w:abstractNum w:abstractNumId="24">
    <w:nsid w:val="1EC1A361"/>
    <w:multiLevelType w:val="singleLevel"/>
    <w:tmpl w:val="1EC1A361"/>
    <w:lvl w:ilvl="0" w:tentative="0">
      <w:start w:val="1"/>
      <w:numFmt w:val="decimalEnclosedCircleChinese"/>
      <w:suff w:val="nothing"/>
      <w:lvlText w:val="%1　"/>
      <w:lvlJc w:val="left"/>
      <w:pPr>
        <w:ind w:left="0" w:firstLine="397"/>
      </w:pPr>
      <w:rPr>
        <w:rFonts w:hint="eastAsia"/>
      </w:rPr>
    </w:lvl>
  </w:abstractNum>
  <w:abstractNum w:abstractNumId="25">
    <w:nsid w:val="211911C0"/>
    <w:multiLevelType w:val="singleLevel"/>
    <w:tmpl w:val="211911C0"/>
    <w:lvl w:ilvl="0" w:tentative="0">
      <w:start w:val="1"/>
      <w:numFmt w:val="decimalEnclosedCircleChinese"/>
      <w:suff w:val="nothing"/>
      <w:lvlText w:val="%1　"/>
      <w:lvlJc w:val="left"/>
      <w:pPr>
        <w:ind w:left="150" w:firstLine="400"/>
      </w:pPr>
      <w:rPr>
        <w:rFonts w:hint="eastAsia"/>
      </w:rPr>
    </w:lvl>
  </w:abstractNum>
  <w:abstractNum w:abstractNumId="26">
    <w:nsid w:val="25F33ADD"/>
    <w:multiLevelType w:val="singleLevel"/>
    <w:tmpl w:val="25F33ADD"/>
    <w:lvl w:ilvl="0" w:tentative="0">
      <w:start w:val="1"/>
      <w:numFmt w:val="decimalEnclosedCircleChinese"/>
      <w:suff w:val="nothing"/>
      <w:lvlText w:val="%1　"/>
      <w:lvlJc w:val="left"/>
      <w:pPr>
        <w:ind w:firstLine="1134"/>
      </w:pPr>
      <w:rPr>
        <w:rFonts w:hint="eastAsia"/>
      </w:rPr>
    </w:lvl>
  </w:abstractNum>
  <w:abstractNum w:abstractNumId="27">
    <w:nsid w:val="2BCCD9E4"/>
    <w:multiLevelType w:val="singleLevel"/>
    <w:tmpl w:val="2BCCD9E4"/>
    <w:lvl w:ilvl="0" w:tentative="0">
      <w:start w:val="1"/>
      <w:numFmt w:val="decimalEnclosedCircleChinese"/>
      <w:suff w:val="nothing"/>
      <w:lvlText w:val="%1　"/>
      <w:lvlJc w:val="left"/>
      <w:pPr>
        <w:ind w:firstLine="1134"/>
      </w:pPr>
      <w:rPr>
        <w:rFonts w:hint="eastAsia"/>
      </w:rPr>
    </w:lvl>
  </w:abstractNum>
  <w:abstractNum w:abstractNumId="28">
    <w:nsid w:val="31213A5A"/>
    <w:multiLevelType w:val="singleLevel"/>
    <w:tmpl w:val="31213A5A"/>
    <w:lvl w:ilvl="0" w:tentative="0">
      <w:start w:val="4"/>
      <w:numFmt w:val="chineseCounting"/>
      <w:suff w:val="nothing"/>
      <w:lvlText w:val="%1、"/>
      <w:lvlJc w:val="left"/>
      <w:rPr>
        <w:rFonts w:hint="eastAsia"/>
      </w:rPr>
    </w:lvl>
  </w:abstractNum>
  <w:abstractNum w:abstractNumId="29">
    <w:nsid w:val="45F4B8F6"/>
    <w:multiLevelType w:val="singleLevel"/>
    <w:tmpl w:val="45F4B8F6"/>
    <w:lvl w:ilvl="0" w:tentative="0">
      <w:start w:val="1"/>
      <w:numFmt w:val="decimalEnclosedCircleChinese"/>
      <w:suff w:val="nothing"/>
      <w:lvlText w:val="%1　"/>
      <w:lvlJc w:val="left"/>
      <w:pPr>
        <w:ind w:left="150" w:firstLine="400"/>
      </w:pPr>
      <w:rPr>
        <w:rFonts w:hint="eastAsia"/>
      </w:rPr>
    </w:lvl>
  </w:abstractNum>
  <w:abstractNum w:abstractNumId="30">
    <w:nsid w:val="474E1A63"/>
    <w:multiLevelType w:val="singleLevel"/>
    <w:tmpl w:val="474E1A63"/>
    <w:lvl w:ilvl="0" w:tentative="0">
      <w:start w:val="1"/>
      <w:numFmt w:val="decimalEnclosedCircleChinese"/>
      <w:suff w:val="nothing"/>
      <w:lvlText w:val="%1　"/>
      <w:lvlJc w:val="left"/>
      <w:pPr>
        <w:ind w:firstLine="1134"/>
      </w:pPr>
      <w:rPr>
        <w:rFonts w:hint="eastAsia"/>
      </w:rPr>
    </w:lvl>
  </w:abstractNum>
  <w:abstractNum w:abstractNumId="31">
    <w:nsid w:val="483C6E98"/>
    <w:multiLevelType w:val="singleLevel"/>
    <w:tmpl w:val="483C6E98"/>
    <w:lvl w:ilvl="0" w:tentative="0">
      <w:start w:val="1"/>
      <w:numFmt w:val="decimal"/>
      <w:suff w:val="nothing"/>
      <w:lvlText w:val="%1、"/>
      <w:lvlJc w:val="left"/>
    </w:lvl>
  </w:abstractNum>
  <w:abstractNum w:abstractNumId="32">
    <w:nsid w:val="4D4A2151"/>
    <w:multiLevelType w:val="singleLevel"/>
    <w:tmpl w:val="4D4A2151"/>
    <w:lvl w:ilvl="0" w:tentative="0">
      <w:start w:val="1"/>
      <w:numFmt w:val="decimal"/>
      <w:suff w:val="nothing"/>
      <w:lvlText w:val="%1．"/>
      <w:lvlJc w:val="left"/>
      <w:pPr>
        <w:ind w:firstLine="397"/>
      </w:pPr>
      <w:rPr>
        <w:rFonts w:hint="default"/>
      </w:rPr>
    </w:lvl>
  </w:abstractNum>
  <w:abstractNum w:abstractNumId="33">
    <w:nsid w:val="548FA45B"/>
    <w:multiLevelType w:val="singleLevel"/>
    <w:tmpl w:val="548FA45B"/>
    <w:lvl w:ilvl="0" w:tentative="0">
      <w:start w:val="1"/>
      <w:numFmt w:val="decimalEnclosedCircleChinese"/>
      <w:suff w:val="nothing"/>
      <w:lvlText w:val="%1　"/>
      <w:lvlJc w:val="left"/>
      <w:pPr>
        <w:ind w:left="0" w:firstLine="400"/>
      </w:pPr>
      <w:rPr>
        <w:rFonts w:hint="eastAsia"/>
      </w:rPr>
    </w:lvl>
  </w:abstractNum>
  <w:abstractNum w:abstractNumId="34">
    <w:nsid w:val="5B09FB03"/>
    <w:multiLevelType w:val="singleLevel"/>
    <w:tmpl w:val="5B09FB03"/>
    <w:lvl w:ilvl="0" w:tentative="0">
      <w:start w:val="1"/>
      <w:numFmt w:val="decimalEnclosedCircleChinese"/>
      <w:suff w:val="nothing"/>
      <w:lvlText w:val="%1　"/>
      <w:lvlJc w:val="left"/>
      <w:pPr>
        <w:ind w:left="0" w:firstLine="400"/>
      </w:pPr>
      <w:rPr>
        <w:rFonts w:hint="eastAsia"/>
      </w:rPr>
    </w:lvl>
  </w:abstractNum>
  <w:abstractNum w:abstractNumId="35">
    <w:nsid w:val="62705028"/>
    <w:multiLevelType w:val="singleLevel"/>
    <w:tmpl w:val="62705028"/>
    <w:lvl w:ilvl="0" w:tentative="0">
      <w:start w:val="1"/>
      <w:numFmt w:val="decimalEnclosedCircleChinese"/>
      <w:suff w:val="nothing"/>
      <w:lvlText w:val="%1　"/>
      <w:lvlJc w:val="left"/>
      <w:pPr>
        <w:ind w:firstLine="397"/>
      </w:pPr>
      <w:rPr>
        <w:rFonts w:hint="eastAsia"/>
      </w:rPr>
    </w:lvl>
  </w:abstractNum>
  <w:abstractNum w:abstractNumId="36">
    <w:nsid w:val="667A4673"/>
    <w:multiLevelType w:val="singleLevel"/>
    <w:tmpl w:val="667A4673"/>
    <w:lvl w:ilvl="0" w:tentative="0">
      <w:start w:val="1"/>
      <w:numFmt w:val="decimalEnclosedCircleChinese"/>
      <w:suff w:val="nothing"/>
      <w:lvlText w:val="%1　"/>
      <w:lvlJc w:val="left"/>
      <w:pPr>
        <w:ind w:left="0" w:firstLine="400"/>
      </w:pPr>
      <w:rPr>
        <w:rFonts w:hint="eastAsia"/>
      </w:rPr>
    </w:lvl>
  </w:abstractNum>
  <w:abstractNum w:abstractNumId="37">
    <w:nsid w:val="7B2826C6"/>
    <w:multiLevelType w:val="singleLevel"/>
    <w:tmpl w:val="7B2826C6"/>
    <w:lvl w:ilvl="0" w:tentative="0">
      <w:start w:val="1"/>
      <w:numFmt w:val="decimal"/>
      <w:suff w:val="nothing"/>
      <w:lvlText w:val="%1．"/>
      <w:lvlJc w:val="left"/>
      <w:pPr>
        <w:ind w:left="0" w:firstLine="397"/>
      </w:pPr>
      <w:rPr>
        <w:rFonts w:hint="default"/>
      </w:rPr>
    </w:lvl>
  </w:abstractNum>
  <w:abstractNum w:abstractNumId="38">
    <w:nsid w:val="7C80165C"/>
    <w:multiLevelType w:val="singleLevel"/>
    <w:tmpl w:val="7C80165C"/>
    <w:lvl w:ilvl="0" w:tentative="0">
      <w:start w:val="1"/>
      <w:numFmt w:val="decimalEnclosedCircleChinese"/>
      <w:suff w:val="nothing"/>
      <w:lvlText w:val="%1　"/>
      <w:lvlJc w:val="left"/>
      <w:pPr>
        <w:ind w:left="0" w:firstLine="400"/>
      </w:pPr>
      <w:rPr>
        <w:rFonts w:hint="eastAsia"/>
      </w:rPr>
    </w:lvl>
  </w:abstractNum>
  <w:num w:numId="1">
    <w:abstractNumId w:val="14"/>
  </w:num>
  <w:num w:numId="2">
    <w:abstractNumId w:val="13"/>
  </w:num>
  <w:num w:numId="3">
    <w:abstractNumId w:val="32"/>
  </w:num>
  <w:num w:numId="4">
    <w:abstractNumId w:val="23"/>
  </w:num>
  <w:num w:numId="5">
    <w:abstractNumId w:val="37"/>
  </w:num>
  <w:num w:numId="6">
    <w:abstractNumId w:val="24"/>
  </w:num>
  <w:num w:numId="7">
    <w:abstractNumId w:val="35"/>
  </w:num>
  <w:num w:numId="8">
    <w:abstractNumId w:val="31"/>
  </w:num>
  <w:num w:numId="9">
    <w:abstractNumId w:val="20"/>
  </w:num>
  <w:num w:numId="10">
    <w:abstractNumId w:val="21"/>
  </w:num>
  <w:num w:numId="11">
    <w:abstractNumId w:val="30"/>
  </w:num>
  <w:num w:numId="12">
    <w:abstractNumId w:val="25"/>
  </w:num>
  <w:num w:numId="13">
    <w:abstractNumId w:val="27"/>
  </w:num>
  <w:num w:numId="14">
    <w:abstractNumId w:val="4"/>
  </w:num>
  <w:num w:numId="15">
    <w:abstractNumId w:val="26"/>
  </w:num>
  <w:num w:numId="16">
    <w:abstractNumId w:val="12"/>
  </w:num>
  <w:num w:numId="17">
    <w:abstractNumId w:val="9"/>
  </w:num>
  <w:num w:numId="18">
    <w:abstractNumId w:val="38"/>
  </w:num>
  <w:num w:numId="19">
    <w:abstractNumId w:val="18"/>
  </w:num>
  <w:num w:numId="20">
    <w:abstractNumId w:val="8"/>
  </w:num>
  <w:num w:numId="21">
    <w:abstractNumId w:val="33"/>
  </w:num>
  <w:num w:numId="22">
    <w:abstractNumId w:val="5"/>
  </w:num>
  <w:num w:numId="23">
    <w:abstractNumId w:val="0"/>
  </w:num>
  <w:num w:numId="24">
    <w:abstractNumId w:val="36"/>
  </w:num>
  <w:num w:numId="25">
    <w:abstractNumId w:val="7"/>
  </w:num>
  <w:num w:numId="26">
    <w:abstractNumId w:val="28"/>
  </w:num>
  <w:num w:numId="27">
    <w:abstractNumId w:val="11"/>
  </w:num>
  <w:num w:numId="28">
    <w:abstractNumId w:val="10"/>
  </w:num>
  <w:num w:numId="29">
    <w:abstractNumId w:val="2"/>
  </w:num>
  <w:num w:numId="30">
    <w:abstractNumId w:val="6"/>
  </w:num>
  <w:num w:numId="31">
    <w:abstractNumId w:val="22"/>
  </w:num>
  <w:num w:numId="32">
    <w:abstractNumId w:val="17"/>
  </w:num>
  <w:num w:numId="33">
    <w:abstractNumId w:val="34"/>
  </w:num>
  <w:num w:numId="34">
    <w:abstractNumId w:val="16"/>
  </w:num>
  <w:num w:numId="35">
    <w:abstractNumId w:val="19"/>
  </w:num>
  <w:num w:numId="36">
    <w:abstractNumId w:val="15"/>
  </w:num>
  <w:num w:numId="37">
    <w:abstractNumId w:val="3"/>
  </w:num>
  <w:num w:numId="38">
    <w:abstractNumId w:val="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JlOWFjYjgwMWY2ZGNhMmY5ZjBjZmMxYmE0MDRhYWUifQ=="/>
  </w:docVars>
  <w:rsids>
    <w:rsidRoot w:val="004E7B46"/>
    <w:rsid w:val="00207BD5"/>
    <w:rsid w:val="004E7B46"/>
    <w:rsid w:val="007D1BF7"/>
    <w:rsid w:val="008871D9"/>
    <w:rsid w:val="008A0D8A"/>
    <w:rsid w:val="008A2738"/>
    <w:rsid w:val="00966966"/>
    <w:rsid w:val="00DC4ED6"/>
    <w:rsid w:val="01284C10"/>
    <w:rsid w:val="0166540A"/>
    <w:rsid w:val="018F4EBE"/>
    <w:rsid w:val="01AE6C84"/>
    <w:rsid w:val="01BB1ECC"/>
    <w:rsid w:val="01DA30C0"/>
    <w:rsid w:val="020D7E18"/>
    <w:rsid w:val="02172392"/>
    <w:rsid w:val="02AB390E"/>
    <w:rsid w:val="03347FF6"/>
    <w:rsid w:val="03A72469"/>
    <w:rsid w:val="043952F5"/>
    <w:rsid w:val="04DF3359"/>
    <w:rsid w:val="04EC458F"/>
    <w:rsid w:val="05565879"/>
    <w:rsid w:val="05804498"/>
    <w:rsid w:val="059A18C2"/>
    <w:rsid w:val="05A43A27"/>
    <w:rsid w:val="05BF4111"/>
    <w:rsid w:val="060F7DF2"/>
    <w:rsid w:val="06460E8D"/>
    <w:rsid w:val="06C13B23"/>
    <w:rsid w:val="070D0B30"/>
    <w:rsid w:val="0833559E"/>
    <w:rsid w:val="08626C5A"/>
    <w:rsid w:val="08CE14ED"/>
    <w:rsid w:val="093A14A4"/>
    <w:rsid w:val="095945EF"/>
    <w:rsid w:val="096B69D0"/>
    <w:rsid w:val="09FC0922"/>
    <w:rsid w:val="0A735943"/>
    <w:rsid w:val="0A8D3135"/>
    <w:rsid w:val="0AB83A5C"/>
    <w:rsid w:val="0AED2570"/>
    <w:rsid w:val="0AF4146F"/>
    <w:rsid w:val="0B9C79DA"/>
    <w:rsid w:val="0BA871D4"/>
    <w:rsid w:val="0BB1482B"/>
    <w:rsid w:val="0C8F1DB6"/>
    <w:rsid w:val="0CFA54CF"/>
    <w:rsid w:val="0D3E0ED6"/>
    <w:rsid w:val="0DC25855"/>
    <w:rsid w:val="0E6059EA"/>
    <w:rsid w:val="0E93747B"/>
    <w:rsid w:val="0EBD0A5A"/>
    <w:rsid w:val="0EF0772A"/>
    <w:rsid w:val="0F0C3DC3"/>
    <w:rsid w:val="0F1D1B2D"/>
    <w:rsid w:val="0F294985"/>
    <w:rsid w:val="0F831B8A"/>
    <w:rsid w:val="0FFE35DE"/>
    <w:rsid w:val="10340AC2"/>
    <w:rsid w:val="104112C4"/>
    <w:rsid w:val="10A07E3F"/>
    <w:rsid w:val="10AE4F80"/>
    <w:rsid w:val="11621E57"/>
    <w:rsid w:val="12112DCD"/>
    <w:rsid w:val="123E4294"/>
    <w:rsid w:val="12463148"/>
    <w:rsid w:val="126B73E2"/>
    <w:rsid w:val="1278113B"/>
    <w:rsid w:val="12AD5BA2"/>
    <w:rsid w:val="12F4708E"/>
    <w:rsid w:val="133B3544"/>
    <w:rsid w:val="133F511C"/>
    <w:rsid w:val="13AE6E45"/>
    <w:rsid w:val="13BD568C"/>
    <w:rsid w:val="13DA4412"/>
    <w:rsid w:val="151B6B0E"/>
    <w:rsid w:val="154A0179"/>
    <w:rsid w:val="157C0F6F"/>
    <w:rsid w:val="16353452"/>
    <w:rsid w:val="16952F5E"/>
    <w:rsid w:val="16AC7DEE"/>
    <w:rsid w:val="16E71656"/>
    <w:rsid w:val="175E0E98"/>
    <w:rsid w:val="18941DC0"/>
    <w:rsid w:val="18C756A6"/>
    <w:rsid w:val="19353092"/>
    <w:rsid w:val="19362169"/>
    <w:rsid w:val="1ABF0599"/>
    <w:rsid w:val="1AD910BD"/>
    <w:rsid w:val="1B171B26"/>
    <w:rsid w:val="1B445528"/>
    <w:rsid w:val="1B6D7151"/>
    <w:rsid w:val="1B72462C"/>
    <w:rsid w:val="1B776A68"/>
    <w:rsid w:val="1B841782"/>
    <w:rsid w:val="1B84292B"/>
    <w:rsid w:val="1B9B060F"/>
    <w:rsid w:val="1BB22217"/>
    <w:rsid w:val="1BB43D31"/>
    <w:rsid w:val="1C6D6E93"/>
    <w:rsid w:val="1CC37A0C"/>
    <w:rsid w:val="1D077978"/>
    <w:rsid w:val="1D920DEA"/>
    <w:rsid w:val="1D9C3FBB"/>
    <w:rsid w:val="1DBB05FE"/>
    <w:rsid w:val="1DCE75A1"/>
    <w:rsid w:val="1E696B3C"/>
    <w:rsid w:val="1F28542F"/>
    <w:rsid w:val="20500291"/>
    <w:rsid w:val="20617E42"/>
    <w:rsid w:val="20A66641"/>
    <w:rsid w:val="21BF0821"/>
    <w:rsid w:val="22EE43F4"/>
    <w:rsid w:val="23DC0A4C"/>
    <w:rsid w:val="248368E0"/>
    <w:rsid w:val="24A04657"/>
    <w:rsid w:val="254B55DF"/>
    <w:rsid w:val="264F6618"/>
    <w:rsid w:val="269B71D5"/>
    <w:rsid w:val="271E038D"/>
    <w:rsid w:val="276B4DD2"/>
    <w:rsid w:val="27C13545"/>
    <w:rsid w:val="292C1E16"/>
    <w:rsid w:val="297F6DF4"/>
    <w:rsid w:val="299B358B"/>
    <w:rsid w:val="29C63095"/>
    <w:rsid w:val="29CE5DA6"/>
    <w:rsid w:val="2AAA058C"/>
    <w:rsid w:val="2AD74E2E"/>
    <w:rsid w:val="2B391645"/>
    <w:rsid w:val="2B9F3B9D"/>
    <w:rsid w:val="2BC5112A"/>
    <w:rsid w:val="2C90612D"/>
    <w:rsid w:val="2CB35427"/>
    <w:rsid w:val="2D401D7D"/>
    <w:rsid w:val="2D850127"/>
    <w:rsid w:val="2E3D769E"/>
    <w:rsid w:val="2E7F2A5D"/>
    <w:rsid w:val="2FF56DE4"/>
    <w:rsid w:val="30223447"/>
    <w:rsid w:val="304C3BC8"/>
    <w:rsid w:val="30B57FCF"/>
    <w:rsid w:val="30CB78A0"/>
    <w:rsid w:val="31310F17"/>
    <w:rsid w:val="31347F27"/>
    <w:rsid w:val="31A77CA8"/>
    <w:rsid w:val="32400512"/>
    <w:rsid w:val="3288698A"/>
    <w:rsid w:val="329D695D"/>
    <w:rsid w:val="336B20D1"/>
    <w:rsid w:val="336E20A7"/>
    <w:rsid w:val="33752BC2"/>
    <w:rsid w:val="33A57990"/>
    <w:rsid w:val="33D37E50"/>
    <w:rsid w:val="340D0AE3"/>
    <w:rsid w:val="342B6968"/>
    <w:rsid w:val="34BD33C3"/>
    <w:rsid w:val="35270760"/>
    <w:rsid w:val="353213A0"/>
    <w:rsid w:val="35FB4B57"/>
    <w:rsid w:val="362B07DC"/>
    <w:rsid w:val="364A3791"/>
    <w:rsid w:val="36735251"/>
    <w:rsid w:val="36E36A42"/>
    <w:rsid w:val="376D7520"/>
    <w:rsid w:val="378B3228"/>
    <w:rsid w:val="37AA5E7E"/>
    <w:rsid w:val="37DD476B"/>
    <w:rsid w:val="382A49E2"/>
    <w:rsid w:val="384B0848"/>
    <w:rsid w:val="386D0B7F"/>
    <w:rsid w:val="38CC1665"/>
    <w:rsid w:val="39551750"/>
    <w:rsid w:val="396A50BF"/>
    <w:rsid w:val="39AD5700"/>
    <w:rsid w:val="3A0947DF"/>
    <w:rsid w:val="3A537A35"/>
    <w:rsid w:val="3A5F47A0"/>
    <w:rsid w:val="3A852E96"/>
    <w:rsid w:val="3BCC3F21"/>
    <w:rsid w:val="3BDE4D0E"/>
    <w:rsid w:val="3BE21AFB"/>
    <w:rsid w:val="3C786374"/>
    <w:rsid w:val="3CC27654"/>
    <w:rsid w:val="3CE42F1D"/>
    <w:rsid w:val="3D4D7786"/>
    <w:rsid w:val="3D913748"/>
    <w:rsid w:val="3DBE1F94"/>
    <w:rsid w:val="3DD80F91"/>
    <w:rsid w:val="3E0E7312"/>
    <w:rsid w:val="3E15733A"/>
    <w:rsid w:val="3E593851"/>
    <w:rsid w:val="3E6502E3"/>
    <w:rsid w:val="3E805CCE"/>
    <w:rsid w:val="3ECE1A5A"/>
    <w:rsid w:val="3EED7957"/>
    <w:rsid w:val="3EFE27D5"/>
    <w:rsid w:val="3F731171"/>
    <w:rsid w:val="3FBB52FF"/>
    <w:rsid w:val="3FF75270"/>
    <w:rsid w:val="40050660"/>
    <w:rsid w:val="40E225F0"/>
    <w:rsid w:val="40E93B81"/>
    <w:rsid w:val="43210EE4"/>
    <w:rsid w:val="434A2EFA"/>
    <w:rsid w:val="43650DA9"/>
    <w:rsid w:val="438E3061"/>
    <w:rsid w:val="43A37B74"/>
    <w:rsid w:val="440A5A5D"/>
    <w:rsid w:val="44141B83"/>
    <w:rsid w:val="44191701"/>
    <w:rsid w:val="44AB333F"/>
    <w:rsid w:val="44EF1588"/>
    <w:rsid w:val="452C70DB"/>
    <w:rsid w:val="455049B9"/>
    <w:rsid w:val="45BE06C4"/>
    <w:rsid w:val="45E2188E"/>
    <w:rsid w:val="46A53D0D"/>
    <w:rsid w:val="475875BB"/>
    <w:rsid w:val="47AC48AF"/>
    <w:rsid w:val="47D7542C"/>
    <w:rsid w:val="488C7EAF"/>
    <w:rsid w:val="48F77CAC"/>
    <w:rsid w:val="492D1A36"/>
    <w:rsid w:val="49492942"/>
    <w:rsid w:val="49824284"/>
    <w:rsid w:val="49B4250E"/>
    <w:rsid w:val="49BB026C"/>
    <w:rsid w:val="49F228FE"/>
    <w:rsid w:val="49FF1E18"/>
    <w:rsid w:val="4A3A4459"/>
    <w:rsid w:val="4B3F5959"/>
    <w:rsid w:val="4B6D6758"/>
    <w:rsid w:val="4BA163BC"/>
    <w:rsid w:val="4BEB2F3F"/>
    <w:rsid w:val="4D42277A"/>
    <w:rsid w:val="4D944146"/>
    <w:rsid w:val="4E9F0FF5"/>
    <w:rsid w:val="4EC8766C"/>
    <w:rsid w:val="4EF16300"/>
    <w:rsid w:val="4F757DDE"/>
    <w:rsid w:val="50550552"/>
    <w:rsid w:val="50CC1AE3"/>
    <w:rsid w:val="51133B73"/>
    <w:rsid w:val="516B447C"/>
    <w:rsid w:val="51EF4C91"/>
    <w:rsid w:val="51FD72AA"/>
    <w:rsid w:val="52346539"/>
    <w:rsid w:val="52460E0D"/>
    <w:rsid w:val="5265409F"/>
    <w:rsid w:val="526F5493"/>
    <w:rsid w:val="5288658E"/>
    <w:rsid w:val="52EE0328"/>
    <w:rsid w:val="54034147"/>
    <w:rsid w:val="5442626B"/>
    <w:rsid w:val="544F6377"/>
    <w:rsid w:val="551A1C1B"/>
    <w:rsid w:val="556708FB"/>
    <w:rsid w:val="55A57753"/>
    <w:rsid w:val="56151E85"/>
    <w:rsid w:val="565151E5"/>
    <w:rsid w:val="56BE60E9"/>
    <w:rsid w:val="570C66F2"/>
    <w:rsid w:val="578335A2"/>
    <w:rsid w:val="585A4825"/>
    <w:rsid w:val="586804F3"/>
    <w:rsid w:val="58970C93"/>
    <w:rsid w:val="58A852CD"/>
    <w:rsid w:val="58D85106"/>
    <w:rsid w:val="58DC5614"/>
    <w:rsid w:val="58FD3402"/>
    <w:rsid w:val="591D5539"/>
    <w:rsid w:val="59471CA5"/>
    <w:rsid w:val="59660BE0"/>
    <w:rsid w:val="5A2D2B8A"/>
    <w:rsid w:val="5B3531AA"/>
    <w:rsid w:val="5B593D82"/>
    <w:rsid w:val="5B83435C"/>
    <w:rsid w:val="5B8C560C"/>
    <w:rsid w:val="5BA85751"/>
    <w:rsid w:val="5C6D4B06"/>
    <w:rsid w:val="5C757E7F"/>
    <w:rsid w:val="5CAF4194"/>
    <w:rsid w:val="5CF576C8"/>
    <w:rsid w:val="5D053A41"/>
    <w:rsid w:val="5D0D2DD8"/>
    <w:rsid w:val="5E101875"/>
    <w:rsid w:val="5E753D64"/>
    <w:rsid w:val="5E7C2BF7"/>
    <w:rsid w:val="5EB94076"/>
    <w:rsid w:val="5EBC5859"/>
    <w:rsid w:val="5F013C4C"/>
    <w:rsid w:val="5F29703D"/>
    <w:rsid w:val="5F487A20"/>
    <w:rsid w:val="5FF34165"/>
    <w:rsid w:val="6009588A"/>
    <w:rsid w:val="6061130C"/>
    <w:rsid w:val="6128732F"/>
    <w:rsid w:val="618A35DC"/>
    <w:rsid w:val="62233915"/>
    <w:rsid w:val="62A42226"/>
    <w:rsid w:val="62D3266B"/>
    <w:rsid w:val="62F33965"/>
    <w:rsid w:val="62FD5252"/>
    <w:rsid w:val="63D2247F"/>
    <w:rsid w:val="642F5116"/>
    <w:rsid w:val="64760C38"/>
    <w:rsid w:val="65623DBD"/>
    <w:rsid w:val="65B172DB"/>
    <w:rsid w:val="65DE046F"/>
    <w:rsid w:val="662D1F7B"/>
    <w:rsid w:val="663279EE"/>
    <w:rsid w:val="66CA1AED"/>
    <w:rsid w:val="66DA6AF8"/>
    <w:rsid w:val="66E96F94"/>
    <w:rsid w:val="67420919"/>
    <w:rsid w:val="67A578AE"/>
    <w:rsid w:val="68CE384C"/>
    <w:rsid w:val="68D279B7"/>
    <w:rsid w:val="692F13B6"/>
    <w:rsid w:val="695B3EF6"/>
    <w:rsid w:val="69A91168"/>
    <w:rsid w:val="69C312F4"/>
    <w:rsid w:val="6A4D7F02"/>
    <w:rsid w:val="6A6E56A3"/>
    <w:rsid w:val="6A9D7623"/>
    <w:rsid w:val="6AF64881"/>
    <w:rsid w:val="6B855CC5"/>
    <w:rsid w:val="6BC74C7A"/>
    <w:rsid w:val="6BF20B40"/>
    <w:rsid w:val="6BF57693"/>
    <w:rsid w:val="6C046B2A"/>
    <w:rsid w:val="6C650D7D"/>
    <w:rsid w:val="6C803403"/>
    <w:rsid w:val="6CC335A1"/>
    <w:rsid w:val="6CCB33F0"/>
    <w:rsid w:val="6CFC39A7"/>
    <w:rsid w:val="6D1B5F88"/>
    <w:rsid w:val="6D7328F4"/>
    <w:rsid w:val="6DAF583F"/>
    <w:rsid w:val="6DCE32B7"/>
    <w:rsid w:val="6E873A42"/>
    <w:rsid w:val="6F196606"/>
    <w:rsid w:val="6F27734B"/>
    <w:rsid w:val="7040062D"/>
    <w:rsid w:val="70711057"/>
    <w:rsid w:val="70A71437"/>
    <w:rsid w:val="70B72578"/>
    <w:rsid w:val="70D81A27"/>
    <w:rsid w:val="71A90C4C"/>
    <w:rsid w:val="71AB7145"/>
    <w:rsid w:val="71E92641"/>
    <w:rsid w:val="72394D45"/>
    <w:rsid w:val="725F23E1"/>
    <w:rsid w:val="72E503E5"/>
    <w:rsid w:val="731566FC"/>
    <w:rsid w:val="736A53B8"/>
    <w:rsid w:val="7372081D"/>
    <w:rsid w:val="73D03795"/>
    <w:rsid w:val="74614F21"/>
    <w:rsid w:val="74831A34"/>
    <w:rsid w:val="74F11C15"/>
    <w:rsid w:val="756045D5"/>
    <w:rsid w:val="7575181E"/>
    <w:rsid w:val="75CF63FA"/>
    <w:rsid w:val="76252FA5"/>
    <w:rsid w:val="769220A8"/>
    <w:rsid w:val="76A02835"/>
    <w:rsid w:val="776C0ED2"/>
    <w:rsid w:val="782311A6"/>
    <w:rsid w:val="78C60970"/>
    <w:rsid w:val="78F3567D"/>
    <w:rsid w:val="7A245285"/>
    <w:rsid w:val="7B1139C7"/>
    <w:rsid w:val="7B3B008E"/>
    <w:rsid w:val="7B675D13"/>
    <w:rsid w:val="7BBD0FCA"/>
    <w:rsid w:val="7C77104F"/>
    <w:rsid w:val="7CAB3D98"/>
    <w:rsid w:val="7D3011B9"/>
    <w:rsid w:val="7D88756D"/>
    <w:rsid w:val="7E046E5D"/>
    <w:rsid w:val="7E20270D"/>
    <w:rsid w:val="7E2748DB"/>
    <w:rsid w:val="7E3A7A8B"/>
    <w:rsid w:val="7E415EE8"/>
    <w:rsid w:val="7E804E74"/>
    <w:rsid w:val="7EEC7327"/>
    <w:rsid w:val="7FBA5A25"/>
    <w:rsid w:val="7FD91C23"/>
    <w:rsid w:val="ACA76878"/>
    <w:rsid w:val="EEF797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qFormat="1" w:unhideWhenUsed="0" w:uiPriority="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99"/>
    <w:pPr>
      <w:keepNext/>
      <w:keepLines/>
      <w:spacing w:line="576" w:lineRule="auto"/>
      <w:jc w:val="center"/>
      <w:outlineLvl w:val="0"/>
    </w:pPr>
    <w:rPr>
      <w:rFonts w:ascii="Calibri" w:hAnsi="Calibri" w:cs="Calibri"/>
      <w:b/>
      <w:bCs/>
      <w:kern w:val="44"/>
      <w:sz w:val="36"/>
      <w:szCs w:val="44"/>
    </w:rPr>
  </w:style>
  <w:style w:type="paragraph" w:styleId="2">
    <w:name w:val="heading 2"/>
    <w:basedOn w:val="1"/>
    <w:next w:val="1"/>
    <w:qFormat/>
    <w:uiPriority w:val="99"/>
    <w:pPr>
      <w:keepNext/>
      <w:spacing w:line="216" w:lineRule="auto"/>
      <w:jc w:val="center"/>
      <w:outlineLvl w:val="1"/>
    </w:pPr>
    <w:rPr>
      <w:rFonts w:ascii="宋体" w:hAnsi="宋体" w:cs="宋体"/>
      <w:b/>
      <w:bCs/>
      <w:sz w:val="28"/>
      <w:szCs w:val="28"/>
    </w:rPr>
  </w:style>
  <w:style w:type="paragraph" w:styleId="4">
    <w:name w:val="heading 4"/>
    <w:basedOn w:val="1"/>
    <w:next w:val="1"/>
    <w:qFormat/>
    <w:uiPriority w:val="0"/>
    <w:pPr>
      <w:keepLines/>
      <w:widowControl/>
      <w:autoSpaceDE w:val="0"/>
      <w:autoSpaceDN w:val="0"/>
      <w:adjustRightInd w:val="0"/>
      <w:jc w:val="left"/>
      <w:textAlignment w:val="baseline"/>
      <w:outlineLvl w:val="3"/>
    </w:pPr>
    <w:rPr>
      <w:rFonts w:eastAsia="楷体_GB2312"/>
      <w:b/>
      <w:snapToGrid w:val="0"/>
      <w:kern w:val="0"/>
      <w:sz w:val="24"/>
      <w:szCs w:val="20"/>
    </w:rPr>
  </w:style>
  <w:style w:type="paragraph" w:styleId="5">
    <w:name w:val="heading 5"/>
    <w:basedOn w:val="1"/>
    <w:next w:val="1"/>
    <w:qFormat/>
    <w:uiPriority w:val="0"/>
    <w:pPr>
      <w:keepNext/>
      <w:keepLines/>
      <w:outlineLvl w:val="4"/>
    </w:pPr>
    <w:rPr>
      <w:b/>
      <w:bCs/>
      <w:color w:val="00000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99"/>
    <w:pPr>
      <w:ind w:firstLine="420"/>
    </w:pPr>
  </w:style>
  <w:style w:type="paragraph" w:styleId="8">
    <w:name w:val="Body Text 3"/>
    <w:basedOn w:val="1"/>
    <w:qFormat/>
    <w:uiPriority w:val="0"/>
    <w:pPr>
      <w:spacing w:after="120"/>
      <w:ind w:left="425" w:hanging="425"/>
    </w:pPr>
    <w:rPr>
      <w:sz w:val="16"/>
      <w:szCs w:val="16"/>
    </w:rPr>
  </w:style>
  <w:style w:type="paragraph" w:styleId="9">
    <w:name w:val="Body Text"/>
    <w:basedOn w:val="1"/>
    <w:next w:val="10"/>
    <w:qFormat/>
    <w:uiPriority w:val="99"/>
  </w:style>
  <w:style w:type="paragraph" w:styleId="10">
    <w:name w:val="Body Text First Indent"/>
    <w:basedOn w:val="9"/>
    <w:next w:val="1"/>
    <w:qFormat/>
    <w:uiPriority w:val="99"/>
    <w:pPr>
      <w:ind w:firstLine="420" w:firstLineChars="100"/>
    </w:pPr>
  </w:style>
  <w:style w:type="paragraph" w:styleId="11">
    <w:name w:val="Body Text Indent"/>
    <w:basedOn w:val="1"/>
    <w:next w:val="7"/>
    <w:qFormat/>
    <w:uiPriority w:val="99"/>
    <w:pPr>
      <w:adjustRightInd w:val="0"/>
      <w:spacing w:line="360" w:lineRule="auto"/>
      <w:ind w:firstLine="490"/>
      <w:jc w:val="left"/>
    </w:pPr>
    <w:rPr>
      <w:rFonts w:ascii="宋体" w:hAnsi="宋体" w:cs="宋体"/>
      <w:sz w:val="24"/>
      <w:szCs w:val="24"/>
    </w:rPr>
  </w:style>
  <w:style w:type="paragraph" w:styleId="12">
    <w:name w:val="Plain Text"/>
    <w:basedOn w:val="1"/>
    <w:next w:val="1"/>
    <w:qFormat/>
    <w:uiPriority w:val="99"/>
    <w:rPr>
      <w:rFonts w:ascii="宋体" w:hAnsi="Courier New" w:cs="宋体"/>
    </w:rPr>
  </w:style>
  <w:style w:type="paragraph" w:styleId="13">
    <w:name w:val="Date"/>
    <w:basedOn w:val="1"/>
    <w:next w:val="1"/>
    <w:qFormat/>
    <w:uiPriority w:val="99"/>
    <w:pPr>
      <w:ind w:left="100" w:leftChars="2500"/>
    </w:pPr>
    <w:rPr>
      <w:rFonts w:ascii="宋体" w:hAnsi="宋体" w:cs="宋体"/>
      <w:color w:val="000000"/>
      <w:sz w:val="24"/>
      <w:szCs w:val="24"/>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cs="宋体"/>
      <w:kern w:val="0"/>
      <w:sz w:val="18"/>
      <w:szCs w:val="18"/>
    </w:rPr>
  </w:style>
  <w:style w:type="paragraph" w:styleId="16">
    <w:name w:val="toc 1"/>
    <w:basedOn w:val="1"/>
    <w:next w:val="1"/>
    <w:semiHidden/>
    <w:qFormat/>
    <w:uiPriority w:val="99"/>
  </w:style>
  <w:style w:type="paragraph" w:styleId="17">
    <w:name w:val="toc 4"/>
    <w:basedOn w:val="1"/>
    <w:next w:val="1"/>
    <w:semiHidden/>
    <w:qFormat/>
    <w:uiPriority w:val="0"/>
    <w:pPr>
      <w:ind w:left="1260" w:leftChars="600"/>
    </w:pPr>
  </w:style>
  <w:style w:type="paragraph" w:styleId="18">
    <w:name w:val="toc 6"/>
    <w:basedOn w:val="1"/>
    <w:next w:val="1"/>
    <w:qFormat/>
    <w:uiPriority w:val="99"/>
    <w:pPr>
      <w:ind w:left="2100" w:leftChars="1000"/>
    </w:pPr>
    <w:rPr>
      <w:szCs w:val="22"/>
    </w:rPr>
  </w:style>
  <w:style w:type="paragraph" w:styleId="19">
    <w:name w:val="toc 2"/>
    <w:basedOn w:val="1"/>
    <w:next w:val="1"/>
    <w:link w:val="49"/>
    <w:semiHidden/>
    <w:qFormat/>
    <w:uiPriority w:val="99"/>
    <w:pPr>
      <w:ind w:left="420" w:leftChars="200"/>
    </w:pPr>
  </w:style>
  <w:style w:type="paragraph" w:styleId="20">
    <w:name w:val="Normal (Web)"/>
    <w:basedOn w:val="1"/>
    <w:qFormat/>
    <w:uiPriority w:val="99"/>
    <w:pPr>
      <w:widowControl/>
      <w:spacing w:before="100" w:beforeAutospacing="1" w:after="100" w:afterAutospacing="1"/>
      <w:jc w:val="left"/>
    </w:pPr>
    <w:rPr>
      <w:color w:val="000000"/>
      <w:kern w:val="0"/>
    </w:rPr>
  </w:style>
  <w:style w:type="paragraph" w:styleId="21">
    <w:name w:val="Title"/>
    <w:basedOn w:val="1"/>
    <w:next w:val="1"/>
    <w:qFormat/>
    <w:uiPriority w:val="0"/>
    <w:pPr>
      <w:jc w:val="center"/>
    </w:pPr>
    <w:rPr>
      <w:b/>
      <w:bCs/>
      <w:sz w:val="28"/>
    </w:rPr>
  </w:style>
  <w:style w:type="paragraph" w:styleId="22">
    <w:name w:val="Body Text First Indent 2"/>
    <w:basedOn w:val="11"/>
    <w:next w:val="9"/>
    <w:qFormat/>
    <w:uiPriority w:val="0"/>
    <w:pPr>
      <w:ind w:firstLine="42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style>
  <w:style w:type="character" w:styleId="27">
    <w:name w:val="HTML Sample"/>
    <w:basedOn w:val="25"/>
    <w:qFormat/>
    <w:uiPriority w:val="0"/>
    <w:rPr>
      <w:rFonts w:ascii="Courier New" w:hAnsi="Courier New"/>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Body Text First Indent 21"/>
    <w:basedOn w:val="30"/>
    <w:qFormat/>
    <w:uiPriority w:val="0"/>
    <w:pPr>
      <w:widowControl/>
      <w:ind w:firstLine="420" w:firstLineChars="192"/>
      <w:jc w:val="left"/>
    </w:pPr>
    <w:rPr>
      <w:rFonts w:ascii="仿宋_GB2312" w:hAnsi="Arial"/>
      <w:kern w:val="0"/>
    </w:rPr>
  </w:style>
  <w:style w:type="paragraph" w:customStyle="1" w:styleId="30">
    <w:name w:val="Body Text Indent1"/>
    <w:basedOn w:val="1"/>
    <w:next w:val="1"/>
    <w:qFormat/>
    <w:uiPriority w:val="0"/>
    <w:pPr>
      <w:spacing w:line="200" w:lineRule="exact"/>
      <w:ind w:firstLine="301"/>
    </w:pPr>
    <w:rPr>
      <w:rFonts w:ascii="宋体" w:hAnsi="Courier New"/>
      <w:spacing w:val="-4"/>
      <w:sz w:val="18"/>
    </w:rPr>
  </w:style>
  <w:style w:type="paragraph" w:customStyle="1" w:styleId="31">
    <w:name w:val="正文（首行缩进2字符）"/>
    <w:basedOn w:val="1"/>
    <w:qFormat/>
    <w:uiPriority w:val="0"/>
    <w:pPr>
      <w:spacing w:line="360" w:lineRule="auto"/>
      <w:ind w:firstLine="480" w:firstLineChars="200"/>
    </w:pPr>
    <w:rPr>
      <w:sz w:val="24"/>
      <w:szCs w:val="20"/>
    </w:rPr>
  </w:style>
  <w:style w:type="paragraph" w:customStyle="1" w:styleId="32">
    <w:name w:val="BodyText1I2"/>
    <w:basedOn w:val="33"/>
    <w:qFormat/>
    <w:uiPriority w:val="0"/>
    <w:pPr>
      <w:ind w:firstLine="420"/>
    </w:pPr>
    <w:rPr>
      <w:sz w:val="21"/>
    </w:rPr>
  </w:style>
  <w:style w:type="paragraph" w:customStyle="1" w:styleId="33">
    <w:name w:val="BodyTextIndent"/>
    <w:basedOn w:val="1"/>
    <w:next w:val="32"/>
    <w:qFormat/>
    <w:uiPriority w:val="0"/>
    <w:pPr>
      <w:spacing w:line="360" w:lineRule="auto"/>
      <w:ind w:firstLine="490"/>
      <w:jc w:val="left"/>
    </w:pPr>
    <w:rPr>
      <w:rFonts w:ascii="宋体" w:hAnsi="宋体"/>
      <w:sz w:val="24"/>
    </w:rPr>
  </w:style>
  <w:style w:type="paragraph" w:customStyle="1" w:styleId="3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b/>
      <w:bCs/>
      <w:sz w:val="20"/>
    </w:rPr>
  </w:style>
  <w:style w:type="paragraph" w:customStyle="1" w:styleId="36">
    <w:name w:val="正文文字"/>
    <w:basedOn w:val="1"/>
    <w:qFormat/>
    <w:uiPriority w:val="0"/>
    <w:pPr>
      <w:ind w:firstLine="200" w:firstLineChars="200"/>
    </w:pPr>
    <w:rPr>
      <w:i/>
    </w:rPr>
  </w:style>
  <w:style w:type="paragraph" w:customStyle="1" w:styleId="37">
    <w:name w:val="表格文字"/>
    <w:basedOn w:val="1"/>
    <w:next w:val="9"/>
    <w:qFormat/>
    <w:uiPriority w:val="0"/>
    <w:pPr>
      <w:ind w:firstLine="200" w:firstLineChars="200"/>
    </w:pPr>
    <w:rPr>
      <w:rFonts w:ascii="Arial" w:hAnsi="Arial"/>
      <w:spacing w:val="-5"/>
      <w:kern w:val="0"/>
      <w:sz w:val="24"/>
      <w:szCs w:val="20"/>
    </w:rPr>
  </w:style>
  <w:style w:type="paragraph" w:customStyle="1" w:styleId="38">
    <w:name w:val="正文文本首行缩进 2"/>
    <w:basedOn w:val="11"/>
    <w:qFormat/>
    <w:uiPriority w:val="99"/>
    <w:pPr>
      <w:spacing w:line="200" w:lineRule="atLeast"/>
      <w:ind w:firstLine="420"/>
    </w:pPr>
    <w:rPr>
      <w:rFonts w:hAnsi="Courier New"/>
      <w:spacing w:val="-4"/>
      <w:sz w:val="18"/>
    </w:rPr>
  </w:style>
  <w:style w:type="character" w:customStyle="1" w:styleId="39">
    <w:name w:val="标题 1 Char"/>
    <w:basedOn w:val="25"/>
    <w:link w:val="3"/>
    <w:qFormat/>
    <w:locked/>
    <w:uiPriority w:val="99"/>
    <w:rPr>
      <w:rFonts w:ascii="Calibri" w:hAnsi="Calibri" w:eastAsia="宋体" w:cs="Calibri"/>
      <w:b/>
      <w:bCs/>
      <w:kern w:val="44"/>
      <w:sz w:val="36"/>
      <w:szCs w:val="44"/>
    </w:rPr>
  </w:style>
  <w:style w:type="paragraph" w:customStyle="1" w:styleId="40">
    <w:name w:val="正文2"/>
    <w:basedOn w:val="1"/>
    <w:qFormat/>
    <w:uiPriority w:val="99"/>
    <w:pPr>
      <w:adjustRightInd w:val="0"/>
      <w:spacing w:before="156" w:line="360" w:lineRule="auto"/>
      <w:ind w:firstLine="510" w:firstLineChars="200"/>
    </w:pPr>
    <w:rPr>
      <w:sz w:val="24"/>
      <w:szCs w:val="24"/>
    </w:rPr>
  </w:style>
  <w:style w:type="paragraph" w:customStyle="1" w:styleId="41">
    <w:name w:val="正文带缩进"/>
    <w:next w:val="1"/>
    <w:qFormat/>
    <w:uiPriority w:val="0"/>
    <w:pPr>
      <w:spacing w:line="600" w:lineRule="exact"/>
      <w:ind w:firstLine="200" w:firstLineChars="200"/>
      <w:jc w:val="both"/>
    </w:pPr>
    <w:rPr>
      <w:rFonts w:ascii="仿宋_GB2312" w:hAnsi="Calibri" w:eastAsia="仿宋_GB2312" w:cs="Times New Roman"/>
      <w:kern w:val="2"/>
      <w:sz w:val="28"/>
      <w:szCs w:val="22"/>
      <w:lang w:val="en-US" w:eastAsia="zh-CN" w:bidi="ar-SA"/>
    </w:rPr>
  </w:style>
  <w:style w:type="character" w:customStyle="1" w:styleId="42">
    <w:name w:val="NormalCharacter"/>
    <w:semiHidden/>
    <w:qFormat/>
    <w:uiPriority w:val="0"/>
  </w:style>
  <w:style w:type="paragraph" w:customStyle="1" w:styleId="43">
    <w:name w:val="CM26"/>
    <w:basedOn w:val="1"/>
    <w:next w:val="1"/>
    <w:qFormat/>
    <w:uiPriority w:val="0"/>
    <w:pPr>
      <w:autoSpaceDE w:val="0"/>
      <w:autoSpaceDN w:val="0"/>
      <w:adjustRightInd w:val="0"/>
      <w:spacing w:line="400" w:lineRule="atLeast"/>
      <w:jc w:val="left"/>
    </w:pPr>
    <w:rPr>
      <w:rFonts w:ascii="宋体" w:hAnsi="宋体"/>
      <w:kern w:val="0"/>
      <w:sz w:val="24"/>
    </w:rPr>
  </w:style>
  <w:style w:type="paragraph" w:styleId="44">
    <w:name w:val="List Paragraph"/>
    <w:basedOn w:val="1"/>
    <w:qFormat/>
    <w:uiPriority w:val="99"/>
    <w:pPr>
      <w:widowControl/>
      <w:ind w:firstLine="420" w:firstLineChars="200"/>
      <w:jc w:val="left"/>
    </w:pPr>
    <w:rPr>
      <w:kern w:val="0"/>
      <w:sz w:val="24"/>
    </w:rPr>
  </w:style>
  <w:style w:type="paragraph" w:customStyle="1" w:styleId="45">
    <w:name w:val="正文缩进1"/>
    <w:basedOn w:val="1"/>
    <w:next w:val="11"/>
    <w:qFormat/>
    <w:uiPriority w:val="0"/>
    <w:pPr>
      <w:autoSpaceDE w:val="0"/>
      <w:autoSpaceDN w:val="0"/>
      <w:snapToGrid w:val="0"/>
      <w:spacing w:after="120" w:line="360" w:lineRule="auto"/>
      <w:ind w:left="420" w:leftChars="200" w:firstLine="480" w:firstLineChars="200"/>
    </w:pPr>
    <w:rPr>
      <w:sz w:val="24"/>
    </w:rPr>
  </w:style>
  <w:style w:type="paragraph" w:customStyle="1" w:styleId="4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7">
    <w:name w:val="纯文本1"/>
    <w:basedOn w:val="1"/>
    <w:qFormat/>
    <w:uiPriority w:val="0"/>
    <w:rPr>
      <w:rFonts w:ascii="宋体" w:hAnsi="Courier New"/>
      <w:kern w:val="0"/>
      <w:sz w:val="20"/>
      <w:szCs w:val="20"/>
    </w:rPr>
  </w:style>
  <w:style w:type="paragraph" w:customStyle="1" w:styleId="48">
    <w:name w:val="标准文字"/>
    <w:basedOn w:val="1"/>
    <w:qFormat/>
    <w:uiPriority w:val="0"/>
    <w:pPr>
      <w:snapToGrid w:val="0"/>
      <w:spacing w:line="360" w:lineRule="auto"/>
      <w:ind w:firstLine="200" w:firstLineChars="200"/>
    </w:pPr>
    <w:rPr>
      <w:rFonts w:eastAsia="仿宋_GB2312"/>
      <w:color w:val="000000"/>
      <w:kern w:val="0"/>
      <w:sz w:val="32"/>
      <w:szCs w:val="32"/>
    </w:rPr>
  </w:style>
  <w:style w:type="character" w:customStyle="1" w:styleId="49">
    <w:name w:val="目录 2 Char"/>
    <w:link w:val="19"/>
    <w:qFormat/>
    <w:uiPriority w:val="99"/>
  </w:style>
  <w:style w:type="paragraph" w:customStyle="1" w:styleId="50">
    <w:name w:val="*正文"/>
    <w:basedOn w:val="1"/>
    <w:qFormat/>
    <w:uiPriority w:val="0"/>
    <w:pPr>
      <w:spacing w:beforeLines="50" w:afterLines="50" w:line="360" w:lineRule="auto"/>
      <w:ind w:firstLine="480" w:firstLineChars="200"/>
    </w:pPr>
    <w:rPr>
      <w:sz w:val="24"/>
    </w:rPr>
  </w:style>
  <w:style w:type="character" w:customStyle="1" w:styleId="51">
    <w:name w:val="unnamed51"/>
    <w:qFormat/>
    <w:uiPriority w:val="0"/>
    <w:rPr>
      <w:rFonts w:ascii="Verdana" w:hAnsi="Verdana" w:eastAsia="宋体" w:cs="Times New Roman"/>
      <w:b/>
      <w:bCs/>
      <w:color w:val="auto"/>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2054"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61</Pages>
  <Words>1044</Words>
  <Characters>1212</Characters>
  <Lines>239</Lines>
  <Paragraphs>67</Paragraphs>
  <TotalTime>37</TotalTime>
  <ScaleCrop>false</ScaleCrop>
  <LinksUpToDate>false</LinksUpToDate>
  <CharactersWithSpaces>1272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2025-01-07T02:51:00Z</dcterms:created>
  <dc:creator>Administrator</dc:creator>
  <cp:lastModifiedBy>Administrator</cp:lastModifiedBy>
  <dcterms:modified xsi:type="dcterms:W3CDTF">2025-07-14T12:14:11Z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E355486BE9A2414492E6CB331D3E458A_13</vt:lpwstr>
  </property>
  <property fmtid="{D5CDD505-2E9C-101B-9397-08002B2CF9AE}" pid="4" name="KSOTemplateDocerSaveRecord">
    <vt:lpwstr>eyJoZGlkIjoiZDJlOWFjYjgwMWY2ZGNhMmY5ZjBjZmMxYmE0MDRhYWUiLCJ1c2VySWQiOiIxOTg0NjU4NDQifQ==</vt:lpwstr>
  </property>
</Properties>
</file>